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9CB24" w14:textId="77777777" w:rsidR="004D0B5C" w:rsidRPr="0085657D" w:rsidRDefault="004D0B5C" w:rsidP="005414F1">
      <w:pPr>
        <w:widowControl w:val="0"/>
        <w:autoSpaceDE w:val="0"/>
        <w:autoSpaceDN w:val="0"/>
        <w:adjustRightInd w:val="0"/>
        <w:spacing w:after="0"/>
        <w:jc w:val="center"/>
        <w:rPr>
          <w:rFonts w:ascii="Arial" w:eastAsia="Times New Roman" w:hAnsi="Arial" w:cs="Arial"/>
          <w:u w:val="single"/>
        </w:rPr>
      </w:pPr>
      <w:bookmarkStart w:id="0" w:name="_Hlk173077469"/>
    </w:p>
    <w:p w14:paraId="69731957" w14:textId="77777777" w:rsidR="005414F1" w:rsidRPr="0085657D" w:rsidRDefault="005414F1" w:rsidP="005414F1">
      <w:pPr>
        <w:widowControl w:val="0"/>
        <w:autoSpaceDE w:val="0"/>
        <w:autoSpaceDN w:val="0"/>
        <w:adjustRightInd w:val="0"/>
        <w:spacing w:after="0"/>
        <w:jc w:val="center"/>
        <w:rPr>
          <w:rFonts w:ascii="Arial" w:eastAsia="Times New Roman" w:hAnsi="Arial" w:cs="Arial"/>
          <w:u w:val="single"/>
        </w:rPr>
      </w:pPr>
      <w:r w:rsidRPr="0085657D">
        <w:rPr>
          <w:rFonts w:ascii="Arial" w:hAnsi="Arial" w:cs="Arial"/>
          <w:noProof/>
          <w:lang w:val="en-US"/>
        </w:rPr>
        <w:drawing>
          <wp:inline distT="0" distB="0" distL="0" distR="0" wp14:anchorId="1A6598DA" wp14:editId="46A5B1B8">
            <wp:extent cx="904875" cy="1019175"/>
            <wp:effectExtent l="0" t="0" r="9525" b="9525"/>
            <wp:docPr id="5" name="Picture 5"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7FA002B5" w14:textId="77777777" w:rsidR="005414F1" w:rsidRPr="0085657D" w:rsidRDefault="005414F1" w:rsidP="005414F1">
      <w:pPr>
        <w:widowControl w:val="0"/>
        <w:autoSpaceDE w:val="0"/>
        <w:autoSpaceDN w:val="0"/>
        <w:adjustRightInd w:val="0"/>
        <w:spacing w:before="79" w:after="0"/>
        <w:ind w:left="1418" w:right="1847"/>
        <w:jc w:val="center"/>
        <w:rPr>
          <w:rFonts w:ascii="Arial" w:eastAsia="Times New Roman" w:hAnsi="Arial" w:cs="Arial"/>
        </w:rPr>
      </w:pPr>
      <w:r w:rsidRPr="0085657D">
        <w:rPr>
          <w:rFonts w:ascii="Arial" w:eastAsia="Times New Roman" w:hAnsi="Arial" w:cs="Arial"/>
          <w:spacing w:val="-1"/>
        </w:rPr>
        <w:t xml:space="preserve">      V</w:t>
      </w:r>
      <w:r w:rsidRPr="0085657D">
        <w:rPr>
          <w:rFonts w:ascii="Arial" w:eastAsia="Times New Roman" w:hAnsi="Arial" w:cs="Arial"/>
          <w:spacing w:val="1"/>
        </w:rPr>
        <w:t>l</w:t>
      </w:r>
      <w:r w:rsidRPr="0085657D">
        <w:rPr>
          <w:rFonts w:ascii="Arial" w:eastAsia="Times New Roman" w:hAnsi="Arial" w:cs="Arial"/>
        </w:rPr>
        <w:t>a</w:t>
      </w:r>
      <w:r w:rsidRPr="0085657D">
        <w:rPr>
          <w:rFonts w:ascii="Arial" w:eastAsia="Times New Roman" w:hAnsi="Arial" w:cs="Arial"/>
          <w:spacing w:val="1"/>
        </w:rPr>
        <w:t>d</w:t>
      </w:r>
      <w:r w:rsidRPr="0085657D">
        <w:rPr>
          <w:rFonts w:ascii="Arial" w:eastAsia="Times New Roman" w:hAnsi="Arial" w:cs="Arial"/>
        </w:rPr>
        <w:t xml:space="preserve">a </w:t>
      </w:r>
      <w:r w:rsidRPr="0085657D">
        <w:rPr>
          <w:rFonts w:ascii="Arial" w:eastAsia="Times New Roman" w:hAnsi="Arial" w:cs="Arial"/>
          <w:spacing w:val="-3"/>
        </w:rPr>
        <w:t>C</w:t>
      </w:r>
      <w:r w:rsidRPr="0085657D">
        <w:rPr>
          <w:rFonts w:ascii="Arial" w:eastAsia="Times New Roman" w:hAnsi="Arial" w:cs="Arial"/>
        </w:rPr>
        <w:t>r</w:t>
      </w:r>
      <w:r w:rsidRPr="0085657D">
        <w:rPr>
          <w:rFonts w:ascii="Arial" w:eastAsia="Times New Roman" w:hAnsi="Arial" w:cs="Arial"/>
          <w:spacing w:val="1"/>
        </w:rPr>
        <w:t>n</w:t>
      </w:r>
      <w:r w:rsidRPr="0085657D">
        <w:rPr>
          <w:rFonts w:ascii="Arial" w:eastAsia="Times New Roman" w:hAnsi="Arial" w:cs="Arial"/>
        </w:rPr>
        <w:t xml:space="preserve">e </w:t>
      </w:r>
      <w:r w:rsidRPr="0085657D">
        <w:rPr>
          <w:rFonts w:ascii="Arial" w:eastAsia="Times New Roman" w:hAnsi="Arial" w:cs="Arial"/>
          <w:spacing w:val="-4"/>
        </w:rPr>
        <w:t>G</w:t>
      </w:r>
      <w:r w:rsidRPr="0085657D">
        <w:rPr>
          <w:rFonts w:ascii="Arial" w:eastAsia="Times New Roman" w:hAnsi="Arial" w:cs="Arial"/>
          <w:spacing w:val="1"/>
        </w:rPr>
        <w:t>o</w:t>
      </w:r>
      <w:r w:rsidRPr="0085657D">
        <w:rPr>
          <w:rFonts w:ascii="Arial" w:eastAsia="Times New Roman" w:hAnsi="Arial" w:cs="Arial"/>
        </w:rPr>
        <w:t>re</w:t>
      </w:r>
    </w:p>
    <w:p w14:paraId="3894CD5E" w14:textId="77777777" w:rsidR="005414F1" w:rsidRPr="0085657D" w:rsidRDefault="005414F1" w:rsidP="005414F1">
      <w:pPr>
        <w:widowControl w:val="0"/>
        <w:autoSpaceDE w:val="0"/>
        <w:autoSpaceDN w:val="0"/>
        <w:adjustRightInd w:val="0"/>
        <w:spacing w:before="9" w:after="0" w:line="240" w:lineRule="exact"/>
        <w:ind w:left="1418" w:right="1847"/>
        <w:jc w:val="center"/>
        <w:rPr>
          <w:rFonts w:ascii="Arial" w:eastAsia="Times New Roman" w:hAnsi="Arial" w:cs="Arial"/>
        </w:rPr>
      </w:pPr>
    </w:p>
    <w:p w14:paraId="3F97737A" w14:textId="77777777" w:rsidR="005414F1" w:rsidRPr="0085657D" w:rsidRDefault="005414F1" w:rsidP="005414F1">
      <w:pPr>
        <w:widowControl w:val="0"/>
        <w:autoSpaceDE w:val="0"/>
        <w:autoSpaceDN w:val="0"/>
        <w:adjustRightInd w:val="0"/>
        <w:spacing w:after="0"/>
        <w:ind w:left="1418" w:right="1847"/>
        <w:jc w:val="center"/>
        <w:rPr>
          <w:rFonts w:ascii="Arial" w:eastAsia="Times New Roman" w:hAnsi="Arial" w:cs="Arial"/>
        </w:rPr>
      </w:pPr>
      <w:bookmarkStart w:id="1" w:name="_Hlk131419382"/>
      <w:r w:rsidRPr="0085657D">
        <w:rPr>
          <w:rFonts w:ascii="Arial" w:eastAsia="Times New Roman" w:hAnsi="Arial" w:cs="Arial"/>
        </w:rPr>
        <w:t xml:space="preserve">     Ministarstvo pravde </w:t>
      </w:r>
    </w:p>
    <w:p w14:paraId="3035F17A" w14:textId="77777777" w:rsidR="005414F1" w:rsidRPr="0085657D" w:rsidRDefault="005414F1" w:rsidP="005414F1">
      <w:pPr>
        <w:widowControl w:val="0"/>
        <w:autoSpaceDE w:val="0"/>
        <w:autoSpaceDN w:val="0"/>
        <w:adjustRightInd w:val="0"/>
        <w:spacing w:before="7" w:after="0" w:line="240" w:lineRule="exact"/>
        <w:ind w:left="1701" w:right="1847"/>
        <w:jc w:val="center"/>
        <w:rPr>
          <w:rFonts w:ascii="Arial" w:eastAsia="Times New Roman" w:hAnsi="Arial" w:cs="Arial"/>
        </w:rPr>
      </w:pPr>
    </w:p>
    <w:p w14:paraId="207DAD37" w14:textId="77777777" w:rsidR="005414F1" w:rsidRPr="0085657D" w:rsidRDefault="005414F1" w:rsidP="005414F1">
      <w:pPr>
        <w:widowControl w:val="0"/>
        <w:autoSpaceDE w:val="0"/>
        <w:autoSpaceDN w:val="0"/>
        <w:adjustRightInd w:val="0"/>
        <w:spacing w:after="0" w:line="316" w:lineRule="exact"/>
        <w:ind w:left="1701" w:right="1847"/>
        <w:jc w:val="center"/>
        <w:rPr>
          <w:rFonts w:ascii="Arial" w:eastAsia="Times New Roman" w:hAnsi="Arial" w:cs="Arial"/>
        </w:rPr>
      </w:pPr>
    </w:p>
    <w:bookmarkEnd w:id="1"/>
    <w:p w14:paraId="106ACCEF" w14:textId="77777777" w:rsidR="005414F1" w:rsidRPr="0085657D" w:rsidRDefault="005414F1" w:rsidP="005414F1">
      <w:pPr>
        <w:widowControl w:val="0"/>
        <w:autoSpaceDE w:val="0"/>
        <w:autoSpaceDN w:val="0"/>
        <w:adjustRightInd w:val="0"/>
        <w:spacing w:after="0"/>
        <w:rPr>
          <w:rFonts w:ascii="Arial" w:eastAsia="Times New Roman" w:hAnsi="Arial" w:cs="Arial"/>
        </w:rPr>
      </w:pPr>
    </w:p>
    <w:p w14:paraId="6C4497E8" w14:textId="77777777" w:rsidR="005414F1" w:rsidRPr="0085657D" w:rsidRDefault="005414F1" w:rsidP="005414F1">
      <w:pPr>
        <w:widowControl w:val="0"/>
        <w:autoSpaceDE w:val="0"/>
        <w:autoSpaceDN w:val="0"/>
        <w:adjustRightInd w:val="0"/>
        <w:spacing w:after="0"/>
        <w:jc w:val="center"/>
        <w:rPr>
          <w:rFonts w:ascii="Arial" w:eastAsia="Times New Roman" w:hAnsi="Arial" w:cs="Arial"/>
        </w:rPr>
      </w:pPr>
    </w:p>
    <w:p w14:paraId="1E848A22" w14:textId="77777777" w:rsidR="005414F1" w:rsidRPr="0085657D" w:rsidRDefault="005414F1" w:rsidP="005414F1">
      <w:pPr>
        <w:widowControl w:val="0"/>
        <w:autoSpaceDE w:val="0"/>
        <w:autoSpaceDN w:val="0"/>
        <w:adjustRightInd w:val="0"/>
        <w:spacing w:after="0"/>
        <w:jc w:val="center"/>
        <w:rPr>
          <w:rFonts w:ascii="Arial" w:eastAsia="Times New Roman" w:hAnsi="Arial" w:cs="Arial"/>
        </w:rPr>
      </w:pPr>
    </w:p>
    <w:p w14:paraId="5DB3EEBA" w14:textId="3F0DF8FE" w:rsidR="005414F1" w:rsidRPr="0085657D" w:rsidRDefault="00EB58E7" w:rsidP="005414F1">
      <w:pPr>
        <w:widowControl w:val="0"/>
        <w:autoSpaceDE w:val="0"/>
        <w:autoSpaceDN w:val="0"/>
        <w:adjustRightInd w:val="0"/>
        <w:spacing w:before="13" w:after="0" w:line="275" w:lineRule="auto"/>
        <w:ind w:left="72" w:right="693" w:hanging="3"/>
        <w:jc w:val="center"/>
        <w:rPr>
          <w:rFonts w:ascii="Arial" w:eastAsia="Times New Roman" w:hAnsi="Arial" w:cs="Arial"/>
        </w:rPr>
      </w:pPr>
      <w:bookmarkStart w:id="2" w:name="_Hlk132980275"/>
      <w:r w:rsidRPr="0085657D">
        <w:rPr>
          <w:rFonts w:ascii="Arial" w:hAnsi="Arial" w:cs="Arial"/>
          <w:b/>
          <w:bCs/>
        </w:rPr>
        <w:t>STRATEGIJ</w:t>
      </w:r>
      <w:r w:rsidR="006517CB" w:rsidRPr="0085657D">
        <w:rPr>
          <w:rFonts w:ascii="Arial" w:hAnsi="Arial" w:cs="Arial"/>
          <w:b/>
          <w:bCs/>
        </w:rPr>
        <w:t>A</w:t>
      </w:r>
      <w:r w:rsidRPr="0085657D">
        <w:rPr>
          <w:rFonts w:ascii="Arial" w:hAnsi="Arial" w:cs="Arial"/>
          <w:b/>
          <w:bCs/>
        </w:rPr>
        <w:t xml:space="preserve"> ZA</w:t>
      </w:r>
      <w:r w:rsidR="003F04BF" w:rsidRPr="0085657D">
        <w:rPr>
          <w:rFonts w:ascii="Arial" w:hAnsi="Arial" w:cs="Arial"/>
          <w:b/>
          <w:bCs/>
        </w:rPr>
        <w:t>ŠTITE</w:t>
      </w:r>
      <w:r w:rsidRPr="0085657D">
        <w:rPr>
          <w:rFonts w:ascii="Arial" w:hAnsi="Arial" w:cs="Arial"/>
          <w:b/>
          <w:bCs/>
        </w:rPr>
        <w:t xml:space="preserve"> PRAVA ŽRTAVA </w:t>
      </w:r>
      <w:r w:rsidR="005414F1" w:rsidRPr="0085657D">
        <w:rPr>
          <w:rFonts w:ascii="Arial" w:eastAsia="Times New Roman" w:hAnsi="Arial" w:cs="Arial"/>
          <w:b/>
          <w:bCs/>
        </w:rPr>
        <w:t>202</w:t>
      </w:r>
      <w:r w:rsidRPr="0085657D">
        <w:rPr>
          <w:rFonts w:ascii="Arial" w:eastAsia="Times New Roman" w:hAnsi="Arial" w:cs="Arial"/>
          <w:b/>
          <w:bCs/>
        </w:rPr>
        <w:t>5</w:t>
      </w:r>
      <w:r w:rsidR="005414F1" w:rsidRPr="0085657D">
        <w:rPr>
          <w:rFonts w:ascii="Arial" w:eastAsia="Times New Roman" w:hAnsi="Arial" w:cs="Arial"/>
          <w:b/>
          <w:bCs/>
        </w:rPr>
        <w:t>-202</w:t>
      </w:r>
      <w:r w:rsidR="00B34D20">
        <w:rPr>
          <w:rFonts w:ascii="Arial" w:eastAsia="Times New Roman" w:hAnsi="Arial" w:cs="Arial"/>
          <w:b/>
          <w:bCs/>
        </w:rPr>
        <w:t>9</w:t>
      </w:r>
      <w:r w:rsidR="005414F1" w:rsidRPr="0085657D">
        <w:rPr>
          <w:rFonts w:ascii="Arial" w:eastAsia="Times New Roman" w:hAnsi="Arial" w:cs="Arial"/>
          <w:b/>
          <w:bCs/>
        </w:rPr>
        <w:t>.</w:t>
      </w:r>
    </w:p>
    <w:bookmarkEnd w:id="2"/>
    <w:p w14:paraId="5ADA2E22" w14:textId="77777777" w:rsidR="005414F1" w:rsidRPr="0085657D" w:rsidRDefault="005414F1" w:rsidP="005414F1">
      <w:pPr>
        <w:widowControl w:val="0"/>
        <w:autoSpaceDE w:val="0"/>
        <w:autoSpaceDN w:val="0"/>
        <w:adjustRightInd w:val="0"/>
        <w:spacing w:before="8" w:after="0" w:line="190" w:lineRule="exact"/>
        <w:jc w:val="center"/>
        <w:rPr>
          <w:rFonts w:ascii="Arial" w:eastAsia="Times New Roman" w:hAnsi="Arial" w:cs="Arial"/>
        </w:rPr>
      </w:pPr>
    </w:p>
    <w:p w14:paraId="7F28C303" w14:textId="77777777" w:rsidR="005414F1" w:rsidRPr="0085657D" w:rsidRDefault="005414F1" w:rsidP="005414F1">
      <w:pPr>
        <w:widowControl w:val="0"/>
        <w:autoSpaceDE w:val="0"/>
        <w:autoSpaceDN w:val="0"/>
        <w:adjustRightInd w:val="0"/>
        <w:spacing w:after="0" w:line="200" w:lineRule="exact"/>
        <w:jc w:val="center"/>
        <w:rPr>
          <w:rFonts w:ascii="Arial" w:eastAsia="Times New Roman" w:hAnsi="Arial" w:cs="Arial"/>
        </w:rPr>
      </w:pPr>
    </w:p>
    <w:p w14:paraId="59CE432C"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58F3DD34" w14:textId="77777777" w:rsidR="005414F1" w:rsidRPr="0085657D" w:rsidRDefault="005414F1" w:rsidP="005414F1">
      <w:pPr>
        <w:jc w:val="center"/>
        <w:rPr>
          <w:rFonts w:ascii="Arial" w:hAnsi="Arial" w:cs="Arial"/>
        </w:rPr>
      </w:pPr>
      <w:r w:rsidRPr="0085657D">
        <w:rPr>
          <w:rFonts w:ascii="Arial" w:hAnsi="Arial" w:cs="Arial"/>
        </w:rPr>
        <w:t>-</w:t>
      </w:r>
      <w:r w:rsidR="003F04BF" w:rsidRPr="0085657D">
        <w:rPr>
          <w:rFonts w:ascii="Arial" w:hAnsi="Arial" w:cs="Arial"/>
        </w:rPr>
        <w:t>radni tekst</w:t>
      </w:r>
      <w:r w:rsidRPr="0085657D">
        <w:rPr>
          <w:rFonts w:ascii="Arial" w:hAnsi="Arial" w:cs="Arial"/>
        </w:rPr>
        <w:t>-</w:t>
      </w:r>
    </w:p>
    <w:p w14:paraId="1E79F526"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47BE83CD"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72D336DF"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2BECFC54"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3D98EAF9"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2E7B1EBC"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4456E8B0" w14:textId="77777777" w:rsidR="005414F1" w:rsidRPr="0085657D" w:rsidRDefault="005414F1" w:rsidP="005414F1">
      <w:pPr>
        <w:widowControl w:val="0"/>
        <w:autoSpaceDE w:val="0"/>
        <w:autoSpaceDN w:val="0"/>
        <w:adjustRightInd w:val="0"/>
        <w:spacing w:after="0" w:line="200" w:lineRule="exact"/>
        <w:jc w:val="center"/>
        <w:rPr>
          <w:rFonts w:ascii="Arial" w:eastAsia="Times New Roman" w:hAnsi="Arial" w:cs="Arial"/>
        </w:rPr>
      </w:pPr>
    </w:p>
    <w:p w14:paraId="55299256"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36DFC462" w14:textId="77777777" w:rsidR="005414F1" w:rsidRPr="0085657D" w:rsidRDefault="005414F1" w:rsidP="005414F1">
      <w:pPr>
        <w:widowControl w:val="0"/>
        <w:autoSpaceDE w:val="0"/>
        <w:autoSpaceDN w:val="0"/>
        <w:adjustRightInd w:val="0"/>
        <w:spacing w:before="8" w:after="0" w:line="220" w:lineRule="exact"/>
        <w:rPr>
          <w:rFonts w:ascii="Arial" w:eastAsia="Times New Roman" w:hAnsi="Arial" w:cs="Arial"/>
        </w:rPr>
      </w:pPr>
    </w:p>
    <w:p w14:paraId="417DC6F5" w14:textId="77777777" w:rsidR="005414F1" w:rsidRPr="0085657D" w:rsidRDefault="005414F1" w:rsidP="005414F1">
      <w:pPr>
        <w:spacing w:line="360" w:lineRule="auto"/>
        <w:jc w:val="center"/>
        <w:rPr>
          <w:rFonts w:ascii="Arial" w:hAnsi="Arial" w:cs="Arial"/>
          <w:b/>
        </w:rPr>
      </w:pPr>
    </w:p>
    <w:p w14:paraId="1146794D" w14:textId="77777777" w:rsidR="005414F1" w:rsidRPr="0085657D" w:rsidRDefault="005414F1" w:rsidP="005414F1">
      <w:pPr>
        <w:rPr>
          <w:rFonts w:ascii="Arial" w:hAnsi="Arial" w:cs="Arial"/>
        </w:rPr>
      </w:pPr>
    </w:p>
    <w:p w14:paraId="57A83FB6" w14:textId="77777777" w:rsidR="005414F1" w:rsidRPr="0085657D" w:rsidRDefault="005414F1" w:rsidP="005414F1">
      <w:pPr>
        <w:rPr>
          <w:rFonts w:ascii="Arial" w:hAnsi="Arial" w:cs="Arial"/>
        </w:rPr>
      </w:pPr>
    </w:p>
    <w:p w14:paraId="6CA1008E" w14:textId="77777777" w:rsidR="005414F1" w:rsidRPr="0085657D" w:rsidRDefault="005414F1" w:rsidP="005414F1">
      <w:pPr>
        <w:rPr>
          <w:rFonts w:ascii="Arial" w:hAnsi="Arial" w:cs="Arial"/>
        </w:rPr>
      </w:pPr>
    </w:p>
    <w:p w14:paraId="779F46D0" w14:textId="77777777" w:rsidR="005414F1" w:rsidRPr="0085657D" w:rsidRDefault="005414F1" w:rsidP="005414F1">
      <w:pPr>
        <w:rPr>
          <w:rFonts w:ascii="Arial" w:hAnsi="Arial" w:cs="Arial"/>
        </w:rPr>
      </w:pPr>
    </w:p>
    <w:p w14:paraId="346C83E3" w14:textId="77777777" w:rsidR="005414F1" w:rsidRPr="0085657D" w:rsidRDefault="005414F1" w:rsidP="005414F1">
      <w:pPr>
        <w:rPr>
          <w:rFonts w:ascii="Arial" w:hAnsi="Arial" w:cs="Arial"/>
        </w:rPr>
      </w:pPr>
    </w:p>
    <w:p w14:paraId="420C6BB7" w14:textId="77777777" w:rsidR="005414F1" w:rsidRPr="0085657D" w:rsidRDefault="005414F1" w:rsidP="005414F1">
      <w:pPr>
        <w:rPr>
          <w:rFonts w:ascii="Arial" w:hAnsi="Arial" w:cs="Arial"/>
        </w:rPr>
      </w:pPr>
    </w:p>
    <w:p w14:paraId="718D138F" w14:textId="77777777" w:rsidR="005414F1" w:rsidRPr="0085657D" w:rsidRDefault="005414F1" w:rsidP="005414F1">
      <w:pPr>
        <w:rPr>
          <w:rFonts w:ascii="Arial" w:hAnsi="Arial" w:cs="Arial"/>
        </w:rPr>
      </w:pPr>
    </w:p>
    <w:p w14:paraId="4C344B1C" w14:textId="5330CD1D" w:rsidR="005414F1" w:rsidRPr="0085657D" w:rsidRDefault="005414F1" w:rsidP="005414F1">
      <w:pPr>
        <w:jc w:val="center"/>
        <w:rPr>
          <w:rFonts w:ascii="Arial" w:hAnsi="Arial" w:cs="Arial"/>
        </w:rPr>
      </w:pPr>
      <w:r w:rsidRPr="0085657D">
        <w:rPr>
          <w:rFonts w:ascii="Arial" w:hAnsi="Arial" w:cs="Arial"/>
        </w:rPr>
        <w:t>Podgorica, 202</w:t>
      </w:r>
      <w:r w:rsidR="007D712E" w:rsidRPr="0085657D">
        <w:rPr>
          <w:rFonts w:ascii="Arial" w:hAnsi="Arial" w:cs="Arial"/>
        </w:rPr>
        <w:t>5</w:t>
      </w:r>
      <w:r w:rsidR="009A3B4F">
        <w:rPr>
          <w:rFonts w:ascii="Arial" w:hAnsi="Arial" w:cs="Arial"/>
        </w:rPr>
        <w:t>. godine</w:t>
      </w:r>
    </w:p>
    <w:p w14:paraId="0D325C3F" w14:textId="77777777" w:rsidR="005414F1" w:rsidRPr="0085657D" w:rsidRDefault="005414F1" w:rsidP="005414F1">
      <w:pPr>
        <w:tabs>
          <w:tab w:val="left" w:pos="4092"/>
        </w:tabs>
        <w:rPr>
          <w:rFonts w:ascii="Arial" w:hAnsi="Arial" w:cs="Arial"/>
        </w:rPr>
      </w:pPr>
    </w:p>
    <w:p w14:paraId="6009A604" w14:textId="195474EA" w:rsidR="005414F1" w:rsidRDefault="005414F1" w:rsidP="005414F1">
      <w:pPr>
        <w:tabs>
          <w:tab w:val="left" w:pos="4092"/>
        </w:tabs>
        <w:rPr>
          <w:rFonts w:ascii="Arial" w:hAnsi="Arial" w:cs="Arial"/>
        </w:rPr>
      </w:pPr>
    </w:p>
    <w:p w14:paraId="5815E376" w14:textId="77777777" w:rsidR="007F1119" w:rsidRPr="0085657D" w:rsidRDefault="007F1119" w:rsidP="005414F1">
      <w:pPr>
        <w:tabs>
          <w:tab w:val="left" w:pos="4092"/>
        </w:tabs>
        <w:rPr>
          <w:rFonts w:ascii="Arial" w:hAnsi="Arial" w:cs="Arial"/>
        </w:rPr>
      </w:pPr>
    </w:p>
    <w:p w14:paraId="6D32CC14" w14:textId="77777777" w:rsidR="005414F1" w:rsidRPr="0085657D" w:rsidRDefault="005414F1" w:rsidP="005414F1">
      <w:pPr>
        <w:tabs>
          <w:tab w:val="left" w:pos="4092"/>
        </w:tabs>
        <w:rPr>
          <w:rFonts w:ascii="Arial" w:hAnsi="Arial" w:cs="Arial"/>
        </w:rPr>
      </w:pPr>
    </w:p>
    <w:sdt>
      <w:sdtPr>
        <w:rPr>
          <w:rFonts w:ascii="Arial" w:eastAsiaTheme="minorHAnsi" w:hAnsi="Arial" w:cs="Arial"/>
          <w:color w:val="auto"/>
          <w:sz w:val="22"/>
          <w:szCs w:val="22"/>
        </w:rPr>
        <w:id w:val="-2131001236"/>
        <w:docPartObj>
          <w:docPartGallery w:val="Table of Contents"/>
          <w:docPartUnique/>
        </w:docPartObj>
      </w:sdtPr>
      <w:sdtEndPr>
        <w:rPr>
          <w:b/>
          <w:bCs/>
        </w:rPr>
      </w:sdtEndPr>
      <w:sdtContent>
        <w:p w14:paraId="50CC194B" w14:textId="77777777" w:rsidR="005414F1" w:rsidRPr="0085657D" w:rsidRDefault="005414F1" w:rsidP="005414F1">
          <w:pPr>
            <w:pStyle w:val="TOCHeading"/>
            <w:rPr>
              <w:rFonts w:ascii="Arial" w:hAnsi="Arial" w:cs="Arial"/>
              <w:sz w:val="22"/>
              <w:szCs w:val="22"/>
            </w:rPr>
          </w:pPr>
          <w:r w:rsidRPr="0085657D">
            <w:rPr>
              <w:rFonts w:ascii="Arial" w:hAnsi="Arial" w:cs="Arial"/>
              <w:sz w:val="22"/>
              <w:szCs w:val="22"/>
            </w:rPr>
            <w:t>Sadržaj</w:t>
          </w:r>
        </w:p>
        <w:p w14:paraId="62DBC2EE" w14:textId="71AC9F24" w:rsidR="0079465C" w:rsidRDefault="005414F1">
          <w:pPr>
            <w:pStyle w:val="TOC1"/>
            <w:rPr>
              <w:rFonts w:eastAsiaTheme="minorEastAsia"/>
              <w:noProof/>
              <w:lang w:val="en-US"/>
            </w:rPr>
          </w:pPr>
          <w:r w:rsidRPr="0085657D">
            <w:rPr>
              <w:rFonts w:ascii="Arial" w:hAnsi="Arial" w:cs="Arial"/>
            </w:rPr>
            <w:fldChar w:fldCharType="begin"/>
          </w:r>
          <w:r w:rsidRPr="0085657D">
            <w:rPr>
              <w:rFonts w:ascii="Arial" w:hAnsi="Arial" w:cs="Arial"/>
            </w:rPr>
            <w:instrText xml:space="preserve"> TOC \o "1-3" \h \z \u </w:instrText>
          </w:r>
          <w:r w:rsidRPr="0085657D">
            <w:rPr>
              <w:rFonts w:ascii="Arial" w:hAnsi="Arial" w:cs="Arial"/>
            </w:rPr>
            <w:fldChar w:fldCharType="separate"/>
          </w:r>
          <w:hyperlink w:anchor="_Toc208489165" w:history="1">
            <w:r w:rsidR="0079465C" w:rsidRPr="009407C6">
              <w:rPr>
                <w:rStyle w:val="Hyperlink"/>
                <w:rFonts w:ascii="Arial" w:hAnsi="Arial" w:cs="Arial"/>
                <w:noProof/>
              </w:rPr>
              <w:t>Legenda</w:t>
            </w:r>
            <w:r w:rsidR="0079465C">
              <w:rPr>
                <w:noProof/>
                <w:webHidden/>
              </w:rPr>
              <w:tab/>
            </w:r>
            <w:r w:rsidR="0079465C">
              <w:rPr>
                <w:noProof/>
                <w:webHidden/>
              </w:rPr>
              <w:fldChar w:fldCharType="begin"/>
            </w:r>
            <w:r w:rsidR="0079465C">
              <w:rPr>
                <w:noProof/>
                <w:webHidden/>
              </w:rPr>
              <w:instrText xml:space="preserve"> PAGEREF _Toc208489165 \h </w:instrText>
            </w:r>
            <w:r w:rsidR="0079465C">
              <w:rPr>
                <w:noProof/>
                <w:webHidden/>
              </w:rPr>
            </w:r>
            <w:r w:rsidR="0079465C">
              <w:rPr>
                <w:noProof/>
                <w:webHidden/>
              </w:rPr>
              <w:fldChar w:fldCharType="separate"/>
            </w:r>
            <w:r w:rsidR="0079465C">
              <w:rPr>
                <w:noProof/>
                <w:webHidden/>
              </w:rPr>
              <w:t>4</w:t>
            </w:r>
            <w:r w:rsidR="0079465C">
              <w:rPr>
                <w:noProof/>
                <w:webHidden/>
              </w:rPr>
              <w:fldChar w:fldCharType="end"/>
            </w:r>
          </w:hyperlink>
        </w:p>
        <w:p w14:paraId="23D20366" w14:textId="3AFAFBDC" w:rsidR="0079465C" w:rsidRDefault="00273C53">
          <w:pPr>
            <w:pStyle w:val="TOC1"/>
            <w:rPr>
              <w:rFonts w:eastAsiaTheme="minorEastAsia"/>
              <w:noProof/>
              <w:lang w:val="en-US"/>
            </w:rPr>
          </w:pPr>
          <w:hyperlink w:anchor="_Toc208489166" w:history="1">
            <w:r w:rsidR="0079465C" w:rsidRPr="009407C6">
              <w:rPr>
                <w:rStyle w:val="Hyperlink"/>
                <w:rFonts w:ascii="Arial" w:hAnsi="Arial" w:cs="Arial"/>
                <w:noProof/>
              </w:rPr>
              <w:t>1.</w:t>
            </w:r>
            <w:r w:rsidR="0079465C">
              <w:rPr>
                <w:rFonts w:eastAsiaTheme="minorEastAsia"/>
                <w:noProof/>
                <w:lang w:val="en-US"/>
              </w:rPr>
              <w:tab/>
            </w:r>
            <w:r w:rsidR="0079465C" w:rsidRPr="009407C6">
              <w:rPr>
                <w:rStyle w:val="Hyperlink"/>
                <w:rFonts w:ascii="Arial" w:hAnsi="Arial" w:cs="Arial"/>
                <w:noProof/>
              </w:rPr>
              <w:t>UVOD</w:t>
            </w:r>
            <w:r w:rsidR="0079465C">
              <w:rPr>
                <w:noProof/>
                <w:webHidden/>
              </w:rPr>
              <w:tab/>
            </w:r>
            <w:r w:rsidR="0079465C">
              <w:rPr>
                <w:noProof/>
                <w:webHidden/>
              </w:rPr>
              <w:fldChar w:fldCharType="begin"/>
            </w:r>
            <w:r w:rsidR="0079465C">
              <w:rPr>
                <w:noProof/>
                <w:webHidden/>
              </w:rPr>
              <w:instrText xml:space="preserve"> PAGEREF _Toc208489166 \h </w:instrText>
            </w:r>
            <w:r w:rsidR="0079465C">
              <w:rPr>
                <w:noProof/>
                <w:webHidden/>
              </w:rPr>
            </w:r>
            <w:r w:rsidR="0079465C">
              <w:rPr>
                <w:noProof/>
                <w:webHidden/>
              </w:rPr>
              <w:fldChar w:fldCharType="separate"/>
            </w:r>
            <w:r w:rsidR="0079465C">
              <w:rPr>
                <w:noProof/>
                <w:webHidden/>
              </w:rPr>
              <w:t>6</w:t>
            </w:r>
            <w:r w:rsidR="0079465C">
              <w:rPr>
                <w:noProof/>
                <w:webHidden/>
              </w:rPr>
              <w:fldChar w:fldCharType="end"/>
            </w:r>
          </w:hyperlink>
        </w:p>
        <w:p w14:paraId="4AD918DA" w14:textId="26D92492" w:rsidR="0079465C" w:rsidRDefault="00273C53">
          <w:pPr>
            <w:pStyle w:val="TOC2"/>
            <w:rPr>
              <w:rFonts w:eastAsiaTheme="minorEastAsia"/>
              <w:noProof/>
              <w:lang w:val="en-US"/>
            </w:rPr>
          </w:pPr>
          <w:hyperlink w:anchor="_Toc208489167" w:history="1">
            <w:r w:rsidR="0079465C" w:rsidRPr="009407C6">
              <w:rPr>
                <w:rStyle w:val="Hyperlink"/>
                <w:rFonts w:ascii="Arial" w:hAnsi="Arial" w:cs="Arial"/>
                <w:noProof/>
              </w:rPr>
              <w:t>1.1.</w:t>
            </w:r>
            <w:r w:rsidR="0079465C">
              <w:rPr>
                <w:rFonts w:eastAsiaTheme="minorEastAsia"/>
                <w:noProof/>
                <w:lang w:val="en-US"/>
              </w:rPr>
              <w:tab/>
            </w:r>
            <w:r w:rsidR="0079465C" w:rsidRPr="009407C6">
              <w:rPr>
                <w:rStyle w:val="Hyperlink"/>
                <w:rFonts w:ascii="Arial" w:hAnsi="Arial" w:cs="Arial"/>
                <w:noProof/>
              </w:rPr>
              <w:t>Svrha donošenja Strategije zašt</w:t>
            </w:r>
            <w:r w:rsidR="00BD1FAA">
              <w:rPr>
                <w:rStyle w:val="Hyperlink"/>
                <w:rFonts w:ascii="Arial" w:hAnsi="Arial" w:cs="Arial"/>
                <w:noProof/>
              </w:rPr>
              <w:t>ite prava žrtava</w:t>
            </w:r>
            <w:r w:rsidR="0079465C" w:rsidRPr="009407C6">
              <w:rPr>
                <w:rStyle w:val="Hyperlink"/>
                <w:rFonts w:ascii="Arial" w:hAnsi="Arial" w:cs="Arial"/>
                <w:noProof/>
              </w:rPr>
              <w:t xml:space="preserve"> 2025-2029.</w:t>
            </w:r>
            <w:r w:rsidR="0079465C">
              <w:rPr>
                <w:noProof/>
                <w:webHidden/>
              </w:rPr>
              <w:tab/>
            </w:r>
            <w:r w:rsidR="0079465C">
              <w:rPr>
                <w:noProof/>
                <w:webHidden/>
              </w:rPr>
              <w:fldChar w:fldCharType="begin"/>
            </w:r>
            <w:r w:rsidR="0079465C">
              <w:rPr>
                <w:noProof/>
                <w:webHidden/>
              </w:rPr>
              <w:instrText xml:space="preserve"> PAGEREF _Toc208489167 \h </w:instrText>
            </w:r>
            <w:r w:rsidR="0079465C">
              <w:rPr>
                <w:noProof/>
                <w:webHidden/>
              </w:rPr>
            </w:r>
            <w:r w:rsidR="0079465C">
              <w:rPr>
                <w:noProof/>
                <w:webHidden/>
              </w:rPr>
              <w:fldChar w:fldCharType="separate"/>
            </w:r>
            <w:r w:rsidR="0079465C">
              <w:rPr>
                <w:noProof/>
                <w:webHidden/>
              </w:rPr>
              <w:t>6</w:t>
            </w:r>
            <w:r w:rsidR="0079465C">
              <w:rPr>
                <w:noProof/>
                <w:webHidden/>
              </w:rPr>
              <w:fldChar w:fldCharType="end"/>
            </w:r>
          </w:hyperlink>
        </w:p>
        <w:p w14:paraId="059B30E6" w14:textId="65590645" w:rsidR="0079465C" w:rsidRDefault="00273C53">
          <w:pPr>
            <w:pStyle w:val="TOC1"/>
            <w:rPr>
              <w:rFonts w:eastAsiaTheme="minorEastAsia"/>
              <w:noProof/>
              <w:lang w:val="en-US"/>
            </w:rPr>
          </w:pPr>
          <w:hyperlink w:anchor="_Toc208489168" w:history="1">
            <w:r w:rsidR="0079465C" w:rsidRPr="009407C6">
              <w:rPr>
                <w:rStyle w:val="Hyperlink"/>
                <w:rFonts w:ascii="Arial" w:hAnsi="Arial" w:cs="Arial"/>
                <w:noProof/>
              </w:rPr>
              <w:t>2.</w:t>
            </w:r>
            <w:r w:rsidR="0079465C">
              <w:rPr>
                <w:rFonts w:eastAsiaTheme="minorEastAsia"/>
                <w:noProof/>
                <w:lang w:val="en-US"/>
              </w:rPr>
              <w:tab/>
            </w:r>
            <w:r w:rsidR="0079465C" w:rsidRPr="009407C6">
              <w:rPr>
                <w:rStyle w:val="Hyperlink"/>
                <w:rFonts w:ascii="Arial" w:hAnsi="Arial" w:cs="Arial"/>
                <w:noProof/>
              </w:rPr>
              <w:t>Relevantan institucionalni, zakonski i strateški okvir Crne Gore i usklađenost sa međunarodnim obavezama</w:t>
            </w:r>
            <w:r w:rsidR="0079465C">
              <w:rPr>
                <w:noProof/>
                <w:webHidden/>
              </w:rPr>
              <w:tab/>
            </w:r>
            <w:r w:rsidR="0079465C">
              <w:rPr>
                <w:noProof/>
                <w:webHidden/>
              </w:rPr>
              <w:fldChar w:fldCharType="begin"/>
            </w:r>
            <w:r w:rsidR="0079465C">
              <w:rPr>
                <w:noProof/>
                <w:webHidden/>
              </w:rPr>
              <w:instrText xml:space="preserve"> PAGEREF _Toc208489168 \h </w:instrText>
            </w:r>
            <w:r w:rsidR="0079465C">
              <w:rPr>
                <w:noProof/>
                <w:webHidden/>
              </w:rPr>
            </w:r>
            <w:r w:rsidR="0079465C">
              <w:rPr>
                <w:noProof/>
                <w:webHidden/>
              </w:rPr>
              <w:fldChar w:fldCharType="separate"/>
            </w:r>
            <w:r w:rsidR="0079465C">
              <w:rPr>
                <w:noProof/>
                <w:webHidden/>
              </w:rPr>
              <w:t>6</w:t>
            </w:r>
            <w:r w:rsidR="0079465C">
              <w:rPr>
                <w:noProof/>
                <w:webHidden/>
              </w:rPr>
              <w:fldChar w:fldCharType="end"/>
            </w:r>
          </w:hyperlink>
        </w:p>
        <w:p w14:paraId="2DAFA8E5" w14:textId="53882E51" w:rsidR="0079465C" w:rsidRDefault="00273C53">
          <w:pPr>
            <w:pStyle w:val="TOC2"/>
            <w:rPr>
              <w:rFonts w:eastAsiaTheme="minorEastAsia"/>
              <w:noProof/>
              <w:lang w:val="en-US"/>
            </w:rPr>
          </w:pPr>
          <w:hyperlink w:anchor="_Toc208489169" w:history="1">
            <w:r w:rsidR="0079465C" w:rsidRPr="009407C6">
              <w:rPr>
                <w:rStyle w:val="Hyperlink"/>
                <w:rFonts w:ascii="Arial" w:hAnsi="Arial" w:cs="Arial"/>
                <w:noProof/>
              </w:rPr>
              <w:t>2.1.</w:t>
            </w:r>
            <w:r w:rsidR="0079465C">
              <w:rPr>
                <w:rFonts w:eastAsiaTheme="minorEastAsia"/>
                <w:noProof/>
                <w:lang w:val="en-US"/>
              </w:rPr>
              <w:tab/>
            </w:r>
            <w:r w:rsidR="0079465C" w:rsidRPr="009407C6">
              <w:rPr>
                <w:rStyle w:val="Hyperlink"/>
                <w:rFonts w:ascii="Arial" w:hAnsi="Arial" w:cs="Arial"/>
                <w:noProof/>
              </w:rPr>
              <w:t>Institucionalni i normativni okvir</w:t>
            </w:r>
            <w:r w:rsidR="0079465C">
              <w:rPr>
                <w:noProof/>
                <w:webHidden/>
              </w:rPr>
              <w:tab/>
            </w:r>
            <w:r w:rsidR="0079465C">
              <w:rPr>
                <w:noProof/>
                <w:webHidden/>
              </w:rPr>
              <w:fldChar w:fldCharType="begin"/>
            </w:r>
            <w:r w:rsidR="0079465C">
              <w:rPr>
                <w:noProof/>
                <w:webHidden/>
              </w:rPr>
              <w:instrText xml:space="preserve"> PAGEREF _Toc208489169 \h </w:instrText>
            </w:r>
            <w:r w:rsidR="0079465C">
              <w:rPr>
                <w:noProof/>
                <w:webHidden/>
              </w:rPr>
            </w:r>
            <w:r w:rsidR="0079465C">
              <w:rPr>
                <w:noProof/>
                <w:webHidden/>
              </w:rPr>
              <w:fldChar w:fldCharType="separate"/>
            </w:r>
            <w:r w:rsidR="0079465C">
              <w:rPr>
                <w:noProof/>
                <w:webHidden/>
              </w:rPr>
              <w:t>6</w:t>
            </w:r>
            <w:r w:rsidR="0079465C">
              <w:rPr>
                <w:noProof/>
                <w:webHidden/>
              </w:rPr>
              <w:fldChar w:fldCharType="end"/>
            </w:r>
          </w:hyperlink>
        </w:p>
        <w:p w14:paraId="46EF1BA7" w14:textId="16CF36D0" w:rsidR="0079465C" w:rsidRDefault="00273C53">
          <w:pPr>
            <w:pStyle w:val="TOC2"/>
            <w:rPr>
              <w:rFonts w:eastAsiaTheme="minorEastAsia"/>
              <w:noProof/>
              <w:lang w:val="en-US"/>
            </w:rPr>
          </w:pPr>
          <w:hyperlink w:anchor="_Toc208489170" w:history="1">
            <w:r w:rsidR="0079465C" w:rsidRPr="009407C6">
              <w:rPr>
                <w:rStyle w:val="Hyperlink"/>
                <w:rFonts w:ascii="Arial" w:hAnsi="Arial" w:cs="Arial"/>
                <w:noProof/>
              </w:rPr>
              <w:t>2.2.</w:t>
            </w:r>
            <w:r w:rsidR="0079465C">
              <w:rPr>
                <w:rFonts w:eastAsiaTheme="minorEastAsia"/>
                <w:noProof/>
                <w:lang w:val="en-US"/>
              </w:rPr>
              <w:tab/>
            </w:r>
            <w:r w:rsidR="0079465C" w:rsidRPr="009407C6">
              <w:rPr>
                <w:rStyle w:val="Hyperlink"/>
                <w:rFonts w:ascii="Arial" w:hAnsi="Arial" w:cs="Arial"/>
                <w:noProof/>
              </w:rPr>
              <w:t>Strateški okvir</w:t>
            </w:r>
            <w:r w:rsidR="0079465C">
              <w:rPr>
                <w:noProof/>
                <w:webHidden/>
              </w:rPr>
              <w:tab/>
            </w:r>
            <w:r w:rsidR="0079465C">
              <w:rPr>
                <w:noProof/>
                <w:webHidden/>
              </w:rPr>
              <w:fldChar w:fldCharType="begin"/>
            </w:r>
            <w:r w:rsidR="0079465C">
              <w:rPr>
                <w:noProof/>
                <w:webHidden/>
              </w:rPr>
              <w:instrText xml:space="preserve"> PAGEREF _Toc208489170 \h </w:instrText>
            </w:r>
            <w:r w:rsidR="0079465C">
              <w:rPr>
                <w:noProof/>
                <w:webHidden/>
              </w:rPr>
            </w:r>
            <w:r w:rsidR="0079465C">
              <w:rPr>
                <w:noProof/>
                <w:webHidden/>
              </w:rPr>
              <w:fldChar w:fldCharType="separate"/>
            </w:r>
            <w:r w:rsidR="0079465C">
              <w:rPr>
                <w:noProof/>
                <w:webHidden/>
              </w:rPr>
              <w:t>8</w:t>
            </w:r>
            <w:r w:rsidR="0079465C">
              <w:rPr>
                <w:noProof/>
                <w:webHidden/>
              </w:rPr>
              <w:fldChar w:fldCharType="end"/>
            </w:r>
          </w:hyperlink>
        </w:p>
        <w:p w14:paraId="5E04B3ED" w14:textId="65045E24" w:rsidR="0079465C" w:rsidRDefault="00273C53">
          <w:pPr>
            <w:pStyle w:val="TOC2"/>
            <w:rPr>
              <w:rFonts w:eastAsiaTheme="minorEastAsia"/>
              <w:noProof/>
              <w:lang w:val="en-US"/>
            </w:rPr>
          </w:pPr>
          <w:hyperlink w:anchor="_Toc208489171" w:history="1">
            <w:r w:rsidR="0079465C" w:rsidRPr="009407C6">
              <w:rPr>
                <w:rStyle w:val="Hyperlink"/>
                <w:rFonts w:ascii="Arial" w:hAnsi="Arial" w:cs="Arial"/>
                <w:noProof/>
              </w:rPr>
              <w:t>2.3. Usklađenost Strategije sa procesom evropskih integracija</w:t>
            </w:r>
            <w:r w:rsidR="0079465C">
              <w:rPr>
                <w:noProof/>
                <w:webHidden/>
              </w:rPr>
              <w:tab/>
            </w:r>
            <w:r w:rsidR="0079465C">
              <w:rPr>
                <w:noProof/>
                <w:webHidden/>
              </w:rPr>
              <w:fldChar w:fldCharType="begin"/>
            </w:r>
            <w:r w:rsidR="0079465C">
              <w:rPr>
                <w:noProof/>
                <w:webHidden/>
              </w:rPr>
              <w:instrText xml:space="preserve"> PAGEREF _Toc208489171 \h </w:instrText>
            </w:r>
            <w:r w:rsidR="0079465C">
              <w:rPr>
                <w:noProof/>
                <w:webHidden/>
              </w:rPr>
            </w:r>
            <w:r w:rsidR="0079465C">
              <w:rPr>
                <w:noProof/>
                <w:webHidden/>
              </w:rPr>
              <w:fldChar w:fldCharType="separate"/>
            </w:r>
            <w:r w:rsidR="0079465C">
              <w:rPr>
                <w:noProof/>
                <w:webHidden/>
              </w:rPr>
              <w:t>11</w:t>
            </w:r>
            <w:r w:rsidR="0079465C">
              <w:rPr>
                <w:noProof/>
                <w:webHidden/>
              </w:rPr>
              <w:fldChar w:fldCharType="end"/>
            </w:r>
          </w:hyperlink>
        </w:p>
        <w:p w14:paraId="75777844" w14:textId="31C73410" w:rsidR="0079465C" w:rsidRDefault="00273C53">
          <w:pPr>
            <w:pStyle w:val="TOC2"/>
            <w:rPr>
              <w:rFonts w:eastAsiaTheme="minorEastAsia"/>
              <w:noProof/>
              <w:lang w:val="en-US"/>
            </w:rPr>
          </w:pPr>
          <w:hyperlink w:anchor="_Toc208489172" w:history="1">
            <w:r w:rsidR="0079465C" w:rsidRPr="009407C6">
              <w:rPr>
                <w:rStyle w:val="Hyperlink"/>
                <w:rFonts w:ascii="Arial" w:hAnsi="Arial" w:cs="Arial"/>
                <w:noProof/>
              </w:rPr>
              <w:t xml:space="preserve">2.4. Usklađenost Strategije sa </w:t>
            </w:r>
            <w:r w:rsidR="00367660">
              <w:rPr>
                <w:rStyle w:val="Hyperlink"/>
                <w:rFonts w:ascii="Arial" w:hAnsi="Arial" w:cs="Arial"/>
                <w:noProof/>
              </w:rPr>
              <w:t>c</w:t>
            </w:r>
            <w:r w:rsidR="0079465C" w:rsidRPr="009407C6">
              <w:rPr>
                <w:rStyle w:val="Hyperlink"/>
                <w:rFonts w:ascii="Arial" w:hAnsi="Arial" w:cs="Arial"/>
                <w:noProof/>
              </w:rPr>
              <w:t xml:space="preserve">iljevima održivog razvoja </w:t>
            </w:r>
            <w:r w:rsidR="0079465C">
              <w:rPr>
                <w:noProof/>
                <w:webHidden/>
              </w:rPr>
              <w:tab/>
            </w:r>
            <w:r w:rsidR="0079465C">
              <w:rPr>
                <w:noProof/>
                <w:webHidden/>
              </w:rPr>
              <w:fldChar w:fldCharType="begin"/>
            </w:r>
            <w:r w:rsidR="0079465C">
              <w:rPr>
                <w:noProof/>
                <w:webHidden/>
              </w:rPr>
              <w:instrText xml:space="preserve"> PAGEREF _Toc208489172 \h </w:instrText>
            </w:r>
            <w:r w:rsidR="0079465C">
              <w:rPr>
                <w:noProof/>
                <w:webHidden/>
              </w:rPr>
            </w:r>
            <w:r w:rsidR="0079465C">
              <w:rPr>
                <w:noProof/>
                <w:webHidden/>
              </w:rPr>
              <w:fldChar w:fldCharType="separate"/>
            </w:r>
            <w:r w:rsidR="0079465C">
              <w:rPr>
                <w:noProof/>
                <w:webHidden/>
              </w:rPr>
              <w:t>12</w:t>
            </w:r>
            <w:r w:rsidR="0079465C">
              <w:rPr>
                <w:noProof/>
                <w:webHidden/>
              </w:rPr>
              <w:fldChar w:fldCharType="end"/>
            </w:r>
          </w:hyperlink>
        </w:p>
        <w:p w14:paraId="034DBB7F" w14:textId="76FF11A7" w:rsidR="0079465C" w:rsidRDefault="00273C53">
          <w:pPr>
            <w:pStyle w:val="TOC1"/>
            <w:rPr>
              <w:rFonts w:eastAsiaTheme="minorEastAsia"/>
              <w:noProof/>
              <w:lang w:val="en-US"/>
            </w:rPr>
          </w:pPr>
          <w:hyperlink w:anchor="_Toc208489173" w:history="1">
            <w:r w:rsidR="0079465C" w:rsidRPr="009407C6">
              <w:rPr>
                <w:rStyle w:val="Hyperlink"/>
                <w:rFonts w:ascii="Arial" w:hAnsi="Arial" w:cs="Arial"/>
                <w:noProof/>
              </w:rPr>
              <w:t>3.</w:t>
            </w:r>
            <w:r w:rsidR="0079465C">
              <w:rPr>
                <w:rFonts w:eastAsiaTheme="minorEastAsia"/>
                <w:noProof/>
                <w:lang w:val="en-US"/>
              </w:rPr>
              <w:tab/>
            </w:r>
            <w:r w:rsidR="0079465C" w:rsidRPr="009407C6">
              <w:rPr>
                <w:rStyle w:val="Hyperlink"/>
                <w:rFonts w:ascii="Arial" w:hAnsi="Arial" w:cs="Arial"/>
                <w:noProof/>
              </w:rPr>
              <w:t>Analiza postojećeg stanja</w:t>
            </w:r>
            <w:r w:rsidR="0079465C">
              <w:rPr>
                <w:noProof/>
                <w:webHidden/>
              </w:rPr>
              <w:tab/>
            </w:r>
            <w:r w:rsidR="0079465C">
              <w:rPr>
                <w:noProof/>
                <w:webHidden/>
              </w:rPr>
              <w:fldChar w:fldCharType="begin"/>
            </w:r>
            <w:r w:rsidR="0079465C">
              <w:rPr>
                <w:noProof/>
                <w:webHidden/>
              </w:rPr>
              <w:instrText xml:space="preserve"> PAGEREF _Toc208489173 \h </w:instrText>
            </w:r>
            <w:r w:rsidR="0079465C">
              <w:rPr>
                <w:noProof/>
                <w:webHidden/>
              </w:rPr>
            </w:r>
            <w:r w:rsidR="0079465C">
              <w:rPr>
                <w:noProof/>
                <w:webHidden/>
              </w:rPr>
              <w:fldChar w:fldCharType="separate"/>
            </w:r>
            <w:r w:rsidR="0079465C">
              <w:rPr>
                <w:noProof/>
                <w:webHidden/>
              </w:rPr>
              <w:t>13</w:t>
            </w:r>
            <w:r w:rsidR="0079465C">
              <w:rPr>
                <w:noProof/>
                <w:webHidden/>
              </w:rPr>
              <w:fldChar w:fldCharType="end"/>
            </w:r>
          </w:hyperlink>
        </w:p>
        <w:p w14:paraId="581EB51A" w14:textId="0B04A083" w:rsidR="0079465C" w:rsidRDefault="00273C53">
          <w:pPr>
            <w:pStyle w:val="TOC2"/>
            <w:rPr>
              <w:rFonts w:eastAsiaTheme="minorEastAsia"/>
              <w:noProof/>
              <w:lang w:val="en-US"/>
            </w:rPr>
          </w:pPr>
          <w:hyperlink w:anchor="_Toc208489174" w:history="1">
            <w:r w:rsidR="0079465C" w:rsidRPr="009407C6">
              <w:rPr>
                <w:rStyle w:val="Hyperlink"/>
                <w:rFonts w:ascii="Arial" w:eastAsia="Calibri" w:hAnsi="Arial" w:cs="Arial"/>
                <w:noProof/>
              </w:rPr>
              <w:t>3.1.</w:t>
            </w:r>
            <w:r w:rsidR="0079465C">
              <w:rPr>
                <w:rFonts w:eastAsiaTheme="minorEastAsia"/>
                <w:noProof/>
                <w:lang w:val="en-US"/>
              </w:rPr>
              <w:tab/>
            </w:r>
            <w:r w:rsidR="0079465C" w:rsidRPr="009407C6">
              <w:rPr>
                <w:rStyle w:val="Hyperlink"/>
                <w:rFonts w:ascii="Arial" w:hAnsi="Arial" w:cs="Arial"/>
                <w:noProof/>
              </w:rPr>
              <w:t>Zainteresovane strane</w:t>
            </w:r>
            <w:r w:rsidR="0079465C">
              <w:rPr>
                <w:noProof/>
                <w:webHidden/>
              </w:rPr>
              <w:tab/>
            </w:r>
            <w:r w:rsidR="0079465C">
              <w:rPr>
                <w:noProof/>
                <w:webHidden/>
              </w:rPr>
              <w:fldChar w:fldCharType="begin"/>
            </w:r>
            <w:r w:rsidR="0079465C">
              <w:rPr>
                <w:noProof/>
                <w:webHidden/>
              </w:rPr>
              <w:instrText xml:space="preserve"> PAGEREF _Toc208489174 \h </w:instrText>
            </w:r>
            <w:r w:rsidR="0079465C">
              <w:rPr>
                <w:noProof/>
                <w:webHidden/>
              </w:rPr>
            </w:r>
            <w:r w:rsidR="0079465C">
              <w:rPr>
                <w:noProof/>
                <w:webHidden/>
              </w:rPr>
              <w:fldChar w:fldCharType="separate"/>
            </w:r>
            <w:r w:rsidR="0079465C">
              <w:rPr>
                <w:noProof/>
                <w:webHidden/>
              </w:rPr>
              <w:t>14</w:t>
            </w:r>
            <w:r w:rsidR="0079465C">
              <w:rPr>
                <w:noProof/>
                <w:webHidden/>
              </w:rPr>
              <w:fldChar w:fldCharType="end"/>
            </w:r>
          </w:hyperlink>
        </w:p>
        <w:p w14:paraId="2D16889B" w14:textId="38C90697" w:rsidR="0079465C" w:rsidRDefault="00273C53">
          <w:pPr>
            <w:pStyle w:val="TOC2"/>
            <w:rPr>
              <w:rFonts w:eastAsiaTheme="minorEastAsia"/>
              <w:noProof/>
              <w:lang w:val="en-US"/>
            </w:rPr>
          </w:pPr>
          <w:hyperlink w:anchor="_Toc208489175" w:history="1">
            <w:r w:rsidR="0079465C" w:rsidRPr="009407C6">
              <w:rPr>
                <w:rStyle w:val="Hyperlink"/>
                <w:rFonts w:ascii="Arial" w:hAnsi="Arial" w:cs="Arial"/>
                <w:noProof/>
              </w:rPr>
              <w:t>3.2.</w:t>
            </w:r>
            <w:r w:rsidR="0079465C">
              <w:rPr>
                <w:rFonts w:eastAsiaTheme="minorEastAsia"/>
                <w:noProof/>
                <w:lang w:val="en-US"/>
              </w:rPr>
              <w:tab/>
            </w:r>
            <w:r w:rsidR="0079465C" w:rsidRPr="009407C6">
              <w:rPr>
                <w:rStyle w:val="Hyperlink"/>
                <w:rFonts w:ascii="Arial" w:hAnsi="Arial" w:cs="Arial"/>
                <w:noProof/>
              </w:rPr>
              <w:t>Opšta slika o stanju prava žrtava u Crnoj Gori</w:t>
            </w:r>
            <w:r w:rsidR="0079465C">
              <w:rPr>
                <w:noProof/>
                <w:webHidden/>
              </w:rPr>
              <w:tab/>
            </w:r>
            <w:r w:rsidR="0079465C">
              <w:rPr>
                <w:noProof/>
                <w:webHidden/>
              </w:rPr>
              <w:fldChar w:fldCharType="begin"/>
            </w:r>
            <w:r w:rsidR="0079465C">
              <w:rPr>
                <w:noProof/>
                <w:webHidden/>
              </w:rPr>
              <w:instrText xml:space="preserve"> PAGEREF _Toc208489175 \h </w:instrText>
            </w:r>
            <w:r w:rsidR="0079465C">
              <w:rPr>
                <w:noProof/>
                <w:webHidden/>
              </w:rPr>
            </w:r>
            <w:r w:rsidR="0079465C">
              <w:rPr>
                <w:noProof/>
                <w:webHidden/>
              </w:rPr>
              <w:fldChar w:fldCharType="separate"/>
            </w:r>
            <w:r w:rsidR="0079465C">
              <w:rPr>
                <w:noProof/>
                <w:webHidden/>
              </w:rPr>
              <w:t>15</w:t>
            </w:r>
            <w:r w:rsidR="0079465C">
              <w:rPr>
                <w:noProof/>
                <w:webHidden/>
              </w:rPr>
              <w:fldChar w:fldCharType="end"/>
            </w:r>
          </w:hyperlink>
        </w:p>
        <w:p w14:paraId="54836AD7" w14:textId="51071CA9" w:rsidR="0079465C" w:rsidRDefault="00273C53">
          <w:pPr>
            <w:pStyle w:val="TOC2"/>
            <w:rPr>
              <w:rFonts w:eastAsiaTheme="minorEastAsia"/>
              <w:noProof/>
              <w:lang w:val="en-US"/>
            </w:rPr>
          </w:pPr>
          <w:hyperlink w:anchor="_Toc208489176" w:history="1">
            <w:r w:rsidR="0079465C" w:rsidRPr="009407C6">
              <w:rPr>
                <w:rStyle w:val="Hyperlink"/>
                <w:rFonts w:ascii="Arial" w:hAnsi="Arial" w:cs="Arial"/>
                <w:noProof/>
              </w:rPr>
              <w:t>3.3.</w:t>
            </w:r>
            <w:r w:rsidR="0079465C">
              <w:rPr>
                <w:rFonts w:eastAsiaTheme="minorEastAsia"/>
                <w:noProof/>
                <w:lang w:val="en-US"/>
              </w:rPr>
              <w:tab/>
            </w:r>
            <w:r w:rsidR="0079465C" w:rsidRPr="009407C6">
              <w:rPr>
                <w:rStyle w:val="Hyperlink"/>
                <w:rFonts w:ascii="Arial" w:hAnsi="Arial" w:cs="Arial"/>
                <w:noProof/>
              </w:rPr>
              <w:t>Usklađenost normativnog okvira sa relevantnim standardima u oblasti zaštite prava žrtava</w:t>
            </w:r>
            <w:r w:rsidR="0079465C">
              <w:rPr>
                <w:noProof/>
                <w:webHidden/>
              </w:rPr>
              <w:t>.....................................................................................................................................................</w:t>
            </w:r>
            <w:r w:rsidR="0079465C">
              <w:rPr>
                <w:noProof/>
                <w:webHidden/>
              </w:rPr>
              <w:fldChar w:fldCharType="begin"/>
            </w:r>
            <w:r w:rsidR="0079465C">
              <w:rPr>
                <w:noProof/>
                <w:webHidden/>
              </w:rPr>
              <w:instrText xml:space="preserve"> PAGEREF _Toc208489176 \h </w:instrText>
            </w:r>
            <w:r w:rsidR="0079465C">
              <w:rPr>
                <w:noProof/>
                <w:webHidden/>
              </w:rPr>
            </w:r>
            <w:r w:rsidR="0079465C">
              <w:rPr>
                <w:noProof/>
                <w:webHidden/>
              </w:rPr>
              <w:fldChar w:fldCharType="separate"/>
            </w:r>
            <w:r w:rsidR="0079465C">
              <w:rPr>
                <w:noProof/>
                <w:webHidden/>
              </w:rPr>
              <w:t>18</w:t>
            </w:r>
            <w:r w:rsidR="0079465C">
              <w:rPr>
                <w:noProof/>
                <w:webHidden/>
              </w:rPr>
              <w:fldChar w:fldCharType="end"/>
            </w:r>
          </w:hyperlink>
        </w:p>
        <w:p w14:paraId="50A68D5A" w14:textId="20872C7D" w:rsidR="0079465C" w:rsidRDefault="00273C53">
          <w:pPr>
            <w:pStyle w:val="TOC3"/>
            <w:rPr>
              <w:rFonts w:eastAsiaTheme="minorEastAsia"/>
              <w:noProof/>
              <w:lang w:val="en-US"/>
            </w:rPr>
          </w:pPr>
          <w:hyperlink w:anchor="_Toc208489177" w:history="1">
            <w:r w:rsidR="0079465C" w:rsidRPr="009407C6">
              <w:rPr>
                <w:rStyle w:val="Hyperlink"/>
                <w:rFonts w:ascii="Arial" w:hAnsi="Arial" w:cs="Arial"/>
                <w:noProof/>
              </w:rPr>
              <w:t>3.3.1.</w:t>
            </w:r>
            <w:r w:rsidR="0079465C">
              <w:rPr>
                <w:rFonts w:eastAsiaTheme="minorEastAsia"/>
                <w:noProof/>
                <w:lang w:val="en-US"/>
              </w:rPr>
              <w:tab/>
            </w:r>
            <w:r w:rsidR="0079465C" w:rsidRPr="009407C6">
              <w:rPr>
                <w:rStyle w:val="Hyperlink"/>
                <w:rFonts w:ascii="Arial" w:hAnsi="Arial" w:cs="Arial"/>
                <w:noProof/>
              </w:rPr>
              <w:t>Krivično zakonodavstvo</w:t>
            </w:r>
            <w:r w:rsidR="0079465C">
              <w:rPr>
                <w:noProof/>
                <w:webHidden/>
              </w:rPr>
              <w:tab/>
            </w:r>
            <w:r w:rsidR="0079465C">
              <w:rPr>
                <w:noProof/>
                <w:webHidden/>
              </w:rPr>
              <w:fldChar w:fldCharType="begin"/>
            </w:r>
            <w:r w:rsidR="0079465C">
              <w:rPr>
                <w:noProof/>
                <w:webHidden/>
              </w:rPr>
              <w:instrText xml:space="preserve"> PAGEREF _Toc208489177 \h </w:instrText>
            </w:r>
            <w:r w:rsidR="0079465C">
              <w:rPr>
                <w:noProof/>
                <w:webHidden/>
              </w:rPr>
            </w:r>
            <w:r w:rsidR="0079465C">
              <w:rPr>
                <w:noProof/>
                <w:webHidden/>
              </w:rPr>
              <w:fldChar w:fldCharType="separate"/>
            </w:r>
            <w:r w:rsidR="0079465C">
              <w:rPr>
                <w:noProof/>
                <w:webHidden/>
              </w:rPr>
              <w:t>18</w:t>
            </w:r>
            <w:r w:rsidR="0079465C">
              <w:rPr>
                <w:noProof/>
                <w:webHidden/>
              </w:rPr>
              <w:fldChar w:fldCharType="end"/>
            </w:r>
          </w:hyperlink>
        </w:p>
        <w:p w14:paraId="208987F8" w14:textId="74FB5B36" w:rsidR="0079465C" w:rsidRDefault="00273C53">
          <w:pPr>
            <w:pStyle w:val="TOC3"/>
            <w:rPr>
              <w:rFonts w:eastAsiaTheme="minorEastAsia"/>
              <w:noProof/>
              <w:lang w:val="en-US"/>
            </w:rPr>
          </w:pPr>
          <w:hyperlink w:anchor="_Toc208489178" w:history="1">
            <w:r w:rsidR="0079465C" w:rsidRPr="009407C6">
              <w:rPr>
                <w:rStyle w:val="Hyperlink"/>
                <w:rFonts w:ascii="Arial" w:hAnsi="Arial" w:cs="Arial"/>
                <w:noProof/>
              </w:rPr>
              <w:t>3.3.3. Zakonodavstvo u oblasti socijalne zaštite</w:t>
            </w:r>
            <w:r w:rsidR="0079465C">
              <w:rPr>
                <w:noProof/>
                <w:webHidden/>
              </w:rPr>
              <w:tab/>
            </w:r>
            <w:r w:rsidR="0079465C">
              <w:rPr>
                <w:noProof/>
                <w:webHidden/>
              </w:rPr>
              <w:fldChar w:fldCharType="begin"/>
            </w:r>
            <w:r w:rsidR="0079465C">
              <w:rPr>
                <w:noProof/>
                <w:webHidden/>
              </w:rPr>
              <w:instrText xml:space="preserve"> PAGEREF _Toc208489178 \h </w:instrText>
            </w:r>
            <w:r w:rsidR="0079465C">
              <w:rPr>
                <w:noProof/>
                <w:webHidden/>
              </w:rPr>
            </w:r>
            <w:r w:rsidR="0079465C">
              <w:rPr>
                <w:noProof/>
                <w:webHidden/>
              </w:rPr>
              <w:fldChar w:fldCharType="separate"/>
            </w:r>
            <w:r w:rsidR="0079465C">
              <w:rPr>
                <w:noProof/>
                <w:webHidden/>
              </w:rPr>
              <w:t>20</w:t>
            </w:r>
            <w:r w:rsidR="0079465C">
              <w:rPr>
                <w:noProof/>
                <w:webHidden/>
              </w:rPr>
              <w:fldChar w:fldCharType="end"/>
            </w:r>
          </w:hyperlink>
        </w:p>
        <w:p w14:paraId="5731F981" w14:textId="628D065E" w:rsidR="0079465C" w:rsidRDefault="00273C53">
          <w:pPr>
            <w:pStyle w:val="TOC3"/>
            <w:rPr>
              <w:rFonts w:eastAsiaTheme="minorEastAsia"/>
              <w:noProof/>
              <w:lang w:val="en-US"/>
            </w:rPr>
          </w:pPr>
          <w:hyperlink w:anchor="_Toc208489179" w:history="1">
            <w:r w:rsidR="0079465C" w:rsidRPr="009407C6">
              <w:rPr>
                <w:rStyle w:val="Hyperlink"/>
                <w:rFonts w:ascii="Arial" w:hAnsi="Arial" w:cs="Arial"/>
                <w:noProof/>
              </w:rPr>
              <w:t>3.3.4. Građansko zakonodavstvo i prava žrtava</w:t>
            </w:r>
            <w:r w:rsidR="0079465C">
              <w:rPr>
                <w:noProof/>
                <w:webHidden/>
              </w:rPr>
              <w:tab/>
            </w:r>
            <w:r w:rsidR="0079465C">
              <w:rPr>
                <w:noProof/>
                <w:webHidden/>
              </w:rPr>
              <w:fldChar w:fldCharType="begin"/>
            </w:r>
            <w:r w:rsidR="0079465C">
              <w:rPr>
                <w:noProof/>
                <w:webHidden/>
              </w:rPr>
              <w:instrText xml:space="preserve"> PAGEREF _Toc208489179 \h </w:instrText>
            </w:r>
            <w:r w:rsidR="0079465C">
              <w:rPr>
                <w:noProof/>
                <w:webHidden/>
              </w:rPr>
            </w:r>
            <w:r w:rsidR="0079465C">
              <w:rPr>
                <w:noProof/>
                <w:webHidden/>
              </w:rPr>
              <w:fldChar w:fldCharType="separate"/>
            </w:r>
            <w:r w:rsidR="0079465C">
              <w:rPr>
                <w:noProof/>
                <w:webHidden/>
              </w:rPr>
              <w:t>21</w:t>
            </w:r>
            <w:r w:rsidR="0079465C">
              <w:rPr>
                <w:noProof/>
                <w:webHidden/>
              </w:rPr>
              <w:fldChar w:fldCharType="end"/>
            </w:r>
          </w:hyperlink>
        </w:p>
        <w:p w14:paraId="333D9D7C" w14:textId="031560EE" w:rsidR="0079465C" w:rsidRDefault="00273C53">
          <w:pPr>
            <w:pStyle w:val="TOC3"/>
            <w:rPr>
              <w:rFonts w:eastAsiaTheme="minorEastAsia"/>
              <w:noProof/>
              <w:lang w:val="en-US"/>
            </w:rPr>
          </w:pPr>
          <w:hyperlink w:anchor="_Toc208489180" w:history="1">
            <w:r w:rsidR="0079465C" w:rsidRPr="009407C6">
              <w:rPr>
                <w:rStyle w:val="Hyperlink"/>
                <w:rFonts w:ascii="Arial" w:eastAsia="Cambria" w:hAnsi="Arial" w:cs="Arial"/>
                <w:noProof/>
              </w:rPr>
              <w:t>3.3.5. Medijsko zakonodavstvo</w:t>
            </w:r>
            <w:r w:rsidR="0079465C">
              <w:rPr>
                <w:noProof/>
                <w:webHidden/>
              </w:rPr>
              <w:tab/>
            </w:r>
            <w:r w:rsidR="0079465C">
              <w:rPr>
                <w:noProof/>
                <w:webHidden/>
              </w:rPr>
              <w:fldChar w:fldCharType="begin"/>
            </w:r>
            <w:r w:rsidR="0079465C">
              <w:rPr>
                <w:noProof/>
                <w:webHidden/>
              </w:rPr>
              <w:instrText xml:space="preserve"> PAGEREF _Toc208489180 \h </w:instrText>
            </w:r>
            <w:r w:rsidR="0079465C">
              <w:rPr>
                <w:noProof/>
                <w:webHidden/>
              </w:rPr>
            </w:r>
            <w:r w:rsidR="0079465C">
              <w:rPr>
                <w:noProof/>
                <w:webHidden/>
              </w:rPr>
              <w:fldChar w:fldCharType="separate"/>
            </w:r>
            <w:r w:rsidR="0079465C">
              <w:rPr>
                <w:noProof/>
                <w:webHidden/>
              </w:rPr>
              <w:t>22</w:t>
            </w:r>
            <w:r w:rsidR="0079465C">
              <w:rPr>
                <w:noProof/>
                <w:webHidden/>
              </w:rPr>
              <w:fldChar w:fldCharType="end"/>
            </w:r>
          </w:hyperlink>
        </w:p>
        <w:p w14:paraId="5DCF6CCC" w14:textId="18EB7D04" w:rsidR="0079465C" w:rsidRDefault="00273C53">
          <w:pPr>
            <w:pStyle w:val="TOC3"/>
            <w:rPr>
              <w:rFonts w:eastAsiaTheme="minorEastAsia"/>
              <w:noProof/>
              <w:lang w:val="en-US"/>
            </w:rPr>
          </w:pPr>
          <w:hyperlink w:anchor="_Toc208489181" w:history="1">
            <w:r w:rsidR="0079465C" w:rsidRPr="009407C6">
              <w:rPr>
                <w:rStyle w:val="Hyperlink"/>
                <w:rFonts w:ascii="Arial" w:hAnsi="Arial" w:cs="Arial"/>
                <w:noProof/>
              </w:rPr>
              <w:t>3.3.6  Zakonodavstvo u oblasti zdravstvene zaštite</w:t>
            </w:r>
            <w:r w:rsidR="0079465C">
              <w:rPr>
                <w:noProof/>
                <w:webHidden/>
              </w:rPr>
              <w:tab/>
            </w:r>
            <w:r w:rsidR="0079465C">
              <w:rPr>
                <w:noProof/>
                <w:webHidden/>
              </w:rPr>
              <w:fldChar w:fldCharType="begin"/>
            </w:r>
            <w:r w:rsidR="0079465C">
              <w:rPr>
                <w:noProof/>
                <w:webHidden/>
              </w:rPr>
              <w:instrText xml:space="preserve"> PAGEREF _Toc208489181 \h </w:instrText>
            </w:r>
            <w:r w:rsidR="0079465C">
              <w:rPr>
                <w:noProof/>
                <w:webHidden/>
              </w:rPr>
            </w:r>
            <w:r w:rsidR="0079465C">
              <w:rPr>
                <w:noProof/>
                <w:webHidden/>
              </w:rPr>
              <w:fldChar w:fldCharType="separate"/>
            </w:r>
            <w:r w:rsidR="0079465C">
              <w:rPr>
                <w:noProof/>
                <w:webHidden/>
              </w:rPr>
              <w:t>23</w:t>
            </w:r>
            <w:r w:rsidR="0079465C">
              <w:rPr>
                <w:noProof/>
                <w:webHidden/>
              </w:rPr>
              <w:fldChar w:fldCharType="end"/>
            </w:r>
          </w:hyperlink>
        </w:p>
        <w:p w14:paraId="798DA446" w14:textId="52A005ED" w:rsidR="0079465C" w:rsidRDefault="00273C53">
          <w:pPr>
            <w:pStyle w:val="TOC2"/>
            <w:rPr>
              <w:rFonts w:eastAsiaTheme="minorEastAsia"/>
              <w:noProof/>
              <w:lang w:val="en-US"/>
            </w:rPr>
          </w:pPr>
          <w:hyperlink w:anchor="_Toc208489182" w:history="1">
            <w:r w:rsidR="0079465C" w:rsidRPr="009407C6">
              <w:rPr>
                <w:rStyle w:val="Hyperlink"/>
                <w:rFonts w:ascii="Arial" w:hAnsi="Arial" w:cs="Arial"/>
                <w:noProof/>
              </w:rPr>
              <w:t>3.4.</w:t>
            </w:r>
            <w:r w:rsidR="0079465C">
              <w:rPr>
                <w:rFonts w:eastAsiaTheme="minorEastAsia"/>
                <w:noProof/>
                <w:lang w:val="en-US"/>
              </w:rPr>
              <w:tab/>
            </w:r>
            <w:r w:rsidR="0079465C" w:rsidRPr="009407C6">
              <w:rPr>
                <w:rStyle w:val="Hyperlink"/>
                <w:rFonts w:ascii="Arial" w:hAnsi="Arial" w:cs="Arial"/>
                <w:noProof/>
              </w:rPr>
              <w:t xml:space="preserve">Pristup pravdi za žrtve </w:t>
            </w:r>
            <w:r w:rsidR="0079465C">
              <w:rPr>
                <w:noProof/>
                <w:webHidden/>
              </w:rPr>
              <w:tab/>
            </w:r>
            <w:r w:rsidR="0079465C">
              <w:rPr>
                <w:noProof/>
                <w:webHidden/>
              </w:rPr>
              <w:fldChar w:fldCharType="begin"/>
            </w:r>
            <w:r w:rsidR="0079465C">
              <w:rPr>
                <w:noProof/>
                <w:webHidden/>
              </w:rPr>
              <w:instrText xml:space="preserve"> PAGEREF _Toc208489182 \h </w:instrText>
            </w:r>
            <w:r w:rsidR="0079465C">
              <w:rPr>
                <w:noProof/>
                <w:webHidden/>
              </w:rPr>
            </w:r>
            <w:r w:rsidR="0079465C">
              <w:rPr>
                <w:noProof/>
                <w:webHidden/>
              </w:rPr>
              <w:fldChar w:fldCharType="separate"/>
            </w:r>
            <w:r w:rsidR="0079465C">
              <w:rPr>
                <w:noProof/>
                <w:webHidden/>
              </w:rPr>
              <w:t>23</w:t>
            </w:r>
            <w:r w:rsidR="0079465C">
              <w:rPr>
                <w:noProof/>
                <w:webHidden/>
              </w:rPr>
              <w:fldChar w:fldCharType="end"/>
            </w:r>
          </w:hyperlink>
        </w:p>
        <w:p w14:paraId="49E40D49" w14:textId="50A45B4D" w:rsidR="0079465C" w:rsidRDefault="00273C53">
          <w:pPr>
            <w:pStyle w:val="TOC3"/>
            <w:rPr>
              <w:rFonts w:eastAsiaTheme="minorEastAsia"/>
              <w:noProof/>
              <w:lang w:val="en-US"/>
            </w:rPr>
          </w:pPr>
          <w:hyperlink w:anchor="_Toc208489183" w:history="1">
            <w:r w:rsidR="0079465C" w:rsidRPr="009407C6">
              <w:rPr>
                <w:rStyle w:val="Hyperlink"/>
                <w:rFonts w:ascii="Arial" w:hAnsi="Arial" w:cs="Arial"/>
                <w:noProof/>
              </w:rPr>
              <w:t>3.4.1.</w:t>
            </w:r>
            <w:r w:rsidR="0079465C">
              <w:rPr>
                <w:rFonts w:eastAsiaTheme="minorEastAsia"/>
                <w:noProof/>
                <w:lang w:val="en-US"/>
              </w:rPr>
              <w:tab/>
            </w:r>
            <w:r w:rsidR="0079465C" w:rsidRPr="009407C6">
              <w:rPr>
                <w:rStyle w:val="Hyperlink"/>
                <w:rFonts w:ascii="Arial" w:hAnsi="Arial" w:cs="Arial"/>
                <w:noProof/>
              </w:rPr>
              <w:t>Pravo na informisanje</w:t>
            </w:r>
            <w:r w:rsidR="0079465C">
              <w:rPr>
                <w:noProof/>
                <w:webHidden/>
              </w:rPr>
              <w:tab/>
            </w:r>
            <w:r w:rsidR="0079465C">
              <w:rPr>
                <w:noProof/>
                <w:webHidden/>
              </w:rPr>
              <w:fldChar w:fldCharType="begin"/>
            </w:r>
            <w:r w:rsidR="0079465C">
              <w:rPr>
                <w:noProof/>
                <w:webHidden/>
              </w:rPr>
              <w:instrText xml:space="preserve"> PAGEREF _Toc208489183 \h </w:instrText>
            </w:r>
            <w:r w:rsidR="0079465C">
              <w:rPr>
                <w:noProof/>
                <w:webHidden/>
              </w:rPr>
            </w:r>
            <w:r w:rsidR="0079465C">
              <w:rPr>
                <w:noProof/>
                <w:webHidden/>
              </w:rPr>
              <w:fldChar w:fldCharType="separate"/>
            </w:r>
            <w:r w:rsidR="0079465C">
              <w:rPr>
                <w:noProof/>
                <w:webHidden/>
              </w:rPr>
              <w:t>23</w:t>
            </w:r>
            <w:r w:rsidR="0079465C">
              <w:rPr>
                <w:noProof/>
                <w:webHidden/>
              </w:rPr>
              <w:fldChar w:fldCharType="end"/>
            </w:r>
          </w:hyperlink>
        </w:p>
        <w:p w14:paraId="4CDE8D19" w14:textId="63A9856B" w:rsidR="0079465C" w:rsidRDefault="00273C53">
          <w:pPr>
            <w:pStyle w:val="TOC3"/>
            <w:rPr>
              <w:rFonts w:eastAsiaTheme="minorEastAsia"/>
              <w:noProof/>
              <w:lang w:val="en-US"/>
            </w:rPr>
          </w:pPr>
          <w:hyperlink w:anchor="_Toc208489184" w:history="1">
            <w:r w:rsidR="0079465C" w:rsidRPr="009407C6">
              <w:rPr>
                <w:rStyle w:val="Hyperlink"/>
                <w:rFonts w:ascii="Arial" w:hAnsi="Arial" w:cs="Arial"/>
                <w:noProof/>
              </w:rPr>
              <w:t>3.4.2.</w:t>
            </w:r>
            <w:r w:rsidR="0079465C">
              <w:rPr>
                <w:rFonts w:eastAsiaTheme="minorEastAsia"/>
                <w:noProof/>
                <w:lang w:val="en-US"/>
              </w:rPr>
              <w:tab/>
            </w:r>
            <w:r w:rsidR="0079465C" w:rsidRPr="009407C6">
              <w:rPr>
                <w:rStyle w:val="Hyperlink"/>
                <w:rFonts w:ascii="Arial" w:hAnsi="Arial" w:cs="Arial"/>
                <w:noProof/>
              </w:rPr>
              <w:t>Besplatna pravna pomoć</w:t>
            </w:r>
            <w:r w:rsidR="0079465C">
              <w:rPr>
                <w:noProof/>
                <w:webHidden/>
              </w:rPr>
              <w:tab/>
            </w:r>
            <w:r w:rsidR="0079465C">
              <w:rPr>
                <w:noProof/>
                <w:webHidden/>
              </w:rPr>
              <w:fldChar w:fldCharType="begin"/>
            </w:r>
            <w:r w:rsidR="0079465C">
              <w:rPr>
                <w:noProof/>
                <w:webHidden/>
              </w:rPr>
              <w:instrText xml:space="preserve"> PAGEREF _Toc208489184 \h </w:instrText>
            </w:r>
            <w:r w:rsidR="0079465C">
              <w:rPr>
                <w:noProof/>
                <w:webHidden/>
              </w:rPr>
            </w:r>
            <w:r w:rsidR="0079465C">
              <w:rPr>
                <w:noProof/>
                <w:webHidden/>
              </w:rPr>
              <w:fldChar w:fldCharType="separate"/>
            </w:r>
            <w:r w:rsidR="0079465C">
              <w:rPr>
                <w:noProof/>
                <w:webHidden/>
              </w:rPr>
              <w:t>25</w:t>
            </w:r>
            <w:r w:rsidR="0079465C">
              <w:rPr>
                <w:noProof/>
                <w:webHidden/>
              </w:rPr>
              <w:fldChar w:fldCharType="end"/>
            </w:r>
          </w:hyperlink>
        </w:p>
        <w:p w14:paraId="10D7E149" w14:textId="5FE8FDCD" w:rsidR="0079465C" w:rsidRDefault="00273C53">
          <w:pPr>
            <w:pStyle w:val="TOC3"/>
            <w:rPr>
              <w:rFonts w:eastAsiaTheme="minorEastAsia"/>
              <w:noProof/>
              <w:lang w:val="en-US"/>
            </w:rPr>
          </w:pPr>
          <w:hyperlink w:anchor="_Toc208489185" w:history="1">
            <w:r w:rsidR="0079465C" w:rsidRPr="009407C6">
              <w:rPr>
                <w:rStyle w:val="Hyperlink"/>
                <w:rFonts w:ascii="Arial" w:hAnsi="Arial" w:cs="Arial"/>
                <w:noProof/>
              </w:rPr>
              <w:t>3.4.3.</w:t>
            </w:r>
            <w:r w:rsidR="0079465C">
              <w:rPr>
                <w:rFonts w:eastAsiaTheme="minorEastAsia"/>
                <w:noProof/>
                <w:lang w:val="en-US"/>
              </w:rPr>
              <w:tab/>
            </w:r>
            <w:r w:rsidR="0079465C" w:rsidRPr="009407C6">
              <w:rPr>
                <w:rStyle w:val="Hyperlink"/>
                <w:rFonts w:ascii="Arial" w:hAnsi="Arial" w:cs="Arial"/>
                <w:noProof/>
              </w:rPr>
              <w:t>Pravo na suđenje u razumnom roku</w:t>
            </w:r>
            <w:r w:rsidR="0079465C">
              <w:rPr>
                <w:noProof/>
                <w:webHidden/>
              </w:rPr>
              <w:tab/>
            </w:r>
            <w:r w:rsidR="0079465C">
              <w:rPr>
                <w:noProof/>
                <w:webHidden/>
              </w:rPr>
              <w:fldChar w:fldCharType="begin"/>
            </w:r>
            <w:r w:rsidR="0079465C">
              <w:rPr>
                <w:noProof/>
                <w:webHidden/>
              </w:rPr>
              <w:instrText xml:space="preserve"> PAGEREF _Toc208489185 \h </w:instrText>
            </w:r>
            <w:r w:rsidR="0079465C">
              <w:rPr>
                <w:noProof/>
                <w:webHidden/>
              </w:rPr>
            </w:r>
            <w:r w:rsidR="0079465C">
              <w:rPr>
                <w:noProof/>
                <w:webHidden/>
              </w:rPr>
              <w:fldChar w:fldCharType="separate"/>
            </w:r>
            <w:r w:rsidR="0079465C">
              <w:rPr>
                <w:noProof/>
                <w:webHidden/>
              </w:rPr>
              <w:t>26</w:t>
            </w:r>
            <w:r w:rsidR="0079465C">
              <w:rPr>
                <w:noProof/>
                <w:webHidden/>
              </w:rPr>
              <w:fldChar w:fldCharType="end"/>
            </w:r>
          </w:hyperlink>
        </w:p>
        <w:p w14:paraId="44EA61E5" w14:textId="0B409CEE" w:rsidR="0079465C" w:rsidRDefault="00273C53">
          <w:pPr>
            <w:pStyle w:val="TOC3"/>
            <w:rPr>
              <w:rFonts w:eastAsiaTheme="minorEastAsia"/>
              <w:noProof/>
              <w:lang w:val="en-US"/>
            </w:rPr>
          </w:pPr>
          <w:hyperlink w:anchor="_Toc208489186" w:history="1">
            <w:r w:rsidR="0079465C" w:rsidRPr="009407C6">
              <w:rPr>
                <w:rStyle w:val="Hyperlink"/>
                <w:rFonts w:ascii="Arial" w:hAnsi="Arial" w:cs="Arial"/>
                <w:noProof/>
              </w:rPr>
              <w:t>3.4.4.</w:t>
            </w:r>
            <w:r w:rsidR="0079465C">
              <w:rPr>
                <w:rFonts w:eastAsiaTheme="minorEastAsia"/>
                <w:noProof/>
                <w:lang w:val="en-US"/>
              </w:rPr>
              <w:tab/>
            </w:r>
            <w:r w:rsidR="0079465C" w:rsidRPr="009407C6">
              <w:rPr>
                <w:rStyle w:val="Hyperlink"/>
                <w:rFonts w:ascii="Arial" w:hAnsi="Arial" w:cs="Arial"/>
                <w:noProof/>
              </w:rPr>
              <w:t>Reparacije</w:t>
            </w:r>
            <w:r w:rsidR="0079465C">
              <w:rPr>
                <w:noProof/>
                <w:webHidden/>
              </w:rPr>
              <w:tab/>
            </w:r>
            <w:r w:rsidR="0079465C">
              <w:rPr>
                <w:noProof/>
                <w:webHidden/>
              </w:rPr>
              <w:fldChar w:fldCharType="begin"/>
            </w:r>
            <w:r w:rsidR="0079465C">
              <w:rPr>
                <w:noProof/>
                <w:webHidden/>
              </w:rPr>
              <w:instrText xml:space="preserve"> PAGEREF _Toc208489186 \h </w:instrText>
            </w:r>
            <w:r w:rsidR="0079465C">
              <w:rPr>
                <w:noProof/>
                <w:webHidden/>
              </w:rPr>
            </w:r>
            <w:r w:rsidR="0079465C">
              <w:rPr>
                <w:noProof/>
                <w:webHidden/>
              </w:rPr>
              <w:fldChar w:fldCharType="separate"/>
            </w:r>
            <w:r w:rsidR="0079465C">
              <w:rPr>
                <w:noProof/>
                <w:webHidden/>
              </w:rPr>
              <w:t>26</w:t>
            </w:r>
            <w:r w:rsidR="0079465C">
              <w:rPr>
                <w:noProof/>
                <w:webHidden/>
              </w:rPr>
              <w:fldChar w:fldCharType="end"/>
            </w:r>
          </w:hyperlink>
        </w:p>
        <w:p w14:paraId="6EBA66C1" w14:textId="4477FF61" w:rsidR="0079465C" w:rsidRDefault="00273C53">
          <w:pPr>
            <w:pStyle w:val="TOC2"/>
            <w:rPr>
              <w:rFonts w:eastAsiaTheme="minorEastAsia"/>
              <w:noProof/>
              <w:lang w:val="en-US"/>
            </w:rPr>
          </w:pPr>
          <w:hyperlink w:anchor="_Toc208489187" w:history="1">
            <w:r w:rsidR="0079465C" w:rsidRPr="009407C6">
              <w:rPr>
                <w:rStyle w:val="Hyperlink"/>
                <w:rFonts w:ascii="Arial" w:hAnsi="Arial" w:cs="Arial"/>
                <w:noProof/>
              </w:rPr>
              <w:t>3.5. Podrška žrtvama</w:t>
            </w:r>
            <w:r w:rsidR="0079465C">
              <w:rPr>
                <w:noProof/>
                <w:webHidden/>
              </w:rPr>
              <w:tab/>
            </w:r>
            <w:r w:rsidR="0079465C">
              <w:rPr>
                <w:noProof/>
                <w:webHidden/>
              </w:rPr>
              <w:fldChar w:fldCharType="begin"/>
            </w:r>
            <w:r w:rsidR="0079465C">
              <w:rPr>
                <w:noProof/>
                <w:webHidden/>
              </w:rPr>
              <w:instrText xml:space="preserve"> PAGEREF _Toc208489187 \h </w:instrText>
            </w:r>
            <w:r w:rsidR="0079465C">
              <w:rPr>
                <w:noProof/>
                <w:webHidden/>
              </w:rPr>
            </w:r>
            <w:r w:rsidR="0079465C">
              <w:rPr>
                <w:noProof/>
                <w:webHidden/>
              </w:rPr>
              <w:fldChar w:fldCharType="separate"/>
            </w:r>
            <w:r w:rsidR="0079465C">
              <w:rPr>
                <w:noProof/>
                <w:webHidden/>
              </w:rPr>
              <w:t>28</w:t>
            </w:r>
            <w:r w:rsidR="0079465C">
              <w:rPr>
                <w:noProof/>
                <w:webHidden/>
              </w:rPr>
              <w:fldChar w:fldCharType="end"/>
            </w:r>
          </w:hyperlink>
        </w:p>
        <w:p w14:paraId="0004EEC8" w14:textId="35A00740" w:rsidR="0079465C" w:rsidRDefault="00273C53">
          <w:pPr>
            <w:pStyle w:val="TOC3"/>
            <w:rPr>
              <w:rFonts w:eastAsiaTheme="minorEastAsia"/>
              <w:noProof/>
              <w:lang w:val="en-US"/>
            </w:rPr>
          </w:pPr>
          <w:hyperlink w:anchor="_Toc208489188" w:history="1">
            <w:r w:rsidR="0079465C" w:rsidRPr="009407C6">
              <w:rPr>
                <w:rStyle w:val="Hyperlink"/>
                <w:rFonts w:ascii="Arial" w:hAnsi="Arial" w:cs="Arial"/>
                <w:noProof/>
              </w:rPr>
              <w:t>3.5.1. Trenutni nivo implementacije minimalnih standarda u skladu sa Direktivom 2012/029/EU</w:t>
            </w:r>
            <w:r w:rsidR="0079465C">
              <w:rPr>
                <w:noProof/>
                <w:webHidden/>
              </w:rPr>
              <w:tab/>
            </w:r>
            <w:r w:rsidR="0079465C">
              <w:rPr>
                <w:noProof/>
                <w:webHidden/>
              </w:rPr>
              <w:fldChar w:fldCharType="begin"/>
            </w:r>
            <w:r w:rsidR="0079465C">
              <w:rPr>
                <w:noProof/>
                <w:webHidden/>
              </w:rPr>
              <w:instrText xml:space="preserve"> PAGEREF _Toc208489188 \h </w:instrText>
            </w:r>
            <w:r w:rsidR="0079465C">
              <w:rPr>
                <w:noProof/>
                <w:webHidden/>
              </w:rPr>
            </w:r>
            <w:r w:rsidR="0079465C">
              <w:rPr>
                <w:noProof/>
                <w:webHidden/>
              </w:rPr>
              <w:fldChar w:fldCharType="separate"/>
            </w:r>
            <w:r w:rsidR="0079465C">
              <w:rPr>
                <w:noProof/>
                <w:webHidden/>
              </w:rPr>
              <w:t>28</w:t>
            </w:r>
            <w:r w:rsidR="0079465C">
              <w:rPr>
                <w:noProof/>
                <w:webHidden/>
              </w:rPr>
              <w:fldChar w:fldCharType="end"/>
            </w:r>
          </w:hyperlink>
        </w:p>
        <w:p w14:paraId="58491B16" w14:textId="655AC76C" w:rsidR="0079465C" w:rsidRDefault="00273C53">
          <w:pPr>
            <w:pStyle w:val="TOC2"/>
            <w:rPr>
              <w:rFonts w:eastAsiaTheme="minorEastAsia"/>
              <w:noProof/>
              <w:lang w:val="en-US"/>
            </w:rPr>
          </w:pPr>
          <w:hyperlink w:anchor="_Toc208489189" w:history="1">
            <w:r w:rsidR="0079465C" w:rsidRPr="009407C6">
              <w:rPr>
                <w:rStyle w:val="Hyperlink"/>
                <w:rFonts w:ascii="Arial" w:hAnsi="Arial" w:cs="Arial"/>
                <w:noProof/>
              </w:rPr>
              <w:t>3.6 Zaštita žrtava</w:t>
            </w:r>
            <w:r w:rsidR="0079465C">
              <w:rPr>
                <w:noProof/>
                <w:webHidden/>
              </w:rPr>
              <w:tab/>
            </w:r>
            <w:r w:rsidR="0079465C">
              <w:rPr>
                <w:noProof/>
                <w:webHidden/>
              </w:rPr>
              <w:fldChar w:fldCharType="begin"/>
            </w:r>
            <w:r w:rsidR="0079465C">
              <w:rPr>
                <w:noProof/>
                <w:webHidden/>
              </w:rPr>
              <w:instrText xml:space="preserve"> PAGEREF _Toc208489189 \h </w:instrText>
            </w:r>
            <w:r w:rsidR="0079465C">
              <w:rPr>
                <w:noProof/>
                <w:webHidden/>
              </w:rPr>
            </w:r>
            <w:r w:rsidR="0079465C">
              <w:rPr>
                <w:noProof/>
                <w:webHidden/>
              </w:rPr>
              <w:fldChar w:fldCharType="separate"/>
            </w:r>
            <w:r w:rsidR="0079465C">
              <w:rPr>
                <w:noProof/>
                <w:webHidden/>
              </w:rPr>
              <w:t>31</w:t>
            </w:r>
            <w:r w:rsidR="0079465C">
              <w:rPr>
                <w:noProof/>
                <w:webHidden/>
              </w:rPr>
              <w:fldChar w:fldCharType="end"/>
            </w:r>
          </w:hyperlink>
        </w:p>
        <w:p w14:paraId="07A1102F" w14:textId="020E1AD0" w:rsidR="0079465C" w:rsidRDefault="00273C53">
          <w:pPr>
            <w:pStyle w:val="TOC3"/>
            <w:rPr>
              <w:rFonts w:eastAsiaTheme="minorEastAsia"/>
              <w:noProof/>
              <w:lang w:val="en-US"/>
            </w:rPr>
          </w:pPr>
          <w:hyperlink w:anchor="_Toc208489190" w:history="1">
            <w:r w:rsidR="0079465C" w:rsidRPr="009407C6">
              <w:rPr>
                <w:rStyle w:val="Hyperlink"/>
                <w:rFonts w:ascii="Arial" w:hAnsi="Arial" w:cs="Arial"/>
                <w:noProof/>
              </w:rPr>
              <w:t>3.6.1. Naročito osjetljive grupe žrtava i potreba za dodatnom podrškom i zaštitom</w:t>
            </w:r>
            <w:r w:rsidR="0079465C">
              <w:rPr>
                <w:noProof/>
                <w:webHidden/>
              </w:rPr>
              <w:tab/>
            </w:r>
            <w:r w:rsidR="0079465C">
              <w:rPr>
                <w:noProof/>
                <w:webHidden/>
              </w:rPr>
              <w:fldChar w:fldCharType="begin"/>
            </w:r>
            <w:r w:rsidR="0079465C">
              <w:rPr>
                <w:noProof/>
                <w:webHidden/>
              </w:rPr>
              <w:instrText xml:space="preserve"> PAGEREF _Toc208489190 \h </w:instrText>
            </w:r>
            <w:r w:rsidR="0079465C">
              <w:rPr>
                <w:noProof/>
                <w:webHidden/>
              </w:rPr>
            </w:r>
            <w:r w:rsidR="0079465C">
              <w:rPr>
                <w:noProof/>
                <w:webHidden/>
              </w:rPr>
              <w:fldChar w:fldCharType="separate"/>
            </w:r>
            <w:r w:rsidR="0079465C">
              <w:rPr>
                <w:noProof/>
                <w:webHidden/>
              </w:rPr>
              <w:t>32</w:t>
            </w:r>
            <w:r w:rsidR="0079465C">
              <w:rPr>
                <w:noProof/>
                <w:webHidden/>
              </w:rPr>
              <w:fldChar w:fldCharType="end"/>
            </w:r>
          </w:hyperlink>
        </w:p>
        <w:p w14:paraId="48F69FB5" w14:textId="40C124B3" w:rsidR="0079465C" w:rsidRDefault="00273C53">
          <w:pPr>
            <w:pStyle w:val="TOC3"/>
            <w:rPr>
              <w:rFonts w:eastAsiaTheme="minorEastAsia"/>
              <w:noProof/>
              <w:lang w:val="en-US"/>
            </w:rPr>
          </w:pPr>
          <w:hyperlink w:anchor="_Toc208489191" w:history="1">
            <w:r w:rsidR="0079465C" w:rsidRPr="009407C6">
              <w:rPr>
                <w:rStyle w:val="Hyperlink"/>
                <w:rFonts w:ascii="Arial" w:hAnsi="Arial" w:cs="Arial"/>
                <w:noProof/>
              </w:rPr>
              <w:t>3.6.1.1 Žrtve seksualnog, rodno zasnovanog i nasilja u porodici</w:t>
            </w:r>
            <w:r w:rsidR="0079465C">
              <w:rPr>
                <w:noProof/>
                <w:webHidden/>
              </w:rPr>
              <w:tab/>
            </w:r>
            <w:r w:rsidR="0079465C">
              <w:rPr>
                <w:noProof/>
                <w:webHidden/>
              </w:rPr>
              <w:fldChar w:fldCharType="begin"/>
            </w:r>
            <w:r w:rsidR="0079465C">
              <w:rPr>
                <w:noProof/>
                <w:webHidden/>
              </w:rPr>
              <w:instrText xml:space="preserve"> PAGEREF _Toc208489191 \h </w:instrText>
            </w:r>
            <w:r w:rsidR="0079465C">
              <w:rPr>
                <w:noProof/>
                <w:webHidden/>
              </w:rPr>
            </w:r>
            <w:r w:rsidR="0079465C">
              <w:rPr>
                <w:noProof/>
                <w:webHidden/>
              </w:rPr>
              <w:fldChar w:fldCharType="separate"/>
            </w:r>
            <w:r w:rsidR="0079465C">
              <w:rPr>
                <w:noProof/>
                <w:webHidden/>
              </w:rPr>
              <w:t>32</w:t>
            </w:r>
            <w:r w:rsidR="0079465C">
              <w:rPr>
                <w:noProof/>
                <w:webHidden/>
              </w:rPr>
              <w:fldChar w:fldCharType="end"/>
            </w:r>
          </w:hyperlink>
        </w:p>
        <w:p w14:paraId="3859CB48" w14:textId="1FCEDDD9" w:rsidR="0079465C" w:rsidRDefault="00273C53">
          <w:pPr>
            <w:pStyle w:val="TOC3"/>
            <w:rPr>
              <w:rFonts w:eastAsiaTheme="minorEastAsia"/>
              <w:noProof/>
              <w:lang w:val="en-US"/>
            </w:rPr>
          </w:pPr>
          <w:hyperlink w:anchor="_Toc208489192" w:history="1">
            <w:r w:rsidR="0079465C" w:rsidRPr="009407C6">
              <w:rPr>
                <w:rStyle w:val="Hyperlink"/>
                <w:rFonts w:ascii="Arial" w:hAnsi="Arial" w:cs="Arial"/>
                <w:noProof/>
              </w:rPr>
              <w:t>3.6.1.2. Djeca žrtve</w:t>
            </w:r>
            <w:r w:rsidR="0079465C">
              <w:rPr>
                <w:noProof/>
                <w:webHidden/>
              </w:rPr>
              <w:tab/>
            </w:r>
            <w:r w:rsidR="0079465C">
              <w:rPr>
                <w:noProof/>
                <w:webHidden/>
              </w:rPr>
              <w:fldChar w:fldCharType="begin"/>
            </w:r>
            <w:r w:rsidR="0079465C">
              <w:rPr>
                <w:noProof/>
                <w:webHidden/>
              </w:rPr>
              <w:instrText xml:space="preserve"> PAGEREF _Toc208489192 \h </w:instrText>
            </w:r>
            <w:r w:rsidR="0079465C">
              <w:rPr>
                <w:noProof/>
                <w:webHidden/>
              </w:rPr>
            </w:r>
            <w:r w:rsidR="0079465C">
              <w:rPr>
                <w:noProof/>
                <w:webHidden/>
              </w:rPr>
              <w:fldChar w:fldCharType="separate"/>
            </w:r>
            <w:r w:rsidR="0079465C">
              <w:rPr>
                <w:noProof/>
                <w:webHidden/>
              </w:rPr>
              <w:t>34</w:t>
            </w:r>
            <w:r w:rsidR="0079465C">
              <w:rPr>
                <w:noProof/>
                <w:webHidden/>
              </w:rPr>
              <w:fldChar w:fldCharType="end"/>
            </w:r>
          </w:hyperlink>
        </w:p>
        <w:p w14:paraId="67D84B8A" w14:textId="421C2452" w:rsidR="0079465C" w:rsidRDefault="00273C53">
          <w:pPr>
            <w:pStyle w:val="TOC3"/>
            <w:rPr>
              <w:rFonts w:eastAsiaTheme="minorEastAsia"/>
              <w:noProof/>
              <w:lang w:val="en-US"/>
            </w:rPr>
          </w:pPr>
          <w:hyperlink w:anchor="_Toc208489193" w:history="1">
            <w:r w:rsidR="0079465C" w:rsidRPr="009407C6">
              <w:rPr>
                <w:rStyle w:val="Hyperlink"/>
                <w:rFonts w:ascii="Arial" w:hAnsi="Arial" w:cs="Arial"/>
                <w:noProof/>
              </w:rPr>
              <w:t>3.6.1.3. Žrtve trgovine ljudima</w:t>
            </w:r>
            <w:r w:rsidR="0079465C">
              <w:rPr>
                <w:noProof/>
                <w:webHidden/>
              </w:rPr>
              <w:tab/>
            </w:r>
            <w:r w:rsidR="0079465C">
              <w:rPr>
                <w:noProof/>
                <w:webHidden/>
              </w:rPr>
              <w:fldChar w:fldCharType="begin"/>
            </w:r>
            <w:r w:rsidR="0079465C">
              <w:rPr>
                <w:noProof/>
                <w:webHidden/>
              </w:rPr>
              <w:instrText xml:space="preserve"> PAGEREF _Toc208489193 \h </w:instrText>
            </w:r>
            <w:r w:rsidR="0079465C">
              <w:rPr>
                <w:noProof/>
                <w:webHidden/>
              </w:rPr>
            </w:r>
            <w:r w:rsidR="0079465C">
              <w:rPr>
                <w:noProof/>
                <w:webHidden/>
              </w:rPr>
              <w:fldChar w:fldCharType="separate"/>
            </w:r>
            <w:r w:rsidR="0079465C">
              <w:rPr>
                <w:noProof/>
                <w:webHidden/>
              </w:rPr>
              <w:t>37</w:t>
            </w:r>
            <w:r w:rsidR="0079465C">
              <w:rPr>
                <w:noProof/>
                <w:webHidden/>
              </w:rPr>
              <w:fldChar w:fldCharType="end"/>
            </w:r>
          </w:hyperlink>
        </w:p>
        <w:p w14:paraId="6FD6EAC9" w14:textId="5DC79494" w:rsidR="0079465C" w:rsidRDefault="00273C53">
          <w:pPr>
            <w:pStyle w:val="TOC3"/>
            <w:rPr>
              <w:rFonts w:eastAsiaTheme="minorEastAsia"/>
              <w:noProof/>
              <w:lang w:val="en-US"/>
            </w:rPr>
          </w:pPr>
          <w:hyperlink w:anchor="_Toc208489194" w:history="1">
            <w:r w:rsidR="0079465C" w:rsidRPr="009407C6">
              <w:rPr>
                <w:rStyle w:val="Hyperlink"/>
                <w:rFonts w:ascii="Arial" w:hAnsi="Arial" w:cs="Arial"/>
                <w:noProof/>
              </w:rPr>
              <w:t>3.6.1.4. Žrtve ratnih zločina</w:t>
            </w:r>
            <w:r w:rsidR="0079465C">
              <w:rPr>
                <w:noProof/>
                <w:webHidden/>
              </w:rPr>
              <w:tab/>
            </w:r>
            <w:r w:rsidR="0079465C">
              <w:rPr>
                <w:noProof/>
                <w:webHidden/>
              </w:rPr>
              <w:fldChar w:fldCharType="begin"/>
            </w:r>
            <w:r w:rsidR="0079465C">
              <w:rPr>
                <w:noProof/>
                <w:webHidden/>
              </w:rPr>
              <w:instrText xml:space="preserve"> PAGEREF _Toc208489194 \h </w:instrText>
            </w:r>
            <w:r w:rsidR="0079465C">
              <w:rPr>
                <w:noProof/>
                <w:webHidden/>
              </w:rPr>
            </w:r>
            <w:r w:rsidR="0079465C">
              <w:rPr>
                <w:noProof/>
                <w:webHidden/>
              </w:rPr>
              <w:fldChar w:fldCharType="separate"/>
            </w:r>
            <w:r w:rsidR="0079465C">
              <w:rPr>
                <w:noProof/>
                <w:webHidden/>
              </w:rPr>
              <w:t>40</w:t>
            </w:r>
            <w:r w:rsidR="0079465C">
              <w:rPr>
                <w:noProof/>
                <w:webHidden/>
              </w:rPr>
              <w:fldChar w:fldCharType="end"/>
            </w:r>
          </w:hyperlink>
        </w:p>
        <w:p w14:paraId="22FA1250" w14:textId="7B8BD906" w:rsidR="0079465C" w:rsidRDefault="00273C53">
          <w:pPr>
            <w:pStyle w:val="TOC3"/>
            <w:rPr>
              <w:rFonts w:eastAsiaTheme="minorEastAsia"/>
              <w:noProof/>
              <w:lang w:val="en-US"/>
            </w:rPr>
          </w:pPr>
          <w:hyperlink w:anchor="_Toc208489195" w:history="1">
            <w:r w:rsidR="0079465C" w:rsidRPr="009407C6">
              <w:rPr>
                <w:rStyle w:val="Hyperlink"/>
                <w:rFonts w:ascii="Arial" w:hAnsi="Arial" w:cs="Arial"/>
                <w:noProof/>
              </w:rPr>
              <w:t>3.6.1.5. Žrtve zločina iz mržnje</w:t>
            </w:r>
            <w:r w:rsidR="0079465C">
              <w:rPr>
                <w:noProof/>
                <w:webHidden/>
              </w:rPr>
              <w:tab/>
            </w:r>
            <w:r w:rsidR="0079465C">
              <w:rPr>
                <w:noProof/>
                <w:webHidden/>
              </w:rPr>
              <w:fldChar w:fldCharType="begin"/>
            </w:r>
            <w:r w:rsidR="0079465C">
              <w:rPr>
                <w:noProof/>
                <w:webHidden/>
              </w:rPr>
              <w:instrText xml:space="preserve"> PAGEREF _Toc208489195 \h </w:instrText>
            </w:r>
            <w:r w:rsidR="0079465C">
              <w:rPr>
                <w:noProof/>
                <w:webHidden/>
              </w:rPr>
            </w:r>
            <w:r w:rsidR="0079465C">
              <w:rPr>
                <w:noProof/>
                <w:webHidden/>
              </w:rPr>
              <w:fldChar w:fldCharType="separate"/>
            </w:r>
            <w:r w:rsidR="0079465C">
              <w:rPr>
                <w:noProof/>
                <w:webHidden/>
              </w:rPr>
              <w:t>40</w:t>
            </w:r>
            <w:r w:rsidR="0079465C">
              <w:rPr>
                <w:noProof/>
                <w:webHidden/>
              </w:rPr>
              <w:fldChar w:fldCharType="end"/>
            </w:r>
          </w:hyperlink>
        </w:p>
        <w:p w14:paraId="6E9D531D" w14:textId="36D6FC82" w:rsidR="0079465C" w:rsidRDefault="00273C53">
          <w:pPr>
            <w:pStyle w:val="TOC3"/>
            <w:rPr>
              <w:rFonts w:eastAsiaTheme="minorEastAsia"/>
              <w:noProof/>
              <w:lang w:val="en-US"/>
            </w:rPr>
          </w:pPr>
          <w:hyperlink w:anchor="_Toc208489196" w:history="1">
            <w:r w:rsidR="0079465C" w:rsidRPr="009407C6">
              <w:rPr>
                <w:rStyle w:val="Hyperlink"/>
                <w:rFonts w:ascii="Arial" w:hAnsi="Arial" w:cs="Arial"/>
                <w:noProof/>
              </w:rPr>
              <w:t>3.6.1.6. Žrtve sa invaliditetom i stara lica kao žrtve</w:t>
            </w:r>
            <w:r w:rsidR="0079465C">
              <w:rPr>
                <w:noProof/>
                <w:webHidden/>
              </w:rPr>
              <w:tab/>
            </w:r>
            <w:r w:rsidR="0079465C">
              <w:rPr>
                <w:noProof/>
                <w:webHidden/>
              </w:rPr>
              <w:fldChar w:fldCharType="begin"/>
            </w:r>
            <w:r w:rsidR="0079465C">
              <w:rPr>
                <w:noProof/>
                <w:webHidden/>
              </w:rPr>
              <w:instrText xml:space="preserve"> PAGEREF _Toc208489196 \h </w:instrText>
            </w:r>
            <w:r w:rsidR="0079465C">
              <w:rPr>
                <w:noProof/>
                <w:webHidden/>
              </w:rPr>
            </w:r>
            <w:r w:rsidR="0079465C">
              <w:rPr>
                <w:noProof/>
                <w:webHidden/>
              </w:rPr>
              <w:fldChar w:fldCharType="separate"/>
            </w:r>
            <w:r w:rsidR="0079465C">
              <w:rPr>
                <w:noProof/>
                <w:webHidden/>
              </w:rPr>
              <w:t>42</w:t>
            </w:r>
            <w:r w:rsidR="0079465C">
              <w:rPr>
                <w:noProof/>
                <w:webHidden/>
              </w:rPr>
              <w:fldChar w:fldCharType="end"/>
            </w:r>
          </w:hyperlink>
        </w:p>
        <w:p w14:paraId="248A6763" w14:textId="5456218E" w:rsidR="0079465C" w:rsidRDefault="00273C53">
          <w:pPr>
            <w:pStyle w:val="TOC3"/>
            <w:rPr>
              <w:rFonts w:eastAsiaTheme="minorEastAsia"/>
              <w:noProof/>
              <w:lang w:val="en-US"/>
            </w:rPr>
          </w:pPr>
          <w:hyperlink w:anchor="_Toc208489197" w:history="1">
            <w:r w:rsidR="0079465C" w:rsidRPr="009407C6">
              <w:rPr>
                <w:rStyle w:val="Hyperlink"/>
                <w:rFonts w:ascii="Arial" w:hAnsi="Arial" w:cs="Arial"/>
                <w:noProof/>
              </w:rPr>
              <w:t>3.6.2 Pravosudna infrastruktura i zaštita žrtava</w:t>
            </w:r>
            <w:r w:rsidR="0079465C">
              <w:rPr>
                <w:noProof/>
                <w:webHidden/>
              </w:rPr>
              <w:tab/>
            </w:r>
            <w:r w:rsidR="0079465C">
              <w:rPr>
                <w:noProof/>
                <w:webHidden/>
              </w:rPr>
              <w:fldChar w:fldCharType="begin"/>
            </w:r>
            <w:r w:rsidR="0079465C">
              <w:rPr>
                <w:noProof/>
                <w:webHidden/>
              </w:rPr>
              <w:instrText xml:space="preserve"> PAGEREF _Toc208489197 \h </w:instrText>
            </w:r>
            <w:r w:rsidR="0079465C">
              <w:rPr>
                <w:noProof/>
                <w:webHidden/>
              </w:rPr>
            </w:r>
            <w:r w:rsidR="0079465C">
              <w:rPr>
                <w:noProof/>
                <w:webHidden/>
              </w:rPr>
              <w:fldChar w:fldCharType="separate"/>
            </w:r>
            <w:r w:rsidR="0079465C">
              <w:rPr>
                <w:noProof/>
                <w:webHidden/>
              </w:rPr>
              <w:t>42</w:t>
            </w:r>
            <w:r w:rsidR="0079465C">
              <w:rPr>
                <w:noProof/>
                <w:webHidden/>
              </w:rPr>
              <w:fldChar w:fldCharType="end"/>
            </w:r>
          </w:hyperlink>
        </w:p>
        <w:p w14:paraId="6CAD1183" w14:textId="62D2C46A" w:rsidR="0079465C" w:rsidRDefault="00273C53">
          <w:pPr>
            <w:pStyle w:val="TOC3"/>
            <w:rPr>
              <w:rFonts w:eastAsiaTheme="minorEastAsia"/>
              <w:noProof/>
              <w:lang w:val="en-US"/>
            </w:rPr>
          </w:pPr>
          <w:hyperlink w:anchor="_Toc208489198" w:history="1">
            <w:r w:rsidR="0079465C" w:rsidRPr="009407C6">
              <w:rPr>
                <w:rStyle w:val="Hyperlink"/>
                <w:rFonts w:ascii="Arial" w:hAnsi="Arial" w:cs="Arial"/>
                <w:noProof/>
              </w:rPr>
              <w:t>3.6.3</w:t>
            </w:r>
            <w:r w:rsidR="0079465C">
              <w:rPr>
                <w:rFonts w:eastAsiaTheme="minorEastAsia"/>
                <w:noProof/>
                <w:lang w:val="en-US"/>
              </w:rPr>
              <w:tab/>
            </w:r>
            <w:r w:rsidR="0079465C" w:rsidRPr="009407C6">
              <w:rPr>
                <w:rStyle w:val="Hyperlink"/>
                <w:rFonts w:ascii="Arial" w:hAnsi="Arial" w:cs="Arial"/>
                <w:noProof/>
              </w:rPr>
              <w:t>Mediji i zaštita žrtava</w:t>
            </w:r>
            <w:r w:rsidR="0079465C">
              <w:rPr>
                <w:noProof/>
                <w:webHidden/>
              </w:rPr>
              <w:tab/>
            </w:r>
            <w:r w:rsidR="0079465C">
              <w:rPr>
                <w:noProof/>
                <w:webHidden/>
              </w:rPr>
              <w:fldChar w:fldCharType="begin"/>
            </w:r>
            <w:r w:rsidR="0079465C">
              <w:rPr>
                <w:noProof/>
                <w:webHidden/>
              </w:rPr>
              <w:instrText xml:space="preserve"> PAGEREF _Toc208489198 \h </w:instrText>
            </w:r>
            <w:r w:rsidR="0079465C">
              <w:rPr>
                <w:noProof/>
                <w:webHidden/>
              </w:rPr>
            </w:r>
            <w:r w:rsidR="0079465C">
              <w:rPr>
                <w:noProof/>
                <w:webHidden/>
              </w:rPr>
              <w:fldChar w:fldCharType="separate"/>
            </w:r>
            <w:r w:rsidR="0079465C">
              <w:rPr>
                <w:noProof/>
                <w:webHidden/>
              </w:rPr>
              <w:t>43</w:t>
            </w:r>
            <w:r w:rsidR="0079465C">
              <w:rPr>
                <w:noProof/>
                <w:webHidden/>
              </w:rPr>
              <w:fldChar w:fldCharType="end"/>
            </w:r>
          </w:hyperlink>
        </w:p>
        <w:p w14:paraId="4685B28B" w14:textId="35903B53" w:rsidR="0079465C" w:rsidRDefault="00273C53">
          <w:pPr>
            <w:pStyle w:val="TOC2"/>
            <w:rPr>
              <w:rFonts w:eastAsiaTheme="minorEastAsia"/>
              <w:noProof/>
              <w:lang w:val="en-US"/>
            </w:rPr>
          </w:pPr>
          <w:hyperlink w:anchor="_Toc208489199" w:history="1">
            <w:r w:rsidR="0079465C" w:rsidRPr="009407C6">
              <w:rPr>
                <w:rStyle w:val="Hyperlink"/>
                <w:rFonts w:ascii="Arial" w:hAnsi="Arial" w:cs="Arial"/>
                <w:noProof/>
              </w:rPr>
              <w:t>3.7. Prikupljanje i obrada statističkih podataka o žrtvama</w:t>
            </w:r>
            <w:r w:rsidR="0079465C">
              <w:rPr>
                <w:noProof/>
                <w:webHidden/>
              </w:rPr>
              <w:tab/>
            </w:r>
            <w:r w:rsidR="0079465C">
              <w:rPr>
                <w:noProof/>
                <w:webHidden/>
              </w:rPr>
              <w:fldChar w:fldCharType="begin"/>
            </w:r>
            <w:r w:rsidR="0079465C">
              <w:rPr>
                <w:noProof/>
                <w:webHidden/>
              </w:rPr>
              <w:instrText xml:space="preserve"> PAGEREF _Toc208489199 \h </w:instrText>
            </w:r>
            <w:r w:rsidR="0079465C">
              <w:rPr>
                <w:noProof/>
                <w:webHidden/>
              </w:rPr>
            </w:r>
            <w:r w:rsidR="0079465C">
              <w:rPr>
                <w:noProof/>
                <w:webHidden/>
              </w:rPr>
              <w:fldChar w:fldCharType="separate"/>
            </w:r>
            <w:r w:rsidR="0079465C">
              <w:rPr>
                <w:noProof/>
                <w:webHidden/>
              </w:rPr>
              <w:t>44</w:t>
            </w:r>
            <w:r w:rsidR="0079465C">
              <w:rPr>
                <w:noProof/>
                <w:webHidden/>
              </w:rPr>
              <w:fldChar w:fldCharType="end"/>
            </w:r>
          </w:hyperlink>
        </w:p>
        <w:p w14:paraId="121F6454" w14:textId="3896A8EB" w:rsidR="0079465C" w:rsidRDefault="00273C53">
          <w:pPr>
            <w:pStyle w:val="TOC2"/>
            <w:rPr>
              <w:rFonts w:eastAsiaTheme="minorEastAsia"/>
              <w:noProof/>
              <w:lang w:val="en-US"/>
            </w:rPr>
          </w:pPr>
          <w:hyperlink w:anchor="_Toc208489200" w:history="1">
            <w:r w:rsidR="0079465C" w:rsidRPr="009407C6">
              <w:rPr>
                <w:rStyle w:val="Hyperlink"/>
                <w:rFonts w:ascii="Arial" w:hAnsi="Arial" w:cs="Arial"/>
                <w:noProof/>
              </w:rPr>
              <w:t>3.8. SWOT analiza</w:t>
            </w:r>
            <w:r w:rsidR="0079465C">
              <w:rPr>
                <w:noProof/>
                <w:webHidden/>
              </w:rPr>
              <w:tab/>
            </w:r>
            <w:r w:rsidR="0079465C">
              <w:rPr>
                <w:noProof/>
                <w:webHidden/>
              </w:rPr>
              <w:fldChar w:fldCharType="begin"/>
            </w:r>
            <w:r w:rsidR="0079465C">
              <w:rPr>
                <w:noProof/>
                <w:webHidden/>
              </w:rPr>
              <w:instrText xml:space="preserve"> PAGEREF _Toc208489200 \h </w:instrText>
            </w:r>
            <w:r w:rsidR="0079465C">
              <w:rPr>
                <w:noProof/>
                <w:webHidden/>
              </w:rPr>
            </w:r>
            <w:r w:rsidR="0079465C">
              <w:rPr>
                <w:noProof/>
                <w:webHidden/>
              </w:rPr>
              <w:fldChar w:fldCharType="separate"/>
            </w:r>
            <w:r w:rsidR="0079465C">
              <w:rPr>
                <w:noProof/>
                <w:webHidden/>
              </w:rPr>
              <w:t>45</w:t>
            </w:r>
            <w:r w:rsidR="0079465C">
              <w:rPr>
                <w:noProof/>
                <w:webHidden/>
              </w:rPr>
              <w:fldChar w:fldCharType="end"/>
            </w:r>
          </w:hyperlink>
        </w:p>
        <w:p w14:paraId="59589838" w14:textId="29D88DD4" w:rsidR="0079465C" w:rsidRDefault="00273C53">
          <w:pPr>
            <w:pStyle w:val="TOC2"/>
            <w:rPr>
              <w:rFonts w:eastAsiaTheme="minorEastAsia"/>
              <w:noProof/>
              <w:lang w:val="en-US"/>
            </w:rPr>
          </w:pPr>
          <w:hyperlink w:anchor="_Toc208489201" w:history="1">
            <w:r w:rsidR="0079465C" w:rsidRPr="009407C6">
              <w:rPr>
                <w:rStyle w:val="Hyperlink"/>
                <w:rFonts w:ascii="Arial" w:hAnsi="Arial" w:cs="Arial"/>
                <w:noProof/>
              </w:rPr>
              <w:t>3.9. PESTL analiza</w:t>
            </w:r>
            <w:r w:rsidR="0079465C">
              <w:rPr>
                <w:noProof/>
                <w:webHidden/>
              </w:rPr>
              <w:tab/>
            </w:r>
            <w:r w:rsidR="0079465C">
              <w:rPr>
                <w:noProof/>
                <w:webHidden/>
              </w:rPr>
              <w:fldChar w:fldCharType="begin"/>
            </w:r>
            <w:r w:rsidR="0079465C">
              <w:rPr>
                <w:noProof/>
                <w:webHidden/>
              </w:rPr>
              <w:instrText xml:space="preserve"> PAGEREF _Toc208489201 \h </w:instrText>
            </w:r>
            <w:r w:rsidR="0079465C">
              <w:rPr>
                <w:noProof/>
                <w:webHidden/>
              </w:rPr>
            </w:r>
            <w:r w:rsidR="0079465C">
              <w:rPr>
                <w:noProof/>
                <w:webHidden/>
              </w:rPr>
              <w:fldChar w:fldCharType="separate"/>
            </w:r>
            <w:r w:rsidR="0079465C">
              <w:rPr>
                <w:noProof/>
                <w:webHidden/>
              </w:rPr>
              <w:t>46</w:t>
            </w:r>
            <w:r w:rsidR="0079465C">
              <w:rPr>
                <w:noProof/>
                <w:webHidden/>
              </w:rPr>
              <w:fldChar w:fldCharType="end"/>
            </w:r>
          </w:hyperlink>
        </w:p>
        <w:p w14:paraId="36D494E7" w14:textId="2A52137A" w:rsidR="0079465C" w:rsidRDefault="00273C53">
          <w:pPr>
            <w:pStyle w:val="TOC2"/>
            <w:rPr>
              <w:rFonts w:eastAsiaTheme="minorEastAsia"/>
              <w:noProof/>
              <w:lang w:val="en-US"/>
            </w:rPr>
          </w:pPr>
          <w:hyperlink w:anchor="_Toc208489202" w:history="1">
            <w:r w:rsidR="0079465C" w:rsidRPr="009407C6">
              <w:rPr>
                <w:rStyle w:val="Hyperlink"/>
                <w:rFonts w:ascii="Arial" w:hAnsi="Arial" w:cs="Arial"/>
                <w:noProof/>
              </w:rPr>
              <w:t>3.10. Drvo problema</w:t>
            </w:r>
            <w:r w:rsidR="0079465C">
              <w:rPr>
                <w:noProof/>
                <w:webHidden/>
              </w:rPr>
              <w:tab/>
            </w:r>
            <w:r w:rsidR="0079465C">
              <w:rPr>
                <w:noProof/>
                <w:webHidden/>
              </w:rPr>
              <w:fldChar w:fldCharType="begin"/>
            </w:r>
            <w:r w:rsidR="0079465C">
              <w:rPr>
                <w:noProof/>
                <w:webHidden/>
              </w:rPr>
              <w:instrText xml:space="preserve"> PAGEREF _Toc208489202 \h </w:instrText>
            </w:r>
            <w:r w:rsidR="0079465C">
              <w:rPr>
                <w:noProof/>
                <w:webHidden/>
              </w:rPr>
            </w:r>
            <w:r w:rsidR="0079465C">
              <w:rPr>
                <w:noProof/>
                <w:webHidden/>
              </w:rPr>
              <w:fldChar w:fldCharType="separate"/>
            </w:r>
            <w:r w:rsidR="0079465C">
              <w:rPr>
                <w:noProof/>
                <w:webHidden/>
              </w:rPr>
              <w:t>48</w:t>
            </w:r>
            <w:r w:rsidR="0079465C">
              <w:rPr>
                <w:noProof/>
                <w:webHidden/>
              </w:rPr>
              <w:fldChar w:fldCharType="end"/>
            </w:r>
          </w:hyperlink>
        </w:p>
        <w:p w14:paraId="146145BA" w14:textId="5F7A2687" w:rsidR="0079465C" w:rsidRDefault="00273C53">
          <w:pPr>
            <w:pStyle w:val="TOC1"/>
            <w:rPr>
              <w:rFonts w:eastAsiaTheme="minorEastAsia"/>
              <w:noProof/>
              <w:lang w:val="en-US"/>
            </w:rPr>
          </w:pPr>
          <w:hyperlink w:anchor="_Toc208489203" w:history="1">
            <w:r w:rsidR="0079465C" w:rsidRPr="009407C6">
              <w:rPr>
                <w:rStyle w:val="Hyperlink"/>
                <w:rFonts w:ascii="Arial" w:hAnsi="Arial" w:cs="Arial"/>
                <w:noProof/>
              </w:rPr>
              <w:t>4.</w:t>
            </w:r>
            <w:r w:rsidR="0079465C">
              <w:rPr>
                <w:rFonts w:eastAsiaTheme="minorEastAsia"/>
                <w:noProof/>
                <w:lang w:val="en-US"/>
              </w:rPr>
              <w:tab/>
            </w:r>
            <w:r w:rsidR="0079465C" w:rsidRPr="009407C6">
              <w:rPr>
                <w:rStyle w:val="Hyperlink"/>
                <w:rFonts w:ascii="Arial" w:hAnsi="Arial" w:cs="Arial"/>
                <w:noProof/>
              </w:rPr>
              <w:t>Orodnjavanje javnih politika</w:t>
            </w:r>
            <w:r w:rsidR="0079465C">
              <w:rPr>
                <w:noProof/>
                <w:webHidden/>
              </w:rPr>
              <w:tab/>
            </w:r>
            <w:r w:rsidR="0079465C">
              <w:rPr>
                <w:noProof/>
                <w:webHidden/>
              </w:rPr>
              <w:fldChar w:fldCharType="begin"/>
            </w:r>
            <w:r w:rsidR="0079465C">
              <w:rPr>
                <w:noProof/>
                <w:webHidden/>
              </w:rPr>
              <w:instrText xml:space="preserve"> PAGEREF _Toc208489203 \h </w:instrText>
            </w:r>
            <w:r w:rsidR="0079465C">
              <w:rPr>
                <w:noProof/>
                <w:webHidden/>
              </w:rPr>
            </w:r>
            <w:r w:rsidR="0079465C">
              <w:rPr>
                <w:noProof/>
                <w:webHidden/>
              </w:rPr>
              <w:fldChar w:fldCharType="separate"/>
            </w:r>
            <w:r w:rsidR="0079465C">
              <w:rPr>
                <w:noProof/>
                <w:webHidden/>
              </w:rPr>
              <w:t>49</w:t>
            </w:r>
            <w:r w:rsidR="0079465C">
              <w:rPr>
                <w:noProof/>
                <w:webHidden/>
              </w:rPr>
              <w:fldChar w:fldCharType="end"/>
            </w:r>
          </w:hyperlink>
        </w:p>
        <w:p w14:paraId="72BCA1F2" w14:textId="1A7CD2F9" w:rsidR="0079465C" w:rsidRDefault="00273C53">
          <w:pPr>
            <w:pStyle w:val="TOC1"/>
            <w:rPr>
              <w:rFonts w:eastAsiaTheme="minorEastAsia"/>
              <w:noProof/>
              <w:lang w:val="en-US"/>
            </w:rPr>
          </w:pPr>
          <w:hyperlink w:anchor="_Toc208489204" w:history="1">
            <w:r w:rsidR="0079465C" w:rsidRPr="009407C6">
              <w:rPr>
                <w:rStyle w:val="Hyperlink"/>
                <w:rFonts w:ascii="Arial" w:hAnsi="Arial" w:cs="Arial"/>
                <w:noProof/>
              </w:rPr>
              <w:t>5. Strateška analiza uticaja na životnu sredinu u fazi definisanja ciljeva</w:t>
            </w:r>
            <w:r w:rsidR="0079465C">
              <w:rPr>
                <w:noProof/>
                <w:webHidden/>
              </w:rPr>
              <w:tab/>
            </w:r>
            <w:r w:rsidR="0079465C">
              <w:rPr>
                <w:noProof/>
                <w:webHidden/>
              </w:rPr>
              <w:fldChar w:fldCharType="begin"/>
            </w:r>
            <w:r w:rsidR="0079465C">
              <w:rPr>
                <w:noProof/>
                <w:webHidden/>
              </w:rPr>
              <w:instrText xml:space="preserve"> PAGEREF _Toc208489204 \h </w:instrText>
            </w:r>
            <w:r w:rsidR="0079465C">
              <w:rPr>
                <w:noProof/>
                <w:webHidden/>
              </w:rPr>
            </w:r>
            <w:r w:rsidR="0079465C">
              <w:rPr>
                <w:noProof/>
                <w:webHidden/>
              </w:rPr>
              <w:fldChar w:fldCharType="separate"/>
            </w:r>
            <w:r w:rsidR="0079465C">
              <w:rPr>
                <w:noProof/>
                <w:webHidden/>
              </w:rPr>
              <w:t>49</w:t>
            </w:r>
            <w:r w:rsidR="0079465C">
              <w:rPr>
                <w:noProof/>
                <w:webHidden/>
              </w:rPr>
              <w:fldChar w:fldCharType="end"/>
            </w:r>
          </w:hyperlink>
        </w:p>
        <w:p w14:paraId="499DB5A7" w14:textId="762FCFC4" w:rsidR="0079465C" w:rsidRDefault="00273C53">
          <w:pPr>
            <w:pStyle w:val="TOC1"/>
            <w:rPr>
              <w:rFonts w:eastAsiaTheme="minorEastAsia"/>
              <w:noProof/>
              <w:lang w:val="en-US"/>
            </w:rPr>
          </w:pPr>
          <w:hyperlink w:anchor="_Toc208489205" w:history="1">
            <w:r w:rsidR="0079465C" w:rsidRPr="009407C6">
              <w:rPr>
                <w:rStyle w:val="Hyperlink"/>
                <w:rFonts w:ascii="Arial" w:hAnsi="Arial" w:cs="Arial"/>
                <w:noProof/>
              </w:rPr>
              <w:t>6. Vizija, adresati, strateški i operativni ciljevi</w:t>
            </w:r>
            <w:r w:rsidR="0079465C">
              <w:rPr>
                <w:noProof/>
                <w:webHidden/>
              </w:rPr>
              <w:tab/>
            </w:r>
            <w:r w:rsidR="0079465C">
              <w:rPr>
                <w:noProof/>
                <w:webHidden/>
              </w:rPr>
              <w:fldChar w:fldCharType="begin"/>
            </w:r>
            <w:r w:rsidR="0079465C">
              <w:rPr>
                <w:noProof/>
                <w:webHidden/>
              </w:rPr>
              <w:instrText xml:space="preserve"> PAGEREF _Toc208489205 \h </w:instrText>
            </w:r>
            <w:r w:rsidR="0079465C">
              <w:rPr>
                <w:noProof/>
                <w:webHidden/>
              </w:rPr>
            </w:r>
            <w:r w:rsidR="0079465C">
              <w:rPr>
                <w:noProof/>
                <w:webHidden/>
              </w:rPr>
              <w:fldChar w:fldCharType="separate"/>
            </w:r>
            <w:r w:rsidR="0079465C">
              <w:rPr>
                <w:noProof/>
                <w:webHidden/>
              </w:rPr>
              <w:t>49</w:t>
            </w:r>
            <w:r w:rsidR="0079465C">
              <w:rPr>
                <w:noProof/>
                <w:webHidden/>
              </w:rPr>
              <w:fldChar w:fldCharType="end"/>
            </w:r>
          </w:hyperlink>
        </w:p>
        <w:p w14:paraId="424EA182" w14:textId="1DC57338" w:rsidR="0079465C" w:rsidRDefault="00273C53">
          <w:pPr>
            <w:pStyle w:val="TOC2"/>
            <w:rPr>
              <w:rFonts w:eastAsiaTheme="minorEastAsia"/>
              <w:noProof/>
              <w:lang w:val="en-US"/>
            </w:rPr>
          </w:pPr>
          <w:hyperlink w:anchor="_Toc208489206" w:history="1">
            <w:r w:rsidR="0079465C" w:rsidRPr="009407C6">
              <w:rPr>
                <w:rStyle w:val="Hyperlink"/>
                <w:rFonts w:ascii="Arial" w:hAnsi="Arial" w:cs="Arial"/>
                <w:noProof/>
              </w:rPr>
              <w:t>Strateški cilj 1: Usklađivanje normativnog okvira sa relevantnim međunarodnim standardima u oblasti zaštite prava žrtava</w:t>
            </w:r>
            <w:r w:rsidR="0079465C">
              <w:rPr>
                <w:noProof/>
                <w:webHidden/>
              </w:rPr>
              <w:tab/>
            </w:r>
            <w:r w:rsidR="0079465C">
              <w:rPr>
                <w:noProof/>
                <w:webHidden/>
              </w:rPr>
              <w:fldChar w:fldCharType="begin"/>
            </w:r>
            <w:r w:rsidR="0079465C">
              <w:rPr>
                <w:noProof/>
                <w:webHidden/>
              </w:rPr>
              <w:instrText xml:space="preserve"> PAGEREF _Toc208489206 \h </w:instrText>
            </w:r>
            <w:r w:rsidR="0079465C">
              <w:rPr>
                <w:noProof/>
                <w:webHidden/>
              </w:rPr>
            </w:r>
            <w:r w:rsidR="0079465C">
              <w:rPr>
                <w:noProof/>
                <w:webHidden/>
              </w:rPr>
              <w:fldChar w:fldCharType="separate"/>
            </w:r>
            <w:r w:rsidR="0079465C">
              <w:rPr>
                <w:noProof/>
                <w:webHidden/>
              </w:rPr>
              <w:t>50</w:t>
            </w:r>
            <w:r w:rsidR="0079465C">
              <w:rPr>
                <w:noProof/>
                <w:webHidden/>
              </w:rPr>
              <w:fldChar w:fldCharType="end"/>
            </w:r>
          </w:hyperlink>
        </w:p>
        <w:p w14:paraId="5D96C9E6" w14:textId="5CF09AF5" w:rsidR="0079465C" w:rsidRDefault="00273C53">
          <w:pPr>
            <w:pStyle w:val="TOC3"/>
            <w:rPr>
              <w:rFonts w:eastAsiaTheme="minorEastAsia"/>
              <w:noProof/>
              <w:lang w:val="en-US"/>
            </w:rPr>
          </w:pPr>
          <w:hyperlink w:anchor="_Toc208489207" w:history="1">
            <w:r w:rsidR="0079465C" w:rsidRPr="009407C6">
              <w:rPr>
                <w:rStyle w:val="Hyperlink"/>
                <w:rFonts w:ascii="Arial" w:hAnsi="Arial" w:cs="Arial"/>
                <w:noProof/>
              </w:rPr>
              <w:t>Operativni cilj 1.1: Usklađivanje normativnog okvira sa relevantnim međunarodnim standardima u oblasti prava žrtava</w:t>
            </w:r>
            <w:r w:rsidR="0079465C">
              <w:rPr>
                <w:noProof/>
                <w:webHidden/>
              </w:rPr>
              <w:tab/>
            </w:r>
            <w:r w:rsidR="0079465C">
              <w:rPr>
                <w:noProof/>
                <w:webHidden/>
              </w:rPr>
              <w:fldChar w:fldCharType="begin"/>
            </w:r>
            <w:r w:rsidR="0079465C">
              <w:rPr>
                <w:noProof/>
                <w:webHidden/>
              </w:rPr>
              <w:instrText xml:space="preserve"> PAGEREF _Toc208489207 \h </w:instrText>
            </w:r>
            <w:r w:rsidR="0079465C">
              <w:rPr>
                <w:noProof/>
                <w:webHidden/>
              </w:rPr>
            </w:r>
            <w:r w:rsidR="0079465C">
              <w:rPr>
                <w:noProof/>
                <w:webHidden/>
              </w:rPr>
              <w:fldChar w:fldCharType="separate"/>
            </w:r>
            <w:r w:rsidR="0079465C">
              <w:rPr>
                <w:noProof/>
                <w:webHidden/>
              </w:rPr>
              <w:t>51</w:t>
            </w:r>
            <w:r w:rsidR="0079465C">
              <w:rPr>
                <w:noProof/>
                <w:webHidden/>
              </w:rPr>
              <w:fldChar w:fldCharType="end"/>
            </w:r>
          </w:hyperlink>
        </w:p>
        <w:p w14:paraId="7CCC55F1" w14:textId="17B2024D" w:rsidR="0079465C" w:rsidRDefault="00273C53">
          <w:pPr>
            <w:pStyle w:val="TOC3"/>
            <w:rPr>
              <w:rFonts w:eastAsiaTheme="minorEastAsia"/>
              <w:noProof/>
              <w:lang w:val="en-US"/>
            </w:rPr>
          </w:pPr>
          <w:hyperlink w:anchor="_Toc208489208" w:history="1">
            <w:r w:rsidR="0079465C" w:rsidRPr="009407C6">
              <w:rPr>
                <w:rStyle w:val="Hyperlink"/>
                <w:rFonts w:ascii="Arial" w:hAnsi="Arial" w:cs="Arial"/>
                <w:noProof/>
              </w:rPr>
              <w:t>Operativni cilj 1.2: Usklađivanje zakonodavstva iz oblasti socijalne zaštite sa relevantnim međunarodnim standardima u oblasti prava žrtava</w:t>
            </w:r>
            <w:r w:rsidR="0079465C">
              <w:rPr>
                <w:noProof/>
                <w:webHidden/>
              </w:rPr>
              <w:tab/>
            </w:r>
            <w:r w:rsidR="0079465C">
              <w:rPr>
                <w:noProof/>
                <w:webHidden/>
              </w:rPr>
              <w:fldChar w:fldCharType="begin"/>
            </w:r>
            <w:r w:rsidR="0079465C">
              <w:rPr>
                <w:noProof/>
                <w:webHidden/>
              </w:rPr>
              <w:instrText xml:space="preserve"> PAGEREF _Toc208489208 \h </w:instrText>
            </w:r>
            <w:r w:rsidR="0079465C">
              <w:rPr>
                <w:noProof/>
                <w:webHidden/>
              </w:rPr>
            </w:r>
            <w:r w:rsidR="0079465C">
              <w:rPr>
                <w:noProof/>
                <w:webHidden/>
              </w:rPr>
              <w:fldChar w:fldCharType="separate"/>
            </w:r>
            <w:r w:rsidR="0079465C">
              <w:rPr>
                <w:noProof/>
                <w:webHidden/>
              </w:rPr>
              <w:t>52</w:t>
            </w:r>
            <w:r w:rsidR="0079465C">
              <w:rPr>
                <w:noProof/>
                <w:webHidden/>
              </w:rPr>
              <w:fldChar w:fldCharType="end"/>
            </w:r>
          </w:hyperlink>
        </w:p>
        <w:p w14:paraId="4609F324" w14:textId="398C6BF7" w:rsidR="0079465C" w:rsidRDefault="00273C53">
          <w:pPr>
            <w:pStyle w:val="TOC2"/>
            <w:rPr>
              <w:rFonts w:eastAsiaTheme="minorEastAsia"/>
              <w:noProof/>
              <w:lang w:val="en-US"/>
            </w:rPr>
          </w:pPr>
          <w:hyperlink w:anchor="_Toc208489209" w:history="1">
            <w:r w:rsidR="0079465C" w:rsidRPr="009407C6">
              <w:rPr>
                <w:rStyle w:val="Hyperlink"/>
                <w:rFonts w:ascii="Arial" w:hAnsi="Arial" w:cs="Arial"/>
                <w:noProof/>
              </w:rPr>
              <w:t>Strateški cilj 2: Unapređenje mehanizama za informisanje i podršku žrtvama</w:t>
            </w:r>
            <w:r w:rsidR="0079465C">
              <w:rPr>
                <w:noProof/>
                <w:webHidden/>
              </w:rPr>
              <w:tab/>
            </w:r>
            <w:r w:rsidR="0079465C">
              <w:rPr>
                <w:noProof/>
                <w:webHidden/>
              </w:rPr>
              <w:fldChar w:fldCharType="begin"/>
            </w:r>
            <w:r w:rsidR="0079465C">
              <w:rPr>
                <w:noProof/>
                <w:webHidden/>
              </w:rPr>
              <w:instrText xml:space="preserve"> PAGEREF _Toc208489209 \h </w:instrText>
            </w:r>
            <w:r w:rsidR="0079465C">
              <w:rPr>
                <w:noProof/>
                <w:webHidden/>
              </w:rPr>
            </w:r>
            <w:r w:rsidR="0079465C">
              <w:rPr>
                <w:noProof/>
                <w:webHidden/>
              </w:rPr>
              <w:fldChar w:fldCharType="separate"/>
            </w:r>
            <w:r w:rsidR="0079465C">
              <w:rPr>
                <w:noProof/>
                <w:webHidden/>
              </w:rPr>
              <w:t>52</w:t>
            </w:r>
            <w:r w:rsidR="0079465C">
              <w:rPr>
                <w:noProof/>
                <w:webHidden/>
              </w:rPr>
              <w:fldChar w:fldCharType="end"/>
            </w:r>
          </w:hyperlink>
        </w:p>
        <w:p w14:paraId="06C177D6" w14:textId="6CD91AF4" w:rsidR="0079465C" w:rsidRDefault="00273C53">
          <w:pPr>
            <w:pStyle w:val="TOC3"/>
            <w:rPr>
              <w:rFonts w:eastAsiaTheme="minorEastAsia"/>
              <w:noProof/>
              <w:lang w:val="en-US"/>
            </w:rPr>
          </w:pPr>
          <w:hyperlink w:anchor="_Toc208489210" w:history="1">
            <w:r w:rsidR="0079465C" w:rsidRPr="009407C6">
              <w:rPr>
                <w:rStyle w:val="Hyperlink"/>
                <w:rFonts w:ascii="Arial" w:hAnsi="Arial" w:cs="Arial"/>
                <w:noProof/>
              </w:rPr>
              <w:t>Operativni cilj 2.1: Unapređenje mehanizama za informisanje žrtava u krivičnom postupku</w:t>
            </w:r>
            <w:r w:rsidR="0079465C">
              <w:rPr>
                <w:rStyle w:val="Hyperlink"/>
                <w:rFonts w:ascii="Arial" w:hAnsi="Arial" w:cs="Arial"/>
                <w:noProof/>
              </w:rPr>
              <w:t>...............................................................................................................................</w:t>
            </w:r>
            <w:r w:rsidR="0079465C">
              <w:rPr>
                <w:noProof/>
                <w:webHidden/>
              </w:rPr>
              <w:fldChar w:fldCharType="begin"/>
            </w:r>
            <w:r w:rsidR="0079465C">
              <w:rPr>
                <w:noProof/>
                <w:webHidden/>
              </w:rPr>
              <w:instrText xml:space="preserve"> PAGEREF _Toc208489210 \h </w:instrText>
            </w:r>
            <w:r w:rsidR="0079465C">
              <w:rPr>
                <w:noProof/>
                <w:webHidden/>
              </w:rPr>
            </w:r>
            <w:r w:rsidR="0079465C">
              <w:rPr>
                <w:noProof/>
                <w:webHidden/>
              </w:rPr>
              <w:fldChar w:fldCharType="separate"/>
            </w:r>
            <w:r w:rsidR="0079465C">
              <w:rPr>
                <w:noProof/>
                <w:webHidden/>
              </w:rPr>
              <w:t>53</w:t>
            </w:r>
            <w:r w:rsidR="0079465C">
              <w:rPr>
                <w:noProof/>
                <w:webHidden/>
              </w:rPr>
              <w:fldChar w:fldCharType="end"/>
            </w:r>
          </w:hyperlink>
        </w:p>
        <w:p w14:paraId="471EF25B" w14:textId="73A374FA" w:rsidR="0079465C" w:rsidRDefault="00273C53">
          <w:pPr>
            <w:pStyle w:val="TOC3"/>
            <w:rPr>
              <w:rFonts w:eastAsiaTheme="minorEastAsia"/>
              <w:noProof/>
              <w:lang w:val="en-US"/>
            </w:rPr>
          </w:pPr>
          <w:hyperlink w:anchor="_Toc208489211" w:history="1">
            <w:r w:rsidR="0079465C" w:rsidRPr="009407C6">
              <w:rPr>
                <w:rStyle w:val="Hyperlink"/>
                <w:rFonts w:ascii="Arial" w:eastAsiaTheme="majorEastAsia" w:hAnsi="Arial" w:cs="Arial"/>
                <w:noProof/>
              </w:rPr>
              <w:t>Operativni cilj 2.2.: Uspostavljanje službi podrške žrtvama pri višim tužilaštvima i sudovima</w:t>
            </w:r>
            <w:r w:rsidR="0079465C">
              <w:rPr>
                <w:rStyle w:val="Hyperlink"/>
                <w:rFonts w:ascii="Arial" w:eastAsiaTheme="majorEastAsia" w:hAnsi="Arial" w:cs="Arial"/>
                <w:noProof/>
              </w:rPr>
              <w:t>......</w:t>
            </w:r>
            <w:r w:rsidR="0079465C">
              <w:rPr>
                <w:noProof/>
                <w:webHidden/>
              </w:rPr>
              <w:tab/>
            </w:r>
            <w:r w:rsidR="0079465C">
              <w:rPr>
                <w:noProof/>
                <w:webHidden/>
              </w:rPr>
              <w:fldChar w:fldCharType="begin"/>
            </w:r>
            <w:r w:rsidR="0079465C">
              <w:rPr>
                <w:noProof/>
                <w:webHidden/>
              </w:rPr>
              <w:instrText xml:space="preserve"> PAGEREF _Toc208489211 \h </w:instrText>
            </w:r>
            <w:r w:rsidR="0079465C">
              <w:rPr>
                <w:noProof/>
                <w:webHidden/>
              </w:rPr>
            </w:r>
            <w:r w:rsidR="0079465C">
              <w:rPr>
                <w:noProof/>
                <w:webHidden/>
              </w:rPr>
              <w:fldChar w:fldCharType="separate"/>
            </w:r>
            <w:r w:rsidR="0079465C">
              <w:rPr>
                <w:noProof/>
                <w:webHidden/>
              </w:rPr>
              <w:t>54</w:t>
            </w:r>
            <w:r w:rsidR="0079465C">
              <w:rPr>
                <w:noProof/>
                <w:webHidden/>
              </w:rPr>
              <w:fldChar w:fldCharType="end"/>
            </w:r>
          </w:hyperlink>
        </w:p>
        <w:p w14:paraId="09446DF2" w14:textId="71D59286" w:rsidR="0079465C" w:rsidRDefault="00273C53">
          <w:pPr>
            <w:pStyle w:val="TOC3"/>
            <w:rPr>
              <w:rFonts w:eastAsiaTheme="minorEastAsia"/>
              <w:noProof/>
              <w:lang w:val="en-US"/>
            </w:rPr>
          </w:pPr>
          <w:hyperlink w:anchor="_Toc208489212" w:history="1">
            <w:r w:rsidR="0079465C" w:rsidRPr="009407C6">
              <w:rPr>
                <w:rStyle w:val="Hyperlink"/>
                <w:rFonts w:ascii="Arial" w:eastAsiaTheme="majorEastAsia" w:hAnsi="Arial" w:cs="Arial"/>
                <w:noProof/>
              </w:rPr>
              <w:t>Operativni cilj 2.3: Uspostavljanje i unapređenje usluga specijalizovane podrške žrtvama</w:t>
            </w:r>
            <w:r w:rsidR="0079465C">
              <w:rPr>
                <w:rStyle w:val="Hyperlink"/>
                <w:rFonts w:ascii="Arial" w:eastAsiaTheme="majorEastAsia" w:hAnsi="Arial" w:cs="Arial"/>
                <w:noProof/>
              </w:rPr>
              <w:t>..</w:t>
            </w:r>
            <w:r w:rsidR="00367660">
              <w:rPr>
                <w:rStyle w:val="Hyperlink"/>
                <w:rFonts w:ascii="Arial" w:eastAsiaTheme="majorEastAsia" w:hAnsi="Arial" w:cs="Arial"/>
                <w:noProof/>
              </w:rPr>
              <w:t>.............................................................................................................................</w:t>
            </w:r>
            <w:r w:rsidR="0079465C">
              <w:rPr>
                <w:rStyle w:val="Hyperlink"/>
                <w:rFonts w:ascii="Arial" w:eastAsiaTheme="majorEastAsia" w:hAnsi="Arial" w:cs="Arial"/>
                <w:noProof/>
              </w:rPr>
              <w:t>..</w:t>
            </w:r>
            <w:r w:rsidR="0079465C">
              <w:rPr>
                <w:noProof/>
                <w:webHidden/>
              </w:rPr>
              <w:fldChar w:fldCharType="begin"/>
            </w:r>
            <w:r w:rsidR="0079465C">
              <w:rPr>
                <w:noProof/>
                <w:webHidden/>
              </w:rPr>
              <w:instrText xml:space="preserve"> PAGEREF _Toc208489212 \h </w:instrText>
            </w:r>
            <w:r w:rsidR="0079465C">
              <w:rPr>
                <w:noProof/>
                <w:webHidden/>
              </w:rPr>
            </w:r>
            <w:r w:rsidR="0079465C">
              <w:rPr>
                <w:noProof/>
                <w:webHidden/>
              </w:rPr>
              <w:fldChar w:fldCharType="separate"/>
            </w:r>
            <w:r w:rsidR="0079465C">
              <w:rPr>
                <w:noProof/>
                <w:webHidden/>
              </w:rPr>
              <w:t>55</w:t>
            </w:r>
            <w:r w:rsidR="0079465C">
              <w:rPr>
                <w:noProof/>
                <w:webHidden/>
              </w:rPr>
              <w:fldChar w:fldCharType="end"/>
            </w:r>
          </w:hyperlink>
        </w:p>
        <w:p w14:paraId="213A8B12" w14:textId="176777E2" w:rsidR="0079465C" w:rsidRDefault="00273C53">
          <w:pPr>
            <w:pStyle w:val="TOC2"/>
            <w:rPr>
              <w:rFonts w:eastAsiaTheme="minorEastAsia"/>
              <w:noProof/>
              <w:lang w:val="en-US"/>
            </w:rPr>
          </w:pPr>
          <w:hyperlink w:anchor="_Toc208489213" w:history="1">
            <w:r w:rsidR="0079465C" w:rsidRPr="009407C6">
              <w:rPr>
                <w:rStyle w:val="Hyperlink"/>
                <w:rFonts w:ascii="Arial" w:hAnsi="Arial" w:cs="Arial"/>
                <w:noProof/>
              </w:rPr>
              <w:t>Strateški cilj 3: Unapređenje pristupa pravdi za žrtve</w:t>
            </w:r>
            <w:r w:rsidR="0079465C">
              <w:rPr>
                <w:noProof/>
                <w:webHidden/>
              </w:rPr>
              <w:tab/>
            </w:r>
            <w:r w:rsidR="0079465C">
              <w:rPr>
                <w:noProof/>
                <w:webHidden/>
              </w:rPr>
              <w:fldChar w:fldCharType="begin"/>
            </w:r>
            <w:r w:rsidR="0079465C">
              <w:rPr>
                <w:noProof/>
                <w:webHidden/>
              </w:rPr>
              <w:instrText xml:space="preserve"> PAGEREF _Toc208489213 \h </w:instrText>
            </w:r>
            <w:r w:rsidR="0079465C">
              <w:rPr>
                <w:noProof/>
                <w:webHidden/>
              </w:rPr>
            </w:r>
            <w:r w:rsidR="0079465C">
              <w:rPr>
                <w:noProof/>
                <w:webHidden/>
              </w:rPr>
              <w:fldChar w:fldCharType="separate"/>
            </w:r>
            <w:r w:rsidR="0079465C">
              <w:rPr>
                <w:noProof/>
                <w:webHidden/>
              </w:rPr>
              <w:t>56</w:t>
            </w:r>
            <w:r w:rsidR="0079465C">
              <w:rPr>
                <w:noProof/>
                <w:webHidden/>
              </w:rPr>
              <w:fldChar w:fldCharType="end"/>
            </w:r>
          </w:hyperlink>
        </w:p>
        <w:p w14:paraId="5DF6072E" w14:textId="50491D71" w:rsidR="0079465C" w:rsidRDefault="00273C53">
          <w:pPr>
            <w:pStyle w:val="TOC3"/>
            <w:rPr>
              <w:rFonts w:eastAsiaTheme="minorEastAsia"/>
              <w:noProof/>
              <w:lang w:val="en-US"/>
            </w:rPr>
          </w:pPr>
          <w:hyperlink w:anchor="_Toc208489214" w:history="1">
            <w:r w:rsidR="0079465C" w:rsidRPr="009407C6">
              <w:rPr>
                <w:rStyle w:val="Hyperlink"/>
                <w:rFonts w:ascii="Arial" w:eastAsiaTheme="majorEastAsia" w:hAnsi="Arial" w:cs="Arial"/>
                <w:noProof/>
              </w:rPr>
              <w:t>Operativni cilj 43.1: Unapređenje prava na besplatnu pravnu pomoć za žrtve</w:t>
            </w:r>
            <w:r w:rsidR="0079465C">
              <w:rPr>
                <w:noProof/>
                <w:webHidden/>
              </w:rPr>
              <w:tab/>
            </w:r>
            <w:r w:rsidR="0079465C">
              <w:rPr>
                <w:noProof/>
                <w:webHidden/>
              </w:rPr>
              <w:fldChar w:fldCharType="begin"/>
            </w:r>
            <w:r w:rsidR="0079465C">
              <w:rPr>
                <w:noProof/>
                <w:webHidden/>
              </w:rPr>
              <w:instrText xml:space="preserve"> PAGEREF _Toc208489214 \h </w:instrText>
            </w:r>
            <w:r w:rsidR="0079465C">
              <w:rPr>
                <w:noProof/>
                <w:webHidden/>
              </w:rPr>
            </w:r>
            <w:r w:rsidR="0079465C">
              <w:rPr>
                <w:noProof/>
                <w:webHidden/>
              </w:rPr>
              <w:fldChar w:fldCharType="separate"/>
            </w:r>
            <w:r w:rsidR="0079465C">
              <w:rPr>
                <w:noProof/>
                <w:webHidden/>
              </w:rPr>
              <w:t>56</w:t>
            </w:r>
            <w:r w:rsidR="0079465C">
              <w:rPr>
                <w:noProof/>
                <w:webHidden/>
              </w:rPr>
              <w:fldChar w:fldCharType="end"/>
            </w:r>
          </w:hyperlink>
        </w:p>
        <w:p w14:paraId="427E6127" w14:textId="75C5C92C" w:rsidR="0079465C" w:rsidRDefault="00273C53">
          <w:pPr>
            <w:pStyle w:val="TOC3"/>
            <w:rPr>
              <w:rFonts w:eastAsiaTheme="minorEastAsia"/>
              <w:noProof/>
              <w:lang w:val="en-US"/>
            </w:rPr>
          </w:pPr>
          <w:hyperlink w:anchor="_Toc208489215" w:history="1">
            <w:r w:rsidR="0079465C" w:rsidRPr="009407C6">
              <w:rPr>
                <w:rStyle w:val="Hyperlink"/>
                <w:rFonts w:ascii="Arial" w:eastAsiaTheme="majorEastAsia" w:hAnsi="Arial" w:cs="Arial"/>
                <w:noProof/>
              </w:rPr>
              <w:t>Operativni cilj 3.2: Unapređenje mehanizama usmjerenih na ostvarivanje prava na kompenzaciju u krivičnom postupku</w:t>
            </w:r>
            <w:r w:rsidR="0079465C">
              <w:rPr>
                <w:noProof/>
                <w:webHidden/>
              </w:rPr>
              <w:tab/>
            </w:r>
            <w:r w:rsidR="0079465C">
              <w:rPr>
                <w:noProof/>
                <w:webHidden/>
              </w:rPr>
              <w:fldChar w:fldCharType="begin"/>
            </w:r>
            <w:r w:rsidR="0079465C">
              <w:rPr>
                <w:noProof/>
                <w:webHidden/>
              </w:rPr>
              <w:instrText xml:space="preserve"> PAGEREF _Toc208489215 \h </w:instrText>
            </w:r>
            <w:r w:rsidR="0079465C">
              <w:rPr>
                <w:noProof/>
                <w:webHidden/>
              </w:rPr>
            </w:r>
            <w:r w:rsidR="0079465C">
              <w:rPr>
                <w:noProof/>
                <w:webHidden/>
              </w:rPr>
              <w:fldChar w:fldCharType="separate"/>
            </w:r>
            <w:r w:rsidR="0079465C">
              <w:rPr>
                <w:noProof/>
                <w:webHidden/>
              </w:rPr>
              <w:t>57</w:t>
            </w:r>
            <w:r w:rsidR="0079465C">
              <w:rPr>
                <w:noProof/>
                <w:webHidden/>
              </w:rPr>
              <w:fldChar w:fldCharType="end"/>
            </w:r>
          </w:hyperlink>
        </w:p>
        <w:p w14:paraId="0561EF29" w14:textId="00F7276F" w:rsidR="0079465C" w:rsidRDefault="00273C53">
          <w:pPr>
            <w:pStyle w:val="TOC3"/>
            <w:rPr>
              <w:rFonts w:eastAsiaTheme="minorEastAsia"/>
              <w:noProof/>
              <w:lang w:val="en-US"/>
            </w:rPr>
          </w:pPr>
          <w:hyperlink w:anchor="_Toc208489216" w:history="1">
            <w:r w:rsidR="0079465C" w:rsidRPr="009407C6">
              <w:rPr>
                <w:rStyle w:val="Hyperlink"/>
                <w:rFonts w:ascii="Arial" w:eastAsiaTheme="majorEastAsia" w:hAnsi="Arial" w:cs="Arial"/>
                <w:noProof/>
              </w:rPr>
              <w:t>Operativni cilj 3.3: Unapređenje prava na upotrebu jezika za žrtve u krivičnom postupku</w:t>
            </w:r>
            <w:r w:rsidR="00367660">
              <w:rPr>
                <w:rStyle w:val="Hyperlink"/>
                <w:rFonts w:ascii="Arial" w:eastAsiaTheme="majorEastAsia" w:hAnsi="Arial" w:cs="Arial"/>
                <w:noProof/>
              </w:rPr>
              <w:t>...............................................................................................................................</w:t>
            </w:r>
            <w:r w:rsidR="0079465C">
              <w:rPr>
                <w:noProof/>
                <w:webHidden/>
              </w:rPr>
              <w:tab/>
            </w:r>
            <w:r w:rsidR="0079465C">
              <w:rPr>
                <w:noProof/>
                <w:webHidden/>
              </w:rPr>
              <w:fldChar w:fldCharType="begin"/>
            </w:r>
            <w:r w:rsidR="0079465C">
              <w:rPr>
                <w:noProof/>
                <w:webHidden/>
              </w:rPr>
              <w:instrText xml:space="preserve"> PAGEREF _Toc208489216 \h </w:instrText>
            </w:r>
            <w:r w:rsidR="0079465C">
              <w:rPr>
                <w:noProof/>
                <w:webHidden/>
              </w:rPr>
            </w:r>
            <w:r w:rsidR="0079465C">
              <w:rPr>
                <w:noProof/>
                <w:webHidden/>
              </w:rPr>
              <w:fldChar w:fldCharType="separate"/>
            </w:r>
            <w:r w:rsidR="0079465C">
              <w:rPr>
                <w:noProof/>
                <w:webHidden/>
              </w:rPr>
              <w:t>58</w:t>
            </w:r>
            <w:r w:rsidR="0079465C">
              <w:rPr>
                <w:noProof/>
                <w:webHidden/>
              </w:rPr>
              <w:fldChar w:fldCharType="end"/>
            </w:r>
          </w:hyperlink>
        </w:p>
        <w:p w14:paraId="1920B124" w14:textId="2C418FC7" w:rsidR="0079465C" w:rsidRDefault="00273C53">
          <w:pPr>
            <w:pStyle w:val="TOC2"/>
            <w:rPr>
              <w:rFonts w:eastAsiaTheme="minorEastAsia"/>
              <w:noProof/>
              <w:lang w:val="en-US"/>
            </w:rPr>
          </w:pPr>
          <w:hyperlink w:anchor="_Toc208489217" w:history="1">
            <w:r w:rsidR="0079465C" w:rsidRPr="009407C6">
              <w:rPr>
                <w:rStyle w:val="Hyperlink"/>
                <w:rFonts w:ascii="Arial" w:hAnsi="Arial" w:cs="Arial"/>
                <w:noProof/>
              </w:rPr>
              <w:t>Strateški cilj 4: Unapređenje mehanizama za jačanje procesne zaštite žrtava</w:t>
            </w:r>
            <w:r w:rsidR="0079465C">
              <w:rPr>
                <w:noProof/>
                <w:webHidden/>
              </w:rPr>
              <w:tab/>
            </w:r>
            <w:r w:rsidR="0079465C">
              <w:rPr>
                <w:noProof/>
                <w:webHidden/>
              </w:rPr>
              <w:fldChar w:fldCharType="begin"/>
            </w:r>
            <w:r w:rsidR="0079465C">
              <w:rPr>
                <w:noProof/>
                <w:webHidden/>
              </w:rPr>
              <w:instrText xml:space="preserve"> PAGEREF _Toc208489217 \h </w:instrText>
            </w:r>
            <w:r w:rsidR="0079465C">
              <w:rPr>
                <w:noProof/>
                <w:webHidden/>
              </w:rPr>
            </w:r>
            <w:r w:rsidR="0079465C">
              <w:rPr>
                <w:noProof/>
                <w:webHidden/>
              </w:rPr>
              <w:fldChar w:fldCharType="separate"/>
            </w:r>
            <w:r w:rsidR="0079465C">
              <w:rPr>
                <w:noProof/>
                <w:webHidden/>
              </w:rPr>
              <w:t>59</w:t>
            </w:r>
            <w:r w:rsidR="0079465C">
              <w:rPr>
                <w:noProof/>
                <w:webHidden/>
              </w:rPr>
              <w:fldChar w:fldCharType="end"/>
            </w:r>
          </w:hyperlink>
        </w:p>
        <w:p w14:paraId="1638833A" w14:textId="373DB8C8" w:rsidR="0079465C" w:rsidRDefault="00273C53">
          <w:pPr>
            <w:pStyle w:val="TOC3"/>
            <w:rPr>
              <w:rFonts w:eastAsiaTheme="minorEastAsia"/>
              <w:noProof/>
              <w:lang w:val="en-US"/>
            </w:rPr>
          </w:pPr>
          <w:hyperlink w:anchor="_Toc208489218" w:history="1">
            <w:r w:rsidR="0079465C" w:rsidRPr="009407C6">
              <w:rPr>
                <w:rStyle w:val="Hyperlink"/>
                <w:rFonts w:ascii="Arial" w:hAnsi="Arial" w:cs="Arial"/>
                <w:noProof/>
              </w:rPr>
              <w:t>Operativni cilj 4.1: Unapređenje upotrebe audio-vizuelne tehnike u svrhu zaštite žrtava</w:t>
            </w:r>
            <w:r w:rsidR="0049651D">
              <w:rPr>
                <w:rStyle w:val="Hyperlink"/>
                <w:rFonts w:ascii="Arial" w:hAnsi="Arial" w:cs="Arial"/>
                <w:noProof/>
              </w:rPr>
              <w:t>.</w:t>
            </w:r>
            <w:r w:rsidR="0049651D">
              <w:rPr>
                <w:noProof/>
                <w:webHidden/>
              </w:rPr>
              <w:t>................................................................................................................................................</w:t>
            </w:r>
            <w:r w:rsidR="0079465C">
              <w:rPr>
                <w:noProof/>
                <w:webHidden/>
              </w:rPr>
              <w:fldChar w:fldCharType="begin"/>
            </w:r>
            <w:r w:rsidR="0079465C">
              <w:rPr>
                <w:noProof/>
                <w:webHidden/>
              </w:rPr>
              <w:instrText xml:space="preserve"> PAGEREF _Toc208489218 \h </w:instrText>
            </w:r>
            <w:r w:rsidR="0079465C">
              <w:rPr>
                <w:noProof/>
                <w:webHidden/>
              </w:rPr>
            </w:r>
            <w:r w:rsidR="0079465C">
              <w:rPr>
                <w:noProof/>
                <w:webHidden/>
              </w:rPr>
              <w:fldChar w:fldCharType="separate"/>
            </w:r>
            <w:r w:rsidR="0079465C">
              <w:rPr>
                <w:noProof/>
                <w:webHidden/>
              </w:rPr>
              <w:t>60</w:t>
            </w:r>
            <w:r w:rsidR="0079465C">
              <w:rPr>
                <w:noProof/>
                <w:webHidden/>
              </w:rPr>
              <w:fldChar w:fldCharType="end"/>
            </w:r>
          </w:hyperlink>
        </w:p>
        <w:p w14:paraId="110F170C" w14:textId="449FE725" w:rsidR="0079465C" w:rsidRDefault="00273C53">
          <w:pPr>
            <w:pStyle w:val="TOC3"/>
            <w:rPr>
              <w:rFonts w:eastAsiaTheme="minorEastAsia"/>
              <w:noProof/>
              <w:lang w:val="en-US"/>
            </w:rPr>
          </w:pPr>
          <w:hyperlink w:anchor="_Toc208489219" w:history="1">
            <w:r w:rsidR="0079465C" w:rsidRPr="009407C6">
              <w:rPr>
                <w:rStyle w:val="Hyperlink"/>
                <w:rFonts w:ascii="Arial" w:hAnsi="Arial" w:cs="Arial"/>
                <w:noProof/>
              </w:rPr>
              <w:t>Operativni cilj 4.2: Unapređenje mjera procesne discipline usmjerenih na smanjenje sekundarne viktimizacije žrtava</w:t>
            </w:r>
            <w:r w:rsidR="0079465C">
              <w:rPr>
                <w:noProof/>
                <w:webHidden/>
              </w:rPr>
              <w:tab/>
            </w:r>
            <w:r w:rsidR="0079465C">
              <w:rPr>
                <w:noProof/>
                <w:webHidden/>
              </w:rPr>
              <w:fldChar w:fldCharType="begin"/>
            </w:r>
            <w:r w:rsidR="0079465C">
              <w:rPr>
                <w:noProof/>
                <w:webHidden/>
              </w:rPr>
              <w:instrText xml:space="preserve"> PAGEREF _Toc208489219 \h </w:instrText>
            </w:r>
            <w:r w:rsidR="0079465C">
              <w:rPr>
                <w:noProof/>
                <w:webHidden/>
              </w:rPr>
            </w:r>
            <w:r w:rsidR="0079465C">
              <w:rPr>
                <w:noProof/>
                <w:webHidden/>
              </w:rPr>
              <w:fldChar w:fldCharType="separate"/>
            </w:r>
            <w:r w:rsidR="0079465C">
              <w:rPr>
                <w:noProof/>
                <w:webHidden/>
              </w:rPr>
              <w:t>61</w:t>
            </w:r>
            <w:r w:rsidR="0079465C">
              <w:rPr>
                <w:noProof/>
                <w:webHidden/>
              </w:rPr>
              <w:fldChar w:fldCharType="end"/>
            </w:r>
          </w:hyperlink>
        </w:p>
        <w:p w14:paraId="0AF3EC12" w14:textId="6B1A4E3E" w:rsidR="0079465C" w:rsidRDefault="00273C53">
          <w:pPr>
            <w:pStyle w:val="TOC3"/>
            <w:rPr>
              <w:rFonts w:eastAsiaTheme="minorEastAsia"/>
              <w:noProof/>
              <w:lang w:val="en-US"/>
            </w:rPr>
          </w:pPr>
          <w:hyperlink w:anchor="_Toc208489220" w:history="1">
            <w:r w:rsidR="0079465C" w:rsidRPr="009407C6">
              <w:rPr>
                <w:rStyle w:val="Hyperlink"/>
                <w:rFonts w:ascii="Arial" w:hAnsi="Arial" w:cs="Arial"/>
                <w:noProof/>
              </w:rPr>
              <w:t>Operativni cilj 4.3: Unapređenje</w:t>
            </w:r>
            <w:r w:rsidR="0079465C" w:rsidRPr="009407C6">
              <w:rPr>
                <w:rStyle w:val="Hyperlink"/>
                <w:rFonts w:ascii="Arial" w:hAnsi="Arial" w:cs="Arial"/>
                <w:noProof/>
                <w14:ligatures w14:val="standardContextual"/>
              </w:rPr>
              <w:t xml:space="preserve"> pravosudne infrastrukture kao mehanizam zaštite žrtava</w:t>
            </w:r>
            <w:r w:rsidR="0049651D">
              <w:rPr>
                <w:noProof/>
                <w:webHidden/>
              </w:rPr>
              <w:t>.................................................................................................................................................</w:t>
            </w:r>
            <w:r w:rsidR="0079465C">
              <w:rPr>
                <w:noProof/>
                <w:webHidden/>
              </w:rPr>
              <w:fldChar w:fldCharType="begin"/>
            </w:r>
            <w:r w:rsidR="0079465C">
              <w:rPr>
                <w:noProof/>
                <w:webHidden/>
              </w:rPr>
              <w:instrText xml:space="preserve"> PAGEREF _Toc208489220 \h </w:instrText>
            </w:r>
            <w:r w:rsidR="0079465C">
              <w:rPr>
                <w:noProof/>
                <w:webHidden/>
              </w:rPr>
            </w:r>
            <w:r w:rsidR="0079465C">
              <w:rPr>
                <w:noProof/>
                <w:webHidden/>
              </w:rPr>
              <w:fldChar w:fldCharType="separate"/>
            </w:r>
            <w:r w:rsidR="0079465C">
              <w:rPr>
                <w:noProof/>
                <w:webHidden/>
              </w:rPr>
              <w:t>62</w:t>
            </w:r>
            <w:r w:rsidR="0079465C">
              <w:rPr>
                <w:noProof/>
                <w:webHidden/>
              </w:rPr>
              <w:fldChar w:fldCharType="end"/>
            </w:r>
          </w:hyperlink>
        </w:p>
        <w:p w14:paraId="4AB437AB" w14:textId="266A69C2" w:rsidR="0079465C" w:rsidRDefault="00273C53">
          <w:pPr>
            <w:pStyle w:val="TOC2"/>
            <w:rPr>
              <w:rFonts w:eastAsiaTheme="minorEastAsia"/>
              <w:noProof/>
              <w:lang w:val="en-US"/>
            </w:rPr>
          </w:pPr>
          <w:hyperlink w:anchor="_Toc208489221" w:history="1">
            <w:r w:rsidR="0079465C" w:rsidRPr="009407C6">
              <w:rPr>
                <w:rStyle w:val="Hyperlink"/>
                <w:rFonts w:ascii="Arial" w:hAnsi="Arial" w:cs="Arial"/>
                <w:noProof/>
              </w:rPr>
              <w:t>Strateški cilj 5: Jačanje stručnih kapaciteta i podizanje svijesti u oblasti zaštite prava žrtava</w:t>
            </w:r>
            <w:r w:rsidR="0049651D">
              <w:rPr>
                <w:noProof/>
                <w:webHidden/>
              </w:rPr>
              <w:t>.....................................................................................................................................................</w:t>
            </w:r>
            <w:r w:rsidR="0079465C">
              <w:rPr>
                <w:noProof/>
                <w:webHidden/>
              </w:rPr>
              <w:fldChar w:fldCharType="begin"/>
            </w:r>
            <w:r w:rsidR="0079465C">
              <w:rPr>
                <w:noProof/>
                <w:webHidden/>
              </w:rPr>
              <w:instrText xml:space="preserve"> PAGEREF _Toc208489221 \h </w:instrText>
            </w:r>
            <w:r w:rsidR="0079465C">
              <w:rPr>
                <w:noProof/>
                <w:webHidden/>
              </w:rPr>
            </w:r>
            <w:r w:rsidR="0079465C">
              <w:rPr>
                <w:noProof/>
                <w:webHidden/>
              </w:rPr>
              <w:fldChar w:fldCharType="separate"/>
            </w:r>
            <w:r w:rsidR="0079465C">
              <w:rPr>
                <w:noProof/>
                <w:webHidden/>
              </w:rPr>
              <w:t>62</w:t>
            </w:r>
            <w:r w:rsidR="0079465C">
              <w:rPr>
                <w:noProof/>
                <w:webHidden/>
              </w:rPr>
              <w:fldChar w:fldCharType="end"/>
            </w:r>
          </w:hyperlink>
        </w:p>
        <w:p w14:paraId="7EC87FBF" w14:textId="37EB12F1" w:rsidR="0079465C" w:rsidRDefault="00273C53">
          <w:pPr>
            <w:pStyle w:val="TOC3"/>
            <w:rPr>
              <w:rFonts w:eastAsiaTheme="minorEastAsia"/>
              <w:noProof/>
              <w:lang w:val="en-US"/>
            </w:rPr>
          </w:pPr>
          <w:hyperlink w:anchor="_Toc208489222" w:history="1">
            <w:r w:rsidR="0079465C" w:rsidRPr="009407C6">
              <w:rPr>
                <w:rStyle w:val="Hyperlink"/>
                <w:rFonts w:ascii="Arial" w:eastAsiaTheme="majorEastAsia" w:hAnsi="Arial" w:cs="Arial"/>
                <w:noProof/>
              </w:rPr>
              <w:t>Operativni cilj 5.1: Unapređenje dostupnosti informacija o pravima žrtava</w:t>
            </w:r>
            <w:r w:rsidR="0079465C">
              <w:rPr>
                <w:noProof/>
                <w:webHidden/>
              </w:rPr>
              <w:tab/>
            </w:r>
            <w:r w:rsidR="0079465C">
              <w:rPr>
                <w:noProof/>
                <w:webHidden/>
              </w:rPr>
              <w:fldChar w:fldCharType="begin"/>
            </w:r>
            <w:r w:rsidR="0079465C">
              <w:rPr>
                <w:noProof/>
                <w:webHidden/>
              </w:rPr>
              <w:instrText xml:space="preserve"> PAGEREF _Toc208489222 \h </w:instrText>
            </w:r>
            <w:r w:rsidR="0079465C">
              <w:rPr>
                <w:noProof/>
                <w:webHidden/>
              </w:rPr>
            </w:r>
            <w:r w:rsidR="0079465C">
              <w:rPr>
                <w:noProof/>
                <w:webHidden/>
              </w:rPr>
              <w:fldChar w:fldCharType="separate"/>
            </w:r>
            <w:r w:rsidR="0079465C">
              <w:rPr>
                <w:noProof/>
                <w:webHidden/>
              </w:rPr>
              <w:t>63</w:t>
            </w:r>
            <w:r w:rsidR="0079465C">
              <w:rPr>
                <w:noProof/>
                <w:webHidden/>
              </w:rPr>
              <w:fldChar w:fldCharType="end"/>
            </w:r>
          </w:hyperlink>
        </w:p>
        <w:p w14:paraId="6CD9C06A" w14:textId="5EB6B7AE" w:rsidR="0079465C" w:rsidRDefault="00273C53">
          <w:pPr>
            <w:pStyle w:val="TOC3"/>
            <w:rPr>
              <w:rFonts w:eastAsiaTheme="minorEastAsia"/>
              <w:noProof/>
              <w:lang w:val="en-US"/>
            </w:rPr>
          </w:pPr>
          <w:hyperlink w:anchor="_Toc208489223" w:history="1">
            <w:r w:rsidR="0079465C" w:rsidRPr="009407C6">
              <w:rPr>
                <w:rStyle w:val="Hyperlink"/>
                <w:rFonts w:ascii="Arial" w:hAnsi="Arial" w:cs="Arial"/>
                <w:noProof/>
                <w14:ligatures w14:val="standardContextual"/>
              </w:rPr>
              <w:t xml:space="preserve">Operativni cilj 5.2: </w:t>
            </w:r>
            <w:r w:rsidR="0079465C" w:rsidRPr="009407C6">
              <w:rPr>
                <w:rStyle w:val="Hyperlink"/>
                <w:rFonts w:ascii="Arial" w:hAnsi="Arial" w:cs="Arial"/>
                <w:noProof/>
              </w:rPr>
              <w:t>Unapređenje znanja sudija, tužilaca, pripadnika policije, advokata i novinara o pravima žrtava</w:t>
            </w:r>
            <w:r w:rsidR="0079465C">
              <w:rPr>
                <w:noProof/>
                <w:webHidden/>
              </w:rPr>
              <w:tab/>
            </w:r>
            <w:r w:rsidR="0079465C">
              <w:rPr>
                <w:noProof/>
                <w:webHidden/>
              </w:rPr>
              <w:fldChar w:fldCharType="begin"/>
            </w:r>
            <w:r w:rsidR="0079465C">
              <w:rPr>
                <w:noProof/>
                <w:webHidden/>
              </w:rPr>
              <w:instrText xml:space="preserve"> PAGEREF _Toc208489223 \h </w:instrText>
            </w:r>
            <w:r w:rsidR="0079465C">
              <w:rPr>
                <w:noProof/>
                <w:webHidden/>
              </w:rPr>
            </w:r>
            <w:r w:rsidR="0079465C">
              <w:rPr>
                <w:noProof/>
                <w:webHidden/>
              </w:rPr>
              <w:fldChar w:fldCharType="separate"/>
            </w:r>
            <w:r w:rsidR="0079465C">
              <w:rPr>
                <w:noProof/>
                <w:webHidden/>
              </w:rPr>
              <w:t>64</w:t>
            </w:r>
            <w:r w:rsidR="0079465C">
              <w:rPr>
                <w:noProof/>
                <w:webHidden/>
              </w:rPr>
              <w:fldChar w:fldCharType="end"/>
            </w:r>
          </w:hyperlink>
        </w:p>
        <w:p w14:paraId="78B7906D" w14:textId="694D3E48" w:rsidR="0079465C" w:rsidRDefault="00273C53">
          <w:pPr>
            <w:pStyle w:val="TOC2"/>
            <w:rPr>
              <w:rFonts w:eastAsiaTheme="minorEastAsia"/>
              <w:noProof/>
              <w:lang w:val="en-US"/>
            </w:rPr>
          </w:pPr>
          <w:hyperlink w:anchor="_Toc208489224" w:history="1">
            <w:r w:rsidR="0079465C" w:rsidRPr="009407C6">
              <w:rPr>
                <w:rStyle w:val="Hyperlink"/>
                <w:rFonts w:ascii="Arial" w:hAnsi="Arial" w:cs="Arial"/>
                <w:noProof/>
              </w:rPr>
              <w:t>Operativni cilj 5.3: Unapređenje kapaciteta za medijsko izvještavanje o žrtvama krivičnih djela</w:t>
            </w:r>
            <w:r w:rsidR="0079465C">
              <w:rPr>
                <w:rStyle w:val="Hyperlink"/>
                <w:rFonts w:ascii="Arial" w:hAnsi="Arial" w:cs="Arial"/>
                <w:noProof/>
              </w:rPr>
              <w:t>.....</w:t>
            </w:r>
            <w:r w:rsidR="0079465C">
              <w:rPr>
                <w:noProof/>
                <w:webHidden/>
              </w:rPr>
              <w:tab/>
            </w:r>
            <w:r w:rsidR="0079465C">
              <w:rPr>
                <w:noProof/>
                <w:webHidden/>
              </w:rPr>
              <w:fldChar w:fldCharType="begin"/>
            </w:r>
            <w:r w:rsidR="0079465C">
              <w:rPr>
                <w:noProof/>
                <w:webHidden/>
              </w:rPr>
              <w:instrText xml:space="preserve"> PAGEREF _Toc208489224 \h </w:instrText>
            </w:r>
            <w:r w:rsidR="0079465C">
              <w:rPr>
                <w:noProof/>
                <w:webHidden/>
              </w:rPr>
            </w:r>
            <w:r w:rsidR="0079465C">
              <w:rPr>
                <w:noProof/>
                <w:webHidden/>
              </w:rPr>
              <w:fldChar w:fldCharType="separate"/>
            </w:r>
            <w:r w:rsidR="0079465C">
              <w:rPr>
                <w:noProof/>
                <w:webHidden/>
              </w:rPr>
              <w:t>65</w:t>
            </w:r>
            <w:r w:rsidR="0079465C">
              <w:rPr>
                <w:noProof/>
                <w:webHidden/>
              </w:rPr>
              <w:fldChar w:fldCharType="end"/>
            </w:r>
          </w:hyperlink>
        </w:p>
        <w:p w14:paraId="352C916C" w14:textId="6405CE8A" w:rsidR="0079465C" w:rsidRDefault="00273C53">
          <w:pPr>
            <w:pStyle w:val="TOC2"/>
            <w:rPr>
              <w:rFonts w:eastAsiaTheme="minorEastAsia"/>
              <w:noProof/>
              <w:lang w:val="en-US"/>
            </w:rPr>
          </w:pPr>
          <w:hyperlink w:anchor="_Toc208489225" w:history="1">
            <w:r w:rsidR="0079465C" w:rsidRPr="009407C6">
              <w:rPr>
                <w:rStyle w:val="Hyperlink"/>
                <w:rFonts w:ascii="Arial" w:hAnsi="Arial" w:cs="Arial"/>
                <w:noProof/>
              </w:rPr>
              <w:t>Operativni cilj 5.4.: Unapređenje sistema prikupljanja i obrade statističkih podataka o žrtvama</w:t>
            </w:r>
            <w:r w:rsidR="0079465C">
              <w:rPr>
                <w:rStyle w:val="Hyperlink"/>
                <w:rFonts w:ascii="Arial" w:hAnsi="Arial" w:cs="Arial"/>
                <w:noProof/>
              </w:rPr>
              <w:t>.......</w:t>
            </w:r>
            <w:r w:rsidR="0079465C">
              <w:rPr>
                <w:noProof/>
                <w:webHidden/>
              </w:rPr>
              <w:tab/>
            </w:r>
            <w:r w:rsidR="0079465C">
              <w:rPr>
                <w:noProof/>
                <w:webHidden/>
              </w:rPr>
              <w:fldChar w:fldCharType="begin"/>
            </w:r>
            <w:r w:rsidR="0079465C">
              <w:rPr>
                <w:noProof/>
                <w:webHidden/>
              </w:rPr>
              <w:instrText xml:space="preserve"> PAGEREF _Toc208489225 \h </w:instrText>
            </w:r>
            <w:r w:rsidR="0079465C">
              <w:rPr>
                <w:noProof/>
                <w:webHidden/>
              </w:rPr>
            </w:r>
            <w:r w:rsidR="0079465C">
              <w:rPr>
                <w:noProof/>
                <w:webHidden/>
              </w:rPr>
              <w:fldChar w:fldCharType="separate"/>
            </w:r>
            <w:r w:rsidR="0079465C">
              <w:rPr>
                <w:noProof/>
                <w:webHidden/>
              </w:rPr>
              <w:t>66</w:t>
            </w:r>
            <w:r w:rsidR="0079465C">
              <w:rPr>
                <w:noProof/>
                <w:webHidden/>
              </w:rPr>
              <w:fldChar w:fldCharType="end"/>
            </w:r>
          </w:hyperlink>
        </w:p>
        <w:p w14:paraId="09D39E66" w14:textId="0C4F1457" w:rsidR="0079465C" w:rsidRDefault="00273C53">
          <w:pPr>
            <w:pStyle w:val="TOC3"/>
            <w:rPr>
              <w:rFonts w:eastAsiaTheme="minorEastAsia"/>
              <w:noProof/>
              <w:lang w:val="en-US"/>
            </w:rPr>
          </w:pPr>
          <w:hyperlink w:anchor="_Toc208489226" w:history="1">
            <w:r w:rsidR="0079465C" w:rsidRPr="009407C6">
              <w:rPr>
                <w:rStyle w:val="Hyperlink"/>
                <w:rFonts w:ascii="Arial" w:hAnsi="Arial" w:cs="Arial"/>
                <w:noProof/>
              </w:rPr>
              <w:t>Operativni cilj 5.5:. Unapređenje</w:t>
            </w:r>
            <w:r w:rsidR="0079465C" w:rsidRPr="009407C6">
              <w:rPr>
                <w:rStyle w:val="Hyperlink"/>
                <w:rFonts w:ascii="Arial" w:hAnsi="Arial" w:cs="Arial"/>
                <w:noProof/>
                <w14:ligatures w14:val="standardContextual"/>
              </w:rPr>
              <w:t xml:space="preserve"> transparentnosti reformskih procesa u oblasti zaštite prava žrtava</w:t>
            </w:r>
            <w:r w:rsidR="0079465C">
              <w:rPr>
                <w:noProof/>
                <w:webHidden/>
              </w:rPr>
              <w:t>.................................................................................................................................................</w:t>
            </w:r>
            <w:r w:rsidR="0079465C">
              <w:rPr>
                <w:noProof/>
                <w:webHidden/>
              </w:rPr>
              <w:fldChar w:fldCharType="begin"/>
            </w:r>
            <w:r w:rsidR="0079465C">
              <w:rPr>
                <w:noProof/>
                <w:webHidden/>
              </w:rPr>
              <w:instrText xml:space="preserve"> PAGEREF _Toc208489226 \h </w:instrText>
            </w:r>
            <w:r w:rsidR="0079465C">
              <w:rPr>
                <w:noProof/>
                <w:webHidden/>
              </w:rPr>
            </w:r>
            <w:r w:rsidR="0079465C">
              <w:rPr>
                <w:noProof/>
                <w:webHidden/>
              </w:rPr>
              <w:fldChar w:fldCharType="separate"/>
            </w:r>
            <w:r w:rsidR="0079465C">
              <w:rPr>
                <w:noProof/>
                <w:webHidden/>
              </w:rPr>
              <w:t>66</w:t>
            </w:r>
            <w:r w:rsidR="0079465C">
              <w:rPr>
                <w:noProof/>
                <w:webHidden/>
              </w:rPr>
              <w:fldChar w:fldCharType="end"/>
            </w:r>
          </w:hyperlink>
        </w:p>
        <w:p w14:paraId="16707172" w14:textId="201D4307" w:rsidR="0079465C" w:rsidRDefault="00273C53">
          <w:pPr>
            <w:pStyle w:val="TOC1"/>
            <w:rPr>
              <w:rFonts w:eastAsiaTheme="minorEastAsia"/>
              <w:noProof/>
              <w:lang w:val="en-US"/>
            </w:rPr>
          </w:pPr>
          <w:hyperlink w:anchor="_Toc208489227" w:history="1">
            <w:r w:rsidR="0079465C" w:rsidRPr="009407C6">
              <w:rPr>
                <w:rStyle w:val="Hyperlink"/>
                <w:rFonts w:ascii="Arial" w:hAnsi="Arial" w:cs="Arial"/>
                <w:noProof/>
              </w:rPr>
              <w:t>7. Praćenje sprovođenja, izvještavanje i evaluacija</w:t>
            </w:r>
            <w:r w:rsidR="0079465C">
              <w:rPr>
                <w:noProof/>
                <w:webHidden/>
              </w:rPr>
              <w:tab/>
            </w:r>
            <w:r w:rsidR="0079465C">
              <w:rPr>
                <w:noProof/>
                <w:webHidden/>
              </w:rPr>
              <w:fldChar w:fldCharType="begin"/>
            </w:r>
            <w:r w:rsidR="0079465C">
              <w:rPr>
                <w:noProof/>
                <w:webHidden/>
              </w:rPr>
              <w:instrText xml:space="preserve"> PAGEREF _Toc208489227 \h </w:instrText>
            </w:r>
            <w:r w:rsidR="0079465C">
              <w:rPr>
                <w:noProof/>
                <w:webHidden/>
              </w:rPr>
            </w:r>
            <w:r w:rsidR="0079465C">
              <w:rPr>
                <w:noProof/>
                <w:webHidden/>
              </w:rPr>
              <w:fldChar w:fldCharType="separate"/>
            </w:r>
            <w:r w:rsidR="0079465C">
              <w:rPr>
                <w:noProof/>
                <w:webHidden/>
              </w:rPr>
              <w:t>67</w:t>
            </w:r>
            <w:r w:rsidR="0079465C">
              <w:rPr>
                <w:noProof/>
                <w:webHidden/>
              </w:rPr>
              <w:fldChar w:fldCharType="end"/>
            </w:r>
          </w:hyperlink>
        </w:p>
        <w:p w14:paraId="72BCD357" w14:textId="584BF18B" w:rsidR="0079465C" w:rsidRDefault="00273C53">
          <w:pPr>
            <w:pStyle w:val="TOC1"/>
            <w:rPr>
              <w:rFonts w:eastAsiaTheme="minorEastAsia"/>
              <w:noProof/>
              <w:lang w:val="en-US"/>
            </w:rPr>
          </w:pPr>
          <w:hyperlink w:anchor="_Toc208489228" w:history="1">
            <w:r w:rsidR="0079465C" w:rsidRPr="009407C6">
              <w:rPr>
                <w:rStyle w:val="Hyperlink"/>
                <w:rFonts w:ascii="Arial" w:hAnsi="Arial" w:cs="Arial"/>
                <w:noProof/>
              </w:rPr>
              <w:t>8. Informacije o sprovedenim konsultacijama sa zainteresovanim stranama</w:t>
            </w:r>
            <w:r w:rsidR="0079465C">
              <w:rPr>
                <w:noProof/>
                <w:webHidden/>
              </w:rPr>
              <w:tab/>
            </w:r>
            <w:r w:rsidR="0079465C">
              <w:rPr>
                <w:noProof/>
                <w:webHidden/>
              </w:rPr>
              <w:fldChar w:fldCharType="begin"/>
            </w:r>
            <w:r w:rsidR="0079465C">
              <w:rPr>
                <w:noProof/>
                <w:webHidden/>
              </w:rPr>
              <w:instrText xml:space="preserve"> PAGEREF _Toc208489228 \h </w:instrText>
            </w:r>
            <w:r w:rsidR="0079465C">
              <w:rPr>
                <w:noProof/>
                <w:webHidden/>
              </w:rPr>
            </w:r>
            <w:r w:rsidR="0079465C">
              <w:rPr>
                <w:noProof/>
                <w:webHidden/>
              </w:rPr>
              <w:fldChar w:fldCharType="separate"/>
            </w:r>
            <w:r w:rsidR="0079465C">
              <w:rPr>
                <w:noProof/>
                <w:webHidden/>
              </w:rPr>
              <w:t>68</w:t>
            </w:r>
            <w:r w:rsidR="0079465C">
              <w:rPr>
                <w:noProof/>
                <w:webHidden/>
              </w:rPr>
              <w:fldChar w:fldCharType="end"/>
            </w:r>
          </w:hyperlink>
        </w:p>
        <w:p w14:paraId="5104A1E5" w14:textId="0B3E6A45" w:rsidR="0079465C" w:rsidRDefault="00273C53">
          <w:pPr>
            <w:pStyle w:val="TOC1"/>
            <w:rPr>
              <w:rFonts w:eastAsiaTheme="minorEastAsia"/>
              <w:noProof/>
              <w:lang w:val="en-US"/>
            </w:rPr>
          </w:pPr>
          <w:hyperlink w:anchor="_Toc208489229" w:history="1">
            <w:r w:rsidR="0079465C" w:rsidRPr="009407C6">
              <w:rPr>
                <w:rStyle w:val="Hyperlink"/>
                <w:rFonts w:ascii="Arial" w:hAnsi="Arial" w:cs="Arial"/>
                <w:noProof/>
              </w:rPr>
              <w:t>9. Procjena finansijskih sredstava potrebnih za sprovođenje strategije</w:t>
            </w:r>
            <w:r w:rsidR="0079465C">
              <w:rPr>
                <w:noProof/>
                <w:webHidden/>
              </w:rPr>
              <w:tab/>
            </w:r>
            <w:r w:rsidR="0079465C">
              <w:rPr>
                <w:noProof/>
                <w:webHidden/>
              </w:rPr>
              <w:fldChar w:fldCharType="begin"/>
            </w:r>
            <w:r w:rsidR="0079465C">
              <w:rPr>
                <w:noProof/>
                <w:webHidden/>
              </w:rPr>
              <w:instrText xml:space="preserve"> PAGEREF _Toc208489229 \h </w:instrText>
            </w:r>
            <w:r w:rsidR="0079465C">
              <w:rPr>
                <w:noProof/>
                <w:webHidden/>
              </w:rPr>
            </w:r>
            <w:r w:rsidR="0079465C">
              <w:rPr>
                <w:noProof/>
                <w:webHidden/>
              </w:rPr>
              <w:fldChar w:fldCharType="separate"/>
            </w:r>
            <w:r w:rsidR="0079465C">
              <w:rPr>
                <w:noProof/>
                <w:webHidden/>
              </w:rPr>
              <w:t>70</w:t>
            </w:r>
            <w:r w:rsidR="0079465C">
              <w:rPr>
                <w:noProof/>
                <w:webHidden/>
              </w:rPr>
              <w:fldChar w:fldCharType="end"/>
            </w:r>
          </w:hyperlink>
        </w:p>
        <w:p w14:paraId="39C3C09C" w14:textId="6081E13E" w:rsidR="0079465C" w:rsidRDefault="00273C53">
          <w:pPr>
            <w:pStyle w:val="TOC1"/>
            <w:rPr>
              <w:rFonts w:eastAsiaTheme="minorEastAsia"/>
              <w:noProof/>
              <w:lang w:val="en-US"/>
            </w:rPr>
          </w:pPr>
          <w:hyperlink w:anchor="_Toc208489230" w:history="1">
            <w:r w:rsidR="0079465C" w:rsidRPr="009407C6">
              <w:rPr>
                <w:rStyle w:val="Hyperlink"/>
                <w:rFonts w:ascii="Arial" w:hAnsi="Arial" w:cs="Arial"/>
                <w:noProof/>
              </w:rPr>
              <w:t>10. Akcioni plan</w:t>
            </w:r>
            <w:r w:rsidR="0079465C">
              <w:rPr>
                <w:noProof/>
                <w:webHidden/>
              </w:rPr>
              <w:tab/>
            </w:r>
            <w:r w:rsidR="0079465C">
              <w:rPr>
                <w:noProof/>
                <w:webHidden/>
              </w:rPr>
              <w:fldChar w:fldCharType="begin"/>
            </w:r>
            <w:r w:rsidR="0079465C">
              <w:rPr>
                <w:noProof/>
                <w:webHidden/>
              </w:rPr>
              <w:instrText xml:space="preserve"> PAGEREF _Toc208489230 \h </w:instrText>
            </w:r>
            <w:r w:rsidR="0079465C">
              <w:rPr>
                <w:noProof/>
                <w:webHidden/>
              </w:rPr>
            </w:r>
            <w:r w:rsidR="0079465C">
              <w:rPr>
                <w:noProof/>
                <w:webHidden/>
              </w:rPr>
              <w:fldChar w:fldCharType="separate"/>
            </w:r>
            <w:r w:rsidR="0079465C">
              <w:rPr>
                <w:noProof/>
                <w:webHidden/>
              </w:rPr>
              <w:t>71</w:t>
            </w:r>
            <w:r w:rsidR="0079465C">
              <w:rPr>
                <w:noProof/>
                <w:webHidden/>
              </w:rPr>
              <w:fldChar w:fldCharType="end"/>
            </w:r>
          </w:hyperlink>
        </w:p>
        <w:p w14:paraId="25C0E229" w14:textId="1738F4A3" w:rsidR="0079465C" w:rsidRDefault="00273C53">
          <w:pPr>
            <w:pStyle w:val="TOC1"/>
            <w:rPr>
              <w:rFonts w:eastAsiaTheme="minorEastAsia"/>
              <w:noProof/>
              <w:lang w:val="en-US"/>
            </w:rPr>
          </w:pPr>
          <w:hyperlink w:anchor="_Toc208489231" w:history="1">
            <w:r w:rsidR="0079465C" w:rsidRPr="009407C6">
              <w:rPr>
                <w:rStyle w:val="Hyperlink"/>
                <w:rFonts w:ascii="Arial" w:hAnsi="Arial" w:cs="Arial"/>
                <w:noProof/>
              </w:rPr>
              <w:t>11. Objavljivanje</w:t>
            </w:r>
            <w:r w:rsidR="0079465C">
              <w:rPr>
                <w:noProof/>
                <w:webHidden/>
              </w:rPr>
              <w:tab/>
            </w:r>
            <w:r w:rsidR="0079465C">
              <w:rPr>
                <w:noProof/>
                <w:webHidden/>
              </w:rPr>
              <w:fldChar w:fldCharType="begin"/>
            </w:r>
            <w:r w:rsidR="0079465C">
              <w:rPr>
                <w:noProof/>
                <w:webHidden/>
              </w:rPr>
              <w:instrText xml:space="preserve"> PAGEREF _Toc208489231 \h </w:instrText>
            </w:r>
            <w:r w:rsidR="0079465C">
              <w:rPr>
                <w:noProof/>
                <w:webHidden/>
              </w:rPr>
            </w:r>
            <w:r w:rsidR="0079465C">
              <w:rPr>
                <w:noProof/>
                <w:webHidden/>
              </w:rPr>
              <w:fldChar w:fldCharType="separate"/>
            </w:r>
            <w:r w:rsidR="0079465C">
              <w:rPr>
                <w:noProof/>
                <w:webHidden/>
              </w:rPr>
              <w:t>71</w:t>
            </w:r>
            <w:r w:rsidR="0079465C">
              <w:rPr>
                <w:noProof/>
                <w:webHidden/>
              </w:rPr>
              <w:fldChar w:fldCharType="end"/>
            </w:r>
          </w:hyperlink>
        </w:p>
        <w:p w14:paraId="73B10F4A" w14:textId="0DE49D44" w:rsidR="0079465C" w:rsidRDefault="00273C53">
          <w:pPr>
            <w:pStyle w:val="TOC1"/>
            <w:rPr>
              <w:rFonts w:eastAsiaTheme="minorEastAsia"/>
              <w:noProof/>
              <w:lang w:val="en-US"/>
            </w:rPr>
          </w:pPr>
          <w:hyperlink w:anchor="_Toc208489232" w:history="1">
            <w:r w:rsidR="0079465C" w:rsidRPr="009407C6">
              <w:rPr>
                <w:rStyle w:val="Hyperlink"/>
                <w:rFonts w:ascii="Arial" w:hAnsi="Arial" w:cs="Arial"/>
                <w:noProof/>
              </w:rPr>
              <w:t>Annex I: Lista relevantnih međunarodnih standarda u oblasti prava žrtava</w:t>
            </w:r>
            <w:r w:rsidR="0079465C">
              <w:rPr>
                <w:noProof/>
                <w:webHidden/>
              </w:rPr>
              <w:tab/>
            </w:r>
            <w:r w:rsidR="0079465C">
              <w:rPr>
                <w:noProof/>
                <w:webHidden/>
              </w:rPr>
              <w:fldChar w:fldCharType="begin"/>
            </w:r>
            <w:r w:rsidR="0079465C">
              <w:rPr>
                <w:noProof/>
                <w:webHidden/>
              </w:rPr>
              <w:instrText xml:space="preserve"> PAGEREF _Toc208489232 \h </w:instrText>
            </w:r>
            <w:r w:rsidR="0079465C">
              <w:rPr>
                <w:noProof/>
                <w:webHidden/>
              </w:rPr>
            </w:r>
            <w:r w:rsidR="0079465C">
              <w:rPr>
                <w:noProof/>
                <w:webHidden/>
              </w:rPr>
              <w:fldChar w:fldCharType="separate"/>
            </w:r>
            <w:r w:rsidR="0079465C">
              <w:rPr>
                <w:noProof/>
                <w:webHidden/>
              </w:rPr>
              <w:t>72</w:t>
            </w:r>
            <w:r w:rsidR="0079465C">
              <w:rPr>
                <w:noProof/>
                <w:webHidden/>
              </w:rPr>
              <w:fldChar w:fldCharType="end"/>
            </w:r>
          </w:hyperlink>
        </w:p>
        <w:p w14:paraId="6AA48643" w14:textId="389EAFA8" w:rsidR="0079465C" w:rsidRDefault="00273C53">
          <w:pPr>
            <w:pStyle w:val="TOC1"/>
            <w:rPr>
              <w:rFonts w:eastAsiaTheme="minorEastAsia"/>
              <w:noProof/>
              <w:lang w:val="en-US"/>
            </w:rPr>
          </w:pPr>
          <w:hyperlink w:anchor="_Toc208489233" w:history="1">
            <w:r w:rsidR="0079465C" w:rsidRPr="009407C6">
              <w:rPr>
                <w:rStyle w:val="Hyperlink"/>
                <w:rFonts w:ascii="Arial" w:hAnsi="Arial" w:cs="Arial"/>
                <w:noProof/>
              </w:rPr>
              <w:t>Annex II: Izvori i literatura</w:t>
            </w:r>
            <w:r w:rsidR="0079465C">
              <w:rPr>
                <w:noProof/>
                <w:webHidden/>
              </w:rPr>
              <w:tab/>
            </w:r>
            <w:r w:rsidR="0079465C">
              <w:rPr>
                <w:noProof/>
                <w:webHidden/>
              </w:rPr>
              <w:fldChar w:fldCharType="begin"/>
            </w:r>
            <w:r w:rsidR="0079465C">
              <w:rPr>
                <w:noProof/>
                <w:webHidden/>
              </w:rPr>
              <w:instrText xml:space="preserve"> PAGEREF _Toc208489233 \h </w:instrText>
            </w:r>
            <w:r w:rsidR="0079465C">
              <w:rPr>
                <w:noProof/>
                <w:webHidden/>
              </w:rPr>
            </w:r>
            <w:r w:rsidR="0079465C">
              <w:rPr>
                <w:noProof/>
                <w:webHidden/>
              </w:rPr>
              <w:fldChar w:fldCharType="separate"/>
            </w:r>
            <w:r w:rsidR="0079465C">
              <w:rPr>
                <w:noProof/>
                <w:webHidden/>
              </w:rPr>
              <w:t>75</w:t>
            </w:r>
            <w:r w:rsidR="0079465C">
              <w:rPr>
                <w:noProof/>
                <w:webHidden/>
              </w:rPr>
              <w:fldChar w:fldCharType="end"/>
            </w:r>
          </w:hyperlink>
        </w:p>
        <w:p w14:paraId="07D27BF8" w14:textId="300DA096" w:rsidR="005414F1" w:rsidRPr="0085657D" w:rsidRDefault="005414F1" w:rsidP="005414F1">
          <w:pPr>
            <w:rPr>
              <w:rFonts w:ascii="Arial" w:hAnsi="Arial" w:cs="Arial"/>
            </w:rPr>
          </w:pPr>
          <w:r w:rsidRPr="0085657D">
            <w:rPr>
              <w:rFonts w:ascii="Arial" w:hAnsi="Arial" w:cs="Arial"/>
              <w:b/>
              <w:bCs/>
            </w:rPr>
            <w:fldChar w:fldCharType="end"/>
          </w:r>
        </w:p>
      </w:sdtContent>
    </w:sdt>
    <w:p w14:paraId="30EA7C3D" w14:textId="77777777" w:rsidR="00EC1077" w:rsidRPr="0085657D" w:rsidRDefault="00EC1077" w:rsidP="005414F1">
      <w:pPr>
        <w:spacing w:after="0"/>
        <w:rPr>
          <w:rStyle w:val="Heading1Char"/>
          <w:rFonts w:ascii="Arial" w:hAnsi="Arial" w:cs="Arial"/>
          <w:sz w:val="22"/>
          <w:szCs w:val="22"/>
          <w:lang w:val="sr-Latn-ME"/>
        </w:rPr>
      </w:pPr>
      <w:bookmarkStart w:id="3" w:name="_Toc98418392"/>
      <w:bookmarkStart w:id="4" w:name="_Toc137464837"/>
    </w:p>
    <w:p w14:paraId="2EACEAE8" w14:textId="77777777" w:rsidR="00FB1B24" w:rsidRPr="0085657D" w:rsidRDefault="00FB1B24" w:rsidP="00FB1B24">
      <w:pPr>
        <w:tabs>
          <w:tab w:val="left" w:pos="7425"/>
        </w:tabs>
        <w:spacing w:line="278" w:lineRule="auto"/>
        <w:jc w:val="left"/>
        <w:rPr>
          <w:rStyle w:val="Heading1Char"/>
          <w:rFonts w:ascii="Arial" w:hAnsi="Arial" w:cs="Arial"/>
          <w:sz w:val="22"/>
          <w:szCs w:val="22"/>
          <w:lang w:val="sr-Latn-ME"/>
        </w:rPr>
      </w:pPr>
      <w:r w:rsidRPr="0085657D">
        <w:rPr>
          <w:rStyle w:val="Heading1Char"/>
          <w:rFonts w:ascii="Arial" w:hAnsi="Arial" w:cs="Arial"/>
          <w:sz w:val="22"/>
          <w:szCs w:val="22"/>
          <w:lang w:val="sr-Latn-ME"/>
        </w:rPr>
        <w:tab/>
      </w:r>
    </w:p>
    <w:p w14:paraId="4B6325D4" w14:textId="77777777" w:rsidR="00C47459" w:rsidRDefault="00C47459" w:rsidP="00FB1B24">
      <w:pPr>
        <w:tabs>
          <w:tab w:val="left" w:pos="7425"/>
        </w:tabs>
        <w:spacing w:line="278" w:lineRule="auto"/>
        <w:jc w:val="left"/>
        <w:rPr>
          <w:rFonts w:ascii="Arial" w:eastAsiaTheme="majorEastAsia" w:hAnsi="Arial" w:cs="Arial"/>
        </w:rPr>
      </w:pPr>
    </w:p>
    <w:p w14:paraId="19DD40C4"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1FF8A48A"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743BD938"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73DB30AE"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5A791B91"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321794D2"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368388A5"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6B1A874B"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7023506C"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14B29D83"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027BB065"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2C59F645" w14:textId="00BF285D" w:rsidR="00C47459" w:rsidRDefault="00C47459" w:rsidP="00FB1B24">
      <w:pPr>
        <w:tabs>
          <w:tab w:val="left" w:pos="7425"/>
        </w:tabs>
        <w:spacing w:line="278" w:lineRule="auto"/>
        <w:jc w:val="left"/>
        <w:rPr>
          <w:rStyle w:val="Heading1Char"/>
          <w:rFonts w:ascii="Arial" w:hAnsi="Arial" w:cs="Arial"/>
          <w:sz w:val="22"/>
          <w:szCs w:val="22"/>
          <w:lang w:val="sr-Latn-ME"/>
        </w:rPr>
      </w:pPr>
    </w:p>
    <w:p w14:paraId="407C39DF" w14:textId="77777777" w:rsidR="00C22520" w:rsidRDefault="00C22520" w:rsidP="00FB1B24">
      <w:pPr>
        <w:tabs>
          <w:tab w:val="left" w:pos="7425"/>
        </w:tabs>
        <w:spacing w:line="278" w:lineRule="auto"/>
        <w:jc w:val="left"/>
        <w:rPr>
          <w:rStyle w:val="Heading1Char"/>
          <w:rFonts w:ascii="Arial" w:hAnsi="Arial" w:cs="Arial"/>
          <w:sz w:val="22"/>
          <w:szCs w:val="22"/>
          <w:lang w:val="sr-Latn-ME"/>
        </w:rPr>
      </w:pPr>
    </w:p>
    <w:p w14:paraId="6DEDBE3F" w14:textId="26FFC731" w:rsidR="00EC1077" w:rsidRDefault="009E0808" w:rsidP="009E0808">
      <w:pPr>
        <w:tabs>
          <w:tab w:val="left" w:pos="2025"/>
        </w:tabs>
        <w:spacing w:line="278" w:lineRule="auto"/>
        <w:jc w:val="left"/>
        <w:rPr>
          <w:rStyle w:val="Heading1Char"/>
          <w:rFonts w:ascii="Arial" w:hAnsi="Arial" w:cs="Arial"/>
          <w:sz w:val="22"/>
          <w:szCs w:val="22"/>
          <w:lang w:val="sr-Latn-ME"/>
        </w:rPr>
      </w:pPr>
      <w:r>
        <w:rPr>
          <w:rStyle w:val="Heading1Char"/>
          <w:rFonts w:ascii="Arial" w:hAnsi="Arial" w:cs="Arial"/>
          <w:sz w:val="22"/>
          <w:szCs w:val="22"/>
          <w:lang w:val="sr-Latn-ME"/>
        </w:rPr>
        <w:tab/>
      </w:r>
    </w:p>
    <w:p w14:paraId="78D999BF" w14:textId="77777777" w:rsidR="009E0808" w:rsidRPr="0085657D" w:rsidRDefault="009E0808" w:rsidP="0048294F">
      <w:pPr>
        <w:tabs>
          <w:tab w:val="left" w:pos="7425"/>
        </w:tabs>
        <w:spacing w:line="278" w:lineRule="auto"/>
        <w:jc w:val="left"/>
        <w:rPr>
          <w:rStyle w:val="Heading1Char"/>
          <w:rFonts w:ascii="Arial" w:hAnsi="Arial" w:cs="Arial"/>
          <w:sz w:val="22"/>
          <w:szCs w:val="22"/>
          <w:lang w:val="sr-Latn-ME"/>
        </w:rPr>
      </w:pPr>
    </w:p>
    <w:p w14:paraId="54A86973" w14:textId="77777777" w:rsidR="005414F1" w:rsidRPr="0085657D" w:rsidRDefault="005414F1" w:rsidP="0048294F">
      <w:pPr>
        <w:pStyle w:val="Heading1"/>
        <w:rPr>
          <w:rStyle w:val="Heading1Char"/>
          <w:rFonts w:ascii="Arial" w:hAnsi="Arial" w:cs="Arial"/>
          <w:sz w:val="22"/>
          <w:szCs w:val="22"/>
          <w:lang w:val="sr-Latn-ME"/>
        </w:rPr>
      </w:pPr>
      <w:bookmarkStart w:id="5" w:name="_Toc208489165"/>
      <w:r w:rsidRPr="0085657D">
        <w:rPr>
          <w:rStyle w:val="Heading1Char"/>
          <w:rFonts w:ascii="Arial" w:hAnsi="Arial" w:cs="Arial"/>
          <w:sz w:val="22"/>
          <w:szCs w:val="22"/>
          <w:lang w:val="sr-Latn-ME"/>
        </w:rPr>
        <w:t>Legenda</w:t>
      </w:r>
      <w:bookmarkEnd w:id="3"/>
      <w:bookmarkEnd w:id="4"/>
      <w:bookmarkEnd w:id="5"/>
    </w:p>
    <w:p w14:paraId="5BE256A3" w14:textId="77777777" w:rsidR="005414F1" w:rsidRPr="0085657D" w:rsidRDefault="005414F1" w:rsidP="005414F1">
      <w:pPr>
        <w:rPr>
          <w:rFonts w:ascii="Arial" w:hAnsi="Arial" w:cs="Arial"/>
        </w:rPr>
      </w:pPr>
    </w:p>
    <w:tbl>
      <w:tblPr>
        <w:tblStyle w:val="ListTable2-Accent11"/>
        <w:tblW w:w="0" w:type="auto"/>
        <w:tblLook w:val="04A0" w:firstRow="1" w:lastRow="0" w:firstColumn="1" w:lastColumn="0" w:noHBand="0" w:noVBand="1"/>
      </w:tblPr>
      <w:tblGrid>
        <w:gridCol w:w="1984"/>
        <w:gridCol w:w="7371"/>
      </w:tblGrid>
      <w:tr w:rsidR="005414F1" w:rsidRPr="0085657D" w14:paraId="691AFC85" w14:textId="77777777" w:rsidTr="003A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522A0B5" w14:textId="77777777" w:rsidR="005414F1" w:rsidRPr="0085657D" w:rsidRDefault="005414F1" w:rsidP="00C921B0">
            <w:pPr>
              <w:rPr>
                <w:rFonts w:ascii="Arial" w:hAnsi="Arial" w:cs="Arial"/>
                <w:b w:val="0"/>
                <w:bCs w:val="0"/>
              </w:rPr>
            </w:pPr>
          </w:p>
        </w:tc>
        <w:tc>
          <w:tcPr>
            <w:tcW w:w="7371" w:type="dxa"/>
          </w:tcPr>
          <w:p w14:paraId="6C7BEC09" w14:textId="77777777" w:rsidR="005414F1" w:rsidRPr="0085657D" w:rsidRDefault="005414F1" w:rsidP="00C921B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5414F1" w:rsidRPr="0085657D" w14:paraId="7D7EAF38"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B565FD8" w14:textId="1CF8EBBA" w:rsidR="005414F1" w:rsidRPr="0085657D" w:rsidRDefault="005414F1" w:rsidP="00C921B0">
            <w:pPr>
              <w:rPr>
                <w:rFonts w:ascii="Arial" w:hAnsi="Arial" w:cs="Arial"/>
              </w:rPr>
            </w:pPr>
            <w:r w:rsidRPr="0085657D">
              <w:rPr>
                <w:rFonts w:ascii="Arial" w:hAnsi="Arial" w:cs="Arial"/>
              </w:rPr>
              <w:t>AP 202</w:t>
            </w:r>
            <w:r w:rsidR="00EB58E7" w:rsidRPr="0085657D">
              <w:rPr>
                <w:rFonts w:ascii="Arial" w:hAnsi="Arial" w:cs="Arial"/>
              </w:rPr>
              <w:t>5</w:t>
            </w:r>
            <w:r w:rsidRPr="0085657D">
              <w:rPr>
                <w:rFonts w:ascii="Arial" w:hAnsi="Arial" w:cs="Arial"/>
              </w:rPr>
              <w:t>-202</w:t>
            </w:r>
            <w:r w:rsidR="00451AF9">
              <w:rPr>
                <w:rFonts w:ascii="Arial" w:hAnsi="Arial" w:cs="Arial"/>
                <w:lang w:val="sr-Cyrl-RS"/>
              </w:rPr>
              <w:t>7</w:t>
            </w:r>
            <w:r w:rsidRPr="0085657D">
              <w:rPr>
                <w:rFonts w:ascii="Arial" w:hAnsi="Arial" w:cs="Arial"/>
              </w:rPr>
              <w:t>.</w:t>
            </w:r>
          </w:p>
        </w:tc>
        <w:tc>
          <w:tcPr>
            <w:tcW w:w="7371" w:type="dxa"/>
          </w:tcPr>
          <w:p w14:paraId="4BA7C007" w14:textId="596C2BB4"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Akcioni plan za sprovođenje Strategije </w:t>
            </w:r>
            <w:r w:rsidR="00EB58E7" w:rsidRPr="0085657D">
              <w:rPr>
                <w:rFonts w:ascii="Arial" w:hAnsi="Arial" w:cs="Arial"/>
              </w:rPr>
              <w:t>za</w:t>
            </w:r>
            <w:r w:rsidR="003F04BF" w:rsidRPr="0085657D">
              <w:rPr>
                <w:rFonts w:ascii="Arial" w:hAnsi="Arial" w:cs="Arial"/>
              </w:rPr>
              <w:t>štite</w:t>
            </w:r>
            <w:r w:rsidR="00EB58E7" w:rsidRPr="0085657D">
              <w:rPr>
                <w:rFonts w:ascii="Arial" w:hAnsi="Arial" w:cs="Arial"/>
              </w:rPr>
              <w:t xml:space="preserve"> prava žrtava</w:t>
            </w:r>
            <w:r w:rsidRPr="0085657D">
              <w:rPr>
                <w:rFonts w:ascii="Arial" w:hAnsi="Arial" w:cs="Arial"/>
              </w:rPr>
              <w:t xml:space="preserve"> 202</w:t>
            </w:r>
            <w:r w:rsidR="00EB58E7" w:rsidRPr="0085657D">
              <w:rPr>
                <w:rFonts w:ascii="Arial" w:hAnsi="Arial" w:cs="Arial"/>
              </w:rPr>
              <w:t>5</w:t>
            </w:r>
            <w:r w:rsidRPr="0085657D">
              <w:rPr>
                <w:rFonts w:ascii="Arial" w:hAnsi="Arial" w:cs="Arial"/>
              </w:rPr>
              <w:t>-202</w:t>
            </w:r>
            <w:r w:rsidR="00451AF9">
              <w:rPr>
                <w:rFonts w:ascii="Arial" w:hAnsi="Arial" w:cs="Arial"/>
                <w:lang w:val="sr-Cyrl-RS"/>
              </w:rPr>
              <w:t>9</w:t>
            </w:r>
            <w:r w:rsidRPr="0085657D">
              <w:rPr>
                <w:rFonts w:ascii="Arial" w:hAnsi="Arial" w:cs="Arial"/>
              </w:rPr>
              <w:t>. (za period 202</w:t>
            </w:r>
            <w:r w:rsidR="003F04BF" w:rsidRPr="0085657D">
              <w:rPr>
                <w:rFonts w:ascii="Arial" w:hAnsi="Arial" w:cs="Arial"/>
              </w:rPr>
              <w:t>5</w:t>
            </w:r>
            <w:r w:rsidRPr="0085657D">
              <w:rPr>
                <w:rFonts w:ascii="Arial" w:hAnsi="Arial" w:cs="Arial"/>
              </w:rPr>
              <w:t>-202</w:t>
            </w:r>
            <w:r w:rsidR="00451AF9">
              <w:rPr>
                <w:rFonts w:ascii="Arial" w:hAnsi="Arial" w:cs="Arial"/>
                <w:lang w:val="sr-Cyrl-RS"/>
              </w:rPr>
              <w:t>7</w:t>
            </w:r>
            <w:r w:rsidRPr="0085657D">
              <w:rPr>
                <w:rFonts w:ascii="Arial" w:hAnsi="Arial" w:cs="Arial"/>
              </w:rPr>
              <w:t>)</w:t>
            </w:r>
          </w:p>
        </w:tc>
      </w:tr>
      <w:tr w:rsidR="003F04BF" w:rsidRPr="0085657D" w14:paraId="7B960370"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00150004" w14:textId="77777777" w:rsidR="003F04BF" w:rsidRPr="0085657D" w:rsidRDefault="003F04BF" w:rsidP="003F04BF">
            <w:pPr>
              <w:rPr>
                <w:rFonts w:ascii="Arial" w:hAnsi="Arial" w:cs="Arial"/>
              </w:rPr>
            </w:pPr>
            <w:r w:rsidRPr="0085657D">
              <w:rPr>
                <w:rFonts w:ascii="Arial" w:hAnsi="Arial" w:cs="Arial"/>
              </w:rPr>
              <w:t>AP SRP 2024-2025.</w:t>
            </w:r>
          </w:p>
        </w:tc>
        <w:tc>
          <w:tcPr>
            <w:tcW w:w="7371" w:type="dxa"/>
          </w:tcPr>
          <w:p w14:paraId="40AE58EB" w14:textId="77777777" w:rsidR="003F04BF" w:rsidRPr="0085657D" w:rsidRDefault="003F04BF" w:rsidP="003F04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Akcioni plan za implementaciju Strategije reforme pravosuđa 2024-2027. (za period 2024-2025)</w:t>
            </w:r>
          </w:p>
        </w:tc>
      </w:tr>
      <w:tr w:rsidR="003F04BF" w:rsidRPr="0085657D" w14:paraId="7EEDA202"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50EE5E2" w14:textId="77777777" w:rsidR="003F04BF" w:rsidRPr="0085657D" w:rsidRDefault="003F04BF" w:rsidP="003F04BF">
            <w:pPr>
              <w:rPr>
                <w:rFonts w:ascii="Arial" w:hAnsi="Arial" w:cs="Arial"/>
              </w:rPr>
            </w:pPr>
            <w:r w:rsidRPr="0085657D">
              <w:rPr>
                <w:rFonts w:ascii="Arial" w:eastAsia="Calibri" w:hAnsi="Arial" w:cs="Arial"/>
              </w:rPr>
              <w:t>AP SDP 2024-2025</w:t>
            </w:r>
          </w:p>
        </w:tc>
        <w:tc>
          <w:tcPr>
            <w:tcW w:w="7371" w:type="dxa"/>
          </w:tcPr>
          <w:p w14:paraId="6795F53A" w14:textId="77777777" w:rsidR="003F04BF" w:rsidRPr="0085657D" w:rsidRDefault="003F04BF" w:rsidP="003F04B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eastAsia="Calibri" w:hAnsi="Arial" w:cs="Arial"/>
              </w:rPr>
              <w:t xml:space="preserve"> Akcioni plan za  implementaciju </w:t>
            </w:r>
            <w:r w:rsidRPr="0085657D">
              <w:rPr>
                <w:rFonts w:ascii="Arial" w:hAnsi="Arial" w:cs="Arial"/>
              </w:rPr>
              <w:t xml:space="preserve">Strategije digitalizacije pravosuđa </w:t>
            </w:r>
            <w:r w:rsidRPr="0085657D">
              <w:rPr>
                <w:rFonts w:ascii="Arial" w:eastAsia="Calibri" w:hAnsi="Arial" w:cs="Arial"/>
              </w:rPr>
              <w:t xml:space="preserve">2024-2027 za period 2024-2025 </w:t>
            </w:r>
          </w:p>
        </w:tc>
      </w:tr>
      <w:tr w:rsidR="003F04BF" w:rsidRPr="0085657D" w14:paraId="701D4AE9"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7D6D3529" w14:textId="77777777" w:rsidR="003F04BF" w:rsidRPr="0085657D" w:rsidRDefault="003F04BF" w:rsidP="003F04BF">
            <w:pPr>
              <w:rPr>
                <w:rFonts w:ascii="Arial" w:eastAsia="Calibri" w:hAnsi="Arial" w:cs="Arial"/>
              </w:rPr>
            </w:pPr>
            <w:r w:rsidRPr="0085657D">
              <w:rPr>
                <w:rFonts w:ascii="Arial" w:eastAsia="Calibri" w:hAnsi="Arial" w:cs="Arial"/>
              </w:rPr>
              <w:t xml:space="preserve">CED </w:t>
            </w:r>
          </w:p>
        </w:tc>
        <w:tc>
          <w:tcPr>
            <w:tcW w:w="7371" w:type="dxa"/>
          </w:tcPr>
          <w:p w14:paraId="619D71A2" w14:textId="77777777" w:rsidR="003F04BF" w:rsidRPr="0085657D" w:rsidRDefault="003F04BF" w:rsidP="003F04B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5657D">
              <w:rPr>
                <w:rFonts w:ascii="Arial" w:eastAsia="Calibri" w:hAnsi="Arial" w:cs="Arial"/>
              </w:rPr>
              <w:t xml:space="preserve">Komitet za prisilne nestanke </w:t>
            </w:r>
            <w:r w:rsidRPr="0085657D">
              <w:rPr>
                <w:rFonts w:ascii="Arial" w:eastAsia="Calibri" w:hAnsi="Arial" w:cs="Arial"/>
                <w:i/>
                <w:iCs/>
              </w:rPr>
              <w:t>(Committee on Enfroced Disappearances)</w:t>
            </w:r>
          </w:p>
        </w:tc>
      </w:tr>
      <w:tr w:rsidR="005414F1" w:rsidRPr="0085657D" w14:paraId="4D969723"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ECFBE89" w14:textId="77777777" w:rsidR="005414F1" w:rsidRPr="0085657D" w:rsidRDefault="005414F1" w:rsidP="00C921B0">
            <w:pPr>
              <w:rPr>
                <w:rFonts w:ascii="Arial" w:hAnsi="Arial" w:cs="Arial"/>
              </w:rPr>
            </w:pPr>
            <w:r w:rsidRPr="0085657D">
              <w:rPr>
                <w:rFonts w:ascii="Arial" w:hAnsi="Arial" w:cs="Arial"/>
              </w:rPr>
              <w:t>CEDAW</w:t>
            </w:r>
          </w:p>
        </w:tc>
        <w:tc>
          <w:tcPr>
            <w:tcW w:w="7371" w:type="dxa"/>
          </w:tcPr>
          <w:p w14:paraId="72CD6B34"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85657D">
              <w:rPr>
                <w:rFonts w:ascii="Arial" w:eastAsia="Calibri" w:hAnsi="Arial" w:cs="Arial"/>
              </w:rPr>
              <w:t xml:space="preserve">Komitet za eliminaciju svih oblika diskriminacije žena </w:t>
            </w:r>
          </w:p>
        </w:tc>
      </w:tr>
      <w:tr w:rsidR="005414F1" w:rsidRPr="0085657D" w14:paraId="7AEADE8C"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2530ED43" w14:textId="77777777" w:rsidR="005414F1" w:rsidRPr="0085657D" w:rsidRDefault="005414F1" w:rsidP="00C921B0">
            <w:pPr>
              <w:rPr>
                <w:rFonts w:ascii="Arial" w:hAnsi="Arial" w:cs="Arial"/>
              </w:rPr>
            </w:pPr>
            <w:r w:rsidRPr="0085657D">
              <w:rPr>
                <w:rFonts w:ascii="Arial" w:hAnsi="Arial" w:cs="Arial"/>
              </w:rPr>
              <w:t>COSDT</w:t>
            </w:r>
          </w:p>
        </w:tc>
        <w:tc>
          <w:tcPr>
            <w:tcW w:w="7371" w:type="dxa"/>
          </w:tcPr>
          <w:p w14:paraId="610AEB1F"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Centar za obuku u sudstvu i državnom tužilaštvu</w:t>
            </w:r>
          </w:p>
        </w:tc>
      </w:tr>
      <w:tr w:rsidR="005414F1" w:rsidRPr="0085657D" w14:paraId="157FC354"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F689C58" w14:textId="77777777" w:rsidR="005414F1" w:rsidRPr="0085657D" w:rsidRDefault="005414F1" w:rsidP="00C921B0">
            <w:pPr>
              <w:rPr>
                <w:rFonts w:ascii="Arial" w:hAnsi="Arial" w:cs="Arial"/>
              </w:rPr>
            </w:pPr>
            <w:r w:rsidRPr="0085657D">
              <w:rPr>
                <w:rFonts w:ascii="Arial" w:hAnsi="Arial" w:cs="Arial"/>
              </w:rPr>
              <w:t>EK</w:t>
            </w:r>
          </w:p>
        </w:tc>
        <w:tc>
          <w:tcPr>
            <w:tcW w:w="7371" w:type="dxa"/>
          </w:tcPr>
          <w:p w14:paraId="0B429CA3"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Evropska komisija</w:t>
            </w:r>
          </w:p>
        </w:tc>
      </w:tr>
      <w:tr w:rsidR="005414F1" w:rsidRPr="0085657D" w14:paraId="7F3659B5"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1752423" w14:textId="77777777" w:rsidR="005414F1" w:rsidRPr="0085657D" w:rsidRDefault="005414F1" w:rsidP="00C921B0">
            <w:pPr>
              <w:rPr>
                <w:rFonts w:ascii="Arial" w:hAnsi="Arial" w:cs="Arial"/>
              </w:rPr>
            </w:pPr>
            <w:r w:rsidRPr="0085657D">
              <w:rPr>
                <w:rFonts w:ascii="Arial" w:hAnsi="Arial" w:cs="Arial"/>
              </w:rPr>
              <w:t>EU</w:t>
            </w:r>
          </w:p>
        </w:tc>
        <w:tc>
          <w:tcPr>
            <w:tcW w:w="7371" w:type="dxa"/>
          </w:tcPr>
          <w:p w14:paraId="65F83C83"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657D">
              <w:rPr>
                <w:rFonts w:ascii="Arial" w:hAnsi="Arial" w:cs="Arial"/>
              </w:rPr>
              <w:t>Evropska unija</w:t>
            </w:r>
          </w:p>
        </w:tc>
      </w:tr>
      <w:tr w:rsidR="005414F1" w:rsidRPr="0085657D" w14:paraId="6676C1F7"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31C7913" w14:textId="77777777" w:rsidR="005414F1" w:rsidRPr="0085657D" w:rsidRDefault="005414F1" w:rsidP="00C921B0">
            <w:pPr>
              <w:rPr>
                <w:rFonts w:ascii="Arial" w:hAnsi="Arial" w:cs="Arial"/>
              </w:rPr>
            </w:pPr>
            <w:r w:rsidRPr="0085657D">
              <w:rPr>
                <w:rFonts w:ascii="Arial" w:hAnsi="Arial" w:cs="Arial"/>
              </w:rPr>
              <w:t>GRETA</w:t>
            </w:r>
          </w:p>
        </w:tc>
        <w:tc>
          <w:tcPr>
            <w:tcW w:w="7371" w:type="dxa"/>
          </w:tcPr>
          <w:p w14:paraId="565DC5B6" w14:textId="77777777" w:rsidR="005414F1" w:rsidRPr="0085657D" w:rsidRDefault="005414F1" w:rsidP="00C921B0">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Grupa eksperata za akciju protiv trgovine ljudima (</w:t>
            </w:r>
            <w:r w:rsidRPr="0085657D">
              <w:rPr>
                <w:rFonts w:ascii="Arial" w:hAnsi="Arial" w:cs="Arial"/>
                <w:i/>
                <w:iCs/>
              </w:rPr>
              <w:t>Group of Experts on Action against Trafficking in Human Beings)</w:t>
            </w:r>
          </w:p>
        </w:tc>
      </w:tr>
      <w:tr w:rsidR="005414F1" w:rsidRPr="0085657D" w14:paraId="5358366A"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74FBFB51" w14:textId="77777777" w:rsidR="005414F1" w:rsidRPr="0085657D" w:rsidRDefault="005414F1" w:rsidP="00C921B0">
            <w:pPr>
              <w:rPr>
                <w:rFonts w:ascii="Arial" w:hAnsi="Arial" w:cs="Arial"/>
              </w:rPr>
            </w:pPr>
            <w:r w:rsidRPr="0085657D">
              <w:rPr>
                <w:rFonts w:ascii="Arial" w:hAnsi="Arial" w:cs="Arial"/>
              </w:rPr>
              <w:t>GREVIO</w:t>
            </w:r>
          </w:p>
        </w:tc>
        <w:tc>
          <w:tcPr>
            <w:tcW w:w="7371" w:type="dxa"/>
          </w:tcPr>
          <w:p w14:paraId="01E5436C" w14:textId="77777777" w:rsidR="005414F1" w:rsidRPr="0085657D" w:rsidRDefault="005414F1" w:rsidP="00C921B0">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 xml:space="preserve">Grupa eksperata za akciju protiv nasilja nad ženama i porodičnog nasilja </w:t>
            </w:r>
            <w:r w:rsidRPr="0085657D">
              <w:rPr>
                <w:rFonts w:ascii="Arial" w:hAnsi="Arial" w:cs="Arial"/>
                <w:i/>
                <w:iCs/>
              </w:rPr>
              <w:t>(Group of Experts on Action against Violence against Women and Domestic Violence)</w:t>
            </w:r>
          </w:p>
        </w:tc>
      </w:tr>
      <w:tr w:rsidR="005414F1" w:rsidRPr="0085657D" w14:paraId="6F533B87"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A2C527A" w14:textId="77777777" w:rsidR="005414F1" w:rsidRPr="0085657D" w:rsidRDefault="005414F1" w:rsidP="00C921B0">
            <w:pPr>
              <w:rPr>
                <w:rFonts w:ascii="Arial" w:hAnsi="Arial" w:cs="Arial"/>
              </w:rPr>
            </w:pPr>
            <w:r w:rsidRPr="0085657D">
              <w:rPr>
                <w:rFonts w:ascii="Arial" w:hAnsi="Arial" w:cs="Arial"/>
              </w:rPr>
              <w:t>HRA</w:t>
            </w:r>
          </w:p>
        </w:tc>
        <w:tc>
          <w:tcPr>
            <w:tcW w:w="7371" w:type="dxa"/>
          </w:tcPr>
          <w:p w14:paraId="11651E97"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Akcija za ljudska prava</w:t>
            </w:r>
          </w:p>
        </w:tc>
      </w:tr>
      <w:tr w:rsidR="003F04BF" w:rsidRPr="0085657D" w14:paraId="4D398A3F"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71F9E7B" w14:textId="77777777" w:rsidR="003F04BF" w:rsidRPr="0085657D" w:rsidRDefault="003F04BF" w:rsidP="003F04BF">
            <w:pPr>
              <w:rPr>
                <w:rFonts w:ascii="Arial" w:hAnsi="Arial" w:cs="Arial"/>
              </w:rPr>
            </w:pPr>
            <w:r w:rsidRPr="0085657D">
              <w:rPr>
                <w:rFonts w:ascii="Arial" w:hAnsi="Arial" w:cs="Arial"/>
              </w:rPr>
              <w:t>ICPPED</w:t>
            </w:r>
          </w:p>
        </w:tc>
        <w:tc>
          <w:tcPr>
            <w:tcW w:w="7371" w:type="dxa"/>
          </w:tcPr>
          <w:p w14:paraId="430FB903" w14:textId="77777777" w:rsidR="003F04BF" w:rsidRPr="0085657D" w:rsidRDefault="003F04BF" w:rsidP="003F04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Međunarodna konvencija o zaštiti svih lica od prisilnih nestanaka</w:t>
            </w:r>
          </w:p>
        </w:tc>
      </w:tr>
      <w:tr w:rsidR="005414F1" w:rsidRPr="0085657D" w14:paraId="730F7BC1"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3796AC7" w14:textId="77777777" w:rsidR="005414F1" w:rsidRPr="0085657D" w:rsidRDefault="005414F1" w:rsidP="00C921B0">
            <w:pPr>
              <w:rPr>
                <w:rFonts w:ascii="Arial" w:hAnsi="Arial" w:cs="Arial"/>
              </w:rPr>
            </w:pPr>
            <w:r w:rsidRPr="0085657D">
              <w:rPr>
                <w:rFonts w:ascii="Arial" w:hAnsi="Arial" w:cs="Arial"/>
              </w:rPr>
              <w:t>KZ</w:t>
            </w:r>
          </w:p>
        </w:tc>
        <w:tc>
          <w:tcPr>
            <w:tcW w:w="7371" w:type="dxa"/>
          </w:tcPr>
          <w:p w14:paraId="5402309B"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Krivični zakonik Crne Gore</w:t>
            </w:r>
          </w:p>
        </w:tc>
      </w:tr>
      <w:tr w:rsidR="008A0A66" w:rsidRPr="0085657D" w14:paraId="76AD295F"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340B85F6" w14:textId="77777777" w:rsidR="008A0A66" w:rsidRPr="0085657D" w:rsidRDefault="008A0A66" w:rsidP="00C921B0">
            <w:pPr>
              <w:rPr>
                <w:rFonts w:ascii="Arial" w:hAnsi="Arial" w:cs="Arial"/>
              </w:rPr>
            </w:pPr>
            <w:r w:rsidRPr="0085657D">
              <w:rPr>
                <w:rFonts w:ascii="Arial" w:hAnsi="Arial" w:cs="Arial"/>
              </w:rPr>
              <w:t>MUP</w:t>
            </w:r>
          </w:p>
        </w:tc>
        <w:tc>
          <w:tcPr>
            <w:tcW w:w="7371" w:type="dxa"/>
          </w:tcPr>
          <w:p w14:paraId="391F091B" w14:textId="77777777" w:rsidR="008A0A66" w:rsidRPr="0085657D" w:rsidRDefault="008A0A66"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Ministarstvo unutrašnjih poslova</w:t>
            </w:r>
          </w:p>
        </w:tc>
      </w:tr>
      <w:tr w:rsidR="005414F1" w:rsidRPr="0085657D" w14:paraId="27A44D58"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C19162C" w14:textId="77777777" w:rsidR="005414F1" w:rsidRPr="0085657D" w:rsidRDefault="005414F1" w:rsidP="00C921B0">
            <w:pPr>
              <w:rPr>
                <w:rFonts w:ascii="Arial" w:hAnsi="Arial" w:cs="Arial"/>
                <w:bCs w:val="0"/>
              </w:rPr>
            </w:pPr>
            <w:r w:rsidRPr="0085657D">
              <w:rPr>
                <w:rFonts w:ascii="Arial" w:hAnsi="Arial" w:cs="Arial"/>
                <w:bCs w:val="0"/>
              </w:rPr>
              <w:t>NVO</w:t>
            </w:r>
          </w:p>
        </w:tc>
        <w:tc>
          <w:tcPr>
            <w:tcW w:w="7371" w:type="dxa"/>
          </w:tcPr>
          <w:p w14:paraId="19748F25"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Nevladine organizacije</w:t>
            </w:r>
          </w:p>
        </w:tc>
      </w:tr>
      <w:tr w:rsidR="005414F1" w:rsidRPr="0085657D" w14:paraId="432D7767"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537E6B5" w14:textId="77777777" w:rsidR="005414F1" w:rsidRPr="0085657D" w:rsidRDefault="005414F1" w:rsidP="00C921B0">
            <w:pPr>
              <w:rPr>
                <w:rFonts w:ascii="Arial" w:hAnsi="Arial" w:cs="Arial"/>
                <w:bCs w:val="0"/>
              </w:rPr>
            </w:pPr>
            <w:r w:rsidRPr="0085657D">
              <w:rPr>
                <w:rFonts w:ascii="Arial" w:hAnsi="Arial" w:cs="Arial"/>
                <w:bCs w:val="0"/>
                <w:color w:val="000000"/>
              </w:rPr>
              <w:t>OCD</w:t>
            </w:r>
          </w:p>
        </w:tc>
        <w:tc>
          <w:tcPr>
            <w:tcW w:w="7371" w:type="dxa"/>
          </w:tcPr>
          <w:p w14:paraId="2C9AA15F"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Organizacije civilnog društva</w:t>
            </w:r>
          </w:p>
        </w:tc>
      </w:tr>
      <w:tr w:rsidR="005414F1" w:rsidRPr="0085657D" w14:paraId="1E2C90BA"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24A859B" w14:textId="77777777" w:rsidR="005414F1" w:rsidRPr="0085657D" w:rsidRDefault="005414F1" w:rsidP="00C921B0">
            <w:pPr>
              <w:rPr>
                <w:rFonts w:ascii="Arial" w:hAnsi="Arial" w:cs="Arial"/>
                <w:bCs w:val="0"/>
              </w:rPr>
            </w:pPr>
            <w:r w:rsidRPr="0085657D">
              <w:rPr>
                <w:rFonts w:ascii="Arial" w:hAnsi="Arial" w:cs="Arial"/>
                <w:bCs w:val="0"/>
              </w:rPr>
              <w:t>PG. 23</w:t>
            </w:r>
          </w:p>
        </w:tc>
        <w:tc>
          <w:tcPr>
            <w:tcW w:w="7371" w:type="dxa"/>
          </w:tcPr>
          <w:p w14:paraId="3FF46752"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Poglavlje 23</w:t>
            </w:r>
          </w:p>
        </w:tc>
      </w:tr>
      <w:tr w:rsidR="0053498D" w:rsidRPr="0085657D" w14:paraId="3385926C"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2EB9048A" w14:textId="77777777" w:rsidR="0053498D" w:rsidRPr="0085657D" w:rsidRDefault="0053498D" w:rsidP="00C921B0">
            <w:pPr>
              <w:rPr>
                <w:rFonts w:ascii="Arial" w:hAnsi="Arial" w:cs="Arial"/>
              </w:rPr>
            </w:pPr>
            <w:r w:rsidRPr="0085657D">
              <w:rPr>
                <w:rFonts w:ascii="Arial" w:hAnsi="Arial" w:cs="Arial"/>
              </w:rPr>
              <w:t>SDT</w:t>
            </w:r>
          </w:p>
        </w:tc>
        <w:tc>
          <w:tcPr>
            <w:tcW w:w="7371" w:type="dxa"/>
          </w:tcPr>
          <w:p w14:paraId="0AEFFB3A" w14:textId="77777777" w:rsidR="0053498D" w:rsidRPr="0085657D" w:rsidRDefault="0053498D"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Specijalno državno tužilaštvo</w:t>
            </w:r>
          </w:p>
        </w:tc>
      </w:tr>
      <w:tr w:rsidR="005414F1" w:rsidRPr="0085657D" w14:paraId="2DF9CA4B"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64F1579" w14:textId="77777777" w:rsidR="005414F1" w:rsidRPr="0085657D" w:rsidRDefault="005414F1" w:rsidP="00C921B0">
            <w:pPr>
              <w:rPr>
                <w:rFonts w:ascii="Arial" w:hAnsi="Arial" w:cs="Arial"/>
              </w:rPr>
            </w:pPr>
            <w:r w:rsidRPr="0085657D">
              <w:rPr>
                <w:rFonts w:ascii="Arial" w:hAnsi="Arial" w:cs="Arial"/>
              </w:rPr>
              <w:t>SS</w:t>
            </w:r>
          </w:p>
        </w:tc>
        <w:tc>
          <w:tcPr>
            <w:tcW w:w="7371" w:type="dxa"/>
          </w:tcPr>
          <w:p w14:paraId="42F78D70"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Sudski savjet </w:t>
            </w:r>
          </w:p>
        </w:tc>
      </w:tr>
      <w:tr w:rsidR="005414F1" w:rsidRPr="0085657D" w14:paraId="3D44EE9A"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2D27975" w14:textId="77777777" w:rsidR="005414F1" w:rsidRPr="0085657D" w:rsidRDefault="005414F1" w:rsidP="00C921B0">
            <w:pPr>
              <w:rPr>
                <w:rFonts w:ascii="Arial" w:hAnsi="Arial" w:cs="Arial"/>
              </w:rPr>
            </w:pPr>
            <w:r w:rsidRPr="0085657D">
              <w:rPr>
                <w:rFonts w:ascii="Arial" w:hAnsi="Arial" w:cs="Arial"/>
              </w:rPr>
              <w:t>SSP</w:t>
            </w:r>
          </w:p>
        </w:tc>
        <w:tc>
          <w:tcPr>
            <w:tcW w:w="7371" w:type="dxa"/>
          </w:tcPr>
          <w:p w14:paraId="3F8A7205"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Sporazum o stabilizaciji i pridruživanju</w:t>
            </w:r>
          </w:p>
        </w:tc>
      </w:tr>
      <w:tr w:rsidR="005414F1" w:rsidRPr="0085657D" w14:paraId="381584E8"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8825A0C" w14:textId="77777777" w:rsidR="005414F1" w:rsidRPr="0085657D" w:rsidRDefault="005414F1" w:rsidP="00C921B0">
            <w:pPr>
              <w:rPr>
                <w:rFonts w:ascii="Arial" w:hAnsi="Arial" w:cs="Arial"/>
              </w:rPr>
            </w:pPr>
            <w:r w:rsidRPr="0085657D">
              <w:rPr>
                <w:rFonts w:ascii="Arial" w:hAnsi="Arial" w:cs="Arial"/>
              </w:rPr>
              <w:t>TS</w:t>
            </w:r>
          </w:p>
        </w:tc>
        <w:tc>
          <w:tcPr>
            <w:tcW w:w="7371" w:type="dxa"/>
          </w:tcPr>
          <w:p w14:paraId="5BC53881"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Tužilački savjet </w:t>
            </w:r>
          </w:p>
        </w:tc>
      </w:tr>
      <w:tr w:rsidR="005414F1" w:rsidRPr="0085657D" w14:paraId="6709F83F"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2C987C2B" w14:textId="77777777" w:rsidR="005414F1" w:rsidRPr="0085657D" w:rsidRDefault="005414F1" w:rsidP="00C921B0">
            <w:pPr>
              <w:rPr>
                <w:rFonts w:ascii="Arial" w:hAnsi="Arial" w:cs="Arial"/>
              </w:rPr>
            </w:pPr>
            <w:r w:rsidRPr="0085657D">
              <w:rPr>
                <w:rFonts w:ascii="Arial" w:hAnsi="Arial" w:cs="Arial"/>
              </w:rPr>
              <w:t>UN</w:t>
            </w:r>
          </w:p>
        </w:tc>
        <w:tc>
          <w:tcPr>
            <w:tcW w:w="7371" w:type="dxa"/>
          </w:tcPr>
          <w:p w14:paraId="70E046D3"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Ujedinjene nacije</w:t>
            </w:r>
          </w:p>
        </w:tc>
      </w:tr>
      <w:tr w:rsidR="005414F1" w:rsidRPr="0085657D" w14:paraId="04F16C1F"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48582CD" w14:textId="77777777" w:rsidR="005414F1" w:rsidRPr="0085657D" w:rsidRDefault="005414F1" w:rsidP="00C921B0">
            <w:pPr>
              <w:rPr>
                <w:rFonts w:ascii="Arial" w:hAnsi="Arial" w:cs="Arial"/>
              </w:rPr>
            </w:pPr>
            <w:r w:rsidRPr="0085657D">
              <w:rPr>
                <w:rFonts w:ascii="Arial" w:hAnsi="Arial" w:cs="Arial"/>
              </w:rPr>
              <w:t>VDT</w:t>
            </w:r>
          </w:p>
        </w:tc>
        <w:tc>
          <w:tcPr>
            <w:tcW w:w="7371" w:type="dxa"/>
          </w:tcPr>
          <w:p w14:paraId="10F793E5"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Vrhovno državno tužilaštvo </w:t>
            </w:r>
          </w:p>
        </w:tc>
      </w:tr>
      <w:tr w:rsidR="005414F1" w:rsidRPr="0085657D" w14:paraId="60BCCF28"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3CCD9004" w14:textId="77777777" w:rsidR="005414F1" w:rsidRPr="0085657D" w:rsidRDefault="005414F1" w:rsidP="00C921B0">
            <w:pPr>
              <w:rPr>
                <w:rFonts w:ascii="Arial" w:hAnsi="Arial" w:cs="Arial"/>
              </w:rPr>
            </w:pPr>
            <w:r w:rsidRPr="0085657D">
              <w:rPr>
                <w:rFonts w:ascii="Arial" w:hAnsi="Arial" w:cs="Arial"/>
              </w:rPr>
              <w:t>VS</w:t>
            </w:r>
          </w:p>
        </w:tc>
        <w:tc>
          <w:tcPr>
            <w:tcW w:w="7371" w:type="dxa"/>
          </w:tcPr>
          <w:p w14:paraId="351AD07B"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Vrhovni sud Crne Gore</w:t>
            </w:r>
          </w:p>
        </w:tc>
      </w:tr>
      <w:tr w:rsidR="005414F1" w:rsidRPr="0085657D" w14:paraId="6534FCDF"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6640E84" w14:textId="77777777" w:rsidR="005414F1" w:rsidRPr="0085657D" w:rsidRDefault="005414F1" w:rsidP="00C921B0">
            <w:pPr>
              <w:rPr>
                <w:rFonts w:ascii="Arial" w:hAnsi="Arial" w:cs="Arial"/>
              </w:rPr>
            </w:pPr>
            <w:r w:rsidRPr="0085657D">
              <w:rPr>
                <w:rFonts w:ascii="Arial" w:hAnsi="Arial" w:cs="Arial"/>
              </w:rPr>
              <w:t>ZKP</w:t>
            </w:r>
          </w:p>
        </w:tc>
        <w:tc>
          <w:tcPr>
            <w:tcW w:w="7371" w:type="dxa"/>
          </w:tcPr>
          <w:p w14:paraId="078DC7C1"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Zakonik o krivičnom postupku</w:t>
            </w:r>
          </w:p>
        </w:tc>
      </w:tr>
    </w:tbl>
    <w:p w14:paraId="3CD5D4F9" w14:textId="77777777" w:rsidR="005414F1" w:rsidRPr="0085657D" w:rsidRDefault="005414F1" w:rsidP="005414F1">
      <w:pPr>
        <w:rPr>
          <w:rFonts w:ascii="Arial" w:hAnsi="Arial" w:cs="Arial"/>
        </w:rPr>
      </w:pPr>
    </w:p>
    <w:p w14:paraId="725825C0" w14:textId="77777777" w:rsidR="00820F52" w:rsidRPr="0085657D" w:rsidRDefault="005414F1" w:rsidP="00EC1B8D">
      <w:pPr>
        <w:spacing w:after="0"/>
        <w:rPr>
          <w:rFonts w:ascii="Arial" w:eastAsiaTheme="majorEastAsia" w:hAnsi="Arial" w:cs="Arial"/>
          <w:color w:val="0F4761" w:themeColor="accent1" w:themeShade="BF"/>
          <w:kern w:val="2"/>
          <w14:ligatures w14:val="standardContextual"/>
        </w:rPr>
      </w:pPr>
      <w:r w:rsidRPr="0085657D">
        <w:rPr>
          <w:rFonts w:ascii="Arial" w:eastAsiaTheme="majorEastAsia" w:hAnsi="Arial" w:cs="Arial"/>
          <w:color w:val="0F4761" w:themeColor="accent1" w:themeShade="BF"/>
          <w:kern w:val="2"/>
          <w14:ligatures w14:val="standardContextual"/>
        </w:rPr>
        <w:br w:type="page"/>
      </w:r>
    </w:p>
    <w:p w14:paraId="3AAD3A06" w14:textId="77777777" w:rsidR="005414F1" w:rsidRPr="0085657D" w:rsidRDefault="005414F1" w:rsidP="00595DE2">
      <w:pPr>
        <w:pStyle w:val="Heading1"/>
        <w:numPr>
          <w:ilvl w:val="0"/>
          <w:numId w:val="5"/>
        </w:numPr>
        <w:rPr>
          <w:rFonts w:ascii="Arial" w:hAnsi="Arial" w:cs="Arial"/>
          <w:sz w:val="22"/>
          <w:szCs w:val="22"/>
        </w:rPr>
      </w:pPr>
      <w:bookmarkStart w:id="6" w:name="_Toc208489166"/>
      <w:r w:rsidRPr="0085657D">
        <w:rPr>
          <w:rFonts w:ascii="Arial" w:hAnsi="Arial" w:cs="Arial"/>
          <w:sz w:val="22"/>
          <w:szCs w:val="22"/>
        </w:rPr>
        <w:lastRenderedPageBreak/>
        <w:t>UVOD</w:t>
      </w:r>
      <w:bookmarkEnd w:id="6"/>
    </w:p>
    <w:p w14:paraId="2297DB03" w14:textId="77777777" w:rsidR="005414F1" w:rsidRPr="0085657D" w:rsidRDefault="005414F1" w:rsidP="005414F1">
      <w:pPr>
        <w:rPr>
          <w:rFonts w:ascii="Arial" w:hAnsi="Arial" w:cs="Arial"/>
        </w:rPr>
      </w:pPr>
    </w:p>
    <w:p w14:paraId="36B9CBF8" w14:textId="43CBF408" w:rsidR="005414F1" w:rsidRPr="0085657D" w:rsidRDefault="005414F1" w:rsidP="00595DE2">
      <w:pPr>
        <w:pStyle w:val="Heading2"/>
        <w:numPr>
          <w:ilvl w:val="1"/>
          <w:numId w:val="5"/>
        </w:numPr>
        <w:rPr>
          <w:rFonts w:ascii="Arial" w:hAnsi="Arial" w:cs="Arial"/>
          <w:sz w:val="22"/>
          <w:szCs w:val="22"/>
        </w:rPr>
      </w:pPr>
      <w:bookmarkStart w:id="7" w:name="_Toc208489167"/>
      <w:r w:rsidRPr="0085657D">
        <w:rPr>
          <w:rFonts w:ascii="Arial" w:hAnsi="Arial" w:cs="Arial"/>
          <w:sz w:val="22"/>
          <w:szCs w:val="22"/>
        </w:rPr>
        <w:t xml:space="preserve">Svrha donošenja Strategije </w:t>
      </w:r>
      <w:r w:rsidR="00622DDC" w:rsidRPr="0085657D">
        <w:rPr>
          <w:rFonts w:ascii="Arial" w:hAnsi="Arial" w:cs="Arial"/>
          <w:sz w:val="22"/>
          <w:szCs w:val="22"/>
        </w:rPr>
        <w:t>za</w:t>
      </w:r>
      <w:r w:rsidR="00AF6A23" w:rsidRPr="0085657D">
        <w:rPr>
          <w:rFonts w:ascii="Arial" w:hAnsi="Arial" w:cs="Arial"/>
          <w:sz w:val="22"/>
          <w:szCs w:val="22"/>
        </w:rPr>
        <w:t>š</w:t>
      </w:r>
      <w:r w:rsidR="00B41004" w:rsidRPr="0085657D">
        <w:rPr>
          <w:rFonts w:ascii="Arial" w:hAnsi="Arial" w:cs="Arial"/>
          <w:sz w:val="22"/>
          <w:szCs w:val="22"/>
        </w:rPr>
        <w:t>tite</w:t>
      </w:r>
      <w:r w:rsidR="00622DDC" w:rsidRPr="0085657D">
        <w:rPr>
          <w:rFonts w:ascii="Arial" w:hAnsi="Arial" w:cs="Arial"/>
          <w:sz w:val="22"/>
          <w:szCs w:val="22"/>
        </w:rPr>
        <w:t xml:space="preserve"> prava žrtava krivičnih djela</w:t>
      </w:r>
      <w:r w:rsidRPr="0085657D">
        <w:rPr>
          <w:rFonts w:ascii="Arial" w:hAnsi="Arial" w:cs="Arial"/>
          <w:sz w:val="22"/>
          <w:szCs w:val="22"/>
        </w:rPr>
        <w:t xml:space="preserve"> 202</w:t>
      </w:r>
      <w:r w:rsidR="00622DDC" w:rsidRPr="0085657D">
        <w:rPr>
          <w:rFonts w:ascii="Arial" w:hAnsi="Arial" w:cs="Arial"/>
          <w:sz w:val="22"/>
          <w:szCs w:val="22"/>
        </w:rPr>
        <w:t>5</w:t>
      </w:r>
      <w:r w:rsidRPr="0085657D">
        <w:rPr>
          <w:rFonts w:ascii="Arial" w:hAnsi="Arial" w:cs="Arial"/>
          <w:sz w:val="22"/>
          <w:szCs w:val="22"/>
        </w:rPr>
        <w:t>-202</w:t>
      </w:r>
      <w:r w:rsidR="005839B9">
        <w:rPr>
          <w:rFonts w:ascii="Arial" w:hAnsi="Arial" w:cs="Arial"/>
          <w:sz w:val="22"/>
          <w:szCs w:val="22"/>
        </w:rPr>
        <w:t>9</w:t>
      </w:r>
      <w:r w:rsidR="00622DDC" w:rsidRPr="0085657D">
        <w:rPr>
          <w:rFonts w:ascii="Arial" w:hAnsi="Arial" w:cs="Arial"/>
          <w:sz w:val="22"/>
          <w:szCs w:val="22"/>
        </w:rPr>
        <w:t>.</w:t>
      </w:r>
      <w:bookmarkEnd w:id="7"/>
    </w:p>
    <w:p w14:paraId="10D2C6AF" w14:textId="77777777" w:rsidR="005414F1" w:rsidRPr="0085657D" w:rsidRDefault="005414F1" w:rsidP="005414F1">
      <w:pPr>
        <w:rPr>
          <w:rFonts w:ascii="Arial" w:hAnsi="Arial" w:cs="Arial"/>
        </w:rPr>
      </w:pPr>
    </w:p>
    <w:p w14:paraId="011CD609" w14:textId="5A408EC0" w:rsidR="005414F1" w:rsidRPr="0085657D" w:rsidRDefault="005414F1" w:rsidP="00374F48">
      <w:pPr>
        <w:spacing w:line="276" w:lineRule="auto"/>
        <w:rPr>
          <w:rFonts w:ascii="Arial" w:eastAsia="Calibri" w:hAnsi="Arial" w:cs="Arial"/>
        </w:rPr>
      </w:pPr>
      <w:r w:rsidRPr="0085657D">
        <w:rPr>
          <w:rFonts w:ascii="Arial" w:eastAsia="Calibri" w:hAnsi="Arial" w:cs="Arial"/>
        </w:rPr>
        <w:t>S</w:t>
      </w:r>
      <w:r w:rsidR="004E2B4D" w:rsidRPr="0085657D">
        <w:rPr>
          <w:rFonts w:ascii="Arial" w:eastAsia="Calibri" w:hAnsi="Arial" w:cs="Arial"/>
        </w:rPr>
        <w:t>vrha</w:t>
      </w:r>
      <w:r w:rsidRPr="0085657D">
        <w:rPr>
          <w:rFonts w:ascii="Arial" w:eastAsia="Calibri" w:hAnsi="Arial" w:cs="Arial"/>
        </w:rPr>
        <w:t xml:space="preserve"> </w:t>
      </w:r>
      <w:r w:rsidR="0057136A" w:rsidRPr="0085657D">
        <w:rPr>
          <w:rFonts w:ascii="Arial" w:eastAsia="Calibri" w:hAnsi="Arial" w:cs="Arial"/>
        </w:rPr>
        <w:t>donošenja Strategije za</w:t>
      </w:r>
      <w:r w:rsidR="003F04BF" w:rsidRPr="0085657D">
        <w:rPr>
          <w:rFonts w:ascii="Arial" w:eastAsia="Calibri" w:hAnsi="Arial" w:cs="Arial"/>
        </w:rPr>
        <w:t>štite</w:t>
      </w:r>
      <w:r w:rsidR="0057136A" w:rsidRPr="0085657D">
        <w:rPr>
          <w:rFonts w:ascii="Arial" w:eastAsia="Calibri" w:hAnsi="Arial" w:cs="Arial"/>
        </w:rPr>
        <w:t xml:space="preserve"> prava žrtava krivičnih djela</w:t>
      </w:r>
      <w:r w:rsidRPr="0085657D">
        <w:rPr>
          <w:rFonts w:ascii="Arial" w:eastAsia="Calibri" w:hAnsi="Arial" w:cs="Arial"/>
        </w:rPr>
        <w:t xml:space="preserve"> 202</w:t>
      </w:r>
      <w:r w:rsidR="0057136A" w:rsidRPr="0085657D">
        <w:rPr>
          <w:rFonts w:ascii="Arial" w:eastAsia="Calibri" w:hAnsi="Arial" w:cs="Arial"/>
        </w:rPr>
        <w:t>5</w:t>
      </w:r>
      <w:r w:rsidRPr="0085657D">
        <w:rPr>
          <w:rFonts w:ascii="Arial" w:eastAsia="Calibri" w:hAnsi="Arial" w:cs="Arial"/>
        </w:rPr>
        <w:t>-202</w:t>
      </w:r>
      <w:r w:rsidR="005839B9">
        <w:rPr>
          <w:rFonts w:ascii="Arial" w:eastAsia="Calibri" w:hAnsi="Arial" w:cs="Arial"/>
        </w:rPr>
        <w:t>9</w:t>
      </w:r>
      <w:r w:rsidR="00801D37" w:rsidRPr="0085657D">
        <w:rPr>
          <w:rFonts w:ascii="Arial" w:eastAsia="Calibri" w:hAnsi="Arial" w:cs="Arial"/>
        </w:rPr>
        <w:t>.</w:t>
      </w:r>
      <w:r w:rsidRPr="0085657D">
        <w:rPr>
          <w:rFonts w:ascii="Arial" w:eastAsia="Calibri" w:hAnsi="Arial" w:cs="Arial"/>
        </w:rPr>
        <w:t xml:space="preserve"> (u daljem tekstu: S</w:t>
      </w:r>
      <w:r w:rsidR="003F04BF" w:rsidRPr="0085657D">
        <w:rPr>
          <w:rFonts w:ascii="Arial" w:eastAsia="Calibri" w:hAnsi="Arial" w:cs="Arial"/>
        </w:rPr>
        <w:t>ZPŽ</w:t>
      </w:r>
      <w:r w:rsidRPr="0085657D">
        <w:rPr>
          <w:rFonts w:ascii="Arial" w:eastAsia="Calibri" w:hAnsi="Arial" w:cs="Arial"/>
        </w:rPr>
        <w:t xml:space="preserve"> 202</w:t>
      </w:r>
      <w:r w:rsidR="0057136A" w:rsidRPr="0085657D">
        <w:rPr>
          <w:rFonts w:ascii="Arial" w:eastAsia="Calibri" w:hAnsi="Arial" w:cs="Arial"/>
        </w:rPr>
        <w:t>5</w:t>
      </w:r>
      <w:r w:rsidRPr="0085657D">
        <w:rPr>
          <w:rFonts w:ascii="Arial" w:eastAsia="Calibri" w:hAnsi="Arial" w:cs="Arial"/>
        </w:rPr>
        <w:t>-202</w:t>
      </w:r>
      <w:r w:rsidR="005839B9">
        <w:rPr>
          <w:rFonts w:ascii="Arial" w:eastAsia="Calibri" w:hAnsi="Arial" w:cs="Arial"/>
        </w:rPr>
        <w:t>9</w:t>
      </w:r>
      <w:r w:rsidR="00801D37" w:rsidRPr="0085657D">
        <w:rPr>
          <w:rFonts w:ascii="Arial" w:eastAsia="Calibri" w:hAnsi="Arial" w:cs="Arial"/>
        </w:rPr>
        <w:t>.</w:t>
      </w:r>
      <w:r w:rsidRPr="0085657D">
        <w:rPr>
          <w:rFonts w:ascii="Arial" w:eastAsia="Calibri" w:hAnsi="Arial" w:cs="Arial"/>
        </w:rPr>
        <w:t xml:space="preserve">) predstavlja sektorski strateški dokument razvijen sa ciljem da se obezbijedi </w:t>
      </w:r>
      <w:r w:rsidR="0057136A" w:rsidRPr="0085657D">
        <w:rPr>
          <w:rFonts w:ascii="Arial" w:eastAsia="Calibri" w:hAnsi="Arial" w:cs="Arial"/>
        </w:rPr>
        <w:t>strateški pristup</w:t>
      </w:r>
      <w:r w:rsidRPr="0085657D">
        <w:rPr>
          <w:rFonts w:ascii="Arial" w:eastAsia="Calibri" w:hAnsi="Arial" w:cs="Arial"/>
        </w:rPr>
        <w:t xml:space="preserve"> zasnovan na dugoročnom planiranju javnih politika</w:t>
      </w:r>
      <w:r w:rsidR="0057136A" w:rsidRPr="0085657D">
        <w:rPr>
          <w:rFonts w:ascii="Arial" w:eastAsia="Calibri" w:hAnsi="Arial" w:cs="Arial"/>
        </w:rPr>
        <w:t>. Temelji, kao i neposredna obaveza izrade i usvajanja ovog strateškog dokumenta postavljeni su Strategijom reforme pravosuđa (u daljem tekstu: SRP 2024-2027</w:t>
      </w:r>
      <w:r w:rsidR="00801D37" w:rsidRPr="0085657D">
        <w:rPr>
          <w:rFonts w:ascii="Arial" w:eastAsia="Calibri" w:hAnsi="Arial" w:cs="Arial"/>
        </w:rPr>
        <w:t>.</w:t>
      </w:r>
      <w:r w:rsidR="0057136A" w:rsidRPr="0085657D">
        <w:rPr>
          <w:rFonts w:ascii="Arial" w:eastAsia="Calibri" w:hAnsi="Arial" w:cs="Arial"/>
        </w:rPr>
        <w:t>) sa pratećim Akcionim planom za period 2024-2025. godine.</w:t>
      </w:r>
      <w:r w:rsidRPr="0085657D">
        <w:rPr>
          <w:rFonts w:ascii="Arial" w:eastAsia="Calibri" w:hAnsi="Arial" w:cs="Arial"/>
        </w:rPr>
        <w:t xml:space="preserve"> </w:t>
      </w:r>
    </w:p>
    <w:p w14:paraId="4A4BBC0F" w14:textId="77777777" w:rsidR="005414F1" w:rsidRPr="0085657D" w:rsidRDefault="005414F1" w:rsidP="00374F48">
      <w:pPr>
        <w:spacing w:line="276" w:lineRule="auto"/>
        <w:rPr>
          <w:rFonts w:ascii="Arial" w:eastAsia="Calibri" w:hAnsi="Arial" w:cs="Arial"/>
        </w:rPr>
      </w:pPr>
      <w:r w:rsidRPr="0085657D">
        <w:rPr>
          <w:rFonts w:ascii="Arial" w:eastAsia="Calibri" w:hAnsi="Arial" w:cs="Arial"/>
        </w:rPr>
        <w:t>Ovak</w:t>
      </w:r>
      <w:r w:rsidR="0057136A" w:rsidRPr="0085657D">
        <w:rPr>
          <w:rFonts w:ascii="Arial" w:eastAsia="Calibri" w:hAnsi="Arial" w:cs="Arial"/>
        </w:rPr>
        <w:t>av strateški pristup</w:t>
      </w:r>
      <w:r w:rsidRPr="0085657D">
        <w:rPr>
          <w:rFonts w:ascii="Arial" w:eastAsia="Calibri" w:hAnsi="Arial" w:cs="Arial"/>
        </w:rPr>
        <w:t xml:space="preserve"> reformski</w:t>
      </w:r>
      <w:r w:rsidR="0057136A" w:rsidRPr="0085657D">
        <w:rPr>
          <w:rFonts w:ascii="Arial" w:eastAsia="Calibri" w:hAnsi="Arial" w:cs="Arial"/>
        </w:rPr>
        <w:t>m</w:t>
      </w:r>
      <w:r w:rsidRPr="0085657D">
        <w:rPr>
          <w:rFonts w:ascii="Arial" w:eastAsia="Calibri" w:hAnsi="Arial" w:cs="Arial"/>
        </w:rPr>
        <w:t xml:space="preserve"> proces</w:t>
      </w:r>
      <w:r w:rsidR="0057136A" w:rsidRPr="0085657D">
        <w:rPr>
          <w:rFonts w:ascii="Arial" w:eastAsia="Calibri" w:hAnsi="Arial" w:cs="Arial"/>
        </w:rPr>
        <w:t>ima</w:t>
      </w:r>
      <w:r w:rsidRPr="0085657D">
        <w:rPr>
          <w:rFonts w:ascii="Arial" w:eastAsia="Calibri" w:hAnsi="Arial" w:cs="Arial"/>
        </w:rPr>
        <w:t xml:space="preserve"> igra višestruku ulogu:</w:t>
      </w:r>
    </w:p>
    <w:p w14:paraId="567A6C68" w14:textId="79B13F40" w:rsidR="005414F1" w:rsidRPr="0085657D" w:rsidRDefault="005414F1" w:rsidP="00595DE2">
      <w:pPr>
        <w:pStyle w:val="ListParagraph"/>
        <w:numPr>
          <w:ilvl w:val="0"/>
          <w:numId w:val="9"/>
        </w:numPr>
        <w:spacing w:line="276" w:lineRule="auto"/>
        <w:contextualSpacing w:val="0"/>
        <w:rPr>
          <w:rFonts w:ascii="Arial" w:hAnsi="Arial" w:cs="Arial"/>
        </w:rPr>
      </w:pPr>
      <w:r w:rsidRPr="0085657D">
        <w:rPr>
          <w:rFonts w:ascii="Arial" w:hAnsi="Arial" w:cs="Arial"/>
        </w:rPr>
        <w:t xml:space="preserve">S jedne strane, na ovaj način se sistemski i dugoročno pristupa unapređenju </w:t>
      </w:r>
      <w:r w:rsidR="0057136A" w:rsidRPr="0085657D">
        <w:rPr>
          <w:rFonts w:ascii="Arial" w:hAnsi="Arial" w:cs="Arial"/>
        </w:rPr>
        <w:t>zaštite i podrške žrtvama i unapređuje pristup pravdi za ovu naročito ranjivu kategoriju građana</w:t>
      </w:r>
      <w:r w:rsidRPr="0085657D">
        <w:rPr>
          <w:rFonts w:ascii="Arial" w:hAnsi="Arial" w:cs="Arial"/>
        </w:rPr>
        <w:t>;</w:t>
      </w:r>
    </w:p>
    <w:p w14:paraId="319DB8BC" w14:textId="36B92780" w:rsidR="005414F1" w:rsidRPr="0085657D" w:rsidRDefault="005414F1" w:rsidP="00595DE2">
      <w:pPr>
        <w:pStyle w:val="ListParagraph"/>
        <w:numPr>
          <w:ilvl w:val="0"/>
          <w:numId w:val="9"/>
        </w:numPr>
        <w:spacing w:line="276" w:lineRule="auto"/>
        <w:contextualSpacing w:val="0"/>
        <w:rPr>
          <w:rFonts w:ascii="Arial" w:hAnsi="Arial" w:cs="Arial"/>
        </w:rPr>
      </w:pPr>
      <w:r w:rsidRPr="0085657D">
        <w:rPr>
          <w:rFonts w:ascii="Arial" w:hAnsi="Arial" w:cs="Arial"/>
        </w:rPr>
        <w:t xml:space="preserve">Istovremeno, održava se korak sa potrebom usaglašavanja </w:t>
      </w:r>
      <w:r w:rsidR="004E7A24" w:rsidRPr="0085657D">
        <w:rPr>
          <w:rFonts w:ascii="Arial" w:hAnsi="Arial" w:cs="Arial"/>
        </w:rPr>
        <w:t xml:space="preserve">nivoa procesnih garancija za žrtve </w:t>
      </w:r>
      <w:r w:rsidRPr="0085657D">
        <w:rPr>
          <w:rFonts w:ascii="Arial" w:hAnsi="Arial" w:cs="Arial"/>
        </w:rPr>
        <w:t>sa relevantnim međunarodnim standardima i preporukama međunarodnih tijela zaduženih za praćenje nivoa usaglašenosti sa tim standardima</w:t>
      </w:r>
      <w:r w:rsidR="00BF47AD">
        <w:rPr>
          <w:rFonts w:ascii="Arial" w:hAnsi="Arial" w:cs="Arial"/>
        </w:rPr>
        <w:t>;</w:t>
      </w:r>
    </w:p>
    <w:p w14:paraId="0AC4CDCE" w14:textId="77777777" w:rsidR="003F04BF" w:rsidRPr="0085657D" w:rsidRDefault="003F04BF" w:rsidP="00595DE2">
      <w:pPr>
        <w:pStyle w:val="ListParagraph"/>
        <w:numPr>
          <w:ilvl w:val="0"/>
          <w:numId w:val="9"/>
        </w:numPr>
        <w:spacing w:line="276" w:lineRule="auto"/>
        <w:contextualSpacing w:val="0"/>
        <w:rPr>
          <w:rFonts w:ascii="Arial" w:hAnsi="Arial" w:cs="Arial"/>
        </w:rPr>
      </w:pPr>
      <w:r w:rsidRPr="0085657D">
        <w:rPr>
          <w:rFonts w:ascii="Arial" w:hAnsi="Arial" w:cs="Arial"/>
        </w:rPr>
        <w:t>Najzad, ovakvim pristupom se usmjerava dodatna pažnja stručne i opšte javnosti na ranjivost žrtava, njihove specifične potrebe, ali i njihova prava i mehanizme zaštite tih prava.</w:t>
      </w:r>
    </w:p>
    <w:p w14:paraId="3B181295" w14:textId="77777777" w:rsidR="005414F1" w:rsidRPr="0085657D" w:rsidRDefault="00801D37" w:rsidP="00FD574F">
      <w:pPr>
        <w:spacing w:after="0" w:line="276" w:lineRule="auto"/>
        <w:rPr>
          <w:rFonts w:ascii="Arial" w:hAnsi="Arial" w:cs="Arial"/>
          <w:bCs/>
        </w:rPr>
      </w:pPr>
      <w:r w:rsidRPr="0085657D">
        <w:rPr>
          <w:rFonts w:ascii="Arial" w:hAnsi="Arial" w:cs="Arial"/>
        </w:rPr>
        <w:t>S</w:t>
      </w:r>
      <w:r w:rsidR="005414F1" w:rsidRPr="0085657D">
        <w:rPr>
          <w:rFonts w:ascii="Arial" w:hAnsi="Arial" w:cs="Arial"/>
        </w:rPr>
        <w:t>trateški pristup pravosudnoj reformi neodvojivi je dio procesa adresiranja prioriteta i ispunjavanja mjerila utvrđenih u pregovaračkom procesu za poglavlje 23 (u daljem tekstu: PG. 23).</w:t>
      </w:r>
      <w:r w:rsidR="005414F1" w:rsidRPr="0085657D">
        <w:rPr>
          <w:rStyle w:val="FootnoteReference"/>
          <w:rFonts w:ascii="Arial" w:hAnsi="Arial" w:cs="Arial"/>
        </w:rPr>
        <w:footnoteReference w:id="1"/>
      </w:r>
      <w:r w:rsidR="005414F1" w:rsidRPr="0085657D">
        <w:rPr>
          <w:rFonts w:ascii="Arial" w:hAnsi="Arial" w:cs="Arial"/>
        </w:rPr>
        <w:t xml:space="preserve">  u okviru pristupnih pregovora sa Evropskom unijom (u daljem tekstu: EU).</w:t>
      </w:r>
    </w:p>
    <w:p w14:paraId="258DA131" w14:textId="77777777" w:rsidR="003A0853" w:rsidRPr="0085657D" w:rsidRDefault="005414F1" w:rsidP="00443330">
      <w:pPr>
        <w:pStyle w:val="Heading1"/>
        <w:numPr>
          <w:ilvl w:val="0"/>
          <w:numId w:val="5"/>
        </w:numPr>
        <w:rPr>
          <w:rFonts w:ascii="Arial" w:hAnsi="Arial" w:cs="Arial"/>
          <w:sz w:val="22"/>
          <w:szCs w:val="22"/>
        </w:rPr>
      </w:pPr>
      <w:bookmarkStart w:id="8" w:name="_Toc208489168"/>
      <w:r w:rsidRPr="0085657D">
        <w:rPr>
          <w:rFonts w:ascii="Arial" w:hAnsi="Arial" w:cs="Arial"/>
          <w:sz w:val="22"/>
          <w:szCs w:val="22"/>
        </w:rPr>
        <w:t xml:space="preserve">Relevantan </w:t>
      </w:r>
      <w:r w:rsidR="0023040F" w:rsidRPr="0085657D">
        <w:rPr>
          <w:rFonts w:ascii="Arial" w:hAnsi="Arial" w:cs="Arial"/>
          <w:sz w:val="22"/>
          <w:szCs w:val="22"/>
        </w:rPr>
        <w:t xml:space="preserve">institucionalni, zakonski i </w:t>
      </w:r>
      <w:r w:rsidRPr="0085657D">
        <w:rPr>
          <w:rFonts w:ascii="Arial" w:hAnsi="Arial" w:cs="Arial"/>
          <w:sz w:val="22"/>
          <w:szCs w:val="22"/>
        </w:rPr>
        <w:t>strateški okvir Crne Gore i usklađenost sa međunarodnim obavezama</w:t>
      </w:r>
      <w:bookmarkEnd w:id="8"/>
    </w:p>
    <w:p w14:paraId="456D9E15" w14:textId="77777777" w:rsidR="00FD574F" w:rsidRPr="0085657D" w:rsidRDefault="00FD574F" w:rsidP="00FD574F">
      <w:pPr>
        <w:rPr>
          <w:rFonts w:ascii="Arial" w:hAnsi="Arial" w:cs="Arial"/>
        </w:rPr>
      </w:pPr>
    </w:p>
    <w:p w14:paraId="195657D5" w14:textId="1F3330F7" w:rsidR="0023040F" w:rsidRPr="0085657D" w:rsidRDefault="0023040F" w:rsidP="00595DE2">
      <w:pPr>
        <w:pStyle w:val="Heading2"/>
        <w:numPr>
          <w:ilvl w:val="1"/>
          <w:numId w:val="5"/>
        </w:numPr>
        <w:spacing w:before="0" w:after="240"/>
        <w:ind w:left="714" w:hanging="357"/>
        <w:rPr>
          <w:rFonts w:ascii="Arial" w:hAnsi="Arial" w:cs="Arial"/>
          <w:sz w:val="22"/>
          <w:szCs w:val="22"/>
        </w:rPr>
      </w:pPr>
      <w:bookmarkStart w:id="9" w:name="_Toc91286152"/>
      <w:bookmarkStart w:id="10" w:name="_Toc95302994"/>
      <w:bookmarkStart w:id="11" w:name="_Toc97902459"/>
      <w:bookmarkStart w:id="12" w:name="_Toc208489169"/>
      <w:r w:rsidRPr="0085657D">
        <w:rPr>
          <w:rFonts w:ascii="Arial" w:hAnsi="Arial" w:cs="Arial"/>
          <w:sz w:val="22"/>
          <w:szCs w:val="22"/>
        </w:rPr>
        <w:t>Institucionalni</w:t>
      </w:r>
      <w:r w:rsidR="006517CB" w:rsidRPr="0085657D">
        <w:rPr>
          <w:rFonts w:ascii="Arial" w:hAnsi="Arial" w:cs="Arial"/>
          <w:sz w:val="22"/>
          <w:szCs w:val="22"/>
        </w:rPr>
        <w:t xml:space="preserve"> i</w:t>
      </w:r>
      <w:r w:rsidRPr="0085657D">
        <w:rPr>
          <w:rFonts w:ascii="Arial" w:hAnsi="Arial" w:cs="Arial"/>
          <w:sz w:val="22"/>
          <w:szCs w:val="22"/>
        </w:rPr>
        <w:t xml:space="preserve"> </w:t>
      </w:r>
      <w:bookmarkEnd w:id="9"/>
      <w:bookmarkEnd w:id="10"/>
      <w:bookmarkEnd w:id="11"/>
      <w:r w:rsidR="00490EB5">
        <w:rPr>
          <w:rFonts w:ascii="Arial" w:hAnsi="Arial" w:cs="Arial"/>
          <w:sz w:val="22"/>
          <w:szCs w:val="22"/>
        </w:rPr>
        <w:t>normativni okvir</w:t>
      </w:r>
      <w:bookmarkEnd w:id="12"/>
    </w:p>
    <w:p w14:paraId="207455CE" w14:textId="1FD482D9" w:rsidR="003A0853" w:rsidRPr="0085657D" w:rsidRDefault="003A0853" w:rsidP="00D00CD0">
      <w:pPr>
        <w:spacing w:line="276" w:lineRule="auto"/>
        <w:rPr>
          <w:rFonts w:ascii="Arial" w:hAnsi="Arial" w:cs="Arial"/>
        </w:rPr>
      </w:pPr>
      <w:r w:rsidRPr="0085657D">
        <w:rPr>
          <w:rFonts w:ascii="Arial" w:hAnsi="Arial" w:cs="Arial"/>
        </w:rPr>
        <w:t xml:space="preserve">Nadležnost za </w:t>
      </w:r>
      <w:r w:rsidR="00F602EE" w:rsidRPr="0085657D">
        <w:rPr>
          <w:rFonts w:ascii="Arial" w:hAnsi="Arial" w:cs="Arial"/>
        </w:rPr>
        <w:t>kreiranje i sprovo</w:t>
      </w:r>
      <w:r w:rsidR="005D3DBE" w:rsidRPr="0085657D">
        <w:rPr>
          <w:rFonts w:ascii="Arial" w:hAnsi="Arial" w:cs="Arial"/>
        </w:rPr>
        <w:t>đenje politika od značaja za zaštitu prava žrtava podijeljena je između institucija u sektoru pravde, unutrašnjih poslova, socijalne zaštite i medija, a u manjoj mjeri, ona pripada i sektoru zdravstvene zaštite i prosvjete.</w:t>
      </w:r>
    </w:p>
    <w:p w14:paraId="2A0C87FE" w14:textId="77777777" w:rsidR="00D00CD0" w:rsidRPr="0085657D" w:rsidRDefault="00D00CD0" w:rsidP="00D00CD0">
      <w:pPr>
        <w:spacing w:line="276" w:lineRule="auto"/>
        <w:rPr>
          <w:rFonts w:ascii="Arial" w:hAnsi="Arial" w:cs="Arial"/>
        </w:rPr>
      </w:pPr>
      <w:r w:rsidRPr="0085657D">
        <w:rPr>
          <w:rFonts w:ascii="Arial" w:hAnsi="Arial" w:cs="Arial"/>
        </w:rPr>
        <w:t xml:space="preserve">Ipak, </w:t>
      </w:r>
      <w:r w:rsidR="00354F8B" w:rsidRPr="0085657D">
        <w:rPr>
          <w:rFonts w:ascii="Arial" w:hAnsi="Arial" w:cs="Arial"/>
        </w:rPr>
        <w:t>vodeću ulogu u ovom procesu ima Ministarstvo pravde.</w:t>
      </w:r>
    </w:p>
    <w:p w14:paraId="08C0841E" w14:textId="77777777" w:rsidR="00C47459" w:rsidRDefault="00C47459" w:rsidP="00F85964">
      <w:pPr>
        <w:spacing w:after="120" w:line="276" w:lineRule="auto"/>
        <w:rPr>
          <w:rFonts w:ascii="Arial" w:hAnsi="Arial" w:cs="Arial"/>
        </w:rPr>
      </w:pPr>
    </w:p>
    <w:p w14:paraId="3DC9F20A" w14:textId="6C3B7CEE" w:rsidR="00432FD0" w:rsidRPr="0085657D" w:rsidRDefault="00354F8B" w:rsidP="00F85964">
      <w:pPr>
        <w:spacing w:after="120" w:line="276" w:lineRule="auto"/>
        <w:rPr>
          <w:rFonts w:ascii="Arial" w:hAnsi="Arial" w:cs="Arial"/>
          <w:lang w:eastAsia="sr-Cyrl-CS"/>
        </w:rPr>
      </w:pPr>
      <w:r w:rsidRPr="0085657D">
        <w:rPr>
          <w:rFonts w:ascii="Arial" w:hAnsi="Arial" w:cs="Arial"/>
        </w:rPr>
        <w:lastRenderedPageBreak/>
        <w:t>Kada je r</w:t>
      </w:r>
      <w:r w:rsidR="00FE6999" w:rsidRPr="0085657D">
        <w:rPr>
          <w:rFonts w:ascii="Arial" w:hAnsi="Arial" w:cs="Arial"/>
        </w:rPr>
        <w:t>ij</w:t>
      </w:r>
      <w:r w:rsidRPr="0085657D">
        <w:rPr>
          <w:rFonts w:ascii="Arial" w:hAnsi="Arial" w:cs="Arial"/>
        </w:rPr>
        <w:t xml:space="preserve">eč </w:t>
      </w:r>
      <w:r w:rsidR="003B07F8">
        <w:rPr>
          <w:rFonts w:ascii="Arial" w:hAnsi="Arial" w:cs="Arial"/>
        </w:rPr>
        <w:t xml:space="preserve">o </w:t>
      </w:r>
      <w:r w:rsidRPr="0085657D">
        <w:rPr>
          <w:rFonts w:ascii="Arial" w:hAnsi="Arial" w:cs="Arial"/>
        </w:rPr>
        <w:t>relevantnom normativnom okviru</w:t>
      </w:r>
      <w:r w:rsidR="003B07F8">
        <w:rPr>
          <w:rFonts w:ascii="Arial" w:hAnsi="Arial" w:cs="Arial"/>
        </w:rPr>
        <w:t>,</w:t>
      </w:r>
      <w:r w:rsidRPr="0085657D">
        <w:rPr>
          <w:rFonts w:ascii="Arial" w:hAnsi="Arial" w:cs="Arial"/>
        </w:rPr>
        <w:t xml:space="preserve"> od značaja za prava žrtava je pr</w:t>
      </w:r>
      <w:r w:rsidR="00FE6999" w:rsidRPr="0085657D">
        <w:rPr>
          <w:rFonts w:ascii="Arial" w:hAnsi="Arial" w:cs="Arial"/>
        </w:rPr>
        <w:t>ij</w:t>
      </w:r>
      <w:r w:rsidRPr="0085657D">
        <w:rPr>
          <w:rFonts w:ascii="Arial" w:hAnsi="Arial" w:cs="Arial"/>
        </w:rPr>
        <w:t xml:space="preserve">e svega </w:t>
      </w:r>
      <w:r w:rsidR="00432FD0" w:rsidRPr="0085657D">
        <w:rPr>
          <w:rFonts w:ascii="Arial" w:hAnsi="Arial" w:cs="Arial"/>
        </w:rPr>
        <w:t xml:space="preserve">član 9. </w:t>
      </w:r>
      <w:r w:rsidR="00432FD0" w:rsidRPr="0085657D">
        <w:rPr>
          <w:rFonts w:ascii="Arial" w:hAnsi="Arial" w:cs="Arial"/>
          <w:b/>
          <w:bCs/>
        </w:rPr>
        <w:t>Ustava Crne Gore</w:t>
      </w:r>
      <w:r w:rsidR="00432FD0" w:rsidRPr="0085657D">
        <w:rPr>
          <w:rStyle w:val="FootnoteReference"/>
          <w:rFonts w:ascii="Arial" w:hAnsi="Arial" w:cs="Arial"/>
          <w:b/>
          <w:bCs/>
        </w:rPr>
        <w:footnoteReference w:id="2"/>
      </w:r>
      <w:r w:rsidR="00432FD0" w:rsidRPr="0085657D">
        <w:rPr>
          <w:rFonts w:ascii="Arial" w:hAnsi="Arial" w:cs="Arial"/>
        </w:rPr>
        <w:t xml:space="preserve"> kojim je uređen pravni poredak</w:t>
      </w:r>
      <w:bookmarkStart w:id="13" w:name="SADRZAJ_022"/>
      <w:r w:rsidR="00432FD0" w:rsidRPr="0085657D">
        <w:rPr>
          <w:rFonts w:ascii="Arial" w:hAnsi="Arial" w:cs="Arial"/>
        </w:rPr>
        <w:t xml:space="preserve">. U skladu sa ovom odredbom Ustava, </w:t>
      </w:r>
      <w:bookmarkEnd w:id="13"/>
      <w:r w:rsidR="00432FD0" w:rsidRPr="0085657D">
        <w:rPr>
          <w:rFonts w:ascii="Arial" w:hAnsi="Arial" w:cs="Arial"/>
          <w:lang w:eastAsia="sr-Cyrl-CS"/>
        </w:rPr>
        <w:t xml:space="preserve">potvrđeni i objavljeni međunarodni ugovori i opšteprihvaćena pravila međunarodnog prava sastavni su dio unutrašnjeg pravnog poretka, imaju primat nad domaćim zakonodavstvom i neposredno se primjenjuju, kada odnose uređuju drukčije od unutrašnjeg zakonodavstva. </w:t>
      </w:r>
      <w:r w:rsidR="00432FD0" w:rsidRPr="0085657D">
        <w:rPr>
          <w:rFonts w:ascii="Arial" w:hAnsi="Arial" w:cs="Arial"/>
        </w:rPr>
        <w:t>Odlukom o proglašenju nezavisnosti, Crna Gora je prihvatila da primjenjuje i preuzme međunarodne ugovore i sporazume koje je zaključila i kojima je pristupila državna zajednica Srbija i Crna Gora, a koji se odnose na Crnu Goru i koji su u saglasnosti s njenim pravnim poretkom.</w:t>
      </w:r>
      <w:r w:rsidR="00432FD0" w:rsidRPr="0085657D">
        <w:rPr>
          <w:rFonts w:ascii="Arial" w:hAnsi="Arial" w:cs="Arial"/>
          <w:vertAlign w:val="superscript"/>
        </w:rPr>
        <w:footnoteReference w:id="3"/>
      </w:r>
      <w:r w:rsidR="00432FD0" w:rsidRPr="0085657D">
        <w:rPr>
          <w:rFonts w:ascii="Arial" w:hAnsi="Arial" w:cs="Arial"/>
        </w:rPr>
        <w:t xml:space="preserve"> </w:t>
      </w:r>
    </w:p>
    <w:p w14:paraId="07575083" w14:textId="4BD58E05" w:rsidR="00432FD0" w:rsidRPr="0085657D" w:rsidRDefault="00432FD0" w:rsidP="00F85964">
      <w:pPr>
        <w:spacing w:after="120" w:line="276" w:lineRule="auto"/>
        <w:rPr>
          <w:rFonts w:ascii="Arial" w:hAnsi="Arial" w:cs="Arial"/>
        </w:rPr>
      </w:pPr>
      <w:r w:rsidRPr="0085657D">
        <w:rPr>
          <w:rFonts w:ascii="Arial" w:hAnsi="Arial" w:cs="Arial"/>
        </w:rPr>
        <w:t xml:space="preserve">U okviru domaćeg </w:t>
      </w:r>
      <w:r w:rsidRPr="0085657D">
        <w:rPr>
          <w:rFonts w:ascii="Arial" w:hAnsi="Arial" w:cs="Arial"/>
          <w:b/>
          <w:bCs/>
        </w:rPr>
        <w:t>normativnog okvira</w:t>
      </w:r>
      <w:r w:rsidRPr="0085657D">
        <w:rPr>
          <w:rFonts w:ascii="Arial" w:hAnsi="Arial" w:cs="Arial"/>
        </w:rPr>
        <w:t xml:space="preserve"> Krivični zakonik Crne Gore</w:t>
      </w:r>
      <w:r w:rsidRPr="0085657D">
        <w:rPr>
          <w:rStyle w:val="FootnoteReference"/>
          <w:rFonts w:ascii="Arial" w:hAnsi="Arial" w:cs="Arial"/>
        </w:rPr>
        <w:footnoteReference w:id="4"/>
      </w:r>
      <w:r w:rsidRPr="0085657D">
        <w:rPr>
          <w:rFonts w:ascii="Arial" w:hAnsi="Arial" w:cs="Arial"/>
        </w:rPr>
        <w:t xml:space="preserve"> definiše krivična djela i propisuje </w:t>
      </w:r>
      <w:r w:rsidR="002263C4" w:rsidRPr="0085657D">
        <w:rPr>
          <w:rFonts w:ascii="Arial" w:hAnsi="Arial" w:cs="Arial"/>
        </w:rPr>
        <w:t>dodatnu krivično</w:t>
      </w:r>
      <w:r w:rsidR="009039F6">
        <w:rPr>
          <w:rFonts w:ascii="Arial" w:hAnsi="Arial" w:cs="Arial"/>
        </w:rPr>
        <w:t>-</w:t>
      </w:r>
      <w:r w:rsidR="002263C4" w:rsidRPr="0085657D">
        <w:rPr>
          <w:rFonts w:ascii="Arial" w:hAnsi="Arial" w:cs="Arial"/>
        </w:rPr>
        <w:t>pravnu zaštitu za naročito osjetljive kategorije žrtava</w:t>
      </w:r>
      <w:r w:rsidRPr="0085657D">
        <w:rPr>
          <w:rFonts w:ascii="Arial" w:hAnsi="Arial" w:cs="Arial"/>
        </w:rPr>
        <w:t xml:space="preserve">. </w:t>
      </w:r>
    </w:p>
    <w:p w14:paraId="3BB87420" w14:textId="1ACF91DB" w:rsidR="00432FD0" w:rsidRPr="0085657D" w:rsidRDefault="00432FD0" w:rsidP="00F85964">
      <w:pPr>
        <w:spacing w:after="120" w:line="276" w:lineRule="auto"/>
        <w:rPr>
          <w:rFonts w:ascii="Arial" w:hAnsi="Arial" w:cs="Arial"/>
        </w:rPr>
      </w:pPr>
      <w:r w:rsidRPr="0085657D">
        <w:rPr>
          <w:rFonts w:ascii="Arial" w:hAnsi="Arial" w:cs="Arial"/>
          <w:b/>
          <w:bCs/>
        </w:rPr>
        <w:t xml:space="preserve">Zakonik o krivičnom postupku </w:t>
      </w:r>
      <w:r w:rsidR="00F85964" w:rsidRPr="0085657D">
        <w:rPr>
          <w:rFonts w:ascii="Arial" w:hAnsi="Arial" w:cs="Arial"/>
          <w:b/>
          <w:bCs/>
        </w:rPr>
        <w:t xml:space="preserve">(u daljem tekstu: ZKP) </w:t>
      </w:r>
      <w:r w:rsidRPr="0085657D">
        <w:rPr>
          <w:rStyle w:val="FootnoteReference"/>
          <w:rFonts w:ascii="Arial" w:hAnsi="Arial" w:cs="Arial"/>
          <w:b/>
          <w:bCs/>
        </w:rPr>
        <w:footnoteReference w:id="5"/>
      </w:r>
      <w:r w:rsidRPr="0085657D">
        <w:rPr>
          <w:rFonts w:ascii="Arial" w:hAnsi="Arial" w:cs="Arial"/>
        </w:rPr>
        <w:t xml:space="preserve"> ključan je za </w:t>
      </w:r>
      <w:r w:rsidR="000B15FA" w:rsidRPr="0085657D">
        <w:rPr>
          <w:rFonts w:ascii="Arial" w:hAnsi="Arial" w:cs="Arial"/>
        </w:rPr>
        <w:t xml:space="preserve">obezbjeđivanje </w:t>
      </w:r>
      <w:r w:rsidR="00E71623" w:rsidRPr="0085657D">
        <w:rPr>
          <w:rFonts w:ascii="Arial" w:hAnsi="Arial" w:cs="Arial"/>
        </w:rPr>
        <w:t>procesne zaštite i podrške žrtvama.</w:t>
      </w:r>
      <w:r w:rsidRPr="0085657D">
        <w:rPr>
          <w:rFonts w:ascii="Arial" w:hAnsi="Arial" w:cs="Arial"/>
        </w:rPr>
        <w:t xml:space="preserve"> Pored proc</w:t>
      </w:r>
      <w:r w:rsidR="00801D37" w:rsidRPr="0085657D">
        <w:rPr>
          <w:rFonts w:ascii="Arial" w:hAnsi="Arial" w:cs="Arial"/>
        </w:rPr>
        <w:t>esnih</w:t>
      </w:r>
      <w:r w:rsidRPr="0085657D">
        <w:rPr>
          <w:rFonts w:ascii="Arial" w:hAnsi="Arial" w:cs="Arial"/>
        </w:rPr>
        <w:t xml:space="preserve"> pravila, od izuzetne važnosti su i odredbe koje regulišu položaj zaštićenog svjedoka, pružajući procesnu zaštitu svjedocima i žrtvama </w:t>
      </w:r>
      <w:r w:rsidR="003B07F8">
        <w:rPr>
          <w:rFonts w:ascii="Arial" w:hAnsi="Arial" w:cs="Arial"/>
        </w:rPr>
        <w:t xml:space="preserve">i </w:t>
      </w:r>
      <w:r w:rsidRPr="0085657D">
        <w:rPr>
          <w:rFonts w:ascii="Arial" w:hAnsi="Arial" w:cs="Arial"/>
        </w:rPr>
        <w:t xml:space="preserve">osiguravajući njihovu bezbjednost tokom suđenja. </w:t>
      </w:r>
    </w:p>
    <w:p w14:paraId="2E4BD4DB" w14:textId="77777777" w:rsidR="00E71623" w:rsidRPr="0085657D" w:rsidRDefault="004E36A6" w:rsidP="00F85964">
      <w:pPr>
        <w:spacing w:after="120" w:line="276" w:lineRule="auto"/>
        <w:rPr>
          <w:rFonts w:ascii="Arial" w:eastAsia="Cambria" w:hAnsi="Arial" w:cs="Arial"/>
        </w:rPr>
      </w:pPr>
      <w:r w:rsidRPr="0085657D">
        <w:rPr>
          <w:rFonts w:ascii="Arial" w:eastAsia="Cambria" w:hAnsi="Arial" w:cs="Arial"/>
          <w:b/>
          <w:bCs/>
        </w:rPr>
        <w:t>Zakon o postupanju prema maloljetnicima u krivičnom postupku</w:t>
      </w:r>
      <w:r w:rsidR="00F85964" w:rsidRPr="0085657D">
        <w:rPr>
          <w:rFonts w:ascii="Arial" w:eastAsia="Cambria" w:hAnsi="Arial" w:cs="Arial"/>
          <w:b/>
          <w:bCs/>
        </w:rPr>
        <w:t xml:space="preserve"> (u daljem tekstu Zakon o maloljetnicima)</w:t>
      </w:r>
      <w:r w:rsidR="008D10C1" w:rsidRPr="0085657D">
        <w:rPr>
          <w:rStyle w:val="FootnoteReference"/>
          <w:rFonts w:ascii="Arial" w:eastAsia="Cambria" w:hAnsi="Arial" w:cs="Arial"/>
          <w:b/>
          <w:bCs/>
        </w:rPr>
        <w:footnoteReference w:id="6"/>
      </w:r>
      <w:r w:rsidRPr="0085657D">
        <w:rPr>
          <w:rFonts w:ascii="Arial" w:eastAsia="Cambria" w:hAnsi="Arial" w:cs="Arial"/>
        </w:rPr>
        <w:t xml:space="preserve">, </w:t>
      </w:r>
      <w:r w:rsidR="00E71623" w:rsidRPr="0085657D">
        <w:rPr>
          <w:rFonts w:ascii="Arial" w:eastAsia="Cambria" w:hAnsi="Arial" w:cs="Arial"/>
        </w:rPr>
        <w:t>sadrži pravila postupanja državnih organa prema maloljetnim žrtvama krivičnih djela.</w:t>
      </w:r>
    </w:p>
    <w:p w14:paraId="2E31983F" w14:textId="77777777" w:rsidR="00E71623" w:rsidRPr="0085657D" w:rsidRDefault="004E36A6" w:rsidP="00F85964">
      <w:pPr>
        <w:spacing w:after="120" w:line="276" w:lineRule="auto"/>
        <w:rPr>
          <w:rFonts w:ascii="Arial" w:eastAsia="Cambria" w:hAnsi="Arial" w:cs="Arial"/>
        </w:rPr>
      </w:pPr>
      <w:r w:rsidRPr="0085657D">
        <w:rPr>
          <w:rFonts w:ascii="Arial" w:eastAsia="Cambria" w:hAnsi="Arial" w:cs="Arial"/>
          <w:b/>
          <w:bCs/>
        </w:rPr>
        <w:t>Zakon o zaštiti od nasilja u porodici</w:t>
      </w:r>
      <w:r w:rsidR="008D10C1" w:rsidRPr="0085657D">
        <w:rPr>
          <w:rStyle w:val="FootnoteReference"/>
          <w:rFonts w:ascii="Arial" w:eastAsia="Cambria" w:hAnsi="Arial" w:cs="Arial"/>
          <w:b/>
          <w:bCs/>
        </w:rPr>
        <w:footnoteReference w:id="7"/>
      </w:r>
      <w:r w:rsidR="00E71623" w:rsidRPr="0085657D">
        <w:rPr>
          <w:rFonts w:ascii="Arial" w:eastAsia="Cambria" w:hAnsi="Arial" w:cs="Arial"/>
        </w:rPr>
        <w:t xml:space="preserve"> predviđa mjere posebne zaštite žrtava nasilja u porodici.</w:t>
      </w:r>
    </w:p>
    <w:p w14:paraId="3FAA75B0" w14:textId="77777777" w:rsidR="004E36A6" w:rsidRPr="0085657D" w:rsidRDefault="004E36A6" w:rsidP="00F85964">
      <w:pPr>
        <w:spacing w:after="120" w:line="276" w:lineRule="auto"/>
        <w:rPr>
          <w:rFonts w:ascii="Arial" w:eastAsia="Cambria" w:hAnsi="Arial" w:cs="Arial"/>
        </w:rPr>
      </w:pPr>
      <w:r w:rsidRPr="0085657D">
        <w:rPr>
          <w:rFonts w:ascii="Arial" w:eastAsia="Cambria" w:hAnsi="Arial" w:cs="Arial"/>
          <w:b/>
          <w:bCs/>
        </w:rPr>
        <w:t>Zakon o besplatnoj pravnoj pomoći</w:t>
      </w:r>
      <w:r w:rsidR="00F85964" w:rsidRPr="0085657D">
        <w:rPr>
          <w:rFonts w:ascii="Arial" w:eastAsia="Cambria" w:hAnsi="Arial" w:cs="Arial"/>
          <w:b/>
          <w:bCs/>
        </w:rPr>
        <w:t xml:space="preserve"> </w:t>
      </w:r>
      <w:r w:rsidR="00F85964" w:rsidRPr="0085657D">
        <w:rPr>
          <w:rFonts w:ascii="Arial" w:eastAsia="Cambria" w:hAnsi="Arial" w:cs="Arial"/>
        </w:rPr>
        <w:t>(u daljem tekstu Zakon o BPP)</w:t>
      </w:r>
      <w:r w:rsidR="008D10C1" w:rsidRPr="0085657D">
        <w:rPr>
          <w:rStyle w:val="FootnoteReference"/>
          <w:rFonts w:ascii="Arial" w:eastAsia="Cambria" w:hAnsi="Arial" w:cs="Arial"/>
        </w:rPr>
        <w:footnoteReference w:id="8"/>
      </w:r>
      <w:r w:rsidR="00E71623" w:rsidRPr="0085657D">
        <w:rPr>
          <w:rFonts w:ascii="Arial" w:eastAsia="Cambria" w:hAnsi="Arial" w:cs="Arial"/>
          <w:b/>
          <w:bCs/>
        </w:rPr>
        <w:t xml:space="preserve"> </w:t>
      </w:r>
      <w:r w:rsidR="00E71623" w:rsidRPr="0085657D">
        <w:rPr>
          <w:rFonts w:ascii="Arial" w:eastAsia="Cambria" w:hAnsi="Arial" w:cs="Arial"/>
        </w:rPr>
        <w:t xml:space="preserve">uređuje uslove ostvarivanja prava na besplatnu pravnu pomoć, između ostalog, za žrtve </w:t>
      </w:r>
      <w:r w:rsidR="00773BDB" w:rsidRPr="0085657D">
        <w:rPr>
          <w:rFonts w:ascii="Arial" w:eastAsia="Cambria" w:hAnsi="Arial" w:cs="Arial"/>
        </w:rPr>
        <w:t xml:space="preserve">određenih </w:t>
      </w:r>
      <w:r w:rsidR="00E71623" w:rsidRPr="0085657D">
        <w:rPr>
          <w:rFonts w:ascii="Arial" w:eastAsia="Cambria" w:hAnsi="Arial" w:cs="Arial"/>
        </w:rPr>
        <w:t>krivičnih djela.</w:t>
      </w:r>
    </w:p>
    <w:p w14:paraId="0971C1C0" w14:textId="77777777" w:rsidR="000A33FE" w:rsidRPr="0085657D" w:rsidRDefault="000A33FE" w:rsidP="00F85964">
      <w:pPr>
        <w:spacing w:after="120" w:line="276" w:lineRule="auto"/>
        <w:rPr>
          <w:rFonts w:ascii="Arial" w:eastAsia="Cambria" w:hAnsi="Arial" w:cs="Arial"/>
        </w:rPr>
      </w:pPr>
      <w:r w:rsidRPr="0085657D">
        <w:rPr>
          <w:rFonts w:ascii="Arial" w:eastAsia="Cambria" w:hAnsi="Arial" w:cs="Arial"/>
          <w:b/>
          <w:bCs/>
        </w:rPr>
        <w:t>Zakon o oduzimanju imovinske koristi stečene kriminalnom djelatnošću</w:t>
      </w:r>
      <w:r w:rsidRPr="0085657D">
        <w:rPr>
          <w:rStyle w:val="FootnoteReference"/>
          <w:rFonts w:ascii="Arial" w:eastAsia="Cambria" w:hAnsi="Arial" w:cs="Arial"/>
        </w:rPr>
        <w:footnoteReference w:id="9"/>
      </w:r>
      <w:r w:rsidRPr="0085657D">
        <w:rPr>
          <w:rFonts w:ascii="Arial" w:eastAsia="Cambria" w:hAnsi="Arial" w:cs="Arial"/>
        </w:rPr>
        <w:t xml:space="preserve">, nakon nedavnih izmjena iz </w:t>
      </w:r>
      <w:r w:rsidR="007273B4" w:rsidRPr="0085657D">
        <w:rPr>
          <w:rFonts w:ascii="Arial" w:eastAsia="Cambria" w:hAnsi="Arial" w:cs="Arial"/>
        </w:rPr>
        <w:t>juna</w:t>
      </w:r>
      <w:r w:rsidRPr="0085657D">
        <w:rPr>
          <w:rFonts w:ascii="Arial" w:eastAsia="Cambria" w:hAnsi="Arial" w:cs="Arial"/>
        </w:rPr>
        <w:t xml:space="preserve"> 2024. godine stvorio je pravni osnov za obezbjeđivanje finansiranja podrške i zaštite žrtava krivičnih dijela.</w:t>
      </w:r>
    </w:p>
    <w:p w14:paraId="77F23E9C" w14:textId="77777777" w:rsidR="00C47459" w:rsidRDefault="00C47459" w:rsidP="00F85964">
      <w:pPr>
        <w:spacing w:after="120" w:line="276" w:lineRule="auto"/>
        <w:rPr>
          <w:rFonts w:ascii="Arial" w:eastAsia="Cambria" w:hAnsi="Arial" w:cs="Arial"/>
        </w:rPr>
      </w:pPr>
    </w:p>
    <w:p w14:paraId="2095FF7A" w14:textId="77777777" w:rsidR="00C47459" w:rsidRDefault="00C47459" w:rsidP="00F85964">
      <w:pPr>
        <w:spacing w:after="120" w:line="276" w:lineRule="auto"/>
        <w:rPr>
          <w:rFonts w:ascii="Arial" w:eastAsia="Cambria" w:hAnsi="Arial" w:cs="Arial"/>
        </w:rPr>
      </w:pPr>
    </w:p>
    <w:p w14:paraId="25E4452F" w14:textId="77777777" w:rsidR="00C47459" w:rsidRDefault="00C47459" w:rsidP="00F85964">
      <w:pPr>
        <w:spacing w:after="120" w:line="276" w:lineRule="auto"/>
        <w:rPr>
          <w:rFonts w:ascii="Arial" w:eastAsia="Cambria" w:hAnsi="Arial" w:cs="Arial"/>
        </w:rPr>
      </w:pPr>
    </w:p>
    <w:p w14:paraId="6C2289EF" w14:textId="1A1B5409" w:rsidR="00E71623" w:rsidRPr="0085657D" w:rsidRDefault="004E36A6" w:rsidP="00F85964">
      <w:pPr>
        <w:spacing w:after="120" w:line="276" w:lineRule="auto"/>
        <w:rPr>
          <w:rFonts w:ascii="Arial" w:eastAsia="Cambria" w:hAnsi="Arial" w:cs="Arial"/>
        </w:rPr>
      </w:pPr>
      <w:r w:rsidRPr="0085657D">
        <w:rPr>
          <w:rFonts w:ascii="Arial" w:eastAsia="Cambria" w:hAnsi="Arial" w:cs="Arial"/>
        </w:rPr>
        <w:lastRenderedPageBreak/>
        <w:t>Indirekt</w:t>
      </w:r>
      <w:r w:rsidR="00E71623" w:rsidRPr="0085657D">
        <w:rPr>
          <w:rFonts w:ascii="Arial" w:eastAsia="Cambria" w:hAnsi="Arial" w:cs="Arial"/>
        </w:rPr>
        <w:t>ni</w:t>
      </w:r>
      <w:r w:rsidRPr="0085657D">
        <w:rPr>
          <w:rFonts w:ascii="Arial" w:eastAsia="Cambria" w:hAnsi="Arial" w:cs="Arial"/>
        </w:rPr>
        <w:t xml:space="preserve"> uticaj</w:t>
      </w:r>
      <w:r w:rsidR="00E71623" w:rsidRPr="0085657D">
        <w:rPr>
          <w:rFonts w:ascii="Arial" w:eastAsia="Cambria" w:hAnsi="Arial" w:cs="Arial"/>
        </w:rPr>
        <w:t xml:space="preserve"> na položaj žrtava ima i </w:t>
      </w:r>
      <w:r w:rsidRPr="0085657D">
        <w:rPr>
          <w:rFonts w:ascii="Arial" w:eastAsia="Cambria" w:hAnsi="Arial" w:cs="Arial"/>
          <w:b/>
          <w:bCs/>
        </w:rPr>
        <w:t>Zakon o parničnom postupku</w:t>
      </w:r>
      <w:r w:rsidR="00F85964" w:rsidRPr="0085657D">
        <w:rPr>
          <w:rFonts w:ascii="Arial" w:eastAsia="Cambria" w:hAnsi="Arial" w:cs="Arial"/>
          <w:b/>
          <w:bCs/>
        </w:rPr>
        <w:t xml:space="preserve"> </w:t>
      </w:r>
      <w:r w:rsidR="00F85964" w:rsidRPr="0085657D">
        <w:rPr>
          <w:rFonts w:ascii="Arial" w:eastAsia="Cambria" w:hAnsi="Arial" w:cs="Arial"/>
        </w:rPr>
        <w:t>(u daljem tekstu: ZPP)</w:t>
      </w:r>
      <w:r w:rsidR="009772DF" w:rsidRPr="0085657D">
        <w:rPr>
          <w:rStyle w:val="FootnoteReference"/>
          <w:rFonts w:ascii="Arial" w:eastAsia="Cambria" w:hAnsi="Arial" w:cs="Arial"/>
        </w:rPr>
        <w:footnoteReference w:id="10"/>
      </w:r>
      <w:r w:rsidR="00E71623" w:rsidRPr="0085657D">
        <w:rPr>
          <w:rFonts w:ascii="Arial" w:eastAsia="Cambria" w:hAnsi="Arial" w:cs="Arial"/>
        </w:rPr>
        <w:t>, imajući u vidu da se žrtve krivičnih djela nerijetko upućuju da imovinsko</w:t>
      </w:r>
      <w:r w:rsidR="00CA4FE3">
        <w:rPr>
          <w:rFonts w:ascii="Arial" w:eastAsia="Cambria" w:hAnsi="Arial" w:cs="Arial"/>
        </w:rPr>
        <w:t>-</w:t>
      </w:r>
      <w:r w:rsidR="00E71623" w:rsidRPr="0085657D">
        <w:rPr>
          <w:rFonts w:ascii="Arial" w:eastAsia="Cambria" w:hAnsi="Arial" w:cs="Arial"/>
        </w:rPr>
        <w:t>pravni zahtjev ostvare u parnici</w:t>
      </w:r>
      <w:r w:rsidR="009572F8" w:rsidRPr="0085657D">
        <w:rPr>
          <w:rFonts w:ascii="Arial" w:eastAsia="Cambria" w:hAnsi="Arial" w:cs="Arial"/>
        </w:rPr>
        <w:t xml:space="preserve">, kao i </w:t>
      </w:r>
      <w:r w:rsidR="009572F8" w:rsidRPr="0085657D">
        <w:rPr>
          <w:rFonts w:ascii="Arial" w:eastAsia="Cambria" w:hAnsi="Arial" w:cs="Arial"/>
          <w:b/>
        </w:rPr>
        <w:t>Zakon o obligacionim odnosima</w:t>
      </w:r>
      <w:r w:rsidR="009572F8" w:rsidRPr="0085657D">
        <w:rPr>
          <w:rFonts w:ascii="Arial" w:eastAsia="Cambria" w:hAnsi="Arial" w:cs="Arial"/>
        </w:rPr>
        <w:t xml:space="preserve"> (u daljem tekstu: ZOO</w:t>
      </w:r>
      <w:r w:rsidR="00EC1B8D" w:rsidRPr="0085657D">
        <w:rPr>
          <w:rFonts w:ascii="Arial" w:eastAsia="Cambria" w:hAnsi="Arial" w:cs="Arial"/>
        </w:rPr>
        <w:t>)</w:t>
      </w:r>
      <w:r w:rsidR="00B41004" w:rsidRPr="0085657D">
        <w:rPr>
          <w:rStyle w:val="FootnoteReference"/>
          <w:rFonts w:ascii="Arial" w:eastAsia="Cambria" w:hAnsi="Arial" w:cs="Arial"/>
        </w:rPr>
        <w:footnoteReference w:id="11"/>
      </w:r>
      <w:r w:rsidR="009572F8" w:rsidRPr="0085657D">
        <w:rPr>
          <w:rFonts w:ascii="Arial" w:eastAsia="Cambria" w:hAnsi="Arial" w:cs="Arial"/>
        </w:rPr>
        <w:t xml:space="preserve">, </w:t>
      </w:r>
      <w:r w:rsidR="009572F8" w:rsidRPr="0085657D">
        <w:rPr>
          <w:rFonts w:ascii="Arial" w:hAnsi="Arial" w:cs="Arial"/>
        </w:rPr>
        <w:t>obzirom da se u parničnom postupku naknada materijalne ili nematerijalne štete ostvaruj</w:t>
      </w:r>
      <w:r w:rsidR="009039F6">
        <w:rPr>
          <w:rFonts w:ascii="Arial" w:hAnsi="Arial" w:cs="Arial"/>
        </w:rPr>
        <w:t>e</w:t>
      </w:r>
      <w:r w:rsidR="009572F8" w:rsidRPr="0085657D">
        <w:rPr>
          <w:rFonts w:ascii="Arial" w:hAnsi="Arial" w:cs="Arial"/>
        </w:rPr>
        <w:t xml:space="preserve"> shodno odredbama ovog zakona</w:t>
      </w:r>
      <w:r w:rsidR="009572F8" w:rsidRPr="0085657D">
        <w:rPr>
          <w:rFonts w:ascii="Arial" w:eastAsia="Cambria" w:hAnsi="Arial" w:cs="Arial"/>
        </w:rPr>
        <w:t>.</w:t>
      </w:r>
    </w:p>
    <w:p w14:paraId="041295F5" w14:textId="77777777" w:rsidR="00E71623" w:rsidRPr="0085657D" w:rsidRDefault="00E71623" w:rsidP="00E71623">
      <w:pPr>
        <w:spacing w:after="120" w:line="276" w:lineRule="auto"/>
        <w:rPr>
          <w:rFonts w:ascii="Arial" w:eastAsia="Cambria" w:hAnsi="Arial" w:cs="Arial"/>
        </w:rPr>
      </w:pPr>
      <w:r w:rsidRPr="0085657D">
        <w:rPr>
          <w:rFonts w:ascii="Arial" w:eastAsia="Cambria" w:hAnsi="Arial" w:cs="Arial"/>
          <w:b/>
          <w:bCs/>
        </w:rPr>
        <w:t>Zakon o prekršajima</w:t>
      </w:r>
      <w:r w:rsidR="008D10C1" w:rsidRPr="0085657D">
        <w:rPr>
          <w:rStyle w:val="FootnoteReference"/>
          <w:rFonts w:ascii="Arial" w:eastAsia="Cambria" w:hAnsi="Arial" w:cs="Arial"/>
          <w:b/>
          <w:bCs/>
        </w:rPr>
        <w:footnoteReference w:id="12"/>
      </w:r>
      <w:r w:rsidRPr="0085657D">
        <w:rPr>
          <w:rFonts w:ascii="Arial" w:eastAsia="Cambria" w:hAnsi="Arial" w:cs="Arial"/>
        </w:rPr>
        <w:t xml:space="preserve"> uređuje položaj žrtava u prekršajnom postupku.</w:t>
      </w:r>
    </w:p>
    <w:p w14:paraId="580F7C7E" w14:textId="76303093" w:rsidR="00E71623" w:rsidRPr="0085657D" w:rsidRDefault="00E71623" w:rsidP="00E71623">
      <w:pPr>
        <w:spacing w:after="120" w:line="276" w:lineRule="auto"/>
        <w:rPr>
          <w:rFonts w:ascii="Arial" w:hAnsi="Arial" w:cs="Arial"/>
        </w:rPr>
      </w:pPr>
      <w:r w:rsidRPr="0085657D">
        <w:rPr>
          <w:rFonts w:ascii="Arial" w:hAnsi="Arial" w:cs="Arial"/>
          <w:b/>
          <w:bCs/>
        </w:rPr>
        <w:t>Zakon o državnom tužilaštvu</w:t>
      </w:r>
      <w:r w:rsidRPr="0085657D">
        <w:rPr>
          <w:rStyle w:val="FootnoteReference"/>
          <w:rFonts w:ascii="Arial" w:hAnsi="Arial" w:cs="Arial"/>
          <w:b/>
          <w:bCs/>
        </w:rPr>
        <w:footnoteReference w:id="13"/>
      </w:r>
      <w:r w:rsidRPr="0085657D">
        <w:rPr>
          <w:rFonts w:ascii="Arial" w:hAnsi="Arial" w:cs="Arial"/>
          <w:b/>
          <w:bCs/>
        </w:rPr>
        <w:t xml:space="preserve"> </w:t>
      </w:r>
      <w:r w:rsidRPr="0085657D">
        <w:rPr>
          <w:rFonts w:ascii="Arial" w:hAnsi="Arial" w:cs="Arial"/>
        </w:rPr>
        <w:t>i</w:t>
      </w:r>
      <w:r w:rsidRPr="0085657D">
        <w:rPr>
          <w:rFonts w:ascii="Arial" w:hAnsi="Arial" w:cs="Arial"/>
          <w:b/>
          <w:bCs/>
        </w:rPr>
        <w:t xml:space="preserve"> Zakon o specijalnom državnom tužilaštvu</w:t>
      </w:r>
      <w:r w:rsidRPr="0085657D">
        <w:rPr>
          <w:rStyle w:val="FootnoteReference"/>
          <w:rFonts w:ascii="Arial" w:hAnsi="Arial" w:cs="Arial"/>
          <w:b/>
          <w:bCs/>
        </w:rPr>
        <w:footnoteReference w:id="14"/>
      </w:r>
      <w:r w:rsidRPr="0085657D">
        <w:rPr>
          <w:rFonts w:ascii="Arial" w:hAnsi="Arial" w:cs="Arial"/>
        </w:rPr>
        <w:t>, čine osnov uspostavljanja institucionalnog okvira Crne Gore za istragu i gonjenje krivičn</w:t>
      </w:r>
      <w:r w:rsidR="002E2FBD">
        <w:rPr>
          <w:rFonts w:ascii="Arial" w:hAnsi="Arial" w:cs="Arial"/>
        </w:rPr>
        <w:t>ih</w:t>
      </w:r>
      <w:r w:rsidRPr="0085657D">
        <w:rPr>
          <w:rFonts w:ascii="Arial" w:hAnsi="Arial" w:cs="Arial"/>
        </w:rPr>
        <w:t xml:space="preserve"> djela. </w:t>
      </w:r>
    </w:p>
    <w:p w14:paraId="6527D938" w14:textId="77777777" w:rsidR="00E71623" w:rsidRPr="0085657D" w:rsidRDefault="004E36A6" w:rsidP="00E71623">
      <w:pPr>
        <w:spacing w:after="120" w:line="276" w:lineRule="auto"/>
        <w:rPr>
          <w:rFonts w:ascii="Arial" w:eastAsia="Cambria" w:hAnsi="Arial" w:cs="Arial"/>
        </w:rPr>
      </w:pPr>
      <w:r w:rsidRPr="0085657D">
        <w:rPr>
          <w:rFonts w:ascii="Arial" w:eastAsia="Cambria" w:hAnsi="Arial" w:cs="Arial"/>
          <w:b/>
          <w:bCs/>
        </w:rPr>
        <w:t>Zakon o sudovima</w:t>
      </w:r>
      <w:r w:rsidR="008D10C1" w:rsidRPr="0085657D">
        <w:rPr>
          <w:rStyle w:val="FootnoteReference"/>
          <w:rFonts w:ascii="Arial" w:eastAsia="Cambria" w:hAnsi="Arial" w:cs="Arial"/>
          <w:b/>
          <w:bCs/>
        </w:rPr>
        <w:footnoteReference w:id="15"/>
      </w:r>
      <w:r w:rsidR="00E71623" w:rsidRPr="0085657D">
        <w:rPr>
          <w:rFonts w:ascii="Arial" w:eastAsia="Cambria" w:hAnsi="Arial" w:cs="Arial"/>
        </w:rPr>
        <w:t xml:space="preserve"> uređuje nadležnost sudova u krivičnim i prekršajnim postupcima.</w:t>
      </w:r>
    </w:p>
    <w:p w14:paraId="44C52551" w14:textId="155A5E04" w:rsidR="004E36A6" w:rsidRPr="0085657D" w:rsidRDefault="004E36A6" w:rsidP="007B6EC0">
      <w:pPr>
        <w:spacing w:after="120" w:line="276" w:lineRule="auto"/>
        <w:rPr>
          <w:rFonts w:ascii="Arial" w:eastAsia="Cambria" w:hAnsi="Arial" w:cs="Arial"/>
        </w:rPr>
      </w:pPr>
      <w:r w:rsidRPr="0085657D">
        <w:rPr>
          <w:rFonts w:ascii="Arial" w:eastAsia="Cambria" w:hAnsi="Arial" w:cs="Arial"/>
          <w:b/>
          <w:bCs/>
        </w:rPr>
        <w:t>Zakon o socijalnoj i dječjoj zaštiti</w:t>
      </w:r>
      <w:r w:rsidR="008D10C1" w:rsidRPr="0085657D">
        <w:rPr>
          <w:rStyle w:val="FootnoteReference"/>
          <w:rFonts w:ascii="Arial" w:eastAsia="Cambria" w:hAnsi="Arial" w:cs="Arial"/>
          <w:b/>
          <w:bCs/>
        </w:rPr>
        <w:footnoteReference w:id="16"/>
      </w:r>
      <w:r w:rsidRPr="0085657D">
        <w:rPr>
          <w:rFonts w:ascii="Arial" w:eastAsia="Cambria" w:hAnsi="Arial" w:cs="Arial"/>
        </w:rPr>
        <w:t xml:space="preserve">, </w:t>
      </w:r>
      <w:r w:rsidR="00AC3BC1" w:rsidRPr="0085657D">
        <w:rPr>
          <w:rFonts w:ascii="Arial" w:eastAsia="Cambria" w:hAnsi="Arial" w:cs="Arial"/>
        </w:rPr>
        <w:t>utvrđuje mehanizme socijaln</w:t>
      </w:r>
      <w:r w:rsidR="002E2FBD">
        <w:rPr>
          <w:rFonts w:ascii="Arial" w:eastAsia="Cambria" w:hAnsi="Arial" w:cs="Arial"/>
        </w:rPr>
        <w:t>e</w:t>
      </w:r>
      <w:r w:rsidR="00AC3BC1" w:rsidRPr="0085657D">
        <w:rPr>
          <w:rFonts w:ascii="Arial" w:eastAsia="Cambria" w:hAnsi="Arial" w:cs="Arial"/>
        </w:rPr>
        <w:t xml:space="preserve"> i dječ</w:t>
      </w:r>
      <w:r w:rsidR="002E2FBD">
        <w:rPr>
          <w:rFonts w:ascii="Arial" w:eastAsia="Cambria" w:hAnsi="Arial" w:cs="Arial"/>
        </w:rPr>
        <w:t>i</w:t>
      </w:r>
      <w:r w:rsidR="00AC3BC1" w:rsidRPr="0085657D">
        <w:rPr>
          <w:rFonts w:ascii="Arial" w:eastAsia="Cambria" w:hAnsi="Arial" w:cs="Arial"/>
        </w:rPr>
        <w:t xml:space="preserve">je zaštite koje imaju za cilj </w:t>
      </w:r>
      <w:r w:rsidR="00500F94" w:rsidRPr="0085657D">
        <w:rPr>
          <w:rFonts w:ascii="Arial" w:eastAsia="Cambria" w:hAnsi="Arial" w:cs="Arial"/>
        </w:rPr>
        <w:t>unapređenje</w:t>
      </w:r>
      <w:r w:rsidR="00AC3BC1" w:rsidRPr="0085657D">
        <w:rPr>
          <w:rFonts w:ascii="Arial" w:eastAsia="Cambria" w:hAnsi="Arial" w:cs="Arial"/>
        </w:rPr>
        <w:t xml:space="preserve"> kvaliteta života i osnaživanje za samostalan i produktivan život pojedinca i porodice, uključujući, ali se ne ograničavajući na pojedine kategorije žrtava zlostavljanja, zanemarivanja, nasilja u porodici i eksploatacije ili trgovine ljudima.</w:t>
      </w:r>
    </w:p>
    <w:p w14:paraId="4D5B6951" w14:textId="634DC7C9" w:rsidR="00773BDB" w:rsidRPr="0085657D" w:rsidRDefault="002636E7" w:rsidP="00773BDB">
      <w:pPr>
        <w:spacing w:after="120" w:line="276" w:lineRule="auto"/>
        <w:rPr>
          <w:rFonts w:ascii="Arial" w:eastAsia="Cambria" w:hAnsi="Arial" w:cs="Arial"/>
        </w:rPr>
      </w:pPr>
      <w:r w:rsidRPr="0085657D">
        <w:rPr>
          <w:rFonts w:ascii="Arial" w:eastAsia="Cambria" w:hAnsi="Arial" w:cs="Arial"/>
          <w:b/>
          <w:bCs/>
        </w:rPr>
        <w:t>Zakon o boračkoj i invalidskoj zaštiti</w:t>
      </w:r>
      <w:r w:rsidRPr="0085657D">
        <w:rPr>
          <w:rStyle w:val="FootnoteReference"/>
          <w:rFonts w:ascii="Arial" w:eastAsia="Cambria" w:hAnsi="Arial" w:cs="Arial"/>
        </w:rPr>
        <w:footnoteReference w:id="17"/>
      </w:r>
      <w:r w:rsidR="00556994" w:rsidRPr="0085657D">
        <w:rPr>
          <w:rFonts w:ascii="Arial" w:eastAsia="Cambria" w:hAnsi="Arial" w:cs="Arial"/>
          <w:b/>
          <w:bCs/>
        </w:rPr>
        <w:t xml:space="preserve"> </w:t>
      </w:r>
      <w:r w:rsidR="00556994" w:rsidRPr="0085657D">
        <w:rPr>
          <w:rFonts w:ascii="Arial" w:eastAsia="Cambria" w:hAnsi="Arial" w:cs="Arial"/>
        </w:rPr>
        <w:t>reguliše prava direktnih i indirektnih žrtava oružanih sukoba.</w:t>
      </w:r>
    </w:p>
    <w:p w14:paraId="46E42496" w14:textId="394E0FA3" w:rsidR="00773BDB" w:rsidRPr="0085657D" w:rsidRDefault="00773BDB" w:rsidP="00773BDB">
      <w:pPr>
        <w:spacing w:after="120" w:line="276" w:lineRule="auto"/>
        <w:rPr>
          <w:rFonts w:ascii="Arial" w:eastAsia="Cambria" w:hAnsi="Arial" w:cs="Arial"/>
        </w:rPr>
      </w:pPr>
      <w:r w:rsidRPr="0085657D">
        <w:rPr>
          <w:rFonts w:ascii="Arial" w:eastAsia="Cambria" w:hAnsi="Arial" w:cs="Arial"/>
          <w:b/>
          <w:bCs/>
        </w:rPr>
        <w:t>Zakon o audiovizuelnim medijskim uslugama</w:t>
      </w:r>
      <w:r w:rsidRPr="0085657D">
        <w:rPr>
          <w:rFonts w:ascii="Arial" w:eastAsia="Cambria" w:hAnsi="Arial" w:cs="Arial"/>
          <w:vertAlign w:val="superscript"/>
        </w:rPr>
        <w:footnoteReference w:id="18"/>
      </w:r>
      <w:r w:rsidRPr="0085657D">
        <w:rPr>
          <w:rFonts w:ascii="Arial" w:eastAsia="Cambria" w:hAnsi="Arial" w:cs="Arial"/>
          <w:b/>
          <w:bCs/>
        </w:rPr>
        <w:t xml:space="preserve"> </w:t>
      </w:r>
      <w:r w:rsidRPr="0085657D">
        <w:rPr>
          <w:rFonts w:ascii="Arial" w:eastAsia="Cambria" w:hAnsi="Arial" w:cs="Arial"/>
        </w:rPr>
        <w:t>predviđa prekršajnu odgovornost za objavljivanje informacije kojom se otkriva identitet maloljetnika uključenog u slučajeve bilo kojeg oblika nasilja, bez obzira da li je svjedok, žrtva ili izvršilac, kao i iznošenje pojedinosti iz porodičnih odnosa i privatnog života maloljetnika.</w:t>
      </w:r>
      <w:r w:rsidR="00854350">
        <w:rPr>
          <w:rFonts w:ascii="Arial" w:eastAsia="Cambria" w:hAnsi="Arial" w:cs="Arial"/>
        </w:rPr>
        <w:t xml:space="preserve"> </w:t>
      </w:r>
    </w:p>
    <w:p w14:paraId="31F69E95" w14:textId="77777777" w:rsidR="00DA03C1" w:rsidRPr="0085657D" w:rsidRDefault="00DA03C1" w:rsidP="007B6EC0">
      <w:pPr>
        <w:spacing w:after="120" w:line="276" w:lineRule="auto"/>
        <w:rPr>
          <w:rFonts w:ascii="Arial" w:eastAsia="Cambria" w:hAnsi="Arial" w:cs="Arial"/>
        </w:rPr>
      </w:pPr>
    </w:p>
    <w:p w14:paraId="2B827AE0" w14:textId="77777777" w:rsidR="006517CB" w:rsidRPr="0085657D" w:rsidRDefault="006517CB" w:rsidP="00595DE2">
      <w:pPr>
        <w:pStyle w:val="Heading2"/>
        <w:numPr>
          <w:ilvl w:val="1"/>
          <w:numId w:val="5"/>
        </w:numPr>
        <w:spacing w:before="0" w:after="240"/>
        <w:ind w:left="714" w:hanging="357"/>
        <w:rPr>
          <w:rFonts w:ascii="Arial" w:hAnsi="Arial" w:cs="Arial"/>
          <w:sz w:val="22"/>
          <w:szCs w:val="22"/>
        </w:rPr>
      </w:pPr>
      <w:bookmarkStart w:id="14" w:name="_Toc208489170"/>
      <w:r w:rsidRPr="0085657D">
        <w:rPr>
          <w:rFonts w:ascii="Arial" w:hAnsi="Arial" w:cs="Arial"/>
          <w:sz w:val="22"/>
          <w:szCs w:val="22"/>
        </w:rPr>
        <w:t>Strateški okvir</w:t>
      </w:r>
      <w:bookmarkEnd w:id="14"/>
    </w:p>
    <w:p w14:paraId="6257B8A7" w14:textId="0DEEAA37" w:rsidR="000109F1" w:rsidRDefault="003C4289" w:rsidP="00E5441C">
      <w:pPr>
        <w:autoSpaceDE w:val="0"/>
        <w:autoSpaceDN w:val="0"/>
        <w:adjustRightInd w:val="0"/>
        <w:spacing w:line="276" w:lineRule="auto"/>
        <w:rPr>
          <w:rFonts w:ascii="Arial" w:hAnsi="Arial" w:cs="Arial"/>
        </w:rPr>
      </w:pPr>
      <w:r w:rsidRPr="0085657D">
        <w:rPr>
          <w:rFonts w:ascii="Arial" w:hAnsi="Arial" w:cs="Arial"/>
        </w:rPr>
        <w:t>Specifičnost predmeta Strategije, kao i činjenica da</w:t>
      </w:r>
      <w:r w:rsidR="009039F6">
        <w:rPr>
          <w:rFonts w:ascii="Arial" w:hAnsi="Arial" w:cs="Arial"/>
        </w:rPr>
        <w:t xml:space="preserve"> je</w:t>
      </w:r>
      <w:r w:rsidRPr="0085657D">
        <w:rPr>
          <w:rFonts w:ascii="Arial" w:hAnsi="Arial" w:cs="Arial"/>
        </w:rPr>
        <w:t xml:space="preserve"> pitanje prava žrtava jedan od značajnijih izazova u Poglavlju 23, od uticaja su na brojnost dokumenata javnih politika sa kojima je Strategija povezana</w:t>
      </w:r>
      <w:r w:rsidR="00E5441C" w:rsidRPr="0085657D">
        <w:rPr>
          <w:rFonts w:ascii="Arial" w:hAnsi="Arial" w:cs="Arial"/>
        </w:rPr>
        <w:t xml:space="preserve">, odnosno na relevantni </w:t>
      </w:r>
      <w:bookmarkStart w:id="15" w:name="_GoBack"/>
      <w:r w:rsidR="00E5441C" w:rsidRPr="0085657D">
        <w:rPr>
          <w:rFonts w:ascii="Arial" w:hAnsi="Arial" w:cs="Arial"/>
        </w:rPr>
        <w:t>strateški okvir.</w:t>
      </w:r>
      <w:bookmarkEnd w:id="15"/>
    </w:p>
    <w:p w14:paraId="09F3EF46" w14:textId="6E2EFD3C" w:rsidR="00DA03C1" w:rsidRDefault="00DA03C1" w:rsidP="00E5441C">
      <w:pPr>
        <w:autoSpaceDE w:val="0"/>
        <w:autoSpaceDN w:val="0"/>
        <w:adjustRightInd w:val="0"/>
        <w:spacing w:line="276" w:lineRule="auto"/>
        <w:rPr>
          <w:rFonts w:ascii="Arial" w:hAnsi="Arial" w:cs="Arial"/>
        </w:rPr>
      </w:pPr>
    </w:p>
    <w:p w14:paraId="1BB5D877" w14:textId="2A3E15D6" w:rsidR="00DA03C1" w:rsidRDefault="00DA03C1" w:rsidP="00E5441C">
      <w:pPr>
        <w:autoSpaceDE w:val="0"/>
        <w:autoSpaceDN w:val="0"/>
        <w:adjustRightInd w:val="0"/>
        <w:spacing w:line="276" w:lineRule="auto"/>
        <w:rPr>
          <w:rFonts w:ascii="Arial" w:hAnsi="Arial" w:cs="Arial"/>
        </w:rPr>
      </w:pPr>
    </w:p>
    <w:p w14:paraId="4D300051" w14:textId="77777777" w:rsidR="00DA03C1" w:rsidRPr="0085657D" w:rsidRDefault="00DA03C1" w:rsidP="00E5441C">
      <w:pPr>
        <w:autoSpaceDE w:val="0"/>
        <w:autoSpaceDN w:val="0"/>
        <w:adjustRightInd w:val="0"/>
        <w:spacing w:line="276" w:lineRule="auto"/>
        <w:rPr>
          <w:rFonts w:ascii="Arial" w:hAnsi="Arial" w:cs="Arial"/>
        </w:rPr>
      </w:pPr>
    </w:p>
    <w:p w14:paraId="5A53B80E" w14:textId="77777777" w:rsidR="006517CB" w:rsidRPr="0085657D" w:rsidRDefault="00321069" w:rsidP="00321069">
      <w:pPr>
        <w:autoSpaceDE w:val="0"/>
        <w:autoSpaceDN w:val="0"/>
        <w:adjustRightInd w:val="0"/>
        <w:jc w:val="center"/>
        <w:rPr>
          <w:rFonts w:ascii="Arial" w:hAnsi="Arial" w:cs="Arial"/>
        </w:rPr>
      </w:pPr>
      <w:r w:rsidRPr="0085657D">
        <w:rPr>
          <w:rFonts w:ascii="Arial" w:hAnsi="Arial" w:cs="Arial"/>
        </w:rPr>
        <w:lastRenderedPageBreak/>
        <w:t>Tabela 1: Relevanti strateški okvir</w:t>
      </w:r>
    </w:p>
    <w:tbl>
      <w:tblPr>
        <w:tblW w:w="9360" w:type="dxa"/>
        <w:jc w:val="center"/>
        <w:tblLook w:val="04A0" w:firstRow="1" w:lastRow="0" w:firstColumn="1" w:lastColumn="0" w:noHBand="0" w:noVBand="1"/>
      </w:tblPr>
      <w:tblGrid>
        <w:gridCol w:w="2998"/>
        <w:gridCol w:w="346"/>
        <w:gridCol w:w="2859"/>
        <w:gridCol w:w="265"/>
        <w:gridCol w:w="2892"/>
      </w:tblGrid>
      <w:tr w:rsidR="006517CB" w:rsidRPr="0085657D" w14:paraId="14F72C04" w14:textId="77777777" w:rsidTr="00321069">
        <w:trPr>
          <w:jc w:val="center"/>
        </w:trPr>
        <w:tc>
          <w:tcPr>
            <w:tcW w:w="2998" w:type="dxa"/>
            <w:tcBorders>
              <w:top w:val="single" w:sz="4" w:space="0" w:color="auto"/>
              <w:left w:val="nil"/>
              <w:bottom w:val="single" w:sz="4" w:space="0" w:color="auto"/>
              <w:right w:val="single" w:sz="4" w:space="0" w:color="auto"/>
            </w:tcBorders>
          </w:tcPr>
          <w:p w14:paraId="58C8E5AC" w14:textId="77777777" w:rsidR="006517CB" w:rsidRPr="0085657D" w:rsidRDefault="006517CB" w:rsidP="00C921B0">
            <w:pPr>
              <w:tabs>
                <w:tab w:val="left" w:pos="3084"/>
              </w:tabs>
              <w:spacing w:after="0"/>
              <w:jc w:val="center"/>
              <w:rPr>
                <w:rFonts w:ascii="Arial" w:hAnsi="Arial" w:cs="Arial"/>
              </w:rPr>
            </w:pPr>
          </w:p>
        </w:tc>
        <w:tc>
          <w:tcPr>
            <w:tcW w:w="346" w:type="dxa"/>
            <w:tcBorders>
              <w:top w:val="single" w:sz="4" w:space="0" w:color="auto"/>
              <w:left w:val="single" w:sz="4" w:space="0" w:color="auto"/>
              <w:bottom w:val="single" w:sz="4" w:space="0" w:color="auto"/>
              <w:right w:val="single" w:sz="4" w:space="0" w:color="auto"/>
            </w:tcBorders>
          </w:tcPr>
          <w:p w14:paraId="2E1FE99A"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195184ED" w14:textId="77777777" w:rsidR="006517CB" w:rsidRPr="0085657D" w:rsidRDefault="006517CB" w:rsidP="00D33225">
            <w:pPr>
              <w:tabs>
                <w:tab w:val="left" w:pos="3084"/>
              </w:tabs>
              <w:spacing w:after="0"/>
              <w:jc w:val="center"/>
              <w:rPr>
                <w:rFonts w:ascii="Arial" w:hAnsi="Arial" w:cs="Arial"/>
              </w:rPr>
            </w:pPr>
          </w:p>
        </w:tc>
        <w:tc>
          <w:tcPr>
            <w:tcW w:w="265" w:type="dxa"/>
            <w:tcBorders>
              <w:top w:val="single" w:sz="4" w:space="0" w:color="auto"/>
              <w:left w:val="single" w:sz="4" w:space="0" w:color="auto"/>
              <w:bottom w:val="single" w:sz="4" w:space="0" w:color="auto"/>
              <w:right w:val="single" w:sz="4" w:space="0" w:color="auto"/>
            </w:tcBorders>
          </w:tcPr>
          <w:p w14:paraId="6765329D"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3053ABEB" w14:textId="77777777" w:rsidR="006517CB" w:rsidRPr="0085657D" w:rsidRDefault="006517CB" w:rsidP="00D33225">
            <w:pPr>
              <w:tabs>
                <w:tab w:val="left" w:pos="3084"/>
              </w:tabs>
              <w:spacing w:after="0"/>
              <w:jc w:val="center"/>
              <w:rPr>
                <w:rFonts w:ascii="Arial" w:hAnsi="Arial" w:cs="Arial"/>
              </w:rPr>
            </w:pPr>
          </w:p>
        </w:tc>
      </w:tr>
      <w:tr w:rsidR="006517CB" w:rsidRPr="0085657D" w14:paraId="36A69505" w14:textId="77777777" w:rsidTr="0099002D">
        <w:trPr>
          <w:trHeight w:val="917"/>
          <w:jc w:val="center"/>
        </w:trPr>
        <w:tc>
          <w:tcPr>
            <w:tcW w:w="2998" w:type="dxa"/>
            <w:tcBorders>
              <w:top w:val="single" w:sz="4" w:space="0" w:color="auto"/>
              <w:left w:val="nil"/>
              <w:bottom w:val="single" w:sz="4" w:space="0" w:color="auto"/>
              <w:right w:val="single" w:sz="4" w:space="0" w:color="auto"/>
            </w:tcBorders>
          </w:tcPr>
          <w:p w14:paraId="69606087" w14:textId="77777777" w:rsidR="006517CB" w:rsidRPr="0085657D" w:rsidRDefault="00E5441C" w:rsidP="00C921B0">
            <w:pPr>
              <w:tabs>
                <w:tab w:val="left" w:pos="3084"/>
              </w:tabs>
              <w:spacing w:after="0"/>
              <w:jc w:val="center"/>
              <w:rPr>
                <w:rFonts w:ascii="Arial" w:hAnsi="Arial" w:cs="Arial"/>
              </w:rPr>
            </w:pPr>
            <w:r w:rsidRPr="0085657D">
              <w:rPr>
                <w:rFonts w:ascii="Arial" w:hAnsi="Arial" w:cs="Arial"/>
              </w:rPr>
              <w:t>Ekonomski investicioni plan za Zapadni Balkan (Plan rasta)</w:t>
            </w:r>
          </w:p>
        </w:tc>
        <w:tc>
          <w:tcPr>
            <w:tcW w:w="346" w:type="dxa"/>
            <w:tcBorders>
              <w:top w:val="single" w:sz="4" w:space="0" w:color="auto"/>
              <w:left w:val="single" w:sz="4" w:space="0" w:color="auto"/>
              <w:bottom w:val="single" w:sz="4" w:space="0" w:color="auto"/>
              <w:right w:val="single" w:sz="4" w:space="0" w:color="auto"/>
            </w:tcBorders>
          </w:tcPr>
          <w:p w14:paraId="31641B65"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687BD14C" w14:textId="77777777" w:rsidR="006517CB" w:rsidRPr="0085657D" w:rsidRDefault="006517CB" w:rsidP="00D33225">
            <w:pPr>
              <w:tabs>
                <w:tab w:val="left" w:pos="3084"/>
              </w:tabs>
              <w:spacing w:after="0"/>
              <w:jc w:val="center"/>
              <w:rPr>
                <w:rFonts w:ascii="Arial" w:hAnsi="Arial" w:cs="Arial"/>
              </w:rPr>
            </w:pPr>
          </w:p>
        </w:tc>
        <w:tc>
          <w:tcPr>
            <w:tcW w:w="265" w:type="dxa"/>
            <w:tcBorders>
              <w:top w:val="single" w:sz="4" w:space="0" w:color="auto"/>
              <w:left w:val="single" w:sz="4" w:space="0" w:color="auto"/>
              <w:bottom w:val="single" w:sz="4" w:space="0" w:color="auto"/>
              <w:right w:val="single" w:sz="4" w:space="0" w:color="auto"/>
            </w:tcBorders>
          </w:tcPr>
          <w:p w14:paraId="7119481E"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71F09C3C" w14:textId="77777777" w:rsidR="006517CB" w:rsidRPr="0085657D" w:rsidRDefault="00E5441C" w:rsidP="00E5441C">
            <w:pPr>
              <w:spacing w:after="120" w:line="276" w:lineRule="auto"/>
              <w:jc w:val="center"/>
              <w:rPr>
                <w:rFonts w:ascii="Arial" w:hAnsi="Arial" w:cs="Arial"/>
              </w:rPr>
            </w:pPr>
            <w:r w:rsidRPr="0085657D">
              <w:rPr>
                <w:rFonts w:ascii="Arial" w:hAnsi="Arial" w:cs="Arial"/>
              </w:rPr>
              <w:t>Nacionalna strategija održivog razvoja Crne Gore do 2030.</w:t>
            </w:r>
          </w:p>
        </w:tc>
      </w:tr>
      <w:tr w:rsidR="006517CB" w:rsidRPr="0085657D" w14:paraId="6B5FD630" w14:textId="77777777" w:rsidTr="00321069">
        <w:trPr>
          <w:jc w:val="center"/>
        </w:trPr>
        <w:tc>
          <w:tcPr>
            <w:tcW w:w="2998" w:type="dxa"/>
            <w:tcBorders>
              <w:top w:val="single" w:sz="4" w:space="0" w:color="auto"/>
              <w:left w:val="nil"/>
              <w:bottom w:val="single" w:sz="4" w:space="0" w:color="auto"/>
              <w:right w:val="single" w:sz="4" w:space="0" w:color="auto"/>
            </w:tcBorders>
          </w:tcPr>
          <w:p w14:paraId="2FAFB7F6" w14:textId="77777777" w:rsidR="006517CB" w:rsidRPr="0085657D" w:rsidRDefault="00D33225" w:rsidP="00C921B0">
            <w:pPr>
              <w:tabs>
                <w:tab w:val="left" w:pos="3084"/>
              </w:tabs>
              <w:spacing w:after="0"/>
              <w:jc w:val="center"/>
              <w:rPr>
                <w:rFonts w:ascii="Arial" w:hAnsi="Arial" w:cs="Arial"/>
              </w:rPr>
            </w:pPr>
            <w:r w:rsidRPr="0085657D">
              <w:rPr>
                <w:rFonts w:ascii="Arial" w:hAnsi="Arial" w:cs="Arial"/>
              </w:rPr>
              <w:t>EU Strategija o pravima žrtava 2020-2025.</w:t>
            </w:r>
          </w:p>
        </w:tc>
        <w:tc>
          <w:tcPr>
            <w:tcW w:w="346" w:type="dxa"/>
            <w:tcBorders>
              <w:top w:val="single" w:sz="4" w:space="0" w:color="auto"/>
              <w:left w:val="single" w:sz="4" w:space="0" w:color="auto"/>
              <w:bottom w:val="single" w:sz="4" w:space="0" w:color="auto"/>
              <w:right w:val="single" w:sz="4" w:space="0" w:color="auto"/>
            </w:tcBorders>
          </w:tcPr>
          <w:p w14:paraId="0331155D"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0D0D3EB8" w14:textId="77777777" w:rsidR="006517CB" w:rsidRPr="0085657D" w:rsidRDefault="006517CB" w:rsidP="00D33225">
            <w:pPr>
              <w:tabs>
                <w:tab w:val="left" w:pos="3084"/>
              </w:tabs>
              <w:spacing w:after="0"/>
              <w:jc w:val="center"/>
              <w:rPr>
                <w:rFonts w:ascii="Arial" w:hAnsi="Arial" w:cs="Arial"/>
              </w:rPr>
            </w:pPr>
            <w:r w:rsidRPr="0085657D">
              <w:rPr>
                <w:rFonts w:ascii="Arial" w:hAnsi="Arial" w:cs="Arial"/>
              </w:rPr>
              <w:t>Akcioni plan za Poglavlje</w:t>
            </w:r>
            <w:r w:rsidR="00135AAB" w:rsidRPr="0085657D">
              <w:rPr>
                <w:rFonts w:ascii="Arial" w:hAnsi="Arial" w:cs="Arial"/>
              </w:rPr>
              <w:t>- Pravosuđe i temeljna prava</w:t>
            </w:r>
            <w:r w:rsidRPr="0085657D">
              <w:rPr>
                <w:rFonts w:ascii="Arial" w:hAnsi="Arial" w:cs="Arial"/>
              </w:rPr>
              <w:t xml:space="preserve"> 2</w:t>
            </w:r>
            <w:r w:rsidR="00135AAB" w:rsidRPr="0085657D">
              <w:rPr>
                <w:rFonts w:ascii="Arial" w:hAnsi="Arial" w:cs="Arial"/>
              </w:rPr>
              <w:t>015.</w:t>
            </w:r>
          </w:p>
        </w:tc>
        <w:tc>
          <w:tcPr>
            <w:tcW w:w="265" w:type="dxa"/>
            <w:tcBorders>
              <w:top w:val="single" w:sz="4" w:space="0" w:color="auto"/>
              <w:left w:val="single" w:sz="4" w:space="0" w:color="auto"/>
              <w:bottom w:val="single" w:sz="4" w:space="0" w:color="auto"/>
              <w:right w:val="single" w:sz="4" w:space="0" w:color="auto"/>
            </w:tcBorders>
          </w:tcPr>
          <w:p w14:paraId="502BD995"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3D471790" w14:textId="77777777" w:rsidR="006517CB" w:rsidRPr="0085657D" w:rsidRDefault="00E5441C" w:rsidP="00C559D4">
            <w:pPr>
              <w:spacing w:after="120" w:line="276" w:lineRule="auto"/>
              <w:jc w:val="center"/>
              <w:rPr>
                <w:rFonts w:ascii="Arial" w:hAnsi="Arial" w:cs="Arial"/>
              </w:rPr>
            </w:pPr>
            <w:r w:rsidRPr="0085657D">
              <w:rPr>
                <w:rFonts w:ascii="Arial" w:hAnsi="Arial" w:cs="Arial"/>
              </w:rPr>
              <w:t>Strategija digitalne transformacije Crne Gore 2022-2026</w:t>
            </w:r>
          </w:p>
        </w:tc>
      </w:tr>
      <w:tr w:rsidR="006517CB" w:rsidRPr="0085657D" w14:paraId="7DB73EA4" w14:textId="77777777" w:rsidTr="00321069">
        <w:trPr>
          <w:jc w:val="center"/>
        </w:trPr>
        <w:tc>
          <w:tcPr>
            <w:tcW w:w="2998" w:type="dxa"/>
            <w:tcBorders>
              <w:top w:val="single" w:sz="4" w:space="0" w:color="auto"/>
              <w:left w:val="nil"/>
              <w:bottom w:val="single" w:sz="4" w:space="0" w:color="auto"/>
              <w:right w:val="single" w:sz="4" w:space="0" w:color="auto"/>
            </w:tcBorders>
          </w:tcPr>
          <w:p w14:paraId="56A8D856" w14:textId="77777777" w:rsidR="006517CB" w:rsidRPr="0085657D" w:rsidRDefault="00D33225" w:rsidP="00C921B0">
            <w:pPr>
              <w:tabs>
                <w:tab w:val="left" w:pos="3084"/>
              </w:tabs>
              <w:spacing w:after="0"/>
              <w:jc w:val="center"/>
              <w:rPr>
                <w:rFonts w:ascii="Arial" w:hAnsi="Arial" w:cs="Arial"/>
              </w:rPr>
            </w:pPr>
            <w:r w:rsidRPr="0085657D">
              <w:rPr>
                <w:rFonts w:ascii="Arial" w:hAnsi="Arial" w:cs="Arial"/>
              </w:rPr>
              <w:t>Zajednička Pozicija Evropske unije- Pregovaračko poglavlje 23, Pravosuđe i temeljna prava</w:t>
            </w:r>
          </w:p>
        </w:tc>
        <w:tc>
          <w:tcPr>
            <w:tcW w:w="346" w:type="dxa"/>
            <w:tcBorders>
              <w:top w:val="single" w:sz="4" w:space="0" w:color="auto"/>
              <w:left w:val="single" w:sz="4" w:space="0" w:color="auto"/>
              <w:bottom w:val="single" w:sz="4" w:space="0" w:color="auto"/>
              <w:right w:val="single" w:sz="4" w:space="0" w:color="auto"/>
            </w:tcBorders>
          </w:tcPr>
          <w:p w14:paraId="26804079"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213624A5" w14:textId="77777777" w:rsidR="00D33225" w:rsidRPr="0085657D" w:rsidRDefault="00D33225" w:rsidP="00D33225">
            <w:pPr>
              <w:spacing w:after="120" w:line="276" w:lineRule="auto"/>
              <w:ind w:left="357"/>
              <w:jc w:val="center"/>
              <w:rPr>
                <w:rFonts w:ascii="Arial" w:hAnsi="Arial" w:cs="Arial"/>
              </w:rPr>
            </w:pPr>
            <w:r w:rsidRPr="0085657D">
              <w:rPr>
                <w:rFonts w:ascii="Arial" w:hAnsi="Arial" w:cs="Arial"/>
              </w:rPr>
              <w:t>Program pristupanja Crne Gore Evropskoj uniji 2023–2024</w:t>
            </w:r>
          </w:p>
          <w:p w14:paraId="35289ABE" w14:textId="77777777" w:rsidR="006517CB" w:rsidRPr="0085657D" w:rsidRDefault="006517CB" w:rsidP="00D33225">
            <w:pPr>
              <w:tabs>
                <w:tab w:val="left" w:pos="3084"/>
              </w:tabs>
              <w:spacing w:after="0"/>
              <w:jc w:val="center"/>
              <w:rPr>
                <w:rFonts w:ascii="Arial" w:hAnsi="Arial" w:cs="Arial"/>
              </w:rPr>
            </w:pPr>
          </w:p>
        </w:tc>
        <w:tc>
          <w:tcPr>
            <w:tcW w:w="265" w:type="dxa"/>
            <w:tcBorders>
              <w:top w:val="single" w:sz="4" w:space="0" w:color="auto"/>
              <w:left w:val="single" w:sz="4" w:space="0" w:color="auto"/>
              <w:bottom w:val="single" w:sz="4" w:space="0" w:color="auto"/>
              <w:right w:val="single" w:sz="4" w:space="0" w:color="auto"/>
            </w:tcBorders>
          </w:tcPr>
          <w:p w14:paraId="71C54BD4"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38FAF7EE" w14:textId="77777777" w:rsidR="00D33225" w:rsidRPr="0085657D" w:rsidRDefault="00D33225" w:rsidP="00D33225">
            <w:pPr>
              <w:spacing w:after="120" w:line="276" w:lineRule="auto"/>
              <w:jc w:val="center"/>
              <w:rPr>
                <w:rFonts w:ascii="Arial" w:hAnsi="Arial" w:cs="Arial"/>
              </w:rPr>
            </w:pPr>
            <w:r w:rsidRPr="0085657D">
              <w:rPr>
                <w:rFonts w:ascii="Arial" w:hAnsi="Arial" w:cs="Arial"/>
              </w:rPr>
              <w:t>Srednjoročni Program rada Vlade Crne Gore 2024-2027.</w:t>
            </w:r>
          </w:p>
          <w:p w14:paraId="0F063F4E" w14:textId="77777777" w:rsidR="006517CB" w:rsidRPr="0085657D" w:rsidRDefault="006517CB" w:rsidP="00D33225">
            <w:pPr>
              <w:tabs>
                <w:tab w:val="left" w:pos="3084"/>
              </w:tabs>
              <w:spacing w:after="0"/>
              <w:jc w:val="center"/>
              <w:rPr>
                <w:rFonts w:ascii="Arial" w:hAnsi="Arial" w:cs="Arial"/>
              </w:rPr>
            </w:pPr>
          </w:p>
        </w:tc>
      </w:tr>
      <w:tr w:rsidR="006517CB" w:rsidRPr="0085657D" w14:paraId="0869494C" w14:textId="77777777" w:rsidTr="00321069">
        <w:trPr>
          <w:jc w:val="center"/>
        </w:trPr>
        <w:tc>
          <w:tcPr>
            <w:tcW w:w="2998" w:type="dxa"/>
            <w:tcBorders>
              <w:top w:val="single" w:sz="4" w:space="0" w:color="auto"/>
              <w:left w:val="nil"/>
              <w:bottom w:val="single" w:sz="4" w:space="0" w:color="auto"/>
              <w:right w:val="single" w:sz="4" w:space="0" w:color="auto"/>
            </w:tcBorders>
            <w:shd w:val="clear" w:color="auto" w:fill="DAE9F7" w:themeFill="text2" w:themeFillTint="1A"/>
            <w:vAlign w:val="center"/>
          </w:tcPr>
          <w:p w14:paraId="79EB1954" w14:textId="77777777" w:rsidR="006517CB" w:rsidRPr="0085657D" w:rsidRDefault="006517CB" w:rsidP="00C921B0">
            <w:pPr>
              <w:tabs>
                <w:tab w:val="left" w:pos="3084"/>
              </w:tabs>
              <w:spacing w:after="0"/>
              <w:jc w:val="center"/>
              <w:rPr>
                <w:rFonts w:ascii="Arial" w:hAnsi="Arial" w:cs="Arial"/>
                <w:b/>
                <w:bCs/>
                <w:color w:val="0A1D30" w:themeColor="text2" w:themeShade="BF"/>
              </w:rPr>
            </w:pPr>
            <w:r w:rsidRPr="0085657D">
              <w:rPr>
                <w:rFonts w:ascii="Arial" w:hAnsi="Arial" w:cs="Arial"/>
                <w:b/>
                <w:bCs/>
                <w:color w:val="0A1D30" w:themeColor="text2" w:themeShade="BF"/>
              </w:rPr>
              <w:t>Strateški okvir EU</w:t>
            </w:r>
          </w:p>
        </w:tc>
        <w:tc>
          <w:tcPr>
            <w:tcW w:w="34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B37A02E" w14:textId="77777777" w:rsidR="006517CB" w:rsidRPr="0085657D" w:rsidRDefault="006517CB" w:rsidP="00C921B0">
            <w:pPr>
              <w:tabs>
                <w:tab w:val="left" w:pos="3084"/>
              </w:tabs>
              <w:spacing w:after="0"/>
              <w:rPr>
                <w:rFonts w:ascii="Arial" w:hAnsi="Arial" w:cs="Arial"/>
                <w:color w:val="0A1D30" w:themeColor="text2" w:themeShade="BF"/>
              </w:rPr>
            </w:pPr>
          </w:p>
        </w:tc>
        <w:tc>
          <w:tcPr>
            <w:tcW w:w="28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008D782" w14:textId="77777777" w:rsidR="006517CB" w:rsidRPr="0085657D" w:rsidRDefault="006517CB" w:rsidP="00C921B0">
            <w:pPr>
              <w:tabs>
                <w:tab w:val="left" w:pos="3084"/>
              </w:tabs>
              <w:spacing w:after="0"/>
              <w:jc w:val="center"/>
              <w:rPr>
                <w:rFonts w:ascii="Arial" w:hAnsi="Arial" w:cs="Arial"/>
                <w:b/>
                <w:bCs/>
                <w:color w:val="0A1D30" w:themeColor="text2" w:themeShade="BF"/>
              </w:rPr>
            </w:pPr>
            <w:r w:rsidRPr="0085657D">
              <w:rPr>
                <w:rFonts w:ascii="Arial" w:hAnsi="Arial" w:cs="Arial"/>
                <w:b/>
                <w:bCs/>
                <w:color w:val="0A1D30" w:themeColor="text2" w:themeShade="BF"/>
              </w:rPr>
              <w:t>Obaveze CG u procesu pristupanja CG EU i Strateški okvir Crne Gore</w:t>
            </w:r>
          </w:p>
        </w:tc>
        <w:tc>
          <w:tcPr>
            <w:tcW w:w="26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E40650D" w14:textId="77777777" w:rsidR="006517CB" w:rsidRPr="0085657D" w:rsidRDefault="006517CB" w:rsidP="00C921B0">
            <w:pPr>
              <w:tabs>
                <w:tab w:val="left" w:pos="3084"/>
              </w:tabs>
              <w:spacing w:after="0"/>
              <w:rPr>
                <w:rFonts w:ascii="Arial" w:hAnsi="Arial" w:cs="Arial"/>
                <w:color w:val="0A1D30" w:themeColor="text2" w:themeShade="BF"/>
              </w:rPr>
            </w:pPr>
          </w:p>
        </w:tc>
        <w:tc>
          <w:tcPr>
            <w:tcW w:w="2892" w:type="dxa"/>
            <w:tcBorders>
              <w:top w:val="single" w:sz="4" w:space="0" w:color="auto"/>
              <w:left w:val="single" w:sz="4" w:space="0" w:color="auto"/>
              <w:bottom w:val="single" w:sz="4" w:space="0" w:color="auto"/>
              <w:right w:val="nil"/>
            </w:tcBorders>
            <w:shd w:val="clear" w:color="auto" w:fill="DAE9F7" w:themeFill="text2" w:themeFillTint="1A"/>
            <w:vAlign w:val="center"/>
          </w:tcPr>
          <w:p w14:paraId="677180DB" w14:textId="77777777" w:rsidR="006517CB" w:rsidRPr="0085657D" w:rsidRDefault="006517CB" w:rsidP="00C921B0">
            <w:pPr>
              <w:tabs>
                <w:tab w:val="left" w:pos="3084"/>
              </w:tabs>
              <w:spacing w:after="0"/>
              <w:jc w:val="center"/>
              <w:rPr>
                <w:rFonts w:ascii="Arial" w:hAnsi="Arial" w:cs="Arial"/>
                <w:b/>
                <w:bCs/>
                <w:color w:val="0A1D30" w:themeColor="text2" w:themeShade="BF"/>
              </w:rPr>
            </w:pPr>
            <w:r w:rsidRPr="0085657D">
              <w:rPr>
                <w:rFonts w:ascii="Arial" w:hAnsi="Arial" w:cs="Arial"/>
                <w:b/>
                <w:bCs/>
                <w:color w:val="0A1D30" w:themeColor="text2" w:themeShade="BF"/>
              </w:rPr>
              <w:t>Strateški okvir Crne Gore</w:t>
            </w:r>
          </w:p>
        </w:tc>
      </w:tr>
      <w:tr w:rsidR="006517CB" w:rsidRPr="0085657D" w14:paraId="1AB0A2D6" w14:textId="77777777" w:rsidTr="00321069">
        <w:trPr>
          <w:trHeight w:val="404"/>
          <w:jc w:val="center"/>
        </w:trPr>
        <w:tc>
          <w:tcPr>
            <w:tcW w:w="2998" w:type="dxa"/>
            <w:tcBorders>
              <w:top w:val="single" w:sz="4" w:space="0" w:color="auto"/>
              <w:left w:val="nil"/>
              <w:bottom w:val="single" w:sz="4" w:space="0" w:color="auto"/>
              <w:right w:val="single" w:sz="4" w:space="0" w:color="auto"/>
            </w:tcBorders>
          </w:tcPr>
          <w:p w14:paraId="4A2DA620" w14:textId="77777777" w:rsidR="006517CB" w:rsidRPr="0085657D" w:rsidRDefault="006517CB" w:rsidP="00C921B0">
            <w:pPr>
              <w:tabs>
                <w:tab w:val="left" w:pos="3084"/>
              </w:tabs>
              <w:rPr>
                <w:rFonts w:ascii="Arial" w:hAnsi="Arial" w:cs="Arial"/>
              </w:rPr>
            </w:pPr>
            <w:r w:rsidRPr="0085657D">
              <w:rPr>
                <w:rFonts w:ascii="Arial" w:hAnsi="Arial" w:cs="Arial"/>
                <w:noProof/>
                <w:lang w:val="en-US"/>
              </w:rPr>
              <mc:AlternateContent>
                <mc:Choice Requires="wps">
                  <w:drawing>
                    <wp:anchor distT="0" distB="0" distL="114296" distR="114296" simplePos="0" relativeHeight="251659264" behindDoc="0" locked="0" layoutInCell="1" allowOverlap="1" wp14:anchorId="5D9FC778" wp14:editId="55B42873">
                      <wp:simplePos x="0" y="0"/>
                      <wp:positionH relativeFrom="column">
                        <wp:posOffset>777239</wp:posOffset>
                      </wp:positionH>
                      <wp:positionV relativeFrom="paragraph">
                        <wp:posOffset>5080</wp:posOffset>
                      </wp:positionV>
                      <wp:extent cx="0" cy="190500"/>
                      <wp:effectExtent l="76200" t="0" r="57150" b="57150"/>
                      <wp:wrapNone/>
                      <wp:docPr id="9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96F207" id="_x0000_t32" coordsize="21600,21600" o:spt="32" o:oned="t" path="m,l21600,21600e" filled="f">
                      <v:path arrowok="t" fillok="f" o:connecttype="none"/>
                      <o:lock v:ext="edit" shapetype="t"/>
                    </v:shapetype>
                    <v:shape id="Straight Arrow Connector 11" o:spid="_x0000_s1026" type="#_x0000_t32" style="position:absolute;margin-left:61.2pt;margin-top:.4pt;width:0;height:15pt;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" strokecolor="#4472c4" strokeweight=".5pt">
                      <v:stroke endarrow="block" joinstyle="miter"/>
                      <o:lock v:ext="edit" shapetype="f"/>
                    </v:shape>
                  </w:pict>
                </mc:Fallback>
              </mc:AlternateContent>
            </w:r>
          </w:p>
        </w:tc>
        <w:tc>
          <w:tcPr>
            <w:tcW w:w="346" w:type="dxa"/>
            <w:tcBorders>
              <w:top w:val="single" w:sz="4" w:space="0" w:color="auto"/>
              <w:left w:val="single" w:sz="4" w:space="0" w:color="auto"/>
              <w:bottom w:val="single" w:sz="4" w:space="0" w:color="auto"/>
              <w:right w:val="single" w:sz="4" w:space="0" w:color="auto"/>
            </w:tcBorders>
          </w:tcPr>
          <w:p w14:paraId="544AF855" w14:textId="77777777" w:rsidR="006517CB" w:rsidRPr="0085657D" w:rsidRDefault="006517CB" w:rsidP="00C921B0">
            <w:pPr>
              <w:tabs>
                <w:tab w:val="left" w:pos="3084"/>
              </w:tabs>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5B25C57F" w14:textId="77777777" w:rsidR="006517CB" w:rsidRPr="0085657D" w:rsidRDefault="006517CB" w:rsidP="00C921B0">
            <w:pPr>
              <w:tabs>
                <w:tab w:val="left" w:pos="3084"/>
              </w:tabs>
              <w:rPr>
                <w:rFonts w:ascii="Arial" w:hAnsi="Arial" w:cs="Arial"/>
              </w:rPr>
            </w:pPr>
            <w:r w:rsidRPr="0085657D">
              <w:rPr>
                <w:rFonts w:ascii="Arial" w:hAnsi="Arial" w:cs="Arial"/>
                <w:noProof/>
                <w:lang w:val="en-US"/>
              </w:rPr>
              <mc:AlternateContent>
                <mc:Choice Requires="wps">
                  <w:drawing>
                    <wp:anchor distT="0" distB="0" distL="114300" distR="114300" simplePos="0" relativeHeight="251660288" behindDoc="0" locked="0" layoutInCell="1" allowOverlap="1" wp14:anchorId="7B80A628" wp14:editId="11733955">
                      <wp:simplePos x="0" y="0"/>
                      <wp:positionH relativeFrom="column">
                        <wp:posOffset>825500</wp:posOffset>
                      </wp:positionH>
                      <wp:positionV relativeFrom="paragraph">
                        <wp:posOffset>5080</wp:posOffset>
                      </wp:positionV>
                      <wp:extent cx="7620" cy="236220"/>
                      <wp:effectExtent l="76200" t="0" r="68580" b="49530"/>
                      <wp:wrapNone/>
                      <wp:docPr id="8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362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2E1153" id="Straight Arrow Connector 12" o:spid="_x0000_s1026" type="#_x0000_t32" style="position:absolute;margin-left:65pt;margin-top:.4pt;width:.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" strokecolor="#4472c4" strokeweight=".5pt">
                      <v:stroke endarrow="block" joinstyle="miter"/>
                      <o:lock v:ext="edit" shapetype="f"/>
                    </v:shape>
                  </w:pict>
                </mc:Fallback>
              </mc:AlternateContent>
            </w:r>
          </w:p>
        </w:tc>
        <w:tc>
          <w:tcPr>
            <w:tcW w:w="265" w:type="dxa"/>
            <w:tcBorders>
              <w:top w:val="single" w:sz="4" w:space="0" w:color="auto"/>
              <w:left w:val="single" w:sz="4" w:space="0" w:color="auto"/>
              <w:bottom w:val="single" w:sz="4" w:space="0" w:color="auto"/>
              <w:right w:val="single" w:sz="4" w:space="0" w:color="auto"/>
            </w:tcBorders>
          </w:tcPr>
          <w:p w14:paraId="53167333" w14:textId="77777777" w:rsidR="006517CB" w:rsidRPr="0085657D" w:rsidRDefault="006517CB" w:rsidP="00C921B0">
            <w:pPr>
              <w:tabs>
                <w:tab w:val="left" w:pos="3084"/>
              </w:tabs>
              <w:rPr>
                <w:rFonts w:ascii="Arial" w:hAnsi="Arial" w:cs="Arial"/>
              </w:rPr>
            </w:pPr>
          </w:p>
        </w:tc>
        <w:tc>
          <w:tcPr>
            <w:tcW w:w="2892" w:type="dxa"/>
            <w:tcBorders>
              <w:top w:val="single" w:sz="4" w:space="0" w:color="auto"/>
              <w:left w:val="single" w:sz="4" w:space="0" w:color="auto"/>
              <w:bottom w:val="single" w:sz="4" w:space="0" w:color="auto"/>
              <w:right w:val="nil"/>
            </w:tcBorders>
          </w:tcPr>
          <w:p w14:paraId="1F4E521B" w14:textId="77777777" w:rsidR="006517CB" w:rsidRPr="0085657D" w:rsidRDefault="006517CB" w:rsidP="00C921B0">
            <w:pPr>
              <w:tabs>
                <w:tab w:val="left" w:pos="3084"/>
              </w:tabs>
              <w:rPr>
                <w:rFonts w:ascii="Arial" w:hAnsi="Arial" w:cs="Arial"/>
              </w:rPr>
            </w:pPr>
            <w:r w:rsidRPr="0085657D">
              <w:rPr>
                <w:rFonts w:ascii="Arial" w:hAnsi="Arial" w:cs="Arial"/>
                <w:noProof/>
                <w:lang w:val="en-US"/>
              </w:rPr>
              <mc:AlternateContent>
                <mc:Choice Requires="wps">
                  <w:drawing>
                    <wp:anchor distT="0" distB="0" distL="114300" distR="114300" simplePos="0" relativeHeight="251661312" behindDoc="0" locked="0" layoutInCell="1" allowOverlap="1" wp14:anchorId="0C6B1B78" wp14:editId="040976CE">
                      <wp:simplePos x="0" y="0"/>
                      <wp:positionH relativeFrom="column">
                        <wp:posOffset>723900</wp:posOffset>
                      </wp:positionH>
                      <wp:positionV relativeFrom="paragraph">
                        <wp:posOffset>5080</wp:posOffset>
                      </wp:positionV>
                      <wp:extent cx="15240" cy="251460"/>
                      <wp:effectExtent l="57150" t="0" r="60960" b="53340"/>
                      <wp:wrapNone/>
                      <wp:docPr id="8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2514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132CE8" id="Straight Arrow Connector 17" o:spid="_x0000_s1026" type="#_x0000_t32" style="position:absolute;margin-left:57pt;margin-top:.4pt;width:1.2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" strokecolor="#4472c4" strokeweight=".5pt">
                      <v:stroke endarrow="block" joinstyle="miter"/>
                      <o:lock v:ext="edit" shapetype="f"/>
                    </v:shape>
                  </w:pict>
                </mc:Fallback>
              </mc:AlternateContent>
            </w:r>
          </w:p>
        </w:tc>
      </w:tr>
      <w:tr w:rsidR="006517CB" w:rsidRPr="0085657D" w14:paraId="5E0D48E8" w14:textId="77777777" w:rsidTr="00321069">
        <w:trPr>
          <w:trHeight w:val="341"/>
          <w:jc w:val="center"/>
        </w:trPr>
        <w:tc>
          <w:tcPr>
            <w:tcW w:w="9360" w:type="dxa"/>
            <w:gridSpan w:val="5"/>
            <w:tcBorders>
              <w:top w:val="single" w:sz="4" w:space="0" w:color="auto"/>
              <w:left w:val="nil"/>
              <w:bottom w:val="single" w:sz="4" w:space="0" w:color="auto"/>
              <w:right w:val="nil"/>
            </w:tcBorders>
            <w:shd w:val="clear" w:color="auto" w:fill="A5C9EB" w:themeFill="text2" w:themeFillTint="40"/>
            <w:vAlign w:val="center"/>
          </w:tcPr>
          <w:p w14:paraId="0563BB18" w14:textId="2000F5FF" w:rsidR="006517CB" w:rsidRPr="0085657D" w:rsidRDefault="006517CB" w:rsidP="001216C6">
            <w:pPr>
              <w:tabs>
                <w:tab w:val="left" w:pos="3084"/>
              </w:tabs>
              <w:spacing w:before="240"/>
              <w:jc w:val="center"/>
              <w:rPr>
                <w:rFonts w:ascii="Arial" w:hAnsi="Arial" w:cs="Arial"/>
                <w:b/>
                <w:bCs/>
              </w:rPr>
            </w:pPr>
            <w:r w:rsidRPr="0085657D">
              <w:rPr>
                <w:rFonts w:ascii="Arial" w:hAnsi="Arial" w:cs="Arial"/>
                <w:b/>
                <w:bCs/>
              </w:rPr>
              <w:t>STRATEGIJA ZA</w:t>
            </w:r>
            <w:r w:rsidR="00321069" w:rsidRPr="0085657D">
              <w:rPr>
                <w:rFonts w:ascii="Arial" w:hAnsi="Arial" w:cs="Arial"/>
                <w:b/>
                <w:bCs/>
              </w:rPr>
              <w:t>ŠTITE</w:t>
            </w:r>
            <w:r w:rsidRPr="0085657D">
              <w:rPr>
                <w:rFonts w:ascii="Arial" w:hAnsi="Arial" w:cs="Arial"/>
                <w:b/>
                <w:bCs/>
              </w:rPr>
              <w:t xml:space="preserve"> PRAVA ŽRTAVA  2025-202</w:t>
            </w:r>
            <w:r w:rsidR="005839B9">
              <w:rPr>
                <w:rFonts w:ascii="Arial" w:hAnsi="Arial" w:cs="Arial"/>
                <w:b/>
                <w:bCs/>
              </w:rPr>
              <w:t>9</w:t>
            </w:r>
            <w:r w:rsidRPr="0085657D">
              <w:rPr>
                <w:rFonts w:ascii="Arial" w:hAnsi="Arial" w:cs="Arial"/>
                <w:b/>
                <w:bCs/>
              </w:rPr>
              <w:t xml:space="preserve">. </w:t>
            </w:r>
          </w:p>
        </w:tc>
      </w:tr>
      <w:tr w:rsidR="006517CB" w:rsidRPr="0085657D" w14:paraId="1E4C41CA" w14:textId="77777777" w:rsidTr="00321069">
        <w:trPr>
          <w:trHeight w:val="305"/>
          <w:jc w:val="center"/>
        </w:trPr>
        <w:tc>
          <w:tcPr>
            <w:tcW w:w="2998" w:type="dxa"/>
            <w:tcBorders>
              <w:top w:val="single" w:sz="4" w:space="0" w:color="auto"/>
              <w:left w:val="nil"/>
              <w:bottom w:val="single" w:sz="4" w:space="0" w:color="auto"/>
              <w:right w:val="single" w:sz="4" w:space="0" w:color="auto"/>
            </w:tcBorders>
          </w:tcPr>
          <w:p w14:paraId="3EB2C72B" w14:textId="77777777" w:rsidR="006517CB" w:rsidRPr="0085657D" w:rsidRDefault="001216C6" w:rsidP="00C921B0">
            <w:pPr>
              <w:tabs>
                <w:tab w:val="left" w:pos="3084"/>
              </w:tabs>
              <w:rPr>
                <w:rFonts w:ascii="Arial" w:hAnsi="Arial" w:cs="Arial"/>
              </w:rPr>
            </w:pPr>
            <w:r w:rsidRPr="0085657D">
              <w:rPr>
                <w:rFonts w:ascii="Arial" w:hAnsi="Arial" w:cs="Arial"/>
                <w:b/>
                <w:bCs/>
                <w:noProof/>
                <w:lang w:val="en-US"/>
              </w:rPr>
              <mc:AlternateContent>
                <mc:Choice Requires="wps">
                  <w:drawing>
                    <wp:anchor distT="0" distB="0" distL="114296" distR="114296" simplePos="0" relativeHeight="251664384" behindDoc="0" locked="0" layoutInCell="1" allowOverlap="1" wp14:anchorId="7A1F76C1" wp14:editId="241BB39D">
                      <wp:simplePos x="0" y="0"/>
                      <wp:positionH relativeFrom="column">
                        <wp:posOffset>774260</wp:posOffset>
                      </wp:positionH>
                      <wp:positionV relativeFrom="paragraph">
                        <wp:posOffset>-22274</wp:posOffset>
                      </wp:positionV>
                      <wp:extent cx="0" cy="228600"/>
                      <wp:effectExtent l="76200" t="38100" r="57150" b="19050"/>
                      <wp:wrapNone/>
                      <wp:docPr id="8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FDC01" id="Straight Arrow Connector 14" o:spid="_x0000_s1026" type="#_x0000_t32" style="position:absolute;margin-left:60.95pt;margin-top:-1.75pt;width:0;height:18pt;flip:y;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" strokecolor="#4472c4" strokeweight=".5pt">
                      <v:stroke endarrow="block" joinstyle="miter"/>
                      <o:lock v:ext="edit" shapetype="f"/>
                    </v:shape>
                  </w:pict>
                </mc:Fallback>
              </mc:AlternateContent>
            </w:r>
          </w:p>
        </w:tc>
        <w:tc>
          <w:tcPr>
            <w:tcW w:w="346" w:type="dxa"/>
            <w:tcBorders>
              <w:top w:val="single" w:sz="4" w:space="0" w:color="auto"/>
              <w:left w:val="single" w:sz="4" w:space="0" w:color="auto"/>
              <w:bottom w:val="single" w:sz="4" w:space="0" w:color="auto"/>
              <w:right w:val="single" w:sz="4" w:space="0" w:color="auto"/>
            </w:tcBorders>
          </w:tcPr>
          <w:p w14:paraId="6B8FA31F" w14:textId="77777777" w:rsidR="006517CB" w:rsidRPr="0085657D" w:rsidRDefault="006517CB" w:rsidP="00C921B0">
            <w:pPr>
              <w:tabs>
                <w:tab w:val="left" w:pos="3084"/>
              </w:tabs>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0071C8B0" w14:textId="77777777" w:rsidR="006517CB" w:rsidRPr="0085657D" w:rsidRDefault="001F1E41" w:rsidP="00C921B0">
            <w:pPr>
              <w:tabs>
                <w:tab w:val="left" w:pos="3084"/>
              </w:tabs>
              <w:rPr>
                <w:rFonts w:ascii="Arial" w:hAnsi="Arial" w:cs="Arial"/>
              </w:rPr>
            </w:pPr>
            <w:r w:rsidRPr="0085657D">
              <w:rPr>
                <w:rFonts w:ascii="Arial" w:hAnsi="Arial" w:cs="Arial"/>
                <w:b/>
                <w:bCs/>
                <w:noProof/>
                <w:lang w:val="en-US"/>
              </w:rPr>
              <mc:AlternateContent>
                <mc:Choice Requires="wps">
                  <w:drawing>
                    <wp:anchor distT="0" distB="0" distL="114296" distR="114296" simplePos="0" relativeHeight="251663360" behindDoc="0" locked="0" layoutInCell="1" allowOverlap="1" wp14:anchorId="55C65E48" wp14:editId="361BDE9A">
                      <wp:simplePos x="0" y="0"/>
                      <wp:positionH relativeFrom="column">
                        <wp:posOffset>875274</wp:posOffset>
                      </wp:positionH>
                      <wp:positionV relativeFrom="paragraph">
                        <wp:posOffset>-19538</wp:posOffset>
                      </wp:positionV>
                      <wp:extent cx="0" cy="213360"/>
                      <wp:effectExtent l="76200" t="38100" r="57150" b="15240"/>
                      <wp:wrapNone/>
                      <wp:docPr id="8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33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52679E" id="Straight Arrow Connector 15" o:spid="_x0000_s1026" type="#_x0000_t32" style="position:absolute;margin-left:68.9pt;margin-top:-1.55pt;width:0;height:16.8pt;flip:y;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" strokecolor="#4472c4" strokeweight=".5pt">
                      <v:stroke endarrow="block" joinstyle="miter"/>
                      <o:lock v:ext="edit" shapetype="f"/>
                    </v:shape>
                  </w:pict>
                </mc:Fallback>
              </mc:AlternateContent>
            </w:r>
            <w:r w:rsidR="006517CB" w:rsidRPr="0085657D">
              <w:rPr>
                <w:rFonts w:ascii="Arial" w:hAnsi="Arial" w:cs="Arial"/>
              </w:rPr>
              <w:t xml:space="preserve"> </w:t>
            </w:r>
          </w:p>
        </w:tc>
        <w:tc>
          <w:tcPr>
            <w:tcW w:w="265" w:type="dxa"/>
            <w:tcBorders>
              <w:top w:val="single" w:sz="4" w:space="0" w:color="auto"/>
              <w:left w:val="single" w:sz="4" w:space="0" w:color="auto"/>
              <w:bottom w:val="single" w:sz="4" w:space="0" w:color="auto"/>
              <w:right w:val="single" w:sz="4" w:space="0" w:color="auto"/>
            </w:tcBorders>
          </w:tcPr>
          <w:p w14:paraId="282CB51F" w14:textId="77777777" w:rsidR="006517CB" w:rsidRPr="0085657D" w:rsidRDefault="006517CB" w:rsidP="00C921B0">
            <w:pPr>
              <w:tabs>
                <w:tab w:val="left" w:pos="3084"/>
              </w:tabs>
              <w:rPr>
                <w:rFonts w:ascii="Arial" w:hAnsi="Arial" w:cs="Arial"/>
              </w:rPr>
            </w:pPr>
          </w:p>
        </w:tc>
        <w:tc>
          <w:tcPr>
            <w:tcW w:w="2892" w:type="dxa"/>
            <w:tcBorders>
              <w:top w:val="single" w:sz="4" w:space="0" w:color="auto"/>
              <w:left w:val="single" w:sz="4" w:space="0" w:color="auto"/>
              <w:bottom w:val="single" w:sz="4" w:space="0" w:color="auto"/>
              <w:right w:val="nil"/>
            </w:tcBorders>
          </w:tcPr>
          <w:p w14:paraId="562D2E0B" w14:textId="77777777" w:rsidR="006517CB" w:rsidRPr="0085657D" w:rsidRDefault="001216C6" w:rsidP="00C921B0">
            <w:pPr>
              <w:tabs>
                <w:tab w:val="left" w:pos="3084"/>
              </w:tabs>
              <w:rPr>
                <w:rFonts w:ascii="Arial" w:hAnsi="Arial" w:cs="Arial"/>
              </w:rPr>
            </w:pPr>
            <w:r w:rsidRPr="0085657D">
              <w:rPr>
                <w:rFonts w:ascii="Arial" w:hAnsi="Arial" w:cs="Arial"/>
                <w:b/>
                <w:bCs/>
                <w:noProof/>
                <w:lang w:val="en-US"/>
              </w:rPr>
              <mc:AlternateContent>
                <mc:Choice Requires="wps">
                  <w:drawing>
                    <wp:anchor distT="0" distB="0" distL="114296" distR="114296" simplePos="0" relativeHeight="251662336" behindDoc="0" locked="0" layoutInCell="1" allowOverlap="1" wp14:anchorId="663789BE" wp14:editId="7BAC2905">
                      <wp:simplePos x="0" y="0"/>
                      <wp:positionH relativeFrom="column">
                        <wp:posOffset>776605</wp:posOffset>
                      </wp:positionH>
                      <wp:positionV relativeFrom="paragraph">
                        <wp:posOffset>-9965</wp:posOffset>
                      </wp:positionV>
                      <wp:extent cx="0" cy="220980"/>
                      <wp:effectExtent l="76200" t="38100" r="57150" b="26670"/>
                      <wp:wrapNone/>
                      <wp:docPr id="8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3B65C9" id="Straight Arrow Connector 16" o:spid="_x0000_s1026" type="#_x0000_t32" style="position:absolute;margin-left:61.15pt;margin-top:-.8pt;width:0;height:17.4pt;flip:y;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" strokecolor="#4472c4" strokeweight=".5pt">
                      <v:stroke endarrow="block" joinstyle="miter"/>
                      <o:lock v:ext="edit" shapetype="f"/>
                    </v:shape>
                  </w:pict>
                </mc:Fallback>
              </mc:AlternateContent>
            </w:r>
          </w:p>
        </w:tc>
      </w:tr>
      <w:tr w:rsidR="006517CB" w:rsidRPr="0085657D" w14:paraId="5263BE53" w14:textId="77777777" w:rsidTr="00321069">
        <w:trPr>
          <w:jc w:val="center"/>
        </w:trPr>
        <w:tc>
          <w:tcPr>
            <w:tcW w:w="2998" w:type="dxa"/>
            <w:tcBorders>
              <w:top w:val="single" w:sz="4" w:space="0" w:color="auto"/>
              <w:left w:val="nil"/>
              <w:bottom w:val="single" w:sz="4" w:space="0" w:color="auto"/>
              <w:right w:val="single" w:sz="4" w:space="0" w:color="auto"/>
            </w:tcBorders>
            <w:shd w:val="clear" w:color="auto" w:fill="DAE9F7" w:themeFill="text2" w:themeFillTint="1A"/>
          </w:tcPr>
          <w:p w14:paraId="6E849FD2" w14:textId="77777777" w:rsidR="006517CB" w:rsidRPr="0085657D" w:rsidRDefault="006517CB" w:rsidP="00C921B0">
            <w:pPr>
              <w:tabs>
                <w:tab w:val="left" w:pos="3084"/>
              </w:tabs>
              <w:jc w:val="center"/>
              <w:rPr>
                <w:rFonts w:ascii="Arial" w:hAnsi="Arial" w:cs="Arial"/>
                <w:b/>
                <w:bCs/>
                <w:color w:val="0A1D30" w:themeColor="text2" w:themeShade="BF"/>
              </w:rPr>
            </w:pPr>
            <w:r w:rsidRPr="0085657D">
              <w:rPr>
                <w:rFonts w:ascii="Arial" w:hAnsi="Arial" w:cs="Arial"/>
                <w:b/>
                <w:bCs/>
                <w:color w:val="0A1D30" w:themeColor="text2" w:themeShade="BF"/>
              </w:rPr>
              <w:t>Sektorske strategije</w:t>
            </w:r>
          </w:p>
        </w:tc>
        <w:tc>
          <w:tcPr>
            <w:tcW w:w="34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F43964" w14:textId="77777777" w:rsidR="006517CB" w:rsidRPr="0085657D" w:rsidRDefault="006517CB" w:rsidP="00C921B0">
            <w:pPr>
              <w:tabs>
                <w:tab w:val="left" w:pos="3084"/>
              </w:tabs>
              <w:rPr>
                <w:rFonts w:ascii="Arial" w:hAnsi="Arial" w:cs="Arial"/>
                <w:b/>
                <w:bCs/>
                <w:color w:val="0A1D30" w:themeColor="text2" w:themeShade="BF"/>
              </w:rPr>
            </w:pPr>
          </w:p>
        </w:tc>
        <w:tc>
          <w:tcPr>
            <w:tcW w:w="28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44AA624" w14:textId="77777777" w:rsidR="006517CB" w:rsidRPr="0085657D" w:rsidRDefault="006517CB" w:rsidP="00C921B0">
            <w:pPr>
              <w:tabs>
                <w:tab w:val="left" w:pos="3084"/>
              </w:tabs>
              <w:jc w:val="center"/>
              <w:rPr>
                <w:rFonts w:ascii="Arial" w:hAnsi="Arial" w:cs="Arial"/>
                <w:b/>
                <w:bCs/>
                <w:color w:val="0A1D30" w:themeColor="text2" w:themeShade="BF"/>
              </w:rPr>
            </w:pPr>
            <w:r w:rsidRPr="0085657D">
              <w:rPr>
                <w:rFonts w:ascii="Arial" w:hAnsi="Arial" w:cs="Arial"/>
                <w:b/>
                <w:bCs/>
                <w:color w:val="0A1D30" w:themeColor="text2" w:themeShade="BF"/>
              </w:rPr>
              <w:t>Tematske strategije/Programi</w:t>
            </w:r>
          </w:p>
        </w:tc>
        <w:tc>
          <w:tcPr>
            <w:tcW w:w="26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ED493D0" w14:textId="77777777" w:rsidR="006517CB" w:rsidRPr="0085657D" w:rsidRDefault="006517CB" w:rsidP="00C921B0">
            <w:pPr>
              <w:tabs>
                <w:tab w:val="left" w:pos="3084"/>
              </w:tabs>
              <w:rPr>
                <w:rFonts w:ascii="Arial" w:hAnsi="Arial" w:cs="Arial"/>
                <w:b/>
                <w:bCs/>
                <w:color w:val="0A1D30" w:themeColor="text2" w:themeShade="BF"/>
              </w:rPr>
            </w:pPr>
          </w:p>
        </w:tc>
        <w:tc>
          <w:tcPr>
            <w:tcW w:w="2892" w:type="dxa"/>
            <w:tcBorders>
              <w:top w:val="single" w:sz="4" w:space="0" w:color="auto"/>
              <w:left w:val="single" w:sz="4" w:space="0" w:color="auto"/>
              <w:bottom w:val="single" w:sz="4" w:space="0" w:color="auto"/>
              <w:right w:val="nil"/>
            </w:tcBorders>
            <w:shd w:val="clear" w:color="auto" w:fill="DAE9F7" w:themeFill="text2" w:themeFillTint="1A"/>
          </w:tcPr>
          <w:p w14:paraId="5C375925" w14:textId="77777777" w:rsidR="006517CB" w:rsidRPr="0085657D" w:rsidRDefault="006517CB" w:rsidP="00C921B0">
            <w:pPr>
              <w:tabs>
                <w:tab w:val="left" w:pos="3084"/>
              </w:tabs>
              <w:jc w:val="center"/>
              <w:rPr>
                <w:rFonts w:ascii="Arial" w:hAnsi="Arial" w:cs="Arial"/>
                <w:b/>
                <w:bCs/>
                <w:color w:val="0A1D30" w:themeColor="text2" w:themeShade="BF"/>
              </w:rPr>
            </w:pPr>
            <w:r w:rsidRPr="0085657D">
              <w:rPr>
                <w:rFonts w:ascii="Arial" w:hAnsi="Arial" w:cs="Arial"/>
                <w:b/>
                <w:bCs/>
                <w:color w:val="0A1D30" w:themeColor="text2" w:themeShade="BF"/>
              </w:rPr>
              <w:t>Druga relevantna dokumenta</w:t>
            </w:r>
          </w:p>
        </w:tc>
      </w:tr>
      <w:tr w:rsidR="00D43DD8" w:rsidRPr="0085657D" w14:paraId="5CB6217D" w14:textId="77777777" w:rsidTr="00321069">
        <w:trPr>
          <w:jc w:val="center"/>
        </w:trPr>
        <w:tc>
          <w:tcPr>
            <w:tcW w:w="2998" w:type="dxa"/>
            <w:tcBorders>
              <w:top w:val="single" w:sz="4" w:space="0" w:color="auto"/>
              <w:left w:val="nil"/>
              <w:bottom w:val="single" w:sz="4" w:space="0" w:color="auto"/>
              <w:right w:val="single" w:sz="4" w:space="0" w:color="auto"/>
            </w:tcBorders>
          </w:tcPr>
          <w:p w14:paraId="578966D8" w14:textId="77777777" w:rsidR="00D43DD8" w:rsidRPr="0085657D" w:rsidRDefault="0029373E" w:rsidP="00D43DD8">
            <w:pPr>
              <w:tabs>
                <w:tab w:val="left" w:pos="3084"/>
              </w:tabs>
              <w:spacing w:after="0"/>
              <w:jc w:val="center"/>
              <w:rPr>
                <w:rFonts w:ascii="Arial" w:hAnsi="Arial" w:cs="Arial"/>
              </w:rPr>
            </w:pPr>
            <w:r w:rsidRPr="0085657D">
              <w:rPr>
                <w:rFonts w:ascii="Arial" w:hAnsi="Arial" w:cs="Arial"/>
              </w:rPr>
              <w:t>S</w:t>
            </w:r>
            <w:r w:rsidR="00D43DD8" w:rsidRPr="0085657D">
              <w:rPr>
                <w:rFonts w:ascii="Arial" w:hAnsi="Arial" w:cs="Arial"/>
              </w:rPr>
              <w:t>trategija reforme pravosuđa 2024-2027.</w:t>
            </w:r>
          </w:p>
        </w:tc>
        <w:tc>
          <w:tcPr>
            <w:tcW w:w="346" w:type="dxa"/>
            <w:tcBorders>
              <w:top w:val="single" w:sz="4" w:space="0" w:color="auto"/>
              <w:left w:val="single" w:sz="4" w:space="0" w:color="auto"/>
              <w:bottom w:val="single" w:sz="4" w:space="0" w:color="auto"/>
              <w:right w:val="single" w:sz="4" w:space="0" w:color="auto"/>
            </w:tcBorders>
          </w:tcPr>
          <w:p w14:paraId="4D3B4D80" w14:textId="77777777" w:rsidR="00D43DD8" w:rsidRPr="0085657D" w:rsidRDefault="00D43DD8" w:rsidP="00D43DD8">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771909F4" w14:textId="77777777" w:rsidR="00D43DD8" w:rsidRPr="0085657D" w:rsidRDefault="00D43DD8" w:rsidP="00D43DD8">
            <w:pPr>
              <w:tabs>
                <w:tab w:val="left" w:pos="3084"/>
              </w:tabs>
              <w:spacing w:after="0"/>
              <w:jc w:val="center"/>
              <w:rPr>
                <w:rFonts w:ascii="Arial" w:hAnsi="Arial" w:cs="Arial"/>
              </w:rPr>
            </w:pPr>
            <w:r w:rsidRPr="0085657D">
              <w:rPr>
                <w:rFonts w:ascii="Arial" w:hAnsi="Arial" w:cs="Arial"/>
              </w:rPr>
              <w:t>Strategija za borbu protiv trgovine ljudima 2019-2024</w:t>
            </w:r>
          </w:p>
        </w:tc>
        <w:tc>
          <w:tcPr>
            <w:tcW w:w="265" w:type="dxa"/>
            <w:tcBorders>
              <w:top w:val="single" w:sz="4" w:space="0" w:color="auto"/>
              <w:left w:val="single" w:sz="4" w:space="0" w:color="auto"/>
              <w:bottom w:val="single" w:sz="4" w:space="0" w:color="auto"/>
              <w:right w:val="single" w:sz="4" w:space="0" w:color="auto"/>
            </w:tcBorders>
          </w:tcPr>
          <w:p w14:paraId="169FC968" w14:textId="77777777" w:rsidR="00D43DD8" w:rsidRPr="0085657D" w:rsidRDefault="00D43DD8" w:rsidP="00D43DD8">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0AFE66B0" w14:textId="65762DE5" w:rsidR="00B34D20" w:rsidRPr="0085657D" w:rsidRDefault="00D43DD8" w:rsidP="00B34D20">
            <w:pPr>
              <w:tabs>
                <w:tab w:val="left" w:pos="3084"/>
              </w:tabs>
              <w:spacing w:after="0"/>
              <w:jc w:val="center"/>
              <w:rPr>
                <w:rFonts w:ascii="Arial" w:hAnsi="Arial" w:cs="Arial"/>
              </w:rPr>
            </w:pPr>
            <w:r w:rsidRPr="0085657D">
              <w:rPr>
                <w:rFonts w:ascii="Arial" w:hAnsi="Arial" w:cs="Arial"/>
              </w:rPr>
              <w:t>Izvješta</w:t>
            </w:r>
            <w:r w:rsidRPr="00EF7EA4">
              <w:rPr>
                <w:rFonts w:ascii="Arial" w:hAnsi="Arial" w:cs="Arial"/>
              </w:rPr>
              <w:t>j</w:t>
            </w:r>
            <w:r w:rsidR="00AC6C76" w:rsidRPr="00EF7EA4">
              <w:rPr>
                <w:rFonts w:ascii="Arial" w:hAnsi="Arial" w:cs="Arial"/>
              </w:rPr>
              <w:t>i</w:t>
            </w:r>
            <w:r w:rsidRPr="0085657D">
              <w:rPr>
                <w:rFonts w:ascii="Arial" w:hAnsi="Arial" w:cs="Arial"/>
              </w:rPr>
              <w:t xml:space="preserve"> </w:t>
            </w:r>
            <w:r w:rsidR="00B34D20">
              <w:rPr>
                <w:rFonts w:ascii="Arial" w:hAnsi="Arial" w:cs="Arial"/>
              </w:rPr>
              <w:t>specijalizovanih tijela Savjeta Evrope za Crnu Goru (</w:t>
            </w:r>
            <w:r w:rsidRPr="0085657D">
              <w:rPr>
                <w:rFonts w:ascii="Arial" w:hAnsi="Arial" w:cs="Arial"/>
              </w:rPr>
              <w:t>GREVIO</w:t>
            </w:r>
            <w:r w:rsidR="00B34D20">
              <w:rPr>
                <w:rFonts w:ascii="Arial" w:hAnsi="Arial" w:cs="Arial"/>
              </w:rPr>
              <w:t>,GRETA, ECRI, Lanzarote Committee)</w:t>
            </w:r>
          </w:p>
        </w:tc>
      </w:tr>
      <w:tr w:rsidR="006517CB" w:rsidRPr="0085657D" w14:paraId="03E92BD5" w14:textId="77777777" w:rsidTr="00321069">
        <w:trPr>
          <w:jc w:val="center"/>
        </w:trPr>
        <w:tc>
          <w:tcPr>
            <w:tcW w:w="2998" w:type="dxa"/>
            <w:tcBorders>
              <w:top w:val="single" w:sz="4" w:space="0" w:color="auto"/>
              <w:left w:val="nil"/>
              <w:bottom w:val="single" w:sz="4" w:space="0" w:color="auto"/>
              <w:right w:val="single" w:sz="4" w:space="0" w:color="auto"/>
            </w:tcBorders>
          </w:tcPr>
          <w:p w14:paraId="522F910D" w14:textId="319FFE7D" w:rsidR="00EF7EA4" w:rsidRDefault="00720D17" w:rsidP="00C921B0">
            <w:pPr>
              <w:tabs>
                <w:tab w:val="left" w:pos="3084"/>
              </w:tabs>
              <w:spacing w:after="0"/>
              <w:jc w:val="center"/>
              <w:rPr>
                <w:rFonts w:ascii="Arial" w:hAnsi="Arial" w:cs="Arial"/>
              </w:rPr>
            </w:pPr>
            <w:r w:rsidRPr="0085657D">
              <w:rPr>
                <w:rFonts w:ascii="Arial" w:hAnsi="Arial" w:cs="Arial"/>
              </w:rPr>
              <w:t>Nacionalna strategija rodne ravnopravnosti 2021-2025</w:t>
            </w:r>
          </w:p>
          <w:p w14:paraId="61F2C67E" w14:textId="77777777" w:rsidR="006517CB" w:rsidRPr="00EF7EA4" w:rsidRDefault="006517CB" w:rsidP="00EF7EA4">
            <w:pPr>
              <w:jc w:val="center"/>
              <w:rPr>
                <w:rFonts w:ascii="Arial" w:hAnsi="Arial" w:cs="Arial"/>
              </w:rPr>
            </w:pPr>
          </w:p>
        </w:tc>
        <w:tc>
          <w:tcPr>
            <w:tcW w:w="346" w:type="dxa"/>
            <w:tcBorders>
              <w:top w:val="single" w:sz="4" w:space="0" w:color="auto"/>
              <w:left w:val="single" w:sz="4" w:space="0" w:color="auto"/>
              <w:bottom w:val="single" w:sz="4" w:space="0" w:color="auto"/>
              <w:right w:val="single" w:sz="4" w:space="0" w:color="auto"/>
            </w:tcBorders>
          </w:tcPr>
          <w:p w14:paraId="05DC74FF"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758102DF" w14:textId="77777777" w:rsidR="006517CB" w:rsidRPr="0085657D" w:rsidRDefault="00C64A17" w:rsidP="00C921B0">
            <w:pPr>
              <w:tabs>
                <w:tab w:val="left" w:pos="3084"/>
              </w:tabs>
              <w:spacing w:after="0"/>
              <w:jc w:val="center"/>
              <w:rPr>
                <w:rFonts w:ascii="Arial" w:hAnsi="Arial" w:cs="Arial"/>
              </w:rPr>
            </w:pPr>
            <w:r w:rsidRPr="0085657D">
              <w:rPr>
                <w:rFonts w:ascii="Arial" w:hAnsi="Arial" w:cs="Arial"/>
              </w:rPr>
              <w:t>Strategija za istraživanje ratnih zločina 2024-2027.</w:t>
            </w:r>
          </w:p>
        </w:tc>
        <w:tc>
          <w:tcPr>
            <w:tcW w:w="265" w:type="dxa"/>
            <w:tcBorders>
              <w:top w:val="single" w:sz="4" w:space="0" w:color="auto"/>
              <w:left w:val="single" w:sz="4" w:space="0" w:color="auto"/>
              <w:bottom w:val="single" w:sz="4" w:space="0" w:color="auto"/>
              <w:right w:val="single" w:sz="4" w:space="0" w:color="auto"/>
            </w:tcBorders>
          </w:tcPr>
          <w:p w14:paraId="7158139A"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5844727F" w14:textId="77777777" w:rsidR="006517CB" w:rsidRDefault="006517CB" w:rsidP="00C921B0">
            <w:pPr>
              <w:tabs>
                <w:tab w:val="left" w:pos="3084"/>
              </w:tabs>
              <w:spacing w:after="0"/>
              <w:jc w:val="center"/>
              <w:rPr>
                <w:rFonts w:ascii="Arial" w:hAnsi="Arial" w:cs="Arial"/>
              </w:rPr>
            </w:pPr>
            <w:r w:rsidRPr="0085657D">
              <w:rPr>
                <w:rFonts w:ascii="Arial" w:hAnsi="Arial" w:cs="Arial"/>
              </w:rPr>
              <w:t>Izvještaj EK o napretku Crne Gore, 202</w:t>
            </w:r>
            <w:r w:rsidR="00D43DD8" w:rsidRPr="0085657D">
              <w:rPr>
                <w:rFonts w:ascii="Arial" w:hAnsi="Arial" w:cs="Arial"/>
              </w:rPr>
              <w:t>3</w:t>
            </w:r>
            <w:r w:rsidRPr="0085657D">
              <w:rPr>
                <w:rFonts w:ascii="Arial" w:hAnsi="Arial" w:cs="Arial"/>
              </w:rPr>
              <w:t>.</w:t>
            </w:r>
          </w:p>
          <w:p w14:paraId="5AF4FF0B" w14:textId="795E0403" w:rsidR="00AC6C76" w:rsidRPr="0085657D" w:rsidRDefault="00AC6C76" w:rsidP="00EF7EA4">
            <w:pPr>
              <w:tabs>
                <w:tab w:val="left" w:pos="3084"/>
              </w:tabs>
              <w:spacing w:after="0"/>
              <w:rPr>
                <w:rFonts w:ascii="Arial" w:hAnsi="Arial" w:cs="Arial"/>
              </w:rPr>
            </w:pPr>
          </w:p>
        </w:tc>
      </w:tr>
      <w:tr w:rsidR="00F25A46" w:rsidRPr="0085657D" w14:paraId="4CCD61AE" w14:textId="77777777" w:rsidTr="00321069">
        <w:trPr>
          <w:jc w:val="center"/>
        </w:trPr>
        <w:tc>
          <w:tcPr>
            <w:tcW w:w="2998" w:type="dxa"/>
            <w:tcBorders>
              <w:top w:val="single" w:sz="4" w:space="0" w:color="auto"/>
              <w:left w:val="nil"/>
              <w:bottom w:val="single" w:sz="4" w:space="0" w:color="auto"/>
              <w:right w:val="single" w:sz="4" w:space="0" w:color="auto"/>
            </w:tcBorders>
          </w:tcPr>
          <w:p w14:paraId="23432DE6" w14:textId="29F32FC0" w:rsidR="00EF7EA4" w:rsidRDefault="00B738EC" w:rsidP="00F25A46">
            <w:pPr>
              <w:tabs>
                <w:tab w:val="left" w:pos="3084"/>
              </w:tabs>
              <w:spacing w:after="0"/>
              <w:jc w:val="center"/>
              <w:rPr>
                <w:rFonts w:ascii="Arial" w:hAnsi="Arial" w:cs="Arial"/>
              </w:rPr>
            </w:pPr>
            <w:r w:rsidRPr="0085657D">
              <w:rPr>
                <w:rFonts w:ascii="Arial" w:hAnsi="Arial" w:cs="Arial"/>
              </w:rPr>
              <w:t>Strategija prevencije i zaštite djece od nasilja 2024- 2028.</w:t>
            </w:r>
          </w:p>
          <w:p w14:paraId="717BB210" w14:textId="77777777" w:rsidR="00F25A46" w:rsidRPr="00EF7EA4" w:rsidRDefault="00F25A46" w:rsidP="00EF7EA4">
            <w:pPr>
              <w:rPr>
                <w:rFonts w:ascii="Arial" w:hAnsi="Arial" w:cs="Arial"/>
              </w:rPr>
            </w:pPr>
          </w:p>
        </w:tc>
        <w:tc>
          <w:tcPr>
            <w:tcW w:w="346" w:type="dxa"/>
            <w:tcBorders>
              <w:top w:val="single" w:sz="4" w:space="0" w:color="auto"/>
              <w:left w:val="single" w:sz="4" w:space="0" w:color="auto"/>
              <w:bottom w:val="single" w:sz="4" w:space="0" w:color="auto"/>
              <w:right w:val="single" w:sz="4" w:space="0" w:color="auto"/>
            </w:tcBorders>
          </w:tcPr>
          <w:p w14:paraId="634487C6" w14:textId="77777777" w:rsidR="00F25A46" w:rsidRPr="0085657D" w:rsidRDefault="00F25A46" w:rsidP="00F25A46">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5719B21C" w14:textId="77777777" w:rsidR="00F25A46" w:rsidRPr="0085657D" w:rsidRDefault="00C64A17" w:rsidP="00C64A17">
            <w:pPr>
              <w:tabs>
                <w:tab w:val="left" w:pos="3084"/>
              </w:tabs>
              <w:jc w:val="center"/>
              <w:rPr>
                <w:rFonts w:ascii="Arial" w:hAnsi="Arial" w:cs="Arial"/>
              </w:rPr>
            </w:pPr>
            <w:r w:rsidRPr="0085657D">
              <w:rPr>
                <w:rFonts w:ascii="Arial" w:hAnsi="Arial" w:cs="Arial"/>
              </w:rPr>
              <w:t>Strategija digitalizacije pravosuđa 2024-2027.</w:t>
            </w:r>
          </w:p>
        </w:tc>
        <w:tc>
          <w:tcPr>
            <w:tcW w:w="265" w:type="dxa"/>
            <w:tcBorders>
              <w:top w:val="single" w:sz="4" w:space="0" w:color="auto"/>
              <w:left w:val="single" w:sz="4" w:space="0" w:color="auto"/>
              <w:bottom w:val="single" w:sz="4" w:space="0" w:color="auto"/>
              <w:right w:val="single" w:sz="4" w:space="0" w:color="auto"/>
            </w:tcBorders>
          </w:tcPr>
          <w:p w14:paraId="0FD2CDB1" w14:textId="77777777" w:rsidR="00F25A46" w:rsidRPr="0085657D" w:rsidRDefault="00F25A46" w:rsidP="00F25A46">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6DF1E958" w14:textId="025DA2F6" w:rsidR="00AC6C76" w:rsidRDefault="00B34D20" w:rsidP="00F25A46">
            <w:pPr>
              <w:tabs>
                <w:tab w:val="left" w:pos="3084"/>
              </w:tabs>
              <w:spacing w:after="0"/>
              <w:rPr>
                <w:rFonts w:ascii="Arial" w:hAnsi="Arial" w:cs="Arial"/>
              </w:rPr>
            </w:pPr>
            <w:r w:rsidRPr="00EF7EA4">
              <w:rPr>
                <w:rFonts w:ascii="Arial" w:hAnsi="Arial" w:cs="Arial"/>
                <w:lang w:val="en-GB"/>
              </w:rPr>
              <w:t xml:space="preserve"> Reports on the implementation of the Council of Europe Gender Equality Strategy</w:t>
            </w:r>
          </w:p>
          <w:p w14:paraId="2529B9E6" w14:textId="77777777" w:rsidR="00AC6C76" w:rsidRPr="0085657D" w:rsidRDefault="00AC6C76" w:rsidP="00B34D20">
            <w:pPr>
              <w:tabs>
                <w:tab w:val="left" w:pos="3084"/>
              </w:tabs>
              <w:spacing w:after="0"/>
              <w:rPr>
                <w:rFonts w:ascii="Arial" w:hAnsi="Arial" w:cs="Arial"/>
              </w:rPr>
            </w:pPr>
          </w:p>
        </w:tc>
      </w:tr>
      <w:tr w:rsidR="00F25A46" w:rsidRPr="0085657D" w14:paraId="6524BCA0" w14:textId="77777777" w:rsidTr="00321069">
        <w:trPr>
          <w:trHeight w:val="70"/>
          <w:jc w:val="center"/>
        </w:trPr>
        <w:tc>
          <w:tcPr>
            <w:tcW w:w="2998" w:type="dxa"/>
            <w:tcBorders>
              <w:top w:val="single" w:sz="4" w:space="0" w:color="auto"/>
              <w:left w:val="nil"/>
              <w:right w:val="single" w:sz="4" w:space="0" w:color="auto"/>
            </w:tcBorders>
          </w:tcPr>
          <w:p w14:paraId="7E2921BB" w14:textId="77777777" w:rsidR="00F25A46" w:rsidRPr="0085657D" w:rsidRDefault="00F25A46" w:rsidP="00F25A46">
            <w:pPr>
              <w:tabs>
                <w:tab w:val="left" w:pos="3084"/>
              </w:tabs>
              <w:spacing w:after="0"/>
              <w:jc w:val="center"/>
              <w:rPr>
                <w:rFonts w:ascii="Arial" w:hAnsi="Arial" w:cs="Arial"/>
              </w:rPr>
            </w:pPr>
          </w:p>
        </w:tc>
        <w:tc>
          <w:tcPr>
            <w:tcW w:w="346" w:type="dxa"/>
            <w:tcBorders>
              <w:top w:val="single" w:sz="4" w:space="0" w:color="auto"/>
              <w:left w:val="single" w:sz="4" w:space="0" w:color="auto"/>
              <w:bottom w:val="nil"/>
              <w:right w:val="single" w:sz="4" w:space="0" w:color="auto"/>
            </w:tcBorders>
          </w:tcPr>
          <w:p w14:paraId="0AFFF4C1" w14:textId="77777777" w:rsidR="00F25A46" w:rsidRPr="0085657D" w:rsidRDefault="00F25A46" w:rsidP="00F25A46">
            <w:pPr>
              <w:tabs>
                <w:tab w:val="left" w:pos="3084"/>
              </w:tabs>
              <w:rPr>
                <w:rFonts w:ascii="Arial" w:hAnsi="Arial" w:cs="Arial"/>
              </w:rPr>
            </w:pPr>
          </w:p>
        </w:tc>
        <w:tc>
          <w:tcPr>
            <w:tcW w:w="2859" w:type="dxa"/>
            <w:tcBorders>
              <w:top w:val="single" w:sz="4" w:space="0" w:color="auto"/>
              <w:left w:val="single" w:sz="4" w:space="0" w:color="auto"/>
              <w:right w:val="single" w:sz="4" w:space="0" w:color="auto"/>
            </w:tcBorders>
          </w:tcPr>
          <w:p w14:paraId="185D404C" w14:textId="77777777" w:rsidR="00C64A17" w:rsidRPr="0085657D" w:rsidRDefault="00C64A17" w:rsidP="00F25A46">
            <w:pPr>
              <w:tabs>
                <w:tab w:val="left" w:pos="3084"/>
              </w:tabs>
              <w:jc w:val="center"/>
              <w:rPr>
                <w:rFonts w:ascii="Arial" w:hAnsi="Arial" w:cs="Arial"/>
              </w:rPr>
            </w:pPr>
            <w:r w:rsidRPr="0085657D">
              <w:rPr>
                <w:rFonts w:ascii="Arial" w:hAnsi="Arial" w:cs="Arial"/>
              </w:rPr>
              <w:t xml:space="preserve">Nacionalni plan za implementaciju Konvencije Savjeta Evrope o suzbijanju i sprečavanju nasilja nad ženama i nasilja u porodici (Istanbulska konvencija) </w:t>
            </w:r>
            <w:r w:rsidRPr="0085657D">
              <w:rPr>
                <w:rFonts w:ascii="Arial" w:hAnsi="Arial" w:cs="Arial"/>
              </w:rPr>
              <w:lastRenderedPageBreak/>
              <w:t>za period 2023. – 2027. godine</w:t>
            </w:r>
          </w:p>
        </w:tc>
        <w:tc>
          <w:tcPr>
            <w:tcW w:w="265" w:type="dxa"/>
            <w:tcBorders>
              <w:top w:val="single" w:sz="4" w:space="0" w:color="auto"/>
              <w:left w:val="single" w:sz="4" w:space="0" w:color="auto"/>
              <w:bottom w:val="nil"/>
              <w:right w:val="single" w:sz="4" w:space="0" w:color="auto"/>
            </w:tcBorders>
          </w:tcPr>
          <w:p w14:paraId="4C784F38" w14:textId="77777777" w:rsidR="00F25A46" w:rsidRPr="0085657D" w:rsidRDefault="00F25A46" w:rsidP="00F25A46">
            <w:pPr>
              <w:tabs>
                <w:tab w:val="left" w:pos="3084"/>
              </w:tabs>
              <w:rPr>
                <w:rFonts w:ascii="Arial" w:hAnsi="Arial" w:cs="Arial"/>
              </w:rPr>
            </w:pPr>
          </w:p>
        </w:tc>
        <w:tc>
          <w:tcPr>
            <w:tcW w:w="2892" w:type="dxa"/>
            <w:tcBorders>
              <w:top w:val="single" w:sz="4" w:space="0" w:color="auto"/>
              <w:left w:val="single" w:sz="4" w:space="0" w:color="auto"/>
              <w:right w:val="nil"/>
            </w:tcBorders>
          </w:tcPr>
          <w:p w14:paraId="22BD030C" w14:textId="77777777" w:rsidR="00F25A46" w:rsidRDefault="00C64A17" w:rsidP="00F25A46">
            <w:pPr>
              <w:tabs>
                <w:tab w:val="left" w:pos="3084"/>
              </w:tabs>
              <w:jc w:val="center"/>
              <w:rPr>
                <w:rFonts w:ascii="Arial" w:hAnsi="Arial" w:cs="Arial"/>
              </w:rPr>
            </w:pPr>
            <w:r w:rsidRPr="0085657D">
              <w:rPr>
                <w:rFonts w:ascii="Arial" w:hAnsi="Arial" w:cs="Arial"/>
              </w:rPr>
              <w:t>Zaključna zapažanja UN CED, UN CAT, UN HRC, UN CRC i izvještaji UN specijalnih izvjestilaca</w:t>
            </w:r>
          </w:p>
          <w:p w14:paraId="262E4130" w14:textId="77777777" w:rsidR="00AC6C76" w:rsidRDefault="00AC6C76" w:rsidP="00F25A46">
            <w:pPr>
              <w:tabs>
                <w:tab w:val="left" w:pos="3084"/>
              </w:tabs>
              <w:jc w:val="center"/>
              <w:rPr>
                <w:rFonts w:ascii="Arial" w:hAnsi="Arial" w:cs="Arial"/>
              </w:rPr>
            </w:pPr>
          </w:p>
          <w:p w14:paraId="3E83E63E" w14:textId="7C8ECDF4" w:rsidR="00AC6C76" w:rsidRPr="0085657D" w:rsidRDefault="00AC6C76" w:rsidP="00EF7EA4">
            <w:pPr>
              <w:tabs>
                <w:tab w:val="left" w:pos="3084"/>
              </w:tabs>
              <w:rPr>
                <w:rFonts w:ascii="Arial" w:hAnsi="Arial" w:cs="Arial"/>
              </w:rPr>
            </w:pPr>
          </w:p>
        </w:tc>
      </w:tr>
    </w:tbl>
    <w:p w14:paraId="4D6539BD" w14:textId="77777777" w:rsidR="006517CB" w:rsidRPr="0085657D" w:rsidRDefault="006517CB" w:rsidP="005414F1">
      <w:pPr>
        <w:autoSpaceDE w:val="0"/>
        <w:autoSpaceDN w:val="0"/>
        <w:adjustRightInd w:val="0"/>
        <w:rPr>
          <w:rFonts w:ascii="Arial" w:hAnsi="Arial" w:cs="Arial"/>
        </w:rPr>
      </w:pPr>
    </w:p>
    <w:p w14:paraId="3F64EBEA" w14:textId="1437850E" w:rsidR="002E6B4A" w:rsidRPr="0085657D" w:rsidRDefault="005414F1" w:rsidP="00E71623">
      <w:pPr>
        <w:autoSpaceDE w:val="0"/>
        <w:autoSpaceDN w:val="0"/>
        <w:adjustRightInd w:val="0"/>
        <w:spacing w:line="276" w:lineRule="auto"/>
        <w:rPr>
          <w:rFonts w:ascii="Arial" w:hAnsi="Arial" w:cs="Arial"/>
        </w:rPr>
      </w:pPr>
      <w:r w:rsidRPr="0085657D">
        <w:rPr>
          <w:rFonts w:ascii="Arial" w:hAnsi="Arial" w:cs="Arial"/>
        </w:rPr>
        <w:t xml:space="preserve">Kada je riječ o </w:t>
      </w:r>
      <w:r w:rsidRPr="0085657D">
        <w:rPr>
          <w:rFonts w:ascii="Arial" w:hAnsi="Arial" w:cs="Arial"/>
          <w:b/>
          <w:bCs/>
        </w:rPr>
        <w:t xml:space="preserve">međusobnoj usklađenosti Strategije i drugih dokumenata javnih politika koje </w:t>
      </w:r>
      <w:r w:rsidR="008253AD" w:rsidRPr="0085657D">
        <w:rPr>
          <w:rFonts w:ascii="Arial" w:hAnsi="Arial" w:cs="Arial"/>
          <w:b/>
          <w:bCs/>
        </w:rPr>
        <w:t xml:space="preserve">donosi i </w:t>
      </w:r>
      <w:r w:rsidRPr="0085657D">
        <w:rPr>
          <w:rFonts w:ascii="Arial" w:hAnsi="Arial" w:cs="Arial"/>
          <w:b/>
          <w:bCs/>
        </w:rPr>
        <w:t>sprovodi Vlada i institucije pravosuđa</w:t>
      </w:r>
      <w:r w:rsidRPr="0085657D">
        <w:rPr>
          <w:rFonts w:ascii="Arial" w:hAnsi="Arial" w:cs="Arial"/>
        </w:rPr>
        <w:t xml:space="preserve">, </w:t>
      </w:r>
      <w:r w:rsidR="008253AD" w:rsidRPr="0085657D">
        <w:rPr>
          <w:rFonts w:ascii="Arial" w:hAnsi="Arial" w:cs="Arial"/>
        </w:rPr>
        <w:t xml:space="preserve">treba napomenuti da </w:t>
      </w:r>
      <w:r w:rsidRPr="0085657D">
        <w:rPr>
          <w:rFonts w:ascii="Arial" w:hAnsi="Arial" w:cs="Arial"/>
        </w:rPr>
        <w:t xml:space="preserve">potreba da se osigura strateški pristup reformama </w:t>
      </w:r>
      <w:r w:rsidR="00A8695A" w:rsidRPr="0085657D">
        <w:rPr>
          <w:rFonts w:ascii="Arial" w:hAnsi="Arial" w:cs="Arial"/>
        </w:rPr>
        <w:t xml:space="preserve">u predmetnoj oblasti nije eksplicitno </w:t>
      </w:r>
      <w:r w:rsidRPr="0085657D">
        <w:rPr>
          <w:rFonts w:ascii="Arial" w:hAnsi="Arial" w:cs="Arial"/>
        </w:rPr>
        <w:t xml:space="preserve">adresirana u </w:t>
      </w:r>
      <w:r w:rsidR="00A8695A" w:rsidRPr="0085657D">
        <w:rPr>
          <w:rFonts w:ascii="Arial" w:hAnsi="Arial" w:cs="Arial"/>
        </w:rPr>
        <w:t>Srednj</w:t>
      </w:r>
      <w:r w:rsidR="00123CA5">
        <w:rPr>
          <w:rFonts w:ascii="Arial" w:hAnsi="Arial" w:cs="Arial"/>
        </w:rPr>
        <w:t>o</w:t>
      </w:r>
      <w:r w:rsidR="00A8695A" w:rsidRPr="0085657D">
        <w:rPr>
          <w:rFonts w:ascii="Arial" w:hAnsi="Arial" w:cs="Arial"/>
        </w:rPr>
        <w:t xml:space="preserve">ročnom </w:t>
      </w:r>
      <w:r w:rsidRPr="0085657D">
        <w:rPr>
          <w:rFonts w:ascii="Arial" w:hAnsi="Arial" w:cs="Arial"/>
          <w:b/>
          <w:bCs/>
        </w:rPr>
        <w:t>Programu rada Vlade</w:t>
      </w:r>
      <w:r w:rsidR="00A8695A" w:rsidRPr="0085657D">
        <w:rPr>
          <w:rFonts w:ascii="Arial" w:hAnsi="Arial" w:cs="Arial"/>
          <w:b/>
          <w:bCs/>
        </w:rPr>
        <w:t xml:space="preserve"> Crne Gore</w:t>
      </w:r>
      <w:r w:rsidRPr="0085657D">
        <w:rPr>
          <w:rFonts w:ascii="Arial" w:hAnsi="Arial" w:cs="Arial"/>
          <w:b/>
          <w:bCs/>
        </w:rPr>
        <w:t xml:space="preserve"> 202</w:t>
      </w:r>
      <w:r w:rsidR="00F829F6" w:rsidRPr="0085657D">
        <w:rPr>
          <w:rFonts w:ascii="Arial" w:hAnsi="Arial" w:cs="Arial"/>
          <w:b/>
          <w:bCs/>
        </w:rPr>
        <w:t>4</w:t>
      </w:r>
      <w:r w:rsidR="00A8695A" w:rsidRPr="0085657D">
        <w:rPr>
          <w:rFonts w:ascii="Arial" w:hAnsi="Arial" w:cs="Arial"/>
          <w:b/>
          <w:bCs/>
        </w:rPr>
        <w:t>-2027</w:t>
      </w:r>
      <w:r w:rsidRPr="0085657D">
        <w:rPr>
          <w:rFonts w:ascii="Arial" w:hAnsi="Arial" w:cs="Arial"/>
          <w:b/>
          <w:bCs/>
        </w:rPr>
        <w:t>.</w:t>
      </w:r>
      <w:r w:rsidR="00A8695A" w:rsidRPr="0085657D">
        <w:rPr>
          <w:rFonts w:ascii="Arial" w:hAnsi="Arial" w:cs="Arial"/>
          <w:b/>
          <w:bCs/>
        </w:rPr>
        <w:t xml:space="preserve"> i </w:t>
      </w:r>
      <w:r w:rsidR="00A70B52" w:rsidRPr="0085657D">
        <w:rPr>
          <w:rFonts w:ascii="Arial" w:hAnsi="Arial" w:cs="Arial"/>
          <w:b/>
          <w:bCs/>
        </w:rPr>
        <w:t>Programu</w:t>
      </w:r>
      <w:r w:rsidR="00A8695A" w:rsidRPr="0085657D">
        <w:rPr>
          <w:rFonts w:ascii="Arial" w:hAnsi="Arial" w:cs="Arial"/>
          <w:b/>
          <w:bCs/>
        </w:rPr>
        <w:t xml:space="preserve"> rada Vlade za 2024.</w:t>
      </w:r>
      <w:r w:rsidRPr="0085657D">
        <w:rPr>
          <w:rFonts w:ascii="Arial" w:hAnsi="Arial" w:cs="Arial"/>
          <w:b/>
          <w:bCs/>
        </w:rPr>
        <w:t xml:space="preserve"> godinu</w:t>
      </w:r>
      <w:r w:rsidR="00F829F6" w:rsidRPr="0085657D">
        <w:rPr>
          <w:rStyle w:val="FootnoteReference"/>
          <w:rFonts w:ascii="Arial" w:hAnsi="Arial" w:cs="Arial"/>
          <w:b/>
          <w:bCs/>
        </w:rPr>
        <w:footnoteReference w:id="19"/>
      </w:r>
      <w:r w:rsidRPr="0085657D">
        <w:rPr>
          <w:rFonts w:ascii="Arial" w:hAnsi="Arial" w:cs="Arial"/>
        </w:rPr>
        <w:t xml:space="preserve">, </w:t>
      </w:r>
      <w:r w:rsidR="00A8695A" w:rsidRPr="0085657D">
        <w:rPr>
          <w:rFonts w:ascii="Arial" w:hAnsi="Arial" w:cs="Arial"/>
        </w:rPr>
        <w:t>ipak, ova obaveza je eksplicitno predviđena ključnim dokumentom javnih politika u oblasti pravosuđa.</w:t>
      </w:r>
    </w:p>
    <w:p w14:paraId="1DBB4B33" w14:textId="48A3EECE" w:rsidR="00AC5C77" w:rsidRPr="0085657D" w:rsidRDefault="00AC5C77" w:rsidP="00575663">
      <w:pPr>
        <w:autoSpaceDE w:val="0"/>
        <w:autoSpaceDN w:val="0"/>
        <w:adjustRightInd w:val="0"/>
        <w:spacing w:after="120" w:line="276" w:lineRule="auto"/>
        <w:rPr>
          <w:rFonts w:ascii="Arial" w:hAnsi="Arial" w:cs="Arial"/>
        </w:rPr>
      </w:pPr>
      <w:r w:rsidRPr="0085657D">
        <w:rPr>
          <w:rFonts w:ascii="Arial" w:hAnsi="Arial" w:cs="Arial"/>
          <w:b/>
          <w:bCs/>
        </w:rPr>
        <w:t>Strategija reforme pravosuđa 2024-2027</w:t>
      </w:r>
      <w:r w:rsidR="00801D37" w:rsidRPr="0085657D">
        <w:rPr>
          <w:rFonts w:ascii="Arial" w:hAnsi="Arial" w:cs="Arial"/>
          <w:b/>
          <w:bCs/>
        </w:rPr>
        <w:t>.</w:t>
      </w:r>
      <w:r w:rsidRPr="0085657D">
        <w:rPr>
          <w:rFonts w:ascii="Arial" w:hAnsi="Arial" w:cs="Arial"/>
        </w:rPr>
        <w:t xml:space="preserve"> (SRP 2024-2027</w:t>
      </w:r>
      <w:r w:rsidR="00801D37" w:rsidRPr="0085657D">
        <w:rPr>
          <w:rFonts w:ascii="Arial" w:hAnsi="Arial" w:cs="Arial"/>
        </w:rPr>
        <w:t>.</w:t>
      </w:r>
      <w:r w:rsidRPr="0085657D">
        <w:rPr>
          <w:rFonts w:ascii="Arial" w:hAnsi="Arial" w:cs="Arial"/>
        </w:rPr>
        <w:t>) sa pratećim Akcionim planom za 2024-2025. (AP SRP 2024-2025</w:t>
      </w:r>
      <w:r w:rsidR="00801D37" w:rsidRPr="0085657D">
        <w:rPr>
          <w:rFonts w:ascii="Arial" w:hAnsi="Arial" w:cs="Arial"/>
        </w:rPr>
        <w:t>.</w:t>
      </w:r>
      <w:r w:rsidRPr="0085657D">
        <w:rPr>
          <w:rFonts w:ascii="Arial" w:hAnsi="Arial" w:cs="Arial"/>
        </w:rPr>
        <w:t xml:space="preserve">) reguliše pravce razvoja u brojnim segmentima od vitalnog značaja za zaštitu prava žrtava (npr. izmjene krivičnog i pravosudno organizacionog zakonodavstva, jačanje stručnih kapaciteta pravosuđa, </w:t>
      </w:r>
      <w:r w:rsidR="00AF6A23" w:rsidRPr="0085657D">
        <w:rPr>
          <w:rFonts w:ascii="Arial" w:hAnsi="Arial" w:cs="Arial"/>
        </w:rPr>
        <w:t>unapređenje</w:t>
      </w:r>
      <w:r w:rsidRPr="0085657D">
        <w:rPr>
          <w:rFonts w:ascii="Arial" w:hAnsi="Arial" w:cs="Arial"/>
        </w:rPr>
        <w:t xml:space="preserve"> pravosudne infrastrukture, uključujući objekte, opremu i informacioni sistem.</w:t>
      </w:r>
      <w:r w:rsidR="00863E30" w:rsidRPr="0085657D">
        <w:rPr>
          <w:rFonts w:ascii="Arial" w:hAnsi="Arial" w:cs="Arial"/>
        </w:rPr>
        <w:t xml:space="preserve"> Pored navedenog, u okviru strateškog cilja 3 (operativni cilj 3.6.), SRP 2024-2027. direktno adresira pitanja od značaja za prava žrtava i predviđa donošenje ove strategije, kao i njeno efikasno sprovođenje.</w:t>
      </w:r>
    </w:p>
    <w:p w14:paraId="3540992D" w14:textId="6DF88C17" w:rsidR="00AC5C77" w:rsidRPr="0085657D" w:rsidRDefault="00AC5C77" w:rsidP="00AC5C77">
      <w:pPr>
        <w:spacing w:after="120" w:line="276" w:lineRule="auto"/>
        <w:rPr>
          <w:rFonts w:ascii="Arial" w:eastAsia="Calibri" w:hAnsi="Arial" w:cs="Arial"/>
        </w:rPr>
      </w:pPr>
      <w:r w:rsidRPr="0085657D">
        <w:rPr>
          <w:rFonts w:ascii="Arial" w:hAnsi="Arial" w:cs="Arial"/>
          <w:b/>
          <w:bCs/>
        </w:rPr>
        <w:t xml:space="preserve">Strategija digitalizacije pravosuđa </w:t>
      </w:r>
      <w:r w:rsidRPr="0085657D">
        <w:rPr>
          <w:rFonts w:ascii="Arial" w:eastAsia="Calibri" w:hAnsi="Arial" w:cs="Arial"/>
          <w:b/>
          <w:bCs/>
        </w:rPr>
        <w:t>2024-2027,</w:t>
      </w:r>
      <w:r w:rsidRPr="0085657D">
        <w:rPr>
          <w:rFonts w:ascii="Arial" w:eastAsia="Calibri" w:hAnsi="Arial" w:cs="Arial"/>
        </w:rPr>
        <w:t xml:space="preserve"> sa Akcionim planom za  period 2024-2025</w:t>
      </w:r>
      <w:r w:rsidR="00801D37" w:rsidRPr="0085657D">
        <w:rPr>
          <w:rFonts w:ascii="Arial" w:eastAsia="Calibri" w:hAnsi="Arial" w:cs="Arial"/>
        </w:rPr>
        <w:t>.</w:t>
      </w:r>
      <w:r w:rsidRPr="0085657D">
        <w:rPr>
          <w:rFonts w:ascii="Arial" w:eastAsia="Calibri" w:hAnsi="Arial" w:cs="Arial"/>
        </w:rPr>
        <w:t xml:space="preserve"> (AP SDP 2024-2025</w:t>
      </w:r>
      <w:r w:rsidR="00801D37" w:rsidRPr="0085657D">
        <w:rPr>
          <w:rFonts w:ascii="Arial" w:eastAsia="Calibri" w:hAnsi="Arial" w:cs="Arial"/>
        </w:rPr>
        <w:t>.</w:t>
      </w:r>
      <w:r w:rsidRPr="0085657D">
        <w:rPr>
          <w:rFonts w:ascii="Arial" w:eastAsia="Calibri" w:hAnsi="Arial" w:cs="Arial"/>
        </w:rPr>
        <w:t>) preciznije uređuje procese digitalizacije pravosuđa sa više aspekata</w:t>
      </w:r>
      <w:r w:rsidR="00863E30" w:rsidRPr="0085657D">
        <w:rPr>
          <w:rFonts w:ascii="Arial" w:eastAsia="Calibri" w:hAnsi="Arial" w:cs="Arial"/>
        </w:rPr>
        <w:t xml:space="preserve">, uključujući djelotvorno upravljanje predmetima, </w:t>
      </w:r>
      <w:r w:rsidR="00AF6A23" w:rsidRPr="0085657D">
        <w:rPr>
          <w:rFonts w:ascii="Arial" w:eastAsia="Calibri" w:hAnsi="Arial" w:cs="Arial"/>
        </w:rPr>
        <w:t>unapređenje</w:t>
      </w:r>
      <w:r w:rsidR="00863E30" w:rsidRPr="0085657D">
        <w:rPr>
          <w:rFonts w:ascii="Arial" w:eastAsia="Calibri" w:hAnsi="Arial" w:cs="Arial"/>
        </w:rPr>
        <w:t xml:space="preserve"> pravosudnih statistika, ali i djelotvorniju upotrebu</w:t>
      </w:r>
      <w:r w:rsidRPr="0085657D">
        <w:rPr>
          <w:rFonts w:ascii="Arial" w:eastAsia="Calibri" w:hAnsi="Arial" w:cs="Arial"/>
        </w:rPr>
        <w:t xml:space="preserve"> </w:t>
      </w:r>
      <w:r w:rsidR="00863E30" w:rsidRPr="0085657D">
        <w:rPr>
          <w:rFonts w:ascii="Arial" w:eastAsia="Calibri" w:hAnsi="Arial" w:cs="Arial"/>
        </w:rPr>
        <w:t xml:space="preserve">video linka kao jednog od važnih mehanizama zaštite žrtava u procesnoj funkciji svjedoka. </w:t>
      </w:r>
    </w:p>
    <w:p w14:paraId="0A412F4A" w14:textId="77777777" w:rsidR="00863E30" w:rsidRPr="0085657D" w:rsidRDefault="00863E30" w:rsidP="00AC5C77">
      <w:pPr>
        <w:spacing w:after="120" w:line="276" w:lineRule="auto"/>
        <w:rPr>
          <w:rFonts w:ascii="Arial" w:eastAsia="Calibri" w:hAnsi="Arial" w:cs="Arial"/>
        </w:rPr>
      </w:pPr>
      <w:r w:rsidRPr="0085657D">
        <w:rPr>
          <w:rFonts w:ascii="Arial" w:eastAsia="Calibri" w:hAnsi="Arial" w:cs="Arial"/>
          <w:b/>
          <w:bCs/>
        </w:rPr>
        <w:t>Strategija za istraživanje ratnih zločina 2024-2027</w:t>
      </w:r>
      <w:r w:rsidR="00801D37" w:rsidRPr="0085657D">
        <w:rPr>
          <w:rFonts w:ascii="Arial" w:eastAsia="Calibri" w:hAnsi="Arial" w:cs="Arial"/>
          <w:b/>
          <w:bCs/>
        </w:rPr>
        <w:t>.</w:t>
      </w:r>
      <w:r w:rsidRPr="0085657D">
        <w:rPr>
          <w:rFonts w:ascii="Arial" w:eastAsia="Calibri" w:hAnsi="Arial" w:cs="Arial"/>
        </w:rPr>
        <w:t xml:space="preserve">, sa pratećim Akcionim planom za period 2024-2025. u okviru strateškog cilja 4 adresira </w:t>
      </w:r>
      <w:r w:rsidR="00AF6A23" w:rsidRPr="0085657D">
        <w:rPr>
          <w:rFonts w:ascii="Arial" w:eastAsia="Calibri" w:hAnsi="Arial" w:cs="Arial"/>
        </w:rPr>
        <w:t>unapređenje</w:t>
      </w:r>
      <w:r w:rsidRPr="0085657D">
        <w:rPr>
          <w:rFonts w:ascii="Arial" w:eastAsia="Calibri" w:hAnsi="Arial" w:cs="Arial"/>
        </w:rPr>
        <w:t xml:space="preserve"> zaštite i podrške žrtvama ratnih zločina, prepoznajući da su ove mjere dio cjelovitog strateškog pristupa koji je predmet ove strategije.</w:t>
      </w:r>
    </w:p>
    <w:p w14:paraId="01BFD87E" w14:textId="77777777" w:rsidR="00F829F6" w:rsidRPr="0085657D" w:rsidRDefault="005414F1" w:rsidP="00575663">
      <w:pPr>
        <w:autoSpaceDE w:val="0"/>
        <w:autoSpaceDN w:val="0"/>
        <w:adjustRightInd w:val="0"/>
        <w:spacing w:line="276" w:lineRule="auto"/>
        <w:rPr>
          <w:rFonts w:ascii="Arial" w:hAnsi="Arial" w:cs="Arial"/>
        </w:rPr>
      </w:pPr>
      <w:r w:rsidRPr="0085657D">
        <w:rPr>
          <w:rFonts w:ascii="Arial" w:hAnsi="Arial" w:cs="Arial"/>
          <w:b/>
          <w:bCs/>
        </w:rPr>
        <w:t>Nacionalna strategija održivog razvoja do 2030</w:t>
      </w:r>
      <w:r w:rsidRPr="0085657D">
        <w:rPr>
          <w:rFonts w:ascii="Arial" w:hAnsi="Arial" w:cs="Arial"/>
        </w:rPr>
        <w:t>. godine</w:t>
      </w:r>
      <w:r w:rsidRPr="0085657D">
        <w:rPr>
          <w:rStyle w:val="FootnoteReference"/>
          <w:rFonts w:ascii="Arial" w:hAnsi="Arial" w:cs="Arial"/>
        </w:rPr>
        <w:footnoteReference w:id="20"/>
      </w:r>
      <w:r w:rsidRPr="0085657D">
        <w:rPr>
          <w:rFonts w:ascii="Arial" w:hAnsi="Arial" w:cs="Arial"/>
        </w:rPr>
        <w:t xml:space="preserve"> obuhvata Strateški cilj </w:t>
      </w:r>
      <w:r w:rsidR="00F829F6" w:rsidRPr="0085657D">
        <w:rPr>
          <w:rFonts w:ascii="Arial" w:hAnsi="Arial" w:cs="Arial"/>
        </w:rPr>
        <w:t>4.2. „Podrška vrijednostima, normama i obrascima ponašanja značajnim za održivost društva“ koji prepoznaje da nasilje predstavlja posebnu prijetnju za porodicu i zdrav razvoj pojedinca, navodeći da se ova vrsta nasilja veoma teško detektuje, iako prema dostupnim, mada oskudnim zvaničnim podacima, kao i prema mjerenjima percepcije, nasilje u porodici predstavlja jedan od urgentnih problema crnogorskog društva. „Da bi se protiv ovog problema borilo, neophodna je široka saradnja institucija u cilju prevencije same pojave i efikasne zaštite, kao i podrške žrtvama porodičnog nasilja.“</w:t>
      </w:r>
    </w:p>
    <w:p w14:paraId="37E10C80" w14:textId="3A7E373D" w:rsidR="005414F1" w:rsidRPr="00C47459" w:rsidRDefault="005414F1" w:rsidP="00575663">
      <w:pPr>
        <w:autoSpaceDE w:val="0"/>
        <w:autoSpaceDN w:val="0"/>
        <w:adjustRightInd w:val="0"/>
        <w:spacing w:line="276" w:lineRule="auto"/>
        <w:rPr>
          <w:rFonts w:ascii="Arial" w:hAnsi="Arial" w:cs="Arial"/>
        </w:rPr>
      </w:pPr>
      <w:r w:rsidRPr="0085657D">
        <w:rPr>
          <w:rFonts w:ascii="Arial" w:hAnsi="Arial" w:cs="Arial"/>
          <w:b/>
          <w:bCs/>
        </w:rPr>
        <w:t>Strategija za borbu protiv trgovine ljudima 2019-2024</w:t>
      </w:r>
      <w:r w:rsidR="004A7401" w:rsidRPr="0085657D">
        <w:rPr>
          <w:rFonts w:ascii="Arial" w:hAnsi="Arial" w:cs="Arial"/>
          <w:b/>
          <w:bCs/>
        </w:rPr>
        <w:t>.</w:t>
      </w:r>
      <w:r w:rsidRPr="0085657D">
        <w:rPr>
          <w:rStyle w:val="FootnoteReference"/>
          <w:rFonts w:ascii="Arial" w:hAnsi="Arial" w:cs="Arial"/>
        </w:rPr>
        <w:footnoteReference w:id="21"/>
      </w:r>
      <w:r w:rsidRPr="0085657D">
        <w:rPr>
          <w:rFonts w:ascii="Arial" w:hAnsi="Arial" w:cs="Arial"/>
          <w:b/>
          <w:bCs/>
        </w:rPr>
        <w:t xml:space="preserve"> </w:t>
      </w:r>
      <w:r w:rsidRPr="0085657D">
        <w:rPr>
          <w:rFonts w:ascii="Arial" w:hAnsi="Arial" w:cs="Arial"/>
        </w:rPr>
        <w:t>predstavlja dokument koji je neraskidivo vezan sa Strategijom, a naročito u okviru strateških oblasti 2 i 3 koje se odnose na</w:t>
      </w:r>
      <w:r w:rsidR="00DA03C1">
        <w:rPr>
          <w:rFonts w:ascii="Arial" w:hAnsi="Arial" w:cs="Arial"/>
        </w:rPr>
        <w:t xml:space="preserve"> </w:t>
      </w:r>
      <w:r w:rsidRPr="0085657D">
        <w:rPr>
          <w:rFonts w:ascii="Arial" w:hAnsi="Arial" w:cs="Arial"/>
        </w:rPr>
        <w:t xml:space="preserve">zaštitu </w:t>
      </w:r>
      <w:r w:rsidR="00F829F6" w:rsidRPr="0085657D">
        <w:rPr>
          <w:rFonts w:ascii="Arial" w:hAnsi="Arial" w:cs="Arial"/>
        </w:rPr>
        <w:t xml:space="preserve">žrtava </w:t>
      </w:r>
      <w:r w:rsidRPr="0085657D">
        <w:rPr>
          <w:rFonts w:ascii="Arial" w:hAnsi="Arial" w:cs="Arial"/>
        </w:rPr>
        <w:t>trgovine ljudima i odgovor krivičnog pravosuđa, odnosno krivično gonjenje učinilaca trgovine</w:t>
      </w:r>
      <w:r w:rsidR="00DA03C1">
        <w:rPr>
          <w:rFonts w:ascii="Arial" w:hAnsi="Arial" w:cs="Arial"/>
        </w:rPr>
        <w:t xml:space="preserve"> </w:t>
      </w:r>
      <w:r w:rsidRPr="0085657D">
        <w:rPr>
          <w:rFonts w:ascii="Arial" w:hAnsi="Arial" w:cs="Arial"/>
        </w:rPr>
        <w:t>ljudima.</w:t>
      </w:r>
      <w:r w:rsidR="00DA03C1">
        <w:rPr>
          <w:rFonts w:ascii="Arial" w:hAnsi="Arial" w:cs="Arial"/>
        </w:rPr>
        <w:t xml:space="preserve"> </w:t>
      </w:r>
      <w:r w:rsidRPr="0085657D">
        <w:rPr>
          <w:rFonts w:ascii="Arial" w:hAnsi="Arial" w:cs="Arial"/>
        </w:rPr>
        <w:t xml:space="preserve">U tom smislu, u okviru strateške oblasti 2 posebno se izdvaja potreba da se </w:t>
      </w:r>
      <w:r w:rsidRPr="0085657D">
        <w:rPr>
          <w:rFonts w:ascii="Arial" w:hAnsi="Arial" w:cs="Arial"/>
        </w:rPr>
        <w:lastRenderedPageBreak/>
        <w:t>osigura identifikacija</w:t>
      </w:r>
      <w:r w:rsidR="00DA03C1">
        <w:rPr>
          <w:rFonts w:ascii="Arial" w:hAnsi="Arial" w:cs="Arial"/>
        </w:rPr>
        <w:t xml:space="preserve"> </w:t>
      </w:r>
      <w:r w:rsidRPr="0085657D">
        <w:rPr>
          <w:rFonts w:ascii="Arial" w:hAnsi="Arial" w:cs="Arial"/>
        </w:rPr>
        <w:t xml:space="preserve">žrtava i potencijalnih žrtava trgovine ljudima među ranjivim grupama; efikasnije funkcionisanje mehanizama za nadoknadu štete žrtvama; </w:t>
      </w:r>
      <w:r w:rsidR="00AF6A23" w:rsidRPr="0085657D">
        <w:rPr>
          <w:rFonts w:ascii="Arial" w:hAnsi="Arial" w:cs="Arial"/>
        </w:rPr>
        <w:t>unapređenje</w:t>
      </w:r>
      <w:r w:rsidRPr="0085657D">
        <w:rPr>
          <w:rFonts w:ascii="Arial" w:hAnsi="Arial" w:cs="Arial"/>
        </w:rPr>
        <w:t xml:space="preserve"> kvaliteta zaštite i pomoći žrtvama trgovine ljudima u njihovoj društvenoj reintegraciji, kao i </w:t>
      </w:r>
      <w:r w:rsidR="00AF6A23" w:rsidRPr="0085657D">
        <w:rPr>
          <w:rFonts w:ascii="Arial" w:hAnsi="Arial" w:cs="Arial"/>
        </w:rPr>
        <w:t>unapređenje</w:t>
      </w:r>
      <w:r w:rsidRPr="0085657D">
        <w:rPr>
          <w:rFonts w:ascii="Arial" w:hAnsi="Arial" w:cs="Arial"/>
        </w:rPr>
        <w:t xml:space="preserve"> zaštite žrtava tokom krivičnog postupka sa posebnim akcentom na djecu. U okviru strateške oblasti 3, od posebnog značaja je dalje usklađivanje krivičnog zakonodavstva sa relevantnim međunarodnim standardima u oblasti borbe protiv trgovine ljudima i efikasna saradnja sa međunarodnim tijelima poput </w:t>
      </w:r>
      <w:r w:rsidRPr="0085657D">
        <w:rPr>
          <w:rFonts w:ascii="Arial" w:hAnsi="Arial" w:cs="Arial"/>
          <w:i/>
          <w:iCs/>
        </w:rPr>
        <w:t>Europol</w:t>
      </w:r>
      <w:r w:rsidRPr="0085657D">
        <w:rPr>
          <w:rFonts w:ascii="Arial" w:hAnsi="Arial" w:cs="Arial"/>
        </w:rPr>
        <w:t xml:space="preserve"> i </w:t>
      </w:r>
      <w:r w:rsidRPr="0085657D">
        <w:rPr>
          <w:rFonts w:ascii="Arial" w:hAnsi="Arial" w:cs="Arial"/>
          <w:i/>
          <w:iCs/>
        </w:rPr>
        <w:t>Eurojust.</w:t>
      </w:r>
    </w:p>
    <w:p w14:paraId="4FA96338" w14:textId="597211C4" w:rsidR="00F3323E" w:rsidRPr="0085657D" w:rsidRDefault="00F3323E" w:rsidP="00575663">
      <w:pPr>
        <w:autoSpaceDE w:val="0"/>
        <w:autoSpaceDN w:val="0"/>
        <w:adjustRightInd w:val="0"/>
        <w:spacing w:line="276" w:lineRule="auto"/>
        <w:rPr>
          <w:rFonts w:ascii="Arial" w:hAnsi="Arial" w:cs="Arial"/>
          <w:i/>
          <w:iCs/>
        </w:rPr>
      </w:pPr>
      <w:r w:rsidRPr="0085657D">
        <w:rPr>
          <w:rFonts w:ascii="Arial" w:hAnsi="Arial" w:cs="Arial"/>
          <w:b/>
          <w:bCs/>
        </w:rPr>
        <w:t xml:space="preserve">Strategija prevencije i zaštite djece od nasilja 2024-2028. </w:t>
      </w:r>
      <w:r w:rsidRPr="0085657D">
        <w:rPr>
          <w:rFonts w:ascii="Arial" w:hAnsi="Arial" w:cs="Arial"/>
        </w:rPr>
        <w:t xml:space="preserve">sveobuhvatno </w:t>
      </w:r>
      <w:r w:rsidR="00BF532E" w:rsidRPr="0085657D">
        <w:rPr>
          <w:rFonts w:ascii="Arial" w:hAnsi="Arial" w:cs="Arial"/>
        </w:rPr>
        <w:t xml:space="preserve">analizira postojeće stanje u oblasti nasilja nad djecom i </w:t>
      </w:r>
      <w:r w:rsidRPr="0085657D">
        <w:rPr>
          <w:rFonts w:ascii="Arial" w:hAnsi="Arial" w:cs="Arial"/>
        </w:rPr>
        <w:t xml:space="preserve">adresira mehanizme prevencije nasilja </w:t>
      </w:r>
      <w:r w:rsidR="00BF532E" w:rsidRPr="0085657D">
        <w:rPr>
          <w:rFonts w:ascii="Arial" w:hAnsi="Arial" w:cs="Arial"/>
        </w:rPr>
        <w:t>i zaštite djece od nasilja.</w:t>
      </w:r>
    </w:p>
    <w:p w14:paraId="30502839" w14:textId="08207196" w:rsidR="004E36A6" w:rsidRPr="0085657D" w:rsidRDefault="004E36A6" w:rsidP="00575663">
      <w:pPr>
        <w:autoSpaceDE w:val="0"/>
        <w:autoSpaceDN w:val="0"/>
        <w:adjustRightInd w:val="0"/>
        <w:spacing w:line="276" w:lineRule="auto"/>
        <w:rPr>
          <w:rFonts w:ascii="Arial" w:hAnsi="Arial" w:cs="Arial"/>
          <w:b/>
          <w:bCs/>
        </w:rPr>
      </w:pPr>
      <w:r w:rsidRPr="0085657D">
        <w:rPr>
          <w:rFonts w:ascii="Arial" w:hAnsi="Arial" w:cs="Arial"/>
          <w:b/>
          <w:bCs/>
        </w:rPr>
        <w:t xml:space="preserve">Nacionalni plan za implementaciju Konvencije Savjeta Evrope o suzbijanju i </w:t>
      </w:r>
      <w:r w:rsidR="00AF6A23" w:rsidRPr="0085657D">
        <w:rPr>
          <w:rFonts w:ascii="Arial" w:hAnsi="Arial" w:cs="Arial"/>
          <w:b/>
          <w:bCs/>
        </w:rPr>
        <w:t>sprečavanju</w:t>
      </w:r>
      <w:r w:rsidRPr="0085657D">
        <w:rPr>
          <w:rFonts w:ascii="Arial" w:hAnsi="Arial" w:cs="Arial"/>
          <w:b/>
          <w:bCs/>
        </w:rPr>
        <w:t xml:space="preserve"> nasilja nad ženama i nasilja u porodici (Istanbulska konvencija) za period 2023 – 2027. godine</w:t>
      </w:r>
      <w:r w:rsidR="00632791" w:rsidRPr="0085657D">
        <w:rPr>
          <w:rFonts w:ascii="Arial" w:hAnsi="Arial" w:cs="Arial"/>
          <w:b/>
          <w:bCs/>
        </w:rPr>
        <w:t xml:space="preserve"> </w:t>
      </w:r>
      <w:r w:rsidR="00632791" w:rsidRPr="0085657D">
        <w:rPr>
          <w:rFonts w:ascii="Arial" w:hAnsi="Arial" w:cs="Arial"/>
        </w:rPr>
        <w:t xml:space="preserve">definiše neophodne korake u pogledu daljeg </w:t>
      </w:r>
      <w:r w:rsidR="00AF6A23" w:rsidRPr="0085657D">
        <w:rPr>
          <w:rFonts w:ascii="Arial" w:hAnsi="Arial" w:cs="Arial"/>
        </w:rPr>
        <w:t>unapređenja</w:t>
      </w:r>
      <w:r w:rsidR="00632791" w:rsidRPr="0085657D">
        <w:rPr>
          <w:rFonts w:ascii="Arial" w:hAnsi="Arial" w:cs="Arial"/>
        </w:rPr>
        <w:t xml:space="preserve"> normativnog i institucionalnog okvira, kao i praksi </w:t>
      </w:r>
      <w:r w:rsidR="00097E03" w:rsidRPr="0085657D">
        <w:rPr>
          <w:rFonts w:ascii="Arial" w:hAnsi="Arial" w:cs="Arial"/>
        </w:rPr>
        <w:t>postupanja prema žrtvama  nasilja u porodici.</w:t>
      </w:r>
      <w:r w:rsidRPr="0085657D">
        <w:rPr>
          <w:rStyle w:val="FootnoteReference"/>
          <w:rFonts w:ascii="Arial" w:hAnsi="Arial" w:cs="Arial"/>
          <w:b/>
          <w:bCs/>
        </w:rPr>
        <w:footnoteReference w:id="22"/>
      </w:r>
    </w:p>
    <w:p w14:paraId="0E23D41F" w14:textId="1042503A" w:rsidR="005414F1" w:rsidRPr="0085657D" w:rsidRDefault="005414F1" w:rsidP="00374F48">
      <w:pPr>
        <w:autoSpaceDE w:val="0"/>
        <w:autoSpaceDN w:val="0"/>
        <w:adjustRightInd w:val="0"/>
        <w:spacing w:after="0" w:line="276" w:lineRule="auto"/>
        <w:rPr>
          <w:rFonts w:ascii="Arial" w:hAnsi="Arial" w:cs="Arial"/>
        </w:rPr>
      </w:pPr>
      <w:r w:rsidRPr="0085657D">
        <w:rPr>
          <w:rFonts w:ascii="Arial" w:hAnsi="Arial" w:cs="Arial"/>
          <w:b/>
          <w:bCs/>
        </w:rPr>
        <w:t>Nacionalna strategija rodne ravnopravnosti 2021-2025</w:t>
      </w:r>
      <w:r w:rsidRPr="0085657D">
        <w:rPr>
          <w:rStyle w:val="FootnoteReference"/>
          <w:rFonts w:ascii="Arial" w:hAnsi="Arial" w:cs="Arial"/>
        </w:rPr>
        <w:footnoteReference w:id="23"/>
      </w:r>
      <w:r w:rsidRPr="0085657D">
        <w:rPr>
          <w:rFonts w:ascii="Arial" w:hAnsi="Arial" w:cs="Arial"/>
          <w:b/>
          <w:bCs/>
        </w:rPr>
        <w:t xml:space="preserve"> </w:t>
      </w:r>
      <w:r w:rsidRPr="0085657D">
        <w:rPr>
          <w:rFonts w:ascii="Arial" w:hAnsi="Arial" w:cs="Arial"/>
          <w:bCs/>
        </w:rPr>
        <w:t xml:space="preserve">dotiče se pitanja </w:t>
      </w:r>
      <w:r w:rsidR="002E6B4A" w:rsidRPr="0085657D">
        <w:rPr>
          <w:rFonts w:ascii="Arial" w:hAnsi="Arial" w:cs="Arial"/>
          <w:bCs/>
        </w:rPr>
        <w:t>zaštite žrtava</w:t>
      </w:r>
      <w:r w:rsidRPr="0085657D">
        <w:rPr>
          <w:rFonts w:ascii="Arial" w:hAnsi="Arial" w:cs="Arial"/>
          <w:bCs/>
        </w:rPr>
        <w:t xml:space="preserve"> iz ugla</w:t>
      </w:r>
      <w:r w:rsidRPr="0085657D">
        <w:rPr>
          <w:rFonts w:ascii="Arial" w:hAnsi="Arial" w:cs="Arial"/>
          <w:b/>
          <w:bCs/>
        </w:rPr>
        <w:t xml:space="preserve"> </w:t>
      </w:r>
      <w:r w:rsidRPr="0085657D">
        <w:rPr>
          <w:rFonts w:ascii="Arial" w:hAnsi="Arial" w:cs="Arial"/>
        </w:rPr>
        <w:t>hitne potrebe da se državne institucije što prije osposobe da proizvode, sakupljaju i analiziraju rodno d</w:t>
      </w:r>
      <w:r w:rsidR="00123CA5">
        <w:rPr>
          <w:rFonts w:ascii="Arial" w:hAnsi="Arial" w:cs="Arial"/>
        </w:rPr>
        <w:t>i</w:t>
      </w:r>
      <w:r w:rsidRPr="0085657D">
        <w:rPr>
          <w:rFonts w:ascii="Arial" w:hAnsi="Arial" w:cs="Arial"/>
        </w:rPr>
        <w:t>segregirane podatke, kako bi se omogućilo planiranje javnih politika na bazi stvarnog stanja, kao i redovno praćenje pomaka i dostignuća tih javnih politika na osnovu kvantitativnih pokazatelja. Najzad, ovaj strateški dokument prepoznaje potrebu uključivanja pravosudne grane vlasti u orodnjavanje javnih politika.</w:t>
      </w:r>
      <w:r w:rsidR="00DD4E3C" w:rsidRPr="0085657D">
        <w:rPr>
          <w:rFonts w:ascii="Arial" w:hAnsi="Arial" w:cs="Arial"/>
        </w:rPr>
        <w:t xml:space="preserve"> U toku je izrada nove Strategije 2025-2029, koja će obuhvatiti i oblast nasilja nad ženama i nasilja u porodici.</w:t>
      </w:r>
    </w:p>
    <w:p w14:paraId="0F8D72B2" w14:textId="77777777" w:rsidR="00374F48" w:rsidRPr="0085657D" w:rsidRDefault="00374F48" w:rsidP="00575663">
      <w:pPr>
        <w:autoSpaceDE w:val="0"/>
        <w:autoSpaceDN w:val="0"/>
        <w:adjustRightInd w:val="0"/>
        <w:spacing w:line="276" w:lineRule="auto"/>
        <w:rPr>
          <w:rFonts w:ascii="Arial" w:hAnsi="Arial" w:cs="Arial"/>
        </w:rPr>
      </w:pPr>
    </w:p>
    <w:p w14:paraId="4075CA71" w14:textId="77777777" w:rsidR="00374F48" w:rsidRPr="0085657D" w:rsidRDefault="00374F48" w:rsidP="00374F48">
      <w:pPr>
        <w:pStyle w:val="Heading2"/>
        <w:spacing w:before="0" w:after="240"/>
        <w:rPr>
          <w:rFonts w:ascii="Arial" w:hAnsi="Arial" w:cs="Arial"/>
          <w:b/>
          <w:bCs/>
          <w:sz w:val="22"/>
          <w:szCs w:val="22"/>
        </w:rPr>
      </w:pPr>
      <w:bookmarkStart w:id="16" w:name="_Toc208489171"/>
      <w:r w:rsidRPr="0085657D">
        <w:rPr>
          <w:rFonts w:ascii="Arial" w:hAnsi="Arial" w:cs="Arial"/>
          <w:sz w:val="22"/>
          <w:szCs w:val="22"/>
        </w:rPr>
        <w:t>2.3. Usklađenost Strategije sa procesom evropskih integracija</w:t>
      </w:r>
      <w:bookmarkEnd w:id="16"/>
      <w:r w:rsidRPr="0085657D">
        <w:rPr>
          <w:rFonts w:ascii="Arial" w:hAnsi="Arial" w:cs="Arial"/>
          <w:sz w:val="22"/>
          <w:szCs w:val="22"/>
        </w:rPr>
        <w:t xml:space="preserve"> </w:t>
      </w:r>
    </w:p>
    <w:p w14:paraId="01E4183D" w14:textId="77777777" w:rsidR="00151CE5" w:rsidRPr="0085657D" w:rsidRDefault="005414F1" w:rsidP="00151CE5">
      <w:pPr>
        <w:spacing w:line="276" w:lineRule="auto"/>
        <w:rPr>
          <w:rFonts w:ascii="Arial" w:hAnsi="Arial" w:cs="Arial"/>
        </w:rPr>
      </w:pPr>
      <w:r w:rsidRPr="0085657D">
        <w:rPr>
          <w:rFonts w:ascii="Arial" w:hAnsi="Arial" w:cs="Arial"/>
        </w:rPr>
        <w:t xml:space="preserve">Kada je riječ o </w:t>
      </w:r>
      <w:r w:rsidRPr="0085657D">
        <w:rPr>
          <w:rFonts w:ascii="Arial" w:hAnsi="Arial" w:cs="Arial"/>
          <w:b/>
          <w:bCs/>
        </w:rPr>
        <w:t>usklađenosti Strategije sa procesom evropskih integracija i dokumentima javnih politika u ovoj oblasti</w:t>
      </w:r>
      <w:r w:rsidRPr="0085657D">
        <w:rPr>
          <w:rFonts w:ascii="Arial" w:hAnsi="Arial" w:cs="Arial"/>
        </w:rPr>
        <w:t xml:space="preserve">, </w:t>
      </w:r>
      <w:r w:rsidRPr="0085657D">
        <w:rPr>
          <w:rFonts w:ascii="Arial" w:hAnsi="Arial" w:cs="Arial"/>
          <w:b/>
          <w:bCs/>
        </w:rPr>
        <w:t>Programom pristupanja Crne Gore Evropskoj uniji 2023 – 2024</w:t>
      </w:r>
      <w:r w:rsidRPr="0085657D">
        <w:rPr>
          <w:rFonts w:ascii="Arial" w:hAnsi="Arial" w:cs="Arial"/>
        </w:rPr>
        <w:t>.</w:t>
      </w:r>
      <w:r w:rsidRPr="0085657D">
        <w:rPr>
          <w:rStyle w:val="FootnoteReference"/>
          <w:rFonts w:ascii="Arial" w:hAnsi="Arial" w:cs="Arial"/>
        </w:rPr>
        <w:footnoteReference w:id="24"/>
      </w:r>
      <w:r w:rsidRPr="0085657D">
        <w:rPr>
          <w:rFonts w:ascii="Arial" w:hAnsi="Arial" w:cs="Arial"/>
        </w:rPr>
        <w:t xml:space="preserve"> </w:t>
      </w:r>
      <w:r w:rsidR="00D00CD0" w:rsidRPr="0085657D">
        <w:rPr>
          <w:rFonts w:ascii="Arial" w:hAnsi="Arial" w:cs="Arial"/>
        </w:rPr>
        <w:t xml:space="preserve">nije eksplicitno </w:t>
      </w:r>
      <w:r w:rsidRPr="0085657D">
        <w:rPr>
          <w:rFonts w:ascii="Arial" w:hAnsi="Arial" w:cs="Arial"/>
        </w:rPr>
        <w:t xml:space="preserve">predviđeno </w:t>
      </w:r>
      <w:r w:rsidR="00D00CD0" w:rsidRPr="0085657D">
        <w:rPr>
          <w:rFonts w:ascii="Arial" w:hAnsi="Arial" w:cs="Arial"/>
        </w:rPr>
        <w:t>usvajanje ove, ali jeste SRP 202</w:t>
      </w:r>
      <w:r w:rsidR="00A8695A" w:rsidRPr="0085657D">
        <w:rPr>
          <w:rFonts w:ascii="Arial" w:hAnsi="Arial" w:cs="Arial"/>
        </w:rPr>
        <w:t>4</w:t>
      </w:r>
      <w:r w:rsidR="00D00CD0" w:rsidRPr="0085657D">
        <w:rPr>
          <w:rFonts w:ascii="Arial" w:hAnsi="Arial" w:cs="Arial"/>
        </w:rPr>
        <w:t>-2027. kojom je kasnije propisana ova obaveza</w:t>
      </w:r>
      <w:r w:rsidRPr="0085657D">
        <w:rPr>
          <w:rFonts w:ascii="Arial" w:hAnsi="Arial" w:cs="Arial"/>
        </w:rPr>
        <w:t xml:space="preserve">. Važno je naglasiti da ovaj dokument predstavlja jedan od ključnih stubova reformi čije je sprovođenje neophodno radi </w:t>
      </w:r>
      <w:r w:rsidR="006539F0" w:rsidRPr="0085657D">
        <w:rPr>
          <w:rFonts w:ascii="Arial" w:hAnsi="Arial" w:cs="Arial"/>
        </w:rPr>
        <w:t>ispunjenja završn</w:t>
      </w:r>
      <w:r w:rsidR="00151CE5" w:rsidRPr="0085657D">
        <w:rPr>
          <w:rFonts w:ascii="Arial" w:hAnsi="Arial" w:cs="Arial"/>
        </w:rPr>
        <w:t>ih</w:t>
      </w:r>
      <w:r w:rsidR="006539F0" w:rsidRPr="0085657D">
        <w:rPr>
          <w:rFonts w:ascii="Arial" w:hAnsi="Arial" w:cs="Arial"/>
        </w:rPr>
        <w:t xml:space="preserve"> mjerila u Poglavlju 23</w:t>
      </w:r>
      <w:r w:rsidR="00151CE5" w:rsidRPr="0085657D">
        <w:rPr>
          <w:rFonts w:ascii="Arial" w:hAnsi="Arial" w:cs="Arial"/>
        </w:rPr>
        <w:t xml:space="preserve"> i to prioritetno:</w:t>
      </w:r>
    </w:p>
    <w:p w14:paraId="26827EB4" w14:textId="426A8F62" w:rsidR="00151CE5"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Za</w:t>
      </w:r>
      <w:r w:rsidR="00C10940" w:rsidRPr="0085657D">
        <w:rPr>
          <w:rFonts w:ascii="Arial" w:hAnsi="Arial" w:cs="Arial"/>
        </w:rPr>
        <w:t>ključaka o trenutnom stanju i završnih</w:t>
      </w:r>
      <w:r w:rsidRPr="0085657D">
        <w:rPr>
          <w:rFonts w:ascii="Arial" w:hAnsi="Arial" w:cs="Arial"/>
        </w:rPr>
        <w:t xml:space="preserve"> mjerila</w:t>
      </w:r>
      <w:r w:rsidR="006539F0" w:rsidRPr="0085657D">
        <w:rPr>
          <w:rFonts w:ascii="Arial" w:hAnsi="Arial" w:cs="Arial"/>
        </w:rPr>
        <w:t xml:space="preserve"> koj</w:t>
      </w:r>
      <w:r w:rsidR="00C10940" w:rsidRPr="0085657D">
        <w:rPr>
          <w:rFonts w:ascii="Arial" w:hAnsi="Arial" w:cs="Arial"/>
        </w:rPr>
        <w:t>a</w:t>
      </w:r>
      <w:r w:rsidR="006539F0" w:rsidRPr="0085657D">
        <w:rPr>
          <w:rFonts w:ascii="Arial" w:hAnsi="Arial" w:cs="Arial"/>
        </w:rPr>
        <w:t xml:space="preserve"> se odnos</w:t>
      </w:r>
      <w:r w:rsidR="00C10940" w:rsidRPr="0085657D">
        <w:rPr>
          <w:rFonts w:ascii="Arial" w:hAnsi="Arial" w:cs="Arial"/>
        </w:rPr>
        <w:t>e</w:t>
      </w:r>
      <w:r w:rsidR="006539F0" w:rsidRPr="0085657D">
        <w:rPr>
          <w:rFonts w:ascii="Arial" w:hAnsi="Arial" w:cs="Arial"/>
        </w:rPr>
        <w:t xml:space="preserve"> na </w:t>
      </w:r>
      <w:r w:rsidR="006539F0" w:rsidRPr="0085657D">
        <w:rPr>
          <w:rFonts w:ascii="Arial" w:hAnsi="Arial" w:cs="Arial"/>
          <w:b/>
          <w:bCs/>
        </w:rPr>
        <w:t>procesne garancije</w:t>
      </w:r>
      <w:r w:rsidR="006539F0" w:rsidRPr="0085657D">
        <w:rPr>
          <w:rFonts w:ascii="Arial" w:hAnsi="Arial" w:cs="Arial"/>
        </w:rPr>
        <w:t xml:space="preserve"> u koj</w:t>
      </w:r>
      <w:r w:rsidR="0058429F">
        <w:rPr>
          <w:rFonts w:ascii="Arial" w:hAnsi="Arial" w:cs="Arial"/>
        </w:rPr>
        <w:t>i</w:t>
      </w:r>
      <w:r w:rsidR="006539F0" w:rsidRPr="0085657D">
        <w:rPr>
          <w:rFonts w:ascii="Arial" w:hAnsi="Arial" w:cs="Arial"/>
        </w:rPr>
        <w:t>m</w:t>
      </w:r>
      <w:r w:rsidR="0058429F">
        <w:rPr>
          <w:rFonts w:ascii="Arial" w:hAnsi="Arial" w:cs="Arial"/>
        </w:rPr>
        <w:t>a</w:t>
      </w:r>
      <w:r w:rsidR="006539F0" w:rsidRPr="0085657D">
        <w:rPr>
          <w:rFonts w:ascii="Arial" w:hAnsi="Arial" w:cs="Arial"/>
        </w:rPr>
        <w:t xml:space="preserve"> je EU pozvala Crnu Goru „da uskladi svoje zakonodavstvo o proce</w:t>
      </w:r>
      <w:r w:rsidR="004A7401" w:rsidRPr="0085657D">
        <w:rPr>
          <w:rFonts w:ascii="Arial" w:hAnsi="Arial" w:cs="Arial"/>
        </w:rPr>
        <w:t xml:space="preserve">snim </w:t>
      </w:r>
      <w:r w:rsidR="006539F0" w:rsidRPr="0085657D">
        <w:rPr>
          <w:rFonts w:ascii="Arial" w:hAnsi="Arial" w:cs="Arial"/>
        </w:rPr>
        <w:t xml:space="preserve">pravima za žrtve, osumnjičene i optužene u skladu sa pravnom tekovinom EU i </w:t>
      </w:r>
      <w:r w:rsidR="0058429F">
        <w:rPr>
          <w:rFonts w:ascii="Arial" w:hAnsi="Arial" w:cs="Arial"/>
        </w:rPr>
        <w:t xml:space="preserve">da </w:t>
      </w:r>
      <w:r w:rsidR="006539F0" w:rsidRPr="0085657D">
        <w:rPr>
          <w:rFonts w:ascii="Arial" w:hAnsi="Arial" w:cs="Arial"/>
        </w:rPr>
        <w:t>uspostavi neophodne kapacitete za obezb</w:t>
      </w:r>
      <w:r w:rsidR="004A7401" w:rsidRPr="0085657D">
        <w:rPr>
          <w:rFonts w:ascii="Arial" w:hAnsi="Arial" w:cs="Arial"/>
        </w:rPr>
        <w:t>j</w:t>
      </w:r>
      <w:r w:rsidR="006539F0" w:rsidRPr="0085657D">
        <w:rPr>
          <w:rFonts w:ascii="Arial" w:hAnsi="Arial" w:cs="Arial"/>
        </w:rPr>
        <w:t>eđivanje prava, podrške i zaštite žrtava kr</w:t>
      </w:r>
      <w:r w:rsidR="004A7401" w:rsidRPr="0085657D">
        <w:rPr>
          <w:rFonts w:ascii="Arial" w:hAnsi="Arial" w:cs="Arial"/>
        </w:rPr>
        <w:t>ivičnih djela</w:t>
      </w:r>
      <w:r w:rsidR="006539F0" w:rsidRPr="0085657D">
        <w:rPr>
          <w:rFonts w:ascii="Arial" w:hAnsi="Arial" w:cs="Arial"/>
        </w:rPr>
        <w:t xml:space="preserve">, </w:t>
      </w:r>
      <w:r w:rsidR="006539F0" w:rsidRPr="0085657D">
        <w:rPr>
          <w:rFonts w:ascii="Arial" w:hAnsi="Arial" w:cs="Arial"/>
        </w:rPr>
        <w:lastRenderedPageBreak/>
        <w:t xml:space="preserve">kao i da su žrtve prepoznate kao takve, i </w:t>
      </w:r>
      <w:r w:rsidR="001D6F9B">
        <w:rPr>
          <w:rFonts w:ascii="Arial" w:hAnsi="Arial" w:cs="Arial"/>
        </w:rPr>
        <w:t xml:space="preserve">da </w:t>
      </w:r>
      <w:r w:rsidR="006539F0" w:rsidRPr="0085657D">
        <w:rPr>
          <w:rFonts w:ascii="Arial" w:hAnsi="Arial" w:cs="Arial"/>
        </w:rPr>
        <w:t xml:space="preserve">dobijaju odgovarajuću zaštitu, podršku, pristup pravdi i naknadu štete.“ </w:t>
      </w:r>
    </w:p>
    <w:p w14:paraId="77438F1D" w14:textId="61E369CF" w:rsidR="00151CE5"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Pored navedenog, od značaja je i završno mjerilo posvećeno procesuiranju ratnih zločina, koje insistira na obezbje</w:t>
      </w:r>
      <w:r w:rsidR="00ED5B15" w:rsidRPr="0085657D">
        <w:rPr>
          <w:rFonts w:ascii="Arial" w:hAnsi="Arial" w:cs="Arial"/>
        </w:rPr>
        <w:t>đ</w:t>
      </w:r>
      <w:r w:rsidRPr="0085657D">
        <w:rPr>
          <w:rFonts w:ascii="Arial" w:hAnsi="Arial" w:cs="Arial"/>
        </w:rPr>
        <w:t xml:space="preserve">ivanju pravde i prava na reparaciju za žrtve ratnih zločina. </w:t>
      </w:r>
    </w:p>
    <w:p w14:paraId="75D64691" w14:textId="6A025947" w:rsidR="00151CE5"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 xml:space="preserve">Takođe, pitanje položaja žrtava adresirano je i završnim mjerilom koje je posvećeno sprečavanju </w:t>
      </w:r>
      <w:r w:rsidR="004A7401" w:rsidRPr="0085657D">
        <w:rPr>
          <w:rFonts w:ascii="Arial" w:hAnsi="Arial" w:cs="Arial"/>
        </w:rPr>
        <w:t xml:space="preserve">mučenja </w:t>
      </w:r>
      <w:r w:rsidRPr="0085657D">
        <w:rPr>
          <w:rFonts w:ascii="Arial" w:hAnsi="Arial" w:cs="Arial"/>
        </w:rPr>
        <w:t>gd</w:t>
      </w:r>
      <w:r w:rsidR="00B76F92" w:rsidRPr="0085657D">
        <w:rPr>
          <w:rFonts w:ascii="Arial" w:hAnsi="Arial" w:cs="Arial"/>
        </w:rPr>
        <w:t>j</w:t>
      </w:r>
      <w:r w:rsidRPr="0085657D">
        <w:rPr>
          <w:rFonts w:ascii="Arial" w:hAnsi="Arial" w:cs="Arial"/>
        </w:rPr>
        <w:t>e EK insistira na obezb</w:t>
      </w:r>
      <w:r w:rsidR="00B76F92" w:rsidRPr="0085657D">
        <w:rPr>
          <w:rFonts w:ascii="Arial" w:hAnsi="Arial" w:cs="Arial"/>
        </w:rPr>
        <w:t>j</w:t>
      </w:r>
      <w:r w:rsidRPr="0085657D">
        <w:rPr>
          <w:rFonts w:ascii="Arial" w:hAnsi="Arial" w:cs="Arial"/>
        </w:rPr>
        <w:t xml:space="preserve">eđivanju efikasne zaštite žrtava kršenja ljudskih prava, uključujući efikasne istrage, optužnice i suđenja.“ </w:t>
      </w:r>
    </w:p>
    <w:p w14:paraId="385E0C68" w14:textId="3810AF4D" w:rsidR="006539F0"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 xml:space="preserve">Slično, kada je riječ o završnom </w:t>
      </w:r>
      <w:r w:rsidR="00C10940" w:rsidRPr="0085657D">
        <w:rPr>
          <w:rFonts w:ascii="Arial" w:hAnsi="Arial" w:cs="Arial"/>
        </w:rPr>
        <w:t>mjerilu</w:t>
      </w:r>
      <w:r w:rsidRPr="0085657D">
        <w:rPr>
          <w:rFonts w:ascii="Arial" w:hAnsi="Arial" w:cs="Arial"/>
        </w:rPr>
        <w:t xml:space="preserve"> posvećenom sprečavanju diskriminacije, EK je pozvala Crnu Goru da obezb</w:t>
      </w:r>
      <w:r w:rsidR="00B76F92" w:rsidRPr="0085657D">
        <w:rPr>
          <w:rFonts w:ascii="Arial" w:hAnsi="Arial" w:cs="Arial"/>
        </w:rPr>
        <w:t>ij</w:t>
      </w:r>
      <w:r w:rsidRPr="0085657D">
        <w:rPr>
          <w:rFonts w:ascii="Arial" w:hAnsi="Arial" w:cs="Arial"/>
        </w:rPr>
        <w:t xml:space="preserve">edi obeštećenje i podršku žrtvama rodno zasnovanog nasilja. </w:t>
      </w:r>
      <w:r w:rsidR="006539F0" w:rsidRPr="0085657D">
        <w:rPr>
          <w:rStyle w:val="FootnoteReference"/>
          <w:rFonts w:ascii="Arial" w:hAnsi="Arial" w:cs="Arial"/>
        </w:rPr>
        <w:footnoteReference w:id="25"/>
      </w:r>
      <w:r w:rsidRPr="0085657D">
        <w:rPr>
          <w:rFonts w:ascii="Arial" w:hAnsi="Arial" w:cs="Arial"/>
        </w:rPr>
        <w:t xml:space="preserve"> </w:t>
      </w:r>
    </w:p>
    <w:p w14:paraId="504D73F4" w14:textId="556E9163" w:rsidR="007252AE" w:rsidRDefault="005414F1" w:rsidP="00575663">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Imajući ovo u vidu, ovim dokumentom prepoznati</w:t>
      </w:r>
      <w:r w:rsidR="0058429F">
        <w:rPr>
          <w:rFonts w:ascii="Arial" w:hAnsi="Arial" w:cs="Arial"/>
          <w:sz w:val="22"/>
          <w:szCs w:val="22"/>
          <w:lang w:val="sr-Latn-ME"/>
        </w:rPr>
        <w:t xml:space="preserve"> su</w:t>
      </w:r>
      <w:r w:rsidRPr="0085657D">
        <w:rPr>
          <w:rFonts w:ascii="Arial" w:hAnsi="Arial" w:cs="Arial"/>
          <w:sz w:val="22"/>
          <w:szCs w:val="22"/>
          <w:lang w:val="sr-Latn-ME"/>
        </w:rPr>
        <w:t xml:space="preserve"> i adresirani ključni izazovi, nalazi i preporuke koji proističu iz integracionog procesa Crne Gore u EU i njenih međunarodnih obaveza u okviru pregovaračkog procesa u Poglavlju 23. U procesu razvoja novog strateškog dokumenta, neophodno je, između ostalog, uzeti u obzir i </w:t>
      </w:r>
      <w:r w:rsidRPr="0085657D">
        <w:rPr>
          <w:rFonts w:ascii="Arial" w:hAnsi="Arial" w:cs="Arial"/>
          <w:b/>
          <w:bCs/>
          <w:sz w:val="22"/>
          <w:szCs w:val="22"/>
          <w:lang w:val="sr-Latn-ME"/>
        </w:rPr>
        <w:t>ocjene Evropske komisije o ostvarenom napretku</w:t>
      </w:r>
      <w:r w:rsidRPr="0085657D">
        <w:rPr>
          <w:rFonts w:ascii="Arial" w:hAnsi="Arial" w:cs="Arial"/>
          <w:sz w:val="22"/>
          <w:szCs w:val="22"/>
          <w:lang w:val="sr-Latn-ME"/>
        </w:rPr>
        <w:t xml:space="preserve"> u oblasti </w:t>
      </w:r>
      <w:r w:rsidR="00582EE1" w:rsidRPr="0085657D">
        <w:rPr>
          <w:rFonts w:ascii="Arial" w:hAnsi="Arial" w:cs="Arial"/>
          <w:sz w:val="22"/>
          <w:szCs w:val="22"/>
          <w:lang w:val="sr-Latn-ME"/>
        </w:rPr>
        <w:t xml:space="preserve">procesnih garancija (Potpoglavlje </w:t>
      </w:r>
      <w:r w:rsidR="008253AD" w:rsidRPr="0085657D">
        <w:rPr>
          <w:rFonts w:ascii="Arial" w:hAnsi="Arial" w:cs="Arial"/>
          <w:sz w:val="22"/>
          <w:szCs w:val="22"/>
          <w:lang w:val="sr-Latn-ME"/>
        </w:rPr>
        <w:t>Temeljna</w:t>
      </w:r>
      <w:r w:rsidR="00582EE1" w:rsidRPr="0085657D">
        <w:rPr>
          <w:rFonts w:ascii="Arial" w:hAnsi="Arial" w:cs="Arial"/>
          <w:sz w:val="22"/>
          <w:szCs w:val="22"/>
          <w:lang w:val="sr-Latn-ME"/>
        </w:rPr>
        <w:t xml:space="preserve"> prava)</w:t>
      </w:r>
      <w:r w:rsidRPr="0085657D">
        <w:rPr>
          <w:rFonts w:ascii="Arial" w:hAnsi="Arial" w:cs="Arial"/>
          <w:sz w:val="22"/>
          <w:szCs w:val="22"/>
          <w:lang w:val="sr-Latn-ME"/>
        </w:rPr>
        <w:t xml:space="preserve"> u okviru Poglavlja 23.</w:t>
      </w:r>
      <w:r w:rsidRPr="0085657D">
        <w:rPr>
          <w:rStyle w:val="FootnoteReference"/>
          <w:rFonts w:ascii="Arial" w:hAnsi="Arial" w:cs="Arial"/>
          <w:sz w:val="22"/>
          <w:szCs w:val="22"/>
          <w:lang w:val="sr-Latn-ME"/>
        </w:rPr>
        <w:footnoteReference w:id="26"/>
      </w:r>
      <w:r w:rsidRPr="0085657D">
        <w:rPr>
          <w:rFonts w:ascii="Arial" w:hAnsi="Arial" w:cs="Arial"/>
          <w:sz w:val="22"/>
          <w:szCs w:val="22"/>
          <w:lang w:val="sr-Latn-ME"/>
        </w:rPr>
        <w:t xml:space="preserve"> </w:t>
      </w:r>
    </w:p>
    <w:p w14:paraId="1F4FA1A2" w14:textId="501A371E" w:rsidR="001052AD" w:rsidRPr="002F1301" w:rsidRDefault="001052AD" w:rsidP="00575663">
      <w:pPr>
        <w:pStyle w:val="Default"/>
        <w:spacing w:after="240" w:line="276" w:lineRule="auto"/>
        <w:jc w:val="both"/>
        <w:rPr>
          <w:rFonts w:ascii="Arial" w:hAnsi="Arial" w:cs="Arial"/>
          <w:sz w:val="22"/>
          <w:szCs w:val="22"/>
          <w:lang w:val="sr-Latn-ME"/>
        </w:rPr>
      </w:pPr>
      <w:r>
        <w:rPr>
          <w:rFonts w:ascii="Arial" w:hAnsi="Arial" w:cs="Arial"/>
          <w:sz w:val="22"/>
          <w:szCs w:val="22"/>
          <w:lang w:val="sr-Latn-ME"/>
        </w:rPr>
        <w:t xml:space="preserve">Kako se Evropska komisija u korpusu standarda obuhvaćenim Poglavljem 23 u velikoj mjeri oslanja na standarde Savjeta Evrope, ovim dokumentom su prepoznati i ključni izazovi u procesu usaglašavanja sa relevantnim konvencijama, ali i mišljenjima ugovornih tijela i stručnih tijela Savjeta Evrope </w:t>
      </w:r>
      <w:r w:rsidRPr="002F1301">
        <w:rPr>
          <w:rFonts w:ascii="Arial" w:hAnsi="Arial" w:cs="Arial"/>
          <w:sz w:val="22"/>
          <w:szCs w:val="22"/>
          <w:lang w:val="sr-Latn-ME"/>
        </w:rPr>
        <w:t>(</w:t>
      </w:r>
      <w:r w:rsidRPr="002F1301">
        <w:rPr>
          <w:rFonts w:ascii="Arial" w:hAnsi="Arial" w:cs="Arial"/>
          <w:sz w:val="22"/>
          <w:szCs w:val="22"/>
        </w:rPr>
        <w:t>GRETA</w:t>
      </w:r>
      <w:r w:rsidRPr="002F1301">
        <w:rPr>
          <w:rStyle w:val="FootnoteReference"/>
          <w:rFonts w:ascii="Arial" w:hAnsi="Arial" w:cs="Arial"/>
          <w:sz w:val="22"/>
          <w:szCs w:val="22"/>
        </w:rPr>
        <w:footnoteReference w:id="27"/>
      </w:r>
      <w:r w:rsidRPr="002F1301">
        <w:rPr>
          <w:rFonts w:ascii="Arial" w:hAnsi="Arial" w:cs="Arial"/>
          <w:sz w:val="22"/>
          <w:szCs w:val="22"/>
          <w:lang w:val="sr-Latn-ME"/>
        </w:rPr>
        <w:t xml:space="preserve">, </w:t>
      </w:r>
      <w:r w:rsidRPr="002F1301">
        <w:rPr>
          <w:rFonts w:ascii="Arial" w:hAnsi="Arial" w:cs="Arial"/>
          <w:sz w:val="22"/>
          <w:szCs w:val="22"/>
        </w:rPr>
        <w:t>GREVIO</w:t>
      </w:r>
      <w:r w:rsidRPr="002F1301">
        <w:rPr>
          <w:rStyle w:val="FootnoteReference"/>
          <w:rFonts w:ascii="Arial" w:hAnsi="Arial" w:cs="Arial"/>
          <w:sz w:val="22"/>
          <w:szCs w:val="22"/>
        </w:rPr>
        <w:footnoteReference w:id="28"/>
      </w:r>
      <w:r w:rsidR="00451AF9" w:rsidRPr="002F1301">
        <w:rPr>
          <w:rFonts w:ascii="Arial" w:hAnsi="Arial" w:cs="Arial"/>
          <w:sz w:val="22"/>
          <w:szCs w:val="22"/>
          <w:lang w:val="sr-Cyrl-RS"/>
        </w:rPr>
        <w:t xml:space="preserve"> </w:t>
      </w:r>
      <w:r w:rsidR="00451AF9" w:rsidRPr="002F1301">
        <w:rPr>
          <w:rFonts w:ascii="Arial" w:hAnsi="Arial" w:cs="Arial"/>
          <w:sz w:val="22"/>
          <w:szCs w:val="22"/>
          <w:lang w:val="en-GB"/>
        </w:rPr>
        <w:t>i</w:t>
      </w:r>
      <w:r w:rsidRPr="002F1301">
        <w:rPr>
          <w:rFonts w:ascii="Arial" w:hAnsi="Arial" w:cs="Arial"/>
          <w:sz w:val="22"/>
          <w:szCs w:val="22"/>
          <w:lang w:val="sr-Latn-ME"/>
        </w:rPr>
        <w:t xml:space="preserve"> </w:t>
      </w:r>
      <w:r w:rsidRPr="002F1301">
        <w:rPr>
          <w:rFonts w:ascii="Arial" w:hAnsi="Arial" w:cs="Arial"/>
          <w:sz w:val="22"/>
          <w:szCs w:val="22"/>
        </w:rPr>
        <w:t>ECRI</w:t>
      </w:r>
      <w:r w:rsidRPr="002F1301">
        <w:rPr>
          <w:rFonts w:ascii="Arial" w:hAnsi="Arial" w:cs="Arial"/>
          <w:sz w:val="22"/>
          <w:szCs w:val="22"/>
          <w:lang w:val="sr-Latn-ME"/>
        </w:rPr>
        <w:t xml:space="preserve">, </w:t>
      </w:r>
      <w:r w:rsidRPr="002F1301">
        <w:rPr>
          <w:rFonts w:ascii="Arial" w:hAnsi="Arial" w:cs="Arial"/>
          <w:sz w:val="22"/>
          <w:szCs w:val="22"/>
        </w:rPr>
        <w:t>td</w:t>
      </w:r>
      <w:r w:rsidRPr="002F1301">
        <w:rPr>
          <w:rFonts w:ascii="Arial" w:hAnsi="Arial" w:cs="Arial"/>
          <w:sz w:val="22"/>
          <w:szCs w:val="22"/>
          <w:lang w:val="sr-Latn-ME"/>
        </w:rPr>
        <w:t xml:space="preserve">), </w:t>
      </w:r>
      <w:r w:rsidRPr="002F1301">
        <w:rPr>
          <w:rFonts w:ascii="Arial" w:hAnsi="Arial" w:cs="Arial"/>
          <w:sz w:val="22"/>
          <w:szCs w:val="22"/>
        </w:rPr>
        <w:t>ali</w:t>
      </w:r>
      <w:r w:rsidRPr="002F1301">
        <w:rPr>
          <w:rFonts w:ascii="Arial" w:hAnsi="Arial" w:cs="Arial"/>
          <w:sz w:val="22"/>
          <w:szCs w:val="22"/>
          <w:lang w:val="sr-Latn-ME"/>
        </w:rPr>
        <w:t xml:space="preserve"> </w:t>
      </w:r>
      <w:r w:rsidRPr="002F1301">
        <w:rPr>
          <w:rFonts w:ascii="Arial" w:hAnsi="Arial" w:cs="Arial"/>
          <w:sz w:val="22"/>
          <w:szCs w:val="22"/>
        </w:rPr>
        <w:t>i</w:t>
      </w:r>
      <w:r w:rsidRPr="002F1301">
        <w:rPr>
          <w:rFonts w:ascii="Arial" w:hAnsi="Arial" w:cs="Arial"/>
          <w:sz w:val="22"/>
          <w:szCs w:val="22"/>
          <w:lang w:val="sr-Latn-ME"/>
        </w:rPr>
        <w:t xml:space="preserve"> </w:t>
      </w:r>
      <w:r w:rsidRPr="002F1301">
        <w:rPr>
          <w:rFonts w:ascii="Arial" w:hAnsi="Arial" w:cs="Arial"/>
          <w:sz w:val="22"/>
          <w:szCs w:val="22"/>
        </w:rPr>
        <w:t>sa</w:t>
      </w:r>
      <w:r w:rsidRPr="002F1301">
        <w:rPr>
          <w:rFonts w:ascii="Arial" w:hAnsi="Arial" w:cs="Arial"/>
          <w:sz w:val="22"/>
          <w:szCs w:val="22"/>
          <w:lang w:val="sr-Latn-ME"/>
        </w:rPr>
        <w:t xml:space="preserve"> </w:t>
      </w:r>
      <w:r w:rsidRPr="002F1301">
        <w:rPr>
          <w:rFonts w:ascii="Arial" w:hAnsi="Arial" w:cs="Arial"/>
          <w:sz w:val="22"/>
          <w:szCs w:val="22"/>
        </w:rPr>
        <w:t>praksom</w:t>
      </w:r>
      <w:r w:rsidRPr="002F1301">
        <w:rPr>
          <w:rFonts w:ascii="Arial" w:hAnsi="Arial" w:cs="Arial"/>
          <w:sz w:val="22"/>
          <w:szCs w:val="22"/>
          <w:lang w:val="sr-Latn-ME"/>
        </w:rPr>
        <w:t xml:space="preserve"> </w:t>
      </w:r>
      <w:r w:rsidRPr="002F1301">
        <w:rPr>
          <w:rFonts w:ascii="Arial" w:hAnsi="Arial" w:cs="Arial"/>
          <w:sz w:val="22"/>
          <w:szCs w:val="22"/>
        </w:rPr>
        <w:t>Evropskog</w:t>
      </w:r>
      <w:r w:rsidRPr="002F1301">
        <w:rPr>
          <w:rFonts w:ascii="Arial" w:hAnsi="Arial" w:cs="Arial"/>
          <w:sz w:val="22"/>
          <w:szCs w:val="22"/>
          <w:lang w:val="sr-Latn-ME"/>
        </w:rPr>
        <w:t xml:space="preserve"> </w:t>
      </w:r>
      <w:r w:rsidRPr="002F1301">
        <w:rPr>
          <w:rFonts w:ascii="Arial" w:hAnsi="Arial" w:cs="Arial"/>
          <w:sz w:val="22"/>
          <w:szCs w:val="22"/>
        </w:rPr>
        <w:t>suda</w:t>
      </w:r>
      <w:r w:rsidRPr="002F1301">
        <w:rPr>
          <w:rFonts w:ascii="Arial" w:hAnsi="Arial" w:cs="Arial"/>
          <w:sz w:val="22"/>
          <w:szCs w:val="22"/>
          <w:lang w:val="sr-Latn-ME"/>
        </w:rPr>
        <w:t xml:space="preserve"> </w:t>
      </w:r>
      <w:r w:rsidRPr="002F1301">
        <w:rPr>
          <w:rFonts w:ascii="Arial" w:hAnsi="Arial" w:cs="Arial"/>
          <w:sz w:val="22"/>
          <w:szCs w:val="22"/>
        </w:rPr>
        <w:t>za</w:t>
      </w:r>
      <w:r w:rsidRPr="002F1301">
        <w:rPr>
          <w:rFonts w:ascii="Arial" w:hAnsi="Arial" w:cs="Arial"/>
          <w:sz w:val="22"/>
          <w:szCs w:val="22"/>
          <w:lang w:val="sr-Latn-ME"/>
        </w:rPr>
        <w:t xml:space="preserve"> </w:t>
      </w:r>
      <w:r w:rsidRPr="002F1301">
        <w:rPr>
          <w:rFonts w:ascii="Arial" w:hAnsi="Arial" w:cs="Arial"/>
          <w:sz w:val="22"/>
          <w:szCs w:val="22"/>
        </w:rPr>
        <w:t>ljudska</w:t>
      </w:r>
      <w:r w:rsidRPr="002F1301">
        <w:rPr>
          <w:rFonts w:ascii="Arial" w:hAnsi="Arial" w:cs="Arial"/>
          <w:sz w:val="22"/>
          <w:szCs w:val="22"/>
          <w:lang w:val="sr-Latn-ME"/>
        </w:rPr>
        <w:t xml:space="preserve"> </w:t>
      </w:r>
      <w:r w:rsidRPr="002F1301">
        <w:rPr>
          <w:rFonts w:ascii="Arial" w:hAnsi="Arial" w:cs="Arial"/>
          <w:sz w:val="22"/>
          <w:szCs w:val="22"/>
        </w:rPr>
        <w:t>prava</w:t>
      </w:r>
      <w:r w:rsidRPr="002F1301">
        <w:rPr>
          <w:rFonts w:ascii="Arial" w:hAnsi="Arial" w:cs="Arial"/>
          <w:sz w:val="22"/>
          <w:szCs w:val="22"/>
          <w:lang w:val="sr-Latn-ME"/>
        </w:rPr>
        <w:t>.</w:t>
      </w:r>
    </w:p>
    <w:p w14:paraId="46662CD6" w14:textId="24AA9CCB" w:rsidR="00374F48" w:rsidRPr="0085657D" w:rsidRDefault="00374F48" w:rsidP="00374F48">
      <w:pPr>
        <w:pStyle w:val="Heading2"/>
        <w:spacing w:before="0" w:after="240"/>
        <w:rPr>
          <w:rFonts w:ascii="Arial" w:hAnsi="Arial" w:cs="Arial"/>
          <w:sz w:val="22"/>
          <w:szCs w:val="22"/>
        </w:rPr>
      </w:pPr>
      <w:bookmarkStart w:id="17" w:name="_Toc208489172"/>
      <w:r w:rsidRPr="0085657D">
        <w:rPr>
          <w:rFonts w:ascii="Arial" w:hAnsi="Arial" w:cs="Arial"/>
          <w:sz w:val="22"/>
          <w:szCs w:val="22"/>
        </w:rPr>
        <w:t xml:space="preserve">2.4. Usklađenost Strategije sa </w:t>
      </w:r>
      <w:r w:rsidR="00367660">
        <w:rPr>
          <w:rFonts w:ascii="Arial" w:hAnsi="Arial" w:cs="Arial"/>
          <w:sz w:val="22"/>
          <w:szCs w:val="22"/>
        </w:rPr>
        <w:t>c</w:t>
      </w:r>
      <w:r w:rsidRPr="0085657D">
        <w:rPr>
          <w:rFonts w:ascii="Arial" w:hAnsi="Arial" w:cs="Arial"/>
          <w:sz w:val="22"/>
          <w:szCs w:val="22"/>
        </w:rPr>
        <w:t xml:space="preserve">iljevima održivog razvoja </w:t>
      </w:r>
      <w:bookmarkEnd w:id="17"/>
    </w:p>
    <w:p w14:paraId="54F9B4A9" w14:textId="161B154B" w:rsidR="00DA03C1" w:rsidRDefault="005414F1" w:rsidP="00575663">
      <w:pPr>
        <w:spacing w:line="276" w:lineRule="auto"/>
        <w:rPr>
          <w:rFonts w:ascii="Arial" w:hAnsi="Arial" w:cs="Arial"/>
        </w:rPr>
      </w:pPr>
      <w:r w:rsidRPr="0085657D">
        <w:rPr>
          <w:rFonts w:ascii="Arial" w:hAnsi="Arial" w:cs="Arial"/>
        </w:rPr>
        <w:t xml:space="preserve">Pored navedenog, reformski prioriteti i ciljevi u ovoj Strategiji u velikoj mjeri su uslovljeni potrebom za punim usaglašavanjem sa relevantnim međunarodnim univerzalnim i regionalnim standardima konkretizovanim kroz preporuke </w:t>
      </w:r>
      <w:r w:rsidRPr="0085657D">
        <w:rPr>
          <w:rFonts w:ascii="Arial" w:hAnsi="Arial" w:cs="Arial"/>
          <w:b/>
          <w:bCs/>
        </w:rPr>
        <w:t>UN ugovornih tijela</w:t>
      </w:r>
      <w:r w:rsidRPr="0085657D">
        <w:rPr>
          <w:rFonts w:ascii="Arial" w:hAnsi="Arial" w:cs="Arial"/>
        </w:rPr>
        <w:t xml:space="preserve"> (CRC, HRCttee, CCPR, CEDOW, CAT, CED, CRPD) </w:t>
      </w:r>
      <w:r w:rsidR="00585909" w:rsidRPr="0085657D">
        <w:rPr>
          <w:rFonts w:ascii="Arial" w:hAnsi="Arial" w:cs="Arial"/>
        </w:rPr>
        <w:t xml:space="preserve">i </w:t>
      </w:r>
      <w:r w:rsidR="00585909" w:rsidRPr="0085657D">
        <w:rPr>
          <w:rFonts w:ascii="Arial" w:hAnsi="Arial" w:cs="Arial"/>
          <w:b/>
          <w:bCs/>
        </w:rPr>
        <w:t>specijalnih procedura</w:t>
      </w:r>
      <w:r w:rsidR="001052AD">
        <w:rPr>
          <w:rFonts w:ascii="Arial" w:hAnsi="Arial" w:cs="Arial"/>
          <w:b/>
          <w:bCs/>
        </w:rPr>
        <w:t>.</w:t>
      </w:r>
      <w:r w:rsidR="00A8695A" w:rsidRPr="0085657D">
        <w:rPr>
          <w:rFonts w:ascii="Arial" w:hAnsi="Arial" w:cs="Arial"/>
        </w:rPr>
        <w:t xml:space="preserve"> </w:t>
      </w:r>
    </w:p>
    <w:p w14:paraId="2FA85CDD" w14:textId="77777777" w:rsidR="00DA03C1" w:rsidRDefault="00DA03C1" w:rsidP="00DA03C1">
      <w:pPr>
        <w:spacing w:after="120" w:line="276" w:lineRule="auto"/>
        <w:rPr>
          <w:rFonts w:ascii="Arial" w:hAnsi="Arial" w:cs="Arial"/>
        </w:rPr>
      </w:pPr>
    </w:p>
    <w:p w14:paraId="0F392C91" w14:textId="68FF57D5" w:rsidR="002F1301" w:rsidRDefault="00585909" w:rsidP="00DA03C1">
      <w:pPr>
        <w:spacing w:after="120" w:line="276" w:lineRule="auto"/>
        <w:rPr>
          <w:rFonts w:ascii="Arial" w:hAnsi="Arial" w:cs="Arial"/>
        </w:rPr>
      </w:pPr>
      <w:r w:rsidRPr="0085657D">
        <w:rPr>
          <w:rFonts w:ascii="Arial" w:hAnsi="Arial" w:cs="Arial"/>
        </w:rPr>
        <w:lastRenderedPageBreak/>
        <w:t>Najzad, Strategija se neposredno oslanja i na UN Ciljeve održivog razvoja.</w:t>
      </w:r>
    </w:p>
    <w:p w14:paraId="1256342D" w14:textId="77777777" w:rsidR="002F1301" w:rsidRPr="0085657D" w:rsidRDefault="002F1301" w:rsidP="00EC1B8D">
      <w:pPr>
        <w:spacing w:after="120"/>
        <w:jc w:val="center"/>
        <w:rPr>
          <w:rFonts w:ascii="Arial" w:hAnsi="Arial" w:cs="Arial"/>
        </w:rPr>
      </w:pPr>
    </w:p>
    <w:p w14:paraId="4198B5EB" w14:textId="77777777" w:rsidR="00711B0A" w:rsidRPr="0085657D" w:rsidRDefault="00585909" w:rsidP="00711B0A">
      <w:pPr>
        <w:spacing w:after="120"/>
        <w:jc w:val="center"/>
        <w:rPr>
          <w:rFonts w:ascii="Arial" w:hAnsi="Arial" w:cs="Arial"/>
        </w:rPr>
      </w:pPr>
      <w:r w:rsidRPr="0085657D">
        <w:rPr>
          <w:rFonts w:ascii="Arial" w:hAnsi="Arial" w:cs="Arial"/>
        </w:rPr>
        <w:t>Grafik</w:t>
      </w:r>
      <w:r w:rsidR="00601BFC" w:rsidRPr="0085657D">
        <w:rPr>
          <w:rFonts w:ascii="Arial" w:hAnsi="Arial" w:cs="Arial"/>
        </w:rPr>
        <w:t>on</w:t>
      </w:r>
      <w:r w:rsidRPr="0085657D">
        <w:rPr>
          <w:rFonts w:ascii="Arial" w:hAnsi="Arial" w:cs="Arial"/>
        </w:rPr>
        <w:t xml:space="preserve"> 1: Ciljevi održivog razvoja</w:t>
      </w:r>
    </w:p>
    <w:p w14:paraId="1A87D582" w14:textId="77777777" w:rsidR="00585909" w:rsidRPr="0085657D" w:rsidRDefault="006F7CC7" w:rsidP="00585909">
      <w:pPr>
        <w:pStyle w:val="Default"/>
        <w:spacing w:after="120" w:line="276" w:lineRule="auto"/>
        <w:jc w:val="center"/>
        <w:rPr>
          <w:rFonts w:ascii="Arial" w:hAnsi="Arial" w:cs="Arial"/>
          <w:sz w:val="22"/>
          <w:szCs w:val="22"/>
          <w:lang w:val="sr-Latn-ME"/>
        </w:rPr>
      </w:pPr>
      <w:r w:rsidRPr="0085657D">
        <w:rPr>
          <w:rFonts w:ascii="Arial" w:hAnsi="Arial" w:cs="Arial"/>
          <w:noProof/>
          <w:sz w:val="22"/>
          <w:szCs w:val="22"/>
        </w:rPr>
        <w:t xml:space="preserve"> </w:t>
      </w:r>
      <w:r w:rsidR="00585909" w:rsidRPr="0085657D">
        <w:rPr>
          <w:rFonts w:ascii="Arial" w:hAnsi="Arial" w:cs="Arial"/>
          <w:noProof/>
          <w:sz w:val="22"/>
          <w:szCs w:val="22"/>
        </w:rPr>
        <w:drawing>
          <wp:inline distT="0" distB="0" distL="0" distR="0" wp14:anchorId="16AE8D58" wp14:editId="41712B6E">
            <wp:extent cx="4757032" cy="3050046"/>
            <wp:effectExtent l="0" t="0" r="5715" b="0"/>
            <wp:docPr id="492840655" name="Picture 492840655" descr="C:\Users\jelena.mugosa\Documents\STRATEGIJA RAZVOJA TURIZMA\STRATEGIJA\FINAL NACRT\FINAL-FINAL\SDG_BiH_lati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mugosa\Documents\STRATEGIJA RAZVOJA TURIZMA\STRATEGIJA\FINAL NACRT\FINAL-FINAL\SDG_BiH_latini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69" cy="3096041"/>
                    </a:xfrm>
                    <a:prstGeom prst="rect">
                      <a:avLst/>
                    </a:prstGeom>
                    <a:noFill/>
                    <a:ln>
                      <a:noFill/>
                    </a:ln>
                  </pic:spPr>
                </pic:pic>
              </a:graphicData>
            </a:graphic>
          </wp:inline>
        </w:drawing>
      </w:r>
    </w:p>
    <w:p w14:paraId="6816AD99" w14:textId="77777777" w:rsidR="00585909" w:rsidRPr="0085657D" w:rsidRDefault="00585909" w:rsidP="005414F1">
      <w:pPr>
        <w:spacing w:after="0" w:line="276" w:lineRule="auto"/>
        <w:rPr>
          <w:rFonts w:ascii="Arial" w:hAnsi="Arial" w:cs="Arial"/>
        </w:rPr>
      </w:pPr>
    </w:p>
    <w:p w14:paraId="490EAA76" w14:textId="77777777" w:rsidR="005414F1" w:rsidRPr="0085657D" w:rsidRDefault="00585909" w:rsidP="0011155C">
      <w:pPr>
        <w:spacing w:after="0" w:line="276" w:lineRule="auto"/>
        <w:rPr>
          <w:rFonts w:ascii="Arial" w:hAnsi="Arial" w:cs="Arial"/>
        </w:rPr>
      </w:pPr>
      <w:r w:rsidRPr="0085657D">
        <w:rPr>
          <w:rFonts w:ascii="Arial" w:hAnsi="Arial" w:cs="Arial"/>
        </w:rPr>
        <w:t>P</w:t>
      </w:r>
      <w:r w:rsidR="005414F1" w:rsidRPr="0085657D">
        <w:rPr>
          <w:rFonts w:ascii="Arial" w:hAnsi="Arial" w:cs="Arial"/>
        </w:rPr>
        <w:t xml:space="preserve">reciznije, Cilj 16. Promovisati miroljubiva i inkluzivna društva za održivi razvoj, obezbijediti pristup pravdi za sve i izgraditi efikasne, pouzdane i inkluzivne institucije na svim nivoima: 16.1 Svuda značajno smanjiti sve oblike nasilja i sa njima povezane stope smrtnih slučajeva; Promovisati vladavinu prava na nacionalnom i međunarodnom nivou i svima osigurati jednak pristup pravdi; 16.6 Razviti djelotvorne, odgovorne i transparentne institucije na svim nivoima; 16.7 Osigurati odgovorno, inkluzivno, participativno i reprezentativno donošenje odluka na svim nivoima; 16.10 Osigurati javni pristup informacijama i zaštitu osnovnih sloboda, u skladu sa nacionalnim zakonodavstvom i međunarodnim sporazumima; 16.b Promovisati i sprovoditi nediskriminatorske zakone i politike radi postizanja održivog razvoja. </w:t>
      </w:r>
    </w:p>
    <w:p w14:paraId="52AE4F93" w14:textId="77777777" w:rsidR="005414F1" w:rsidRPr="0085657D" w:rsidRDefault="005414F1" w:rsidP="00595DE2">
      <w:pPr>
        <w:pStyle w:val="Heading1"/>
        <w:numPr>
          <w:ilvl w:val="0"/>
          <w:numId w:val="5"/>
        </w:numPr>
        <w:spacing w:after="240"/>
        <w:ind w:left="714" w:hanging="357"/>
        <w:rPr>
          <w:rFonts w:ascii="Arial" w:hAnsi="Arial" w:cs="Arial"/>
          <w:sz w:val="22"/>
          <w:szCs w:val="22"/>
        </w:rPr>
      </w:pPr>
      <w:bookmarkStart w:id="18" w:name="_Toc208489173"/>
      <w:r w:rsidRPr="0085657D">
        <w:rPr>
          <w:rFonts w:ascii="Arial" w:hAnsi="Arial" w:cs="Arial"/>
          <w:sz w:val="22"/>
          <w:szCs w:val="22"/>
        </w:rPr>
        <w:t xml:space="preserve">Analiza </w:t>
      </w:r>
      <w:r w:rsidR="003A0853" w:rsidRPr="0085657D">
        <w:rPr>
          <w:rFonts w:ascii="Arial" w:hAnsi="Arial" w:cs="Arial"/>
          <w:sz w:val="22"/>
          <w:szCs w:val="22"/>
        </w:rPr>
        <w:t>postojećeg stanja</w:t>
      </w:r>
      <w:bookmarkEnd w:id="18"/>
    </w:p>
    <w:p w14:paraId="042FAB06" w14:textId="76A6EC84" w:rsidR="00374F48" w:rsidRPr="0085657D" w:rsidRDefault="00A97F83" w:rsidP="005022B6">
      <w:pPr>
        <w:autoSpaceDE w:val="0"/>
        <w:autoSpaceDN w:val="0"/>
        <w:adjustRightInd w:val="0"/>
        <w:spacing w:line="276" w:lineRule="auto"/>
        <w:rPr>
          <w:rFonts w:ascii="Arial" w:hAnsi="Arial" w:cs="Arial"/>
        </w:rPr>
      </w:pPr>
      <w:r w:rsidRPr="0085657D">
        <w:rPr>
          <w:rFonts w:ascii="Arial" w:hAnsi="Arial" w:cs="Arial"/>
        </w:rPr>
        <w:t>U pogledu pristupa pravdi za žrtve krivičnih djela</w:t>
      </w:r>
      <w:r w:rsidR="007E52F2" w:rsidRPr="0085657D">
        <w:rPr>
          <w:rFonts w:ascii="Arial" w:hAnsi="Arial" w:cs="Arial"/>
        </w:rPr>
        <w:t xml:space="preserve"> i zaštite njihovih prava</w:t>
      </w:r>
      <w:r w:rsidRPr="0085657D">
        <w:rPr>
          <w:rFonts w:ascii="Arial" w:hAnsi="Arial" w:cs="Arial"/>
        </w:rPr>
        <w:t>, zahtjevni i brzorastući međunarodni standardi u ovoj oblasti zaht</w:t>
      </w:r>
      <w:r w:rsidR="00C1047E">
        <w:rPr>
          <w:rFonts w:ascii="Arial" w:hAnsi="Arial" w:cs="Arial"/>
        </w:rPr>
        <w:t>i</w:t>
      </w:r>
      <w:r w:rsidRPr="0085657D">
        <w:rPr>
          <w:rFonts w:ascii="Arial" w:hAnsi="Arial" w:cs="Arial"/>
        </w:rPr>
        <w:t xml:space="preserve">jevaju sistemski i strateški pristup unapređenju normativnog okvira, uspostavljanju procedura postupanja sa žrtvama počev od prvog kontakta sa organima postupka, </w:t>
      </w:r>
      <w:r w:rsidR="00FD574F" w:rsidRPr="0085657D">
        <w:rPr>
          <w:rFonts w:ascii="Arial" w:hAnsi="Arial" w:cs="Arial"/>
        </w:rPr>
        <w:t xml:space="preserve">blagovremeno informisanje žrtava na jeziku koji razumiju o njenim pravima, </w:t>
      </w:r>
      <w:r w:rsidRPr="0085657D">
        <w:rPr>
          <w:rFonts w:ascii="Arial" w:hAnsi="Arial" w:cs="Arial"/>
        </w:rPr>
        <w:t xml:space="preserve">uspostavljanje službi podrške žrtvama na čitavoj teritoriji Crne Gore, sveobuhvatan pristup obukama nosilaca pravosudnih funkcija, </w:t>
      </w:r>
      <w:r w:rsidR="007E52F2" w:rsidRPr="0085657D">
        <w:rPr>
          <w:rFonts w:ascii="Arial" w:hAnsi="Arial" w:cs="Arial"/>
        </w:rPr>
        <w:t xml:space="preserve">advokata, policije i pružalaca podrške žrtvama, </w:t>
      </w:r>
      <w:r w:rsidRPr="0085657D">
        <w:rPr>
          <w:rFonts w:ascii="Arial" w:hAnsi="Arial" w:cs="Arial"/>
        </w:rPr>
        <w:t>kao i omogućavanje infrastrukturnih pretpostavki procesne zaštite</w:t>
      </w:r>
      <w:r w:rsidR="005022B6" w:rsidRPr="0085657D">
        <w:rPr>
          <w:rFonts w:ascii="Arial" w:hAnsi="Arial" w:cs="Arial"/>
        </w:rPr>
        <w:t>.</w:t>
      </w:r>
      <w:r w:rsidRPr="0085657D">
        <w:rPr>
          <w:rFonts w:ascii="Arial" w:hAnsi="Arial" w:cs="Arial"/>
        </w:rPr>
        <w:t xml:space="preserve"> </w:t>
      </w:r>
    </w:p>
    <w:p w14:paraId="0209F3EF" w14:textId="77777777" w:rsidR="00DA03C1" w:rsidRDefault="00DA03C1" w:rsidP="005022B6">
      <w:pPr>
        <w:autoSpaceDE w:val="0"/>
        <w:autoSpaceDN w:val="0"/>
        <w:adjustRightInd w:val="0"/>
        <w:spacing w:line="276" w:lineRule="auto"/>
        <w:rPr>
          <w:rFonts w:ascii="Arial" w:hAnsi="Arial" w:cs="Arial"/>
        </w:rPr>
      </w:pPr>
    </w:p>
    <w:p w14:paraId="33C0B8E2" w14:textId="26D98682" w:rsidR="00A97F83" w:rsidRPr="0085657D" w:rsidRDefault="005022B6" w:rsidP="005022B6">
      <w:pPr>
        <w:autoSpaceDE w:val="0"/>
        <w:autoSpaceDN w:val="0"/>
        <w:adjustRightInd w:val="0"/>
        <w:spacing w:line="276" w:lineRule="auto"/>
        <w:rPr>
          <w:rFonts w:ascii="Arial" w:hAnsi="Arial" w:cs="Arial"/>
        </w:rPr>
      </w:pPr>
      <w:r w:rsidRPr="0085657D">
        <w:rPr>
          <w:rFonts w:ascii="Arial" w:hAnsi="Arial" w:cs="Arial"/>
        </w:rPr>
        <w:lastRenderedPageBreak/>
        <w:t>Minimalni standardi za ostvarivanje svih navedenih prava žrtava definisani su Direktivom 2012</w:t>
      </w:r>
      <w:r w:rsidR="007E08E4" w:rsidRPr="0085657D">
        <w:rPr>
          <w:rFonts w:ascii="Arial" w:hAnsi="Arial" w:cs="Arial"/>
        </w:rPr>
        <w:t>/</w:t>
      </w:r>
      <w:r w:rsidRPr="0085657D">
        <w:rPr>
          <w:rFonts w:ascii="Arial" w:hAnsi="Arial" w:cs="Arial"/>
        </w:rPr>
        <w:t>029</w:t>
      </w:r>
      <w:r w:rsidR="007E08E4" w:rsidRPr="0085657D">
        <w:rPr>
          <w:rFonts w:ascii="Arial" w:hAnsi="Arial" w:cs="Arial"/>
        </w:rPr>
        <w:t>/</w:t>
      </w:r>
      <w:r w:rsidRPr="0085657D">
        <w:rPr>
          <w:rFonts w:ascii="Arial" w:hAnsi="Arial" w:cs="Arial"/>
        </w:rPr>
        <w:t>EU, dok su, kako pojedina prava, kako i njihovo ostvarivanje od strane pojedinačnih, naročito osjetljivih kategorija žrtava, garantovani i drugim dokumentima Evropske unije</w:t>
      </w:r>
      <w:r w:rsidR="002046CF" w:rsidRPr="0085657D">
        <w:rPr>
          <w:rStyle w:val="FootnoteReference"/>
          <w:rFonts w:ascii="Arial" w:hAnsi="Arial" w:cs="Arial"/>
        </w:rPr>
        <w:footnoteReference w:id="29"/>
      </w:r>
      <w:r w:rsidRPr="0085657D">
        <w:rPr>
          <w:rFonts w:ascii="Arial" w:hAnsi="Arial" w:cs="Arial"/>
        </w:rPr>
        <w:t>, Savjeta Evrope i Ujedinjenih nacija.</w:t>
      </w:r>
    </w:p>
    <w:p w14:paraId="03817652" w14:textId="77777777" w:rsidR="005022B6" w:rsidRPr="0085657D" w:rsidRDefault="005022B6" w:rsidP="00A97F83">
      <w:pPr>
        <w:autoSpaceDE w:val="0"/>
        <w:autoSpaceDN w:val="0"/>
        <w:adjustRightInd w:val="0"/>
        <w:spacing w:after="0" w:line="276" w:lineRule="auto"/>
        <w:rPr>
          <w:rFonts w:ascii="Arial" w:hAnsi="Arial" w:cs="Arial"/>
        </w:rPr>
      </w:pPr>
      <w:r w:rsidRPr="0085657D">
        <w:rPr>
          <w:rFonts w:ascii="Arial" w:hAnsi="Arial" w:cs="Arial"/>
        </w:rPr>
        <w:t>Kako ova strategija predstavlja prvi dokument javnih politika koji sveobuhvatno adresira prava žrtava u Crnoj Gori, analiza postojećeg stanja ne uključuje ocjenu rezultata sprovođenja ranijeg strateškog dokumenta, već je struktuirana tako da prati ranije pomenute ključne elemente prava žrtava definisane Direktivom 2012</w:t>
      </w:r>
      <w:r w:rsidR="007E08E4" w:rsidRPr="0085657D">
        <w:rPr>
          <w:rFonts w:ascii="Arial" w:hAnsi="Arial" w:cs="Arial"/>
        </w:rPr>
        <w:t>/</w:t>
      </w:r>
      <w:r w:rsidRPr="0085657D">
        <w:rPr>
          <w:rFonts w:ascii="Arial" w:hAnsi="Arial" w:cs="Arial"/>
        </w:rPr>
        <w:t>029</w:t>
      </w:r>
      <w:r w:rsidR="007E08E4" w:rsidRPr="0085657D">
        <w:rPr>
          <w:rFonts w:ascii="Arial" w:hAnsi="Arial" w:cs="Arial"/>
        </w:rPr>
        <w:t>/</w:t>
      </w:r>
      <w:r w:rsidRPr="0085657D">
        <w:rPr>
          <w:rFonts w:ascii="Arial" w:hAnsi="Arial" w:cs="Arial"/>
        </w:rPr>
        <w:t>EU, odnosno da pruži uvid u ključne domete, izazove i zadatke u tim oblastima.</w:t>
      </w:r>
    </w:p>
    <w:p w14:paraId="18A4CE74" w14:textId="77777777" w:rsidR="003F04BF" w:rsidRPr="0085657D" w:rsidRDefault="003F04BF" w:rsidP="003F04BF">
      <w:pPr>
        <w:rPr>
          <w:rFonts w:ascii="Arial" w:hAnsi="Arial" w:cs="Arial"/>
        </w:rPr>
      </w:pPr>
    </w:p>
    <w:p w14:paraId="0591077E" w14:textId="77777777" w:rsidR="003F04BF" w:rsidRPr="0085657D" w:rsidRDefault="003F04BF" w:rsidP="00595DE2">
      <w:pPr>
        <w:pStyle w:val="Heading2"/>
        <w:numPr>
          <w:ilvl w:val="1"/>
          <w:numId w:val="5"/>
        </w:numPr>
        <w:spacing w:before="0" w:after="240"/>
        <w:ind w:left="714" w:hanging="357"/>
        <w:rPr>
          <w:rFonts w:ascii="Arial" w:eastAsia="Calibri" w:hAnsi="Arial" w:cs="Arial"/>
          <w:sz w:val="22"/>
          <w:szCs w:val="22"/>
        </w:rPr>
      </w:pPr>
      <w:bookmarkStart w:id="19" w:name="_Toc208489174"/>
      <w:r w:rsidRPr="0085657D">
        <w:rPr>
          <w:rFonts w:ascii="Arial" w:hAnsi="Arial" w:cs="Arial"/>
          <w:sz w:val="22"/>
          <w:szCs w:val="22"/>
        </w:rPr>
        <w:t>Zainteresovane strane</w:t>
      </w:r>
      <w:bookmarkEnd w:id="19"/>
    </w:p>
    <w:p w14:paraId="27D92DF6" w14:textId="6D910231" w:rsidR="007142AA" w:rsidRPr="0085657D" w:rsidRDefault="003F04BF" w:rsidP="007142AA">
      <w:pPr>
        <w:spacing w:line="276" w:lineRule="auto"/>
        <w:rPr>
          <w:rFonts w:ascii="Arial" w:hAnsi="Arial" w:cs="Arial"/>
          <w:shd w:val="clear" w:color="auto" w:fill="FFFFFF"/>
        </w:rPr>
      </w:pPr>
      <w:r w:rsidRPr="0085657D">
        <w:rPr>
          <w:rFonts w:ascii="Arial" w:hAnsi="Arial" w:cs="Arial"/>
          <w:shd w:val="clear" w:color="auto" w:fill="FFFFFF"/>
        </w:rPr>
        <w:t xml:space="preserve">U pripremu ovog dokumenta bio je uključen široki krug </w:t>
      </w:r>
      <w:r w:rsidR="00C57D79" w:rsidRPr="0085657D">
        <w:rPr>
          <w:rFonts w:ascii="Arial" w:hAnsi="Arial" w:cs="Arial"/>
          <w:shd w:val="clear" w:color="auto" w:fill="FFFFFF"/>
        </w:rPr>
        <w:t>zainteresovanih strana</w:t>
      </w:r>
      <w:r w:rsidR="00975E3C" w:rsidRPr="0085657D">
        <w:rPr>
          <w:rFonts w:ascii="Arial" w:hAnsi="Arial" w:cs="Arial"/>
          <w:shd w:val="clear" w:color="auto" w:fill="FFFFFF"/>
        </w:rPr>
        <w:t>, relevantnih institucija/organizacija</w:t>
      </w:r>
      <w:r w:rsidR="007142AA" w:rsidRPr="0085657D">
        <w:rPr>
          <w:rFonts w:ascii="Arial" w:hAnsi="Arial" w:cs="Arial"/>
          <w:shd w:val="clear" w:color="auto" w:fill="FFFFFF"/>
        </w:rPr>
        <w:t xml:space="preserve">. </w:t>
      </w:r>
      <w:r w:rsidR="007142AA" w:rsidRPr="0085657D">
        <w:rPr>
          <w:rFonts w:ascii="Arial" w:hAnsi="Arial" w:cs="Arial"/>
        </w:rPr>
        <w:t xml:space="preserve">Radnu grupu činili su predstavnici Ministarstva pravde, Ministarstva unutrašnjih poslova, Vrhovnog suda Crne Gore, Vrhovnog državnog tužilaštva, Sudskog savjeta, Tužilačkog savjeta, Specijalnog državnog tužilaštva, Višeg suda u Podgorici, Osnovnog suda u Podgorici, Centra za obuku u sudstvu i državnom tužilaštvu, Advokatske komore Crne Gore, Ministarstva prosvjete, nauke i </w:t>
      </w:r>
      <w:r w:rsidR="006F7DBB" w:rsidRPr="0085657D">
        <w:rPr>
          <w:rFonts w:ascii="Arial" w:hAnsi="Arial" w:cs="Arial"/>
        </w:rPr>
        <w:t>inovacija</w:t>
      </w:r>
      <w:r w:rsidR="007142AA" w:rsidRPr="0085657D">
        <w:rPr>
          <w:rFonts w:ascii="Arial" w:hAnsi="Arial" w:cs="Arial"/>
        </w:rPr>
        <w:t xml:space="preserve">, </w:t>
      </w:r>
      <w:r w:rsidR="00564629" w:rsidRPr="0085657D">
        <w:rPr>
          <w:rFonts w:ascii="Arial" w:hAnsi="Arial" w:cs="Arial"/>
        </w:rPr>
        <w:t>Ministarstvo socijalnog staranja, brige o porodici i demografije</w:t>
      </w:r>
      <w:r w:rsidR="007142AA" w:rsidRPr="0085657D">
        <w:rPr>
          <w:rFonts w:ascii="Arial" w:hAnsi="Arial" w:cs="Arial"/>
        </w:rPr>
        <w:t xml:space="preserve">, Ministarstva zdravlja, Zaštitnika ljudskih prava i sloboda (Ombudsmana) i </w:t>
      </w:r>
      <w:r w:rsidR="00E232DA" w:rsidRPr="0085657D">
        <w:rPr>
          <w:rFonts w:ascii="Arial" w:hAnsi="Arial" w:cs="Arial"/>
        </w:rPr>
        <w:t xml:space="preserve">predstavnica NVO koja je uključena u </w:t>
      </w:r>
      <w:r w:rsidR="007142AA" w:rsidRPr="0085657D">
        <w:rPr>
          <w:rFonts w:ascii="Arial" w:hAnsi="Arial" w:cs="Arial"/>
        </w:rPr>
        <w:t>rad nakon javnog poziva.</w:t>
      </w:r>
    </w:p>
    <w:p w14:paraId="51C51141" w14:textId="3C13442D" w:rsidR="003F04BF" w:rsidRPr="0085657D" w:rsidRDefault="007142AA" w:rsidP="003F04BF">
      <w:pPr>
        <w:spacing w:line="276" w:lineRule="auto"/>
        <w:rPr>
          <w:rFonts w:ascii="Arial" w:hAnsi="Arial" w:cs="Arial"/>
          <w:shd w:val="clear" w:color="auto" w:fill="FFFFFF"/>
        </w:rPr>
      </w:pPr>
      <w:r w:rsidRPr="0085657D">
        <w:rPr>
          <w:rFonts w:ascii="Arial" w:hAnsi="Arial" w:cs="Arial"/>
        </w:rPr>
        <w:t>U izradu Strategije bili su uključeni</w:t>
      </w:r>
      <w:r w:rsidR="003F04BF" w:rsidRPr="0085657D">
        <w:rPr>
          <w:rFonts w:ascii="Arial" w:hAnsi="Arial" w:cs="Arial"/>
          <w:shd w:val="clear" w:color="auto" w:fill="FFFFFF"/>
        </w:rPr>
        <w:t xml:space="preserve"> i međunarodni akteri kroz čiju ekspertsku podršku je izrađen sam nacrt Strategije sa Akcionim planom, kao i analize koje su poslužile kao osnov za procjenu trenutnog stanja: Savjet Evrope (</w:t>
      </w:r>
      <w:r w:rsidR="003F04BF" w:rsidRPr="0085657D">
        <w:rPr>
          <w:rFonts w:ascii="Arial" w:hAnsi="Arial" w:cs="Arial"/>
          <w:i/>
          <w:iCs/>
          <w:shd w:val="clear" w:color="auto" w:fill="FFFFFF"/>
        </w:rPr>
        <w:t>Council of Europe</w:t>
      </w:r>
      <w:r w:rsidR="003F04BF" w:rsidRPr="0085657D">
        <w:rPr>
          <w:rFonts w:ascii="Arial" w:hAnsi="Arial" w:cs="Arial"/>
          <w:shd w:val="clear" w:color="auto" w:fill="FFFFFF"/>
        </w:rPr>
        <w:t>)</w:t>
      </w:r>
      <w:r w:rsidR="003F04BF" w:rsidRPr="0085657D">
        <w:rPr>
          <w:rStyle w:val="FootnoteReference"/>
          <w:rFonts w:ascii="Arial" w:hAnsi="Arial" w:cs="Arial"/>
          <w:shd w:val="clear" w:color="auto" w:fill="FFFFFF"/>
        </w:rPr>
        <w:footnoteReference w:id="30"/>
      </w:r>
      <w:r w:rsidR="003F04BF" w:rsidRPr="0085657D">
        <w:rPr>
          <w:rFonts w:ascii="Arial" w:hAnsi="Arial" w:cs="Arial"/>
          <w:shd w:val="clear" w:color="auto" w:fill="FFFFFF"/>
        </w:rPr>
        <w:t>,  Delegacija Evropske unije u Crno</w:t>
      </w:r>
      <w:r w:rsidR="00975E3C" w:rsidRPr="0085657D">
        <w:rPr>
          <w:rFonts w:ascii="Arial" w:hAnsi="Arial" w:cs="Arial"/>
          <w:shd w:val="clear" w:color="auto" w:fill="FFFFFF"/>
        </w:rPr>
        <w:t>j</w:t>
      </w:r>
      <w:r w:rsidR="003F04BF" w:rsidRPr="0085657D">
        <w:rPr>
          <w:rFonts w:ascii="Arial" w:hAnsi="Arial" w:cs="Arial"/>
          <w:shd w:val="clear" w:color="auto" w:fill="FFFFFF"/>
        </w:rPr>
        <w:t xml:space="preserve"> Gori (</w:t>
      </w:r>
      <w:r w:rsidR="003F04BF" w:rsidRPr="0085657D">
        <w:rPr>
          <w:rFonts w:ascii="Arial" w:hAnsi="Arial" w:cs="Arial"/>
          <w:i/>
          <w:iCs/>
          <w:shd w:val="clear" w:color="auto" w:fill="FFFFFF"/>
        </w:rPr>
        <w:t>EU Delegation to Montenegro</w:t>
      </w:r>
      <w:r w:rsidR="003F04BF" w:rsidRPr="0085657D">
        <w:rPr>
          <w:rFonts w:ascii="Arial" w:hAnsi="Arial" w:cs="Arial"/>
          <w:shd w:val="clear" w:color="auto" w:fill="FFFFFF"/>
        </w:rPr>
        <w:t>)</w:t>
      </w:r>
      <w:r w:rsidR="003F04BF" w:rsidRPr="0085657D">
        <w:rPr>
          <w:rStyle w:val="FootnoteReference"/>
          <w:rFonts w:ascii="Arial" w:hAnsi="Arial" w:cs="Arial"/>
          <w:shd w:val="clear" w:color="auto" w:fill="FFFFFF"/>
        </w:rPr>
        <w:footnoteReference w:id="31"/>
      </w:r>
      <w:r w:rsidR="003F04BF" w:rsidRPr="0085657D">
        <w:rPr>
          <w:rFonts w:ascii="Arial" w:hAnsi="Arial" w:cs="Arial"/>
          <w:shd w:val="clear" w:color="auto" w:fill="FFFFFF"/>
        </w:rPr>
        <w:t>, UN programa za razvoj (UNDP)</w:t>
      </w:r>
      <w:r w:rsidR="003F04BF" w:rsidRPr="0085657D">
        <w:rPr>
          <w:rStyle w:val="FootnoteReference"/>
          <w:rFonts w:ascii="Arial" w:hAnsi="Arial" w:cs="Arial"/>
          <w:shd w:val="clear" w:color="auto" w:fill="FFFFFF"/>
        </w:rPr>
        <w:footnoteReference w:id="32"/>
      </w:r>
      <w:r w:rsidR="003F04BF" w:rsidRPr="0085657D">
        <w:rPr>
          <w:rFonts w:ascii="Arial" w:hAnsi="Arial" w:cs="Arial"/>
          <w:shd w:val="clear" w:color="auto" w:fill="FFFFFF"/>
        </w:rPr>
        <w:t xml:space="preserve">, </w:t>
      </w:r>
      <w:r w:rsidR="00C57D79" w:rsidRPr="0085657D">
        <w:rPr>
          <w:rFonts w:ascii="Arial" w:hAnsi="Arial" w:cs="Arial"/>
          <w:shd w:val="clear" w:color="auto" w:fill="FFFFFF"/>
        </w:rPr>
        <w:t>UNICEF</w:t>
      </w:r>
      <w:r w:rsidR="008A1D8F" w:rsidRPr="0085657D">
        <w:rPr>
          <w:rFonts w:ascii="Arial" w:hAnsi="Arial" w:cs="Arial"/>
          <w:shd w:val="clear" w:color="auto" w:fill="FFFFFF"/>
        </w:rPr>
        <w:t xml:space="preserve"> kao i predstavnica civilnog društva</w:t>
      </w:r>
      <w:r w:rsidR="00A1109B" w:rsidRPr="0085657D">
        <w:rPr>
          <w:rFonts w:ascii="Arial" w:hAnsi="Arial" w:cs="Arial"/>
          <w:shd w:val="clear" w:color="auto" w:fill="FFFFFF"/>
        </w:rPr>
        <w:t>.</w:t>
      </w:r>
    </w:p>
    <w:p w14:paraId="2EEA31F5" w14:textId="254E35BA" w:rsidR="00E73236" w:rsidRPr="0085657D" w:rsidRDefault="003F04BF" w:rsidP="003F04BF">
      <w:pPr>
        <w:spacing w:line="276" w:lineRule="auto"/>
        <w:rPr>
          <w:rFonts w:ascii="Arial" w:hAnsi="Arial" w:cs="Arial"/>
          <w:shd w:val="clear" w:color="auto" w:fill="FFFFFF"/>
        </w:rPr>
      </w:pPr>
      <w:r w:rsidRPr="0085657D">
        <w:rPr>
          <w:rFonts w:ascii="Arial" w:hAnsi="Arial" w:cs="Arial"/>
          <w:shd w:val="clear" w:color="auto" w:fill="FFFFFF"/>
        </w:rPr>
        <w:t>Imajući ovo u vidu, analiza postojećeg stanja zasnovana je na podacima prikupljenim iz brojni</w:t>
      </w:r>
      <w:r w:rsidR="00975E3C" w:rsidRPr="0085657D">
        <w:rPr>
          <w:rFonts w:ascii="Arial" w:hAnsi="Arial" w:cs="Arial"/>
          <w:shd w:val="clear" w:color="auto" w:fill="FFFFFF"/>
        </w:rPr>
        <w:t>h</w:t>
      </w:r>
      <w:r w:rsidRPr="0085657D">
        <w:rPr>
          <w:rFonts w:ascii="Arial" w:hAnsi="Arial" w:cs="Arial"/>
          <w:shd w:val="clear" w:color="auto" w:fill="FFFFFF"/>
        </w:rPr>
        <w:t>, relevantnih izvora, koji su potom analizirani primjenom kvantitativnih i kvalitativnih metoda.</w:t>
      </w:r>
    </w:p>
    <w:p w14:paraId="49EBE9FE" w14:textId="77777777" w:rsidR="007512A6" w:rsidRDefault="007512A6" w:rsidP="00553A5A">
      <w:pPr>
        <w:spacing w:line="276" w:lineRule="auto"/>
        <w:rPr>
          <w:rFonts w:ascii="Arial" w:hAnsi="Arial" w:cs="Arial"/>
          <w:shd w:val="clear" w:color="auto" w:fill="FFFFFF"/>
        </w:rPr>
      </w:pPr>
    </w:p>
    <w:p w14:paraId="6F13F44F" w14:textId="77777777" w:rsidR="00DA03C1" w:rsidRDefault="00DA03C1" w:rsidP="00553A5A">
      <w:pPr>
        <w:spacing w:line="276" w:lineRule="auto"/>
        <w:rPr>
          <w:rFonts w:ascii="Arial" w:hAnsi="Arial" w:cs="Arial"/>
          <w:shd w:val="clear" w:color="auto" w:fill="FFFFFF"/>
        </w:rPr>
      </w:pPr>
    </w:p>
    <w:p w14:paraId="1CE52E6A" w14:textId="77777777" w:rsidR="00DA03C1" w:rsidRDefault="00DA03C1" w:rsidP="00553A5A">
      <w:pPr>
        <w:spacing w:line="276" w:lineRule="auto"/>
        <w:rPr>
          <w:rFonts w:ascii="Arial" w:hAnsi="Arial" w:cs="Arial"/>
          <w:shd w:val="clear" w:color="auto" w:fill="FFFFFF"/>
        </w:rPr>
      </w:pPr>
    </w:p>
    <w:p w14:paraId="698DFDB7" w14:textId="77777777" w:rsidR="00DA03C1" w:rsidRDefault="00DA03C1" w:rsidP="00553A5A">
      <w:pPr>
        <w:spacing w:line="276" w:lineRule="auto"/>
        <w:rPr>
          <w:rFonts w:ascii="Arial" w:hAnsi="Arial" w:cs="Arial"/>
          <w:shd w:val="clear" w:color="auto" w:fill="FFFFFF"/>
        </w:rPr>
      </w:pPr>
    </w:p>
    <w:p w14:paraId="6C181ACD" w14:textId="77777777" w:rsidR="00DA03C1" w:rsidRDefault="00DA03C1" w:rsidP="00553A5A">
      <w:pPr>
        <w:spacing w:line="276" w:lineRule="auto"/>
        <w:rPr>
          <w:rFonts w:ascii="Arial" w:hAnsi="Arial" w:cs="Arial"/>
          <w:shd w:val="clear" w:color="auto" w:fill="FFFFFF"/>
        </w:rPr>
      </w:pPr>
    </w:p>
    <w:p w14:paraId="698B5779" w14:textId="074B3AB6" w:rsidR="003F04BF" w:rsidRPr="0085657D" w:rsidRDefault="00975784" w:rsidP="00553A5A">
      <w:pPr>
        <w:spacing w:line="276" w:lineRule="auto"/>
        <w:rPr>
          <w:rFonts w:ascii="Arial" w:hAnsi="Arial" w:cs="Arial"/>
          <w:shd w:val="clear" w:color="auto" w:fill="FFFFFF"/>
        </w:rPr>
      </w:pPr>
      <w:r w:rsidRPr="0085657D">
        <w:rPr>
          <w:rFonts w:ascii="Arial" w:hAnsi="Arial" w:cs="Arial"/>
          <w:shd w:val="clear" w:color="auto" w:fill="FFFFFF"/>
        </w:rPr>
        <w:lastRenderedPageBreak/>
        <w:t>Grafikon</w:t>
      </w:r>
      <w:r w:rsidR="00585909" w:rsidRPr="0085657D">
        <w:rPr>
          <w:rFonts w:ascii="Arial" w:hAnsi="Arial" w:cs="Arial"/>
          <w:shd w:val="clear" w:color="auto" w:fill="FFFFFF"/>
        </w:rPr>
        <w:t xml:space="preserve"> </w:t>
      </w:r>
      <w:r w:rsidR="00601BFC" w:rsidRPr="0085657D">
        <w:rPr>
          <w:rFonts w:ascii="Arial" w:hAnsi="Arial" w:cs="Arial"/>
          <w:shd w:val="clear" w:color="auto" w:fill="FFFFFF"/>
        </w:rPr>
        <w:t>2</w:t>
      </w:r>
      <w:r w:rsidR="00585909" w:rsidRPr="0085657D">
        <w:rPr>
          <w:rFonts w:ascii="Arial" w:hAnsi="Arial" w:cs="Arial"/>
          <w:shd w:val="clear" w:color="auto" w:fill="FFFFFF"/>
        </w:rPr>
        <w:t>: Izvori podataka za potrebe izrade Strategije</w:t>
      </w:r>
    </w:p>
    <w:p w14:paraId="21A7A423" w14:textId="77777777" w:rsidR="00B21F8F" w:rsidRPr="0085657D" w:rsidRDefault="00B21F8F" w:rsidP="00B21F8F">
      <w:pPr>
        <w:rPr>
          <w:rFonts w:ascii="Arial" w:hAnsi="Arial" w:cs="Arial"/>
          <w:lang w:eastAsia="en-GB"/>
        </w:rPr>
      </w:pPr>
      <w:r w:rsidRPr="0085657D">
        <w:rPr>
          <w:rFonts w:ascii="Arial" w:hAnsi="Arial" w:cs="Arial"/>
          <w:noProof/>
          <w:lang w:val="en-US"/>
          <w14:ligatures w14:val="standardContextual"/>
        </w:rPr>
        <w:drawing>
          <wp:inline distT="0" distB="0" distL="0" distR="0" wp14:anchorId="2D9BF939" wp14:editId="3A9975B7">
            <wp:extent cx="5486400" cy="3200400"/>
            <wp:effectExtent l="0" t="0" r="0" b="19050"/>
            <wp:docPr id="137881727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508AC3" w14:textId="77777777" w:rsidR="00A53024" w:rsidRPr="0085657D" w:rsidRDefault="00A53024" w:rsidP="00A53024">
      <w:pPr>
        <w:pStyle w:val="ListParagraph"/>
        <w:spacing w:after="120" w:line="276" w:lineRule="auto"/>
        <w:ind w:left="714"/>
        <w:contextualSpacing w:val="0"/>
        <w:rPr>
          <w:rFonts w:ascii="Arial" w:hAnsi="Arial" w:cs="Arial"/>
        </w:rPr>
      </w:pPr>
    </w:p>
    <w:p w14:paraId="27E82F96" w14:textId="7E5D2C50" w:rsidR="003F04BF" w:rsidRPr="0085657D" w:rsidRDefault="003F04BF" w:rsidP="00975E3C">
      <w:pPr>
        <w:spacing w:after="0" w:line="276" w:lineRule="auto"/>
        <w:rPr>
          <w:rFonts w:ascii="Arial" w:hAnsi="Arial" w:cs="Arial"/>
          <w:shd w:val="clear" w:color="auto" w:fill="FFFFFF"/>
        </w:rPr>
      </w:pPr>
      <w:r w:rsidRPr="0085657D">
        <w:rPr>
          <w:rFonts w:ascii="Arial" w:hAnsi="Arial" w:cs="Arial"/>
          <w:shd w:val="clear" w:color="auto" w:fill="FFFFFF"/>
        </w:rPr>
        <w:t xml:space="preserve">Za realizaciju </w:t>
      </w:r>
      <w:r w:rsidR="00BE098E" w:rsidRPr="0085657D">
        <w:rPr>
          <w:rFonts w:ascii="Arial" w:hAnsi="Arial" w:cs="Arial"/>
          <w:shd w:val="clear" w:color="auto" w:fill="FFFFFF"/>
        </w:rPr>
        <w:t xml:space="preserve">Strategije, odnosno </w:t>
      </w:r>
      <w:r w:rsidRPr="0085657D">
        <w:rPr>
          <w:rFonts w:ascii="Arial" w:hAnsi="Arial" w:cs="Arial"/>
          <w:shd w:val="clear" w:color="auto" w:fill="FFFFFF"/>
        </w:rPr>
        <w:t xml:space="preserve">aktivnosti iz Akcionog plana predviđena su partnerstva na svim nivoima, a prije svega na nivou institucija, naučne zajednice i nevladinog sektora, jer se samo sinergijom, kao i sveobuhvatnim umrežavanjem velikog broja </w:t>
      </w:r>
      <w:r w:rsidR="00C57D79" w:rsidRPr="0085657D">
        <w:rPr>
          <w:rFonts w:ascii="Arial" w:hAnsi="Arial" w:cs="Arial"/>
          <w:shd w:val="clear" w:color="auto" w:fill="FFFFFF"/>
        </w:rPr>
        <w:t>zainteresovanih strana</w:t>
      </w:r>
      <w:r w:rsidR="00975E3C" w:rsidRPr="0085657D">
        <w:rPr>
          <w:rFonts w:ascii="Arial" w:hAnsi="Arial" w:cs="Arial"/>
          <w:shd w:val="clear" w:color="auto" w:fill="FFFFFF"/>
        </w:rPr>
        <w:t>, relevanatnih institucija/organizacija</w:t>
      </w:r>
      <w:r w:rsidRPr="0085657D">
        <w:rPr>
          <w:rFonts w:ascii="Arial" w:hAnsi="Arial" w:cs="Arial"/>
          <w:shd w:val="clear" w:color="auto" w:fill="FFFFFF"/>
        </w:rPr>
        <w:t xml:space="preserve">, može sveobuhvatno djelovati na unapređenje položaja žrtava. </w:t>
      </w:r>
    </w:p>
    <w:p w14:paraId="117651AE" w14:textId="77777777" w:rsidR="00601BFC" w:rsidRPr="0085657D" w:rsidRDefault="00601BFC" w:rsidP="00F745C8">
      <w:pPr>
        <w:spacing w:after="120" w:line="276" w:lineRule="auto"/>
        <w:rPr>
          <w:rFonts w:ascii="Arial" w:hAnsi="Arial" w:cs="Arial"/>
          <w:shd w:val="clear" w:color="auto" w:fill="FFFFFF"/>
        </w:rPr>
      </w:pPr>
    </w:p>
    <w:p w14:paraId="03283EEE" w14:textId="77777777" w:rsidR="00A53024" w:rsidRPr="0085657D" w:rsidRDefault="00A53024" w:rsidP="00595DE2">
      <w:pPr>
        <w:pStyle w:val="Heading2"/>
        <w:numPr>
          <w:ilvl w:val="1"/>
          <w:numId w:val="5"/>
        </w:numPr>
        <w:spacing w:after="120"/>
        <w:ind w:left="714" w:hanging="357"/>
        <w:rPr>
          <w:rFonts w:ascii="Arial" w:hAnsi="Arial" w:cs="Arial"/>
          <w:sz w:val="22"/>
          <w:szCs w:val="22"/>
        </w:rPr>
      </w:pPr>
      <w:bookmarkStart w:id="20" w:name="_Toc208489175"/>
      <w:r w:rsidRPr="0085657D">
        <w:rPr>
          <w:rFonts w:ascii="Arial" w:hAnsi="Arial" w:cs="Arial"/>
          <w:sz w:val="22"/>
          <w:szCs w:val="22"/>
        </w:rPr>
        <w:t>Opšta slika</w:t>
      </w:r>
      <w:r w:rsidR="00F745C8" w:rsidRPr="0085657D">
        <w:rPr>
          <w:rFonts w:ascii="Arial" w:hAnsi="Arial" w:cs="Arial"/>
          <w:sz w:val="22"/>
          <w:szCs w:val="22"/>
        </w:rPr>
        <w:t xml:space="preserve"> o stanju prava žrtava u Crnoj Gori</w:t>
      </w:r>
      <w:bookmarkEnd w:id="20"/>
    </w:p>
    <w:p w14:paraId="3A02E536" w14:textId="77777777" w:rsidR="00B479AB" w:rsidRPr="0085657D" w:rsidRDefault="00B479AB" w:rsidP="00E37F4F">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Crnoj Gori nedostaje harmonizovan i sveobuhvatan pristup u zaštiti prava žrtava. Strateški okvir je rasparčan kroz veliki broj strategija, programa i akcionih planova koji se bave ili samo određenim krugom prava žrtava ili, što je mnogo češći slučaj, samo određenim kategorijama žrtava. Ovo rezultira međusobnom neusklađenošću postojećih strateških dokumenata, kao i postojanjem praznina i preklapanja u pravnom režimu i pristupu nadležnih institucija pitanju prava žrtava. </w:t>
      </w:r>
    </w:p>
    <w:p w14:paraId="1C201DAA" w14:textId="75EFEF3A" w:rsidR="00032167" w:rsidRPr="0085657D" w:rsidRDefault="00032167" w:rsidP="0002714A">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Iako u nešto manjoj mjeri nego kada je riječ o strateškom okviru, postojeće stanje utiče i na </w:t>
      </w:r>
      <w:r w:rsidRPr="0085657D">
        <w:rPr>
          <w:rFonts w:ascii="Arial" w:hAnsi="Arial" w:cs="Arial"/>
          <w:b/>
          <w:bCs/>
          <w:color w:val="000000"/>
        </w:rPr>
        <w:t>normativni okvir</w:t>
      </w:r>
      <w:r w:rsidRPr="0085657D">
        <w:rPr>
          <w:rFonts w:ascii="Arial" w:hAnsi="Arial" w:cs="Arial"/>
          <w:color w:val="000000"/>
        </w:rPr>
        <w:t xml:space="preserve">, koji još uvijek nije u potpunosti usklađen sa relevantnim standardima. </w:t>
      </w:r>
      <w:r w:rsidR="00BC2773" w:rsidRPr="00553A5A">
        <w:rPr>
          <w:rFonts w:ascii="Arial" w:hAnsi="Arial" w:cs="Arial"/>
          <w:color w:val="000000"/>
        </w:rPr>
        <w:t>Pojam žrtve definisan je u materijalnom krivičnom zakonodavstvu na način što je u Krivičnom zakoniku Crne Gore</w:t>
      </w:r>
      <w:r w:rsidR="00777950">
        <w:rPr>
          <w:rFonts w:ascii="Arial" w:hAnsi="Arial" w:cs="Arial"/>
          <w:color w:val="000000"/>
        </w:rPr>
        <w:t>,</w:t>
      </w:r>
      <w:r w:rsidR="00BC2773" w:rsidRPr="00553A5A">
        <w:rPr>
          <w:rFonts w:ascii="Arial" w:hAnsi="Arial" w:cs="Arial"/>
          <w:color w:val="000000"/>
        </w:rPr>
        <w:t xml:space="preserve"> u članu 142</w:t>
      </w:r>
      <w:r w:rsidR="00777950">
        <w:rPr>
          <w:rFonts w:ascii="Arial" w:hAnsi="Arial" w:cs="Arial"/>
          <w:color w:val="000000"/>
        </w:rPr>
        <w:t>,</w:t>
      </w:r>
      <w:r w:rsidR="00BC2773" w:rsidRPr="00553A5A">
        <w:rPr>
          <w:rFonts w:ascii="Arial" w:hAnsi="Arial" w:cs="Arial"/>
          <w:color w:val="000000"/>
        </w:rPr>
        <w:t xml:space="preserve"> propisano da je žrtva lice kome je protivpravnim djelom koje je u zakonu propisano kao krivično djelo prouzrokovan fizički ili duševni bol ili patnja, imovinska šteta ili povreda ljudskih prava i sloboda, </w:t>
      </w:r>
      <w:r w:rsidR="00451AF9" w:rsidRPr="00553A5A">
        <w:rPr>
          <w:rFonts w:ascii="Arial" w:hAnsi="Arial" w:cs="Arial"/>
          <w:color w:val="000000"/>
        </w:rPr>
        <w:t>dok Zakonik u krivičnom postupku sadrži samo definiciju oštećenog.</w:t>
      </w:r>
      <w:r w:rsidR="0025538D">
        <w:rPr>
          <w:rFonts w:ascii="Arial" w:hAnsi="Arial" w:cs="Arial"/>
          <w:color w:val="000000"/>
        </w:rPr>
        <w:t xml:space="preserve"> </w:t>
      </w:r>
      <w:r w:rsidR="00451AF9">
        <w:rPr>
          <w:rFonts w:ascii="Arial" w:hAnsi="Arial" w:cs="Arial"/>
          <w:color w:val="000000"/>
        </w:rPr>
        <w:t>Kako</w:t>
      </w:r>
      <w:r w:rsidR="00777950">
        <w:rPr>
          <w:rFonts w:ascii="Arial" w:hAnsi="Arial" w:cs="Arial"/>
          <w:color w:val="000000"/>
        </w:rPr>
        <w:t xml:space="preserve"> u okviru</w:t>
      </w:r>
      <w:r w:rsidR="00451AF9">
        <w:rPr>
          <w:rFonts w:ascii="Arial" w:hAnsi="Arial" w:cs="Arial"/>
          <w:color w:val="000000"/>
        </w:rPr>
        <w:t xml:space="preserve"> postojeć</w:t>
      </w:r>
      <w:r w:rsidR="00777950">
        <w:rPr>
          <w:rFonts w:ascii="Arial" w:hAnsi="Arial" w:cs="Arial"/>
          <w:color w:val="000000"/>
        </w:rPr>
        <w:t>ih</w:t>
      </w:r>
      <w:r w:rsidR="00451AF9">
        <w:rPr>
          <w:rFonts w:ascii="Arial" w:hAnsi="Arial" w:cs="Arial"/>
          <w:color w:val="000000"/>
        </w:rPr>
        <w:t xml:space="preserve"> definicij</w:t>
      </w:r>
      <w:r w:rsidR="00777950">
        <w:rPr>
          <w:rFonts w:ascii="Arial" w:hAnsi="Arial" w:cs="Arial"/>
          <w:color w:val="000000"/>
        </w:rPr>
        <w:t>a</w:t>
      </w:r>
      <w:r w:rsidR="00451AF9">
        <w:rPr>
          <w:rFonts w:ascii="Arial" w:hAnsi="Arial" w:cs="Arial"/>
          <w:color w:val="000000"/>
        </w:rPr>
        <w:t xml:space="preserve"> </w:t>
      </w:r>
      <w:r w:rsidR="00777950">
        <w:rPr>
          <w:rFonts w:ascii="Arial" w:hAnsi="Arial" w:cs="Arial"/>
          <w:color w:val="000000"/>
        </w:rPr>
        <w:t xml:space="preserve">ne postoji potpuna usklađenost </w:t>
      </w:r>
      <w:r w:rsidR="00451AF9">
        <w:rPr>
          <w:rFonts w:ascii="Arial" w:hAnsi="Arial" w:cs="Arial"/>
          <w:color w:val="000000"/>
        </w:rPr>
        <w:t>sa Direktivom 2012/029/EU,</w:t>
      </w:r>
      <w:r w:rsidR="00777950">
        <w:rPr>
          <w:rFonts w:ascii="Arial" w:hAnsi="Arial" w:cs="Arial"/>
          <w:color w:val="000000"/>
        </w:rPr>
        <w:t xml:space="preserve"> </w:t>
      </w:r>
      <w:r w:rsidRPr="0085657D">
        <w:rPr>
          <w:rFonts w:ascii="Arial" w:hAnsi="Arial" w:cs="Arial"/>
          <w:color w:val="000000"/>
        </w:rPr>
        <w:t>prava žrtava i način njihovog ostvarivanja ni</w:t>
      </w:r>
      <w:r w:rsidR="00451AF9">
        <w:rPr>
          <w:rFonts w:ascii="Arial" w:hAnsi="Arial" w:cs="Arial"/>
          <w:color w:val="000000"/>
        </w:rPr>
        <w:t>je</w:t>
      </w:r>
      <w:r w:rsidRPr="0085657D">
        <w:rPr>
          <w:rFonts w:ascii="Arial" w:hAnsi="Arial" w:cs="Arial"/>
          <w:color w:val="000000"/>
        </w:rPr>
        <w:t xml:space="preserve"> regulisan na sveobuhvatan i jasan način.</w:t>
      </w:r>
    </w:p>
    <w:p w14:paraId="7D13E135" w14:textId="3816B729" w:rsidR="00C47459" w:rsidRDefault="0094488B" w:rsidP="0002714A">
      <w:pPr>
        <w:autoSpaceDE w:val="0"/>
        <w:autoSpaceDN w:val="0"/>
        <w:adjustRightInd w:val="0"/>
        <w:spacing w:line="276" w:lineRule="auto"/>
        <w:rPr>
          <w:rFonts w:ascii="Arial" w:hAnsi="Arial" w:cs="Arial"/>
        </w:rPr>
      </w:pPr>
      <w:r w:rsidRPr="0085657D">
        <w:rPr>
          <w:rFonts w:ascii="Arial" w:hAnsi="Arial" w:cs="Arial"/>
          <w:b/>
          <w:bCs/>
        </w:rPr>
        <w:lastRenderedPageBreak/>
        <w:t>Pravo na informisanje žrtava</w:t>
      </w:r>
      <w:r w:rsidRPr="0085657D">
        <w:rPr>
          <w:rFonts w:ascii="Arial" w:hAnsi="Arial" w:cs="Arial"/>
        </w:rPr>
        <w:t xml:space="preserve"> u Crnoj Gori </w:t>
      </w:r>
      <w:r w:rsidR="00777950" w:rsidRPr="0085657D">
        <w:rPr>
          <w:rFonts w:ascii="Arial" w:hAnsi="Arial" w:cs="Arial"/>
        </w:rPr>
        <w:t xml:space="preserve">se do sada nije ostvarivalo </w:t>
      </w:r>
      <w:r w:rsidRPr="0085657D">
        <w:rPr>
          <w:rFonts w:ascii="Arial" w:hAnsi="Arial" w:cs="Arial"/>
        </w:rPr>
        <w:t xml:space="preserve">na način predviđen Direktivom, djelimično zbog nedostataka normativnog okvira, a u većoj mjeri zbog manjka standardizacije postupanja u tom pogledu. </w:t>
      </w:r>
    </w:p>
    <w:p w14:paraId="171ED375" w14:textId="34FA3018" w:rsidR="0094488B" w:rsidRPr="0085657D" w:rsidRDefault="0094488B" w:rsidP="0002714A">
      <w:pPr>
        <w:autoSpaceDE w:val="0"/>
        <w:autoSpaceDN w:val="0"/>
        <w:adjustRightInd w:val="0"/>
        <w:spacing w:line="276" w:lineRule="auto"/>
        <w:rPr>
          <w:rFonts w:ascii="Arial" w:hAnsi="Arial" w:cs="Arial"/>
        </w:rPr>
      </w:pPr>
      <w:r w:rsidRPr="0085657D">
        <w:rPr>
          <w:rFonts w:ascii="Arial" w:hAnsi="Arial" w:cs="Arial"/>
        </w:rPr>
        <w:t>Aktivnosti usmjerene na informisanje žrtava o njihovim pravima uglavnom su se odnosile na pojedinačne kategorije žrtava, i/ili na pojedinačna prava koja im pripadaju.</w:t>
      </w:r>
    </w:p>
    <w:p w14:paraId="14A2FB09" w14:textId="70AEE72F" w:rsidR="00E834FA" w:rsidRPr="0085657D" w:rsidRDefault="00D903F2" w:rsidP="00D903F2">
      <w:pPr>
        <w:autoSpaceDE w:val="0"/>
        <w:autoSpaceDN w:val="0"/>
        <w:adjustRightInd w:val="0"/>
        <w:spacing w:line="276" w:lineRule="auto"/>
        <w:rPr>
          <w:rFonts w:ascii="Arial" w:hAnsi="Arial" w:cs="Arial"/>
          <w:color w:val="000000"/>
        </w:rPr>
      </w:pPr>
      <w:bookmarkStart w:id="21" w:name="_Hlk196470894"/>
      <w:r w:rsidRPr="0085657D">
        <w:rPr>
          <w:rFonts w:ascii="Arial" w:hAnsi="Arial" w:cs="Arial"/>
          <w:color w:val="000000"/>
          <w:lang w:val="en-GB"/>
        </w:rPr>
        <w:t>Kada</w:t>
      </w:r>
      <w:r w:rsidRPr="0085657D">
        <w:rPr>
          <w:rFonts w:ascii="Arial" w:hAnsi="Arial" w:cs="Arial"/>
          <w:color w:val="000000"/>
        </w:rPr>
        <w:t xml:space="preserve"> </w:t>
      </w:r>
      <w:r w:rsidRPr="0085657D">
        <w:rPr>
          <w:rFonts w:ascii="Arial" w:hAnsi="Arial" w:cs="Arial"/>
          <w:color w:val="000000"/>
          <w:lang w:val="en-GB"/>
        </w:rPr>
        <w:t>je</w:t>
      </w:r>
      <w:r w:rsidRPr="0085657D">
        <w:rPr>
          <w:rFonts w:ascii="Arial" w:hAnsi="Arial" w:cs="Arial"/>
          <w:color w:val="000000"/>
        </w:rPr>
        <w:t xml:space="preserve"> </w:t>
      </w:r>
      <w:r w:rsidRPr="0085657D">
        <w:rPr>
          <w:rFonts w:ascii="Arial" w:hAnsi="Arial" w:cs="Arial"/>
          <w:color w:val="000000"/>
          <w:lang w:val="en-GB"/>
        </w:rPr>
        <w:t>rije</w:t>
      </w:r>
      <w:r w:rsidRPr="0085657D">
        <w:rPr>
          <w:rFonts w:ascii="Arial" w:hAnsi="Arial" w:cs="Arial"/>
          <w:color w:val="000000"/>
        </w:rPr>
        <w:t xml:space="preserve">č </w:t>
      </w:r>
      <w:r w:rsidRPr="0085657D">
        <w:rPr>
          <w:rFonts w:ascii="Arial" w:hAnsi="Arial" w:cs="Arial"/>
          <w:color w:val="000000"/>
          <w:lang w:val="en-GB"/>
        </w:rPr>
        <w:t>o</w:t>
      </w:r>
      <w:r w:rsidRPr="0085657D">
        <w:rPr>
          <w:rFonts w:ascii="Arial" w:hAnsi="Arial" w:cs="Arial"/>
          <w:color w:val="000000"/>
        </w:rPr>
        <w:t xml:space="preserve"> </w:t>
      </w:r>
      <w:r w:rsidRPr="0085657D">
        <w:rPr>
          <w:rFonts w:ascii="Arial" w:hAnsi="Arial" w:cs="Arial"/>
          <w:b/>
          <w:bCs/>
          <w:color w:val="000000"/>
          <w:lang w:val="en-GB"/>
        </w:rPr>
        <w:t>pravu</w:t>
      </w:r>
      <w:r w:rsidRPr="0085657D">
        <w:rPr>
          <w:rFonts w:ascii="Arial" w:hAnsi="Arial" w:cs="Arial"/>
          <w:b/>
          <w:bCs/>
          <w:color w:val="000000"/>
        </w:rPr>
        <w:t xml:space="preserve"> ž</w:t>
      </w:r>
      <w:r w:rsidRPr="0085657D">
        <w:rPr>
          <w:rFonts w:ascii="Arial" w:hAnsi="Arial" w:cs="Arial"/>
          <w:b/>
          <w:bCs/>
          <w:color w:val="000000"/>
          <w:lang w:val="en-GB"/>
        </w:rPr>
        <w:t>rtava</w:t>
      </w:r>
      <w:r w:rsidRPr="0085657D">
        <w:rPr>
          <w:rFonts w:ascii="Arial" w:hAnsi="Arial" w:cs="Arial"/>
          <w:b/>
          <w:bCs/>
          <w:color w:val="000000"/>
        </w:rPr>
        <w:t xml:space="preserve"> </w:t>
      </w:r>
      <w:r w:rsidRPr="0085657D">
        <w:rPr>
          <w:rFonts w:ascii="Arial" w:hAnsi="Arial" w:cs="Arial"/>
          <w:b/>
          <w:bCs/>
          <w:color w:val="000000"/>
          <w:lang w:val="en-GB"/>
        </w:rPr>
        <w:t>na</w:t>
      </w:r>
      <w:r w:rsidRPr="0085657D">
        <w:rPr>
          <w:rFonts w:ascii="Arial" w:hAnsi="Arial" w:cs="Arial"/>
          <w:b/>
          <w:bCs/>
          <w:color w:val="000000"/>
        </w:rPr>
        <w:t xml:space="preserve"> </w:t>
      </w:r>
      <w:r w:rsidRPr="0085657D">
        <w:rPr>
          <w:rFonts w:ascii="Arial" w:hAnsi="Arial" w:cs="Arial"/>
          <w:b/>
          <w:bCs/>
          <w:color w:val="000000"/>
          <w:lang w:val="en-GB"/>
        </w:rPr>
        <w:t>podr</w:t>
      </w:r>
      <w:r w:rsidRPr="0085657D">
        <w:rPr>
          <w:rFonts w:ascii="Arial" w:hAnsi="Arial" w:cs="Arial"/>
          <w:b/>
          <w:bCs/>
          <w:color w:val="000000"/>
        </w:rPr>
        <w:t>š</w:t>
      </w:r>
      <w:r w:rsidRPr="0085657D">
        <w:rPr>
          <w:rFonts w:ascii="Arial" w:hAnsi="Arial" w:cs="Arial"/>
          <w:b/>
          <w:bCs/>
          <w:color w:val="000000"/>
          <w:lang w:val="en-GB"/>
        </w:rPr>
        <w:t>ku</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Crnoj</w:t>
      </w:r>
      <w:r w:rsidRPr="0085657D">
        <w:rPr>
          <w:rFonts w:ascii="Arial" w:hAnsi="Arial" w:cs="Arial"/>
          <w:color w:val="000000"/>
        </w:rPr>
        <w:t xml:space="preserve"> </w:t>
      </w:r>
      <w:r w:rsidRPr="0085657D">
        <w:rPr>
          <w:rFonts w:ascii="Arial" w:hAnsi="Arial" w:cs="Arial"/>
          <w:color w:val="000000"/>
          <w:lang w:val="en-GB"/>
        </w:rPr>
        <w:t>Gori</w:t>
      </w:r>
      <w:r w:rsidRPr="0085657D">
        <w:rPr>
          <w:rFonts w:ascii="Arial" w:hAnsi="Arial" w:cs="Arial"/>
          <w:color w:val="000000"/>
        </w:rPr>
        <w:t xml:space="preserve"> </w:t>
      </w:r>
      <w:r w:rsidRPr="0085657D">
        <w:rPr>
          <w:rFonts w:ascii="Arial" w:hAnsi="Arial" w:cs="Arial"/>
          <w:color w:val="000000"/>
          <w:lang w:val="en-GB"/>
        </w:rPr>
        <w:t>trenutno</w:t>
      </w:r>
      <w:r w:rsidRPr="0085657D">
        <w:rPr>
          <w:rFonts w:ascii="Arial" w:hAnsi="Arial" w:cs="Arial"/>
          <w:color w:val="000000"/>
        </w:rPr>
        <w:t xml:space="preserve"> </w:t>
      </w:r>
      <w:r w:rsidRPr="0085657D">
        <w:rPr>
          <w:rFonts w:ascii="Arial" w:hAnsi="Arial" w:cs="Arial"/>
          <w:color w:val="000000"/>
          <w:lang w:val="en-GB"/>
        </w:rPr>
        <w:t>funkcioni</w:t>
      </w:r>
      <w:r w:rsidRPr="0085657D">
        <w:rPr>
          <w:rFonts w:ascii="Arial" w:hAnsi="Arial" w:cs="Arial"/>
          <w:color w:val="000000"/>
        </w:rPr>
        <w:t>š</w:t>
      </w:r>
      <w:r w:rsidRPr="0085657D">
        <w:rPr>
          <w:rFonts w:ascii="Arial" w:hAnsi="Arial" w:cs="Arial"/>
          <w:color w:val="000000"/>
          <w:lang w:val="en-GB"/>
        </w:rPr>
        <w:t>e</w:t>
      </w:r>
      <w:r w:rsidRPr="0085657D">
        <w:rPr>
          <w:rFonts w:ascii="Arial" w:hAnsi="Arial" w:cs="Arial"/>
          <w:color w:val="000000"/>
        </w:rPr>
        <w:t xml:space="preserve"> </w:t>
      </w:r>
      <w:r w:rsidRPr="0085657D">
        <w:rPr>
          <w:rFonts w:ascii="Arial" w:hAnsi="Arial" w:cs="Arial"/>
          <w:color w:val="000000"/>
          <w:lang w:val="en-GB"/>
        </w:rPr>
        <w:t>vi</w:t>
      </w:r>
      <w:r w:rsidRPr="0085657D">
        <w:rPr>
          <w:rFonts w:ascii="Arial" w:hAnsi="Arial" w:cs="Arial"/>
          <w:color w:val="000000"/>
        </w:rPr>
        <w:t>š</w:t>
      </w:r>
      <w:r w:rsidRPr="0085657D">
        <w:rPr>
          <w:rFonts w:ascii="Arial" w:hAnsi="Arial" w:cs="Arial"/>
          <w:color w:val="000000"/>
          <w:lang w:val="en-GB"/>
        </w:rPr>
        <w:t>e</w:t>
      </w:r>
      <w:r w:rsidRPr="0085657D">
        <w:rPr>
          <w:rFonts w:ascii="Arial" w:hAnsi="Arial" w:cs="Arial"/>
          <w:color w:val="000000"/>
        </w:rPr>
        <w:t xml:space="preserve"> </w:t>
      </w:r>
      <w:r w:rsidRPr="0085657D">
        <w:rPr>
          <w:rFonts w:ascii="Arial" w:hAnsi="Arial" w:cs="Arial"/>
          <w:color w:val="000000"/>
          <w:lang w:val="en-GB"/>
        </w:rPr>
        <w:t>razli</w:t>
      </w:r>
      <w:r w:rsidRPr="0085657D">
        <w:rPr>
          <w:rFonts w:ascii="Arial" w:hAnsi="Arial" w:cs="Arial"/>
          <w:color w:val="000000"/>
        </w:rPr>
        <w:t>č</w:t>
      </w:r>
      <w:r w:rsidRPr="0085657D">
        <w:rPr>
          <w:rFonts w:ascii="Arial" w:hAnsi="Arial" w:cs="Arial"/>
          <w:color w:val="000000"/>
          <w:lang w:val="en-GB"/>
        </w:rPr>
        <w:t>itih</w:t>
      </w:r>
      <w:r w:rsidRPr="0085657D">
        <w:rPr>
          <w:rFonts w:ascii="Arial" w:hAnsi="Arial" w:cs="Arial"/>
          <w:color w:val="000000"/>
        </w:rPr>
        <w:t xml:space="preserve"> „</w:t>
      </w:r>
      <w:r w:rsidRPr="0085657D">
        <w:rPr>
          <w:rFonts w:ascii="Arial" w:hAnsi="Arial" w:cs="Arial"/>
          <w:color w:val="000000"/>
          <w:lang w:val="en-GB"/>
        </w:rPr>
        <w:t>slu</w:t>
      </w:r>
      <w:r w:rsidRPr="0085657D">
        <w:rPr>
          <w:rFonts w:ascii="Arial" w:hAnsi="Arial" w:cs="Arial"/>
          <w:color w:val="000000"/>
        </w:rPr>
        <w:t>ž</w:t>
      </w:r>
      <w:r w:rsidRPr="0085657D">
        <w:rPr>
          <w:rFonts w:ascii="Arial" w:hAnsi="Arial" w:cs="Arial"/>
          <w:color w:val="000000"/>
          <w:lang w:val="en-GB"/>
        </w:rPr>
        <w:t>bi</w:t>
      </w:r>
      <w:r w:rsidRPr="0085657D">
        <w:rPr>
          <w:rFonts w:ascii="Arial" w:hAnsi="Arial" w:cs="Arial"/>
          <w:color w:val="000000"/>
        </w:rPr>
        <w:t xml:space="preserve">” </w:t>
      </w:r>
      <w:r w:rsidRPr="0085657D">
        <w:rPr>
          <w:rFonts w:ascii="Arial" w:hAnsi="Arial" w:cs="Arial"/>
          <w:color w:val="000000"/>
          <w:lang w:val="en-GB"/>
        </w:rPr>
        <w:t>koje</w:t>
      </w:r>
      <w:r w:rsidRPr="0085657D">
        <w:rPr>
          <w:rFonts w:ascii="Arial" w:hAnsi="Arial" w:cs="Arial"/>
          <w:color w:val="000000"/>
        </w:rPr>
        <w:t xml:space="preserve"> </w:t>
      </w:r>
      <w:r w:rsidRPr="0085657D">
        <w:rPr>
          <w:rFonts w:ascii="Arial" w:hAnsi="Arial" w:cs="Arial"/>
          <w:color w:val="000000"/>
          <w:lang w:val="en-GB"/>
        </w:rPr>
        <w:t>pru</w:t>
      </w:r>
      <w:r w:rsidRPr="0085657D">
        <w:rPr>
          <w:rFonts w:ascii="Arial" w:hAnsi="Arial" w:cs="Arial"/>
          <w:color w:val="000000"/>
        </w:rPr>
        <w:t>ž</w:t>
      </w:r>
      <w:r w:rsidRPr="0085657D">
        <w:rPr>
          <w:rFonts w:ascii="Arial" w:hAnsi="Arial" w:cs="Arial"/>
          <w:color w:val="000000"/>
          <w:lang w:val="en-GB"/>
        </w:rPr>
        <w:t>aju</w:t>
      </w:r>
      <w:r w:rsidRPr="0085657D">
        <w:rPr>
          <w:rFonts w:ascii="Arial" w:hAnsi="Arial" w:cs="Arial"/>
          <w:color w:val="000000"/>
        </w:rPr>
        <w:t xml:space="preserve"> </w:t>
      </w:r>
      <w:r w:rsidRPr="0085657D">
        <w:rPr>
          <w:rFonts w:ascii="Arial" w:hAnsi="Arial" w:cs="Arial"/>
          <w:color w:val="000000"/>
          <w:lang w:val="en-GB"/>
        </w:rPr>
        <w:t>pomo</w:t>
      </w:r>
      <w:r w:rsidRPr="0085657D">
        <w:rPr>
          <w:rFonts w:ascii="Arial" w:hAnsi="Arial" w:cs="Arial"/>
          <w:color w:val="000000"/>
        </w:rPr>
        <w:t xml:space="preserve">ć </w:t>
      </w:r>
      <w:r w:rsidRPr="0085657D">
        <w:rPr>
          <w:rFonts w:ascii="Arial" w:hAnsi="Arial" w:cs="Arial"/>
          <w:color w:val="000000"/>
          <w:lang w:val="en-GB"/>
        </w:rPr>
        <w:t>specifi</w:t>
      </w:r>
      <w:r w:rsidRPr="0085657D">
        <w:rPr>
          <w:rFonts w:ascii="Arial" w:hAnsi="Arial" w:cs="Arial"/>
          <w:color w:val="000000"/>
        </w:rPr>
        <w:t>č</w:t>
      </w:r>
      <w:r w:rsidRPr="0085657D">
        <w:rPr>
          <w:rFonts w:ascii="Arial" w:hAnsi="Arial" w:cs="Arial"/>
          <w:color w:val="000000"/>
          <w:lang w:val="en-GB"/>
        </w:rPr>
        <w:t>nim</w:t>
      </w:r>
      <w:r w:rsidRPr="0085657D">
        <w:rPr>
          <w:rFonts w:ascii="Arial" w:hAnsi="Arial" w:cs="Arial"/>
          <w:color w:val="000000"/>
        </w:rPr>
        <w:t xml:space="preserve"> </w:t>
      </w:r>
      <w:r w:rsidRPr="0085657D">
        <w:rPr>
          <w:rFonts w:ascii="Arial" w:hAnsi="Arial" w:cs="Arial"/>
          <w:color w:val="000000"/>
          <w:lang w:val="en-GB"/>
        </w:rPr>
        <w:t>kategorijama</w:t>
      </w:r>
      <w:r w:rsidRPr="0085657D">
        <w:rPr>
          <w:rFonts w:ascii="Arial" w:hAnsi="Arial" w:cs="Arial"/>
          <w:color w:val="000000"/>
        </w:rPr>
        <w:t xml:space="preserve"> ž</w:t>
      </w:r>
      <w:r w:rsidRPr="0085657D">
        <w:rPr>
          <w:rFonts w:ascii="Arial" w:hAnsi="Arial" w:cs="Arial"/>
          <w:color w:val="000000"/>
          <w:lang w:val="en-GB"/>
        </w:rPr>
        <w:t>rtava</w:t>
      </w:r>
      <w:r w:rsidRPr="0085657D">
        <w:rPr>
          <w:rFonts w:ascii="Arial" w:hAnsi="Arial" w:cs="Arial"/>
          <w:color w:val="000000"/>
        </w:rPr>
        <w:t xml:space="preserve">. </w:t>
      </w:r>
      <w:r w:rsidR="00927F7A" w:rsidRPr="0085657D">
        <w:rPr>
          <w:rFonts w:ascii="Arial" w:hAnsi="Arial" w:cs="Arial"/>
          <w:color w:val="000000"/>
        </w:rPr>
        <w:t>Za</w:t>
      </w:r>
      <w:r w:rsidRPr="0085657D">
        <w:rPr>
          <w:rFonts w:ascii="Arial" w:hAnsi="Arial" w:cs="Arial"/>
          <w:color w:val="000000"/>
        </w:rPr>
        <w:t xml:space="preserve"> </w:t>
      </w:r>
      <w:r w:rsidRPr="00C07E4E">
        <w:rPr>
          <w:rFonts w:ascii="Arial" w:hAnsi="Arial" w:cs="Arial"/>
          <w:i/>
          <w:iCs/>
          <w:color w:val="000000"/>
        </w:rPr>
        <w:t>ž</w:t>
      </w:r>
      <w:r w:rsidRPr="00C07E4E">
        <w:rPr>
          <w:rFonts w:ascii="Arial" w:hAnsi="Arial" w:cs="Arial"/>
          <w:i/>
          <w:iCs/>
          <w:color w:val="000000"/>
          <w:lang w:val="en-GB"/>
        </w:rPr>
        <w:t>rtv</w:t>
      </w:r>
      <w:r w:rsidR="00927F7A" w:rsidRPr="00C07E4E">
        <w:rPr>
          <w:rFonts w:ascii="Arial" w:hAnsi="Arial" w:cs="Arial"/>
          <w:i/>
          <w:iCs/>
          <w:color w:val="000000"/>
          <w:lang w:val="en-GB"/>
        </w:rPr>
        <w:t>e</w:t>
      </w:r>
      <w:r w:rsidRPr="00C07E4E">
        <w:rPr>
          <w:rFonts w:ascii="Arial" w:hAnsi="Arial" w:cs="Arial"/>
          <w:i/>
          <w:iCs/>
          <w:color w:val="000000"/>
        </w:rPr>
        <w:t xml:space="preserve"> </w:t>
      </w:r>
      <w:r w:rsidRPr="00C07E4E">
        <w:rPr>
          <w:rFonts w:ascii="Arial" w:hAnsi="Arial" w:cs="Arial"/>
          <w:i/>
          <w:iCs/>
          <w:color w:val="000000"/>
          <w:lang w:val="en-GB"/>
        </w:rPr>
        <w:t>trgovine</w:t>
      </w:r>
      <w:r w:rsidRPr="00C07E4E">
        <w:rPr>
          <w:rFonts w:ascii="Arial" w:hAnsi="Arial" w:cs="Arial"/>
          <w:i/>
          <w:iCs/>
          <w:color w:val="000000"/>
        </w:rPr>
        <w:t xml:space="preserve"> </w:t>
      </w:r>
      <w:r w:rsidRPr="00C07E4E">
        <w:rPr>
          <w:rFonts w:ascii="Arial" w:hAnsi="Arial" w:cs="Arial"/>
          <w:i/>
          <w:iCs/>
          <w:color w:val="000000"/>
          <w:lang w:val="en-GB"/>
        </w:rPr>
        <w:t>ljudima</w:t>
      </w:r>
      <w:r w:rsidRPr="00C07E4E">
        <w:rPr>
          <w:rFonts w:ascii="Arial" w:hAnsi="Arial" w:cs="Arial"/>
          <w:i/>
          <w:iCs/>
          <w:color w:val="000000"/>
        </w:rPr>
        <w:t xml:space="preserve">, </w:t>
      </w:r>
      <w:r w:rsidRPr="00C07E4E">
        <w:rPr>
          <w:rFonts w:ascii="Arial" w:hAnsi="Arial" w:cs="Arial"/>
          <w:i/>
          <w:iCs/>
          <w:color w:val="000000"/>
          <w:lang w:val="en-GB"/>
        </w:rPr>
        <w:t>porodi</w:t>
      </w:r>
      <w:r w:rsidRPr="00C07E4E">
        <w:rPr>
          <w:rFonts w:ascii="Arial" w:hAnsi="Arial" w:cs="Arial"/>
          <w:i/>
          <w:iCs/>
          <w:color w:val="000000"/>
        </w:rPr>
        <w:t>č</w:t>
      </w:r>
      <w:r w:rsidRPr="00C07E4E">
        <w:rPr>
          <w:rFonts w:ascii="Arial" w:hAnsi="Arial" w:cs="Arial"/>
          <w:i/>
          <w:iCs/>
          <w:color w:val="000000"/>
          <w:lang w:val="en-GB"/>
        </w:rPr>
        <w:t>nog</w:t>
      </w:r>
      <w:r w:rsidRPr="00C07E4E">
        <w:rPr>
          <w:rFonts w:ascii="Arial" w:hAnsi="Arial" w:cs="Arial"/>
          <w:i/>
          <w:iCs/>
          <w:color w:val="000000"/>
        </w:rPr>
        <w:t xml:space="preserve"> </w:t>
      </w:r>
      <w:r w:rsidRPr="00C07E4E">
        <w:rPr>
          <w:rFonts w:ascii="Arial" w:hAnsi="Arial" w:cs="Arial"/>
          <w:i/>
          <w:iCs/>
          <w:color w:val="000000"/>
          <w:lang w:val="en-GB"/>
        </w:rPr>
        <w:t>nasilja</w:t>
      </w:r>
      <w:r w:rsidRPr="00C07E4E">
        <w:rPr>
          <w:rFonts w:ascii="Arial" w:hAnsi="Arial" w:cs="Arial"/>
          <w:i/>
          <w:iCs/>
          <w:color w:val="000000"/>
        </w:rPr>
        <w:t xml:space="preserve"> </w:t>
      </w:r>
      <w:r w:rsidRPr="00C07E4E">
        <w:rPr>
          <w:rFonts w:ascii="Arial" w:hAnsi="Arial" w:cs="Arial"/>
          <w:i/>
          <w:iCs/>
          <w:color w:val="000000"/>
          <w:lang w:val="en-GB"/>
        </w:rPr>
        <w:t>i</w:t>
      </w:r>
      <w:r w:rsidRPr="00C07E4E">
        <w:rPr>
          <w:rFonts w:ascii="Arial" w:hAnsi="Arial" w:cs="Arial"/>
          <w:i/>
          <w:iCs/>
          <w:color w:val="000000"/>
        </w:rPr>
        <w:t xml:space="preserve"> </w:t>
      </w:r>
      <w:r w:rsidRPr="00C07E4E">
        <w:rPr>
          <w:rFonts w:ascii="Arial" w:hAnsi="Arial" w:cs="Arial"/>
          <w:i/>
          <w:iCs/>
          <w:color w:val="000000"/>
          <w:lang w:val="en-GB"/>
        </w:rPr>
        <w:t>krivi</w:t>
      </w:r>
      <w:r w:rsidRPr="00C07E4E">
        <w:rPr>
          <w:rFonts w:ascii="Arial" w:hAnsi="Arial" w:cs="Arial"/>
          <w:i/>
          <w:iCs/>
          <w:color w:val="000000"/>
        </w:rPr>
        <w:t>č</w:t>
      </w:r>
      <w:r w:rsidRPr="00C07E4E">
        <w:rPr>
          <w:rFonts w:ascii="Arial" w:hAnsi="Arial" w:cs="Arial"/>
          <w:i/>
          <w:iCs/>
          <w:color w:val="000000"/>
          <w:lang w:val="en-GB"/>
        </w:rPr>
        <w:t>nih</w:t>
      </w:r>
      <w:r w:rsidRPr="00C07E4E">
        <w:rPr>
          <w:rFonts w:ascii="Arial" w:hAnsi="Arial" w:cs="Arial"/>
          <w:i/>
          <w:iCs/>
          <w:color w:val="000000"/>
        </w:rPr>
        <w:t xml:space="preserve"> </w:t>
      </w:r>
      <w:r w:rsidRPr="00C07E4E">
        <w:rPr>
          <w:rFonts w:ascii="Arial" w:hAnsi="Arial" w:cs="Arial"/>
          <w:i/>
          <w:iCs/>
          <w:color w:val="000000"/>
          <w:lang w:val="en-GB"/>
        </w:rPr>
        <w:t>djela</w:t>
      </w:r>
      <w:r w:rsidRPr="00C07E4E">
        <w:rPr>
          <w:rFonts w:ascii="Arial" w:hAnsi="Arial" w:cs="Arial"/>
          <w:i/>
          <w:iCs/>
          <w:color w:val="000000"/>
        </w:rPr>
        <w:t xml:space="preserve"> </w:t>
      </w:r>
      <w:r w:rsidRPr="00C07E4E">
        <w:rPr>
          <w:rFonts w:ascii="Arial" w:hAnsi="Arial" w:cs="Arial"/>
          <w:i/>
          <w:iCs/>
          <w:color w:val="000000"/>
          <w:lang w:val="en-GB"/>
        </w:rPr>
        <w:t>protiv</w:t>
      </w:r>
      <w:r w:rsidRPr="00C07E4E">
        <w:rPr>
          <w:rFonts w:ascii="Arial" w:hAnsi="Arial" w:cs="Arial"/>
          <w:i/>
          <w:iCs/>
          <w:color w:val="000000"/>
        </w:rPr>
        <w:t xml:space="preserve"> </w:t>
      </w:r>
      <w:r w:rsidRPr="00C07E4E">
        <w:rPr>
          <w:rFonts w:ascii="Arial" w:hAnsi="Arial" w:cs="Arial"/>
          <w:i/>
          <w:iCs/>
          <w:color w:val="000000"/>
          <w:lang w:val="en-GB"/>
        </w:rPr>
        <w:t>polnih</w:t>
      </w:r>
      <w:r w:rsidRPr="00C07E4E">
        <w:rPr>
          <w:rFonts w:ascii="Arial" w:hAnsi="Arial" w:cs="Arial"/>
          <w:i/>
          <w:iCs/>
          <w:color w:val="000000"/>
        </w:rPr>
        <w:t xml:space="preserve"> </w:t>
      </w:r>
      <w:r w:rsidRPr="00C07E4E">
        <w:rPr>
          <w:rFonts w:ascii="Arial" w:hAnsi="Arial" w:cs="Arial"/>
          <w:i/>
          <w:iCs/>
          <w:color w:val="000000"/>
          <w:lang w:val="en-GB"/>
        </w:rPr>
        <w:t>sloboda</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svim</w:t>
      </w:r>
      <w:r w:rsidRPr="0085657D">
        <w:rPr>
          <w:rFonts w:ascii="Arial" w:hAnsi="Arial" w:cs="Arial"/>
          <w:color w:val="000000"/>
        </w:rPr>
        <w:t xml:space="preserve"> </w:t>
      </w:r>
      <w:r w:rsidRPr="0085657D">
        <w:rPr>
          <w:rFonts w:ascii="Arial" w:hAnsi="Arial" w:cs="Arial"/>
          <w:color w:val="000000"/>
          <w:lang w:val="en-GB"/>
        </w:rPr>
        <w:t>osnovnim</w:t>
      </w:r>
      <w:r w:rsidRPr="0085657D">
        <w:rPr>
          <w:rFonts w:ascii="Arial" w:hAnsi="Arial" w:cs="Arial"/>
          <w:color w:val="000000"/>
        </w:rPr>
        <w:t xml:space="preserve">, </w:t>
      </w:r>
      <w:r w:rsidRPr="0085657D">
        <w:rPr>
          <w:rFonts w:ascii="Arial" w:hAnsi="Arial" w:cs="Arial"/>
          <w:color w:val="000000"/>
          <w:lang w:val="en-GB"/>
        </w:rPr>
        <w:t>vi</w:t>
      </w:r>
      <w:r w:rsidRPr="0085657D">
        <w:rPr>
          <w:rFonts w:ascii="Arial" w:hAnsi="Arial" w:cs="Arial"/>
          <w:color w:val="000000"/>
        </w:rPr>
        <w:t>š</w:t>
      </w:r>
      <w:r w:rsidRPr="0085657D">
        <w:rPr>
          <w:rFonts w:ascii="Arial" w:hAnsi="Arial" w:cs="Arial"/>
          <w:color w:val="000000"/>
          <w:lang w:val="en-GB"/>
        </w:rPr>
        <w:t>im</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prekr</w:t>
      </w:r>
      <w:r w:rsidRPr="0085657D">
        <w:rPr>
          <w:rFonts w:ascii="Arial" w:hAnsi="Arial" w:cs="Arial"/>
          <w:color w:val="000000"/>
        </w:rPr>
        <w:t>š</w:t>
      </w:r>
      <w:r w:rsidRPr="0085657D">
        <w:rPr>
          <w:rFonts w:ascii="Arial" w:hAnsi="Arial" w:cs="Arial"/>
          <w:color w:val="000000"/>
          <w:lang w:val="en-GB"/>
        </w:rPr>
        <w:t>ajnim</w:t>
      </w:r>
      <w:r w:rsidRPr="0085657D">
        <w:rPr>
          <w:rFonts w:ascii="Arial" w:hAnsi="Arial" w:cs="Arial"/>
          <w:color w:val="000000"/>
        </w:rPr>
        <w:t xml:space="preserve"> </w:t>
      </w:r>
      <w:r w:rsidRPr="0085657D">
        <w:rPr>
          <w:rFonts w:ascii="Arial" w:hAnsi="Arial" w:cs="Arial"/>
          <w:color w:val="000000"/>
          <w:lang w:val="en-GB"/>
        </w:rPr>
        <w:t>sudovima</w:t>
      </w:r>
      <w:r w:rsidRPr="0085657D">
        <w:rPr>
          <w:rFonts w:ascii="Arial" w:hAnsi="Arial" w:cs="Arial"/>
          <w:color w:val="000000"/>
        </w:rPr>
        <w:t xml:space="preserve"> š</w:t>
      </w:r>
      <w:r w:rsidRPr="0085657D">
        <w:rPr>
          <w:rFonts w:ascii="Arial" w:hAnsi="Arial" w:cs="Arial"/>
          <w:color w:val="000000"/>
          <w:lang w:val="en-GB"/>
        </w:rPr>
        <w:t>irom</w:t>
      </w:r>
      <w:r w:rsidRPr="0085657D">
        <w:rPr>
          <w:rFonts w:ascii="Arial" w:hAnsi="Arial" w:cs="Arial"/>
          <w:color w:val="000000"/>
        </w:rPr>
        <w:t xml:space="preserve"> </w:t>
      </w:r>
      <w:r w:rsidRPr="0085657D">
        <w:rPr>
          <w:rFonts w:ascii="Arial" w:hAnsi="Arial" w:cs="Arial"/>
          <w:color w:val="000000"/>
          <w:lang w:val="en-GB"/>
        </w:rPr>
        <w:t>zemlje</w:t>
      </w:r>
      <w:r w:rsidRPr="0085657D">
        <w:rPr>
          <w:rFonts w:ascii="Arial" w:hAnsi="Arial" w:cs="Arial"/>
          <w:color w:val="000000"/>
        </w:rPr>
        <w:t xml:space="preserve"> </w:t>
      </w:r>
      <w:r w:rsidRPr="0085657D">
        <w:rPr>
          <w:rFonts w:ascii="Arial" w:hAnsi="Arial" w:cs="Arial"/>
          <w:color w:val="000000"/>
          <w:lang w:val="en-GB"/>
        </w:rPr>
        <w:t>imenovane</w:t>
      </w:r>
      <w:r w:rsidRPr="0085657D">
        <w:rPr>
          <w:rFonts w:ascii="Arial" w:hAnsi="Arial" w:cs="Arial"/>
          <w:color w:val="000000"/>
        </w:rPr>
        <w:t xml:space="preserve"> </w:t>
      </w:r>
      <w:r w:rsidRPr="0085657D">
        <w:rPr>
          <w:rFonts w:ascii="Arial" w:hAnsi="Arial" w:cs="Arial"/>
          <w:color w:val="000000"/>
          <w:lang w:val="en-GB"/>
        </w:rPr>
        <w:t>su</w:t>
      </w:r>
      <w:r w:rsidRPr="0085657D">
        <w:rPr>
          <w:rFonts w:ascii="Arial" w:hAnsi="Arial" w:cs="Arial"/>
          <w:color w:val="000000"/>
        </w:rPr>
        <w:t xml:space="preserve"> </w:t>
      </w:r>
      <w:r w:rsidRPr="0085657D">
        <w:rPr>
          <w:rFonts w:ascii="Arial" w:hAnsi="Arial" w:cs="Arial"/>
          <w:color w:val="000000"/>
          <w:lang w:val="en-GB"/>
        </w:rPr>
        <w:t>kontakt</w:t>
      </w:r>
      <w:r w:rsidRPr="0085657D">
        <w:rPr>
          <w:rFonts w:ascii="Arial" w:hAnsi="Arial" w:cs="Arial"/>
          <w:color w:val="000000"/>
        </w:rPr>
        <w:t xml:space="preserve"> </w:t>
      </w:r>
      <w:r w:rsidRPr="0085657D">
        <w:rPr>
          <w:rFonts w:ascii="Arial" w:hAnsi="Arial" w:cs="Arial"/>
          <w:color w:val="000000"/>
          <w:lang w:val="en-GB"/>
        </w:rPr>
        <w:t>osobe</w:t>
      </w:r>
      <w:r w:rsidRPr="0085657D">
        <w:rPr>
          <w:rFonts w:ascii="Arial" w:hAnsi="Arial" w:cs="Arial"/>
          <w:color w:val="000000"/>
        </w:rPr>
        <w:t>, koje</w:t>
      </w:r>
      <w:r w:rsidR="00777950">
        <w:rPr>
          <w:rFonts w:ascii="Arial" w:hAnsi="Arial" w:cs="Arial"/>
          <w:color w:val="000000"/>
        </w:rPr>
        <w:t xml:space="preserve">, </w:t>
      </w:r>
      <w:r w:rsidRPr="0085657D">
        <w:rPr>
          <w:rFonts w:ascii="Arial" w:hAnsi="Arial" w:cs="Arial"/>
          <w:color w:val="000000"/>
          <w:lang w:val="en-GB"/>
        </w:rPr>
        <w:t>pored</w:t>
      </w:r>
      <w:r w:rsidRPr="0085657D">
        <w:rPr>
          <w:rFonts w:ascii="Arial" w:hAnsi="Arial" w:cs="Arial"/>
          <w:color w:val="000000"/>
        </w:rPr>
        <w:t xml:space="preserve"> </w:t>
      </w:r>
      <w:r w:rsidRPr="0085657D">
        <w:rPr>
          <w:rFonts w:ascii="Arial" w:hAnsi="Arial" w:cs="Arial"/>
          <w:color w:val="000000"/>
          <w:lang w:val="en-GB"/>
        </w:rPr>
        <w:t>svojih</w:t>
      </w:r>
      <w:r w:rsidRPr="0085657D">
        <w:rPr>
          <w:rFonts w:ascii="Arial" w:hAnsi="Arial" w:cs="Arial"/>
          <w:color w:val="000000"/>
        </w:rPr>
        <w:t xml:space="preserve"> </w:t>
      </w:r>
      <w:r w:rsidRPr="0085657D">
        <w:rPr>
          <w:rFonts w:ascii="Arial" w:hAnsi="Arial" w:cs="Arial"/>
          <w:color w:val="000000"/>
          <w:lang w:val="en-GB"/>
        </w:rPr>
        <w:t>redovnih</w:t>
      </w:r>
      <w:r w:rsidRPr="0085657D">
        <w:rPr>
          <w:rFonts w:ascii="Arial" w:hAnsi="Arial" w:cs="Arial"/>
          <w:color w:val="000000"/>
        </w:rPr>
        <w:t xml:space="preserve"> </w:t>
      </w:r>
      <w:r w:rsidRPr="0085657D">
        <w:rPr>
          <w:rFonts w:ascii="Arial" w:hAnsi="Arial" w:cs="Arial"/>
          <w:color w:val="000000"/>
          <w:lang w:val="en-GB"/>
        </w:rPr>
        <w:t>du</w:t>
      </w:r>
      <w:r w:rsidRPr="0085657D">
        <w:rPr>
          <w:rFonts w:ascii="Arial" w:hAnsi="Arial" w:cs="Arial"/>
          <w:color w:val="000000"/>
        </w:rPr>
        <w:t>ž</w:t>
      </w:r>
      <w:r w:rsidRPr="0085657D">
        <w:rPr>
          <w:rFonts w:ascii="Arial" w:hAnsi="Arial" w:cs="Arial"/>
          <w:color w:val="000000"/>
          <w:lang w:val="en-GB"/>
        </w:rPr>
        <w:t>nosti</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sudu</w:t>
      </w:r>
      <w:r w:rsidRPr="0085657D">
        <w:rPr>
          <w:rFonts w:ascii="Arial" w:hAnsi="Arial" w:cs="Arial"/>
          <w:color w:val="000000"/>
        </w:rPr>
        <w:t xml:space="preserve">, </w:t>
      </w:r>
      <w:r w:rsidRPr="0085657D">
        <w:rPr>
          <w:rFonts w:ascii="Arial" w:hAnsi="Arial" w:cs="Arial"/>
          <w:color w:val="000000"/>
          <w:lang w:val="en-GB"/>
        </w:rPr>
        <w:t>pru</w:t>
      </w:r>
      <w:r w:rsidRPr="0085657D">
        <w:rPr>
          <w:rFonts w:ascii="Arial" w:hAnsi="Arial" w:cs="Arial"/>
          <w:color w:val="000000"/>
        </w:rPr>
        <w:t>ž</w:t>
      </w:r>
      <w:r w:rsidRPr="0085657D">
        <w:rPr>
          <w:rFonts w:ascii="Arial" w:hAnsi="Arial" w:cs="Arial"/>
          <w:color w:val="000000"/>
          <w:lang w:val="en-GB"/>
        </w:rPr>
        <w:t>aju</w:t>
      </w:r>
      <w:r w:rsidRPr="0085657D">
        <w:rPr>
          <w:rFonts w:ascii="Arial" w:hAnsi="Arial" w:cs="Arial"/>
          <w:color w:val="000000"/>
        </w:rPr>
        <w:t xml:space="preserve"> </w:t>
      </w:r>
      <w:r w:rsidRPr="0085657D">
        <w:rPr>
          <w:rFonts w:ascii="Arial" w:hAnsi="Arial" w:cs="Arial"/>
          <w:color w:val="000000"/>
          <w:lang w:val="en-GB"/>
        </w:rPr>
        <w:t>podr</w:t>
      </w:r>
      <w:r w:rsidRPr="0085657D">
        <w:rPr>
          <w:rFonts w:ascii="Arial" w:hAnsi="Arial" w:cs="Arial"/>
          <w:color w:val="000000"/>
        </w:rPr>
        <w:t>š</w:t>
      </w:r>
      <w:r w:rsidRPr="0085657D">
        <w:rPr>
          <w:rFonts w:ascii="Arial" w:hAnsi="Arial" w:cs="Arial"/>
          <w:color w:val="000000"/>
          <w:lang w:val="en-GB"/>
        </w:rPr>
        <w:t>ku</w:t>
      </w:r>
      <w:r w:rsidRPr="0085657D">
        <w:rPr>
          <w:rFonts w:ascii="Arial" w:hAnsi="Arial" w:cs="Arial"/>
          <w:color w:val="000000"/>
        </w:rPr>
        <w:t xml:space="preserve"> </w:t>
      </w:r>
      <w:r w:rsidRPr="0085657D">
        <w:rPr>
          <w:rFonts w:ascii="Arial" w:hAnsi="Arial" w:cs="Arial"/>
          <w:color w:val="000000"/>
          <w:lang w:val="en-GB"/>
        </w:rPr>
        <w:t>ovim</w:t>
      </w:r>
      <w:r w:rsidRPr="0085657D">
        <w:rPr>
          <w:rFonts w:ascii="Arial" w:hAnsi="Arial" w:cs="Arial"/>
          <w:color w:val="000000"/>
        </w:rPr>
        <w:t xml:space="preserve"> </w:t>
      </w:r>
      <w:r w:rsidRPr="0085657D">
        <w:rPr>
          <w:rFonts w:ascii="Arial" w:hAnsi="Arial" w:cs="Arial"/>
          <w:color w:val="000000"/>
          <w:lang w:val="en-GB"/>
        </w:rPr>
        <w:t>kategorijama</w:t>
      </w:r>
      <w:r w:rsidRPr="0085657D">
        <w:rPr>
          <w:rFonts w:ascii="Arial" w:hAnsi="Arial" w:cs="Arial"/>
          <w:color w:val="000000"/>
        </w:rPr>
        <w:t xml:space="preserve"> ž</w:t>
      </w:r>
      <w:r w:rsidRPr="0085657D">
        <w:rPr>
          <w:rFonts w:ascii="Arial" w:hAnsi="Arial" w:cs="Arial"/>
          <w:color w:val="000000"/>
          <w:lang w:val="en-GB"/>
        </w:rPr>
        <w:t>rtava</w:t>
      </w:r>
      <w:r w:rsidRPr="0085657D">
        <w:rPr>
          <w:rFonts w:ascii="Arial" w:hAnsi="Arial" w:cs="Arial"/>
          <w:color w:val="000000"/>
        </w:rPr>
        <w:t xml:space="preserve">. </w:t>
      </w:r>
      <w:r w:rsidRPr="0085657D">
        <w:rPr>
          <w:rFonts w:ascii="Arial" w:hAnsi="Arial" w:cs="Arial"/>
          <w:color w:val="000000"/>
          <w:lang w:val="en-GB"/>
        </w:rPr>
        <w:t>Me</w:t>
      </w:r>
      <w:r w:rsidRPr="0085657D">
        <w:rPr>
          <w:rFonts w:ascii="Arial" w:hAnsi="Arial" w:cs="Arial"/>
          <w:color w:val="000000"/>
        </w:rPr>
        <w:t>đ</w:t>
      </w:r>
      <w:r w:rsidRPr="0085657D">
        <w:rPr>
          <w:rFonts w:ascii="Arial" w:hAnsi="Arial" w:cs="Arial"/>
          <w:color w:val="000000"/>
          <w:lang w:val="en-GB"/>
        </w:rPr>
        <w:t>utim</w:t>
      </w:r>
      <w:r w:rsidRPr="0085657D">
        <w:rPr>
          <w:rFonts w:ascii="Arial" w:hAnsi="Arial" w:cs="Arial"/>
          <w:color w:val="000000"/>
        </w:rPr>
        <w:t xml:space="preserve">, </w:t>
      </w:r>
      <w:r w:rsidRPr="0085657D">
        <w:rPr>
          <w:rFonts w:ascii="Arial" w:hAnsi="Arial" w:cs="Arial"/>
          <w:color w:val="000000"/>
          <w:lang w:val="en-GB"/>
        </w:rPr>
        <w:t>ovakav</w:t>
      </w:r>
      <w:r w:rsidRPr="0085657D">
        <w:rPr>
          <w:rFonts w:ascii="Arial" w:hAnsi="Arial" w:cs="Arial"/>
          <w:color w:val="000000"/>
        </w:rPr>
        <w:t xml:space="preserve"> </w:t>
      </w:r>
      <w:r w:rsidRPr="0085657D">
        <w:rPr>
          <w:rFonts w:ascii="Arial" w:hAnsi="Arial" w:cs="Arial"/>
          <w:color w:val="000000"/>
          <w:lang w:val="en-GB"/>
        </w:rPr>
        <w:t>sistem</w:t>
      </w:r>
      <w:r w:rsidRPr="0085657D">
        <w:rPr>
          <w:rFonts w:ascii="Arial" w:hAnsi="Arial" w:cs="Arial"/>
          <w:color w:val="000000"/>
        </w:rPr>
        <w:t xml:space="preserve"> </w:t>
      </w:r>
      <w:r w:rsidRPr="0085657D">
        <w:rPr>
          <w:rFonts w:ascii="Arial" w:hAnsi="Arial" w:cs="Arial"/>
          <w:color w:val="000000"/>
          <w:lang w:val="en-GB"/>
        </w:rPr>
        <w:t>podr</w:t>
      </w:r>
      <w:r w:rsidRPr="0085657D">
        <w:rPr>
          <w:rFonts w:ascii="Arial" w:hAnsi="Arial" w:cs="Arial"/>
          <w:color w:val="000000"/>
        </w:rPr>
        <w:t>š</w:t>
      </w:r>
      <w:r w:rsidRPr="0085657D">
        <w:rPr>
          <w:rFonts w:ascii="Arial" w:hAnsi="Arial" w:cs="Arial"/>
          <w:color w:val="000000"/>
          <w:lang w:val="en-GB"/>
        </w:rPr>
        <w:t>ke</w:t>
      </w:r>
      <w:r w:rsidRPr="0085657D">
        <w:rPr>
          <w:rFonts w:ascii="Arial" w:hAnsi="Arial" w:cs="Arial"/>
          <w:color w:val="000000"/>
        </w:rPr>
        <w:t xml:space="preserve"> </w:t>
      </w:r>
      <w:r w:rsidRPr="0085657D">
        <w:rPr>
          <w:rFonts w:ascii="Arial" w:hAnsi="Arial" w:cs="Arial"/>
          <w:color w:val="000000"/>
          <w:lang w:val="en-GB"/>
        </w:rPr>
        <w:t>nije</w:t>
      </w:r>
      <w:r w:rsidRPr="0085657D">
        <w:rPr>
          <w:rFonts w:ascii="Arial" w:hAnsi="Arial" w:cs="Arial"/>
          <w:color w:val="000000"/>
        </w:rPr>
        <w:t xml:space="preserve"> </w:t>
      </w:r>
      <w:r w:rsidRPr="0085657D">
        <w:rPr>
          <w:rFonts w:ascii="Arial" w:hAnsi="Arial" w:cs="Arial"/>
          <w:color w:val="000000"/>
          <w:lang w:val="en-GB"/>
        </w:rPr>
        <w:t>utemeljen</w:t>
      </w:r>
      <w:r w:rsidRPr="0085657D">
        <w:rPr>
          <w:rFonts w:ascii="Arial" w:hAnsi="Arial" w:cs="Arial"/>
          <w:color w:val="000000"/>
        </w:rPr>
        <w:t xml:space="preserve"> </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zakonskoj</w:t>
      </w:r>
      <w:r w:rsidRPr="0085657D">
        <w:rPr>
          <w:rFonts w:ascii="Arial" w:hAnsi="Arial" w:cs="Arial"/>
          <w:color w:val="000000"/>
        </w:rPr>
        <w:t xml:space="preserve"> normi, </w:t>
      </w:r>
      <w:r w:rsidRPr="0085657D">
        <w:rPr>
          <w:rFonts w:ascii="Arial" w:hAnsi="Arial" w:cs="Arial"/>
          <w:color w:val="000000"/>
          <w:lang w:val="en-GB"/>
        </w:rPr>
        <w:t>ve</w:t>
      </w:r>
      <w:r w:rsidRPr="0085657D">
        <w:rPr>
          <w:rFonts w:ascii="Arial" w:hAnsi="Arial" w:cs="Arial"/>
          <w:color w:val="000000"/>
        </w:rPr>
        <w:t xml:space="preserve">ć </w:t>
      </w:r>
      <w:r w:rsidRPr="0085657D">
        <w:rPr>
          <w:rFonts w:ascii="Arial" w:hAnsi="Arial" w:cs="Arial"/>
          <w:color w:val="000000"/>
          <w:lang w:val="en-GB"/>
        </w:rPr>
        <w:t>je</w:t>
      </w:r>
      <w:r w:rsidRPr="0085657D">
        <w:rPr>
          <w:rFonts w:ascii="Arial" w:hAnsi="Arial" w:cs="Arial"/>
          <w:color w:val="000000"/>
        </w:rPr>
        <w:t xml:space="preserve"> </w:t>
      </w:r>
      <w:r w:rsidRPr="0085657D">
        <w:rPr>
          <w:rFonts w:ascii="Arial" w:hAnsi="Arial" w:cs="Arial"/>
          <w:color w:val="000000"/>
          <w:lang w:val="en-GB"/>
        </w:rPr>
        <w:t>zasnovan</w:t>
      </w:r>
      <w:r w:rsidRPr="0085657D">
        <w:rPr>
          <w:rFonts w:ascii="Arial" w:hAnsi="Arial" w:cs="Arial"/>
          <w:color w:val="000000"/>
        </w:rPr>
        <w:t xml:space="preserve"> </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odlukama</w:t>
      </w:r>
      <w:r w:rsidRPr="0085657D">
        <w:rPr>
          <w:rFonts w:ascii="Arial" w:hAnsi="Arial" w:cs="Arial"/>
          <w:color w:val="000000"/>
        </w:rPr>
        <w:t xml:space="preserve"> </w:t>
      </w:r>
      <w:r w:rsidRPr="0085657D">
        <w:rPr>
          <w:rFonts w:ascii="Arial" w:hAnsi="Arial" w:cs="Arial"/>
          <w:color w:val="000000"/>
          <w:lang w:val="en-GB"/>
        </w:rPr>
        <w:t>predsjednika</w:t>
      </w:r>
      <w:r w:rsidRPr="0085657D">
        <w:rPr>
          <w:rFonts w:ascii="Arial" w:hAnsi="Arial" w:cs="Arial"/>
          <w:color w:val="000000"/>
        </w:rPr>
        <w:t xml:space="preserve"> </w:t>
      </w:r>
      <w:r w:rsidRPr="0085657D">
        <w:rPr>
          <w:rFonts w:ascii="Arial" w:hAnsi="Arial" w:cs="Arial"/>
          <w:color w:val="000000"/>
          <w:lang w:val="en-GB"/>
        </w:rPr>
        <w:t>sudova</w:t>
      </w:r>
      <w:r w:rsidRPr="0085657D">
        <w:rPr>
          <w:rFonts w:ascii="Arial" w:hAnsi="Arial" w:cs="Arial"/>
          <w:color w:val="000000"/>
        </w:rPr>
        <w:t xml:space="preserve">. </w:t>
      </w:r>
      <w:r w:rsidRPr="0085657D">
        <w:rPr>
          <w:rFonts w:ascii="Arial" w:hAnsi="Arial" w:cs="Arial"/>
          <w:color w:val="000000"/>
          <w:lang w:val="en-GB"/>
        </w:rPr>
        <w:t>Iako</w:t>
      </w:r>
      <w:r w:rsidRPr="0085657D">
        <w:rPr>
          <w:rFonts w:ascii="Arial" w:hAnsi="Arial" w:cs="Arial"/>
          <w:color w:val="000000"/>
        </w:rPr>
        <w:t xml:space="preserve"> </w:t>
      </w:r>
      <w:r w:rsidRPr="0085657D">
        <w:rPr>
          <w:rFonts w:ascii="Arial" w:hAnsi="Arial" w:cs="Arial"/>
          <w:color w:val="000000"/>
          <w:lang w:val="en-GB"/>
        </w:rPr>
        <w:t>predstavlja</w:t>
      </w:r>
      <w:r w:rsidRPr="0085657D">
        <w:rPr>
          <w:rFonts w:ascii="Arial" w:hAnsi="Arial" w:cs="Arial"/>
          <w:color w:val="000000"/>
        </w:rPr>
        <w:t xml:space="preserve"> </w:t>
      </w:r>
      <w:r w:rsidRPr="0085657D">
        <w:rPr>
          <w:rFonts w:ascii="Arial" w:hAnsi="Arial" w:cs="Arial"/>
          <w:color w:val="000000"/>
          <w:lang w:val="en-GB"/>
        </w:rPr>
        <w:t>dobar</w:t>
      </w:r>
      <w:r w:rsidRPr="0085657D">
        <w:rPr>
          <w:rFonts w:ascii="Arial" w:hAnsi="Arial" w:cs="Arial"/>
          <w:color w:val="000000"/>
        </w:rPr>
        <w:t xml:space="preserve"> </w:t>
      </w:r>
      <w:r w:rsidRPr="0085657D">
        <w:rPr>
          <w:rFonts w:ascii="Arial" w:hAnsi="Arial" w:cs="Arial"/>
          <w:color w:val="000000"/>
          <w:lang w:val="en-GB"/>
        </w:rPr>
        <w:t>po</w:t>
      </w:r>
      <w:r w:rsidRPr="0085657D">
        <w:rPr>
          <w:rFonts w:ascii="Arial" w:hAnsi="Arial" w:cs="Arial"/>
          <w:color w:val="000000"/>
        </w:rPr>
        <w:t>č</w:t>
      </w:r>
      <w:r w:rsidRPr="0085657D">
        <w:rPr>
          <w:rFonts w:ascii="Arial" w:hAnsi="Arial" w:cs="Arial"/>
          <w:color w:val="000000"/>
          <w:lang w:val="en-GB"/>
        </w:rPr>
        <w:t>etni</w:t>
      </w:r>
      <w:r w:rsidRPr="0085657D">
        <w:rPr>
          <w:rFonts w:ascii="Arial" w:hAnsi="Arial" w:cs="Arial"/>
          <w:color w:val="000000"/>
        </w:rPr>
        <w:t xml:space="preserve"> </w:t>
      </w:r>
      <w:r w:rsidRPr="0085657D">
        <w:rPr>
          <w:rFonts w:ascii="Arial" w:hAnsi="Arial" w:cs="Arial"/>
          <w:color w:val="000000"/>
          <w:lang w:val="en-GB"/>
        </w:rPr>
        <w:t>korak</w:t>
      </w:r>
      <w:r w:rsidRPr="0085657D">
        <w:rPr>
          <w:rFonts w:ascii="Arial" w:hAnsi="Arial" w:cs="Arial"/>
          <w:color w:val="000000"/>
        </w:rPr>
        <w:t xml:space="preserve">, </w:t>
      </w:r>
      <w:r w:rsidRPr="0085657D">
        <w:rPr>
          <w:rFonts w:ascii="Arial" w:hAnsi="Arial" w:cs="Arial"/>
          <w:color w:val="000000"/>
          <w:lang w:val="en-GB"/>
        </w:rPr>
        <w:t>ovaj</w:t>
      </w:r>
      <w:r w:rsidRPr="0085657D">
        <w:rPr>
          <w:rFonts w:ascii="Arial" w:hAnsi="Arial" w:cs="Arial"/>
          <w:color w:val="000000"/>
        </w:rPr>
        <w:t xml:space="preserve"> </w:t>
      </w:r>
      <w:r w:rsidRPr="0085657D">
        <w:rPr>
          <w:rFonts w:ascii="Arial" w:hAnsi="Arial" w:cs="Arial"/>
          <w:color w:val="000000"/>
          <w:lang w:val="en-GB"/>
        </w:rPr>
        <w:t>pristup</w:t>
      </w:r>
      <w:r w:rsidRPr="0085657D">
        <w:rPr>
          <w:rFonts w:ascii="Arial" w:hAnsi="Arial" w:cs="Arial"/>
          <w:color w:val="000000"/>
        </w:rPr>
        <w:t xml:space="preserve"> </w:t>
      </w:r>
      <w:r w:rsidRPr="0085657D">
        <w:rPr>
          <w:rFonts w:ascii="Arial" w:hAnsi="Arial" w:cs="Arial"/>
          <w:color w:val="000000"/>
          <w:lang w:val="en-GB"/>
        </w:rPr>
        <w:t>ima</w:t>
      </w:r>
      <w:r w:rsidRPr="0085657D">
        <w:rPr>
          <w:rFonts w:ascii="Arial" w:hAnsi="Arial" w:cs="Arial"/>
          <w:color w:val="000000"/>
        </w:rPr>
        <w:t xml:space="preserve"> </w:t>
      </w:r>
      <w:r w:rsidRPr="0085657D">
        <w:rPr>
          <w:rFonts w:ascii="Arial" w:hAnsi="Arial" w:cs="Arial"/>
          <w:color w:val="000000"/>
          <w:lang w:val="en-GB"/>
        </w:rPr>
        <w:t>ograni</w:t>
      </w:r>
      <w:r w:rsidRPr="0085657D">
        <w:rPr>
          <w:rFonts w:ascii="Arial" w:hAnsi="Arial" w:cs="Arial"/>
          <w:color w:val="000000"/>
        </w:rPr>
        <w:t>č</w:t>
      </w:r>
      <w:r w:rsidRPr="0085657D">
        <w:rPr>
          <w:rFonts w:ascii="Arial" w:hAnsi="Arial" w:cs="Arial"/>
          <w:color w:val="000000"/>
          <w:lang w:val="en-GB"/>
        </w:rPr>
        <w:t>ene</w:t>
      </w:r>
      <w:r w:rsidRPr="0085657D">
        <w:rPr>
          <w:rFonts w:ascii="Arial" w:hAnsi="Arial" w:cs="Arial"/>
          <w:color w:val="000000"/>
        </w:rPr>
        <w:t xml:space="preserve"> domete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praksi</w:t>
      </w:r>
      <w:r w:rsidRPr="0085657D">
        <w:rPr>
          <w:rFonts w:ascii="Arial" w:hAnsi="Arial" w:cs="Arial"/>
          <w:color w:val="000000"/>
        </w:rPr>
        <w:t xml:space="preserve"> </w:t>
      </w:r>
      <w:r w:rsidRPr="0085657D">
        <w:rPr>
          <w:rFonts w:ascii="Arial" w:hAnsi="Arial" w:cs="Arial"/>
          <w:color w:val="000000"/>
          <w:lang w:val="en-GB"/>
        </w:rPr>
        <w:t>nije</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potpunosti</w:t>
      </w:r>
      <w:r w:rsidRPr="0085657D">
        <w:rPr>
          <w:rFonts w:ascii="Arial" w:hAnsi="Arial" w:cs="Arial"/>
          <w:color w:val="000000"/>
        </w:rPr>
        <w:t xml:space="preserve"> </w:t>
      </w:r>
      <w:r w:rsidRPr="0085657D">
        <w:rPr>
          <w:rFonts w:ascii="Arial" w:hAnsi="Arial" w:cs="Arial"/>
          <w:color w:val="000000"/>
          <w:lang w:val="en-GB"/>
        </w:rPr>
        <w:t>za</w:t>
      </w:r>
      <w:r w:rsidRPr="0085657D">
        <w:rPr>
          <w:rFonts w:ascii="Arial" w:hAnsi="Arial" w:cs="Arial"/>
          <w:color w:val="000000"/>
        </w:rPr>
        <w:t>ž</w:t>
      </w:r>
      <w:r w:rsidRPr="0085657D">
        <w:rPr>
          <w:rFonts w:ascii="Arial" w:hAnsi="Arial" w:cs="Arial"/>
          <w:color w:val="000000"/>
          <w:lang w:val="en-GB"/>
        </w:rPr>
        <w:t>ivio</w:t>
      </w:r>
      <w:r w:rsidRPr="0085657D">
        <w:rPr>
          <w:rFonts w:ascii="Arial" w:hAnsi="Arial" w:cs="Arial"/>
          <w:color w:val="000000"/>
        </w:rPr>
        <w:t xml:space="preserve">. </w:t>
      </w:r>
      <w:r w:rsidRPr="0085657D">
        <w:rPr>
          <w:rFonts w:ascii="Arial" w:hAnsi="Arial" w:cs="Arial"/>
          <w:color w:val="000000"/>
          <w:lang w:val="en-GB"/>
        </w:rPr>
        <w:t>Zbog</w:t>
      </w:r>
      <w:r w:rsidRPr="0085657D">
        <w:rPr>
          <w:rFonts w:ascii="Arial" w:hAnsi="Arial" w:cs="Arial"/>
          <w:color w:val="000000"/>
        </w:rPr>
        <w:t xml:space="preserve"> </w:t>
      </w:r>
      <w:r w:rsidRPr="0085657D">
        <w:rPr>
          <w:rFonts w:ascii="Arial" w:hAnsi="Arial" w:cs="Arial"/>
          <w:color w:val="000000"/>
          <w:lang w:val="en-GB"/>
        </w:rPr>
        <w:t>toga</w:t>
      </w:r>
      <w:r w:rsidRPr="0085657D">
        <w:rPr>
          <w:rFonts w:ascii="Arial" w:hAnsi="Arial" w:cs="Arial"/>
          <w:color w:val="000000"/>
        </w:rPr>
        <w:t xml:space="preserve"> </w:t>
      </w:r>
      <w:r w:rsidRPr="0085657D">
        <w:rPr>
          <w:rFonts w:ascii="Arial" w:hAnsi="Arial" w:cs="Arial"/>
          <w:color w:val="000000"/>
          <w:lang w:val="en-GB"/>
        </w:rPr>
        <w:t>se</w:t>
      </w:r>
      <w:r w:rsidRPr="0085657D">
        <w:rPr>
          <w:rFonts w:ascii="Arial" w:hAnsi="Arial" w:cs="Arial"/>
          <w:color w:val="000000"/>
        </w:rPr>
        <w:t xml:space="preserve"> </w:t>
      </w:r>
      <w:r w:rsidRPr="0085657D">
        <w:rPr>
          <w:rFonts w:ascii="Arial" w:hAnsi="Arial" w:cs="Arial"/>
          <w:color w:val="000000"/>
          <w:lang w:val="en-GB"/>
        </w:rPr>
        <w:t>predlo</w:t>
      </w:r>
      <w:r w:rsidRPr="0085657D">
        <w:rPr>
          <w:rFonts w:ascii="Arial" w:hAnsi="Arial" w:cs="Arial"/>
          <w:color w:val="000000"/>
        </w:rPr>
        <w:t>ž</w:t>
      </w:r>
      <w:r w:rsidRPr="0085657D">
        <w:rPr>
          <w:rFonts w:ascii="Arial" w:hAnsi="Arial" w:cs="Arial"/>
          <w:color w:val="000000"/>
          <w:lang w:val="en-GB"/>
        </w:rPr>
        <w:t>enim</w:t>
      </w:r>
      <w:r w:rsidRPr="0085657D">
        <w:rPr>
          <w:rFonts w:ascii="Arial" w:hAnsi="Arial" w:cs="Arial"/>
          <w:color w:val="000000"/>
        </w:rPr>
        <w:t xml:space="preserve"> </w:t>
      </w:r>
      <w:r w:rsidRPr="0085657D">
        <w:rPr>
          <w:rFonts w:ascii="Arial" w:hAnsi="Arial" w:cs="Arial"/>
          <w:color w:val="000000"/>
          <w:lang w:val="en-GB"/>
        </w:rPr>
        <w:t>izmjenama</w:t>
      </w:r>
      <w:r w:rsidRPr="0085657D">
        <w:rPr>
          <w:rFonts w:ascii="Arial" w:hAnsi="Arial" w:cs="Arial"/>
          <w:color w:val="000000"/>
        </w:rPr>
        <w:t xml:space="preserve"> </w:t>
      </w:r>
      <w:r w:rsidRPr="0085657D">
        <w:rPr>
          <w:rFonts w:ascii="Arial" w:hAnsi="Arial" w:cs="Arial"/>
          <w:color w:val="000000"/>
          <w:lang w:val="en-GB"/>
        </w:rPr>
        <w:t>Zakonika</w:t>
      </w:r>
      <w:r w:rsidRPr="0085657D">
        <w:rPr>
          <w:rFonts w:ascii="Arial" w:hAnsi="Arial" w:cs="Arial"/>
          <w:color w:val="000000"/>
        </w:rPr>
        <w:t xml:space="preserve"> </w:t>
      </w:r>
      <w:r w:rsidRPr="0085657D">
        <w:rPr>
          <w:rFonts w:ascii="Arial" w:hAnsi="Arial" w:cs="Arial"/>
          <w:color w:val="000000"/>
          <w:lang w:val="en-GB"/>
        </w:rPr>
        <w:t>o</w:t>
      </w:r>
      <w:r w:rsidRPr="0085657D">
        <w:rPr>
          <w:rFonts w:ascii="Arial" w:hAnsi="Arial" w:cs="Arial"/>
          <w:color w:val="000000"/>
        </w:rPr>
        <w:t xml:space="preserve"> </w:t>
      </w:r>
      <w:r w:rsidRPr="0085657D">
        <w:rPr>
          <w:rFonts w:ascii="Arial" w:hAnsi="Arial" w:cs="Arial"/>
          <w:color w:val="000000"/>
          <w:lang w:val="en-GB"/>
        </w:rPr>
        <w:t>krivi</w:t>
      </w:r>
      <w:r w:rsidRPr="0085657D">
        <w:rPr>
          <w:rFonts w:ascii="Arial" w:hAnsi="Arial" w:cs="Arial"/>
          <w:color w:val="000000"/>
        </w:rPr>
        <w:t>č</w:t>
      </w:r>
      <w:r w:rsidRPr="0085657D">
        <w:rPr>
          <w:rFonts w:ascii="Arial" w:hAnsi="Arial" w:cs="Arial"/>
          <w:color w:val="000000"/>
          <w:lang w:val="en-GB"/>
        </w:rPr>
        <w:t>nom</w:t>
      </w:r>
      <w:r w:rsidRPr="0085657D">
        <w:rPr>
          <w:rFonts w:ascii="Arial" w:hAnsi="Arial" w:cs="Arial"/>
          <w:color w:val="000000"/>
        </w:rPr>
        <w:t xml:space="preserve"> </w:t>
      </w:r>
      <w:r w:rsidRPr="0085657D">
        <w:rPr>
          <w:rFonts w:ascii="Arial" w:hAnsi="Arial" w:cs="Arial"/>
          <w:color w:val="000000"/>
          <w:lang w:val="en-GB"/>
        </w:rPr>
        <w:t>postupku</w:t>
      </w:r>
      <w:r w:rsidRPr="0085657D">
        <w:rPr>
          <w:rFonts w:ascii="Arial" w:hAnsi="Arial" w:cs="Arial"/>
          <w:color w:val="000000"/>
        </w:rPr>
        <w:t xml:space="preserve"> </w:t>
      </w:r>
      <w:r w:rsidRPr="0085657D">
        <w:rPr>
          <w:rFonts w:ascii="Arial" w:hAnsi="Arial" w:cs="Arial"/>
          <w:color w:val="000000"/>
          <w:lang w:val="en-GB"/>
        </w:rPr>
        <w:t>predvi</w:t>
      </w:r>
      <w:r w:rsidRPr="0085657D">
        <w:rPr>
          <w:rFonts w:ascii="Arial" w:hAnsi="Arial" w:cs="Arial"/>
          <w:color w:val="000000"/>
        </w:rPr>
        <w:t>đ</w:t>
      </w:r>
      <w:r w:rsidRPr="0085657D">
        <w:rPr>
          <w:rFonts w:ascii="Arial" w:hAnsi="Arial" w:cs="Arial"/>
          <w:color w:val="000000"/>
          <w:lang w:val="en-GB"/>
        </w:rPr>
        <w:t>a</w:t>
      </w:r>
      <w:r w:rsidRPr="0085657D">
        <w:rPr>
          <w:rFonts w:ascii="Arial" w:hAnsi="Arial" w:cs="Arial"/>
          <w:color w:val="000000"/>
        </w:rPr>
        <w:t xml:space="preserve"> </w:t>
      </w:r>
      <w:r w:rsidRPr="0085657D">
        <w:rPr>
          <w:rFonts w:ascii="Arial" w:hAnsi="Arial" w:cs="Arial"/>
          <w:color w:val="000000"/>
          <w:lang w:val="en-GB"/>
        </w:rPr>
        <w:t>uspostavljanje</w:t>
      </w:r>
      <w:r w:rsidRPr="0085657D">
        <w:rPr>
          <w:rFonts w:ascii="Arial" w:hAnsi="Arial" w:cs="Arial"/>
          <w:color w:val="000000"/>
        </w:rPr>
        <w:t xml:space="preserve"> </w:t>
      </w:r>
      <w:r w:rsidRPr="0085657D">
        <w:rPr>
          <w:rFonts w:ascii="Arial" w:hAnsi="Arial" w:cs="Arial"/>
          <w:color w:val="000000"/>
          <w:lang w:val="en-GB"/>
        </w:rPr>
        <w:t>posebnih</w:t>
      </w:r>
      <w:r w:rsidRPr="0085657D">
        <w:rPr>
          <w:rFonts w:ascii="Arial" w:hAnsi="Arial" w:cs="Arial"/>
          <w:color w:val="000000"/>
        </w:rPr>
        <w:t xml:space="preserve"> </w:t>
      </w:r>
      <w:r w:rsidRPr="0085657D">
        <w:rPr>
          <w:rFonts w:ascii="Arial" w:hAnsi="Arial" w:cs="Arial"/>
          <w:color w:val="000000"/>
          <w:lang w:val="en-GB"/>
        </w:rPr>
        <w:t>slu</w:t>
      </w:r>
      <w:r w:rsidRPr="0085657D">
        <w:rPr>
          <w:rFonts w:ascii="Arial" w:hAnsi="Arial" w:cs="Arial"/>
          <w:color w:val="000000"/>
        </w:rPr>
        <w:t>ž</w:t>
      </w:r>
      <w:r w:rsidRPr="0085657D">
        <w:rPr>
          <w:rFonts w:ascii="Arial" w:hAnsi="Arial" w:cs="Arial"/>
          <w:color w:val="000000"/>
          <w:lang w:val="en-GB"/>
        </w:rPr>
        <w:t>bi</w:t>
      </w:r>
      <w:r w:rsidRPr="0085657D">
        <w:rPr>
          <w:rFonts w:ascii="Arial" w:hAnsi="Arial" w:cs="Arial"/>
          <w:color w:val="000000"/>
        </w:rPr>
        <w:t xml:space="preserve"> </w:t>
      </w:r>
      <w:r w:rsidRPr="0085657D">
        <w:rPr>
          <w:rFonts w:ascii="Arial" w:hAnsi="Arial" w:cs="Arial"/>
          <w:color w:val="000000"/>
          <w:lang w:val="en-GB"/>
        </w:rPr>
        <w:t>za</w:t>
      </w:r>
      <w:r w:rsidRPr="0085657D">
        <w:rPr>
          <w:rFonts w:ascii="Arial" w:hAnsi="Arial" w:cs="Arial"/>
          <w:color w:val="000000"/>
        </w:rPr>
        <w:t xml:space="preserve"> </w:t>
      </w:r>
      <w:r w:rsidRPr="0085657D">
        <w:rPr>
          <w:rFonts w:ascii="Arial" w:hAnsi="Arial" w:cs="Arial"/>
          <w:color w:val="000000"/>
          <w:lang w:val="en-GB"/>
        </w:rPr>
        <w:t>podr</w:t>
      </w:r>
      <w:r w:rsidRPr="0085657D">
        <w:rPr>
          <w:rFonts w:ascii="Arial" w:hAnsi="Arial" w:cs="Arial"/>
          <w:color w:val="000000"/>
        </w:rPr>
        <w:t>š</w:t>
      </w:r>
      <w:r w:rsidRPr="0085657D">
        <w:rPr>
          <w:rFonts w:ascii="Arial" w:hAnsi="Arial" w:cs="Arial"/>
          <w:color w:val="000000"/>
          <w:lang w:val="en-GB"/>
        </w:rPr>
        <w:t>ku</w:t>
      </w:r>
      <w:r w:rsidRPr="0085657D">
        <w:rPr>
          <w:rFonts w:ascii="Arial" w:hAnsi="Arial" w:cs="Arial"/>
          <w:color w:val="000000"/>
        </w:rPr>
        <w:t xml:space="preserve"> ž</w:t>
      </w:r>
      <w:r w:rsidRPr="0085657D">
        <w:rPr>
          <w:rFonts w:ascii="Arial" w:hAnsi="Arial" w:cs="Arial"/>
          <w:color w:val="000000"/>
          <w:lang w:val="en-GB"/>
        </w:rPr>
        <w:t>rtvama</w:t>
      </w:r>
      <w:r w:rsidRPr="0085657D">
        <w:rPr>
          <w:rFonts w:ascii="Arial" w:hAnsi="Arial" w:cs="Arial"/>
          <w:color w:val="000000"/>
        </w:rPr>
        <w:t xml:space="preserve">, </w:t>
      </w:r>
      <w:r w:rsidRPr="0085657D">
        <w:rPr>
          <w:rFonts w:ascii="Arial" w:hAnsi="Arial" w:cs="Arial"/>
          <w:color w:val="000000"/>
          <w:lang w:val="en-GB"/>
        </w:rPr>
        <w:t>kako</w:t>
      </w:r>
      <w:r w:rsidRPr="0085657D">
        <w:rPr>
          <w:rFonts w:ascii="Arial" w:hAnsi="Arial" w:cs="Arial"/>
          <w:color w:val="000000"/>
        </w:rPr>
        <w:t xml:space="preserve"> </w:t>
      </w:r>
      <w:r w:rsidRPr="0085657D">
        <w:rPr>
          <w:rFonts w:ascii="Arial" w:hAnsi="Arial" w:cs="Arial"/>
          <w:color w:val="000000"/>
          <w:lang w:val="en-GB"/>
        </w:rPr>
        <w:t>bi</w:t>
      </w:r>
      <w:r w:rsidRPr="0085657D">
        <w:rPr>
          <w:rFonts w:ascii="Arial" w:hAnsi="Arial" w:cs="Arial"/>
          <w:color w:val="000000"/>
        </w:rPr>
        <w:t xml:space="preserve"> </w:t>
      </w:r>
      <w:r w:rsidRPr="0085657D">
        <w:rPr>
          <w:rFonts w:ascii="Arial" w:hAnsi="Arial" w:cs="Arial"/>
          <w:color w:val="000000"/>
          <w:lang w:val="en-GB"/>
        </w:rPr>
        <w:t>njihovo</w:t>
      </w:r>
      <w:r w:rsidRPr="0085657D">
        <w:rPr>
          <w:rFonts w:ascii="Arial" w:hAnsi="Arial" w:cs="Arial"/>
          <w:color w:val="000000"/>
        </w:rPr>
        <w:t xml:space="preserve"> </w:t>
      </w:r>
      <w:r w:rsidRPr="0085657D">
        <w:rPr>
          <w:rFonts w:ascii="Arial" w:hAnsi="Arial" w:cs="Arial"/>
          <w:color w:val="000000"/>
          <w:lang w:val="en-GB"/>
        </w:rPr>
        <w:t>formiranje</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funkcionisanje</w:t>
      </w:r>
      <w:r w:rsidRPr="0085657D">
        <w:rPr>
          <w:rFonts w:ascii="Arial" w:hAnsi="Arial" w:cs="Arial"/>
          <w:color w:val="000000"/>
        </w:rPr>
        <w:t xml:space="preserve"> </w:t>
      </w:r>
      <w:r w:rsidRPr="0085657D">
        <w:rPr>
          <w:rFonts w:ascii="Arial" w:hAnsi="Arial" w:cs="Arial"/>
          <w:color w:val="000000"/>
          <w:lang w:val="en-GB"/>
        </w:rPr>
        <w:t>bilo</w:t>
      </w:r>
      <w:r w:rsidRPr="0085657D">
        <w:rPr>
          <w:rFonts w:ascii="Arial" w:hAnsi="Arial" w:cs="Arial"/>
          <w:color w:val="000000"/>
        </w:rPr>
        <w:t xml:space="preserve"> </w:t>
      </w:r>
      <w:r w:rsidRPr="0085657D">
        <w:rPr>
          <w:rFonts w:ascii="Arial" w:hAnsi="Arial" w:cs="Arial"/>
          <w:color w:val="000000"/>
          <w:lang w:val="en-GB"/>
        </w:rPr>
        <w:t>sistematski</w:t>
      </w:r>
      <w:r w:rsidRPr="0085657D">
        <w:rPr>
          <w:rFonts w:ascii="Arial" w:hAnsi="Arial" w:cs="Arial"/>
          <w:color w:val="000000"/>
        </w:rPr>
        <w:t xml:space="preserve"> </w:t>
      </w:r>
      <w:r w:rsidRPr="0085657D">
        <w:rPr>
          <w:rFonts w:ascii="Arial" w:hAnsi="Arial" w:cs="Arial"/>
          <w:color w:val="000000"/>
          <w:lang w:val="en-GB"/>
        </w:rPr>
        <w:t>ure</w:t>
      </w:r>
      <w:r w:rsidRPr="0085657D">
        <w:rPr>
          <w:rFonts w:ascii="Arial" w:hAnsi="Arial" w:cs="Arial"/>
          <w:color w:val="000000"/>
        </w:rPr>
        <w:t>đ</w:t>
      </w:r>
      <w:r w:rsidRPr="0085657D">
        <w:rPr>
          <w:rFonts w:ascii="Arial" w:hAnsi="Arial" w:cs="Arial"/>
          <w:color w:val="000000"/>
          <w:lang w:val="en-GB"/>
        </w:rPr>
        <w:t>eno</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dugoro</w:t>
      </w:r>
      <w:r w:rsidRPr="0085657D">
        <w:rPr>
          <w:rFonts w:ascii="Arial" w:hAnsi="Arial" w:cs="Arial"/>
          <w:color w:val="000000"/>
        </w:rPr>
        <w:t>č</w:t>
      </w:r>
      <w:r w:rsidRPr="0085657D">
        <w:rPr>
          <w:rFonts w:ascii="Arial" w:hAnsi="Arial" w:cs="Arial"/>
          <w:color w:val="000000"/>
          <w:lang w:val="en-GB"/>
        </w:rPr>
        <w:t>no</w:t>
      </w:r>
      <w:r w:rsidRPr="0085657D">
        <w:rPr>
          <w:rFonts w:ascii="Arial" w:hAnsi="Arial" w:cs="Arial"/>
          <w:color w:val="000000"/>
        </w:rPr>
        <w:t xml:space="preserve"> </w:t>
      </w:r>
      <w:r w:rsidRPr="0085657D">
        <w:rPr>
          <w:rFonts w:ascii="Arial" w:hAnsi="Arial" w:cs="Arial"/>
          <w:color w:val="000000"/>
          <w:lang w:val="en-GB"/>
        </w:rPr>
        <w:t>odr</w:t>
      </w:r>
      <w:r w:rsidRPr="0085657D">
        <w:rPr>
          <w:rFonts w:ascii="Arial" w:hAnsi="Arial" w:cs="Arial"/>
          <w:color w:val="000000"/>
        </w:rPr>
        <w:t>ž</w:t>
      </w:r>
      <w:r w:rsidRPr="0085657D">
        <w:rPr>
          <w:rFonts w:ascii="Arial" w:hAnsi="Arial" w:cs="Arial"/>
          <w:color w:val="000000"/>
          <w:lang w:val="en-GB"/>
        </w:rPr>
        <w:t>ivo</w:t>
      </w:r>
      <w:r w:rsidRPr="0085657D">
        <w:rPr>
          <w:rFonts w:ascii="Arial" w:hAnsi="Arial" w:cs="Arial"/>
          <w:color w:val="000000"/>
        </w:rPr>
        <w:t xml:space="preserve">. </w:t>
      </w:r>
    </w:p>
    <w:p w14:paraId="4B853F57" w14:textId="77777777" w:rsidR="00D903F2" w:rsidRPr="0085657D" w:rsidRDefault="00D903F2" w:rsidP="00D903F2">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Zakonom o postupanju prema maloljetnicima u krivičnom postupku </w:t>
      </w:r>
      <w:r w:rsidRPr="0085657D">
        <w:rPr>
          <w:rFonts w:ascii="Arial" w:hAnsi="Arial" w:cs="Arial"/>
          <w:color w:val="000000"/>
          <w:lang w:val="en-GB"/>
        </w:rPr>
        <w:t>uspostavljene</w:t>
      </w:r>
      <w:r w:rsidRPr="0085657D">
        <w:rPr>
          <w:rFonts w:ascii="Arial" w:hAnsi="Arial" w:cs="Arial"/>
          <w:color w:val="000000"/>
        </w:rPr>
        <w:t xml:space="preserve"> </w:t>
      </w:r>
      <w:r w:rsidRPr="0085657D">
        <w:rPr>
          <w:rFonts w:ascii="Arial" w:hAnsi="Arial" w:cs="Arial"/>
          <w:color w:val="000000"/>
          <w:lang w:val="en-GB"/>
        </w:rPr>
        <w:t>su</w:t>
      </w:r>
      <w:r w:rsidRPr="0085657D">
        <w:rPr>
          <w:rFonts w:ascii="Arial" w:hAnsi="Arial" w:cs="Arial"/>
          <w:color w:val="000000"/>
        </w:rPr>
        <w:t xml:space="preserve"> </w:t>
      </w:r>
      <w:r w:rsidRPr="0085657D">
        <w:rPr>
          <w:rFonts w:ascii="Arial" w:hAnsi="Arial" w:cs="Arial"/>
          <w:i/>
          <w:iCs/>
          <w:color w:val="000000"/>
          <w:lang w:val="en-GB"/>
        </w:rPr>
        <w:t>Stru</w:t>
      </w:r>
      <w:r w:rsidRPr="0085657D">
        <w:rPr>
          <w:rFonts w:ascii="Arial" w:hAnsi="Arial" w:cs="Arial"/>
          <w:i/>
          <w:iCs/>
          <w:color w:val="000000"/>
        </w:rPr>
        <w:t>č</w:t>
      </w:r>
      <w:r w:rsidRPr="0085657D">
        <w:rPr>
          <w:rFonts w:ascii="Arial" w:hAnsi="Arial" w:cs="Arial"/>
          <w:i/>
          <w:iCs/>
          <w:color w:val="000000"/>
          <w:lang w:val="en-GB"/>
        </w:rPr>
        <w:t>ne</w:t>
      </w:r>
      <w:r w:rsidRPr="0085657D">
        <w:rPr>
          <w:rFonts w:ascii="Arial" w:hAnsi="Arial" w:cs="Arial"/>
          <w:i/>
          <w:iCs/>
          <w:color w:val="000000"/>
        </w:rPr>
        <w:t xml:space="preserve"> </w:t>
      </w:r>
      <w:r w:rsidRPr="0085657D">
        <w:rPr>
          <w:rFonts w:ascii="Arial" w:hAnsi="Arial" w:cs="Arial"/>
          <w:i/>
          <w:iCs/>
          <w:color w:val="000000"/>
          <w:lang w:val="en-GB"/>
        </w:rPr>
        <w:t>slu</w:t>
      </w:r>
      <w:r w:rsidRPr="0085657D">
        <w:rPr>
          <w:rFonts w:ascii="Arial" w:hAnsi="Arial" w:cs="Arial"/>
          <w:i/>
          <w:iCs/>
          <w:color w:val="000000"/>
        </w:rPr>
        <w:t>ž</w:t>
      </w:r>
      <w:r w:rsidRPr="0085657D">
        <w:rPr>
          <w:rFonts w:ascii="Arial" w:hAnsi="Arial" w:cs="Arial"/>
          <w:i/>
          <w:iCs/>
          <w:color w:val="000000"/>
          <w:lang w:val="en-GB"/>
        </w:rPr>
        <w:t>be</w:t>
      </w:r>
      <w:r w:rsidRPr="0085657D">
        <w:rPr>
          <w:rFonts w:ascii="Arial" w:hAnsi="Arial" w:cs="Arial"/>
          <w:i/>
          <w:iCs/>
          <w:color w:val="000000"/>
        </w:rPr>
        <w:t xml:space="preserve"> </w:t>
      </w:r>
      <w:r w:rsidRPr="0085657D">
        <w:rPr>
          <w:rFonts w:ascii="Arial" w:hAnsi="Arial" w:cs="Arial"/>
          <w:i/>
          <w:iCs/>
          <w:color w:val="000000"/>
          <w:lang w:val="en-GB"/>
        </w:rPr>
        <w:t>za</w:t>
      </w:r>
      <w:r w:rsidRPr="0085657D">
        <w:rPr>
          <w:rFonts w:ascii="Arial" w:hAnsi="Arial" w:cs="Arial"/>
          <w:i/>
          <w:iCs/>
          <w:color w:val="000000"/>
        </w:rPr>
        <w:t xml:space="preserve"> </w:t>
      </w:r>
      <w:r w:rsidRPr="0085657D">
        <w:rPr>
          <w:rFonts w:ascii="Arial" w:hAnsi="Arial" w:cs="Arial"/>
          <w:i/>
          <w:iCs/>
          <w:color w:val="000000"/>
          <w:lang w:val="en-GB"/>
        </w:rPr>
        <w:t>pru</w:t>
      </w:r>
      <w:r w:rsidRPr="0085657D">
        <w:rPr>
          <w:rFonts w:ascii="Arial" w:hAnsi="Arial" w:cs="Arial"/>
          <w:i/>
          <w:iCs/>
          <w:color w:val="000000"/>
        </w:rPr>
        <w:t>ž</w:t>
      </w:r>
      <w:r w:rsidRPr="0085657D">
        <w:rPr>
          <w:rFonts w:ascii="Arial" w:hAnsi="Arial" w:cs="Arial"/>
          <w:i/>
          <w:iCs/>
          <w:color w:val="000000"/>
          <w:lang w:val="en-GB"/>
        </w:rPr>
        <w:t>anje</w:t>
      </w:r>
      <w:r w:rsidRPr="0085657D">
        <w:rPr>
          <w:rFonts w:ascii="Arial" w:hAnsi="Arial" w:cs="Arial"/>
          <w:i/>
          <w:iCs/>
          <w:color w:val="000000"/>
        </w:rPr>
        <w:t xml:space="preserve"> </w:t>
      </w:r>
      <w:r w:rsidRPr="0085657D">
        <w:rPr>
          <w:rFonts w:ascii="Arial" w:hAnsi="Arial" w:cs="Arial"/>
          <w:i/>
          <w:iCs/>
          <w:color w:val="000000"/>
          <w:lang w:val="en-GB"/>
        </w:rPr>
        <w:t>pomo</w:t>
      </w:r>
      <w:r w:rsidRPr="0085657D">
        <w:rPr>
          <w:rFonts w:ascii="Arial" w:hAnsi="Arial" w:cs="Arial"/>
          <w:i/>
          <w:iCs/>
          <w:color w:val="000000"/>
        </w:rPr>
        <w:t>ć</w:t>
      </w:r>
      <w:r w:rsidRPr="0085657D">
        <w:rPr>
          <w:rFonts w:ascii="Arial" w:hAnsi="Arial" w:cs="Arial"/>
          <w:i/>
          <w:iCs/>
          <w:color w:val="000000"/>
          <w:lang w:val="en-GB"/>
        </w:rPr>
        <w:t>i</w:t>
      </w:r>
      <w:r w:rsidRPr="0085657D">
        <w:rPr>
          <w:rFonts w:ascii="Arial" w:hAnsi="Arial" w:cs="Arial"/>
          <w:i/>
          <w:iCs/>
          <w:color w:val="000000"/>
        </w:rPr>
        <w:t xml:space="preserve"> </w:t>
      </w:r>
      <w:r w:rsidRPr="0085657D">
        <w:rPr>
          <w:rFonts w:ascii="Arial" w:hAnsi="Arial" w:cs="Arial"/>
          <w:i/>
          <w:iCs/>
          <w:color w:val="000000"/>
          <w:lang w:val="en-GB"/>
        </w:rPr>
        <w:t>sudovima</w:t>
      </w:r>
      <w:r w:rsidRPr="0085657D">
        <w:rPr>
          <w:rFonts w:ascii="Arial" w:hAnsi="Arial" w:cs="Arial"/>
          <w:i/>
          <w:iCs/>
          <w:color w:val="000000"/>
        </w:rPr>
        <w:t xml:space="preserve"> </w:t>
      </w:r>
      <w:r w:rsidRPr="0085657D">
        <w:rPr>
          <w:rFonts w:ascii="Arial" w:hAnsi="Arial" w:cs="Arial"/>
          <w:i/>
          <w:iCs/>
          <w:color w:val="000000"/>
          <w:lang w:val="en-GB"/>
        </w:rPr>
        <w:t>i</w:t>
      </w:r>
      <w:r w:rsidRPr="0085657D">
        <w:rPr>
          <w:rFonts w:ascii="Arial" w:hAnsi="Arial" w:cs="Arial"/>
          <w:i/>
          <w:iCs/>
          <w:color w:val="000000"/>
        </w:rPr>
        <w:t xml:space="preserve"> </w:t>
      </w:r>
      <w:r w:rsidRPr="0085657D">
        <w:rPr>
          <w:rFonts w:ascii="Arial" w:hAnsi="Arial" w:cs="Arial"/>
          <w:i/>
          <w:iCs/>
          <w:color w:val="000000"/>
          <w:lang w:val="en-GB"/>
        </w:rPr>
        <w:t>dr</w:t>
      </w:r>
      <w:r w:rsidRPr="0085657D">
        <w:rPr>
          <w:rFonts w:ascii="Arial" w:hAnsi="Arial" w:cs="Arial"/>
          <w:i/>
          <w:iCs/>
          <w:color w:val="000000"/>
        </w:rPr>
        <w:t>ž</w:t>
      </w:r>
      <w:r w:rsidRPr="0085657D">
        <w:rPr>
          <w:rFonts w:ascii="Arial" w:hAnsi="Arial" w:cs="Arial"/>
          <w:i/>
          <w:iCs/>
          <w:color w:val="000000"/>
          <w:lang w:val="en-GB"/>
        </w:rPr>
        <w:t>avnim</w:t>
      </w:r>
      <w:r w:rsidRPr="0085657D">
        <w:rPr>
          <w:rFonts w:ascii="Arial" w:hAnsi="Arial" w:cs="Arial"/>
          <w:i/>
          <w:iCs/>
          <w:color w:val="000000"/>
        </w:rPr>
        <w:t xml:space="preserve"> </w:t>
      </w:r>
      <w:r w:rsidRPr="0085657D">
        <w:rPr>
          <w:rFonts w:ascii="Arial" w:hAnsi="Arial" w:cs="Arial"/>
          <w:i/>
          <w:iCs/>
          <w:color w:val="000000"/>
          <w:lang w:val="en-GB"/>
        </w:rPr>
        <w:t>tu</w:t>
      </w:r>
      <w:r w:rsidRPr="0085657D">
        <w:rPr>
          <w:rFonts w:ascii="Arial" w:hAnsi="Arial" w:cs="Arial"/>
          <w:i/>
          <w:iCs/>
          <w:color w:val="000000"/>
        </w:rPr>
        <w:t>ž</w:t>
      </w:r>
      <w:r w:rsidRPr="0085657D">
        <w:rPr>
          <w:rFonts w:ascii="Arial" w:hAnsi="Arial" w:cs="Arial"/>
          <w:i/>
          <w:iCs/>
          <w:color w:val="000000"/>
          <w:lang w:val="en-GB"/>
        </w:rPr>
        <w:t>ila</w:t>
      </w:r>
      <w:r w:rsidRPr="0085657D">
        <w:rPr>
          <w:rFonts w:ascii="Arial" w:hAnsi="Arial" w:cs="Arial"/>
          <w:i/>
          <w:iCs/>
          <w:color w:val="000000"/>
        </w:rPr>
        <w:t>š</w:t>
      </w:r>
      <w:r w:rsidRPr="0085657D">
        <w:rPr>
          <w:rFonts w:ascii="Arial" w:hAnsi="Arial" w:cs="Arial"/>
          <w:i/>
          <w:iCs/>
          <w:color w:val="000000"/>
          <w:lang w:val="en-GB"/>
        </w:rPr>
        <w:t>tvima</w:t>
      </w:r>
      <w:r w:rsidRPr="0085657D">
        <w:rPr>
          <w:rFonts w:ascii="Arial" w:hAnsi="Arial" w:cs="Arial"/>
          <w:i/>
          <w:iCs/>
          <w:color w:val="000000"/>
        </w:rPr>
        <w:t xml:space="preserve"> </w:t>
      </w:r>
      <w:r w:rsidRPr="0085657D">
        <w:rPr>
          <w:rFonts w:ascii="Arial" w:hAnsi="Arial" w:cs="Arial"/>
          <w:i/>
          <w:iCs/>
          <w:color w:val="000000"/>
          <w:lang w:val="en-GB"/>
        </w:rPr>
        <w:t>u</w:t>
      </w:r>
      <w:r w:rsidRPr="0085657D">
        <w:rPr>
          <w:rFonts w:ascii="Arial" w:hAnsi="Arial" w:cs="Arial"/>
          <w:i/>
          <w:iCs/>
          <w:color w:val="000000"/>
        </w:rPr>
        <w:t xml:space="preserve"> </w:t>
      </w:r>
      <w:r w:rsidRPr="0085657D">
        <w:rPr>
          <w:rFonts w:ascii="Arial" w:hAnsi="Arial" w:cs="Arial"/>
          <w:i/>
          <w:iCs/>
          <w:color w:val="000000"/>
          <w:lang w:val="en-GB"/>
        </w:rPr>
        <w:t>postupanju</w:t>
      </w:r>
      <w:r w:rsidRPr="0085657D">
        <w:rPr>
          <w:rFonts w:ascii="Arial" w:hAnsi="Arial" w:cs="Arial"/>
          <w:i/>
          <w:iCs/>
          <w:color w:val="000000"/>
        </w:rPr>
        <w:t xml:space="preserve"> </w:t>
      </w:r>
      <w:r w:rsidRPr="0085657D">
        <w:rPr>
          <w:rFonts w:ascii="Arial" w:hAnsi="Arial" w:cs="Arial"/>
          <w:i/>
          <w:iCs/>
          <w:color w:val="000000"/>
          <w:lang w:val="en-GB"/>
        </w:rPr>
        <w:t>sa</w:t>
      </w:r>
      <w:r w:rsidRPr="0085657D">
        <w:rPr>
          <w:rFonts w:ascii="Arial" w:hAnsi="Arial" w:cs="Arial"/>
          <w:i/>
          <w:iCs/>
          <w:color w:val="000000"/>
        </w:rPr>
        <w:t xml:space="preserve"> </w:t>
      </w:r>
      <w:r w:rsidRPr="0085657D">
        <w:rPr>
          <w:rFonts w:ascii="Arial" w:hAnsi="Arial" w:cs="Arial"/>
          <w:i/>
          <w:iCs/>
          <w:color w:val="000000"/>
          <w:lang w:val="en-GB"/>
        </w:rPr>
        <w:t>maloljetnim</w:t>
      </w:r>
      <w:r w:rsidRPr="0085657D">
        <w:rPr>
          <w:rFonts w:ascii="Arial" w:hAnsi="Arial" w:cs="Arial"/>
          <w:i/>
          <w:iCs/>
          <w:color w:val="000000"/>
        </w:rPr>
        <w:t xml:space="preserve"> </w:t>
      </w:r>
      <w:r w:rsidRPr="0085657D">
        <w:rPr>
          <w:rFonts w:ascii="Arial" w:hAnsi="Arial" w:cs="Arial"/>
          <w:i/>
          <w:iCs/>
          <w:color w:val="000000"/>
          <w:lang w:val="en-GB"/>
        </w:rPr>
        <w:t>po</w:t>
      </w:r>
      <w:r w:rsidRPr="0085657D">
        <w:rPr>
          <w:rFonts w:ascii="Arial" w:hAnsi="Arial" w:cs="Arial"/>
          <w:i/>
          <w:iCs/>
          <w:color w:val="000000"/>
        </w:rPr>
        <w:t>č</w:t>
      </w:r>
      <w:r w:rsidRPr="0085657D">
        <w:rPr>
          <w:rFonts w:ascii="Arial" w:hAnsi="Arial" w:cs="Arial"/>
          <w:i/>
          <w:iCs/>
          <w:color w:val="000000"/>
          <w:lang w:val="en-GB"/>
        </w:rPr>
        <w:t>iniocima</w:t>
      </w:r>
      <w:r w:rsidRPr="0085657D">
        <w:rPr>
          <w:rFonts w:ascii="Arial" w:hAnsi="Arial" w:cs="Arial"/>
          <w:i/>
          <w:iCs/>
          <w:color w:val="000000"/>
        </w:rPr>
        <w:t xml:space="preserve"> </w:t>
      </w:r>
      <w:r w:rsidRPr="0085657D">
        <w:rPr>
          <w:rFonts w:ascii="Arial" w:hAnsi="Arial" w:cs="Arial"/>
          <w:i/>
          <w:iCs/>
          <w:color w:val="000000"/>
          <w:lang w:val="en-GB"/>
        </w:rPr>
        <w:t>krivi</w:t>
      </w:r>
      <w:r w:rsidRPr="0085657D">
        <w:rPr>
          <w:rFonts w:ascii="Arial" w:hAnsi="Arial" w:cs="Arial"/>
          <w:i/>
          <w:iCs/>
          <w:color w:val="000000"/>
        </w:rPr>
        <w:t>č</w:t>
      </w:r>
      <w:r w:rsidRPr="0085657D">
        <w:rPr>
          <w:rFonts w:ascii="Arial" w:hAnsi="Arial" w:cs="Arial"/>
          <w:i/>
          <w:iCs/>
          <w:color w:val="000000"/>
          <w:lang w:val="en-GB"/>
        </w:rPr>
        <w:t>nih</w:t>
      </w:r>
      <w:r w:rsidRPr="0085657D">
        <w:rPr>
          <w:rFonts w:ascii="Arial" w:hAnsi="Arial" w:cs="Arial"/>
          <w:i/>
          <w:iCs/>
          <w:color w:val="000000"/>
        </w:rPr>
        <w:t xml:space="preserve"> </w:t>
      </w:r>
      <w:r w:rsidRPr="0085657D">
        <w:rPr>
          <w:rFonts w:ascii="Arial" w:hAnsi="Arial" w:cs="Arial"/>
          <w:i/>
          <w:iCs/>
          <w:color w:val="000000"/>
          <w:lang w:val="en-GB"/>
        </w:rPr>
        <w:t>djela</w:t>
      </w:r>
      <w:r w:rsidRPr="0085657D">
        <w:rPr>
          <w:rFonts w:ascii="Arial" w:hAnsi="Arial" w:cs="Arial"/>
          <w:color w:val="000000"/>
        </w:rPr>
        <w:t xml:space="preserve">. </w:t>
      </w:r>
      <w:r w:rsidRPr="0085657D">
        <w:rPr>
          <w:rFonts w:ascii="Arial" w:hAnsi="Arial" w:cs="Arial"/>
          <w:color w:val="000000"/>
          <w:lang w:val="en-GB"/>
        </w:rPr>
        <w:t>Ove</w:t>
      </w:r>
      <w:r w:rsidRPr="0085657D">
        <w:rPr>
          <w:rFonts w:ascii="Arial" w:hAnsi="Arial" w:cs="Arial"/>
          <w:color w:val="000000"/>
        </w:rPr>
        <w:t xml:space="preserve"> </w:t>
      </w:r>
      <w:r w:rsidRPr="0085657D">
        <w:rPr>
          <w:rFonts w:ascii="Arial" w:hAnsi="Arial" w:cs="Arial"/>
          <w:color w:val="000000"/>
          <w:lang w:val="en-GB"/>
        </w:rPr>
        <w:t>slu</w:t>
      </w:r>
      <w:r w:rsidRPr="0085657D">
        <w:rPr>
          <w:rFonts w:ascii="Arial" w:hAnsi="Arial" w:cs="Arial"/>
          <w:color w:val="000000"/>
        </w:rPr>
        <w:t>ž</w:t>
      </w:r>
      <w:r w:rsidRPr="0085657D">
        <w:rPr>
          <w:rFonts w:ascii="Arial" w:hAnsi="Arial" w:cs="Arial"/>
          <w:color w:val="000000"/>
          <w:lang w:val="en-GB"/>
        </w:rPr>
        <w:t>be</w:t>
      </w:r>
      <w:r w:rsidRPr="0085657D">
        <w:rPr>
          <w:rFonts w:ascii="Arial" w:hAnsi="Arial" w:cs="Arial"/>
          <w:color w:val="000000"/>
        </w:rPr>
        <w:t xml:space="preserve"> </w:t>
      </w:r>
      <w:r w:rsidRPr="0085657D">
        <w:rPr>
          <w:rFonts w:ascii="Arial" w:hAnsi="Arial" w:cs="Arial"/>
          <w:color w:val="000000"/>
          <w:lang w:val="en-GB"/>
        </w:rPr>
        <w:t>formirane</w:t>
      </w:r>
      <w:r w:rsidRPr="0085657D">
        <w:rPr>
          <w:rFonts w:ascii="Arial" w:hAnsi="Arial" w:cs="Arial"/>
          <w:color w:val="000000"/>
        </w:rPr>
        <w:t xml:space="preserve"> </w:t>
      </w:r>
      <w:r w:rsidRPr="0085657D">
        <w:rPr>
          <w:rFonts w:ascii="Arial" w:hAnsi="Arial" w:cs="Arial"/>
          <w:color w:val="000000"/>
          <w:lang w:val="en-GB"/>
        </w:rPr>
        <w:t>su</w:t>
      </w:r>
      <w:r w:rsidRPr="0085657D">
        <w:rPr>
          <w:rFonts w:ascii="Arial" w:hAnsi="Arial" w:cs="Arial"/>
          <w:color w:val="000000"/>
        </w:rPr>
        <w:t xml:space="preserve"> </w:t>
      </w:r>
      <w:r w:rsidRPr="0085657D">
        <w:rPr>
          <w:rFonts w:ascii="Arial" w:hAnsi="Arial" w:cs="Arial"/>
          <w:color w:val="000000"/>
          <w:lang w:val="en-GB"/>
        </w:rPr>
        <w:t>pri</w:t>
      </w:r>
      <w:r w:rsidRPr="0085657D">
        <w:rPr>
          <w:rFonts w:ascii="Arial" w:hAnsi="Arial" w:cs="Arial"/>
          <w:color w:val="000000"/>
        </w:rPr>
        <w:t xml:space="preserve"> </w:t>
      </w:r>
      <w:r w:rsidRPr="0085657D">
        <w:rPr>
          <w:rFonts w:ascii="Arial" w:hAnsi="Arial" w:cs="Arial"/>
          <w:color w:val="000000"/>
          <w:lang w:val="en-GB"/>
        </w:rPr>
        <w:t>vi</w:t>
      </w:r>
      <w:r w:rsidRPr="0085657D">
        <w:rPr>
          <w:rFonts w:ascii="Arial" w:hAnsi="Arial" w:cs="Arial"/>
          <w:color w:val="000000"/>
        </w:rPr>
        <w:t>š</w:t>
      </w:r>
      <w:r w:rsidRPr="0085657D">
        <w:rPr>
          <w:rFonts w:ascii="Arial" w:hAnsi="Arial" w:cs="Arial"/>
          <w:color w:val="000000"/>
          <w:lang w:val="en-GB"/>
        </w:rPr>
        <w:t>im</w:t>
      </w:r>
      <w:r w:rsidRPr="0085657D">
        <w:rPr>
          <w:rFonts w:ascii="Arial" w:hAnsi="Arial" w:cs="Arial"/>
          <w:color w:val="000000"/>
        </w:rPr>
        <w:t xml:space="preserve"> </w:t>
      </w:r>
      <w:r w:rsidRPr="0085657D">
        <w:rPr>
          <w:rFonts w:ascii="Arial" w:hAnsi="Arial" w:cs="Arial"/>
          <w:color w:val="000000"/>
          <w:lang w:val="en-GB"/>
        </w:rPr>
        <w:t>sudovima</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Vrhovnom</w:t>
      </w:r>
      <w:r w:rsidRPr="0085657D">
        <w:rPr>
          <w:rFonts w:ascii="Arial" w:hAnsi="Arial" w:cs="Arial"/>
          <w:color w:val="000000"/>
        </w:rPr>
        <w:t xml:space="preserve"> </w:t>
      </w:r>
      <w:r w:rsidRPr="0085657D">
        <w:rPr>
          <w:rFonts w:ascii="Arial" w:hAnsi="Arial" w:cs="Arial"/>
          <w:color w:val="000000"/>
          <w:lang w:val="en-GB"/>
        </w:rPr>
        <w:t>dr</w:t>
      </w:r>
      <w:r w:rsidRPr="0085657D">
        <w:rPr>
          <w:rFonts w:ascii="Arial" w:hAnsi="Arial" w:cs="Arial"/>
          <w:color w:val="000000"/>
        </w:rPr>
        <w:t>ž</w:t>
      </w:r>
      <w:r w:rsidRPr="0085657D">
        <w:rPr>
          <w:rFonts w:ascii="Arial" w:hAnsi="Arial" w:cs="Arial"/>
          <w:color w:val="000000"/>
          <w:lang w:val="en-GB"/>
        </w:rPr>
        <w:t>avnom</w:t>
      </w:r>
      <w:r w:rsidRPr="0085657D">
        <w:rPr>
          <w:rFonts w:ascii="Arial" w:hAnsi="Arial" w:cs="Arial"/>
          <w:color w:val="000000"/>
        </w:rPr>
        <w:t xml:space="preserve"> </w:t>
      </w:r>
      <w:r w:rsidRPr="0085657D">
        <w:rPr>
          <w:rFonts w:ascii="Arial" w:hAnsi="Arial" w:cs="Arial"/>
          <w:color w:val="000000"/>
          <w:lang w:val="en-GB"/>
        </w:rPr>
        <w:t>tu</w:t>
      </w:r>
      <w:r w:rsidRPr="0085657D">
        <w:rPr>
          <w:rFonts w:ascii="Arial" w:hAnsi="Arial" w:cs="Arial"/>
          <w:color w:val="000000"/>
        </w:rPr>
        <w:t>ž</w:t>
      </w:r>
      <w:r w:rsidRPr="0085657D">
        <w:rPr>
          <w:rFonts w:ascii="Arial" w:hAnsi="Arial" w:cs="Arial"/>
          <w:color w:val="000000"/>
          <w:lang w:val="en-GB"/>
        </w:rPr>
        <w:t>ila</w:t>
      </w:r>
      <w:r w:rsidRPr="0085657D">
        <w:rPr>
          <w:rFonts w:ascii="Arial" w:hAnsi="Arial" w:cs="Arial"/>
          <w:color w:val="000000"/>
        </w:rPr>
        <w:t>š</w:t>
      </w:r>
      <w:r w:rsidRPr="0085657D">
        <w:rPr>
          <w:rFonts w:ascii="Arial" w:hAnsi="Arial" w:cs="Arial"/>
          <w:color w:val="000000"/>
          <w:lang w:val="en-GB"/>
        </w:rPr>
        <w:t>tvu</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pru</w:t>
      </w:r>
      <w:r w:rsidRPr="0085657D">
        <w:rPr>
          <w:rFonts w:ascii="Arial" w:hAnsi="Arial" w:cs="Arial"/>
          <w:color w:val="000000"/>
        </w:rPr>
        <w:t>ž</w:t>
      </w:r>
      <w:r w:rsidRPr="0085657D">
        <w:rPr>
          <w:rFonts w:ascii="Arial" w:hAnsi="Arial" w:cs="Arial"/>
          <w:color w:val="000000"/>
          <w:lang w:val="en-GB"/>
        </w:rPr>
        <w:t>aju</w:t>
      </w:r>
      <w:r w:rsidRPr="0085657D">
        <w:rPr>
          <w:rFonts w:ascii="Arial" w:hAnsi="Arial" w:cs="Arial"/>
          <w:color w:val="000000"/>
        </w:rPr>
        <w:t xml:space="preserve"> </w:t>
      </w:r>
      <w:r w:rsidRPr="0085657D">
        <w:rPr>
          <w:rFonts w:ascii="Arial" w:hAnsi="Arial" w:cs="Arial"/>
          <w:color w:val="000000"/>
          <w:lang w:val="en-GB"/>
        </w:rPr>
        <w:t>pomo</w:t>
      </w:r>
      <w:r w:rsidRPr="0085657D">
        <w:rPr>
          <w:rFonts w:ascii="Arial" w:hAnsi="Arial" w:cs="Arial"/>
          <w:color w:val="000000"/>
        </w:rPr>
        <w:t xml:space="preserve">ć </w:t>
      </w:r>
      <w:r w:rsidRPr="0085657D">
        <w:rPr>
          <w:rFonts w:ascii="Arial" w:hAnsi="Arial" w:cs="Arial"/>
          <w:color w:val="000000"/>
          <w:lang w:val="en-GB"/>
        </w:rPr>
        <w:t>sudovima</w:t>
      </w:r>
      <w:r w:rsidRPr="0085657D">
        <w:rPr>
          <w:rFonts w:ascii="Arial" w:hAnsi="Arial" w:cs="Arial"/>
          <w:color w:val="000000"/>
        </w:rPr>
        <w:t xml:space="preserve"> i tužilaštvima </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podru</w:t>
      </w:r>
      <w:r w:rsidRPr="0085657D">
        <w:rPr>
          <w:rFonts w:ascii="Arial" w:hAnsi="Arial" w:cs="Arial"/>
          <w:color w:val="000000"/>
        </w:rPr>
        <w:t>č</w:t>
      </w:r>
      <w:r w:rsidRPr="0085657D">
        <w:rPr>
          <w:rFonts w:ascii="Arial" w:hAnsi="Arial" w:cs="Arial"/>
          <w:color w:val="000000"/>
          <w:lang w:val="en-GB"/>
        </w:rPr>
        <w:t>ju</w:t>
      </w:r>
      <w:r w:rsidRPr="0085657D">
        <w:rPr>
          <w:rFonts w:ascii="Arial" w:hAnsi="Arial" w:cs="Arial"/>
          <w:color w:val="000000"/>
        </w:rPr>
        <w:t xml:space="preserve"> </w:t>
      </w:r>
      <w:r w:rsidRPr="0085657D">
        <w:rPr>
          <w:rFonts w:ascii="Arial" w:hAnsi="Arial" w:cs="Arial"/>
          <w:color w:val="000000"/>
          <w:lang w:val="en-GB"/>
        </w:rPr>
        <w:t>mjesne</w:t>
      </w:r>
      <w:r w:rsidRPr="0085657D">
        <w:rPr>
          <w:rFonts w:ascii="Arial" w:hAnsi="Arial" w:cs="Arial"/>
          <w:color w:val="000000"/>
        </w:rPr>
        <w:t xml:space="preserve"> </w:t>
      </w:r>
      <w:r w:rsidRPr="0085657D">
        <w:rPr>
          <w:rFonts w:ascii="Arial" w:hAnsi="Arial" w:cs="Arial"/>
          <w:color w:val="000000"/>
          <w:lang w:val="en-GB"/>
        </w:rPr>
        <w:t>nadle</w:t>
      </w:r>
      <w:r w:rsidRPr="0085657D">
        <w:rPr>
          <w:rFonts w:ascii="Arial" w:hAnsi="Arial" w:cs="Arial"/>
          <w:color w:val="000000"/>
        </w:rPr>
        <w:t>ž</w:t>
      </w:r>
      <w:r w:rsidRPr="0085657D">
        <w:rPr>
          <w:rFonts w:ascii="Arial" w:hAnsi="Arial" w:cs="Arial"/>
          <w:color w:val="000000"/>
          <w:lang w:val="en-GB"/>
        </w:rPr>
        <w:t>nosti</w:t>
      </w:r>
      <w:r w:rsidRPr="0085657D">
        <w:rPr>
          <w:rFonts w:ascii="Arial" w:hAnsi="Arial" w:cs="Arial"/>
          <w:color w:val="000000"/>
        </w:rPr>
        <w:t xml:space="preserve"> </w:t>
      </w:r>
      <w:r w:rsidRPr="0085657D">
        <w:rPr>
          <w:rFonts w:ascii="Arial" w:hAnsi="Arial" w:cs="Arial"/>
          <w:color w:val="000000"/>
          <w:lang w:val="en-GB"/>
        </w:rPr>
        <w:t>tih</w:t>
      </w:r>
      <w:r w:rsidRPr="0085657D">
        <w:rPr>
          <w:rFonts w:ascii="Arial" w:hAnsi="Arial" w:cs="Arial"/>
          <w:color w:val="000000"/>
        </w:rPr>
        <w:t xml:space="preserve"> </w:t>
      </w:r>
      <w:r w:rsidRPr="0085657D">
        <w:rPr>
          <w:rFonts w:ascii="Arial" w:hAnsi="Arial" w:cs="Arial"/>
          <w:color w:val="000000"/>
          <w:lang w:val="en-GB"/>
        </w:rPr>
        <w:t>sudova</w:t>
      </w:r>
      <w:r w:rsidRPr="0085657D">
        <w:rPr>
          <w:rFonts w:ascii="Arial" w:hAnsi="Arial" w:cs="Arial"/>
          <w:color w:val="000000"/>
        </w:rPr>
        <w:t xml:space="preserve"> odnosno tužilaštava. Č</w:t>
      </w:r>
      <w:r w:rsidRPr="0085657D">
        <w:rPr>
          <w:rFonts w:ascii="Arial" w:hAnsi="Arial" w:cs="Arial"/>
          <w:color w:val="000000"/>
          <w:lang w:val="en-GB"/>
        </w:rPr>
        <w:t>ine</w:t>
      </w:r>
      <w:r w:rsidRPr="0085657D">
        <w:rPr>
          <w:rFonts w:ascii="Arial" w:hAnsi="Arial" w:cs="Arial"/>
          <w:color w:val="000000"/>
        </w:rPr>
        <w:t xml:space="preserve"> </w:t>
      </w:r>
      <w:r w:rsidRPr="0085657D">
        <w:rPr>
          <w:rFonts w:ascii="Arial" w:hAnsi="Arial" w:cs="Arial"/>
          <w:color w:val="000000"/>
          <w:lang w:val="en-GB"/>
        </w:rPr>
        <w:t>ih</w:t>
      </w:r>
      <w:r w:rsidRPr="0085657D">
        <w:rPr>
          <w:rFonts w:ascii="Arial" w:hAnsi="Arial" w:cs="Arial"/>
          <w:color w:val="000000"/>
        </w:rPr>
        <w:t xml:space="preserve"> </w:t>
      </w:r>
      <w:r w:rsidRPr="0085657D">
        <w:rPr>
          <w:rFonts w:ascii="Arial" w:hAnsi="Arial" w:cs="Arial"/>
          <w:color w:val="000000"/>
          <w:lang w:val="en-GB"/>
        </w:rPr>
        <w:t>stru</w:t>
      </w:r>
      <w:r w:rsidRPr="0085657D">
        <w:rPr>
          <w:rFonts w:ascii="Arial" w:hAnsi="Arial" w:cs="Arial"/>
          <w:color w:val="000000"/>
        </w:rPr>
        <w:t>č</w:t>
      </w:r>
      <w:r w:rsidRPr="0085657D">
        <w:rPr>
          <w:rFonts w:ascii="Arial" w:hAnsi="Arial" w:cs="Arial"/>
          <w:color w:val="000000"/>
          <w:lang w:val="en-GB"/>
        </w:rPr>
        <w:t>njaci</w:t>
      </w:r>
      <w:r w:rsidRPr="0085657D">
        <w:rPr>
          <w:rFonts w:ascii="Arial" w:hAnsi="Arial" w:cs="Arial"/>
          <w:color w:val="000000"/>
        </w:rPr>
        <w:t xml:space="preserve"> </w:t>
      </w:r>
      <w:r w:rsidRPr="0085657D">
        <w:rPr>
          <w:rFonts w:ascii="Arial" w:hAnsi="Arial" w:cs="Arial"/>
          <w:color w:val="000000"/>
          <w:lang w:val="en-GB"/>
        </w:rPr>
        <w:t>razli</w:t>
      </w:r>
      <w:r w:rsidRPr="0085657D">
        <w:rPr>
          <w:rFonts w:ascii="Arial" w:hAnsi="Arial" w:cs="Arial"/>
          <w:color w:val="000000"/>
        </w:rPr>
        <w:t>č</w:t>
      </w:r>
      <w:r w:rsidRPr="0085657D">
        <w:rPr>
          <w:rFonts w:ascii="Arial" w:hAnsi="Arial" w:cs="Arial"/>
          <w:color w:val="000000"/>
          <w:lang w:val="en-GB"/>
        </w:rPr>
        <w:t>itih</w:t>
      </w:r>
      <w:r w:rsidRPr="0085657D">
        <w:rPr>
          <w:rFonts w:ascii="Arial" w:hAnsi="Arial" w:cs="Arial"/>
          <w:color w:val="000000"/>
        </w:rPr>
        <w:t xml:space="preserve"> </w:t>
      </w:r>
      <w:r w:rsidRPr="0085657D">
        <w:rPr>
          <w:rFonts w:ascii="Arial" w:hAnsi="Arial" w:cs="Arial"/>
          <w:color w:val="000000"/>
          <w:lang w:val="en-GB"/>
        </w:rPr>
        <w:t>struka</w:t>
      </w:r>
      <w:r w:rsidRPr="0085657D">
        <w:rPr>
          <w:rFonts w:ascii="Arial" w:hAnsi="Arial" w:cs="Arial"/>
          <w:color w:val="000000"/>
        </w:rPr>
        <w:t xml:space="preserve"> (</w:t>
      </w:r>
      <w:r w:rsidRPr="0085657D">
        <w:rPr>
          <w:rFonts w:ascii="Arial" w:hAnsi="Arial" w:cs="Arial"/>
          <w:color w:val="000000"/>
          <w:lang w:val="en-GB"/>
        </w:rPr>
        <w:t>socijalni</w:t>
      </w:r>
      <w:r w:rsidRPr="0085657D">
        <w:rPr>
          <w:rFonts w:ascii="Arial" w:hAnsi="Arial" w:cs="Arial"/>
          <w:color w:val="000000"/>
        </w:rPr>
        <w:t xml:space="preserve"> </w:t>
      </w:r>
      <w:r w:rsidRPr="0085657D">
        <w:rPr>
          <w:rFonts w:ascii="Arial" w:hAnsi="Arial" w:cs="Arial"/>
          <w:color w:val="000000"/>
          <w:lang w:val="en-GB"/>
        </w:rPr>
        <w:t>radnici</w:t>
      </w:r>
      <w:r w:rsidRPr="0085657D">
        <w:rPr>
          <w:rFonts w:ascii="Arial" w:hAnsi="Arial" w:cs="Arial"/>
          <w:color w:val="000000"/>
        </w:rPr>
        <w:t xml:space="preserve">, </w:t>
      </w:r>
      <w:r w:rsidRPr="0085657D">
        <w:rPr>
          <w:rFonts w:ascii="Arial" w:hAnsi="Arial" w:cs="Arial"/>
          <w:color w:val="000000"/>
          <w:lang w:val="en-GB"/>
        </w:rPr>
        <w:t>psiholozi</w:t>
      </w:r>
      <w:r w:rsidRPr="0085657D">
        <w:rPr>
          <w:rFonts w:ascii="Arial" w:hAnsi="Arial" w:cs="Arial"/>
          <w:color w:val="000000"/>
        </w:rPr>
        <w:t xml:space="preserve">, </w:t>
      </w:r>
      <w:r w:rsidRPr="0085657D">
        <w:rPr>
          <w:rFonts w:ascii="Arial" w:hAnsi="Arial" w:cs="Arial"/>
          <w:color w:val="000000"/>
          <w:lang w:val="en-GB"/>
        </w:rPr>
        <w:t>pedagozi</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dr</w:t>
      </w:r>
      <w:r w:rsidRPr="0085657D">
        <w:rPr>
          <w:rFonts w:ascii="Arial" w:hAnsi="Arial" w:cs="Arial"/>
          <w:color w:val="000000"/>
        </w:rPr>
        <w:t xml:space="preserve">.), </w:t>
      </w:r>
      <w:r w:rsidRPr="0085657D">
        <w:rPr>
          <w:rFonts w:ascii="Arial" w:hAnsi="Arial" w:cs="Arial"/>
          <w:color w:val="000000"/>
          <w:lang w:val="en-GB"/>
        </w:rPr>
        <w:t>koji</w:t>
      </w:r>
      <w:r w:rsidRPr="0085657D">
        <w:rPr>
          <w:rFonts w:ascii="Arial" w:hAnsi="Arial" w:cs="Arial"/>
          <w:color w:val="000000"/>
        </w:rPr>
        <w:t xml:space="preserve"> </w:t>
      </w:r>
      <w:r w:rsidRPr="0085657D">
        <w:rPr>
          <w:rFonts w:ascii="Arial" w:hAnsi="Arial" w:cs="Arial"/>
          <w:color w:val="000000"/>
          <w:lang w:val="en-GB"/>
        </w:rPr>
        <w:t>mogu</w:t>
      </w:r>
      <w:r w:rsidRPr="0085657D">
        <w:rPr>
          <w:rFonts w:ascii="Arial" w:hAnsi="Arial" w:cs="Arial"/>
          <w:color w:val="000000"/>
        </w:rPr>
        <w:t xml:space="preserve"> </w:t>
      </w:r>
      <w:r w:rsidRPr="0085657D">
        <w:rPr>
          <w:rFonts w:ascii="Arial" w:hAnsi="Arial" w:cs="Arial"/>
          <w:color w:val="000000"/>
          <w:lang w:val="en-GB"/>
        </w:rPr>
        <w:t>davati</w:t>
      </w:r>
      <w:r w:rsidRPr="0085657D">
        <w:rPr>
          <w:rFonts w:ascii="Arial" w:hAnsi="Arial" w:cs="Arial"/>
          <w:color w:val="000000"/>
        </w:rPr>
        <w:t xml:space="preserve"> </w:t>
      </w:r>
      <w:r w:rsidRPr="0085657D">
        <w:rPr>
          <w:rFonts w:ascii="Arial" w:hAnsi="Arial" w:cs="Arial"/>
          <w:color w:val="000000"/>
          <w:lang w:val="en-GB"/>
        </w:rPr>
        <w:t>stru</w:t>
      </w:r>
      <w:r w:rsidRPr="0085657D">
        <w:rPr>
          <w:rFonts w:ascii="Arial" w:hAnsi="Arial" w:cs="Arial"/>
          <w:color w:val="000000"/>
        </w:rPr>
        <w:t>č</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mi</w:t>
      </w:r>
      <w:r w:rsidRPr="0085657D">
        <w:rPr>
          <w:rFonts w:ascii="Arial" w:hAnsi="Arial" w:cs="Arial"/>
          <w:color w:val="000000"/>
        </w:rPr>
        <w:t>š</w:t>
      </w:r>
      <w:r w:rsidRPr="0085657D">
        <w:rPr>
          <w:rFonts w:ascii="Arial" w:hAnsi="Arial" w:cs="Arial"/>
          <w:color w:val="000000"/>
          <w:lang w:val="en-GB"/>
        </w:rPr>
        <w:t>ljenja</w:t>
      </w:r>
      <w:r w:rsidRPr="0085657D">
        <w:rPr>
          <w:rFonts w:ascii="Arial" w:hAnsi="Arial" w:cs="Arial"/>
          <w:color w:val="000000"/>
        </w:rPr>
        <w:t xml:space="preserve">, </w:t>
      </w:r>
      <w:r w:rsidRPr="0085657D">
        <w:rPr>
          <w:rFonts w:ascii="Arial" w:hAnsi="Arial" w:cs="Arial"/>
          <w:color w:val="000000"/>
          <w:lang w:val="en-GB"/>
        </w:rPr>
        <w:t>obavje</w:t>
      </w:r>
      <w:r w:rsidRPr="0085657D">
        <w:rPr>
          <w:rFonts w:ascii="Arial" w:hAnsi="Arial" w:cs="Arial"/>
          <w:color w:val="000000"/>
        </w:rPr>
        <w:t>š</w:t>
      </w:r>
      <w:r w:rsidRPr="0085657D">
        <w:rPr>
          <w:rFonts w:ascii="Arial" w:hAnsi="Arial" w:cs="Arial"/>
          <w:color w:val="000000"/>
          <w:lang w:val="en-GB"/>
        </w:rPr>
        <w:t>tenja</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drugu</w:t>
      </w:r>
      <w:r w:rsidRPr="0085657D">
        <w:rPr>
          <w:rFonts w:ascii="Arial" w:hAnsi="Arial" w:cs="Arial"/>
          <w:color w:val="000000"/>
        </w:rPr>
        <w:t xml:space="preserve"> </w:t>
      </w:r>
      <w:r w:rsidRPr="0085657D">
        <w:rPr>
          <w:rFonts w:ascii="Arial" w:hAnsi="Arial" w:cs="Arial"/>
          <w:color w:val="000000"/>
          <w:lang w:val="en-GB"/>
        </w:rPr>
        <w:t>pomo</w:t>
      </w:r>
      <w:r w:rsidRPr="0085657D">
        <w:rPr>
          <w:rFonts w:ascii="Arial" w:hAnsi="Arial" w:cs="Arial"/>
          <w:color w:val="000000"/>
        </w:rPr>
        <w:t xml:space="preserve">ć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postupanju</w:t>
      </w:r>
      <w:r w:rsidRPr="0085657D">
        <w:rPr>
          <w:rFonts w:ascii="Arial" w:hAnsi="Arial" w:cs="Arial"/>
          <w:color w:val="000000"/>
        </w:rPr>
        <w:t xml:space="preserve"> </w:t>
      </w:r>
      <w:r w:rsidRPr="0085657D">
        <w:rPr>
          <w:rFonts w:ascii="Arial" w:hAnsi="Arial" w:cs="Arial"/>
          <w:color w:val="000000"/>
          <w:lang w:val="en-GB"/>
        </w:rPr>
        <w:t>prema</w:t>
      </w:r>
      <w:r w:rsidRPr="0085657D">
        <w:rPr>
          <w:rFonts w:ascii="Arial" w:hAnsi="Arial" w:cs="Arial"/>
          <w:color w:val="000000"/>
        </w:rPr>
        <w:t xml:space="preserve"> </w:t>
      </w:r>
      <w:r w:rsidRPr="0085657D">
        <w:rPr>
          <w:rFonts w:ascii="Arial" w:hAnsi="Arial" w:cs="Arial"/>
          <w:color w:val="000000"/>
          <w:lang w:val="en-GB"/>
        </w:rPr>
        <w:t>maloljetnom</w:t>
      </w:r>
      <w:r w:rsidRPr="0085657D">
        <w:rPr>
          <w:rFonts w:ascii="Arial" w:hAnsi="Arial" w:cs="Arial"/>
          <w:color w:val="000000"/>
        </w:rPr>
        <w:t xml:space="preserve"> uč</w:t>
      </w:r>
      <w:r w:rsidRPr="0085657D">
        <w:rPr>
          <w:rFonts w:ascii="Arial" w:hAnsi="Arial" w:cs="Arial"/>
          <w:color w:val="000000"/>
          <w:lang w:val="en-GB"/>
        </w:rPr>
        <w:t>iniocu</w:t>
      </w:r>
      <w:r w:rsidRPr="0085657D">
        <w:rPr>
          <w:rFonts w:ascii="Arial" w:hAnsi="Arial" w:cs="Arial"/>
          <w:color w:val="000000"/>
        </w:rPr>
        <w:t xml:space="preserve"> </w:t>
      </w:r>
      <w:r w:rsidRPr="0085657D">
        <w:rPr>
          <w:rFonts w:ascii="Arial" w:hAnsi="Arial" w:cs="Arial"/>
          <w:color w:val="000000"/>
          <w:lang w:val="en-GB"/>
        </w:rPr>
        <w:t>krivi</w:t>
      </w:r>
      <w:r w:rsidRPr="0085657D">
        <w:rPr>
          <w:rFonts w:ascii="Arial" w:hAnsi="Arial" w:cs="Arial"/>
          <w:color w:val="000000"/>
        </w:rPr>
        <w:t>č</w:t>
      </w:r>
      <w:r w:rsidRPr="0085657D">
        <w:rPr>
          <w:rFonts w:ascii="Arial" w:hAnsi="Arial" w:cs="Arial"/>
          <w:color w:val="000000"/>
          <w:lang w:val="en-GB"/>
        </w:rPr>
        <w:t>nog</w:t>
      </w:r>
      <w:r w:rsidRPr="0085657D">
        <w:rPr>
          <w:rFonts w:ascii="Arial" w:hAnsi="Arial" w:cs="Arial"/>
          <w:color w:val="000000"/>
        </w:rPr>
        <w:t xml:space="preserve"> </w:t>
      </w:r>
      <w:r w:rsidRPr="0085657D">
        <w:rPr>
          <w:rFonts w:ascii="Arial" w:hAnsi="Arial" w:cs="Arial"/>
          <w:color w:val="000000"/>
          <w:lang w:val="en-GB"/>
        </w:rPr>
        <w:t>djela</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skladu</w:t>
      </w:r>
      <w:r w:rsidRPr="0085657D">
        <w:rPr>
          <w:rFonts w:ascii="Arial" w:hAnsi="Arial" w:cs="Arial"/>
          <w:color w:val="000000"/>
        </w:rPr>
        <w:t xml:space="preserve"> </w:t>
      </w:r>
      <w:r w:rsidRPr="0085657D">
        <w:rPr>
          <w:rFonts w:ascii="Arial" w:hAnsi="Arial" w:cs="Arial"/>
          <w:color w:val="000000"/>
          <w:lang w:val="en-GB"/>
        </w:rPr>
        <w:t>sa</w:t>
      </w:r>
      <w:r w:rsidRPr="0085657D">
        <w:rPr>
          <w:rFonts w:ascii="Arial" w:hAnsi="Arial" w:cs="Arial"/>
          <w:color w:val="000000"/>
        </w:rPr>
        <w:t xml:space="preserve"> </w:t>
      </w:r>
      <w:r w:rsidRPr="0085657D">
        <w:rPr>
          <w:rFonts w:ascii="Arial" w:hAnsi="Arial" w:cs="Arial"/>
          <w:color w:val="000000"/>
          <w:lang w:val="en-GB"/>
        </w:rPr>
        <w:t>zakonom</w:t>
      </w:r>
      <w:r w:rsidRPr="0085657D">
        <w:rPr>
          <w:rFonts w:ascii="Arial" w:hAnsi="Arial" w:cs="Arial"/>
          <w:color w:val="000000"/>
        </w:rPr>
        <w:t xml:space="preserve">.  </w:t>
      </w:r>
    </w:p>
    <w:p w14:paraId="51DBD9DA" w14:textId="77777777" w:rsidR="00E834FA" w:rsidRPr="0085657D" w:rsidRDefault="00E834FA" w:rsidP="00D903F2">
      <w:pPr>
        <w:autoSpaceDE w:val="0"/>
        <w:autoSpaceDN w:val="0"/>
        <w:adjustRightInd w:val="0"/>
        <w:spacing w:line="276" w:lineRule="auto"/>
        <w:rPr>
          <w:rFonts w:ascii="Arial" w:hAnsi="Arial" w:cs="Arial"/>
          <w:color w:val="000000"/>
        </w:rPr>
      </w:pPr>
      <w:r w:rsidRPr="0085657D">
        <w:rPr>
          <w:rFonts w:ascii="Arial" w:hAnsi="Arial" w:cs="Arial"/>
          <w:i/>
          <w:iCs/>
          <w:color w:val="000000"/>
          <w:lang w:val="en-US"/>
        </w:rPr>
        <w:t>Slu</w:t>
      </w:r>
      <w:r w:rsidRPr="0085657D">
        <w:rPr>
          <w:rFonts w:ascii="Arial" w:hAnsi="Arial" w:cs="Arial"/>
          <w:i/>
          <w:iCs/>
          <w:color w:val="000000"/>
        </w:rPr>
        <w:t>ž</w:t>
      </w:r>
      <w:r w:rsidRPr="0085657D">
        <w:rPr>
          <w:rFonts w:ascii="Arial" w:hAnsi="Arial" w:cs="Arial"/>
          <w:i/>
          <w:iCs/>
          <w:color w:val="000000"/>
          <w:lang w:val="en-US"/>
        </w:rPr>
        <w:t>ba</w:t>
      </w:r>
      <w:r w:rsidRPr="0085657D">
        <w:rPr>
          <w:rFonts w:ascii="Arial" w:hAnsi="Arial" w:cs="Arial"/>
          <w:i/>
          <w:iCs/>
          <w:color w:val="000000"/>
        </w:rPr>
        <w:t xml:space="preserve"> </w:t>
      </w:r>
      <w:r w:rsidRPr="0085657D">
        <w:rPr>
          <w:rFonts w:ascii="Arial" w:hAnsi="Arial" w:cs="Arial"/>
          <w:i/>
          <w:iCs/>
          <w:color w:val="000000"/>
          <w:lang w:val="en-US"/>
        </w:rPr>
        <w:t>za</w:t>
      </w:r>
      <w:r w:rsidRPr="0085657D">
        <w:rPr>
          <w:rFonts w:ascii="Arial" w:hAnsi="Arial" w:cs="Arial"/>
          <w:i/>
          <w:iCs/>
          <w:color w:val="000000"/>
        </w:rPr>
        <w:t xml:space="preserve"> </w:t>
      </w:r>
      <w:r w:rsidRPr="0085657D">
        <w:rPr>
          <w:rFonts w:ascii="Arial" w:hAnsi="Arial" w:cs="Arial"/>
          <w:i/>
          <w:iCs/>
          <w:color w:val="000000"/>
          <w:lang w:val="en-US"/>
        </w:rPr>
        <w:t>pru</w:t>
      </w:r>
      <w:r w:rsidRPr="0085657D">
        <w:rPr>
          <w:rFonts w:ascii="Arial" w:hAnsi="Arial" w:cs="Arial"/>
          <w:i/>
          <w:iCs/>
          <w:color w:val="000000"/>
        </w:rPr>
        <w:t>ž</w:t>
      </w:r>
      <w:r w:rsidRPr="0085657D">
        <w:rPr>
          <w:rFonts w:ascii="Arial" w:hAnsi="Arial" w:cs="Arial"/>
          <w:i/>
          <w:iCs/>
          <w:color w:val="000000"/>
          <w:lang w:val="en-US"/>
        </w:rPr>
        <w:t>anje</w:t>
      </w:r>
      <w:r w:rsidRPr="0085657D">
        <w:rPr>
          <w:rFonts w:ascii="Arial" w:hAnsi="Arial" w:cs="Arial"/>
          <w:i/>
          <w:iCs/>
          <w:color w:val="000000"/>
        </w:rPr>
        <w:t xml:space="preserve"> </w:t>
      </w:r>
      <w:r w:rsidRPr="0085657D">
        <w:rPr>
          <w:rFonts w:ascii="Arial" w:hAnsi="Arial" w:cs="Arial"/>
          <w:i/>
          <w:iCs/>
          <w:color w:val="000000"/>
          <w:lang w:val="en-US"/>
        </w:rPr>
        <w:t>podr</w:t>
      </w:r>
      <w:r w:rsidRPr="0085657D">
        <w:rPr>
          <w:rFonts w:ascii="Arial" w:hAnsi="Arial" w:cs="Arial"/>
          <w:i/>
          <w:iCs/>
          <w:color w:val="000000"/>
        </w:rPr>
        <w:t>š</w:t>
      </w:r>
      <w:r w:rsidRPr="0085657D">
        <w:rPr>
          <w:rFonts w:ascii="Arial" w:hAnsi="Arial" w:cs="Arial"/>
          <w:i/>
          <w:iCs/>
          <w:color w:val="000000"/>
          <w:lang w:val="en-US"/>
        </w:rPr>
        <w:t>ke</w:t>
      </w:r>
      <w:r w:rsidRPr="0085657D">
        <w:rPr>
          <w:rFonts w:ascii="Arial" w:hAnsi="Arial" w:cs="Arial"/>
          <w:i/>
          <w:iCs/>
          <w:color w:val="000000"/>
        </w:rPr>
        <w:t xml:space="preserve"> </w:t>
      </w:r>
      <w:r w:rsidRPr="0085657D">
        <w:rPr>
          <w:rFonts w:ascii="Arial" w:hAnsi="Arial" w:cs="Arial"/>
          <w:i/>
          <w:iCs/>
          <w:color w:val="000000"/>
          <w:lang w:val="en-US"/>
        </w:rPr>
        <w:t>o</w:t>
      </w:r>
      <w:r w:rsidRPr="0085657D">
        <w:rPr>
          <w:rFonts w:ascii="Arial" w:hAnsi="Arial" w:cs="Arial"/>
          <w:i/>
          <w:iCs/>
          <w:color w:val="000000"/>
        </w:rPr>
        <w:t>š</w:t>
      </w:r>
      <w:r w:rsidRPr="0085657D">
        <w:rPr>
          <w:rFonts w:ascii="Arial" w:hAnsi="Arial" w:cs="Arial"/>
          <w:i/>
          <w:iCs/>
          <w:color w:val="000000"/>
          <w:lang w:val="en-US"/>
        </w:rPr>
        <w:t>te</w:t>
      </w:r>
      <w:r w:rsidRPr="0085657D">
        <w:rPr>
          <w:rFonts w:ascii="Arial" w:hAnsi="Arial" w:cs="Arial"/>
          <w:i/>
          <w:iCs/>
          <w:color w:val="000000"/>
        </w:rPr>
        <w:t>ć</w:t>
      </w:r>
      <w:r w:rsidRPr="0085657D">
        <w:rPr>
          <w:rFonts w:ascii="Arial" w:hAnsi="Arial" w:cs="Arial"/>
          <w:i/>
          <w:iCs/>
          <w:color w:val="000000"/>
          <w:lang w:val="en-US"/>
        </w:rPr>
        <w:t>enima</w:t>
      </w:r>
      <w:r w:rsidRPr="0085657D">
        <w:rPr>
          <w:rFonts w:ascii="Arial" w:hAnsi="Arial" w:cs="Arial"/>
          <w:i/>
          <w:iCs/>
          <w:color w:val="000000"/>
        </w:rPr>
        <w:t>/</w:t>
      </w:r>
      <w:r w:rsidRPr="0085657D">
        <w:rPr>
          <w:rFonts w:ascii="Arial" w:hAnsi="Arial" w:cs="Arial"/>
          <w:i/>
          <w:iCs/>
          <w:color w:val="000000"/>
          <w:lang w:val="en-US"/>
        </w:rPr>
        <w:t>svjedocima</w:t>
      </w:r>
      <w:r w:rsidRPr="0085657D">
        <w:rPr>
          <w:rFonts w:ascii="Arial" w:hAnsi="Arial" w:cs="Arial"/>
          <w:i/>
          <w:iCs/>
          <w:color w:val="000000"/>
        </w:rPr>
        <w:t xml:space="preserve"> </w:t>
      </w:r>
      <w:r w:rsidRPr="0085657D">
        <w:rPr>
          <w:rFonts w:ascii="Arial" w:hAnsi="Arial" w:cs="Arial"/>
          <w:i/>
          <w:iCs/>
          <w:color w:val="000000"/>
          <w:lang w:val="en-US"/>
        </w:rPr>
        <w:t>u</w:t>
      </w:r>
      <w:r w:rsidRPr="0085657D">
        <w:rPr>
          <w:rFonts w:ascii="Arial" w:hAnsi="Arial" w:cs="Arial"/>
          <w:i/>
          <w:iCs/>
          <w:color w:val="000000"/>
        </w:rPr>
        <w:t xml:space="preserve"> </w:t>
      </w:r>
      <w:r w:rsidRPr="0085657D">
        <w:rPr>
          <w:rFonts w:ascii="Arial" w:hAnsi="Arial" w:cs="Arial"/>
          <w:i/>
          <w:iCs/>
          <w:color w:val="000000"/>
          <w:lang w:val="en-US"/>
        </w:rPr>
        <w:t>predmetima</w:t>
      </w:r>
      <w:r w:rsidRPr="0085657D">
        <w:rPr>
          <w:rFonts w:ascii="Arial" w:hAnsi="Arial" w:cs="Arial"/>
          <w:i/>
          <w:iCs/>
          <w:color w:val="000000"/>
        </w:rPr>
        <w:t xml:space="preserve"> </w:t>
      </w:r>
      <w:r w:rsidRPr="0085657D">
        <w:rPr>
          <w:rFonts w:ascii="Arial" w:hAnsi="Arial" w:cs="Arial"/>
          <w:i/>
          <w:iCs/>
          <w:color w:val="000000"/>
          <w:lang w:val="en-US"/>
        </w:rPr>
        <w:t>koji</w:t>
      </w:r>
      <w:r w:rsidRPr="0085657D">
        <w:rPr>
          <w:rFonts w:ascii="Arial" w:hAnsi="Arial" w:cs="Arial"/>
          <w:i/>
          <w:iCs/>
          <w:color w:val="000000"/>
        </w:rPr>
        <w:t xml:space="preserve"> </w:t>
      </w:r>
      <w:r w:rsidRPr="0085657D">
        <w:rPr>
          <w:rFonts w:ascii="Arial" w:hAnsi="Arial" w:cs="Arial"/>
          <w:i/>
          <w:iCs/>
          <w:color w:val="000000"/>
          <w:lang w:val="en-US"/>
        </w:rPr>
        <w:t>se</w:t>
      </w:r>
      <w:r w:rsidRPr="0085657D">
        <w:rPr>
          <w:rFonts w:ascii="Arial" w:hAnsi="Arial" w:cs="Arial"/>
          <w:i/>
          <w:iCs/>
          <w:color w:val="000000"/>
        </w:rPr>
        <w:t xml:space="preserve"> </w:t>
      </w:r>
      <w:r w:rsidRPr="0085657D">
        <w:rPr>
          <w:rFonts w:ascii="Arial" w:hAnsi="Arial" w:cs="Arial"/>
          <w:i/>
          <w:iCs/>
          <w:color w:val="000000"/>
          <w:lang w:val="en-US"/>
        </w:rPr>
        <w:t>sude</w:t>
      </w:r>
      <w:r w:rsidRPr="0085657D">
        <w:rPr>
          <w:rFonts w:ascii="Arial" w:hAnsi="Arial" w:cs="Arial"/>
          <w:i/>
          <w:iCs/>
          <w:color w:val="000000"/>
        </w:rPr>
        <w:t xml:space="preserve"> </w:t>
      </w:r>
      <w:r w:rsidRPr="0085657D">
        <w:rPr>
          <w:rFonts w:ascii="Arial" w:hAnsi="Arial" w:cs="Arial"/>
          <w:i/>
          <w:iCs/>
          <w:color w:val="000000"/>
          <w:lang w:val="en-US"/>
        </w:rPr>
        <w:t>pred</w:t>
      </w:r>
      <w:r w:rsidRPr="0085657D">
        <w:rPr>
          <w:rFonts w:ascii="Arial" w:hAnsi="Arial" w:cs="Arial"/>
          <w:i/>
          <w:iCs/>
          <w:color w:val="000000"/>
        </w:rPr>
        <w:t xml:space="preserve"> </w:t>
      </w:r>
      <w:r w:rsidRPr="0085657D">
        <w:rPr>
          <w:rFonts w:ascii="Arial" w:hAnsi="Arial" w:cs="Arial"/>
          <w:i/>
          <w:iCs/>
          <w:color w:val="000000"/>
          <w:lang w:val="en-US"/>
        </w:rPr>
        <w:t>Specijalizovanim</w:t>
      </w:r>
      <w:r w:rsidRPr="0085657D">
        <w:rPr>
          <w:rFonts w:ascii="Arial" w:hAnsi="Arial" w:cs="Arial"/>
          <w:i/>
          <w:iCs/>
          <w:color w:val="000000"/>
        </w:rPr>
        <w:t xml:space="preserve"> </w:t>
      </w:r>
      <w:r w:rsidRPr="0085657D">
        <w:rPr>
          <w:rFonts w:ascii="Arial" w:hAnsi="Arial" w:cs="Arial"/>
          <w:i/>
          <w:iCs/>
          <w:color w:val="000000"/>
          <w:lang w:val="en-US"/>
        </w:rPr>
        <w:t>odjeljenjem</w:t>
      </w:r>
      <w:r w:rsidRPr="0085657D">
        <w:rPr>
          <w:rFonts w:ascii="Arial" w:hAnsi="Arial" w:cs="Arial"/>
          <w:i/>
          <w:iCs/>
          <w:color w:val="000000"/>
        </w:rPr>
        <w:t xml:space="preserve"> </w:t>
      </w:r>
      <w:r w:rsidRPr="0085657D">
        <w:rPr>
          <w:rFonts w:ascii="Arial" w:hAnsi="Arial" w:cs="Arial"/>
          <w:i/>
          <w:iCs/>
          <w:color w:val="000000"/>
          <w:lang w:val="en-US"/>
        </w:rPr>
        <w:t>za</w:t>
      </w:r>
      <w:r w:rsidRPr="0085657D">
        <w:rPr>
          <w:rFonts w:ascii="Arial" w:hAnsi="Arial" w:cs="Arial"/>
          <w:i/>
          <w:iCs/>
          <w:color w:val="000000"/>
        </w:rPr>
        <w:t xml:space="preserve"> </w:t>
      </w:r>
      <w:r w:rsidRPr="0085657D">
        <w:rPr>
          <w:rFonts w:ascii="Arial" w:hAnsi="Arial" w:cs="Arial"/>
          <w:i/>
          <w:iCs/>
          <w:color w:val="000000"/>
          <w:lang w:val="en-US"/>
        </w:rPr>
        <w:t>organizovani</w:t>
      </w:r>
      <w:r w:rsidRPr="0085657D">
        <w:rPr>
          <w:rFonts w:ascii="Arial" w:hAnsi="Arial" w:cs="Arial"/>
          <w:i/>
          <w:iCs/>
          <w:color w:val="000000"/>
        </w:rPr>
        <w:t xml:space="preserve"> </w:t>
      </w:r>
      <w:r w:rsidRPr="0085657D">
        <w:rPr>
          <w:rFonts w:ascii="Arial" w:hAnsi="Arial" w:cs="Arial"/>
          <w:i/>
          <w:iCs/>
          <w:color w:val="000000"/>
          <w:lang w:val="en-US"/>
        </w:rPr>
        <w:t>kriminal</w:t>
      </w:r>
      <w:r w:rsidRPr="0085657D">
        <w:rPr>
          <w:rFonts w:ascii="Arial" w:hAnsi="Arial" w:cs="Arial"/>
          <w:i/>
          <w:iCs/>
          <w:color w:val="000000"/>
        </w:rPr>
        <w:t xml:space="preserve">, </w:t>
      </w:r>
      <w:r w:rsidRPr="0085657D">
        <w:rPr>
          <w:rFonts w:ascii="Arial" w:hAnsi="Arial" w:cs="Arial"/>
          <w:i/>
          <w:iCs/>
          <w:color w:val="000000"/>
          <w:lang w:val="en-US"/>
        </w:rPr>
        <w:t>korupciju</w:t>
      </w:r>
      <w:r w:rsidRPr="0085657D">
        <w:rPr>
          <w:rFonts w:ascii="Arial" w:hAnsi="Arial" w:cs="Arial"/>
          <w:i/>
          <w:iCs/>
          <w:color w:val="000000"/>
        </w:rPr>
        <w:t xml:space="preserve">, </w:t>
      </w:r>
      <w:r w:rsidRPr="0085657D">
        <w:rPr>
          <w:rFonts w:ascii="Arial" w:hAnsi="Arial" w:cs="Arial"/>
          <w:i/>
          <w:iCs/>
          <w:color w:val="000000"/>
          <w:lang w:val="en-US"/>
        </w:rPr>
        <w:t>terorizam</w:t>
      </w:r>
      <w:r w:rsidRPr="0085657D">
        <w:rPr>
          <w:rFonts w:ascii="Arial" w:hAnsi="Arial" w:cs="Arial"/>
          <w:i/>
          <w:iCs/>
          <w:color w:val="000000"/>
        </w:rPr>
        <w:t xml:space="preserve"> </w:t>
      </w:r>
      <w:r w:rsidRPr="0085657D">
        <w:rPr>
          <w:rFonts w:ascii="Arial" w:hAnsi="Arial" w:cs="Arial"/>
          <w:i/>
          <w:iCs/>
          <w:color w:val="000000"/>
          <w:lang w:val="en-US"/>
        </w:rPr>
        <w:t>i</w:t>
      </w:r>
      <w:r w:rsidRPr="0085657D">
        <w:rPr>
          <w:rFonts w:ascii="Arial" w:hAnsi="Arial" w:cs="Arial"/>
          <w:i/>
          <w:iCs/>
          <w:color w:val="000000"/>
        </w:rPr>
        <w:t xml:space="preserve"> </w:t>
      </w:r>
      <w:r w:rsidRPr="0085657D">
        <w:rPr>
          <w:rFonts w:ascii="Arial" w:hAnsi="Arial" w:cs="Arial"/>
          <w:i/>
          <w:iCs/>
          <w:color w:val="000000"/>
          <w:lang w:val="en-US"/>
        </w:rPr>
        <w:t>ratne</w:t>
      </w:r>
      <w:r w:rsidRPr="0085657D">
        <w:rPr>
          <w:rFonts w:ascii="Arial" w:hAnsi="Arial" w:cs="Arial"/>
          <w:i/>
          <w:iCs/>
          <w:color w:val="000000"/>
        </w:rPr>
        <w:t xml:space="preserve"> </w:t>
      </w:r>
      <w:r w:rsidRPr="0085657D">
        <w:rPr>
          <w:rFonts w:ascii="Arial" w:hAnsi="Arial" w:cs="Arial"/>
          <w:i/>
          <w:iCs/>
          <w:color w:val="000000"/>
          <w:lang w:val="en-US"/>
        </w:rPr>
        <w:t>zlo</w:t>
      </w:r>
      <w:r w:rsidRPr="0085657D">
        <w:rPr>
          <w:rFonts w:ascii="Arial" w:hAnsi="Arial" w:cs="Arial"/>
          <w:i/>
          <w:iCs/>
          <w:color w:val="000000"/>
        </w:rPr>
        <w:t>č</w:t>
      </w:r>
      <w:r w:rsidRPr="0085657D">
        <w:rPr>
          <w:rFonts w:ascii="Arial" w:hAnsi="Arial" w:cs="Arial"/>
          <w:i/>
          <w:iCs/>
          <w:color w:val="000000"/>
          <w:lang w:val="en-US"/>
        </w:rPr>
        <w:t>ine</w:t>
      </w:r>
      <w:r w:rsidRPr="0085657D">
        <w:rPr>
          <w:rFonts w:ascii="Arial" w:hAnsi="Arial" w:cs="Arial"/>
          <w:i/>
          <w:iCs/>
          <w:color w:val="000000"/>
        </w:rPr>
        <w:t xml:space="preserve">, </w:t>
      </w:r>
      <w:r w:rsidR="00613940" w:rsidRPr="0085657D">
        <w:rPr>
          <w:rFonts w:ascii="Arial" w:hAnsi="Arial" w:cs="Arial"/>
          <w:color w:val="000000"/>
        </w:rPr>
        <w:t xml:space="preserve">postoji u Višem sudu u Podgorici, ali ni ona se ne temelji na zakonskoj odredbi, već je odlukom predsjednika suda određena kontakt osoba za podršku. </w:t>
      </w:r>
    </w:p>
    <w:bookmarkEnd w:id="21"/>
    <w:p w14:paraId="4B72901E" w14:textId="4C5A576B" w:rsidR="00C47459" w:rsidRPr="0085657D" w:rsidRDefault="00D903F2" w:rsidP="00D903F2">
      <w:pPr>
        <w:autoSpaceDE w:val="0"/>
        <w:autoSpaceDN w:val="0"/>
        <w:adjustRightInd w:val="0"/>
        <w:spacing w:line="276" w:lineRule="auto"/>
        <w:rPr>
          <w:rFonts w:ascii="Arial" w:hAnsi="Arial" w:cs="Arial"/>
        </w:rPr>
      </w:pPr>
      <w:r w:rsidRPr="0085657D">
        <w:rPr>
          <w:rFonts w:ascii="Arial" w:hAnsi="Arial" w:cs="Arial"/>
          <w:b/>
          <w:bCs/>
          <w:color w:val="000000"/>
        </w:rPr>
        <w:t>Pravo žrtava na pristup pravdi</w:t>
      </w:r>
      <w:r w:rsidRPr="0085657D">
        <w:rPr>
          <w:rFonts w:ascii="Arial" w:hAnsi="Arial" w:cs="Arial"/>
          <w:color w:val="000000"/>
        </w:rPr>
        <w:t>, značajno je unaprijeđeno usvajanjem izmjena i dopuna Zakona o besplatnoj pravnoj pomoći u decembru 2024. godine, čime je krug neposrednih korisnika usluga besplatne pravne pomoći</w:t>
      </w:r>
      <w:r w:rsidR="00927F7A" w:rsidRPr="0085657D">
        <w:rPr>
          <w:rFonts w:ascii="Arial" w:hAnsi="Arial" w:cs="Arial"/>
          <w:color w:val="000000"/>
        </w:rPr>
        <w:t>, koji ovo pravo ostvaruju</w:t>
      </w:r>
      <w:r w:rsidRPr="0085657D">
        <w:rPr>
          <w:rFonts w:ascii="Arial" w:hAnsi="Arial" w:cs="Arial"/>
          <w:color w:val="000000"/>
        </w:rPr>
        <w:t xml:space="preserve"> bez obzira na njihov</w:t>
      </w:r>
      <w:r w:rsidR="00927F7A" w:rsidRPr="0085657D">
        <w:rPr>
          <w:rFonts w:ascii="Arial" w:hAnsi="Arial" w:cs="Arial"/>
          <w:color w:val="000000"/>
        </w:rPr>
        <w:t>o</w:t>
      </w:r>
      <w:r w:rsidRPr="0085657D">
        <w:rPr>
          <w:rFonts w:ascii="Arial" w:hAnsi="Arial" w:cs="Arial"/>
          <w:color w:val="000000"/>
        </w:rPr>
        <w:t xml:space="preserve"> imovno stanje, značajno proširen i na </w:t>
      </w:r>
      <w:r w:rsidRPr="0085657D">
        <w:rPr>
          <w:rFonts w:ascii="Arial" w:hAnsi="Arial" w:cs="Arial"/>
        </w:rPr>
        <w:t>žrtve mučenja ili nečovječnog ili ponižavajućeg postupanja ili kažnjavanja, žrtve krivičnih djela protiv polne slobode i djecu koja su pokrenula postupak za zaštitu prava djeteta, u skladu sa odredbama zakona kojim se uređuju porodični odnosi. Proširen je i krug postupaka u kojima žrtve mogu ostvariti svoja prava. Ipak, statistički podaci pokazuju da žrtve u nedovoljnoj mjeri ostvaruju ovo pravo. Tako se do sada nijedna žrtva trgovine ljudima nije obratila za pravnu pomoć, dok je broj žrtava nasilja u porodici koje ostvaruju ovo pravo u porastu, ali još uvijek je nesrazmjerno mali u odnosu na broj postupaka</w:t>
      </w:r>
      <w:r w:rsidR="00F3770F" w:rsidRPr="0085657D">
        <w:rPr>
          <w:rFonts w:ascii="Arial" w:hAnsi="Arial" w:cs="Arial"/>
        </w:rPr>
        <w:t xml:space="preserve"> koji se za ovo djelo vode pred krivičnim i prekršajnim sudovima</w:t>
      </w:r>
      <w:r w:rsidRPr="0085657D">
        <w:rPr>
          <w:rFonts w:ascii="Arial" w:hAnsi="Arial" w:cs="Arial"/>
        </w:rPr>
        <w:t>.</w:t>
      </w:r>
      <w:r w:rsidR="00770085" w:rsidRPr="0085657D">
        <w:rPr>
          <w:rFonts w:ascii="Arial" w:hAnsi="Arial" w:cs="Arial"/>
        </w:rPr>
        <w:t xml:space="preserve"> Tako su u 2024. godini svega 104 žrtve </w:t>
      </w:r>
      <w:r w:rsidR="006566A8" w:rsidRPr="0085657D">
        <w:rPr>
          <w:rFonts w:ascii="Arial" w:hAnsi="Arial" w:cs="Arial"/>
        </w:rPr>
        <w:t xml:space="preserve">nasilja u porodici </w:t>
      </w:r>
      <w:r w:rsidR="00770085" w:rsidRPr="0085657D">
        <w:rPr>
          <w:rFonts w:ascii="Arial" w:hAnsi="Arial" w:cs="Arial"/>
        </w:rPr>
        <w:t>ostvarile pravo na besplatnu pravnu pomoć</w:t>
      </w:r>
      <w:r w:rsidR="006566A8" w:rsidRPr="0085657D">
        <w:rPr>
          <w:rFonts w:ascii="Arial" w:hAnsi="Arial" w:cs="Arial"/>
        </w:rPr>
        <w:t xml:space="preserve">, dok je pred crnogorskim sudovima vođeno 796 krivičnih i 2069 prekršajnih </w:t>
      </w:r>
      <w:r w:rsidR="00927F7A" w:rsidRPr="0085657D">
        <w:rPr>
          <w:rFonts w:ascii="Arial" w:hAnsi="Arial" w:cs="Arial"/>
        </w:rPr>
        <w:t>postupaka za ovo djelo</w:t>
      </w:r>
      <w:r w:rsidR="006566A8" w:rsidRPr="0085657D">
        <w:rPr>
          <w:rStyle w:val="FootnoteReference"/>
          <w:rFonts w:ascii="Arial" w:hAnsi="Arial" w:cs="Arial"/>
        </w:rPr>
        <w:footnoteReference w:id="33"/>
      </w:r>
      <w:r w:rsidR="006566A8" w:rsidRPr="0085657D">
        <w:rPr>
          <w:rFonts w:ascii="Arial" w:hAnsi="Arial" w:cs="Arial"/>
        </w:rPr>
        <w:t>.</w:t>
      </w:r>
      <w:r w:rsidR="00770085" w:rsidRPr="0085657D">
        <w:rPr>
          <w:rFonts w:ascii="Arial" w:hAnsi="Arial" w:cs="Arial"/>
        </w:rPr>
        <w:t xml:space="preserve"> </w:t>
      </w:r>
    </w:p>
    <w:p w14:paraId="4D931456" w14:textId="5DD72714" w:rsidR="00052A9B" w:rsidRPr="0085657D" w:rsidRDefault="00D903F2" w:rsidP="00052A9B">
      <w:pPr>
        <w:autoSpaceDE w:val="0"/>
        <w:autoSpaceDN w:val="0"/>
        <w:adjustRightInd w:val="0"/>
        <w:spacing w:line="276" w:lineRule="auto"/>
        <w:rPr>
          <w:rFonts w:ascii="Arial" w:hAnsi="Arial" w:cs="Arial"/>
        </w:rPr>
      </w:pPr>
      <w:r w:rsidRPr="0085657D">
        <w:rPr>
          <w:rFonts w:ascii="Arial" w:hAnsi="Arial" w:cs="Arial"/>
        </w:rPr>
        <w:lastRenderedPageBreak/>
        <w:t xml:space="preserve">Potrebno je dalje unaprijediti </w:t>
      </w:r>
      <w:r w:rsidRPr="0085657D">
        <w:rPr>
          <w:rFonts w:ascii="Arial" w:hAnsi="Arial" w:cs="Arial"/>
          <w:b/>
          <w:bCs/>
        </w:rPr>
        <w:t>mehanizme procesne</w:t>
      </w:r>
      <w:r w:rsidRPr="0085657D">
        <w:rPr>
          <w:rFonts w:ascii="Arial" w:hAnsi="Arial" w:cs="Arial"/>
        </w:rPr>
        <w:t xml:space="preserve"> zaštite žrtava, </w:t>
      </w:r>
      <w:r w:rsidR="00F3770F" w:rsidRPr="0085657D">
        <w:rPr>
          <w:rFonts w:ascii="Arial" w:hAnsi="Arial" w:cs="Arial"/>
        </w:rPr>
        <w:t>ojačati</w:t>
      </w:r>
      <w:r w:rsidRPr="0085657D">
        <w:rPr>
          <w:rFonts w:ascii="Arial" w:hAnsi="Arial" w:cs="Arial"/>
        </w:rPr>
        <w:t xml:space="preserve"> stručn</w:t>
      </w:r>
      <w:r w:rsidR="00F3770F" w:rsidRPr="0085657D">
        <w:rPr>
          <w:rFonts w:ascii="Arial" w:hAnsi="Arial" w:cs="Arial"/>
        </w:rPr>
        <w:t>e</w:t>
      </w:r>
      <w:r w:rsidRPr="0085657D">
        <w:rPr>
          <w:rFonts w:ascii="Arial" w:hAnsi="Arial" w:cs="Arial"/>
        </w:rPr>
        <w:t xml:space="preserve"> kapacitet</w:t>
      </w:r>
      <w:r w:rsidR="00F3770F" w:rsidRPr="0085657D">
        <w:rPr>
          <w:rFonts w:ascii="Arial" w:hAnsi="Arial" w:cs="Arial"/>
        </w:rPr>
        <w:t>e</w:t>
      </w:r>
      <w:r w:rsidRPr="0085657D">
        <w:rPr>
          <w:rFonts w:ascii="Arial" w:hAnsi="Arial" w:cs="Arial"/>
        </w:rPr>
        <w:t>, tehničk</w:t>
      </w:r>
      <w:r w:rsidR="00F3770F" w:rsidRPr="0085657D">
        <w:rPr>
          <w:rFonts w:ascii="Arial" w:hAnsi="Arial" w:cs="Arial"/>
        </w:rPr>
        <w:t>e</w:t>
      </w:r>
      <w:r w:rsidRPr="0085657D">
        <w:rPr>
          <w:rFonts w:ascii="Arial" w:hAnsi="Arial" w:cs="Arial"/>
        </w:rPr>
        <w:t xml:space="preserve"> i infrastrukturn</w:t>
      </w:r>
      <w:r w:rsidR="00F3770F" w:rsidRPr="0085657D">
        <w:rPr>
          <w:rFonts w:ascii="Arial" w:hAnsi="Arial" w:cs="Arial"/>
        </w:rPr>
        <w:t>e</w:t>
      </w:r>
      <w:r w:rsidRPr="0085657D">
        <w:rPr>
          <w:rFonts w:ascii="Arial" w:hAnsi="Arial" w:cs="Arial"/>
        </w:rPr>
        <w:t xml:space="preserve"> preduslov</w:t>
      </w:r>
      <w:r w:rsidR="00C07E4E">
        <w:rPr>
          <w:rFonts w:ascii="Arial" w:hAnsi="Arial" w:cs="Arial"/>
        </w:rPr>
        <w:t>e</w:t>
      </w:r>
      <w:r w:rsidRPr="0085657D">
        <w:rPr>
          <w:rFonts w:ascii="Arial" w:hAnsi="Arial" w:cs="Arial"/>
        </w:rPr>
        <w:t xml:space="preserve"> kako bi se sekundarna viktimizacija svela na najmanju moguću mjeru. </w:t>
      </w:r>
      <w:r w:rsidR="00052A9B" w:rsidRPr="0085657D">
        <w:rPr>
          <w:rFonts w:ascii="Arial" w:hAnsi="Arial" w:cs="Arial"/>
        </w:rPr>
        <w:t xml:space="preserve">Važan preduslov predstavlja i podizanje svijesti kako samih žrtava o pravima koja im pripadaju i načinima ostvarivanja tih prava, tako i opšte javnosti i profesionalaca zaposlenih u medijima, imajući u vidu domete kako pozitivnog, tako i negativnog uticaja koje način medijskog izvještavanja o kriminalitetu i žrtvama može imati na same žrtve, njihovu stigmatizaciju, sekundarnu viktimizaciju i proces rehabilitacije. </w:t>
      </w:r>
    </w:p>
    <w:p w14:paraId="1E801550" w14:textId="77777777" w:rsidR="00B9242F" w:rsidRPr="0085657D" w:rsidRDefault="00B9242F" w:rsidP="00052A9B">
      <w:pPr>
        <w:autoSpaceDE w:val="0"/>
        <w:autoSpaceDN w:val="0"/>
        <w:adjustRightInd w:val="0"/>
        <w:spacing w:line="276" w:lineRule="auto"/>
        <w:rPr>
          <w:rFonts w:ascii="Arial" w:hAnsi="Arial" w:cs="Arial"/>
        </w:rPr>
      </w:pPr>
      <w:r w:rsidRPr="0085657D">
        <w:rPr>
          <w:rFonts w:ascii="Arial" w:hAnsi="Arial" w:cs="Arial"/>
        </w:rPr>
        <w:t>U oblasti obrazovanja ne postoje detaljni protokoli o postupanju u slučajevima raznih oblika nasilja nad djecom, osim uputstva o Podjeli odgovornosti i postupanja u cilju prevencije i u slučajevima pojave nasilja i vandalizma.</w:t>
      </w:r>
      <w:r w:rsidR="00BC60DB" w:rsidRPr="0085657D">
        <w:rPr>
          <w:rFonts w:ascii="Arial" w:hAnsi="Arial" w:cs="Arial"/>
        </w:rPr>
        <w:t xml:space="preserve"> </w:t>
      </w:r>
    </w:p>
    <w:p w14:paraId="32BE7162" w14:textId="73C3C10B" w:rsidR="00F745C8" w:rsidRPr="0085657D" w:rsidRDefault="006D25F0" w:rsidP="00601BFC">
      <w:pPr>
        <w:autoSpaceDE w:val="0"/>
        <w:autoSpaceDN w:val="0"/>
        <w:adjustRightInd w:val="0"/>
        <w:spacing w:line="276" w:lineRule="auto"/>
        <w:rPr>
          <w:rFonts w:ascii="Arial" w:hAnsi="Arial" w:cs="Arial"/>
        </w:rPr>
      </w:pPr>
      <w:r w:rsidRPr="0085657D">
        <w:rPr>
          <w:rFonts w:ascii="Arial" w:hAnsi="Arial" w:cs="Arial"/>
        </w:rPr>
        <w:t>J</w:t>
      </w:r>
      <w:r w:rsidR="00F745C8" w:rsidRPr="0085657D">
        <w:rPr>
          <w:rFonts w:ascii="Arial" w:hAnsi="Arial" w:cs="Arial"/>
        </w:rPr>
        <w:t xml:space="preserve">edan od ključnih preduslova, kako za praćenje, tako </w:t>
      </w:r>
      <w:r w:rsidR="00C07E4E">
        <w:rPr>
          <w:rFonts w:ascii="Arial" w:hAnsi="Arial" w:cs="Arial"/>
        </w:rPr>
        <w:t xml:space="preserve">i </w:t>
      </w:r>
      <w:r w:rsidR="00F745C8" w:rsidRPr="0085657D">
        <w:rPr>
          <w:rFonts w:ascii="Arial" w:hAnsi="Arial" w:cs="Arial"/>
        </w:rPr>
        <w:t xml:space="preserve">za unapređenje ostvarivanja prava žrtava, predstavlja i </w:t>
      </w:r>
      <w:r w:rsidR="00F745C8" w:rsidRPr="0085657D">
        <w:rPr>
          <w:rFonts w:ascii="Arial" w:hAnsi="Arial" w:cs="Arial"/>
          <w:b/>
          <w:bCs/>
        </w:rPr>
        <w:t>vođenje detaljnih statistika</w:t>
      </w:r>
      <w:r w:rsidR="00F745C8" w:rsidRPr="0085657D">
        <w:rPr>
          <w:rFonts w:ascii="Arial" w:hAnsi="Arial" w:cs="Arial"/>
        </w:rPr>
        <w:t xml:space="preserve"> </w:t>
      </w:r>
      <w:r w:rsidRPr="0085657D">
        <w:rPr>
          <w:rFonts w:ascii="Arial" w:hAnsi="Arial" w:cs="Arial"/>
        </w:rPr>
        <w:t xml:space="preserve">u pogledu prava koja žrtva ostvaruje </w:t>
      </w:r>
      <w:r w:rsidR="00F745C8" w:rsidRPr="0085657D">
        <w:rPr>
          <w:rFonts w:ascii="Arial" w:hAnsi="Arial" w:cs="Arial"/>
        </w:rPr>
        <w:t xml:space="preserve">i </w:t>
      </w:r>
      <w:r w:rsidR="00601BFC" w:rsidRPr="0085657D">
        <w:rPr>
          <w:rFonts w:ascii="Arial" w:hAnsi="Arial" w:cs="Arial"/>
        </w:rPr>
        <w:t>mjera</w:t>
      </w:r>
      <w:r w:rsidR="00FD574F" w:rsidRPr="0085657D">
        <w:rPr>
          <w:rFonts w:ascii="Arial" w:hAnsi="Arial" w:cs="Arial"/>
        </w:rPr>
        <w:t xml:space="preserve"> </w:t>
      </w:r>
      <w:r w:rsidR="00F745C8" w:rsidRPr="0085657D">
        <w:rPr>
          <w:rFonts w:ascii="Arial" w:hAnsi="Arial" w:cs="Arial"/>
        </w:rPr>
        <w:t>podrške i zaštite</w:t>
      </w:r>
      <w:r w:rsidR="00F015D6" w:rsidRPr="0085657D">
        <w:rPr>
          <w:rFonts w:ascii="Arial" w:hAnsi="Arial" w:cs="Arial"/>
        </w:rPr>
        <w:t xml:space="preserve">. </w:t>
      </w:r>
      <w:r w:rsidRPr="0085657D">
        <w:rPr>
          <w:rFonts w:ascii="Arial" w:hAnsi="Arial" w:cs="Arial"/>
        </w:rPr>
        <w:t>Jedan od</w:t>
      </w:r>
      <w:r w:rsidR="00B479AB" w:rsidRPr="0085657D">
        <w:rPr>
          <w:rFonts w:ascii="Arial" w:hAnsi="Arial" w:cs="Arial"/>
        </w:rPr>
        <w:t xml:space="preserve"> razlog</w:t>
      </w:r>
      <w:r w:rsidRPr="0085657D">
        <w:rPr>
          <w:rFonts w:ascii="Arial" w:hAnsi="Arial" w:cs="Arial"/>
        </w:rPr>
        <w:t>a</w:t>
      </w:r>
      <w:r w:rsidR="00B479AB" w:rsidRPr="0085657D">
        <w:rPr>
          <w:rFonts w:ascii="Arial" w:hAnsi="Arial" w:cs="Arial"/>
        </w:rPr>
        <w:t xml:space="preserve"> za nepostojanje sveobuhvatnih i preciznih podataka leži i u činjenici da do usvajanja ove strategije nije bilo dokumenta javne politike koji bi se pitanjem prava žrtava bavio na sveobuhvatan način. </w:t>
      </w:r>
      <w:r w:rsidR="00F015D6" w:rsidRPr="0085657D">
        <w:rPr>
          <w:rFonts w:ascii="Arial" w:hAnsi="Arial" w:cs="Arial"/>
        </w:rPr>
        <w:t>Upravo nedostatak ovakvih statistika, kako u sektoru unutrašnjih poslova, pravde,</w:t>
      </w:r>
      <w:r w:rsidR="00BE2023">
        <w:rPr>
          <w:rFonts w:ascii="Arial" w:hAnsi="Arial" w:cs="Arial"/>
        </w:rPr>
        <w:t xml:space="preserve"> </w:t>
      </w:r>
      <w:r w:rsidR="00F015D6" w:rsidRPr="0085657D">
        <w:rPr>
          <w:rFonts w:ascii="Arial" w:hAnsi="Arial" w:cs="Arial"/>
        </w:rPr>
        <w:t xml:space="preserve">socijalne zaštite, obrazovanja i zdravstvene zaštite otežava sagledavanje realnih </w:t>
      </w:r>
      <w:r w:rsidR="00601BFC" w:rsidRPr="0085657D">
        <w:rPr>
          <w:rFonts w:ascii="Arial" w:hAnsi="Arial" w:cs="Arial"/>
        </w:rPr>
        <w:t>razmjera</w:t>
      </w:r>
      <w:r w:rsidR="00F015D6" w:rsidRPr="0085657D">
        <w:rPr>
          <w:rFonts w:ascii="Arial" w:hAnsi="Arial" w:cs="Arial"/>
        </w:rPr>
        <w:t xml:space="preserve"> i strukture viktimizacije u Crnoj Gori.</w:t>
      </w:r>
    </w:p>
    <w:p w14:paraId="1CEBFFE5" w14:textId="6025F46C" w:rsidR="00C47459" w:rsidRPr="0085657D" w:rsidRDefault="00751E3E" w:rsidP="00751E3E">
      <w:pPr>
        <w:rPr>
          <w:rFonts w:ascii="Arial" w:hAnsi="Arial" w:cs="Arial"/>
        </w:rPr>
      </w:pPr>
      <w:r w:rsidRPr="0085657D">
        <w:rPr>
          <w:rFonts w:ascii="Arial" w:hAnsi="Arial" w:cs="Arial"/>
        </w:rPr>
        <w:t>U oblasti zdravstva, samo pojedini zakoni prepoznaju žrtvu kao korisnika zdravstvene podrške. Kao nedostatak sistemske regulative ističe se to što glavni zdravstveni zakoni ne sadrže ni opštu definiciju žrtve, ni mehanizme za pružanje psihološke pomoći, zaštitu privatnosti ili hitne intervencije. Žrtve se prepoznaju samo u određenim situacijama, što nije u skladu sa Strategijom koja zaht</w:t>
      </w:r>
      <w:r w:rsidR="008111C1">
        <w:rPr>
          <w:rFonts w:ascii="Arial" w:hAnsi="Arial" w:cs="Arial"/>
        </w:rPr>
        <w:t>ij</w:t>
      </w:r>
      <w:r w:rsidRPr="0085657D">
        <w:rPr>
          <w:rFonts w:ascii="Arial" w:hAnsi="Arial" w:cs="Arial"/>
        </w:rPr>
        <w:t>eva integrisani pristup sistema. Takođe, postoje ograničenja u prevenciji i pružanju podrške, jer ne postoje edukativni, preventivni ni koordinacioni protokoli između sektora zdravstva, policije i socijalne zaštite.</w:t>
      </w:r>
    </w:p>
    <w:p w14:paraId="4A513FC2" w14:textId="77777777" w:rsidR="001B16ED" w:rsidRPr="0085657D" w:rsidRDefault="001B16ED" w:rsidP="001B16ED">
      <w:pPr>
        <w:jc w:val="left"/>
        <w:rPr>
          <w:rFonts w:ascii="Arial" w:hAnsi="Arial" w:cs="Arial"/>
        </w:rPr>
      </w:pPr>
      <w:r w:rsidRPr="0085657D">
        <w:rPr>
          <w:rFonts w:ascii="Arial" w:hAnsi="Arial" w:cs="Arial"/>
        </w:rPr>
        <w:t>Preporuke za usklađivanje sa Strategijom</w:t>
      </w:r>
      <w:r w:rsidR="00FB3944" w:rsidRPr="0085657D">
        <w:rPr>
          <w:rFonts w:ascii="Arial" w:hAnsi="Arial" w:cs="Arial"/>
        </w:rPr>
        <w:t>:</w:t>
      </w:r>
    </w:p>
    <w:p w14:paraId="2A07C979" w14:textId="77777777" w:rsidR="001B16ED" w:rsidRPr="0085657D" w:rsidRDefault="001B16ED" w:rsidP="008111C1">
      <w:pPr>
        <w:rPr>
          <w:rFonts w:ascii="Arial" w:hAnsi="Arial" w:cs="Arial"/>
        </w:rPr>
      </w:pPr>
      <w:r w:rsidRPr="0085657D">
        <w:rPr>
          <w:rFonts w:ascii="Arial" w:hAnsi="Arial" w:cs="Arial"/>
        </w:rPr>
        <w:t>1. Uvođenje opšte definicije žrtve u Zakon o zdravstvenoj zaštiti, prema međunarodnim standardima (npr. UN Deklaraciji, Istanbul konvenciji).</w:t>
      </w:r>
    </w:p>
    <w:p w14:paraId="07C8F230" w14:textId="77777777" w:rsidR="001B16ED" w:rsidRPr="0085657D" w:rsidRDefault="001B16ED" w:rsidP="008111C1">
      <w:pPr>
        <w:rPr>
          <w:rFonts w:ascii="Arial" w:hAnsi="Arial" w:cs="Arial"/>
        </w:rPr>
      </w:pPr>
      <w:r w:rsidRPr="0085657D">
        <w:rPr>
          <w:rFonts w:ascii="Arial" w:hAnsi="Arial" w:cs="Arial"/>
        </w:rPr>
        <w:t>2. Obavezno uključivanje žrtava nasilja, zlostavljanja, trgovine ljudima, seksualnog nasilja kao posebno ranjivih kategorija sa pravom na:</w:t>
      </w:r>
    </w:p>
    <w:p w14:paraId="42FFDD00" w14:textId="77777777" w:rsidR="001B16ED" w:rsidRPr="0085657D" w:rsidRDefault="00FB3944" w:rsidP="001B16ED">
      <w:pPr>
        <w:jc w:val="left"/>
        <w:rPr>
          <w:rFonts w:ascii="Arial" w:hAnsi="Arial" w:cs="Arial"/>
        </w:rPr>
      </w:pPr>
      <w:r w:rsidRPr="0085657D">
        <w:rPr>
          <w:rFonts w:ascii="Arial" w:hAnsi="Arial" w:cs="Arial"/>
        </w:rPr>
        <w:t xml:space="preserve">- </w:t>
      </w:r>
      <w:r w:rsidR="001B16ED" w:rsidRPr="0085657D">
        <w:rPr>
          <w:rFonts w:ascii="Arial" w:hAnsi="Arial" w:cs="Arial"/>
        </w:rPr>
        <w:t>Hitnu medicinsku pomoć,</w:t>
      </w:r>
    </w:p>
    <w:p w14:paraId="6CCE205D" w14:textId="77777777" w:rsidR="001B16ED" w:rsidRPr="0085657D" w:rsidRDefault="00FB3944" w:rsidP="001B16ED">
      <w:pPr>
        <w:jc w:val="left"/>
        <w:rPr>
          <w:rFonts w:ascii="Arial" w:hAnsi="Arial" w:cs="Arial"/>
        </w:rPr>
      </w:pPr>
      <w:r w:rsidRPr="0085657D">
        <w:rPr>
          <w:rFonts w:ascii="Arial" w:hAnsi="Arial" w:cs="Arial"/>
        </w:rPr>
        <w:t xml:space="preserve">- </w:t>
      </w:r>
      <w:r w:rsidR="001B16ED" w:rsidRPr="0085657D">
        <w:rPr>
          <w:rFonts w:ascii="Arial" w:hAnsi="Arial" w:cs="Arial"/>
        </w:rPr>
        <w:t>Psihološko savjetovanje,</w:t>
      </w:r>
    </w:p>
    <w:p w14:paraId="3ABC880C" w14:textId="77777777" w:rsidR="001B16ED" w:rsidRPr="0085657D" w:rsidRDefault="00FB3944" w:rsidP="001B16ED">
      <w:pPr>
        <w:jc w:val="left"/>
        <w:rPr>
          <w:rFonts w:ascii="Arial" w:hAnsi="Arial" w:cs="Arial"/>
        </w:rPr>
      </w:pPr>
      <w:r w:rsidRPr="0085657D">
        <w:rPr>
          <w:rFonts w:ascii="Arial" w:hAnsi="Arial" w:cs="Arial"/>
        </w:rPr>
        <w:t xml:space="preserve">- </w:t>
      </w:r>
      <w:r w:rsidR="001B16ED" w:rsidRPr="0085657D">
        <w:rPr>
          <w:rFonts w:ascii="Arial" w:hAnsi="Arial" w:cs="Arial"/>
        </w:rPr>
        <w:t>Pratnju i zaštitu prilikom pristupa zdravstvenim uslugama.</w:t>
      </w:r>
    </w:p>
    <w:p w14:paraId="6DBBFC5D" w14:textId="77777777" w:rsidR="001B16ED" w:rsidRPr="0085657D" w:rsidRDefault="001B16ED" w:rsidP="008111C1">
      <w:pPr>
        <w:rPr>
          <w:rFonts w:ascii="Arial" w:hAnsi="Arial" w:cs="Arial"/>
        </w:rPr>
      </w:pPr>
      <w:r w:rsidRPr="0085657D">
        <w:rPr>
          <w:rFonts w:ascii="Arial" w:hAnsi="Arial" w:cs="Arial"/>
        </w:rPr>
        <w:t>3. Razrada protokola za postupanje zdravstvenih radnika, uključujući obaveznu obuku u prepoznavanju i zaštiti žrtava.</w:t>
      </w:r>
    </w:p>
    <w:p w14:paraId="5FCD6AFA" w14:textId="77777777" w:rsidR="001B16ED" w:rsidRPr="0085657D" w:rsidRDefault="001B16ED" w:rsidP="008111C1">
      <w:pPr>
        <w:rPr>
          <w:rFonts w:ascii="Arial" w:hAnsi="Arial" w:cs="Arial"/>
        </w:rPr>
      </w:pPr>
      <w:r w:rsidRPr="0085657D">
        <w:rPr>
          <w:rFonts w:ascii="Arial" w:hAnsi="Arial" w:cs="Arial"/>
        </w:rPr>
        <w:t>4. Formalizovanje međusektorske saradnje sa policijom, centrima za socijalni rad i skloništima za žrtve.</w:t>
      </w:r>
    </w:p>
    <w:p w14:paraId="668DE7F0" w14:textId="77777777" w:rsidR="001B16ED" w:rsidRPr="0085657D" w:rsidRDefault="001B16ED" w:rsidP="008111C1">
      <w:pPr>
        <w:rPr>
          <w:rFonts w:ascii="Arial" w:hAnsi="Arial" w:cs="Arial"/>
        </w:rPr>
      </w:pPr>
      <w:r w:rsidRPr="0085657D">
        <w:rPr>
          <w:rFonts w:ascii="Arial" w:hAnsi="Arial" w:cs="Arial"/>
        </w:rPr>
        <w:t>5. Zajednička baza podataka i praćenje slučajeva — uz poštovanje prava na privatnost i zaštitu identiteta žrtava.</w:t>
      </w:r>
    </w:p>
    <w:p w14:paraId="6D07CA56" w14:textId="64B3F78B" w:rsidR="00292690" w:rsidRDefault="00751E3E" w:rsidP="008111C1">
      <w:pPr>
        <w:spacing w:after="0"/>
        <w:rPr>
          <w:rFonts w:ascii="Arial" w:hAnsi="Arial" w:cs="Arial"/>
        </w:rPr>
      </w:pPr>
      <w:r w:rsidRPr="0085657D">
        <w:rPr>
          <w:rFonts w:ascii="Arial" w:hAnsi="Arial" w:cs="Arial"/>
        </w:rPr>
        <w:lastRenderedPageBreak/>
        <w:t>Sve navedeno zaht</w:t>
      </w:r>
      <w:r w:rsidR="008111C1">
        <w:rPr>
          <w:rFonts w:ascii="Arial" w:hAnsi="Arial" w:cs="Arial"/>
        </w:rPr>
        <w:t>i</w:t>
      </w:r>
      <w:r w:rsidRPr="0085657D">
        <w:rPr>
          <w:rFonts w:ascii="Arial" w:hAnsi="Arial" w:cs="Arial"/>
        </w:rPr>
        <w:t xml:space="preserve">jeva sprovođenje sljedećih aktivnosti: </w:t>
      </w:r>
      <w:r w:rsidR="001B16ED" w:rsidRPr="0085657D">
        <w:rPr>
          <w:rFonts w:ascii="Arial" w:hAnsi="Arial" w:cs="Arial"/>
        </w:rPr>
        <w:t xml:space="preserve">Predlog </w:t>
      </w:r>
      <w:r w:rsidR="008111C1">
        <w:rPr>
          <w:rFonts w:ascii="Arial" w:hAnsi="Arial" w:cs="Arial"/>
        </w:rPr>
        <w:t>zakona o izmjenama i dopunama</w:t>
      </w:r>
      <w:r w:rsidR="008111C1" w:rsidRPr="0085657D">
        <w:rPr>
          <w:rFonts w:ascii="Arial" w:hAnsi="Arial" w:cs="Arial"/>
        </w:rPr>
        <w:t xml:space="preserve"> </w:t>
      </w:r>
      <w:r w:rsidR="001B16ED" w:rsidRPr="0085657D">
        <w:rPr>
          <w:rFonts w:ascii="Arial" w:hAnsi="Arial" w:cs="Arial"/>
        </w:rPr>
        <w:t>Zakona o zdravstvenoj zaštiti</w:t>
      </w:r>
      <w:r w:rsidR="00FB3944" w:rsidRPr="0085657D">
        <w:rPr>
          <w:rFonts w:ascii="Arial" w:hAnsi="Arial" w:cs="Arial"/>
        </w:rPr>
        <w:t xml:space="preserve"> i i</w:t>
      </w:r>
      <w:r w:rsidR="001B16ED" w:rsidRPr="0085657D">
        <w:rPr>
          <w:rFonts w:ascii="Arial" w:hAnsi="Arial" w:cs="Arial"/>
        </w:rPr>
        <w:t>zrad</w:t>
      </w:r>
      <w:r w:rsidR="00FB3944" w:rsidRPr="0085657D">
        <w:rPr>
          <w:rFonts w:ascii="Arial" w:hAnsi="Arial" w:cs="Arial"/>
        </w:rPr>
        <w:t>u</w:t>
      </w:r>
      <w:r w:rsidR="001B16ED" w:rsidRPr="0085657D">
        <w:rPr>
          <w:rFonts w:ascii="Arial" w:hAnsi="Arial" w:cs="Arial"/>
        </w:rPr>
        <w:t xml:space="preserve"> Nacrta pravilnika o postupanju sa žrtvama u zdravstvenim ustanovama</w:t>
      </w:r>
      <w:r w:rsidR="00FB3944" w:rsidRPr="0085657D">
        <w:rPr>
          <w:rFonts w:ascii="Arial" w:hAnsi="Arial" w:cs="Arial"/>
        </w:rPr>
        <w:t>.</w:t>
      </w:r>
    </w:p>
    <w:p w14:paraId="672C6BCE" w14:textId="77777777" w:rsidR="008111C1" w:rsidRPr="0085657D" w:rsidRDefault="008111C1" w:rsidP="008111C1">
      <w:pPr>
        <w:rPr>
          <w:rFonts w:ascii="Arial" w:hAnsi="Arial" w:cs="Arial"/>
        </w:rPr>
      </w:pPr>
    </w:p>
    <w:p w14:paraId="5EEA3183" w14:textId="6B072D40" w:rsidR="00292690" w:rsidRPr="000C590F" w:rsidRDefault="00292690" w:rsidP="00595DE2">
      <w:pPr>
        <w:pStyle w:val="Heading2"/>
        <w:numPr>
          <w:ilvl w:val="1"/>
          <w:numId w:val="5"/>
        </w:numPr>
        <w:spacing w:after="120"/>
        <w:ind w:left="714" w:hanging="357"/>
        <w:rPr>
          <w:rFonts w:ascii="Arial" w:hAnsi="Arial" w:cs="Arial"/>
          <w:sz w:val="22"/>
          <w:szCs w:val="22"/>
        </w:rPr>
      </w:pPr>
      <w:bookmarkStart w:id="22" w:name="_Toc208489176"/>
      <w:r w:rsidRPr="0085657D">
        <w:rPr>
          <w:rFonts w:ascii="Arial" w:hAnsi="Arial" w:cs="Arial"/>
          <w:sz w:val="22"/>
          <w:szCs w:val="22"/>
        </w:rPr>
        <w:t xml:space="preserve">Usklađenost normativnog okvira sa relevantnim standardima </w:t>
      </w:r>
      <w:r w:rsidRPr="000C590F">
        <w:rPr>
          <w:rFonts w:ascii="Arial" w:hAnsi="Arial" w:cs="Arial"/>
          <w:sz w:val="22"/>
          <w:szCs w:val="22"/>
        </w:rPr>
        <w:t xml:space="preserve">u oblasti </w:t>
      </w:r>
      <w:r w:rsidR="000C590F" w:rsidRPr="000C590F">
        <w:rPr>
          <w:rFonts w:ascii="Arial" w:hAnsi="Arial" w:cs="Arial"/>
          <w:sz w:val="22"/>
          <w:szCs w:val="22"/>
        </w:rPr>
        <w:t>zaštite prava žrtava</w:t>
      </w:r>
      <w:bookmarkEnd w:id="22"/>
    </w:p>
    <w:p w14:paraId="597A5A8F" w14:textId="77777777" w:rsidR="00460D1F" w:rsidRPr="0085657D" w:rsidRDefault="00460D1F" w:rsidP="00A45A1F">
      <w:pPr>
        <w:spacing w:after="120" w:line="276" w:lineRule="auto"/>
        <w:rPr>
          <w:rFonts w:ascii="Arial" w:hAnsi="Arial" w:cs="Arial"/>
        </w:rPr>
      </w:pPr>
    </w:p>
    <w:p w14:paraId="45F11656" w14:textId="77777777" w:rsidR="00460D1F" w:rsidRPr="0085657D" w:rsidRDefault="00460D1F" w:rsidP="008A4F65">
      <w:pPr>
        <w:pStyle w:val="Heading3"/>
        <w:numPr>
          <w:ilvl w:val="2"/>
          <w:numId w:val="5"/>
        </w:numPr>
        <w:rPr>
          <w:rFonts w:ascii="Arial" w:hAnsi="Arial" w:cs="Arial"/>
          <w:sz w:val="22"/>
          <w:szCs w:val="22"/>
        </w:rPr>
      </w:pPr>
      <w:bookmarkStart w:id="23" w:name="_Toc208489177"/>
      <w:r w:rsidRPr="0085657D">
        <w:rPr>
          <w:rFonts w:ascii="Arial" w:hAnsi="Arial" w:cs="Arial"/>
          <w:sz w:val="22"/>
          <w:szCs w:val="22"/>
        </w:rPr>
        <w:t>Krivično zakonodavstvo</w:t>
      </w:r>
      <w:bookmarkEnd w:id="23"/>
    </w:p>
    <w:p w14:paraId="4CF2BAC8" w14:textId="77777777" w:rsidR="00675C71" w:rsidRPr="0085657D" w:rsidRDefault="00675C71" w:rsidP="00A45A1F">
      <w:pPr>
        <w:spacing w:after="120" w:line="276" w:lineRule="auto"/>
        <w:rPr>
          <w:rFonts w:ascii="Arial" w:hAnsi="Arial" w:cs="Arial"/>
        </w:rPr>
      </w:pPr>
    </w:p>
    <w:p w14:paraId="16F466D2" w14:textId="77777777" w:rsidR="00675C71" w:rsidRPr="0085657D" w:rsidRDefault="00675C71" w:rsidP="00A45A1F">
      <w:pPr>
        <w:spacing w:after="120" w:line="276" w:lineRule="auto"/>
        <w:rPr>
          <w:rFonts w:ascii="Arial" w:hAnsi="Arial" w:cs="Arial"/>
        </w:rPr>
      </w:pPr>
      <w:r w:rsidRPr="0085657D">
        <w:rPr>
          <w:rFonts w:ascii="Arial" w:hAnsi="Arial" w:cs="Arial"/>
        </w:rPr>
        <w:t xml:space="preserve">Definicija žrtve propisana je </w:t>
      </w:r>
      <w:r w:rsidRPr="0085657D">
        <w:rPr>
          <w:rFonts w:ascii="Arial" w:hAnsi="Arial" w:cs="Arial"/>
          <w:b/>
        </w:rPr>
        <w:t>Krivičnim zakonikom Crne Gore</w:t>
      </w:r>
      <w:r w:rsidRPr="0085657D">
        <w:rPr>
          <w:rFonts w:ascii="Arial" w:hAnsi="Arial" w:cs="Arial"/>
        </w:rPr>
        <w:t>, prema kojoj je žrtva lice kojem je protivpravnim djelom, koje je zakonom određeno kao krivično djelo, prouzrokovan fizički ili duševni bol ili patnja, imovinska šteta ili povreda ljudskih prava i sloboda.</w:t>
      </w:r>
    </w:p>
    <w:p w14:paraId="391949CD" w14:textId="1292D43F" w:rsidR="00A101B6" w:rsidRPr="0085657D" w:rsidRDefault="00A101B6" w:rsidP="00A45A1F">
      <w:pPr>
        <w:spacing w:after="120" w:line="276" w:lineRule="auto"/>
        <w:rPr>
          <w:rFonts w:ascii="Arial" w:hAnsi="Arial" w:cs="Arial"/>
        </w:rPr>
      </w:pPr>
      <w:r w:rsidRPr="0085657D">
        <w:rPr>
          <w:rFonts w:ascii="Arial" w:hAnsi="Arial" w:cs="Arial"/>
        </w:rPr>
        <w:t>Izmjene i dopune Krivičnog zakonika Crne Gore usvojene u decembru 2023. godine osiguravaju  dodatnu zaštit</w:t>
      </w:r>
      <w:r w:rsidR="008111C1">
        <w:rPr>
          <w:rFonts w:ascii="Arial" w:hAnsi="Arial" w:cs="Arial"/>
        </w:rPr>
        <w:t>u</w:t>
      </w:r>
      <w:r w:rsidRPr="0085657D">
        <w:rPr>
          <w:rFonts w:ascii="Arial" w:hAnsi="Arial" w:cs="Arial"/>
        </w:rPr>
        <w:t xml:space="preserve"> pojedinim kategorijama žrtava. Ključne novine zakonskog rješenja odnose se na propisivanje novog krivičnog djela seksualno uznemiravanje, koje do sada nije bilo propisano u krivičnom zakonodavstvu. Zatim, propisivanje krivičnog djela </w:t>
      </w:r>
      <w:r w:rsidR="008111C1">
        <w:rPr>
          <w:rFonts w:ascii="Arial" w:hAnsi="Arial" w:cs="Arial"/>
        </w:rPr>
        <w:t>„</w:t>
      </w:r>
      <w:r w:rsidRPr="0085657D">
        <w:rPr>
          <w:rFonts w:ascii="Arial" w:hAnsi="Arial" w:cs="Arial"/>
        </w:rPr>
        <w:t>175a Zloupotreba tuđeg snimka, fotografije, portreta, audio zapisa ili spisa sa seksualno eksplicitnim sadržajem</w:t>
      </w:r>
      <w:r w:rsidR="008111C1">
        <w:rPr>
          <w:rFonts w:ascii="Arial" w:hAnsi="Arial" w:cs="Arial"/>
        </w:rPr>
        <w:t>“</w:t>
      </w:r>
      <w:r w:rsidRPr="0085657D">
        <w:rPr>
          <w:rFonts w:ascii="Arial" w:hAnsi="Arial" w:cs="Arial"/>
        </w:rPr>
        <w:t xml:space="preserve">. Bitno je pomenuti i izmjene iz člana 220 </w:t>
      </w:r>
      <w:r w:rsidR="008111C1">
        <w:rPr>
          <w:rFonts w:ascii="Arial" w:hAnsi="Arial" w:cs="Arial"/>
        </w:rPr>
        <w:t>„</w:t>
      </w:r>
      <w:r w:rsidRPr="0085657D">
        <w:rPr>
          <w:rFonts w:ascii="Arial" w:hAnsi="Arial" w:cs="Arial"/>
        </w:rPr>
        <w:t>Nasilje u porodici ili porodičnoj zajednici</w:t>
      </w:r>
      <w:r w:rsidR="008111C1">
        <w:rPr>
          <w:rFonts w:ascii="Arial" w:hAnsi="Arial" w:cs="Arial"/>
        </w:rPr>
        <w:t>“</w:t>
      </w:r>
      <w:r w:rsidRPr="0085657D">
        <w:rPr>
          <w:rFonts w:ascii="Arial" w:hAnsi="Arial" w:cs="Arial"/>
        </w:rPr>
        <w:t>, pa su sada svaka laka tjelesna povreda ili prijetnja krivično djelo, čime se pravi jasna razlika između prekršaja i krivičnog djela. Omogućava se bolja zaštita kada je u pitanju nasilje, jer ne samo što će ovo ponašanje biti strožije sankcionisano, već se i širi opseg zaštite, odnosno širi se krug lica koja se imaju smatrati članovima porodice ili porodične zajednice.</w:t>
      </w:r>
    </w:p>
    <w:p w14:paraId="1A310A34" w14:textId="77777777" w:rsidR="00675C71" w:rsidRPr="0085657D" w:rsidRDefault="00DE4B96" w:rsidP="00A45A1F">
      <w:pPr>
        <w:spacing w:after="120" w:line="276" w:lineRule="auto"/>
        <w:rPr>
          <w:rFonts w:ascii="Arial" w:hAnsi="Arial" w:cs="Arial"/>
        </w:rPr>
      </w:pPr>
      <w:r w:rsidRPr="0085657D">
        <w:rPr>
          <w:rFonts w:ascii="Arial" w:hAnsi="Arial" w:cs="Arial"/>
        </w:rPr>
        <w:t xml:space="preserve">Odredbe </w:t>
      </w:r>
      <w:r w:rsidRPr="0085657D">
        <w:rPr>
          <w:rFonts w:ascii="Arial" w:hAnsi="Arial" w:cs="Arial"/>
          <w:b/>
          <w:bCs/>
        </w:rPr>
        <w:t>Zakonika o krivičnom postupku</w:t>
      </w:r>
      <w:r w:rsidRPr="0085657D">
        <w:rPr>
          <w:rFonts w:ascii="Arial" w:hAnsi="Arial" w:cs="Arial"/>
        </w:rPr>
        <w:t xml:space="preserve"> igraju ključnu ulogu kada je riječ o normativnom okviru za ostvarivanje prava žrtava. </w:t>
      </w:r>
    </w:p>
    <w:p w14:paraId="6661205D" w14:textId="50E34C05" w:rsidR="009C6F4C" w:rsidRPr="0085657D" w:rsidRDefault="009C6F4C" w:rsidP="00A45A1F">
      <w:pPr>
        <w:spacing w:after="120" w:line="276" w:lineRule="auto"/>
        <w:rPr>
          <w:rFonts w:ascii="Arial" w:hAnsi="Arial" w:cs="Arial"/>
        </w:rPr>
      </w:pPr>
      <w:r w:rsidRPr="0085657D">
        <w:rPr>
          <w:rFonts w:ascii="Arial" w:hAnsi="Arial" w:cs="Arial"/>
        </w:rPr>
        <w:t xml:space="preserve">Radna grupa Ministarstva pravde izradila je Nacrt </w:t>
      </w:r>
      <w:r w:rsidR="00BA2113" w:rsidRPr="0085657D">
        <w:rPr>
          <w:rFonts w:ascii="Arial" w:hAnsi="Arial" w:cs="Arial"/>
        </w:rPr>
        <w:t>z</w:t>
      </w:r>
      <w:r w:rsidRPr="0085657D">
        <w:rPr>
          <w:rFonts w:ascii="Arial" w:hAnsi="Arial" w:cs="Arial"/>
        </w:rPr>
        <w:t>akona o izmjenama</w:t>
      </w:r>
      <w:r w:rsidR="0023445B" w:rsidRPr="0085657D">
        <w:rPr>
          <w:rFonts w:ascii="Arial" w:hAnsi="Arial" w:cs="Arial"/>
        </w:rPr>
        <w:t xml:space="preserve"> i dopunama</w:t>
      </w:r>
      <w:r w:rsidRPr="0085657D">
        <w:rPr>
          <w:rFonts w:ascii="Arial" w:hAnsi="Arial" w:cs="Arial"/>
        </w:rPr>
        <w:t xml:space="preserve"> Zakonika o krivičnom postupku i sprovela javnu raspravu o nacrtu još 2022. godine</w:t>
      </w:r>
      <w:r w:rsidR="0023445B" w:rsidRPr="0085657D">
        <w:rPr>
          <w:rStyle w:val="FootnoteReference"/>
          <w:rFonts w:ascii="Arial" w:hAnsi="Arial" w:cs="Arial"/>
        </w:rPr>
        <w:footnoteReference w:id="34"/>
      </w:r>
      <w:r w:rsidRPr="0085657D">
        <w:rPr>
          <w:rFonts w:ascii="Arial" w:hAnsi="Arial" w:cs="Arial"/>
        </w:rPr>
        <w:t xml:space="preserve">. Jedan od </w:t>
      </w:r>
      <w:r w:rsidR="00CC7DF3" w:rsidRPr="0085657D">
        <w:rPr>
          <w:rFonts w:ascii="Arial" w:hAnsi="Arial" w:cs="Arial"/>
        </w:rPr>
        <w:t>prioriteta</w:t>
      </w:r>
      <w:r w:rsidRPr="0085657D">
        <w:rPr>
          <w:rFonts w:ascii="Arial" w:hAnsi="Arial" w:cs="Arial"/>
        </w:rPr>
        <w:t xml:space="preserve"> Ministarstva u ovom procesu bilo je usklađivanje ZKP-a sa relevantnim standardima u oblasti prava žrtava. Skupština Crne Gore</w:t>
      </w:r>
      <w:r w:rsidR="00B42A3A">
        <w:rPr>
          <w:rFonts w:ascii="Arial" w:hAnsi="Arial" w:cs="Arial"/>
        </w:rPr>
        <w:t>,</w:t>
      </w:r>
      <w:r w:rsidRPr="0085657D">
        <w:rPr>
          <w:rFonts w:ascii="Arial" w:hAnsi="Arial" w:cs="Arial"/>
        </w:rPr>
        <w:t xml:space="preserve"> na sjednici održanoj 7. juna 2024. </w:t>
      </w:r>
      <w:r w:rsidR="00B42A3A">
        <w:rPr>
          <w:rFonts w:ascii="Arial" w:hAnsi="Arial" w:cs="Arial"/>
        </w:rPr>
        <w:t>godine</w:t>
      </w:r>
      <w:r w:rsidRPr="0085657D">
        <w:rPr>
          <w:rStyle w:val="FootnoteReference"/>
          <w:rFonts w:ascii="Arial" w:hAnsi="Arial" w:cs="Arial"/>
        </w:rPr>
        <w:footnoteReference w:id="35"/>
      </w:r>
      <w:r w:rsidR="00B42A3A">
        <w:rPr>
          <w:rFonts w:ascii="Arial" w:hAnsi="Arial" w:cs="Arial"/>
        </w:rPr>
        <w:t>,</w:t>
      </w:r>
      <w:r w:rsidRPr="0085657D">
        <w:rPr>
          <w:rFonts w:ascii="Arial" w:hAnsi="Arial" w:cs="Arial"/>
        </w:rPr>
        <w:t xml:space="preserve"> usvojila</w:t>
      </w:r>
      <w:r w:rsidR="00BA2113" w:rsidRPr="0085657D">
        <w:rPr>
          <w:rFonts w:ascii="Arial" w:hAnsi="Arial" w:cs="Arial"/>
        </w:rPr>
        <w:t xml:space="preserve"> je</w:t>
      </w:r>
      <w:r w:rsidRPr="0085657D">
        <w:rPr>
          <w:rFonts w:ascii="Arial" w:hAnsi="Arial" w:cs="Arial"/>
          <w:color w:val="222222"/>
          <w:shd w:val="clear" w:color="auto" w:fill="FFFFFF"/>
        </w:rPr>
        <w:t xml:space="preserve"> Zakon o izmjeni i dopuni ZKP-a. Ipak, ovim izmjenama ZKP-a koje je usvojila </w:t>
      </w:r>
      <w:r w:rsidR="00B42A3A">
        <w:rPr>
          <w:rFonts w:ascii="Arial" w:hAnsi="Arial" w:cs="Arial"/>
          <w:color w:val="222222"/>
          <w:shd w:val="clear" w:color="auto" w:fill="FFFFFF"/>
        </w:rPr>
        <w:t>Skupština</w:t>
      </w:r>
      <w:r w:rsidR="00B42A3A" w:rsidRPr="0085657D">
        <w:rPr>
          <w:rFonts w:ascii="Arial" w:hAnsi="Arial" w:cs="Arial"/>
          <w:color w:val="222222"/>
          <w:shd w:val="clear" w:color="auto" w:fill="FFFFFF"/>
        </w:rPr>
        <w:t xml:space="preserve"> </w:t>
      </w:r>
      <w:r w:rsidRPr="0085657D">
        <w:rPr>
          <w:rFonts w:ascii="Arial" w:hAnsi="Arial" w:cs="Arial"/>
          <w:color w:val="222222"/>
          <w:shd w:val="clear" w:color="auto" w:fill="FFFFFF"/>
        </w:rPr>
        <w:t xml:space="preserve">nisu obuhvaćene </w:t>
      </w:r>
      <w:r w:rsidR="00CC7DF3" w:rsidRPr="0085657D">
        <w:rPr>
          <w:rFonts w:ascii="Arial" w:hAnsi="Arial" w:cs="Arial"/>
          <w:color w:val="222222"/>
          <w:shd w:val="clear" w:color="auto" w:fill="FFFFFF"/>
        </w:rPr>
        <w:t xml:space="preserve">sve izmjene predviđene </w:t>
      </w:r>
      <w:r w:rsidRPr="0085657D">
        <w:rPr>
          <w:rFonts w:ascii="Arial" w:hAnsi="Arial" w:cs="Arial"/>
          <w:color w:val="222222"/>
          <w:shd w:val="clear" w:color="auto" w:fill="FFFFFF"/>
        </w:rPr>
        <w:t>ranije pripremljeni</w:t>
      </w:r>
      <w:r w:rsidR="00CC7DF3" w:rsidRPr="0085657D">
        <w:rPr>
          <w:rFonts w:ascii="Arial" w:hAnsi="Arial" w:cs="Arial"/>
          <w:color w:val="222222"/>
          <w:shd w:val="clear" w:color="auto" w:fill="FFFFFF"/>
        </w:rPr>
        <w:t>m</w:t>
      </w:r>
      <w:r w:rsidRPr="0085657D">
        <w:rPr>
          <w:rFonts w:ascii="Arial" w:hAnsi="Arial" w:cs="Arial"/>
          <w:color w:val="222222"/>
          <w:shd w:val="clear" w:color="auto" w:fill="FFFFFF"/>
        </w:rPr>
        <w:t xml:space="preserve"> </w:t>
      </w:r>
      <w:r w:rsidR="00B42A3A">
        <w:rPr>
          <w:rFonts w:ascii="Arial" w:hAnsi="Arial" w:cs="Arial"/>
          <w:color w:val="222222"/>
          <w:shd w:val="clear" w:color="auto" w:fill="FFFFFF"/>
        </w:rPr>
        <w:t>izmjenama i dopunama</w:t>
      </w:r>
      <w:r w:rsidR="00B42A3A" w:rsidRPr="0085657D">
        <w:rPr>
          <w:rFonts w:ascii="Arial" w:hAnsi="Arial" w:cs="Arial"/>
          <w:color w:val="222222"/>
          <w:shd w:val="clear" w:color="auto" w:fill="FFFFFF"/>
        </w:rPr>
        <w:t xml:space="preserve"> </w:t>
      </w:r>
      <w:r w:rsidRPr="0085657D">
        <w:rPr>
          <w:rFonts w:ascii="Arial" w:hAnsi="Arial" w:cs="Arial"/>
          <w:color w:val="222222"/>
          <w:shd w:val="clear" w:color="auto" w:fill="FFFFFF"/>
        </w:rPr>
        <w:t>kojima bi se napravili značajni pomaci u pogledu usaglašavanja sa relevantnim međunarodnim standardima u oblasti prava žrtava, a posebno minimalnim standardima propisanim Direktivom 2012</w:t>
      </w:r>
      <w:r w:rsidR="007E08E4" w:rsidRPr="0085657D">
        <w:rPr>
          <w:rFonts w:ascii="Arial" w:hAnsi="Arial" w:cs="Arial"/>
          <w:color w:val="222222"/>
          <w:shd w:val="clear" w:color="auto" w:fill="FFFFFF"/>
        </w:rPr>
        <w:t>/</w:t>
      </w:r>
      <w:r w:rsidRPr="0085657D">
        <w:rPr>
          <w:rFonts w:ascii="Arial" w:hAnsi="Arial" w:cs="Arial"/>
          <w:color w:val="222222"/>
          <w:shd w:val="clear" w:color="auto" w:fill="FFFFFF"/>
        </w:rPr>
        <w:t>029/EU</w:t>
      </w:r>
      <w:r w:rsidR="008C7147" w:rsidRPr="0085657D">
        <w:rPr>
          <w:rFonts w:ascii="Arial" w:hAnsi="Arial" w:cs="Arial"/>
          <w:color w:val="222222"/>
          <w:shd w:val="clear" w:color="auto" w:fill="FFFFFF"/>
        </w:rPr>
        <w:t>, već samo one kojima se omogućava pribavljanje dokaza relevantnih u predmetima koje vodi Specijalno državno tužilaštvo, posebno u slučajevima ratnih zločina</w:t>
      </w:r>
      <w:r w:rsidR="004472D5" w:rsidRPr="0085657D">
        <w:rPr>
          <w:rFonts w:ascii="Arial" w:hAnsi="Arial" w:cs="Arial"/>
          <w:color w:val="222222"/>
          <w:shd w:val="clear" w:color="auto" w:fill="FFFFFF"/>
        </w:rPr>
        <w:t>.</w:t>
      </w:r>
    </w:p>
    <w:p w14:paraId="0582D71A" w14:textId="42AF32E1" w:rsidR="00DA03C1" w:rsidRDefault="004472D5" w:rsidP="00476809">
      <w:pPr>
        <w:spacing w:after="120" w:line="276" w:lineRule="auto"/>
        <w:rPr>
          <w:rFonts w:ascii="Arial" w:hAnsi="Arial" w:cs="Arial"/>
          <w:color w:val="222222"/>
          <w:shd w:val="clear" w:color="auto" w:fill="FFFFFF"/>
        </w:rPr>
      </w:pPr>
      <w:r w:rsidRPr="0085657D">
        <w:rPr>
          <w:rFonts w:ascii="Arial" w:hAnsi="Arial" w:cs="Arial"/>
          <w:color w:val="222222"/>
          <w:shd w:val="clear" w:color="auto" w:fill="FFFFFF"/>
        </w:rPr>
        <w:t xml:space="preserve">Dalje usklađivanje krivičnog zakonodavstva sa Direktivama EU je u toku, i pripremljene </w:t>
      </w:r>
      <w:r w:rsidR="001D6F9B">
        <w:rPr>
          <w:rFonts w:ascii="Arial" w:hAnsi="Arial" w:cs="Arial"/>
          <w:color w:val="222222"/>
          <w:shd w:val="clear" w:color="auto" w:fill="FFFFFF"/>
        </w:rPr>
        <w:t xml:space="preserve">su </w:t>
      </w:r>
      <w:r w:rsidRPr="0085657D">
        <w:rPr>
          <w:rFonts w:ascii="Arial" w:hAnsi="Arial" w:cs="Arial"/>
          <w:color w:val="222222"/>
          <w:shd w:val="clear" w:color="auto" w:fill="FFFFFF"/>
        </w:rPr>
        <w:t>izmjene i dopune Z</w:t>
      </w:r>
      <w:r w:rsidR="00F45768" w:rsidRPr="0085657D">
        <w:rPr>
          <w:rFonts w:ascii="Arial" w:hAnsi="Arial" w:cs="Arial"/>
          <w:color w:val="222222"/>
          <w:shd w:val="clear" w:color="auto" w:fill="FFFFFF"/>
        </w:rPr>
        <w:t xml:space="preserve">akonika o krivičnom postupku </w:t>
      </w:r>
      <w:r w:rsidRPr="0085657D">
        <w:rPr>
          <w:rFonts w:ascii="Arial" w:hAnsi="Arial" w:cs="Arial"/>
          <w:color w:val="222222"/>
          <w:shd w:val="clear" w:color="auto" w:fill="FFFFFF"/>
        </w:rPr>
        <w:t>koje se odnose</w:t>
      </w:r>
      <w:r w:rsidR="008A4F65" w:rsidRPr="0085657D">
        <w:rPr>
          <w:rFonts w:ascii="Arial" w:hAnsi="Arial" w:cs="Arial"/>
          <w:color w:val="222222"/>
          <w:shd w:val="clear" w:color="auto" w:fill="FFFFFF"/>
        </w:rPr>
        <w:t xml:space="preserve"> na</w:t>
      </w:r>
      <w:r w:rsidRPr="0085657D">
        <w:rPr>
          <w:rFonts w:ascii="Arial" w:hAnsi="Arial" w:cs="Arial"/>
          <w:color w:val="222222"/>
          <w:shd w:val="clear" w:color="auto" w:fill="FFFFFF"/>
        </w:rPr>
        <w:t xml:space="preserve">, između ostalog, definisanje pojma žrtve i prava koja joj pripadaju. </w:t>
      </w:r>
    </w:p>
    <w:p w14:paraId="5502A8D2" w14:textId="77777777" w:rsidR="005A5440" w:rsidRDefault="005A5440" w:rsidP="00A45A1F">
      <w:pPr>
        <w:spacing w:after="120" w:line="276" w:lineRule="auto"/>
        <w:rPr>
          <w:rFonts w:ascii="Arial" w:hAnsi="Arial" w:cs="Arial"/>
          <w:color w:val="222222"/>
          <w:shd w:val="clear" w:color="auto" w:fill="FFFFFF"/>
        </w:rPr>
      </w:pPr>
      <w:r w:rsidRPr="005A5440">
        <w:rPr>
          <w:rFonts w:ascii="Arial" w:hAnsi="Arial" w:cs="Arial"/>
          <w:color w:val="222222"/>
          <w:shd w:val="clear" w:color="auto" w:fill="FFFFFF"/>
        </w:rPr>
        <w:lastRenderedPageBreak/>
        <w:t>Žrtve krivičnih djela, a naročito žrtve krivičnih djela trgovine ljudima, krivičnih djela protiv polne slobode, nasilja u porodici ili u porodičnoj zajednici, kao i ratnih zločina, uključujući i djecu žrtve, pored prava koja im pripadaju kao oštećenima u krivičnom postupku, imaju status žrtava u smislu posebnih procesnih odredbi. Ovaj status podrazumijeva obezbjeđivanje dodatnih prava u okviru izmjena krivično-procesnog zakona.</w:t>
      </w:r>
    </w:p>
    <w:p w14:paraId="691E5CAD" w14:textId="6689F180" w:rsidR="004472D5" w:rsidRPr="0085657D" w:rsidRDefault="004472D5" w:rsidP="00A45A1F">
      <w:pPr>
        <w:spacing w:after="120" w:line="276" w:lineRule="auto"/>
        <w:rPr>
          <w:rFonts w:ascii="Arial" w:hAnsi="Arial" w:cs="Arial"/>
          <w:color w:val="222222"/>
          <w:shd w:val="clear" w:color="auto" w:fill="FFFFFF"/>
        </w:rPr>
      </w:pPr>
      <w:r w:rsidRPr="0085657D">
        <w:rPr>
          <w:rFonts w:ascii="Arial" w:hAnsi="Arial" w:cs="Arial"/>
          <w:color w:val="222222"/>
          <w:shd w:val="clear" w:color="auto" w:fill="FFFFFF"/>
          <w:lang w:val="hr-HR"/>
        </w:rPr>
        <w:t xml:space="preserve">U cilju usaglašavanja pojmova oštećeni i žrtva u krivičnom zakonodavstvu, pomenuti </w:t>
      </w:r>
      <w:r w:rsidR="00476809" w:rsidRPr="0085657D">
        <w:rPr>
          <w:rFonts w:ascii="Arial" w:hAnsi="Arial" w:cs="Arial"/>
          <w:color w:val="222222"/>
          <w:shd w:val="clear" w:color="auto" w:fill="FFFFFF"/>
          <w:lang w:val="hr-HR"/>
        </w:rPr>
        <w:t>Predlog</w:t>
      </w:r>
      <w:r w:rsidRPr="0085657D">
        <w:rPr>
          <w:rFonts w:ascii="Arial" w:hAnsi="Arial" w:cs="Arial"/>
          <w:color w:val="222222"/>
          <w:shd w:val="clear" w:color="auto" w:fill="FFFFFF"/>
          <w:lang w:val="hr-HR"/>
        </w:rPr>
        <w:t xml:space="preserve"> </w:t>
      </w:r>
      <w:r w:rsidR="004C7B06" w:rsidRPr="0085657D">
        <w:rPr>
          <w:rFonts w:ascii="Arial" w:hAnsi="Arial" w:cs="Arial"/>
          <w:color w:val="222222"/>
          <w:shd w:val="clear" w:color="auto" w:fill="FFFFFF"/>
          <w:lang w:val="hr-HR"/>
        </w:rPr>
        <w:t>z</w:t>
      </w:r>
      <w:r w:rsidRPr="0085657D">
        <w:rPr>
          <w:rFonts w:ascii="Arial" w:hAnsi="Arial" w:cs="Arial"/>
          <w:color w:val="222222"/>
          <w:shd w:val="clear" w:color="auto" w:fill="FFFFFF"/>
          <w:lang w:val="hr-HR"/>
        </w:rPr>
        <w:t>akona o izmjenama i dopunama Zakonika o krivičnom postupku, nudi cijeli set normi koje se odnose na</w:t>
      </w:r>
      <w:r w:rsidR="00675C71" w:rsidRPr="0085657D">
        <w:rPr>
          <w:rFonts w:ascii="Arial" w:hAnsi="Arial" w:cs="Arial"/>
          <w:color w:val="222222"/>
          <w:shd w:val="clear" w:color="auto" w:fill="FFFFFF"/>
          <w:lang w:val="hr-HR"/>
        </w:rPr>
        <w:t>:</w:t>
      </w:r>
      <w:r w:rsidRPr="0085657D">
        <w:rPr>
          <w:rFonts w:ascii="Arial" w:hAnsi="Arial" w:cs="Arial"/>
          <w:color w:val="222222"/>
          <w:shd w:val="clear" w:color="auto" w:fill="FFFFFF"/>
          <w:lang w:val="hr-HR"/>
        </w:rPr>
        <w:t xml:space="preserve"> posebnu zaštitu žrtava krivičnih djela, kao i na ser</w:t>
      </w:r>
      <w:r w:rsidRPr="0085657D">
        <w:rPr>
          <w:rFonts w:ascii="Arial" w:hAnsi="Arial" w:cs="Arial"/>
          <w:color w:val="222222"/>
          <w:shd w:val="clear" w:color="auto" w:fill="FFFFFF"/>
          <w:lang w:val="hr-HR"/>
        </w:rPr>
        <w:softHyphen/>
        <w:t>vise podrške</w:t>
      </w:r>
      <w:r w:rsidR="00563979" w:rsidRPr="0085657D">
        <w:rPr>
          <w:rFonts w:ascii="Arial" w:hAnsi="Arial" w:cs="Arial"/>
          <w:color w:val="222222"/>
          <w:shd w:val="clear" w:color="auto" w:fill="FFFFFF"/>
          <w:lang w:val="hr-HR"/>
        </w:rPr>
        <w:t>, kao što su prava na pristup stručnim službama, na djelotvornu psihološku i drugu stručnu pomoć i podršku službe, organizacije ili ustanove za pomoć žrtvama krivičnih djela u skladu sa posebnim zakonom, zaštitu od zastrašivanja i odmazde, zaštitu dostojanstva tokom davanja iskaza u svojstvu svjedoka, saslušan</w:t>
      </w:r>
      <w:r w:rsidR="00675C71" w:rsidRPr="0085657D">
        <w:rPr>
          <w:rFonts w:ascii="Arial" w:hAnsi="Arial" w:cs="Arial"/>
          <w:color w:val="222222"/>
          <w:shd w:val="clear" w:color="auto" w:fill="FFFFFF"/>
          <w:lang w:val="hr-HR"/>
        </w:rPr>
        <w:t>je</w:t>
      </w:r>
      <w:r w:rsidR="00563979" w:rsidRPr="0085657D">
        <w:rPr>
          <w:rFonts w:ascii="Arial" w:hAnsi="Arial" w:cs="Arial"/>
          <w:color w:val="222222"/>
          <w:shd w:val="clear" w:color="auto" w:fill="FFFFFF"/>
          <w:lang w:val="hr-HR"/>
        </w:rPr>
        <w:t xml:space="preserve"> bez neopravdanog odlaganja nakon podnošenja krivične prijave, kao i da se dalja saslušanja sprovode samo u mjeri u kojoj je to nužno za potrebe krivičnog postupka, pratnju lica od povjerenja prilikom preduzimanju radnji u kojima učestvuje, </w:t>
      </w:r>
      <w:r w:rsidR="00675C71" w:rsidRPr="0085657D">
        <w:rPr>
          <w:rFonts w:ascii="Arial" w:hAnsi="Arial" w:cs="Arial"/>
          <w:color w:val="222222"/>
          <w:shd w:val="clear" w:color="auto" w:fill="FFFFFF"/>
          <w:lang w:val="hr-HR"/>
        </w:rPr>
        <w:t>preduzimanje</w:t>
      </w:r>
      <w:r w:rsidR="00563979" w:rsidRPr="0085657D">
        <w:rPr>
          <w:rFonts w:ascii="Arial" w:hAnsi="Arial" w:cs="Arial"/>
          <w:color w:val="222222"/>
          <w:shd w:val="clear" w:color="auto" w:fill="FFFFFF"/>
          <w:lang w:val="hr-HR"/>
        </w:rPr>
        <w:t xml:space="preserve"> medicinsk</w:t>
      </w:r>
      <w:r w:rsidR="00675C71" w:rsidRPr="0085657D">
        <w:rPr>
          <w:rFonts w:ascii="Arial" w:hAnsi="Arial" w:cs="Arial"/>
          <w:color w:val="222222"/>
          <w:shd w:val="clear" w:color="auto" w:fill="FFFFFF"/>
          <w:lang w:val="hr-HR"/>
        </w:rPr>
        <w:t>ih</w:t>
      </w:r>
      <w:r w:rsidR="00563979" w:rsidRPr="0085657D">
        <w:rPr>
          <w:rFonts w:ascii="Arial" w:hAnsi="Arial" w:cs="Arial"/>
          <w:color w:val="222222"/>
          <w:shd w:val="clear" w:color="auto" w:fill="FFFFFF"/>
          <w:lang w:val="hr-HR"/>
        </w:rPr>
        <w:t xml:space="preserve"> radnj</w:t>
      </w:r>
      <w:r w:rsidR="00675C71" w:rsidRPr="0085657D">
        <w:rPr>
          <w:rFonts w:ascii="Arial" w:hAnsi="Arial" w:cs="Arial"/>
          <w:color w:val="222222"/>
          <w:shd w:val="clear" w:color="auto" w:fill="FFFFFF"/>
          <w:lang w:val="hr-HR"/>
        </w:rPr>
        <w:t>i</w:t>
      </w:r>
      <w:r w:rsidR="00563979" w:rsidRPr="0085657D">
        <w:rPr>
          <w:rFonts w:ascii="Arial" w:hAnsi="Arial" w:cs="Arial"/>
          <w:color w:val="222222"/>
          <w:shd w:val="clear" w:color="auto" w:fill="FFFFFF"/>
          <w:lang w:val="hr-HR"/>
        </w:rPr>
        <w:t xml:space="preserve"> za potrebe krivičnog postupka u najmanjoj mjeri i </w:t>
      </w:r>
      <w:r w:rsidR="007F4852">
        <w:rPr>
          <w:rFonts w:ascii="Arial" w:hAnsi="Arial" w:cs="Arial"/>
          <w:color w:val="222222"/>
          <w:shd w:val="clear" w:color="auto" w:fill="FFFFFF"/>
          <w:lang w:val="hr-HR"/>
        </w:rPr>
        <w:t>samo ako su krajnje nužne, obav</w:t>
      </w:r>
      <w:r w:rsidR="00563979" w:rsidRPr="0085657D">
        <w:rPr>
          <w:rFonts w:ascii="Arial" w:hAnsi="Arial" w:cs="Arial"/>
          <w:color w:val="222222"/>
          <w:shd w:val="clear" w:color="auto" w:fill="FFFFFF"/>
          <w:lang w:val="hr-HR"/>
        </w:rPr>
        <w:t>ješte</w:t>
      </w:r>
      <w:r w:rsidR="00675C71" w:rsidRPr="0085657D">
        <w:rPr>
          <w:rFonts w:ascii="Arial" w:hAnsi="Arial" w:cs="Arial"/>
          <w:color w:val="222222"/>
          <w:shd w:val="clear" w:color="auto" w:fill="FFFFFF"/>
          <w:lang w:val="hr-HR"/>
        </w:rPr>
        <w:t>nje</w:t>
      </w:r>
      <w:r w:rsidR="00563979" w:rsidRPr="0085657D">
        <w:rPr>
          <w:rFonts w:ascii="Arial" w:hAnsi="Arial" w:cs="Arial"/>
          <w:color w:val="222222"/>
          <w:shd w:val="clear" w:color="auto" w:fill="FFFFFF"/>
          <w:lang w:val="hr-HR"/>
        </w:rPr>
        <w:t xml:space="preserve"> od državnog tužioca o preduzetim radnjama povodom krivične prijave i </w:t>
      </w:r>
      <w:r w:rsidR="00675C71" w:rsidRPr="0085657D">
        <w:rPr>
          <w:rFonts w:ascii="Arial" w:hAnsi="Arial" w:cs="Arial"/>
          <w:color w:val="222222"/>
          <w:shd w:val="clear" w:color="auto" w:fill="FFFFFF"/>
          <w:lang w:val="hr-HR"/>
        </w:rPr>
        <w:t>podnošenje</w:t>
      </w:r>
      <w:r w:rsidR="00563979" w:rsidRPr="0085657D">
        <w:rPr>
          <w:rFonts w:ascii="Arial" w:hAnsi="Arial" w:cs="Arial"/>
          <w:color w:val="222222"/>
          <w:shd w:val="clear" w:color="auto" w:fill="FFFFFF"/>
          <w:lang w:val="hr-HR"/>
        </w:rPr>
        <w:t xml:space="preserve"> pritužb</w:t>
      </w:r>
      <w:r w:rsidR="00675C71" w:rsidRPr="0085657D">
        <w:rPr>
          <w:rFonts w:ascii="Arial" w:hAnsi="Arial" w:cs="Arial"/>
          <w:color w:val="222222"/>
          <w:shd w:val="clear" w:color="auto" w:fill="FFFFFF"/>
          <w:lang w:val="hr-HR"/>
        </w:rPr>
        <w:t>e</w:t>
      </w:r>
      <w:r w:rsidR="00563979" w:rsidRPr="0085657D">
        <w:rPr>
          <w:rFonts w:ascii="Arial" w:hAnsi="Arial" w:cs="Arial"/>
          <w:color w:val="222222"/>
          <w:shd w:val="clear" w:color="auto" w:fill="FFFFFF"/>
          <w:lang w:val="hr-HR"/>
        </w:rPr>
        <w:t xml:space="preserve"> zbog nepreduzimanja radnji u izviđaju, obavješte</w:t>
      </w:r>
      <w:r w:rsidR="00675C71" w:rsidRPr="0085657D">
        <w:rPr>
          <w:rFonts w:ascii="Arial" w:hAnsi="Arial" w:cs="Arial"/>
          <w:color w:val="222222"/>
          <w:shd w:val="clear" w:color="auto" w:fill="FFFFFF"/>
          <w:lang w:val="hr-HR"/>
        </w:rPr>
        <w:t>nje</w:t>
      </w:r>
      <w:r w:rsidR="00563979" w:rsidRPr="0085657D">
        <w:rPr>
          <w:rFonts w:ascii="Arial" w:hAnsi="Arial" w:cs="Arial"/>
          <w:color w:val="222222"/>
          <w:shd w:val="clear" w:color="auto" w:fill="FFFFFF"/>
          <w:lang w:val="hr-HR"/>
        </w:rPr>
        <w:t xml:space="preserve"> o ukidanju pritvora okrivljenog, bjekstvu osumnjičenog i otpuštanju osuđenog sa izdržavanja kazne zatvora, kao i mjerama koje su preduzete radi njene zaštite, </w:t>
      </w:r>
      <w:r w:rsidR="00675C71" w:rsidRPr="0085657D">
        <w:rPr>
          <w:rFonts w:ascii="Arial" w:hAnsi="Arial" w:cs="Arial"/>
          <w:color w:val="222222"/>
          <w:shd w:val="clear" w:color="auto" w:fill="FFFFFF"/>
          <w:lang w:val="hr-HR"/>
        </w:rPr>
        <w:t>kao i da</w:t>
      </w:r>
      <w:r w:rsidR="00563979" w:rsidRPr="0085657D">
        <w:rPr>
          <w:rFonts w:ascii="Arial" w:hAnsi="Arial" w:cs="Arial"/>
          <w:color w:val="222222"/>
          <w:shd w:val="clear" w:color="auto" w:fill="FFFFFF"/>
          <w:lang w:val="hr-HR"/>
        </w:rPr>
        <w:t xml:space="preserve"> na zahtjev</w:t>
      </w:r>
      <w:r w:rsidR="00675C71" w:rsidRPr="0085657D">
        <w:rPr>
          <w:rFonts w:ascii="Arial" w:hAnsi="Arial" w:cs="Arial"/>
          <w:color w:val="222222"/>
          <w:shd w:val="clear" w:color="auto" w:fill="FFFFFF"/>
          <w:lang w:val="hr-HR"/>
        </w:rPr>
        <w:t xml:space="preserve"> žrtve</w:t>
      </w:r>
      <w:r w:rsidR="00563979" w:rsidRPr="0085657D">
        <w:rPr>
          <w:rFonts w:ascii="Arial" w:hAnsi="Arial" w:cs="Arial"/>
          <w:color w:val="222222"/>
          <w:shd w:val="clear" w:color="auto" w:fill="FFFFFF"/>
          <w:lang w:val="hr-HR"/>
        </w:rPr>
        <w:t>, bude obaviještena o svakoj odluci kojom se pravosnažno okončava krivični postupak po njenoj krivičnoj prijavi.</w:t>
      </w:r>
    </w:p>
    <w:p w14:paraId="4CD64D70" w14:textId="339AC145" w:rsidR="008D10C1" w:rsidRPr="0085657D" w:rsidRDefault="008D10C1" w:rsidP="00A45A1F">
      <w:pPr>
        <w:spacing w:after="120" w:line="276" w:lineRule="auto"/>
        <w:rPr>
          <w:rFonts w:ascii="Arial" w:hAnsi="Arial" w:cs="Arial"/>
          <w:color w:val="222222"/>
          <w:shd w:val="clear" w:color="auto" w:fill="FFFFFF"/>
        </w:rPr>
      </w:pPr>
      <w:r w:rsidRPr="0085657D">
        <w:rPr>
          <w:rFonts w:ascii="Arial" w:hAnsi="Arial" w:cs="Arial"/>
          <w:color w:val="222222"/>
          <w:shd w:val="clear" w:color="auto" w:fill="FFFFFF"/>
        </w:rPr>
        <w:t xml:space="preserve">Imajući u vidu da je dodatna zaštita maloljetnih žrtava u krivičnom postupku uređena i </w:t>
      </w:r>
      <w:r w:rsidRPr="0085657D">
        <w:rPr>
          <w:rFonts w:ascii="Arial" w:hAnsi="Arial" w:cs="Arial"/>
          <w:b/>
          <w:bCs/>
          <w:color w:val="222222"/>
          <w:shd w:val="clear" w:color="auto" w:fill="FFFFFF"/>
        </w:rPr>
        <w:t xml:space="preserve">Zakonom o </w:t>
      </w:r>
      <w:r w:rsidR="00B246C4" w:rsidRPr="0085657D">
        <w:rPr>
          <w:rFonts w:ascii="Arial" w:hAnsi="Arial" w:cs="Arial"/>
          <w:b/>
          <w:bCs/>
          <w:color w:val="222222"/>
          <w:shd w:val="clear" w:color="auto" w:fill="FFFFFF"/>
        </w:rPr>
        <w:t>postupanju prema maloljetnicima u krivičnom postupku</w:t>
      </w:r>
      <w:r w:rsidR="00B246C4" w:rsidRPr="0085657D">
        <w:rPr>
          <w:rFonts w:ascii="Arial" w:hAnsi="Arial" w:cs="Arial"/>
          <w:color w:val="222222"/>
          <w:shd w:val="clear" w:color="auto" w:fill="FFFFFF"/>
        </w:rPr>
        <w:t>, koji sadrži ključne garancije u pogledu informisanja, podršk</w:t>
      </w:r>
      <w:r w:rsidR="00083AA5">
        <w:rPr>
          <w:rFonts w:ascii="Arial" w:hAnsi="Arial" w:cs="Arial"/>
          <w:color w:val="222222"/>
          <w:shd w:val="clear" w:color="auto" w:fill="FFFFFF"/>
        </w:rPr>
        <w:t>e i zaštite maloljetnim žrtvama, pr</w:t>
      </w:r>
      <w:r w:rsidR="00B246C4" w:rsidRPr="0085657D">
        <w:rPr>
          <w:rFonts w:ascii="Arial" w:hAnsi="Arial" w:cs="Arial"/>
          <w:color w:val="222222"/>
          <w:shd w:val="clear" w:color="auto" w:fill="FFFFFF"/>
        </w:rPr>
        <w:t>oces usaglašavanja ovog zakona teče paralelno sa izmjenama i dopunama Zakonika o krivičnom postupku, a nakon sveobuhvatne analize usklađenosti sa relevantnim standardima sprovedene 2021. godine.</w:t>
      </w:r>
    </w:p>
    <w:p w14:paraId="54658D70" w14:textId="0A4EC2B6" w:rsidR="00C11BE2" w:rsidRPr="0085657D" w:rsidRDefault="0084021B" w:rsidP="00C11BE2">
      <w:pPr>
        <w:spacing w:after="120" w:line="276" w:lineRule="auto"/>
        <w:rPr>
          <w:rFonts w:ascii="Arial" w:hAnsi="Arial" w:cs="Arial"/>
          <w:color w:val="222222"/>
          <w:shd w:val="clear" w:color="auto" w:fill="FFFFFF"/>
        </w:rPr>
      </w:pPr>
      <w:r w:rsidRPr="0085657D">
        <w:rPr>
          <w:rFonts w:ascii="Arial" w:hAnsi="Arial" w:cs="Arial"/>
          <w:b/>
          <w:color w:val="222222"/>
          <w:shd w:val="clear" w:color="auto" w:fill="FFFFFF"/>
        </w:rPr>
        <w:t xml:space="preserve">Zakon o zaštiti od nasilja u porodici </w:t>
      </w:r>
      <w:r w:rsidRPr="0085657D">
        <w:rPr>
          <w:rFonts w:ascii="Arial" w:hAnsi="Arial" w:cs="Arial"/>
          <w:color w:val="222222"/>
          <w:shd w:val="clear" w:color="auto" w:fill="FFFFFF"/>
        </w:rPr>
        <w:t>primjenjuje se od 13. avgusta 2010. godine, dok je Programom pristupanja Crne Gore Evropskoj uniji za 2023. godinu predviđeno utvrđivanje Predloga zakona o njegovim izmjenama i dopunama</w:t>
      </w:r>
      <w:r w:rsidR="00C11BE2" w:rsidRPr="0085657D">
        <w:rPr>
          <w:rFonts w:ascii="Arial" w:hAnsi="Arial" w:cs="Arial"/>
          <w:color w:val="222222"/>
          <w:shd w:val="clear" w:color="auto" w:fill="FFFFFF"/>
        </w:rPr>
        <w:t>.</w:t>
      </w:r>
      <w:r w:rsidR="006D192F" w:rsidRPr="0085657D">
        <w:rPr>
          <w:rFonts w:ascii="Arial" w:hAnsi="Arial" w:cs="Arial"/>
          <w:color w:val="222222"/>
          <w:shd w:val="clear" w:color="auto" w:fill="FFFFFF"/>
        </w:rPr>
        <w:t xml:space="preserve"> </w:t>
      </w:r>
      <w:r w:rsidR="00C11BE2" w:rsidRPr="0085657D">
        <w:rPr>
          <w:rFonts w:ascii="Arial" w:hAnsi="Arial" w:cs="Arial"/>
          <w:color w:val="222222"/>
          <w:shd w:val="clear" w:color="auto" w:fill="FFFFFF"/>
        </w:rPr>
        <w:t>Razlog za donošenje Predloga zakona je i usaglašavanje sa Konvencijom Savjeta Evrope o sprečavanju i borbi protiv nasilja nad ženama i nasilja u porodici (Istanbulska konvencija), otklanjanje pojedinih zakonskih neusklađenosti i dalje unapređenje i osavremenj</w:t>
      </w:r>
      <w:r w:rsidR="00042A97">
        <w:rPr>
          <w:rFonts w:ascii="Arial" w:hAnsi="Arial" w:cs="Arial"/>
          <w:color w:val="222222"/>
          <w:shd w:val="clear" w:color="auto" w:fill="FFFFFF"/>
        </w:rPr>
        <w:t>i</w:t>
      </w:r>
      <w:r w:rsidR="00C11BE2" w:rsidRPr="0085657D">
        <w:rPr>
          <w:rFonts w:ascii="Arial" w:hAnsi="Arial" w:cs="Arial"/>
          <w:color w:val="222222"/>
          <w:shd w:val="clear" w:color="auto" w:fill="FFFFFF"/>
        </w:rPr>
        <w:t>vanje određenih postojećih rješenja.</w:t>
      </w:r>
    </w:p>
    <w:p w14:paraId="56EFF407" w14:textId="100119B9" w:rsidR="00F85964" w:rsidRPr="0085657D" w:rsidRDefault="000A33FE" w:rsidP="00F85964">
      <w:pPr>
        <w:spacing w:after="120" w:line="276" w:lineRule="auto"/>
        <w:rPr>
          <w:rFonts w:ascii="Arial" w:eastAsia="Cambria" w:hAnsi="Arial" w:cs="Arial"/>
        </w:rPr>
      </w:pPr>
      <w:r w:rsidRPr="0085657D">
        <w:rPr>
          <w:rFonts w:ascii="Arial" w:hAnsi="Arial" w:cs="Arial"/>
          <w:color w:val="222222"/>
          <w:shd w:val="clear" w:color="auto" w:fill="FFFFFF"/>
        </w:rPr>
        <w:t xml:space="preserve">Nedavnim izmjenama </w:t>
      </w:r>
      <w:r w:rsidRPr="0085657D">
        <w:rPr>
          <w:rFonts w:ascii="Arial" w:hAnsi="Arial" w:cs="Arial"/>
          <w:b/>
          <w:bCs/>
          <w:color w:val="222222"/>
          <w:shd w:val="clear" w:color="auto" w:fill="FFFFFF"/>
        </w:rPr>
        <w:t>Zako</w:t>
      </w:r>
      <w:r w:rsidR="00F85964" w:rsidRPr="0085657D">
        <w:rPr>
          <w:rFonts w:ascii="Arial" w:hAnsi="Arial" w:cs="Arial"/>
          <w:b/>
          <w:bCs/>
          <w:color w:val="222222"/>
          <w:shd w:val="clear" w:color="auto" w:fill="FFFFFF"/>
        </w:rPr>
        <w:t>na o</w:t>
      </w:r>
      <w:r w:rsidR="00F85964" w:rsidRPr="0085657D">
        <w:rPr>
          <w:rFonts w:ascii="Arial" w:hAnsi="Arial" w:cs="Arial"/>
          <w:color w:val="222222"/>
          <w:shd w:val="clear" w:color="auto" w:fill="FFFFFF"/>
        </w:rPr>
        <w:t xml:space="preserve"> </w:t>
      </w:r>
      <w:r w:rsidR="00F85964" w:rsidRPr="0085657D">
        <w:rPr>
          <w:rFonts w:ascii="Arial" w:eastAsia="Cambria" w:hAnsi="Arial" w:cs="Arial"/>
          <w:b/>
          <w:bCs/>
        </w:rPr>
        <w:t>oduzimanju imovinske koristi stečene kriminalnom djelatnošću</w:t>
      </w:r>
      <w:r w:rsidR="00F85964" w:rsidRPr="0085657D">
        <w:rPr>
          <w:rFonts w:ascii="Arial" w:eastAsia="Cambria" w:hAnsi="Arial" w:cs="Arial"/>
        </w:rPr>
        <w:t xml:space="preserve">, iz </w:t>
      </w:r>
      <w:r w:rsidR="00EE2039" w:rsidRPr="0085657D">
        <w:rPr>
          <w:rFonts w:ascii="Arial" w:eastAsia="Cambria" w:hAnsi="Arial" w:cs="Arial"/>
        </w:rPr>
        <w:t xml:space="preserve">juna </w:t>
      </w:r>
      <w:r w:rsidR="00F85964" w:rsidRPr="0085657D">
        <w:rPr>
          <w:rFonts w:ascii="Arial" w:eastAsia="Cambria" w:hAnsi="Arial" w:cs="Arial"/>
        </w:rPr>
        <w:t>2024. godine</w:t>
      </w:r>
      <w:r w:rsidR="00BB1EC6">
        <w:rPr>
          <w:rFonts w:ascii="Arial" w:eastAsia="Cambria" w:hAnsi="Arial" w:cs="Arial"/>
        </w:rPr>
        <w:t>,</w:t>
      </w:r>
      <w:r w:rsidR="00F85964" w:rsidRPr="0085657D">
        <w:rPr>
          <w:rFonts w:ascii="Arial" w:eastAsia="Cambria" w:hAnsi="Arial" w:cs="Arial"/>
        </w:rPr>
        <w:t xml:space="preserve"> stvorio </w:t>
      </w:r>
      <w:r w:rsidR="00032167" w:rsidRPr="0085657D">
        <w:rPr>
          <w:rFonts w:ascii="Arial" w:eastAsia="Cambria" w:hAnsi="Arial" w:cs="Arial"/>
        </w:rPr>
        <w:t>s</w:t>
      </w:r>
      <w:r w:rsidR="00F85964" w:rsidRPr="0085657D">
        <w:rPr>
          <w:rFonts w:ascii="Arial" w:eastAsia="Cambria" w:hAnsi="Arial" w:cs="Arial"/>
        </w:rPr>
        <w:t>e pravni osnov za obezbjeđivanje finansiranja podrške i zaštite žrtava krivičnih djela.</w:t>
      </w:r>
    </w:p>
    <w:p w14:paraId="4E71916D" w14:textId="15448EB9" w:rsidR="00023E9E" w:rsidRPr="0085657D" w:rsidRDefault="00023E9E" w:rsidP="00942777">
      <w:pPr>
        <w:rPr>
          <w:rFonts w:ascii="Arial" w:hAnsi="Arial" w:cs="Arial"/>
        </w:rPr>
      </w:pPr>
      <w:r w:rsidRPr="0085657D">
        <w:rPr>
          <w:rFonts w:ascii="Arial" w:hAnsi="Arial" w:cs="Arial"/>
        </w:rPr>
        <w:t>Prvenstveno</w:t>
      </w:r>
      <w:r w:rsidR="00BB1EC6">
        <w:rPr>
          <w:rFonts w:ascii="Arial" w:hAnsi="Arial" w:cs="Arial"/>
        </w:rPr>
        <w:t>,</w:t>
      </w:r>
      <w:r w:rsidRPr="0085657D">
        <w:rPr>
          <w:rFonts w:ascii="Arial" w:hAnsi="Arial" w:cs="Arial"/>
        </w:rPr>
        <w:t xml:space="preserve"> bilo je neophodno proširiti krug krivičnih djela za koja je moguće oduzeti imovinsku korist učiniocu ukoliko je učinilac pravosnažno osuđen, a posebno imajući u vidu izmjene Krivičnog zakonika Crne Gore koje su stupile na snagu 12. decembra 2023. godine, koje nameću usklađivanje ovog zakona. Pa su sada, između ostalog, obuhvaćena sva krivična djela protiv zdravlja ljudi, životne sredine i uređenja prostora, a oduzimanje se može odrediti i za druga krivična djela učinjena sa umišljajem za koja se može izreći kazna zatvora u trajanju od tri ili više godina.  Kod definisanja imovinske koristi stečene kriminalnom djelatnošću jasno se propisuje  šta čini imovinu, imovinsku korist, kao i digitalnu imovinu. Na ovaj način, vrši se usklađivanje sa Krivičnim zakonikom Crne Gore.  </w:t>
      </w:r>
    </w:p>
    <w:p w14:paraId="1BF242B1" w14:textId="77777777" w:rsidR="00DA03C1" w:rsidRDefault="00DA03C1" w:rsidP="00942777">
      <w:pPr>
        <w:rPr>
          <w:rFonts w:ascii="Arial" w:hAnsi="Arial" w:cs="Arial"/>
        </w:rPr>
      </w:pPr>
    </w:p>
    <w:p w14:paraId="47E0F666" w14:textId="0A907013" w:rsidR="0076201E" w:rsidRPr="00042A97" w:rsidRDefault="00156E65" w:rsidP="00942777">
      <w:pPr>
        <w:rPr>
          <w:rFonts w:ascii="Arial" w:hAnsi="Arial" w:cs="Arial"/>
        </w:rPr>
      </w:pPr>
      <w:r w:rsidRPr="0085657D">
        <w:rPr>
          <w:rFonts w:ascii="Arial" w:hAnsi="Arial" w:cs="Arial"/>
        </w:rPr>
        <w:t>Takođe, predviđeno je da imovinom oduzetom po odredbama ovog zakona raspolaže Vlada Crne Gore, i tu u razmjeri od: i) 50% za potrebe organa državne uprave nadležnog za poslove pravosuđa, od čega najmanje polovina za potrebe zaštite i podrške žrtvama krivičnih djela; ii) 30% za potrebe organa državne uprave nadležnog za poslove državne imovine; i iii) 20% za potrebe obezbjeđivanja sredstava u skladu sa zakonom kojim se uređuje ostvarivanje prava na privremeno izdržavanje djece.</w:t>
      </w:r>
    </w:p>
    <w:p w14:paraId="29C6EA50" w14:textId="77777777" w:rsidR="000858B8" w:rsidRPr="0085657D" w:rsidRDefault="000858B8" w:rsidP="00AA5B39">
      <w:pPr>
        <w:pStyle w:val="Heading3"/>
        <w:spacing w:before="0" w:after="240"/>
        <w:rPr>
          <w:rFonts w:ascii="Arial" w:hAnsi="Arial" w:cs="Arial"/>
          <w:sz w:val="22"/>
          <w:szCs w:val="22"/>
        </w:rPr>
      </w:pPr>
      <w:bookmarkStart w:id="24" w:name="_Toc208489178"/>
      <w:r w:rsidRPr="0085657D">
        <w:rPr>
          <w:rFonts w:ascii="Arial" w:hAnsi="Arial" w:cs="Arial"/>
          <w:sz w:val="22"/>
          <w:szCs w:val="22"/>
        </w:rPr>
        <w:t>3.3.</w:t>
      </w:r>
      <w:r w:rsidR="00AA5B39" w:rsidRPr="0085657D">
        <w:rPr>
          <w:rFonts w:ascii="Arial" w:hAnsi="Arial" w:cs="Arial"/>
          <w:sz w:val="22"/>
          <w:szCs w:val="22"/>
        </w:rPr>
        <w:t>3</w:t>
      </w:r>
      <w:r w:rsidRPr="0085657D">
        <w:rPr>
          <w:rFonts w:ascii="Arial" w:hAnsi="Arial" w:cs="Arial"/>
          <w:sz w:val="22"/>
          <w:szCs w:val="22"/>
        </w:rPr>
        <w:t>. Zakonodavstvo u oblasti socijalne zaštite</w:t>
      </w:r>
      <w:bookmarkEnd w:id="24"/>
    </w:p>
    <w:p w14:paraId="4F17CBB7" w14:textId="77777777" w:rsidR="000858B8" w:rsidRPr="0085657D" w:rsidRDefault="000858B8" w:rsidP="0094220C">
      <w:pPr>
        <w:spacing w:after="0" w:line="276" w:lineRule="auto"/>
        <w:rPr>
          <w:rFonts w:ascii="Arial" w:hAnsi="Arial" w:cs="Arial"/>
        </w:rPr>
      </w:pPr>
      <w:r w:rsidRPr="0085657D">
        <w:rPr>
          <w:rFonts w:ascii="Arial" w:hAnsi="Arial" w:cs="Arial"/>
          <w:b/>
          <w:bCs/>
        </w:rPr>
        <w:t>Zakon o boračkoj i invalidskoj zaštiti</w:t>
      </w:r>
      <w:r w:rsidRPr="0085657D">
        <w:rPr>
          <w:rFonts w:ascii="Arial" w:hAnsi="Arial" w:cs="Arial"/>
        </w:rPr>
        <w:t>, za razliku od zakona u regionu</w:t>
      </w:r>
      <w:r w:rsidRPr="0085657D">
        <w:rPr>
          <w:rStyle w:val="FootnoteReference"/>
          <w:rFonts w:ascii="Arial" w:hAnsi="Arial" w:cs="Arial"/>
        </w:rPr>
        <w:footnoteReference w:id="36"/>
      </w:r>
      <w:r w:rsidRPr="0085657D">
        <w:rPr>
          <w:rFonts w:ascii="Arial" w:hAnsi="Arial" w:cs="Arial"/>
        </w:rPr>
        <w:t xml:space="preserve">, </w:t>
      </w:r>
      <w:r w:rsidR="002636E7" w:rsidRPr="0085657D">
        <w:rPr>
          <w:rFonts w:ascii="Arial" w:hAnsi="Arial" w:cs="Arial"/>
        </w:rPr>
        <w:t xml:space="preserve">ne prepoznaje kategoriju civilnih žrtava rata i time značajno sužava krug </w:t>
      </w:r>
      <w:r w:rsidR="004D3FD3" w:rsidRPr="0085657D">
        <w:rPr>
          <w:rFonts w:ascii="Arial" w:hAnsi="Arial" w:cs="Arial"/>
        </w:rPr>
        <w:t>lica</w:t>
      </w:r>
      <w:r w:rsidR="002636E7" w:rsidRPr="0085657D">
        <w:rPr>
          <w:rFonts w:ascii="Arial" w:hAnsi="Arial" w:cs="Arial"/>
        </w:rPr>
        <w:t xml:space="preserve"> koj</w:t>
      </w:r>
      <w:r w:rsidR="004D3FD3" w:rsidRPr="0085657D">
        <w:rPr>
          <w:rFonts w:ascii="Arial" w:hAnsi="Arial" w:cs="Arial"/>
        </w:rPr>
        <w:t>a</w:t>
      </w:r>
      <w:r w:rsidR="002636E7" w:rsidRPr="0085657D">
        <w:rPr>
          <w:rFonts w:ascii="Arial" w:hAnsi="Arial" w:cs="Arial"/>
        </w:rPr>
        <w:t xml:space="preserve"> mogu ostvariti benefite po osnovu ovog zakona. </w:t>
      </w:r>
      <w:r w:rsidR="007C52B3" w:rsidRPr="0085657D">
        <w:rPr>
          <w:rFonts w:ascii="Arial" w:hAnsi="Arial" w:cs="Arial"/>
        </w:rPr>
        <w:t xml:space="preserve">Ovo istovremeno utiče i na položaj članova porodica žrtava prisilnih nestanaka, koja u odsustvu </w:t>
      </w:r>
      <w:r w:rsidR="007C52B3" w:rsidRPr="0085657D">
        <w:rPr>
          <w:rFonts w:ascii="Arial" w:hAnsi="Arial" w:cs="Arial"/>
          <w:b/>
          <w:bCs/>
        </w:rPr>
        <w:t>zakona koji bi uredio specifično prava nestalih lica i njihovih porodica</w:t>
      </w:r>
      <w:r w:rsidR="007C52B3" w:rsidRPr="0085657D">
        <w:rPr>
          <w:rFonts w:ascii="Arial" w:hAnsi="Arial" w:cs="Arial"/>
        </w:rPr>
        <w:t>, ostavlja značajnu pravnu prazninu.</w:t>
      </w:r>
    </w:p>
    <w:p w14:paraId="11A0987E" w14:textId="77777777" w:rsidR="009847B5" w:rsidRPr="0085657D" w:rsidRDefault="009847B5" w:rsidP="0094220C">
      <w:pPr>
        <w:spacing w:after="0" w:line="276" w:lineRule="auto"/>
        <w:rPr>
          <w:rFonts w:ascii="Arial" w:hAnsi="Arial" w:cs="Arial"/>
        </w:rPr>
      </w:pPr>
    </w:p>
    <w:p w14:paraId="5906CC6C" w14:textId="55DF6CC5" w:rsidR="004637DF" w:rsidRPr="0085657D" w:rsidRDefault="009847B5" w:rsidP="007512A6">
      <w:pPr>
        <w:spacing w:after="120"/>
        <w:rPr>
          <w:rFonts w:ascii="Arial" w:eastAsia="Times New Roman" w:hAnsi="Arial" w:cs="Arial"/>
          <w:lang w:eastAsia="en-GB"/>
        </w:rPr>
      </w:pPr>
      <w:r w:rsidRPr="0085657D">
        <w:rPr>
          <w:rFonts w:ascii="Arial" w:hAnsi="Arial" w:cs="Arial"/>
          <w:b/>
        </w:rPr>
        <w:t>Zakon o zaštiti od nasilja u porodici</w:t>
      </w:r>
      <w:r w:rsidRPr="0085657D">
        <w:rPr>
          <w:rStyle w:val="FootnoteReference"/>
          <w:rFonts w:ascii="Arial" w:hAnsi="Arial" w:cs="Arial"/>
          <w:b/>
        </w:rPr>
        <w:footnoteReference w:id="37"/>
      </w:r>
      <w:r w:rsidR="004637DF" w:rsidRPr="0085657D">
        <w:rPr>
          <w:rFonts w:ascii="Arial" w:eastAsia="Times New Roman" w:hAnsi="Arial" w:cs="Arial"/>
          <w:bCs/>
          <w:lang w:eastAsia="en-GB"/>
        </w:rPr>
        <w:t xml:space="preserve"> </w:t>
      </w:r>
      <w:r w:rsidR="00AD3163">
        <w:rPr>
          <w:rFonts w:ascii="Arial" w:eastAsia="Times New Roman" w:hAnsi="Arial" w:cs="Arial"/>
          <w:bCs/>
          <w:lang w:eastAsia="en-GB"/>
        </w:rPr>
        <w:t>je trenutno u fazi izrade</w:t>
      </w:r>
      <w:r w:rsidR="00AD3163" w:rsidRPr="0085657D">
        <w:rPr>
          <w:rFonts w:ascii="Arial" w:eastAsia="Times New Roman" w:hAnsi="Arial" w:cs="Arial"/>
          <w:bCs/>
          <w:lang w:eastAsia="en-GB"/>
        </w:rPr>
        <w:t xml:space="preserve"> </w:t>
      </w:r>
      <w:r w:rsidR="004637DF" w:rsidRPr="0085657D">
        <w:rPr>
          <w:rFonts w:ascii="Arial" w:eastAsia="Times New Roman" w:hAnsi="Arial" w:cs="Arial"/>
          <w:bCs/>
          <w:lang w:eastAsia="en-GB"/>
        </w:rPr>
        <w:t>izmjena i dopuna,</w:t>
      </w:r>
      <w:r w:rsidR="004458A6">
        <w:rPr>
          <w:rFonts w:ascii="Arial" w:eastAsia="Times New Roman" w:hAnsi="Arial" w:cs="Arial"/>
          <w:bCs/>
          <w:lang w:eastAsia="en-GB"/>
        </w:rPr>
        <w:t xml:space="preserve"> </w:t>
      </w:r>
      <w:r w:rsidR="00AD3163">
        <w:rPr>
          <w:rFonts w:ascii="Arial" w:eastAsia="Times New Roman" w:hAnsi="Arial" w:cs="Arial"/>
          <w:bCs/>
          <w:lang w:eastAsia="en-GB"/>
        </w:rPr>
        <w:t>koje su zasnovane na više razloga</w:t>
      </w:r>
      <w:r w:rsidR="004637DF" w:rsidRPr="0085657D">
        <w:rPr>
          <w:rFonts w:ascii="Arial" w:eastAsia="Times New Roman" w:hAnsi="Arial" w:cs="Arial"/>
          <w:bCs/>
          <w:lang w:eastAsia="en-GB"/>
        </w:rPr>
        <w:t>. Budući da se radi o veoma kompleksnom i osjetljivom zakonu bilo je nužno proširiti definiciju</w:t>
      </w:r>
      <w:r w:rsidR="00AD3163">
        <w:rPr>
          <w:rFonts w:ascii="Arial" w:eastAsia="Times New Roman" w:hAnsi="Arial" w:cs="Arial"/>
          <w:bCs/>
          <w:lang w:eastAsia="en-GB"/>
        </w:rPr>
        <w:t>,</w:t>
      </w:r>
      <w:r w:rsidR="004637DF" w:rsidRPr="0085657D">
        <w:rPr>
          <w:rFonts w:ascii="Arial" w:eastAsia="Times New Roman" w:hAnsi="Arial" w:cs="Arial"/>
          <w:bCs/>
          <w:lang w:eastAsia="en-GB"/>
        </w:rPr>
        <w:t xml:space="preserve"> odnosno</w:t>
      </w:r>
      <w:r w:rsidR="00AD3163">
        <w:rPr>
          <w:rFonts w:ascii="Arial" w:eastAsia="Times New Roman" w:hAnsi="Arial" w:cs="Arial"/>
          <w:bCs/>
          <w:lang w:eastAsia="en-GB"/>
        </w:rPr>
        <w:t xml:space="preserve"> propisati</w:t>
      </w:r>
      <w:r w:rsidR="004637DF" w:rsidRPr="0085657D">
        <w:rPr>
          <w:rFonts w:ascii="Arial" w:eastAsia="Times New Roman" w:hAnsi="Arial" w:cs="Arial"/>
          <w:bCs/>
          <w:lang w:eastAsia="en-GB"/>
        </w:rPr>
        <w:t xml:space="preserve"> ko se sve smatra članom porodice u smislu ovog zakona. Proširivanjem definicije porodice </w:t>
      </w:r>
      <w:r w:rsidR="00AA3F19" w:rsidRPr="0085657D">
        <w:rPr>
          <w:rFonts w:ascii="Arial" w:eastAsia="Times New Roman" w:hAnsi="Arial" w:cs="Arial"/>
          <w:bCs/>
          <w:lang w:eastAsia="en-GB"/>
        </w:rPr>
        <w:t>ob</w:t>
      </w:r>
      <w:r w:rsidR="00AD3163">
        <w:rPr>
          <w:rFonts w:ascii="Arial" w:eastAsia="Times New Roman" w:hAnsi="Arial" w:cs="Arial"/>
          <w:bCs/>
          <w:lang w:eastAsia="en-GB"/>
        </w:rPr>
        <w:t>u</w:t>
      </w:r>
      <w:r w:rsidR="00AA3F19" w:rsidRPr="0085657D">
        <w:rPr>
          <w:rFonts w:ascii="Arial" w:eastAsia="Times New Roman" w:hAnsi="Arial" w:cs="Arial"/>
          <w:bCs/>
          <w:lang w:eastAsia="en-GB"/>
        </w:rPr>
        <w:t>hvaćen je</w:t>
      </w:r>
      <w:r w:rsidR="004637DF" w:rsidRPr="0085657D">
        <w:rPr>
          <w:rFonts w:ascii="Arial" w:eastAsia="Times New Roman" w:hAnsi="Arial" w:cs="Arial"/>
          <w:bCs/>
          <w:lang w:eastAsia="en-GB"/>
        </w:rPr>
        <w:t xml:space="preserve"> veći broj lica koja će za protivpravno ponašanje nasilja u porodici prekršajno odgovarati na osnovu ovog zakona, što do sada nije bio slučaj.</w:t>
      </w:r>
    </w:p>
    <w:p w14:paraId="74DD4357" w14:textId="41943CE8" w:rsidR="004637DF" w:rsidRPr="0085657D" w:rsidRDefault="004637DF" w:rsidP="007512A6">
      <w:pPr>
        <w:spacing w:after="120"/>
        <w:rPr>
          <w:rFonts w:ascii="Arial" w:eastAsia="Times New Roman" w:hAnsi="Arial" w:cs="Arial"/>
        </w:rPr>
      </w:pPr>
      <w:r w:rsidRPr="0085657D">
        <w:rPr>
          <w:rFonts w:ascii="Arial" w:eastAsia="Times New Roman" w:hAnsi="Arial" w:cs="Arial"/>
          <w:bCs/>
          <w:lang w:eastAsia="en-GB"/>
        </w:rPr>
        <w:t>Ovim Predlogom zakona će se jasno definisati razlika između elemenata prekršaja nasilja u porodici i elemenata krivičnog djela nasilja u porodici</w:t>
      </w:r>
      <w:r w:rsidR="00AD3163">
        <w:rPr>
          <w:rFonts w:ascii="Arial" w:eastAsia="Times New Roman" w:hAnsi="Arial" w:cs="Arial"/>
          <w:bCs/>
          <w:lang w:eastAsia="en-GB"/>
        </w:rPr>
        <w:t xml:space="preserve"> ili u porodičnoj zajednici</w:t>
      </w:r>
      <w:r w:rsidRPr="0085657D">
        <w:rPr>
          <w:rFonts w:ascii="Arial" w:eastAsia="Times New Roman" w:hAnsi="Arial" w:cs="Arial"/>
          <w:bCs/>
          <w:lang w:eastAsia="en-GB"/>
        </w:rPr>
        <w:t xml:space="preserve">. Jasna razlika između ovih protivpravnih ponašanja će se prevazići tako što će fizičko nasilje sa posljedicama i psihičko nasilje u cijelosti biti prenešeno u obilježje krivičnog djela, a </w:t>
      </w:r>
      <w:r w:rsidRPr="0085657D">
        <w:rPr>
          <w:rFonts w:ascii="Arial" w:eastAsia="Times New Roman" w:hAnsi="Arial" w:cs="Arial"/>
          <w:bCs/>
        </w:rPr>
        <w:t>prekršajem će se smatrati upotreba fizičke sile, bez obzira da li je nastupila tjelesna povreda drugog člana porodice.</w:t>
      </w:r>
    </w:p>
    <w:p w14:paraId="676D6753" w14:textId="77777777" w:rsidR="004637DF" w:rsidRPr="0085657D" w:rsidRDefault="004637DF" w:rsidP="007512A6">
      <w:pPr>
        <w:spacing w:after="120"/>
        <w:rPr>
          <w:rFonts w:ascii="Arial" w:eastAsia="Times New Roman" w:hAnsi="Arial" w:cs="Arial"/>
          <w:b/>
          <w:bCs/>
          <w:lang w:eastAsia="en-GB"/>
        </w:rPr>
      </w:pPr>
      <w:r w:rsidRPr="0085657D">
        <w:rPr>
          <w:rFonts w:ascii="Arial" w:eastAsia="Times New Roman" w:hAnsi="Arial" w:cs="Arial"/>
          <w:bCs/>
          <w:lang w:eastAsia="en-GB"/>
        </w:rPr>
        <w:t>Taksativnim nabrajanjem prava žrtve na jasan i sistematizovan način, žrtva nasilja će biti upoznata koja joj prava pripadaju tokom postupka.</w:t>
      </w:r>
    </w:p>
    <w:p w14:paraId="0A931EA2" w14:textId="7C3EF6DA" w:rsidR="004637DF" w:rsidRPr="0085657D" w:rsidRDefault="00AD3163" w:rsidP="007512A6">
      <w:pPr>
        <w:spacing w:after="120"/>
        <w:rPr>
          <w:rFonts w:ascii="Arial" w:eastAsia="Times New Roman" w:hAnsi="Arial" w:cs="Arial"/>
          <w:lang w:eastAsia="en-GB"/>
        </w:rPr>
      </w:pPr>
      <w:r w:rsidRPr="00AD3163">
        <w:rPr>
          <w:rFonts w:ascii="Arial" w:eastAsia="Times New Roman" w:hAnsi="Arial" w:cs="Arial"/>
          <w:bCs/>
          <w:lang w:eastAsia="en-GB"/>
        </w:rPr>
        <w:t>Jedan od prepoznatih problema odnosi se na zaštitne mjere koje se određuju učiniocu nasilja. Naime, u praksi često dolazi do nemogućnosti izricanja mjere Zabrana uznemiravanja i uhođenja, jer se tumači da moraju biti kumulativno ispunjeni uslovi i za uznemiravanje i za uhođenje. Razdvajanjem radnji zaštitnih mjera prevazilaze se ovi problemi. Takođe, propisana je nova zaštitna mjera – Zabrana kontaktiranja.</w:t>
      </w:r>
      <w:r>
        <w:rPr>
          <w:rFonts w:ascii="Arial" w:eastAsia="Times New Roman" w:hAnsi="Arial" w:cs="Arial"/>
          <w:bCs/>
          <w:lang w:eastAsia="en-GB"/>
        </w:rPr>
        <w:t xml:space="preserve"> </w:t>
      </w:r>
      <w:r w:rsidR="00571684" w:rsidRPr="0085657D">
        <w:rPr>
          <w:rFonts w:ascii="Arial" w:eastAsia="Times New Roman" w:hAnsi="Arial" w:cs="Arial"/>
          <w:bCs/>
          <w:lang w:eastAsia="en-GB"/>
        </w:rPr>
        <w:t>Nadalje</w:t>
      </w:r>
      <w:r w:rsidR="004637DF" w:rsidRPr="0085657D">
        <w:rPr>
          <w:rFonts w:ascii="Arial" w:eastAsia="Times New Roman" w:hAnsi="Arial" w:cs="Arial"/>
          <w:bCs/>
          <w:lang w:eastAsia="en-GB"/>
        </w:rPr>
        <w:t>, uređeno je da prilikom izricanja zaštitne mjere uz kaznu zatvora, vrijeme koje je provedeno na izdržavanju kazne zatvora</w:t>
      </w:r>
      <w:r w:rsidR="0065378F">
        <w:rPr>
          <w:rFonts w:ascii="Arial" w:eastAsia="Times New Roman" w:hAnsi="Arial" w:cs="Arial"/>
          <w:bCs/>
          <w:lang w:eastAsia="en-GB"/>
        </w:rPr>
        <w:t xml:space="preserve"> </w:t>
      </w:r>
      <w:r w:rsidR="004637DF" w:rsidRPr="0085657D">
        <w:rPr>
          <w:rFonts w:ascii="Arial" w:eastAsia="Times New Roman" w:hAnsi="Arial" w:cs="Arial"/>
          <w:bCs/>
          <w:lang w:eastAsia="en-GB"/>
        </w:rPr>
        <w:t>ne uračunava se u vrijeme trajanja zaštitne mjere što do sada nije bio slučaj.</w:t>
      </w:r>
    </w:p>
    <w:p w14:paraId="490AED37" w14:textId="684C0D6F" w:rsidR="004637DF" w:rsidRPr="0085657D" w:rsidRDefault="004637DF" w:rsidP="007512A6">
      <w:pPr>
        <w:spacing w:after="120"/>
        <w:rPr>
          <w:rFonts w:ascii="Arial" w:eastAsia="Times New Roman" w:hAnsi="Arial" w:cs="Arial"/>
          <w:lang w:eastAsia="en-GB"/>
        </w:rPr>
      </w:pPr>
      <w:r w:rsidRPr="0085657D">
        <w:rPr>
          <w:rFonts w:ascii="Arial" w:eastAsia="Times New Roman" w:hAnsi="Arial" w:cs="Arial"/>
          <w:bCs/>
          <w:lang w:eastAsia="en-GB"/>
        </w:rPr>
        <w:t>Problem blage kaznene politike, odnosno izricanjem novčanih kazni koje su bile blizu zakonskog minimuma učiniocima prekršaja, nije</w:t>
      </w:r>
      <w:r w:rsidR="00AD3163">
        <w:rPr>
          <w:rFonts w:ascii="Arial" w:eastAsia="Times New Roman" w:hAnsi="Arial" w:cs="Arial"/>
          <w:bCs/>
          <w:lang w:eastAsia="en-GB"/>
        </w:rPr>
        <w:t xml:space="preserve"> se</w:t>
      </w:r>
      <w:r w:rsidRPr="0085657D">
        <w:rPr>
          <w:rFonts w:ascii="Arial" w:eastAsia="Times New Roman" w:hAnsi="Arial" w:cs="Arial"/>
          <w:bCs/>
          <w:lang w:eastAsia="en-GB"/>
        </w:rPr>
        <w:t xml:space="preserve"> postigla opšta svrha kažnjavanja i sve veći trend rasta recidivizma učinioca prekršaja. Uzroci i posljedice problema ogledaju se u blagoj kaznenoj politici, užoj definiciji porodice, nemogućnost izricanja određenih zaštitnih mjera, kao i da žrtva nasilja nije bila upoznata na jasan i sistematizovan način o pravima koja joj pripadaju u postupku.</w:t>
      </w:r>
    </w:p>
    <w:p w14:paraId="4F27201E" w14:textId="5A5BBC2A" w:rsidR="001E3740" w:rsidRDefault="004637DF" w:rsidP="0085657D">
      <w:pPr>
        <w:spacing w:after="0"/>
        <w:rPr>
          <w:rFonts w:ascii="Arial" w:eastAsia="Times New Roman" w:hAnsi="Arial" w:cs="Arial"/>
          <w:lang w:eastAsia="en-GB"/>
        </w:rPr>
      </w:pPr>
      <w:r w:rsidRPr="0085657D">
        <w:rPr>
          <w:rFonts w:ascii="Arial" w:eastAsia="Times New Roman" w:hAnsi="Arial" w:cs="Arial"/>
          <w:bCs/>
          <w:lang w:eastAsia="en-GB"/>
        </w:rPr>
        <w:lastRenderedPageBreak/>
        <w:t>Pod oštećenim subjektima mogu se smatrati lica koj</w:t>
      </w:r>
      <w:r w:rsidR="0065378F">
        <w:rPr>
          <w:rFonts w:ascii="Arial" w:eastAsia="Times New Roman" w:hAnsi="Arial" w:cs="Arial"/>
          <w:bCs/>
          <w:lang w:eastAsia="en-GB"/>
        </w:rPr>
        <w:t>a</w:t>
      </w:r>
      <w:r w:rsidRPr="0085657D">
        <w:rPr>
          <w:rFonts w:ascii="Arial" w:eastAsia="Times New Roman" w:hAnsi="Arial" w:cs="Arial"/>
          <w:bCs/>
          <w:lang w:eastAsia="en-GB"/>
        </w:rPr>
        <w:t xml:space="preserve"> su bil</w:t>
      </w:r>
      <w:r w:rsidR="0065378F">
        <w:rPr>
          <w:rFonts w:ascii="Arial" w:eastAsia="Times New Roman" w:hAnsi="Arial" w:cs="Arial"/>
          <w:bCs/>
          <w:lang w:eastAsia="en-GB"/>
        </w:rPr>
        <w:t>a</w:t>
      </w:r>
      <w:r w:rsidRPr="0085657D">
        <w:rPr>
          <w:rFonts w:ascii="Arial" w:eastAsia="Times New Roman" w:hAnsi="Arial" w:cs="Arial"/>
          <w:bCs/>
          <w:lang w:eastAsia="en-GB"/>
        </w:rPr>
        <w:t xml:space="preserve"> žrtve nasilja u porodici, a koj</w:t>
      </w:r>
      <w:r w:rsidR="0065378F">
        <w:rPr>
          <w:rFonts w:ascii="Arial" w:eastAsia="Times New Roman" w:hAnsi="Arial" w:cs="Arial"/>
          <w:bCs/>
          <w:lang w:eastAsia="en-GB"/>
        </w:rPr>
        <w:t>a</w:t>
      </w:r>
      <w:r w:rsidRPr="0085657D">
        <w:rPr>
          <w:rFonts w:ascii="Arial" w:eastAsia="Times New Roman" w:hAnsi="Arial" w:cs="Arial"/>
          <w:bCs/>
          <w:lang w:eastAsia="en-GB"/>
        </w:rPr>
        <w:t xml:space="preserve"> nijesu bil</w:t>
      </w:r>
      <w:r w:rsidR="0065378F">
        <w:rPr>
          <w:rFonts w:ascii="Arial" w:eastAsia="Times New Roman" w:hAnsi="Arial" w:cs="Arial"/>
          <w:bCs/>
          <w:lang w:eastAsia="en-GB"/>
        </w:rPr>
        <w:t>a</w:t>
      </w:r>
      <w:r w:rsidRPr="0085657D">
        <w:rPr>
          <w:rFonts w:ascii="Arial" w:eastAsia="Times New Roman" w:hAnsi="Arial" w:cs="Arial"/>
          <w:bCs/>
          <w:lang w:eastAsia="en-GB"/>
        </w:rPr>
        <w:t xml:space="preserve"> prepoznati kao članovi porodice, te im se na taj način nije pružala odgovarajuća zaštita u skladu sa ovim zakonom.</w:t>
      </w:r>
    </w:p>
    <w:p w14:paraId="6F72CEE7" w14:textId="77777777" w:rsidR="0085657D" w:rsidRPr="0085657D" w:rsidRDefault="0085657D" w:rsidP="0085657D">
      <w:pPr>
        <w:spacing w:after="0"/>
        <w:rPr>
          <w:rFonts w:ascii="Arial" w:eastAsia="Times New Roman" w:hAnsi="Arial" w:cs="Arial"/>
          <w:lang w:eastAsia="en-GB"/>
        </w:rPr>
      </w:pPr>
    </w:p>
    <w:p w14:paraId="2B07F2BF" w14:textId="77777777" w:rsidR="007C52B3" w:rsidRPr="0085657D" w:rsidRDefault="007C52B3" w:rsidP="0094220C">
      <w:pPr>
        <w:pStyle w:val="Heading3"/>
        <w:spacing w:before="0" w:after="240"/>
        <w:rPr>
          <w:rFonts w:ascii="Arial" w:hAnsi="Arial" w:cs="Arial"/>
          <w:sz w:val="22"/>
          <w:szCs w:val="22"/>
        </w:rPr>
      </w:pPr>
      <w:bookmarkStart w:id="25" w:name="_Toc208489179"/>
      <w:r w:rsidRPr="0085657D">
        <w:rPr>
          <w:rFonts w:ascii="Arial" w:hAnsi="Arial" w:cs="Arial"/>
          <w:sz w:val="22"/>
          <w:szCs w:val="22"/>
        </w:rPr>
        <w:t>3.3.4. Građansko zakonodavstvo i prava žrtava</w:t>
      </w:r>
      <w:bookmarkEnd w:id="25"/>
    </w:p>
    <w:p w14:paraId="6AF846AD" w14:textId="77777777" w:rsidR="0094220C" w:rsidRPr="0085657D" w:rsidRDefault="0094220C" w:rsidP="0094220C">
      <w:pPr>
        <w:spacing w:line="276" w:lineRule="auto"/>
        <w:rPr>
          <w:rFonts w:ascii="Arial" w:hAnsi="Arial" w:cs="Arial"/>
        </w:rPr>
      </w:pPr>
      <w:r w:rsidRPr="0085657D">
        <w:rPr>
          <w:rFonts w:ascii="Arial" w:hAnsi="Arial" w:cs="Arial"/>
        </w:rPr>
        <w:t>Iako na prvi pogled nije od velikog značaja za ostvarivanje prava žrtava, građansko zakonodavstvo sa ovim pravima ima nekoliko značajnih poveznica:</w:t>
      </w:r>
    </w:p>
    <w:p w14:paraId="51BC4B04" w14:textId="77777777" w:rsidR="00124242" w:rsidRPr="0085657D" w:rsidRDefault="00124242" w:rsidP="00124242">
      <w:pPr>
        <w:rPr>
          <w:rFonts w:ascii="Arial" w:hAnsi="Arial" w:cs="Arial"/>
        </w:rPr>
      </w:pPr>
      <w:r w:rsidRPr="0085657D">
        <w:rPr>
          <w:rFonts w:ascii="Arial" w:hAnsi="Arial" w:cs="Arial"/>
          <w:b/>
        </w:rPr>
        <w:t>Zakon o parničnom postupku</w:t>
      </w:r>
      <w:r w:rsidRPr="0085657D">
        <w:rPr>
          <w:rFonts w:ascii="Arial" w:hAnsi="Arial" w:cs="Arial"/>
        </w:rPr>
        <w:t xml:space="preserve"> uređuje postupanje suda u građanskim stvarima i istim se na jedinstven i cjelovit način uređuje položaj stranaka u postupku. Riječ je o postupku koji se ne vodi po službenoj dužnosti.</w:t>
      </w:r>
    </w:p>
    <w:p w14:paraId="3F96AF25" w14:textId="4AD53D5E" w:rsidR="00124242" w:rsidRPr="0085657D" w:rsidRDefault="00124242" w:rsidP="00124242">
      <w:pPr>
        <w:rPr>
          <w:rFonts w:ascii="Arial" w:hAnsi="Arial" w:cs="Arial"/>
        </w:rPr>
      </w:pPr>
      <w:r w:rsidRPr="0085657D">
        <w:rPr>
          <w:rFonts w:ascii="Arial" w:hAnsi="Arial" w:cs="Arial"/>
        </w:rPr>
        <w:t>Osnovno načelo koje uređuje položaj stranaka jeste načelo ravnopravnosti stranaka, koje podrazumijeva da su stranke u postupku jednake i da svaka ima pravo da iznosi svoje tvrdnje, predlaže i izvodi dokaze, postavlja zaht</w:t>
      </w:r>
      <w:r w:rsidR="00260354">
        <w:rPr>
          <w:rFonts w:ascii="Arial" w:hAnsi="Arial" w:cs="Arial"/>
        </w:rPr>
        <w:t>j</w:t>
      </w:r>
      <w:r w:rsidRPr="0085657D">
        <w:rPr>
          <w:rFonts w:ascii="Arial" w:hAnsi="Arial" w:cs="Arial"/>
        </w:rPr>
        <w:t>eve i izjavljuje pravna sredstva, pod jednakim uslovima.</w:t>
      </w:r>
    </w:p>
    <w:p w14:paraId="12C9FE5A" w14:textId="13A2B767" w:rsidR="00124242" w:rsidRPr="0085657D" w:rsidRDefault="00124242" w:rsidP="00124242">
      <w:pPr>
        <w:spacing w:after="120" w:line="276" w:lineRule="auto"/>
        <w:rPr>
          <w:rFonts w:ascii="Arial" w:hAnsi="Arial" w:cs="Arial"/>
        </w:rPr>
      </w:pPr>
      <w:r w:rsidRPr="0085657D">
        <w:rPr>
          <w:rFonts w:ascii="Arial" w:hAnsi="Arial" w:cs="Arial"/>
        </w:rPr>
        <w:t>Sud je dužan da tokom c</w:t>
      </w:r>
      <w:r w:rsidR="00260354">
        <w:rPr>
          <w:rFonts w:ascii="Arial" w:hAnsi="Arial" w:cs="Arial"/>
        </w:rPr>
        <w:t>ij</w:t>
      </w:r>
      <w:r w:rsidRPr="0085657D">
        <w:rPr>
          <w:rFonts w:ascii="Arial" w:hAnsi="Arial" w:cs="Arial"/>
        </w:rPr>
        <w:t>elog postupka obezb</w:t>
      </w:r>
      <w:r w:rsidR="00260354">
        <w:rPr>
          <w:rFonts w:ascii="Arial" w:hAnsi="Arial" w:cs="Arial"/>
        </w:rPr>
        <w:t>ij</w:t>
      </w:r>
      <w:r w:rsidRPr="0085657D">
        <w:rPr>
          <w:rFonts w:ascii="Arial" w:hAnsi="Arial" w:cs="Arial"/>
        </w:rPr>
        <w:t>edi ravnotežu i pravično saslušanje ob</w:t>
      </w:r>
      <w:r w:rsidR="00260354">
        <w:rPr>
          <w:rFonts w:ascii="Arial" w:hAnsi="Arial" w:cs="Arial"/>
        </w:rPr>
        <w:t>ij</w:t>
      </w:r>
      <w:r w:rsidRPr="0085657D">
        <w:rPr>
          <w:rFonts w:ascii="Arial" w:hAnsi="Arial" w:cs="Arial"/>
        </w:rPr>
        <w:t>e strane. U tom smislu, specifičnosti ovog postupka i nedostatke treba navoditi samo u situaciji kada praksa poznaje rješenja koja je potrebno inkorporirati, a koja neće u konačnom narušiti duh zakona.</w:t>
      </w:r>
    </w:p>
    <w:p w14:paraId="3CB5268D" w14:textId="44B1719C" w:rsidR="00340750" w:rsidRPr="0085657D" w:rsidRDefault="00323A9B" w:rsidP="00260354">
      <w:pPr>
        <w:pStyle w:val="CommentText"/>
      </w:pPr>
      <w:r w:rsidRPr="00C47459">
        <w:rPr>
          <w:rFonts w:ascii="Arial" w:eastAsia="Cambria" w:hAnsi="Arial" w:cs="Arial"/>
          <w:sz w:val="22"/>
          <w:szCs w:val="22"/>
        </w:rPr>
        <w:t xml:space="preserve">Pored navedenih problema sa ZPP-om, </w:t>
      </w:r>
      <w:r w:rsidR="00A77DC3" w:rsidRPr="00C47459">
        <w:rPr>
          <w:rFonts w:ascii="Arial" w:eastAsia="Cambria" w:hAnsi="Arial" w:cs="Arial"/>
          <w:sz w:val="22"/>
          <w:szCs w:val="22"/>
        </w:rPr>
        <w:t xml:space="preserve">odredbe </w:t>
      </w:r>
      <w:r w:rsidR="00A77DC3" w:rsidRPr="00C47459">
        <w:rPr>
          <w:rFonts w:ascii="Arial" w:eastAsia="Cambria" w:hAnsi="Arial" w:cs="Arial"/>
          <w:b/>
          <w:bCs/>
          <w:sz w:val="22"/>
          <w:szCs w:val="22"/>
        </w:rPr>
        <w:t>Zakona o vanparničnom postupku</w:t>
      </w:r>
      <w:r w:rsidR="00A77DC3" w:rsidRPr="00C47459">
        <w:rPr>
          <w:rStyle w:val="FootnoteReference"/>
          <w:rFonts w:ascii="Arial" w:eastAsia="Cambria" w:hAnsi="Arial" w:cs="Arial"/>
          <w:sz w:val="22"/>
          <w:szCs w:val="22"/>
        </w:rPr>
        <w:footnoteReference w:id="38"/>
      </w:r>
      <w:r w:rsidR="00483C79" w:rsidRPr="00C47459">
        <w:rPr>
          <w:rFonts w:ascii="Arial" w:eastAsia="Cambria" w:hAnsi="Arial" w:cs="Arial"/>
          <w:sz w:val="22"/>
          <w:szCs w:val="22"/>
        </w:rPr>
        <w:t xml:space="preserve"> koji detaljno uređuje proglašenje nestalog lica za umrlo što je preduslov za ostvarivanje brojnih socijalnih i ekonomskih prava članova porodica nestalih lica.</w:t>
      </w:r>
      <w:r w:rsidR="00483C79" w:rsidRPr="00C47459">
        <w:rPr>
          <w:rFonts w:ascii="Arial" w:eastAsia="Cambria" w:hAnsi="Arial" w:cs="Arial"/>
          <w:color w:val="FF0000"/>
          <w:sz w:val="22"/>
          <w:szCs w:val="22"/>
        </w:rPr>
        <w:t xml:space="preserve"> </w:t>
      </w:r>
      <w:r w:rsidR="00E31CB9">
        <w:rPr>
          <w:rFonts w:ascii="Arial" w:eastAsia="Cambria" w:hAnsi="Arial" w:cs="Arial"/>
          <w:sz w:val="22"/>
          <w:szCs w:val="22"/>
        </w:rPr>
        <w:t>U</w:t>
      </w:r>
      <w:r w:rsidR="00260354">
        <w:rPr>
          <w:rFonts w:ascii="Arial" w:eastAsia="Cambria" w:hAnsi="Arial" w:cs="Arial"/>
          <w:sz w:val="22"/>
          <w:szCs w:val="22"/>
        </w:rPr>
        <w:t xml:space="preserve"> </w:t>
      </w:r>
      <w:r w:rsidR="00483C79" w:rsidRPr="00260354">
        <w:rPr>
          <w:rFonts w:ascii="Arial" w:eastAsia="Cambria" w:hAnsi="Arial" w:cs="Arial"/>
          <w:sz w:val="22"/>
          <w:szCs w:val="22"/>
        </w:rPr>
        <w:t>skladu sa odredbama UN Konvencije o zaštiti svih lica od prisilnih nestanaka</w:t>
      </w:r>
      <w:r w:rsidR="00E31CB9">
        <w:rPr>
          <w:rFonts w:ascii="Arial" w:eastAsia="Cambria" w:hAnsi="Arial" w:cs="Arial"/>
          <w:sz w:val="22"/>
          <w:szCs w:val="22"/>
        </w:rPr>
        <w:t xml:space="preserve"> </w:t>
      </w:r>
      <w:r w:rsidR="00483C79" w:rsidRPr="00260354">
        <w:rPr>
          <w:rFonts w:ascii="Arial" w:eastAsia="Cambria" w:hAnsi="Arial" w:cs="Arial"/>
          <w:sz w:val="22"/>
          <w:szCs w:val="22"/>
        </w:rPr>
        <w:t>neophodno</w:t>
      </w:r>
      <w:r w:rsidR="00E31CB9">
        <w:rPr>
          <w:rFonts w:ascii="Arial" w:eastAsia="Cambria" w:hAnsi="Arial" w:cs="Arial"/>
          <w:sz w:val="22"/>
          <w:szCs w:val="22"/>
        </w:rPr>
        <w:t xml:space="preserve"> je</w:t>
      </w:r>
      <w:r w:rsidR="00483C79" w:rsidRPr="00260354">
        <w:rPr>
          <w:rFonts w:ascii="Arial" w:eastAsia="Cambria" w:hAnsi="Arial" w:cs="Arial"/>
          <w:sz w:val="22"/>
          <w:szCs w:val="22"/>
        </w:rPr>
        <w:t xml:space="preserve"> predvidjeti mogućnost izdavanja potvrde o nestanku/od</w:t>
      </w:r>
      <w:r w:rsidR="009F21BC" w:rsidRPr="00260354">
        <w:rPr>
          <w:rFonts w:ascii="Arial" w:eastAsia="Cambria" w:hAnsi="Arial" w:cs="Arial"/>
          <w:sz w:val="22"/>
          <w:szCs w:val="22"/>
        </w:rPr>
        <w:t>s</w:t>
      </w:r>
      <w:r w:rsidR="00483C79" w:rsidRPr="00260354">
        <w:rPr>
          <w:rFonts w:ascii="Arial" w:eastAsia="Cambria" w:hAnsi="Arial" w:cs="Arial"/>
          <w:sz w:val="22"/>
          <w:szCs w:val="22"/>
        </w:rPr>
        <w:t>ustvu lica za koje postoji osnovana sumnja da je žrtva prisilnog nestanka, a na osnovu koje bi članovi porodice (koji se, u skladu sa odredbama Konvencije i sami smatraju žrtvama) mogli da ostvare socijalna i ekonomska prava i pr</w:t>
      </w:r>
      <w:r w:rsidR="00BF36C1" w:rsidRPr="00260354">
        <w:rPr>
          <w:rFonts w:ascii="Arial" w:eastAsia="Cambria" w:hAnsi="Arial" w:cs="Arial"/>
          <w:sz w:val="22"/>
          <w:szCs w:val="22"/>
        </w:rPr>
        <w:t>ij</w:t>
      </w:r>
      <w:r w:rsidR="00483C79" w:rsidRPr="00260354">
        <w:rPr>
          <w:rFonts w:ascii="Arial" w:eastAsia="Cambria" w:hAnsi="Arial" w:cs="Arial"/>
          <w:sz w:val="22"/>
          <w:szCs w:val="22"/>
        </w:rPr>
        <w:t xml:space="preserve">e </w:t>
      </w:r>
      <w:r w:rsidR="00BF36C1" w:rsidRPr="00260354">
        <w:rPr>
          <w:rFonts w:ascii="Arial" w:eastAsia="Cambria" w:hAnsi="Arial" w:cs="Arial"/>
          <w:sz w:val="22"/>
          <w:szCs w:val="22"/>
        </w:rPr>
        <w:t>nego što bude razjašnjena sudbina nestalog člana porodice</w:t>
      </w:r>
      <w:r w:rsidR="00C4211F" w:rsidRPr="00260354">
        <w:rPr>
          <w:rFonts w:ascii="Arial" w:eastAsia="Cambria" w:hAnsi="Arial" w:cs="Arial"/>
          <w:sz w:val="22"/>
          <w:szCs w:val="22"/>
        </w:rPr>
        <w:t>. Ovim bi se ujedno omogućio nastavak procesa traženja uz važenje pretpostavke da je nestalo lice živo.</w:t>
      </w:r>
      <w:r w:rsidR="00E31CB9">
        <w:rPr>
          <w:rFonts w:ascii="Arial" w:eastAsia="Cambria" w:hAnsi="Arial" w:cs="Arial"/>
          <w:sz w:val="22"/>
          <w:szCs w:val="22"/>
        </w:rPr>
        <w:t xml:space="preserve"> U tom smislu, </w:t>
      </w:r>
      <w:r w:rsidR="00451BF1">
        <w:rPr>
          <w:rFonts w:ascii="Arial" w:eastAsia="Cambria" w:hAnsi="Arial" w:cs="Arial"/>
          <w:sz w:val="22"/>
          <w:szCs w:val="22"/>
        </w:rPr>
        <w:t>nadogradnju na odredbe Zakona o vanparničnom postupku bi trebalo da predstavljaju administrativni postupci</w:t>
      </w:r>
      <w:r w:rsidR="00260354">
        <w:rPr>
          <w:rFonts w:ascii="Arial" w:eastAsia="Cambria" w:hAnsi="Arial" w:cs="Arial"/>
          <w:sz w:val="22"/>
          <w:szCs w:val="22"/>
        </w:rPr>
        <w:t xml:space="preserve"> </w:t>
      </w:r>
      <w:r w:rsidR="001731AD" w:rsidRPr="00260354">
        <w:rPr>
          <w:rFonts w:ascii="Arial" w:hAnsi="Arial" w:cs="Arial"/>
          <w:sz w:val="22"/>
          <w:szCs w:val="22"/>
        </w:rPr>
        <w:t>izdavanja potvrde u nekom od propisa kojim se uređuje postupanje upravnih organa.</w:t>
      </w:r>
      <w:r w:rsidR="001731AD" w:rsidRPr="00C47459">
        <w:rPr>
          <w:rFonts w:ascii="Arial" w:hAnsi="Arial" w:cs="Arial"/>
          <w:sz w:val="22"/>
          <w:szCs w:val="22"/>
        </w:rPr>
        <w:t xml:space="preserve"> </w:t>
      </w:r>
    </w:p>
    <w:p w14:paraId="7121F5E9" w14:textId="56DF8BD5" w:rsidR="00DA03C1" w:rsidRPr="00DA03C1" w:rsidRDefault="00493BD8" w:rsidP="00DA03C1">
      <w:pPr>
        <w:spacing w:after="0" w:line="276" w:lineRule="auto"/>
        <w:rPr>
          <w:rFonts w:ascii="Arial" w:eastAsia="Cambria" w:hAnsi="Arial" w:cs="Arial"/>
          <w:bCs/>
        </w:rPr>
      </w:pPr>
      <w:r w:rsidRPr="0085657D">
        <w:rPr>
          <w:rFonts w:ascii="Arial" w:eastAsia="Cambria" w:hAnsi="Arial" w:cs="Arial"/>
          <w:b/>
          <w:bCs/>
        </w:rPr>
        <w:t>Porodični zakon</w:t>
      </w:r>
      <w:r w:rsidR="00451BF1">
        <w:rPr>
          <w:rStyle w:val="FootnoteReference"/>
          <w:rFonts w:ascii="Arial" w:eastAsia="Cambria" w:hAnsi="Arial" w:cs="Arial"/>
          <w:b/>
          <w:bCs/>
        </w:rPr>
        <w:footnoteReference w:id="39"/>
      </w:r>
      <w:r w:rsidR="00451BF1">
        <w:rPr>
          <w:rFonts w:ascii="Arial" w:eastAsia="Cambria" w:hAnsi="Arial" w:cs="Arial"/>
          <w:b/>
          <w:bCs/>
        </w:rPr>
        <w:t xml:space="preserve"> </w:t>
      </w:r>
      <w:r w:rsidR="00B25A82" w:rsidRPr="0085657D">
        <w:rPr>
          <w:rFonts w:ascii="Arial" w:eastAsia="Cambria" w:hAnsi="Arial" w:cs="Arial"/>
          <w:bCs/>
        </w:rPr>
        <w:t xml:space="preserve">ne propisuje specifične mjere zaštite, </w:t>
      </w:r>
      <w:r w:rsidR="00222A8E">
        <w:rPr>
          <w:rFonts w:ascii="Arial" w:eastAsia="Cambria" w:hAnsi="Arial" w:cs="Arial"/>
          <w:bCs/>
        </w:rPr>
        <w:t xml:space="preserve">a </w:t>
      </w:r>
      <w:r w:rsidR="00B25A82" w:rsidRPr="0085657D">
        <w:rPr>
          <w:rFonts w:ascii="Arial" w:eastAsia="Cambria" w:hAnsi="Arial" w:cs="Arial"/>
          <w:bCs/>
        </w:rPr>
        <w:t xml:space="preserve">njegov značaj u kontekstu </w:t>
      </w:r>
      <w:r w:rsidR="00451BF1">
        <w:rPr>
          <w:rFonts w:ascii="Arial" w:eastAsia="Cambria" w:hAnsi="Arial" w:cs="Arial"/>
          <w:bCs/>
        </w:rPr>
        <w:t>zaštite žrtava</w:t>
      </w:r>
      <w:r w:rsidR="00B25A82" w:rsidRPr="0085657D">
        <w:rPr>
          <w:rFonts w:ascii="Arial" w:eastAsia="Cambria" w:hAnsi="Arial" w:cs="Arial"/>
          <w:bCs/>
        </w:rPr>
        <w:t xml:space="preserve"> ogleda se u normativnoj povezanosti sa Zakonom o zaštiti od nasilja u porodici i primjeni temeljnih načela porodičnog prava, prije svega načela najboljeg interesa djeteta, koje je normirano u članu 5b na način što je predviđeno da je svako dužan da se rukovodi najboljim interesom djeteta u svim aktivnostima koje se direktno ili indirektno tiču djeteta. Ovo načelo ima supremaciju u svim odlukama koje se odnose na roditeljsku brigu, kontakte sa djetetom, lišenje ili ograničenje roditeljskog prava i mjere zaštite prava djeteta. Porodični zakon ne sadrži posebne kaznene mehanizme, ali kroz odredbe o roditeljskom pravu daje osnov za zaštitu djece od nasilnih roditelja, pa je tako predviđeno da roditelj može biti lišen roditeljskog prava ukoliko grubo zanemaruje dužnosti roditelja, zlostavlja dijete ili zloupotrebljava roditeljsko pravo.</w:t>
      </w:r>
      <w:r w:rsidR="00B25A82" w:rsidRPr="0085657D">
        <w:rPr>
          <w:rFonts w:ascii="Arial" w:hAnsi="Arial" w:cs="Arial"/>
          <w:color w:val="000000"/>
        </w:rPr>
        <w:t xml:space="preserve"> Sud shodno odredbama Porodičnog zakona može donijeti odluku o ograničavanju prava djeteta da održava lične odnose sa roditeljem sa kojim ne živi ako postoje razlozi za ograničenje ili lišenje roditeljskog prava ili u slučaju nasilja u porodici.</w:t>
      </w:r>
      <w:r w:rsidR="00B25A82" w:rsidRPr="0085657D">
        <w:rPr>
          <w:rFonts w:ascii="Arial" w:eastAsia="Cambria" w:hAnsi="Arial" w:cs="Arial"/>
          <w:bCs/>
        </w:rPr>
        <w:t xml:space="preserve"> Porodični zakon prepoznaje ulogu centara za socijalni rad u </w:t>
      </w:r>
      <w:r w:rsidR="00B25A82" w:rsidRPr="0085657D">
        <w:rPr>
          <w:rFonts w:ascii="Arial" w:eastAsia="Cambria" w:hAnsi="Arial" w:cs="Arial"/>
          <w:bCs/>
        </w:rPr>
        <w:lastRenderedPageBreak/>
        <w:t>svim postupcima koji se odnose na dijete, što je naročito važno u situacijama kada je dijete žrtva nasilja – bilo direktno, bilo kao svjedok. Porodični zakon ne predviđa zasebne mjere zaštite za žrtve nasilja, on ima ključnu ulogu u zaštiti djece i roditeljskog odnosa kroz načelo najboljeg interesa djeteta, kao i mehanizme lišavanja i ograničavanja roditeljskih prava, te u vezi sa Zakonom o zaštiti od nasilja u porodici stvara sveobuhvatan pravni okvir koji omogućava brzu, efikasnu i integrisanu zaštitu žrtava krivičnih djela u porodičnom kontekstu.</w:t>
      </w:r>
    </w:p>
    <w:p w14:paraId="66F95F54" w14:textId="77777777" w:rsidR="006215D1" w:rsidRPr="0085657D" w:rsidRDefault="000B09DB" w:rsidP="006215D1">
      <w:pPr>
        <w:pStyle w:val="Heading3"/>
        <w:rPr>
          <w:rFonts w:ascii="Arial" w:eastAsia="Cambria" w:hAnsi="Arial" w:cs="Arial"/>
          <w:sz w:val="22"/>
          <w:szCs w:val="22"/>
        </w:rPr>
      </w:pPr>
      <w:bookmarkStart w:id="26" w:name="_Toc208489180"/>
      <w:r w:rsidRPr="0085657D">
        <w:rPr>
          <w:rFonts w:ascii="Arial" w:eastAsia="Cambria" w:hAnsi="Arial" w:cs="Arial"/>
          <w:sz w:val="22"/>
          <w:szCs w:val="22"/>
        </w:rPr>
        <w:t xml:space="preserve">3.3.5. </w:t>
      </w:r>
      <w:r w:rsidR="006215D1" w:rsidRPr="0085657D">
        <w:rPr>
          <w:rFonts w:ascii="Arial" w:eastAsia="Cambria" w:hAnsi="Arial" w:cs="Arial"/>
          <w:sz w:val="22"/>
          <w:szCs w:val="22"/>
        </w:rPr>
        <w:t>Medijsko zakonodavstvo</w:t>
      </w:r>
      <w:bookmarkEnd w:id="26"/>
    </w:p>
    <w:p w14:paraId="07CB0258" w14:textId="77777777" w:rsidR="00322ACE" w:rsidRPr="0085657D" w:rsidRDefault="00322ACE" w:rsidP="00322ACE">
      <w:pPr>
        <w:spacing w:before="100" w:beforeAutospacing="1" w:after="100" w:afterAutospacing="1"/>
        <w:rPr>
          <w:rFonts w:ascii="Arial" w:eastAsia="Cambria" w:hAnsi="Arial" w:cs="Arial"/>
        </w:rPr>
      </w:pPr>
      <w:r w:rsidRPr="0085657D">
        <w:rPr>
          <w:rFonts w:ascii="Arial" w:eastAsia="Cambria" w:hAnsi="Arial" w:cs="Arial"/>
        </w:rPr>
        <w:t>Jedan od ključnih izazova u medijskoj praksi jeste uspostavljanje ravnoteže između prava javnosti da bude informisana i obaveze medija da zaštite privatnost i dostojanstvo žrtava krivičnih djela. Novinari, urednici i samoregulatorna tijela imaju važnu ulogu u očuvanju tog balansa.</w:t>
      </w:r>
    </w:p>
    <w:p w14:paraId="1225A1DE" w14:textId="77777777" w:rsidR="00322ACE" w:rsidRPr="0085657D" w:rsidRDefault="00322ACE" w:rsidP="00322ACE">
      <w:pPr>
        <w:spacing w:before="100" w:beforeAutospacing="1" w:after="100" w:afterAutospacing="1"/>
        <w:rPr>
          <w:rFonts w:ascii="Arial" w:eastAsia="Cambria" w:hAnsi="Arial" w:cs="Arial"/>
        </w:rPr>
      </w:pPr>
      <w:r w:rsidRPr="0085657D">
        <w:rPr>
          <w:rFonts w:ascii="Arial" w:eastAsia="Cambria" w:hAnsi="Arial" w:cs="Arial"/>
        </w:rPr>
        <w:t>Zakon o medijima (čl. 15 i 16) predviđa mogućnost osnivanja internog samoregulatornog tijela u okviru medija, kao i pristupanja eksternom samoregulatornom tijelu koje se osniva kao nevladina organizacija. Ova tijela prate poštovanje profesionalnih i etičkih standarda propisanih Kodeksom novinara, rješavaju pritužbe građana i promovišu odgovorno novinarstvo, djelujući nezavisno od uredničkih i vlasničkih struktura medija.</w:t>
      </w:r>
    </w:p>
    <w:p w14:paraId="48BF8875" w14:textId="3C0EB4B6" w:rsidR="00322ACE" w:rsidRPr="0085657D" w:rsidRDefault="00322ACE" w:rsidP="00322ACE">
      <w:pPr>
        <w:spacing w:before="100" w:beforeAutospacing="1" w:after="100" w:afterAutospacing="1"/>
        <w:rPr>
          <w:rFonts w:ascii="Arial" w:eastAsia="Times New Roman" w:hAnsi="Arial" w:cs="Arial"/>
        </w:rPr>
      </w:pPr>
      <w:r w:rsidRPr="0085657D">
        <w:rPr>
          <w:rFonts w:ascii="Arial" w:eastAsia="Cambria" w:hAnsi="Arial" w:cs="Arial"/>
        </w:rPr>
        <w:t>Medijski savjet za samoregulaciju, osnovan 7. marta 2012. godine u Podgorici, predstavlja nezavisno samoregulatorno tijelo koje okuplja 19 crnogorskih štampanih, elektronskih i online medija. Savjet ima zadatak da unapređuje medijsku samoregulaciju u Crnoj Gori, št</w:t>
      </w:r>
      <w:r w:rsidRPr="0085657D">
        <w:rPr>
          <w:rFonts w:ascii="Arial" w:eastAsia="Times New Roman" w:hAnsi="Arial" w:cs="Arial"/>
          <w:lang w:val="en-US"/>
        </w:rPr>
        <w:t>iti</w:t>
      </w:r>
      <w:r w:rsidRPr="0085657D">
        <w:rPr>
          <w:rFonts w:ascii="Arial" w:eastAsia="Times New Roman" w:hAnsi="Arial" w:cs="Arial"/>
        </w:rPr>
        <w:t xml:space="preserve"> </w:t>
      </w:r>
      <w:r w:rsidRPr="0085657D">
        <w:rPr>
          <w:rFonts w:ascii="Arial" w:eastAsia="Times New Roman" w:hAnsi="Arial" w:cs="Arial"/>
          <w:lang w:val="en-US"/>
        </w:rPr>
        <w:t>gra</w:t>
      </w:r>
      <w:r w:rsidRPr="0085657D">
        <w:rPr>
          <w:rFonts w:ascii="Arial" w:eastAsia="Times New Roman" w:hAnsi="Arial" w:cs="Arial"/>
        </w:rPr>
        <w:t>đ</w:t>
      </w:r>
      <w:r w:rsidRPr="0085657D">
        <w:rPr>
          <w:rFonts w:ascii="Arial" w:eastAsia="Times New Roman" w:hAnsi="Arial" w:cs="Arial"/>
          <w:lang w:val="en-US"/>
        </w:rPr>
        <w:t>ane</w:t>
      </w:r>
      <w:r w:rsidRPr="0085657D">
        <w:rPr>
          <w:rFonts w:ascii="Arial" w:eastAsia="Times New Roman" w:hAnsi="Arial" w:cs="Arial"/>
        </w:rPr>
        <w:t xml:space="preserve"> </w:t>
      </w:r>
      <w:r w:rsidRPr="0085657D">
        <w:rPr>
          <w:rFonts w:ascii="Arial" w:eastAsia="Times New Roman" w:hAnsi="Arial" w:cs="Arial"/>
          <w:lang w:val="en-US"/>
        </w:rPr>
        <w:t>od</w:t>
      </w:r>
      <w:r w:rsidRPr="0085657D">
        <w:rPr>
          <w:rFonts w:ascii="Arial" w:eastAsia="Times New Roman" w:hAnsi="Arial" w:cs="Arial"/>
        </w:rPr>
        <w:t xml:space="preserve"> </w:t>
      </w:r>
      <w:r w:rsidRPr="0085657D">
        <w:rPr>
          <w:rFonts w:ascii="Arial" w:eastAsia="Times New Roman" w:hAnsi="Arial" w:cs="Arial"/>
          <w:lang w:val="en-US"/>
        </w:rPr>
        <w:t>neeti</w:t>
      </w:r>
      <w:r w:rsidRPr="0085657D">
        <w:rPr>
          <w:rFonts w:ascii="Arial" w:eastAsia="Times New Roman" w:hAnsi="Arial" w:cs="Arial"/>
        </w:rPr>
        <w:t>č</w:t>
      </w:r>
      <w:r w:rsidRPr="0085657D">
        <w:rPr>
          <w:rFonts w:ascii="Arial" w:eastAsia="Times New Roman" w:hAnsi="Arial" w:cs="Arial"/>
          <w:lang w:val="en-US"/>
        </w:rPr>
        <w:t>kog</w:t>
      </w:r>
      <w:r w:rsidRPr="0085657D">
        <w:rPr>
          <w:rFonts w:ascii="Arial" w:eastAsia="Times New Roman" w:hAnsi="Arial" w:cs="Arial"/>
        </w:rPr>
        <w:t xml:space="preserve"> </w:t>
      </w:r>
      <w:r w:rsidRPr="0085657D">
        <w:rPr>
          <w:rFonts w:ascii="Arial" w:eastAsia="Times New Roman" w:hAnsi="Arial" w:cs="Arial"/>
          <w:lang w:val="en-US"/>
        </w:rPr>
        <w:t>izvje</w:t>
      </w:r>
      <w:r w:rsidRPr="0085657D">
        <w:rPr>
          <w:rFonts w:ascii="Arial" w:eastAsia="Times New Roman" w:hAnsi="Arial" w:cs="Arial"/>
        </w:rPr>
        <w:t>š</w:t>
      </w:r>
      <w:r w:rsidRPr="0085657D">
        <w:rPr>
          <w:rFonts w:ascii="Arial" w:eastAsia="Times New Roman" w:hAnsi="Arial" w:cs="Arial"/>
          <w:lang w:val="en-US"/>
        </w:rPr>
        <w:t>tavanja</w:t>
      </w:r>
      <w:r w:rsidRPr="0085657D">
        <w:rPr>
          <w:rFonts w:ascii="Arial" w:eastAsia="Times New Roman" w:hAnsi="Arial" w:cs="Arial"/>
        </w:rPr>
        <w:t xml:space="preserve"> </w:t>
      </w:r>
      <w:r w:rsidRPr="0085657D">
        <w:rPr>
          <w:rFonts w:ascii="Arial" w:eastAsia="Times New Roman" w:hAnsi="Arial" w:cs="Arial"/>
          <w:lang w:val="en-US"/>
        </w:rPr>
        <w:t>i</w:t>
      </w:r>
      <w:r w:rsidRPr="0085657D">
        <w:rPr>
          <w:rFonts w:ascii="Arial" w:eastAsia="Times New Roman" w:hAnsi="Arial" w:cs="Arial"/>
        </w:rPr>
        <w:t xml:space="preserve"> </w:t>
      </w:r>
      <w:r w:rsidRPr="0085657D">
        <w:rPr>
          <w:rFonts w:ascii="Arial" w:eastAsia="Times New Roman" w:hAnsi="Arial" w:cs="Arial"/>
          <w:lang w:val="en-US"/>
        </w:rPr>
        <w:t>podi</w:t>
      </w:r>
      <w:r w:rsidRPr="0085657D">
        <w:rPr>
          <w:rFonts w:ascii="Arial" w:eastAsia="Times New Roman" w:hAnsi="Arial" w:cs="Arial"/>
        </w:rPr>
        <w:t>ž</w:t>
      </w:r>
      <w:r w:rsidRPr="0085657D">
        <w:rPr>
          <w:rFonts w:ascii="Arial" w:eastAsia="Times New Roman" w:hAnsi="Arial" w:cs="Arial"/>
          <w:lang w:val="en-US"/>
        </w:rPr>
        <w:t>e</w:t>
      </w:r>
      <w:r w:rsidRPr="0085657D">
        <w:rPr>
          <w:rFonts w:ascii="Arial" w:eastAsia="Times New Roman" w:hAnsi="Arial" w:cs="Arial"/>
        </w:rPr>
        <w:t xml:space="preserve"> </w:t>
      </w:r>
      <w:r w:rsidRPr="0085657D">
        <w:rPr>
          <w:rFonts w:ascii="Arial" w:eastAsia="Times New Roman" w:hAnsi="Arial" w:cs="Arial"/>
          <w:lang w:val="en-US"/>
        </w:rPr>
        <w:t>nivo</w:t>
      </w:r>
      <w:r w:rsidRPr="0085657D">
        <w:rPr>
          <w:rFonts w:ascii="Arial" w:eastAsia="Times New Roman" w:hAnsi="Arial" w:cs="Arial"/>
        </w:rPr>
        <w:t xml:space="preserve"> </w:t>
      </w:r>
      <w:r w:rsidRPr="0085657D">
        <w:rPr>
          <w:rFonts w:ascii="Arial" w:eastAsia="Times New Roman" w:hAnsi="Arial" w:cs="Arial"/>
          <w:lang w:val="en-US"/>
        </w:rPr>
        <w:t>svijesti</w:t>
      </w:r>
      <w:r w:rsidRPr="0085657D">
        <w:rPr>
          <w:rFonts w:ascii="Arial" w:eastAsia="Times New Roman" w:hAnsi="Arial" w:cs="Arial"/>
        </w:rPr>
        <w:t xml:space="preserve"> </w:t>
      </w:r>
      <w:r w:rsidRPr="0085657D">
        <w:rPr>
          <w:rFonts w:ascii="Arial" w:eastAsia="Times New Roman" w:hAnsi="Arial" w:cs="Arial"/>
          <w:lang w:val="en-US"/>
        </w:rPr>
        <w:t>o</w:t>
      </w:r>
      <w:r w:rsidRPr="0085657D">
        <w:rPr>
          <w:rFonts w:ascii="Arial" w:eastAsia="Times New Roman" w:hAnsi="Arial" w:cs="Arial"/>
        </w:rPr>
        <w:t xml:space="preserve"> </w:t>
      </w:r>
      <w:r w:rsidRPr="0085657D">
        <w:rPr>
          <w:rFonts w:ascii="Arial" w:eastAsia="Times New Roman" w:hAnsi="Arial" w:cs="Arial"/>
          <w:lang w:val="en-US"/>
        </w:rPr>
        <w:t>zna</w:t>
      </w:r>
      <w:r w:rsidRPr="0085657D">
        <w:rPr>
          <w:rFonts w:ascii="Arial" w:eastAsia="Times New Roman" w:hAnsi="Arial" w:cs="Arial"/>
        </w:rPr>
        <w:t>č</w:t>
      </w:r>
      <w:r w:rsidRPr="0085657D">
        <w:rPr>
          <w:rFonts w:ascii="Arial" w:eastAsia="Times New Roman" w:hAnsi="Arial" w:cs="Arial"/>
          <w:lang w:val="en-US"/>
        </w:rPr>
        <w:t>aju</w:t>
      </w:r>
      <w:r w:rsidRPr="0085657D">
        <w:rPr>
          <w:rFonts w:ascii="Arial" w:eastAsia="Times New Roman" w:hAnsi="Arial" w:cs="Arial"/>
        </w:rPr>
        <w:t xml:space="preserve"> </w:t>
      </w:r>
      <w:r w:rsidRPr="0085657D">
        <w:rPr>
          <w:rFonts w:ascii="Arial" w:eastAsia="Times New Roman" w:hAnsi="Arial" w:cs="Arial"/>
          <w:lang w:val="en-US"/>
        </w:rPr>
        <w:t>ta</w:t>
      </w:r>
      <w:r w:rsidRPr="0085657D">
        <w:rPr>
          <w:rFonts w:ascii="Arial" w:eastAsia="Times New Roman" w:hAnsi="Arial" w:cs="Arial"/>
        </w:rPr>
        <w:t>č</w:t>
      </w:r>
      <w:r w:rsidRPr="0085657D">
        <w:rPr>
          <w:rFonts w:ascii="Arial" w:eastAsia="Times New Roman" w:hAnsi="Arial" w:cs="Arial"/>
          <w:lang w:val="en-US"/>
        </w:rPr>
        <w:t>nog</w:t>
      </w:r>
      <w:r w:rsidRPr="0085657D">
        <w:rPr>
          <w:rFonts w:ascii="Arial" w:eastAsia="Times New Roman" w:hAnsi="Arial" w:cs="Arial"/>
        </w:rPr>
        <w:t xml:space="preserve">, </w:t>
      </w:r>
      <w:r w:rsidRPr="0085657D">
        <w:rPr>
          <w:rFonts w:ascii="Arial" w:eastAsia="Times New Roman" w:hAnsi="Arial" w:cs="Arial"/>
          <w:lang w:val="en-US"/>
        </w:rPr>
        <w:t>pravovremenog</w:t>
      </w:r>
      <w:r w:rsidRPr="0085657D">
        <w:rPr>
          <w:rFonts w:ascii="Arial" w:eastAsia="Times New Roman" w:hAnsi="Arial" w:cs="Arial"/>
        </w:rPr>
        <w:t xml:space="preserve"> </w:t>
      </w:r>
      <w:r w:rsidRPr="0085657D">
        <w:rPr>
          <w:rFonts w:ascii="Arial" w:eastAsia="Times New Roman" w:hAnsi="Arial" w:cs="Arial"/>
          <w:lang w:val="en-US"/>
        </w:rPr>
        <w:t>i</w:t>
      </w:r>
      <w:r w:rsidRPr="0085657D">
        <w:rPr>
          <w:rFonts w:ascii="Arial" w:eastAsia="Times New Roman" w:hAnsi="Arial" w:cs="Arial"/>
        </w:rPr>
        <w:t xml:space="preserve"> </w:t>
      </w:r>
      <w:r w:rsidRPr="0085657D">
        <w:rPr>
          <w:rFonts w:ascii="Arial" w:eastAsia="Times New Roman" w:hAnsi="Arial" w:cs="Arial"/>
          <w:lang w:val="en-US"/>
        </w:rPr>
        <w:t>odgovornog</w:t>
      </w:r>
      <w:r w:rsidRPr="0085657D">
        <w:rPr>
          <w:rFonts w:ascii="Arial" w:eastAsia="Times New Roman" w:hAnsi="Arial" w:cs="Arial"/>
        </w:rPr>
        <w:t xml:space="preserve"> </w:t>
      </w:r>
      <w:r w:rsidRPr="0085657D">
        <w:rPr>
          <w:rFonts w:ascii="Arial" w:eastAsia="Times New Roman" w:hAnsi="Arial" w:cs="Arial"/>
          <w:lang w:val="en-US"/>
        </w:rPr>
        <w:t>informisanja</w:t>
      </w:r>
      <w:r w:rsidRPr="0085657D">
        <w:rPr>
          <w:rFonts w:ascii="Arial" w:eastAsia="Times New Roman" w:hAnsi="Arial" w:cs="Arial"/>
        </w:rPr>
        <w:t>.</w:t>
      </w:r>
      <w:r w:rsidR="00D34B5C" w:rsidRPr="0085657D">
        <w:rPr>
          <w:rStyle w:val="FootnoteReference"/>
          <w:rFonts w:ascii="Arial" w:eastAsia="Times New Roman" w:hAnsi="Arial" w:cs="Arial"/>
          <w:lang w:val="en-US"/>
        </w:rPr>
        <w:footnoteReference w:id="40"/>
      </w:r>
    </w:p>
    <w:p w14:paraId="76E2BCEE" w14:textId="77777777" w:rsidR="00322ACE" w:rsidRPr="0085657D" w:rsidRDefault="00322ACE" w:rsidP="00322ACE">
      <w:pPr>
        <w:spacing w:before="100" w:beforeAutospacing="1" w:after="100" w:afterAutospacing="1"/>
        <w:rPr>
          <w:rFonts w:ascii="Arial" w:eastAsia="Times New Roman" w:hAnsi="Arial" w:cs="Arial"/>
        </w:rPr>
      </w:pPr>
      <w:r w:rsidRPr="0085657D">
        <w:rPr>
          <w:rFonts w:ascii="Arial" w:eastAsia="Times New Roman" w:hAnsi="Arial" w:cs="Arial"/>
          <w:lang w:val="en-US"/>
        </w:rPr>
        <w:t>U</w:t>
      </w:r>
      <w:r w:rsidRPr="0085657D">
        <w:rPr>
          <w:rFonts w:ascii="Arial" w:eastAsia="Times New Roman" w:hAnsi="Arial" w:cs="Arial"/>
        </w:rPr>
        <w:t xml:space="preserve"> </w:t>
      </w:r>
      <w:r w:rsidRPr="0085657D">
        <w:rPr>
          <w:rFonts w:ascii="Arial" w:eastAsia="Times New Roman" w:hAnsi="Arial" w:cs="Arial"/>
          <w:lang w:val="en-US"/>
        </w:rPr>
        <w:t>okviru</w:t>
      </w:r>
      <w:r w:rsidRPr="0085657D">
        <w:rPr>
          <w:rFonts w:ascii="Arial" w:eastAsia="Times New Roman" w:hAnsi="Arial" w:cs="Arial"/>
        </w:rPr>
        <w:t xml:space="preserve"> </w:t>
      </w:r>
      <w:r w:rsidRPr="0085657D">
        <w:rPr>
          <w:rFonts w:ascii="Arial" w:eastAsia="Times New Roman" w:hAnsi="Arial" w:cs="Arial"/>
          <w:lang w:val="en-US"/>
        </w:rPr>
        <w:t>svojih</w:t>
      </w:r>
      <w:r w:rsidRPr="0085657D">
        <w:rPr>
          <w:rFonts w:ascii="Arial" w:eastAsia="Times New Roman" w:hAnsi="Arial" w:cs="Arial"/>
        </w:rPr>
        <w:t xml:space="preserve"> </w:t>
      </w:r>
      <w:r w:rsidRPr="0085657D">
        <w:rPr>
          <w:rFonts w:ascii="Arial" w:eastAsia="Times New Roman" w:hAnsi="Arial" w:cs="Arial"/>
          <w:lang w:val="en-US"/>
        </w:rPr>
        <w:t>nadle</w:t>
      </w:r>
      <w:r w:rsidRPr="0085657D">
        <w:rPr>
          <w:rFonts w:ascii="Arial" w:eastAsia="Times New Roman" w:hAnsi="Arial" w:cs="Arial"/>
        </w:rPr>
        <w:t>ž</w:t>
      </w:r>
      <w:r w:rsidRPr="0085657D">
        <w:rPr>
          <w:rFonts w:ascii="Arial" w:eastAsia="Times New Roman" w:hAnsi="Arial" w:cs="Arial"/>
          <w:lang w:val="en-US"/>
        </w:rPr>
        <w:t>nosti</w:t>
      </w:r>
      <w:r w:rsidRPr="0085657D">
        <w:rPr>
          <w:rFonts w:ascii="Arial" w:eastAsia="Times New Roman" w:hAnsi="Arial" w:cs="Arial"/>
        </w:rPr>
        <w:t xml:space="preserve">, </w:t>
      </w:r>
      <w:r w:rsidRPr="0085657D">
        <w:rPr>
          <w:rFonts w:ascii="Arial" w:eastAsia="Times New Roman" w:hAnsi="Arial" w:cs="Arial"/>
          <w:lang w:val="en-US"/>
        </w:rPr>
        <w:t>Savjet</w:t>
      </w:r>
      <w:r w:rsidRPr="0085657D">
        <w:rPr>
          <w:rFonts w:ascii="Arial" w:eastAsia="Times New Roman" w:hAnsi="Arial" w:cs="Arial"/>
        </w:rPr>
        <w:t>:</w:t>
      </w:r>
    </w:p>
    <w:p w14:paraId="7376DACA"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prati primjenu Kodeksa novinara Crne Gore;</w:t>
      </w:r>
    </w:p>
    <w:p w14:paraId="31B4599D"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posreduje između medija i nezadovoljnih građana;</w:t>
      </w:r>
    </w:p>
    <w:p w14:paraId="6EDEBAF7"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odlučuje o žalbama na rad medija;</w:t>
      </w:r>
    </w:p>
    <w:p w14:paraId="71B79B40"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objavljuje izvještaje o poštovanju etičkih standarda;</w:t>
      </w:r>
    </w:p>
    <w:p w14:paraId="2BCBDA77"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inicira unapređenje profesionalnih normi i praksi.</w:t>
      </w:r>
    </w:p>
    <w:p w14:paraId="09A3DF4E" w14:textId="5EC74C50" w:rsidR="0017667C" w:rsidRDefault="00322ACE" w:rsidP="00C47459">
      <w:pPr>
        <w:spacing w:before="100" w:beforeAutospacing="1" w:after="100" w:afterAutospacing="1"/>
        <w:rPr>
          <w:rFonts w:ascii="Arial" w:eastAsia="Times New Roman" w:hAnsi="Arial" w:cs="Arial"/>
          <w:lang w:val="it-IT"/>
        </w:rPr>
      </w:pPr>
      <w:r w:rsidRPr="00260354">
        <w:rPr>
          <w:rFonts w:ascii="Arial" w:eastAsia="Times New Roman" w:hAnsi="Arial" w:cs="Arial"/>
          <w:b/>
          <w:bCs/>
          <w:lang w:val="it-IT"/>
        </w:rPr>
        <w:t>Kodeks novinara/novinarki Crne Gore</w:t>
      </w:r>
      <w:r w:rsidRPr="00260354">
        <w:rPr>
          <w:rFonts w:ascii="Arial" w:eastAsia="Times New Roman" w:hAnsi="Arial" w:cs="Arial"/>
          <w:lang w:val="it-IT"/>
        </w:rPr>
        <w:t xml:space="preserve"> </w:t>
      </w:r>
      <w:r w:rsidR="00D34B5C" w:rsidRPr="0085657D">
        <w:rPr>
          <w:rStyle w:val="FootnoteReference"/>
          <w:rFonts w:ascii="Arial" w:eastAsia="Times New Roman" w:hAnsi="Arial" w:cs="Arial"/>
          <w:lang w:val="en-US"/>
        </w:rPr>
        <w:footnoteReference w:id="41"/>
      </w:r>
      <w:r w:rsidR="00FC52EA">
        <w:rPr>
          <w:rFonts w:ascii="Arial" w:eastAsia="Times New Roman" w:hAnsi="Arial" w:cs="Arial"/>
          <w:lang w:val="it-IT"/>
        </w:rPr>
        <w:t xml:space="preserve"> </w:t>
      </w:r>
      <w:r w:rsidRPr="00EA4C8A">
        <w:rPr>
          <w:rFonts w:ascii="Arial" w:eastAsia="Times New Roman" w:hAnsi="Arial" w:cs="Arial"/>
          <w:lang w:val="it-IT"/>
        </w:rPr>
        <w:t>predstavlja osnovni etički okvir za rad medija. Iako se u pojedinim dijelovima bavi pitanjem izvještavanja o žrtvama krivičnih djela, u tom segmentu postoji prostor za njegovo dodatno preciziranje i jačanje zaštitnih mehanizama</w:t>
      </w:r>
      <w:r w:rsidRPr="008D1795">
        <w:rPr>
          <w:rFonts w:ascii="Arial" w:eastAsia="Times New Roman" w:hAnsi="Arial" w:cs="Arial"/>
          <w:lang w:val="it-IT"/>
        </w:rPr>
        <w:t>.</w:t>
      </w:r>
    </w:p>
    <w:p w14:paraId="1EC78855" w14:textId="63421B21" w:rsidR="00222A8E" w:rsidRDefault="00222A8E" w:rsidP="00C47459">
      <w:pPr>
        <w:spacing w:before="100" w:beforeAutospacing="1" w:after="100" w:afterAutospacing="1"/>
        <w:rPr>
          <w:rFonts w:ascii="Arial" w:eastAsia="Times New Roman" w:hAnsi="Arial" w:cs="Arial"/>
          <w:lang w:val="it-IT"/>
        </w:rPr>
      </w:pPr>
    </w:p>
    <w:p w14:paraId="7A179A99" w14:textId="2C72D114" w:rsidR="00222A8E" w:rsidRDefault="00222A8E" w:rsidP="00C47459">
      <w:pPr>
        <w:spacing w:before="100" w:beforeAutospacing="1" w:after="100" w:afterAutospacing="1"/>
        <w:rPr>
          <w:rFonts w:ascii="Arial" w:eastAsia="Times New Roman" w:hAnsi="Arial" w:cs="Arial"/>
          <w:lang w:val="it-IT"/>
        </w:rPr>
      </w:pPr>
    </w:p>
    <w:p w14:paraId="4BCBC581" w14:textId="75CBB081" w:rsidR="00222A8E" w:rsidRDefault="00222A8E" w:rsidP="00C47459">
      <w:pPr>
        <w:spacing w:before="100" w:beforeAutospacing="1" w:after="100" w:afterAutospacing="1"/>
        <w:rPr>
          <w:rFonts w:ascii="Arial" w:eastAsia="Times New Roman" w:hAnsi="Arial" w:cs="Arial"/>
          <w:lang w:val="it-IT"/>
        </w:rPr>
      </w:pPr>
    </w:p>
    <w:p w14:paraId="223F2CCA" w14:textId="6A12C546" w:rsidR="00222A8E" w:rsidRDefault="00222A8E" w:rsidP="00C47459">
      <w:pPr>
        <w:spacing w:before="100" w:beforeAutospacing="1" w:after="100" w:afterAutospacing="1"/>
        <w:rPr>
          <w:rFonts w:ascii="Arial" w:eastAsia="Times New Roman" w:hAnsi="Arial" w:cs="Arial"/>
          <w:lang w:val="it-IT"/>
        </w:rPr>
      </w:pPr>
    </w:p>
    <w:p w14:paraId="6D2704F7" w14:textId="77777777" w:rsidR="00222A8E" w:rsidRPr="008D1795" w:rsidRDefault="00222A8E" w:rsidP="00C47459">
      <w:pPr>
        <w:spacing w:before="100" w:beforeAutospacing="1" w:after="100" w:afterAutospacing="1"/>
        <w:rPr>
          <w:rFonts w:ascii="Arial" w:eastAsia="Times New Roman" w:hAnsi="Arial" w:cs="Arial"/>
          <w:lang w:val="it-IT"/>
        </w:rPr>
      </w:pPr>
    </w:p>
    <w:p w14:paraId="3D63A550" w14:textId="77777777" w:rsidR="001E3740" w:rsidRPr="0048294F" w:rsidRDefault="001E3740" w:rsidP="0048294F">
      <w:pPr>
        <w:pStyle w:val="Heading3"/>
        <w:rPr>
          <w:rFonts w:ascii="Arial" w:hAnsi="Arial" w:cs="Arial"/>
          <w:sz w:val="22"/>
          <w:szCs w:val="22"/>
        </w:rPr>
      </w:pPr>
      <w:bookmarkStart w:id="27" w:name="_Toc208489181"/>
      <w:r w:rsidRPr="0048294F">
        <w:rPr>
          <w:rFonts w:ascii="Arial" w:hAnsi="Arial" w:cs="Arial"/>
          <w:sz w:val="22"/>
          <w:szCs w:val="22"/>
        </w:rPr>
        <w:t>3.3.6  Zakonodavstvo u oblasti zdravstvene zaštite</w:t>
      </w:r>
      <w:bookmarkEnd w:id="27"/>
    </w:p>
    <w:p w14:paraId="2A7055D4" w14:textId="77777777" w:rsidR="00FC52EA" w:rsidRDefault="00FC52EA" w:rsidP="00DF67C2">
      <w:pPr>
        <w:rPr>
          <w:rFonts w:ascii="Arial" w:hAnsi="Arial" w:cs="Arial"/>
        </w:rPr>
      </w:pPr>
    </w:p>
    <w:p w14:paraId="32C9D491" w14:textId="14B6584C" w:rsidR="00DF67C2" w:rsidRPr="008D1795" w:rsidRDefault="00DF67C2" w:rsidP="00DF67C2">
      <w:pPr>
        <w:rPr>
          <w:rFonts w:ascii="Arial" w:hAnsi="Arial" w:cs="Arial"/>
          <w:b/>
          <w:bCs/>
          <w:lang w:val="it-IT"/>
        </w:rPr>
      </w:pPr>
      <w:r w:rsidRPr="008D1795">
        <w:rPr>
          <w:rFonts w:ascii="Arial" w:hAnsi="Arial" w:cs="Arial"/>
          <w:b/>
          <w:bCs/>
        </w:rPr>
        <w:t>Zakon o zdravstvenoj zaštiti</w:t>
      </w:r>
      <w:r w:rsidR="00FC52EA">
        <w:rPr>
          <w:rStyle w:val="FootnoteReference"/>
          <w:rFonts w:ascii="Arial" w:hAnsi="Arial" w:cs="Arial"/>
          <w:b/>
          <w:bCs/>
        </w:rPr>
        <w:footnoteReference w:id="42"/>
      </w:r>
    </w:p>
    <w:p w14:paraId="5F51C389" w14:textId="79738A7A" w:rsidR="00222A8E" w:rsidRPr="0076201E" w:rsidRDefault="00DF67C2" w:rsidP="00DF67C2">
      <w:pPr>
        <w:rPr>
          <w:rFonts w:ascii="Arial" w:hAnsi="Arial" w:cs="Arial"/>
        </w:rPr>
      </w:pPr>
      <w:r w:rsidRPr="0076201E">
        <w:rPr>
          <w:rFonts w:ascii="Arial" w:hAnsi="Arial" w:cs="Arial"/>
        </w:rPr>
        <w:t>U definiciji zdravstvene zaštite navode se i pojedine ranjive kategorije, uključujući i žrtve trgovine ljudima (član 8, tačka 11) – što ukazuje na institucionalno prepoznavanje žrtve, bar u ovom specifičnom kontekstu.</w:t>
      </w:r>
    </w:p>
    <w:p w14:paraId="3A488F35" w14:textId="52E647E7" w:rsidR="00FC52EA" w:rsidRPr="0076201E" w:rsidRDefault="00DF67C2" w:rsidP="007813E8">
      <w:pPr>
        <w:rPr>
          <w:rFonts w:ascii="Arial" w:hAnsi="Arial" w:cs="Arial"/>
        </w:rPr>
      </w:pPr>
      <w:r w:rsidRPr="0076201E">
        <w:rPr>
          <w:rFonts w:ascii="Arial" w:hAnsi="Arial" w:cs="Arial"/>
        </w:rPr>
        <w:t>Međutim, širе definicije žrtve (npr. žrtva nasilja, zlostavljanja) se ne nalaze u ovom zakonu. On se pretežno bavi pružanjem usluga, principima pristupa i procedurama (npr. obdukcije, prijava nasilnih smrti), ali n</w:t>
      </w:r>
      <w:r w:rsidR="0063645E">
        <w:rPr>
          <w:rFonts w:ascii="Arial" w:hAnsi="Arial" w:cs="Arial"/>
        </w:rPr>
        <w:t>e</w:t>
      </w:r>
      <w:r w:rsidRPr="0076201E">
        <w:rPr>
          <w:rFonts w:ascii="Arial" w:hAnsi="Arial" w:cs="Arial"/>
        </w:rPr>
        <w:t>ma opštu normu koja prepoznaje status žrtve kroz prizmu humanitarne ili pravne podrške.</w:t>
      </w:r>
    </w:p>
    <w:p w14:paraId="3D108D61" w14:textId="77777777" w:rsidR="00A53024" w:rsidRPr="0085657D" w:rsidRDefault="00A53024" w:rsidP="00595DE2">
      <w:pPr>
        <w:pStyle w:val="Heading2"/>
        <w:numPr>
          <w:ilvl w:val="1"/>
          <w:numId w:val="5"/>
        </w:numPr>
        <w:rPr>
          <w:rFonts w:ascii="Arial" w:hAnsi="Arial" w:cs="Arial"/>
          <w:sz w:val="22"/>
          <w:szCs w:val="22"/>
        </w:rPr>
      </w:pPr>
      <w:bookmarkStart w:id="28" w:name="_Toc208489182"/>
      <w:r w:rsidRPr="0085657D">
        <w:rPr>
          <w:rFonts w:ascii="Arial" w:hAnsi="Arial" w:cs="Arial"/>
          <w:sz w:val="22"/>
          <w:szCs w:val="22"/>
        </w:rPr>
        <w:t xml:space="preserve">Pristup pravdi </w:t>
      </w:r>
      <w:r w:rsidR="008C7147" w:rsidRPr="0085657D">
        <w:rPr>
          <w:rFonts w:ascii="Arial" w:hAnsi="Arial" w:cs="Arial"/>
          <w:sz w:val="22"/>
          <w:szCs w:val="22"/>
        </w:rPr>
        <w:t>za žrtve</w:t>
      </w:r>
      <w:r w:rsidRPr="0085657D">
        <w:rPr>
          <w:rFonts w:ascii="Arial" w:hAnsi="Arial" w:cs="Arial"/>
          <w:sz w:val="22"/>
          <w:szCs w:val="22"/>
        </w:rPr>
        <w:t xml:space="preserve"> </w:t>
      </w:r>
      <w:bookmarkEnd w:id="28"/>
    </w:p>
    <w:p w14:paraId="3F0CA0A6" w14:textId="77777777" w:rsidR="00A53024" w:rsidRPr="0085657D" w:rsidRDefault="00571877" w:rsidP="00595DE2">
      <w:pPr>
        <w:pStyle w:val="Heading3"/>
        <w:numPr>
          <w:ilvl w:val="2"/>
          <w:numId w:val="5"/>
        </w:numPr>
        <w:rPr>
          <w:rFonts w:ascii="Arial" w:hAnsi="Arial" w:cs="Arial"/>
          <w:sz w:val="22"/>
          <w:szCs w:val="22"/>
        </w:rPr>
      </w:pPr>
      <w:bookmarkStart w:id="29" w:name="_Toc208489183"/>
      <w:r w:rsidRPr="0085657D">
        <w:rPr>
          <w:rFonts w:ascii="Arial" w:hAnsi="Arial" w:cs="Arial"/>
          <w:sz w:val="22"/>
          <w:szCs w:val="22"/>
        </w:rPr>
        <w:t xml:space="preserve">Pravo na </w:t>
      </w:r>
      <w:r w:rsidR="00B723C8" w:rsidRPr="0085657D">
        <w:rPr>
          <w:rFonts w:ascii="Arial" w:hAnsi="Arial" w:cs="Arial"/>
          <w:sz w:val="22"/>
          <w:szCs w:val="22"/>
        </w:rPr>
        <w:t>informisanje</w:t>
      </w:r>
      <w:bookmarkEnd w:id="29"/>
    </w:p>
    <w:p w14:paraId="509DB42D" w14:textId="47D58EA8" w:rsidR="00C47459" w:rsidRDefault="00CC3E3E" w:rsidP="00FB6871">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Da bi ostvarila svoja prava, žrtva prije svega mora biti blagovremeno informisana o svojim pravima.</w:t>
      </w:r>
      <w:r w:rsidR="00336B08" w:rsidRPr="0085657D">
        <w:rPr>
          <w:rFonts w:ascii="Arial" w:hAnsi="Arial" w:cs="Arial"/>
          <w:sz w:val="22"/>
          <w:szCs w:val="22"/>
          <w:lang w:val="sr-Latn-ME"/>
        </w:rPr>
        <w:t xml:space="preserve"> Direktiva 2012</w:t>
      </w:r>
      <w:r w:rsidR="006A5B1C" w:rsidRPr="0085657D">
        <w:rPr>
          <w:rFonts w:ascii="Arial" w:hAnsi="Arial" w:cs="Arial"/>
          <w:sz w:val="22"/>
          <w:szCs w:val="22"/>
          <w:lang w:val="sr-Latn-ME"/>
        </w:rPr>
        <w:t>/</w:t>
      </w:r>
      <w:r w:rsidR="00336B08" w:rsidRPr="0085657D">
        <w:rPr>
          <w:rFonts w:ascii="Arial" w:hAnsi="Arial" w:cs="Arial"/>
          <w:sz w:val="22"/>
          <w:szCs w:val="22"/>
          <w:lang w:val="sr-Latn-ME"/>
        </w:rPr>
        <w:t>029</w:t>
      </w:r>
      <w:r w:rsidR="006A5B1C" w:rsidRPr="0085657D">
        <w:rPr>
          <w:rFonts w:ascii="Arial" w:hAnsi="Arial" w:cs="Arial"/>
          <w:sz w:val="22"/>
          <w:szCs w:val="22"/>
          <w:lang w:val="sr-Latn-ME"/>
        </w:rPr>
        <w:t>/</w:t>
      </w:r>
      <w:r w:rsidR="00336B08" w:rsidRPr="0085657D">
        <w:rPr>
          <w:rFonts w:ascii="Arial" w:hAnsi="Arial" w:cs="Arial"/>
          <w:sz w:val="22"/>
          <w:szCs w:val="22"/>
          <w:lang w:val="sr-Latn-ME"/>
        </w:rPr>
        <w:t>EU propisuje preciznu listu informacija koje žrtvi moraju biti dostupne, bez nepotrebnog odlaganja, od prvog kontakta s</w:t>
      </w:r>
      <w:r w:rsidR="00571877" w:rsidRPr="0085657D">
        <w:rPr>
          <w:rFonts w:ascii="Arial" w:hAnsi="Arial" w:cs="Arial"/>
          <w:sz w:val="22"/>
          <w:szCs w:val="22"/>
          <w:lang w:val="sr-Latn-ME"/>
        </w:rPr>
        <w:t>a</w:t>
      </w:r>
      <w:r w:rsidR="00336B08" w:rsidRPr="0085657D">
        <w:rPr>
          <w:rFonts w:ascii="Arial" w:hAnsi="Arial" w:cs="Arial"/>
          <w:sz w:val="22"/>
          <w:szCs w:val="22"/>
          <w:lang w:val="sr-Latn-ME"/>
        </w:rPr>
        <w:t xml:space="preserve"> organom</w:t>
      </w:r>
      <w:r w:rsidR="00571877" w:rsidRPr="0085657D">
        <w:rPr>
          <w:rFonts w:ascii="Arial" w:hAnsi="Arial" w:cs="Arial"/>
          <w:sz w:val="22"/>
          <w:szCs w:val="22"/>
          <w:lang w:val="sr-Latn-ME"/>
        </w:rPr>
        <w:t xml:space="preserve"> postupka,</w:t>
      </w:r>
      <w:r w:rsidR="005805C3" w:rsidRPr="0085657D">
        <w:rPr>
          <w:rFonts w:ascii="Arial" w:hAnsi="Arial" w:cs="Arial"/>
          <w:sz w:val="22"/>
          <w:szCs w:val="22"/>
          <w:lang w:val="sr-Latn-ME"/>
        </w:rPr>
        <w:t xml:space="preserve"> uključujući </w:t>
      </w:r>
      <w:r w:rsidRPr="0085657D">
        <w:rPr>
          <w:rFonts w:ascii="Arial" w:hAnsi="Arial" w:cs="Arial"/>
          <w:sz w:val="22"/>
          <w:szCs w:val="22"/>
          <w:lang w:val="sr-Latn-ME"/>
        </w:rPr>
        <w:t>i</w:t>
      </w:r>
      <w:r w:rsidR="005805C3" w:rsidRPr="0085657D">
        <w:rPr>
          <w:rFonts w:ascii="Arial" w:hAnsi="Arial" w:cs="Arial"/>
          <w:sz w:val="22"/>
          <w:szCs w:val="22"/>
          <w:lang w:val="sr-Latn-ME"/>
        </w:rPr>
        <w:t xml:space="preserve"> v</w:t>
      </w:r>
      <w:r w:rsidR="00336B08" w:rsidRPr="0085657D">
        <w:rPr>
          <w:rFonts w:ascii="Arial" w:hAnsi="Arial" w:cs="Arial"/>
          <w:sz w:val="22"/>
          <w:szCs w:val="22"/>
          <w:lang w:val="sr-Latn-ME"/>
        </w:rPr>
        <w:t>rst</w:t>
      </w:r>
      <w:r w:rsidR="005805C3" w:rsidRPr="0085657D">
        <w:rPr>
          <w:rFonts w:ascii="Arial" w:hAnsi="Arial" w:cs="Arial"/>
          <w:sz w:val="22"/>
          <w:szCs w:val="22"/>
          <w:lang w:val="sr-Latn-ME"/>
        </w:rPr>
        <w:t>u</w:t>
      </w:r>
      <w:r w:rsidR="00336B08" w:rsidRPr="0085657D">
        <w:rPr>
          <w:rFonts w:ascii="Arial" w:hAnsi="Arial" w:cs="Arial"/>
          <w:sz w:val="22"/>
          <w:szCs w:val="22"/>
          <w:lang w:val="sr-Latn-ME"/>
        </w:rPr>
        <w:t xml:space="preserve"> podrške koju mogu dobiti</w:t>
      </w:r>
      <w:r w:rsidR="005805C3" w:rsidRPr="0085657D">
        <w:rPr>
          <w:rFonts w:ascii="Arial" w:hAnsi="Arial" w:cs="Arial"/>
          <w:sz w:val="22"/>
          <w:szCs w:val="22"/>
          <w:lang w:val="sr-Latn-ME"/>
        </w:rPr>
        <w:t>, p</w:t>
      </w:r>
      <w:r w:rsidR="00336B08" w:rsidRPr="0085657D">
        <w:rPr>
          <w:rFonts w:ascii="Arial" w:hAnsi="Arial" w:cs="Arial"/>
          <w:sz w:val="22"/>
          <w:szCs w:val="22"/>
          <w:lang w:val="sr-Latn-ME"/>
        </w:rPr>
        <w:t>rocedure za prijavljivanje krivičnog djela i</w:t>
      </w:r>
      <w:r w:rsidR="005805C3" w:rsidRPr="0085657D">
        <w:rPr>
          <w:rFonts w:ascii="Arial" w:hAnsi="Arial" w:cs="Arial"/>
          <w:sz w:val="22"/>
          <w:szCs w:val="22"/>
          <w:lang w:val="sr-Latn-ME"/>
        </w:rPr>
        <w:t xml:space="preserve"> ulogu oštećenog u krivičnom postupku; potom podatke o mjerama zaštite, ostvarivanju prava na pravnu pomoć</w:t>
      </w:r>
      <w:r w:rsidR="00571877" w:rsidRPr="0085657D">
        <w:rPr>
          <w:rFonts w:ascii="Arial" w:hAnsi="Arial" w:cs="Arial"/>
          <w:sz w:val="22"/>
          <w:szCs w:val="22"/>
          <w:lang w:val="sr-Latn-ME"/>
        </w:rPr>
        <w:t xml:space="preserve"> i</w:t>
      </w:r>
      <w:r w:rsidR="005805C3" w:rsidRPr="0085657D">
        <w:rPr>
          <w:rFonts w:ascii="Arial" w:hAnsi="Arial" w:cs="Arial"/>
          <w:sz w:val="22"/>
          <w:szCs w:val="22"/>
          <w:lang w:val="sr-Latn-ME"/>
        </w:rPr>
        <w:t xml:space="preserve"> prevođenje</w:t>
      </w:r>
      <w:r w:rsidR="00571877" w:rsidRPr="0085657D">
        <w:rPr>
          <w:rFonts w:ascii="Arial" w:hAnsi="Arial" w:cs="Arial"/>
          <w:sz w:val="22"/>
          <w:szCs w:val="22"/>
          <w:lang w:val="sr-Latn-ME"/>
        </w:rPr>
        <w:t>;</w:t>
      </w:r>
      <w:r w:rsidR="005805C3" w:rsidRPr="0085657D">
        <w:rPr>
          <w:rFonts w:ascii="Arial" w:hAnsi="Arial" w:cs="Arial"/>
          <w:sz w:val="22"/>
          <w:szCs w:val="22"/>
          <w:lang w:val="sr-Latn-ME"/>
        </w:rPr>
        <w:t xml:space="preserve"> pravo na informaciju o statusu predmeta i pravni l</w:t>
      </w:r>
      <w:r w:rsidR="00601BFC" w:rsidRPr="0085657D">
        <w:rPr>
          <w:rFonts w:ascii="Arial" w:hAnsi="Arial" w:cs="Arial"/>
          <w:sz w:val="22"/>
          <w:szCs w:val="22"/>
          <w:lang w:val="sr-Latn-ME"/>
        </w:rPr>
        <w:t>ij</w:t>
      </w:r>
      <w:r w:rsidR="005805C3" w:rsidRPr="0085657D">
        <w:rPr>
          <w:rFonts w:ascii="Arial" w:hAnsi="Arial" w:cs="Arial"/>
          <w:sz w:val="22"/>
          <w:szCs w:val="22"/>
          <w:lang w:val="sr-Latn-ME"/>
        </w:rPr>
        <w:t>ek, prav</w:t>
      </w:r>
      <w:r w:rsidR="00571877" w:rsidRPr="0085657D">
        <w:rPr>
          <w:rFonts w:ascii="Arial" w:hAnsi="Arial" w:cs="Arial"/>
          <w:sz w:val="22"/>
          <w:szCs w:val="22"/>
          <w:lang w:val="sr-Latn-ME"/>
        </w:rPr>
        <w:t>o</w:t>
      </w:r>
      <w:r w:rsidR="005805C3" w:rsidRPr="0085657D">
        <w:rPr>
          <w:rFonts w:ascii="Arial" w:hAnsi="Arial" w:cs="Arial"/>
          <w:sz w:val="22"/>
          <w:szCs w:val="22"/>
          <w:lang w:val="sr-Latn-ME"/>
        </w:rPr>
        <w:t xml:space="preserve"> na imovinsko</w:t>
      </w:r>
      <w:r w:rsidR="00CF0943">
        <w:rPr>
          <w:rFonts w:ascii="Arial" w:hAnsi="Arial" w:cs="Arial"/>
          <w:sz w:val="22"/>
          <w:szCs w:val="22"/>
          <w:lang w:val="sr-Latn-ME"/>
        </w:rPr>
        <w:t>-</w:t>
      </w:r>
      <w:r w:rsidR="005805C3" w:rsidRPr="0085657D">
        <w:rPr>
          <w:rFonts w:ascii="Arial" w:hAnsi="Arial" w:cs="Arial"/>
          <w:sz w:val="22"/>
          <w:szCs w:val="22"/>
          <w:lang w:val="sr-Latn-ME"/>
        </w:rPr>
        <w:t xml:space="preserve">pravni zahtjev, troškove postupka i </w:t>
      </w:r>
      <w:r w:rsidR="00571877" w:rsidRPr="0085657D">
        <w:rPr>
          <w:rFonts w:ascii="Arial" w:hAnsi="Arial" w:cs="Arial"/>
          <w:sz w:val="22"/>
          <w:szCs w:val="22"/>
          <w:lang w:val="sr-Latn-ME"/>
        </w:rPr>
        <w:t xml:space="preserve">dostupne </w:t>
      </w:r>
      <w:r w:rsidR="005805C3" w:rsidRPr="0085657D">
        <w:rPr>
          <w:rFonts w:ascii="Arial" w:hAnsi="Arial" w:cs="Arial"/>
          <w:sz w:val="22"/>
          <w:szCs w:val="22"/>
          <w:lang w:val="sr-Latn-ME"/>
        </w:rPr>
        <w:t xml:space="preserve">mehanizme restorativne pravde. </w:t>
      </w:r>
    </w:p>
    <w:p w14:paraId="43A917E8" w14:textId="22D1307C" w:rsidR="00FB6871" w:rsidRPr="0085657D" w:rsidRDefault="00571877" w:rsidP="00FB6871">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Pravo na informisanje žrtava u Crnoj Gori nije se do sada ostvarivalo na način predviđen Direktivom, djelimično zbog nedostataka normativnog okvira, a u većoj mjeri zbog manjka standardizacije postupanja u tom pogledu</w:t>
      </w:r>
      <w:r w:rsidR="00387C5B" w:rsidRPr="0085657D">
        <w:rPr>
          <w:rFonts w:ascii="Arial" w:hAnsi="Arial" w:cs="Arial"/>
          <w:sz w:val="22"/>
          <w:szCs w:val="22"/>
          <w:lang w:val="sr-Latn-ME"/>
        </w:rPr>
        <w:t>. Aktivnosti usmjerene na informisanje žrtava o njihovim pravima uglavnom su se odnosile na pojedinačne kategorije žrtava, i/ili na pojedinačna prava koja im pripadaju. Vrhovni sud Crne Gore je u saradnji sa NVO Centar za ženska prava izradio in</w:t>
      </w:r>
      <w:r w:rsidR="00A07D7A">
        <w:rPr>
          <w:rFonts w:ascii="Arial" w:hAnsi="Arial" w:cs="Arial"/>
          <w:sz w:val="22"/>
          <w:szCs w:val="22"/>
          <w:lang w:val="sr-Latn-ME"/>
        </w:rPr>
        <w:t>f</w:t>
      </w:r>
      <w:r w:rsidR="00387C5B" w:rsidRPr="0085657D">
        <w:rPr>
          <w:rFonts w:ascii="Arial" w:hAnsi="Arial" w:cs="Arial"/>
          <w:sz w:val="22"/>
          <w:szCs w:val="22"/>
          <w:lang w:val="sr-Latn-ME"/>
        </w:rPr>
        <w:t xml:space="preserve">ormator za svjedoke/oštećene žrtve nasilja u porodici i trgovine ljudima </w:t>
      </w:r>
      <w:r w:rsidR="006F78A4" w:rsidRPr="0085657D">
        <w:rPr>
          <w:rFonts w:ascii="Arial" w:hAnsi="Arial" w:cs="Arial"/>
          <w:sz w:val="22"/>
          <w:szCs w:val="22"/>
          <w:lang w:val="sr-Latn-ME"/>
        </w:rPr>
        <w:t xml:space="preserve">sa ciljem da </w:t>
      </w:r>
      <w:r w:rsidR="006F78A4" w:rsidRPr="0085657D">
        <w:rPr>
          <w:rFonts w:ascii="Arial" w:hAnsi="Arial" w:cs="Arial"/>
          <w:sz w:val="22"/>
          <w:szCs w:val="22"/>
          <w:lang w:val="en-GB"/>
        </w:rPr>
        <w:t>pru</w:t>
      </w:r>
      <w:r w:rsidR="006F78A4" w:rsidRPr="0085657D">
        <w:rPr>
          <w:rFonts w:ascii="Arial" w:hAnsi="Arial" w:cs="Arial"/>
          <w:sz w:val="22"/>
          <w:szCs w:val="22"/>
          <w:lang w:val="sr-Latn-ME"/>
        </w:rPr>
        <w:t>ž</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jasne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razumljive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informacije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o</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pravima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obavezama</w:t>
      </w:r>
      <w:r w:rsidR="006F78A4" w:rsidRPr="0085657D">
        <w:rPr>
          <w:rFonts w:ascii="Arial" w:hAnsi="Arial" w:cs="Arial"/>
          <w:sz w:val="22"/>
          <w:szCs w:val="22"/>
          <w:lang w:val="sr-Latn-ME"/>
        </w:rPr>
        <w:t xml:space="preserve"> ž</w:t>
      </w:r>
      <w:r w:rsidR="006F78A4" w:rsidRPr="0085657D">
        <w:rPr>
          <w:rFonts w:ascii="Arial" w:hAnsi="Arial" w:cs="Arial"/>
          <w:sz w:val="22"/>
          <w:szCs w:val="22"/>
          <w:lang w:val="en-GB"/>
        </w:rPr>
        <w:t>rtava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koje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se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pojavljuju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kao</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svjedoci</w:t>
      </w:r>
      <w:r w:rsidR="006F78A4" w:rsidRPr="0085657D">
        <w:rPr>
          <w:rFonts w:ascii="Arial" w:hAnsi="Arial" w:cs="Arial"/>
          <w:sz w:val="22"/>
          <w:szCs w:val="22"/>
          <w:lang w:val="sr-Latn-ME"/>
        </w:rPr>
        <w:t>/</w:t>
      </w:r>
      <w:r w:rsidR="006F78A4" w:rsidRPr="0085657D">
        <w:rPr>
          <w:rFonts w:ascii="Arial" w:hAnsi="Arial" w:cs="Arial"/>
          <w:sz w:val="22"/>
          <w:szCs w:val="22"/>
          <w:lang w:val="en-GB"/>
        </w:rPr>
        <w:t>svjedokinje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sudskom</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postupku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predmetima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porodi</w:t>
      </w:r>
      <w:r w:rsidR="006F78A4" w:rsidRPr="0085657D">
        <w:rPr>
          <w:rFonts w:ascii="Arial" w:hAnsi="Arial" w:cs="Arial"/>
          <w:sz w:val="22"/>
          <w:szCs w:val="22"/>
          <w:lang w:val="sr-Latn-ME"/>
        </w:rPr>
        <w:t>č</w:t>
      </w:r>
      <w:r w:rsidR="006F78A4" w:rsidRPr="0085657D">
        <w:rPr>
          <w:rFonts w:ascii="Arial" w:hAnsi="Arial" w:cs="Arial"/>
          <w:sz w:val="22"/>
          <w:szCs w:val="22"/>
          <w:lang w:val="en-GB"/>
        </w:rPr>
        <w:t>nog</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nasilja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trgovine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ljudima</w:t>
      </w:r>
      <w:r w:rsidR="006F78A4" w:rsidRPr="0085657D">
        <w:rPr>
          <w:rFonts w:ascii="Arial" w:hAnsi="Arial" w:cs="Arial"/>
          <w:sz w:val="22"/>
          <w:szCs w:val="22"/>
          <w:lang w:val="sr-Latn-ME"/>
        </w:rPr>
        <w:t>. Posebne kampanje i informativni materijali su se distribuirali u cilju informisanja žrtava nasilja u porodici i trgovine ljudima o njihovom pravu na besplatnu pravnu pomoć.</w:t>
      </w:r>
      <w:r w:rsidR="00FB6871" w:rsidRPr="0085657D">
        <w:rPr>
          <w:rFonts w:ascii="Arial" w:hAnsi="Arial" w:cs="Arial"/>
          <w:sz w:val="22"/>
          <w:szCs w:val="22"/>
          <w:lang w:val="sr-Latn-ME"/>
        </w:rPr>
        <w:t xml:space="preserve"> Međutim, zabrinjava činjenica da su ograničeno dostupne i elektronske brošure sa informacijama o pravima oštećenih u krivičnom postupku i važećim protokolima postupanja sa posebno osjetljivim kategorijama žrtava.</w:t>
      </w:r>
      <w:r w:rsidR="00FB6871" w:rsidRPr="0085657D">
        <w:rPr>
          <w:rFonts w:ascii="Arial" w:hAnsi="Arial" w:cs="Arial"/>
          <w:sz w:val="22"/>
          <w:szCs w:val="22"/>
          <w:vertAlign w:val="superscript"/>
          <w:lang w:val="sr-Latn-ME"/>
        </w:rPr>
        <w:footnoteReference w:id="43"/>
      </w:r>
    </w:p>
    <w:p w14:paraId="4907045C" w14:textId="77777777" w:rsidR="006F78A4" w:rsidRDefault="006F78A4" w:rsidP="00571877">
      <w:pPr>
        <w:pStyle w:val="Default"/>
        <w:spacing w:after="240" w:line="276" w:lineRule="auto"/>
        <w:jc w:val="both"/>
        <w:rPr>
          <w:rFonts w:ascii="Arial" w:hAnsi="Arial" w:cs="Arial"/>
          <w:sz w:val="22"/>
          <w:szCs w:val="22"/>
          <w:lang w:val="sr-Latn-ME"/>
        </w:rPr>
      </w:pPr>
      <w:r w:rsidRPr="0085657D">
        <w:rPr>
          <w:rFonts w:ascii="Arial" w:hAnsi="Arial" w:cs="Arial"/>
          <w:sz w:val="22"/>
          <w:szCs w:val="22"/>
        </w:rPr>
        <w:t>Iako</w:t>
      </w:r>
      <w:r w:rsidRPr="0085657D">
        <w:rPr>
          <w:rFonts w:ascii="Arial" w:hAnsi="Arial" w:cs="Arial"/>
          <w:sz w:val="22"/>
          <w:szCs w:val="22"/>
          <w:lang w:val="sr-Latn-ME"/>
        </w:rPr>
        <w:t xml:space="preserve"> </w:t>
      </w:r>
      <w:r w:rsidRPr="0085657D">
        <w:rPr>
          <w:rFonts w:ascii="Arial" w:hAnsi="Arial" w:cs="Arial"/>
          <w:sz w:val="22"/>
          <w:szCs w:val="22"/>
        </w:rPr>
        <w:t>su</w:t>
      </w:r>
      <w:r w:rsidRPr="0085657D">
        <w:rPr>
          <w:rFonts w:ascii="Arial" w:hAnsi="Arial" w:cs="Arial"/>
          <w:sz w:val="22"/>
          <w:szCs w:val="22"/>
          <w:lang w:val="sr-Latn-ME"/>
        </w:rPr>
        <w:t xml:space="preserve"> </w:t>
      </w:r>
      <w:r w:rsidRPr="0085657D">
        <w:rPr>
          <w:rFonts w:ascii="Arial" w:hAnsi="Arial" w:cs="Arial"/>
          <w:sz w:val="22"/>
          <w:szCs w:val="22"/>
        </w:rPr>
        <w:t>ove</w:t>
      </w:r>
      <w:r w:rsidRPr="0085657D">
        <w:rPr>
          <w:rFonts w:ascii="Arial" w:hAnsi="Arial" w:cs="Arial"/>
          <w:sz w:val="22"/>
          <w:szCs w:val="22"/>
          <w:lang w:val="sr-Latn-ME"/>
        </w:rPr>
        <w:t xml:space="preserve"> </w:t>
      </w:r>
      <w:r w:rsidRPr="0085657D">
        <w:rPr>
          <w:rFonts w:ascii="Arial" w:hAnsi="Arial" w:cs="Arial"/>
          <w:sz w:val="22"/>
          <w:szCs w:val="22"/>
        </w:rPr>
        <w:t>aktivnosti</w:t>
      </w:r>
      <w:r w:rsidRPr="0085657D">
        <w:rPr>
          <w:rFonts w:ascii="Arial" w:hAnsi="Arial" w:cs="Arial"/>
          <w:sz w:val="22"/>
          <w:szCs w:val="22"/>
          <w:lang w:val="sr-Latn-ME"/>
        </w:rPr>
        <w:t xml:space="preserve"> </w:t>
      </w:r>
      <w:r w:rsidRPr="0085657D">
        <w:rPr>
          <w:rFonts w:ascii="Arial" w:hAnsi="Arial" w:cs="Arial"/>
          <w:sz w:val="22"/>
          <w:szCs w:val="22"/>
        </w:rPr>
        <w:t>dale</w:t>
      </w:r>
      <w:r w:rsidRPr="0085657D">
        <w:rPr>
          <w:rFonts w:ascii="Arial" w:hAnsi="Arial" w:cs="Arial"/>
          <w:sz w:val="22"/>
          <w:szCs w:val="22"/>
          <w:lang w:val="sr-Latn-ME"/>
        </w:rPr>
        <w:t xml:space="preserve"> </w:t>
      </w:r>
      <w:r w:rsidRPr="0085657D">
        <w:rPr>
          <w:rFonts w:ascii="Arial" w:hAnsi="Arial" w:cs="Arial"/>
          <w:sz w:val="22"/>
          <w:szCs w:val="22"/>
        </w:rPr>
        <w:t>odre</w:t>
      </w:r>
      <w:r w:rsidRPr="0085657D">
        <w:rPr>
          <w:rFonts w:ascii="Arial" w:hAnsi="Arial" w:cs="Arial"/>
          <w:sz w:val="22"/>
          <w:szCs w:val="22"/>
          <w:lang w:val="sr-Latn-ME"/>
        </w:rPr>
        <w:t>đ</w:t>
      </w:r>
      <w:r w:rsidRPr="0085657D">
        <w:rPr>
          <w:rFonts w:ascii="Arial" w:hAnsi="Arial" w:cs="Arial"/>
          <w:sz w:val="22"/>
          <w:szCs w:val="22"/>
        </w:rPr>
        <w:t>ene</w:t>
      </w:r>
      <w:r w:rsidRPr="0085657D">
        <w:rPr>
          <w:rFonts w:ascii="Arial" w:hAnsi="Arial" w:cs="Arial"/>
          <w:sz w:val="22"/>
          <w:szCs w:val="22"/>
          <w:lang w:val="sr-Latn-ME"/>
        </w:rPr>
        <w:t xml:space="preserve"> </w:t>
      </w:r>
      <w:r w:rsidRPr="0085657D">
        <w:rPr>
          <w:rFonts w:ascii="Arial" w:hAnsi="Arial" w:cs="Arial"/>
          <w:sz w:val="22"/>
          <w:szCs w:val="22"/>
        </w:rPr>
        <w:t>rezultate</w:t>
      </w:r>
      <w:r w:rsidRPr="0085657D">
        <w:rPr>
          <w:rFonts w:ascii="Arial" w:hAnsi="Arial" w:cs="Arial"/>
          <w:sz w:val="22"/>
          <w:szCs w:val="22"/>
          <w:lang w:val="sr-Latn-ME"/>
        </w:rPr>
        <w:t xml:space="preserve">, </w:t>
      </w:r>
      <w:r w:rsidRPr="0085657D">
        <w:rPr>
          <w:rFonts w:ascii="Arial" w:hAnsi="Arial" w:cs="Arial"/>
          <w:sz w:val="22"/>
          <w:szCs w:val="22"/>
        </w:rPr>
        <w:t>neophodno</w:t>
      </w:r>
      <w:r w:rsidRPr="0085657D">
        <w:rPr>
          <w:rFonts w:ascii="Arial" w:hAnsi="Arial" w:cs="Arial"/>
          <w:sz w:val="22"/>
          <w:szCs w:val="22"/>
          <w:lang w:val="sr-Latn-ME"/>
        </w:rPr>
        <w:t xml:space="preserve"> </w:t>
      </w:r>
      <w:r w:rsidRPr="0085657D">
        <w:rPr>
          <w:rFonts w:ascii="Arial" w:hAnsi="Arial" w:cs="Arial"/>
          <w:sz w:val="22"/>
          <w:szCs w:val="22"/>
        </w:rPr>
        <w:t>je</w:t>
      </w:r>
      <w:r w:rsidRPr="0085657D">
        <w:rPr>
          <w:rFonts w:ascii="Arial" w:hAnsi="Arial" w:cs="Arial"/>
          <w:sz w:val="22"/>
          <w:szCs w:val="22"/>
          <w:lang w:val="sr-Latn-ME"/>
        </w:rPr>
        <w:t xml:space="preserve"> </w:t>
      </w:r>
      <w:r w:rsidRPr="0085657D">
        <w:rPr>
          <w:rFonts w:ascii="Arial" w:hAnsi="Arial" w:cs="Arial"/>
          <w:sz w:val="22"/>
          <w:szCs w:val="22"/>
        </w:rPr>
        <w:t>uspostaviti</w:t>
      </w:r>
      <w:r w:rsidRPr="0085657D">
        <w:rPr>
          <w:rFonts w:ascii="Arial" w:hAnsi="Arial" w:cs="Arial"/>
          <w:sz w:val="22"/>
          <w:szCs w:val="22"/>
          <w:lang w:val="sr-Latn-ME"/>
        </w:rPr>
        <w:t xml:space="preserve"> </w:t>
      </w:r>
      <w:r w:rsidRPr="0085657D">
        <w:rPr>
          <w:rFonts w:ascii="Arial" w:hAnsi="Arial" w:cs="Arial"/>
          <w:sz w:val="22"/>
          <w:szCs w:val="22"/>
        </w:rPr>
        <w:t>uskla</w:t>
      </w:r>
      <w:r w:rsidRPr="0085657D">
        <w:rPr>
          <w:rFonts w:ascii="Arial" w:hAnsi="Arial" w:cs="Arial"/>
          <w:sz w:val="22"/>
          <w:szCs w:val="22"/>
          <w:lang w:val="sr-Latn-ME"/>
        </w:rPr>
        <w:t>đ</w:t>
      </w:r>
      <w:r w:rsidRPr="0085657D">
        <w:rPr>
          <w:rFonts w:ascii="Arial" w:hAnsi="Arial" w:cs="Arial"/>
          <w:sz w:val="22"/>
          <w:szCs w:val="22"/>
        </w:rPr>
        <w:t>en</w:t>
      </w:r>
      <w:r w:rsidRPr="0085657D">
        <w:rPr>
          <w:rFonts w:ascii="Arial" w:hAnsi="Arial" w:cs="Arial"/>
          <w:sz w:val="22"/>
          <w:szCs w:val="22"/>
          <w:lang w:val="sr-Latn-ME"/>
        </w:rPr>
        <w:t xml:space="preserve"> </w:t>
      </w:r>
      <w:r w:rsidRPr="0085657D">
        <w:rPr>
          <w:rFonts w:ascii="Arial" w:hAnsi="Arial" w:cs="Arial"/>
          <w:sz w:val="22"/>
          <w:szCs w:val="22"/>
        </w:rPr>
        <w:t>i</w:t>
      </w:r>
      <w:r w:rsidRPr="0085657D">
        <w:rPr>
          <w:rFonts w:ascii="Arial" w:hAnsi="Arial" w:cs="Arial"/>
          <w:sz w:val="22"/>
          <w:szCs w:val="22"/>
          <w:lang w:val="sr-Latn-ME"/>
        </w:rPr>
        <w:t xml:space="preserve"> </w:t>
      </w:r>
      <w:r w:rsidRPr="0085657D">
        <w:rPr>
          <w:rFonts w:ascii="Arial" w:hAnsi="Arial" w:cs="Arial"/>
          <w:sz w:val="22"/>
          <w:szCs w:val="22"/>
        </w:rPr>
        <w:t>sistemati</w:t>
      </w:r>
      <w:r w:rsidRPr="0085657D">
        <w:rPr>
          <w:rFonts w:ascii="Arial" w:hAnsi="Arial" w:cs="Arial"/>
          <w:sz w:val="22"/>
          <w:szCs w:val="22"/>
          <w:lang w:val="sr-Latn-ME"/>
        </w:rPr>
        <w:t>č</w:t>
      </w:r>
      <w:r w:rsidRPr="0085657D">
        <w:rPr>
          <w:rFonts w:ascii="Arial" w:hAnsi="Arial" w:cs="Arial"/>
          <w:sz w:val="22"/>
          <w:szCs w:val="22"/>
        </w:rPr>
        <w:t>an</w:t>
      </w:r>
      <w:r w:rsidRPr="0085657D">
        <w:rPr>
          <w:rFonts w:ascii="Arial" w:hAnsi="Arial" w:cs="Arial"/>
          <w:sz w:val="22"/>
          <w:szCs w:val="22"/>
          <w:lang w:val="sr-Latn-ME"/>
        </w:rPr>
        <w:t xml:space="preserve"> </w:t>
      </w:r>
      <w:r w:rsidRPr="0085657D">
        <w:rPr>
          <w:rFonts w:ascii="Arial" w:hAnsi="Arial" w:cs="Arial"/>
          <w:sz w:val="22"/>
          <w:szCs w:val="22"/>
        </w:rPr>
        <w:t>pristup</w:t>
      </w:r>
      <w:r w:rsidRPr="0085657D">
        <w:rPr>
          <w:rFonts w:ascii="Arial" w:hAnsi="Arial" w:cs="Arial"/>
          <w:sz w:val="22"/>
          <w:szCs w:val="22"/>
          <w:lang w:val="sr-Latn-ME"/>
        </w:rPr>
        <w:t xml:space="preserve"> </w:t>
      </w:r>
      <w:r w:rsidRPr="0085657D">
        <w:rPr>
          <w:rFonts w:ascii="Arial" w:hAnsi="Arial" w:cs="Arial"/>
          <w:sz w:val="22"/>
          <w:szCs w:val="22"/>
        </w:rPr>
        <w:t>informisanju</w:t>
      </w:r>
      <w:r w:rsidRPr="0085657D">
        <w:rPr>
          <w:rFonts w:ascii="Arial" w:hAnsi="Arial" w:cs="Arial"/>
          <w:sz w:val="22"/>
          <w:szCs w:val="22"/>
          <w:lang w:val="sr-Latn-ME"/>
        </w:rPr>
        <w:t xml:space="preserve"> ž</w:t>
      </w:r>
      <w:r w:rsidRPr="0085657D">
        <w:rPr>
          <w:rFonts w:ascii="Arial" w:hAnsi="Arial" w:cs="Arial"/>
          <w:sz w:val="22"/>
          <w:szCs w:val="22"/>
        </w:rPr>
        <w:t>rtava</w:t>
      </w:r>
      <w:r w:rsidRPr="0085657D">
        <w:rPr>
          <w:rFonts w:ascii="Arial" w:hAnsi="Arial" w:cs="Arial"/>
          <w:sz w:val="22"/>
          <w:szCs w:val="22"/>
          <w:lang w:val="sr-Latn-ME"/>
        </w:rPr>
        <w:t xml:space="preserve"> </w:t>
      </w:r>
      <w:r w:rsidRPr="0085657D">
        <w:rPr>
          <w:rFonts w:ascii="Arial" w:hAnsi="Arial" w:cs="Arial"/>
          <w:sz w:val="22"/>
          <w:szCs w:val="22"/>
        </w:rPr>
        <w:t>o</w:t>
      </w:r>
      <w:r w:rsidRPr="0085657D">
        <w:rPr>
          <w:rFonts w:ascii="Arial" w:hAnsi="Arial" w:cs="Arial"/>
          <w:sz w:val="22"/>
          <w:szCs w:val="22"/>
          <w:lang w:val="sr-Latn-ME"/>
        </w:rPr>
        <w:t xml:space="preserve"> </w:t>
      </w:r>
      <w:r w:rsidRPr="0085657D">
        <w:rPr>
          <w:rFonts w:ascii="Arial" w:hAnsi="Arial" w:cs="Arial"/>
          <w:sz w:val="22"/>
          <w:szCs w:val="22"/>
        </w:rPr>
        <w:t>njihovim</w:t>
      </w:r>
      <w:r w:rsidRPr="0085657D">
        <w:rPr>
          <w:rFonts w:ascii="Arial" w:hAnsi="Arial" w:cs="Arial"/>
          <w:sz w:val="22"/>
          <w:szCs w:val="22"/>
          <w:lang w:val="sr-Latn-ME"/>
        </w:rPr>
        <w:t xml:space="preserve"> </w:t>
      </w:r>
      <w:r w:rsidRPr="0085657D">
        <w:rPr>
          <w:rFonts w:ascii="Arial" w:hAnsi="Arial" w:cs="Arial"/>
          <w:sz w:val="22"/>
          <w:szCs w:val="22"/>
        </w:rPr>
        <w:t>pravima</w:t>
      </w:r>
      <w:r w:rsidRPr="0085657D">
        <w:rPr>
          <w:rFonts w:ascii="Arial" w:hAnsi="Arial" w:cs="Arial"/>
          <w:sz w:val="22"/>
          <w:szCs w:val="22"/>
          <w:lang w:val="sr-Latn-ME"/>
        </w:rPr>
        <w:t xml:space="preserve">. </w:t>
      </w:r>
      <w:r w:rsidRPr="0085657D">
        <w:rPr>
          <w:rFonts w:ascii="Arial" w:hAnsi="Arial" w:cs="Arial"/>
          <w:sz w:val="22"/>
          <w:szCs w:val="22"/>
        </w:rPr>
        <w:t>To</w:t>
      </w:r>
      <w:r w:rsidRPr="0085657D">
        <w:rPr>
          <w:rFonts w:ascii="Arial" w:hAnsi="Arial" w:cs="Arial"/>
          <w:sz w:val="22"/>
          <w:szCs w:val="22"/>
          <w:lang w:val="sr-Latn-ME"/>
        </w:rPr>
        <w:t xml:space="preserve"> se, </w:t>
      </w:r>
      <w:r w:rsidRPr="0085657D">
        <w:rPr>
          <w:rFonts w:ascii="Arial" w:hAnsi="Arial" w:cs="Arial"/>
          <w:sz w:val="22"/>
          <w:szCs w:val="22"/>
        </w:rPr>
        <w:t>izme</w:t>
      </w:r>
      <w:r w:rsidRPr="0085657D">
        <w:rPr>
          <w:rFonts w:ascii="Arial" w:hAnsi="Arial" w:cs="Arial"/>
          <w:sz w:val="22"/>
          <w:szCs w:val="22"/>
          <w:lang w:val="sr-Latn-ME"/>
        </w:rPr>
        <w:t>đ</w:t>
      </w:r>
      <w:r w:rsidRPr="0085657D">
        <w:rPr>
          <w:rFonts w:ascii="Arial" w:hAnsi="Arial" w:cs="Arial"/>
          <w:sz w:val="22"/>
          <w:szCs w:val="22"/>
        </w:rPr>
        <w:t>u</w:t>
      </w:r>
      <w:r w:rsidRPr="0085657D">
        <w:rPr>
          <w:rFonts w:ascii="Arial" w:hAnsi="Arial" w:cs="Arial"/>
          <w:sz w:val="22"/>
          <w:szCs w:val="22"/>
          <w:lang w:val="sr-Latn-ME"/>
        </w:rPr>
        <w:t xml:space="preserve"> </w:t>
      </w:r>
      <w:r w:rsidRPr="0085657D">
        <w:rPr>
          <w:rFonts w:ascii="Arial" w:hAnsi="Arial" w:cs="Arial"/>
          <w:sz w:val="22"/>
          <w:szCs w:val="22"/>
        </w:rPr>
        <w:t>ostalog</w:t>
      </w:r>
      <w:r w:rsidRPr="0085657D">
        <w:rPr>
          <w:rFonts w:ascii="Arial" w:hAnsi="Arial" w:cs="Arial"/>
          <w:sz w:val="22"/>
          <w:szCs w:val="22"/>
          <w:lang w:val="sr-Latn-ME"/>
        </w:rPr>
        <w:t xml:space="preserve">, može postići </w:t>
      </w:r>
      <w:r w:rsidRPr="0085657D">
        <w:rPr>
          <w:rFonts w:ascii="Arial" w:hAnsi="Arial" w:cs="Arial"/>
          <w:sz w:val="22"/>
          <w:szCs w:val="22"/>
        </w:rPr>
        <w:t>kontinuiranom</w:t>
      </w:r>
      <w:r w:rsidRPr="0085657D">
        <w:rPr>
          <w:rFonts w:ascii="Arial" w:hAnsi="Arial" w:cs="Arial"/>
          <w:sz w:val="22"/>
          <w:szCs w:val="22"/>
          <w:lang w:val="sr-Latn-ME"/>
        </w:rPr>
        <w:t xml:space="preserve"> </w:t>
      </w:r>
      <w:r w:rsidRPr="0085657D">
        <w:rPr>
          <w:rFonts w:ascii="Arial" w:hAnsi="Arial" w:cs="Arial"/>
          <w:sz w:val="22"/>
          <w:szCs w:val="22"/>
        </w:rPr>
        <w:t>obukom</w:t>
      </w:r>
      <w:r w:rsidRPr="0085657D">
        <w:rPr>
          <w:rFonts w:ascii="Arial" w:hAnsi="Arial" w:cs="Arial"/>
          <w:sz w:val="22"/>
          <w:szCs w:val="22"/>
          <w:lang w:val="sr-Latn-ME"/>
        </w:rPr>
        <w:t xml:space="preserve"> </w:t>
      </w:r>
      <w:r w:rsidRPr="0085657D">
        <w:rPr>
          <w:rFonts w:ascii="Arial" w:hAnsi="Arial" w:cs="Arial"/>
          <w:sz w:val="22"/>
          <w:szCs w:val="22"/>
        </w:rPr>
        <w:t>osoba</w:t>
      </w:r>
      <w:r w:rsidRPr="0085657D">
        <w:rPr>
          <w:rFonts w:ascii="Arial" w:hAnsi="Arial" w:cs="Arial"/>
          <w:sz w:val="22"/>
          <w:szCs w:val="22"/>
          <w:lang w:val="sr-Latn-ME"/>
        </w:rPr>
        <w:t xml:space="preserve"> </w:t>
      </w:r>
      <w:r w:rsidRPr="0085657D">
        <w:rPr>
          <w:rFonts w:ascii="Arial" w:hAnsi="Arial" w:cs="Arial"/>
          <w:sz w:val="22"/>
          <w:szCs w:val="22"/>
        </w:rPr>
        <w:t>koje</w:t>
      </w:r>
      <w:r w:rsidRPr="0085657D">
        <w:rPr>
          <w:rFonts w:ascii="Arial" w:hAnsi="Arial" w:cs="Arial"/>
          <w:sz w:val="22"/>
          <w:szCs w:val="22"/>
          <w:lang w:val="sr-Latn-ME"/>
        </w:rPr>
        <w:t xml:space="preserve"> </w:t>
      </w:r>
      <w:r w:rsidRPr="0085657D">
        <w:rPr>
          <w:rFonts w:ascii="Arial" w:hAnsi="Arial" w:cs="Arial"/>
          <w:sz w:val="22"/>
          <w:szCs w:val="22"/>
        </w:rPr>
        <w:t>dolaze</w:t>
      </w:r>
      <w:r w:rsidRPr="0085657D">
        <w:rPr>
          <w:rFonts w:ascii="Arial" w:hAnsi="Arial" w:cs="Arial"/>
          <w:sz w:val="22"/>
          <w:szCs w:val="22"/>
          <w:lang w:val="sr-Latn-ME"/>
        </w:rPr>
        <w:t xml:space="preserve"> </w:t>
      </w:r>
      <w:r w:rsidRPr="0085657D">
        <w:rPr>
          <w:rFonts w:ascii="Arial" w:hAnsi="Arial" w:cs="Arial"/>
          <w:sz w:val="22"/>
          <w:szCs w:val="22"/>
        </w:rPr>
        <w:t>u</w:t>
      </w:r>
      <w:r w:rsidRPr="0085657D">
        <w:rPr>
          <w:rFonts w:ascii="Arial" w:hAnsi="Arial" w:cs="Arial"/>
          <w:sz w:val="22"/>
          <w:szCs w:val="22"/>
          <w:lang w:val="sr-Latn-ME"/>
        </w:rPr>
        <w:t xml:space="preserve"> </w:t>
      </w:r>
      <w:r w:rsidRPr="0085657D">
        <w:rPr>
          <w:rFonts w:ascii="Arial" w:hAnsi="Arial" w:cs="Arial"/>
          <w:sz w:val="22"/>
          <w:szCs w:val="22"/>
        </w:rPr>
        <w:t>kontakt</w:t>
      </w:r>
      <w:r w:rsidRPr="0085657D">
        <w:rPr>
          <w:rFonts w:ascii="Arial" w:hAnsi="Arial" w:cs="Arial"/>
          <w:sz w:val="22"/>
          <w:szCs w:val="22"/>
          <w:lang w:val="sr-Latn-ME"/>
        </w:rPr>
        <w:t xml:space="preserve"> </w:t>
      </w:r>
      <w:r w:rsidRPr="0085657D">
        <w:rPr>
          <w:rFonts w:ascii="Arial" w:hAnsi="Arial" w:cs="Arial"/>
          <w:sz w:val="22"/>
          <w:szCs w:val="22"/>
        </w:rPr>
        <w:t>sa</w:t>
      </w:r>
      <w:r w:rsidRPr="0085657D">
        <w:rPr>
          <w:rFonts w:ascii="Arial" w:hAnsi="Arial" w:cs="Arial"/>
          <w:sz w:val="22"/>
          <w:szCs w:val="22"/>
          <w:lang w:val="sr-Latn-ME"/>
        </w:rPr>
        <w:t xml:space="preserve"> ž</w:t>
      </w:r>
      <w:r w:rsidRPr="0085657D">
        <w:rPr>
          <w:rFonts w:ascii="Arial" w:hAnsi="Arial" w:cs="Arial"/>
          <w:sz w:val="22"/>
          <w:szCs w:val="22"/>
        </w:rPr>
        <w:t>rtvama</w:t>
      </w:r>
      <w:r w:rsidRPr="0085657D">
        <w:rPr>
          <w:rFonts w:ascii="Arial" w:hAnsi="Arial" w:cs="Arial"/>
          <w:sz w:val="22"/>
          <w:szCs w:val="22"/>
          <w:lang w:val="sr-Latn-ME"/>
        </w:rPr>
        <w:t xml:space="preserve">, </w:t>
      </w:r>
      <w:r w:rsidRPr="0085657D">
        <w:rPr>
          <w:rFonts w:ascii="Arial" w:hAnsi="Arial" w:cs="Arial"/>
          <w:sz w:val="22"/>
          <w:szCs w:val="22"/>
        </w:rPr>
        <w:t>izradom</w:t>
      </w:r>
      <w:r w:rsidRPr="0085657D">
        <w:rPr>
          <w:rFonts w:ascii="Arial" w:hAnsi="Arial" w:cs="Arial"/>
          <w:sz w:val="22"/>
          <w:szCs w:val="22"/>
          <w:lang w:val="sr-Latn-ME"/>
        </w:rPr>
        <w:t xml:space="preserve"> </w:t>
      </w:r>
      <w:r w:rsidRPr="0085657D">
        <w:rPr>
          <w:rFonts w:ascii="Arial" w:hAnsi="Arial" w:cs="Arial"/>
          <w:sz w:val="22"/>
          <w:szCs w:val="22"/>
        </w:rPr>
        <w:t>i</w:t>
      </w:r>
      <w:r w:rsidRPr="0085657D">
        <w:rPr>
          <w:rFonts w:ascii="Arial" w:hAnsi="Arial" w:cs="Arial"/>
          <w:sz w:val="22"/>
          <w:szCs w:val="22"/>
          <w:lang w:val="sr-Latn-ME"/>
        </w:rPr>
        <w:t xml:space="preserve"> </w:t>
      </w:r>
      <w:r w:rsidRPr="0085657D">
        <w:rPr>
          <w:rFonts w:ascii="Arial" w:hAnsi="Arial" w:cs="Arial"/>
          <w:sz w:val="22"/>
          <w:szCs w:val="22"/>
        </w:rPr>
        <w:t>distribucijom</w:t>
      </w:r>
      <w:r w:rsidRPr="0085657D">
        <w:rPr>
          <w:rFonts w:ascii="Arial" w:hAnsi="Arial" w:cs="Arial"/>
          <w:sz w:val="22"/>
          <w:szCs w:val="22"/>
          <w:lang w:val="sr-Latn-ME"/>
        </w:rPr>
        <w:t xml:space="preserve"> </w:t>
      </w:r>
      <w:r w:rsidRPr="0085657D">
        <w:rPr>
          <w:rFonts w:ascii="Arial" w:hAnsi="Arial" w:cs="Arial"/>
          <w:sz w:val="22"/>
          <w:szCs w:val="22"/>
        </w:rPr>
        <w:t>informativnih</w:t>
      </w:r>
      <w:r w:rsidRPr="0085657D">
        <w:rPr>
          <w:rFonts w:ascii="Arial" w:hAnsi="Arial" w:cs="Arial"/>
          <w:sz w:val="22"/>
          <w:szCs w:val="22"/>
          <w:lang w:val="sr-Latn-ME"/>
        </w:rPr>
        <w:t xml:space="preserve"> </w:t>
      </w:r>
      <w:r w:rsidRPr="0085657D">
        <w:rPr>
          <w:rFonts w:ascii="Arial" w:hAnsi="Arial" w:cs="Arial"/>
          <w:sz w:val="22"/>
          <w:szCs w:val="22"/>
        </w:rPr>
        <w:t>bro</w:t>
      </w:r>
      <w:r w:rsidRPr="0085657D">
        <w:rPr>
          <w:rFonts w:ascii="Arial" w:hAnsi="Arial" w:cs="Arial"/>
          <w:sz w:val="22"/>
          <w:szCs w:val="22"/>
          <w:lang w:val="sr-Latn-ME"/>
        </w:rPr>
        <w:t>š</w:t>
      </w:r>
      <w:r w:rsidRPr="0085657D">
        <w:rPr>
          <w:rFonts w:ascii="Arial" w:hAnsi="Arial" w:cs="Arial"/>
          <w:sz w:val="22"/>
          <w:szCs w:val="22"/>
        </w:rPr>
        <w:t>ura</w:t>
      </w:r>
      <w:r w:rsidRPr="0085657D">
        <w:rPr>
          <w:rFonts w:ascii="Arial" w:hAnsi="Arial" w:cs="Arial"/>
          <w:sz w:val="22"/>
          <w:szCs w:val="22"/>
          <w:lang w:val="sr-Latn-ME"/>
        </w:rPr>
        <w:t xml:space="preserve"> </w:t>
      </w:r>
      <w:r w:rsidRPr="0085657D">
        <w:rPr>
          <w:rFonts w:ascii="Arial" w:hAnsi="Arial" w:cs="Arial"/>
          <w:sz w:val="22"/>
          <w:szCs w:val="22"/>
        </w:rPr>
        <w:t>na</w:t>
      </w:r>
      <w:r w:rsidRPr="0085657D">
        <w:rPr>
          <w:rFonts w:ascii="Arial" w:hAnsi="Arial" w:cs="Arial"/>
          <w:sz w:val="22"/>
          <w:szCs w:val="22"/>
          <w:lang w:val="sr-Latn-ME"/>
        </w:rPr>
        <w:t xml:space="preserve"> </w:t>
      </w:r>
      <w:r w:rsidRPr="0085657D">
        <w:rPr>
          <w:rFonts w:ascii="Arial" w:hAnsi="Arial" w:cs="Arial"/>
          <w:sz w:val="22"/>
          <w:szCs w:val="22"/>
        </w:rPr>
        <w:lastRenderedPageBreak/>
        <w:t>vi</w:t>
      </w:r>
      <w:r w:rsidRPr="0085657D">
        <w:rPr>
          <w:rFonts w:ascii="Arial" w:hAnsi="Arial" w:cs="Arial"/>
          <w:sz w:val="22"/>
          <w:szCs w:val="22"/>
          <w:lang w:val="sr-Latn-ME"/>
        </w:rPr>
        <w:t>š</w:t>
      </w:r>
      <w:r w:rsidRPr="0085657D">
        <w:rPr>
          <w:rFonts w:ascii="Arial" w:hAnsi="Arial" w:cs="Arial"/>
          <w:sz w:val="22"/>
          <w:szCs w:val="22"/>
        </w:rPr>
        <w:t>e</w:t>
      </w:r>
      <w:r w:rsidRPr="0085657D">
        <w:rPr>
          <w:rFonts w:ascii="Arial" w:hAnsi="Arial" w:cs="Arial"/>
          <w:sz w:val="22"/>
          <w:szCs w:val="22"/>
          <w:lang w:val="sr-Latn-ME"/>
        </w:rPr>
        <w:t xml:space="preserve"> </w:t>
      </w:r>
      <w:r w:rsidRPr="0085657D">
        <w:rPr>
          <w:rFonts w:ascii="Arial" w:hAnsi="Arial" w:cs="Arial"/>
          <w:sz w:val="22"/>
          <w:szCs w:val="22"/>
        </w:rPr>
        <w:t>jezika</w:t>
      </w:r>
      <w:r w:rsidRPr="0085657D">
        <w:rPr>
          <w:rFonts w:ascii="Arial" w:hAnsi="Arial" w:cs="Arial"/>
          <w:sz w:val="22"/>
          <w:szCs w:val="22"/>
          <w:lang w:val="sr-Latn-ME"/>
        </w:rPr>
        <w:t xml:space="preserve"> </w:t>
      </w:r>
      <w:r w:rsidRPr="0085657D">
        <w:rPr>
          <w:rFonts w:ascii="Arial" w:hAnsi="Arial" w:cs="Arial"/>
          <w:sz w:val="22"/>
          <w:szCs w:val="22"/>
        </w:rPr>
        <w:t>koje</w:t>
      </w:r>
      <w:r w:rsidRPr="0085657D">
        <w:rPr>
          <w:rFonts w:ascii="Arial" w:hAnsi="Arial" w:cs="Arial"/>
          <w:sz w:val="22"/>
          <w:szCs w:val="22"/>
          <w:lang w:val="sr-Latn-ME"/>
        </w:rPr>
        <w:t xml:space="preserve"> </w:t>
      </w:r>
      <w:r w:rsidRPr="0085657D">
        <w:rPr>
          <w:rFonts w:ascii="Arial" w:hAnsi="Arial" w:cs="Arial"/>
          <w:sz w:val="22"/>
          <w:szCs w:val="22"/>
        </w:rPr>
        <w:t>bi</w:t>
      </w:r>
      <w:r w:rsidRPr="0085657D">
        <w:rPr>
          <w:rFonts w:ascii="Arial" w:hAnsi="Arial" w:cs="Arial"/>
          <w:sz w:val="22"/>
          <w:szCs w:val="22"/>
          <w:lang w:val="sr-Latn-ME"/>
        </w:rPr>
        <w:t xml:space="preserve"> </w:t>
      </w:r>
      <w:r w:rsidRPr="0085657D">
        <w:rPr>
          <w:rFonts w:ascii="Arial" w:hAnsi="Arial" w:cs="Arial"/>
          <w:sz w:val="22"/>
          <w:szCs w:val="22"/>
        </w:rPr>
        <w:t>slu</w:t>
      </w:r>
      <w:r w:rsidRPr="0085657D">
        <w:rPr>
          <w:rFonts w:ascii="Arial" w:hAnsi="Arial" w:cs="Arial"/>
          <w:sz w:val="22"/>
          <w:szCs w:val="22"/>
          <w:lang w:val="sr-Latn-ME"/>
        </w:rPr>
        <w:t>ž</w:t>
      </w:r>
      <w:r w:rsidRPr="0085657D">
        <w:rPr>
          <w:rFonts w:ascii="Arial" w:hAnsi="Arial" w:cs="Arial"/>
          <w:sz w:val="22"/>
          <w:szCs w:val="22"/>
        </w:rPr>
        <w:t>ile</w:t>
      </w:r>
      <w:r w:rsidRPr="0085657D">
        <w:rPr>
          <w:rFonts w:ascii="Arial" w:hAnsi="Arial" w:cs="Arial"/>
          <w:sz w:val="22"/>
          <w:szCs w:val="22"/>
          <w:lang w:val="sr-Latn-ME"/>
        </w:rPr>
        <w:t xml:space="preserve"> </w:t>
      </w:r>
      <w:r w:rsidRPr="0085657D">
        <w:rPr>
          <w:rFonts w:ascii="Arial" w:hAnsi="Arial" w:cs="Arial"/>
          <w:sz w:val="22"/>
          <w:szCs w:val="22"/>
        </w:rPr>
        <w:t>kao</w:t>
      </w:r>
      <w:r w:rsidRPr="0085657D">
        <w:rPr>
          <w:rFonts w:ascii="Arial" w:hAnsi="Arial" w:cs="Arial"/>
          <w:sz w:val="22"/>
          <w:szCs w:val="22"/>
          <w:lang w:val="sr-Latn-ME"/>
        </w:rPr>
        <w:t xml:space="preserve"> </w:t>
      </w:r>
      <w:r w:rsidRPr="0085657D">
        <w:rPr>
          <w:rFonts w:ascii="Arial" w:hAnsi="Arial" w:cs="Arial"/>
          <w:sz w:val="22"/>
          <w:szCs w:val="22"/>
        </w:rPr>
        <w:t>podsjetnik</w:t>
      </w:r>
      <w:r w:rsidRPr="0085657D">
        <w:rPr>
          <w:rFonts w:ascii="Arial" w:hAnsi="Arial" w:cs="Arial"/>
          <w:sz w:val="22"/>
          <w:szCs w:val="22"/>
          <w:lang w:val="sr-Latn-ME"/>
        </w:rPr>
        <w:t xml:space="preserve"> </w:t>
      </w:r>
      <w:r w:rsidRPr="0085657D">
        <w:rPr>
          <w:rFonts w:ascii="Arial" w:hAnsi="Arial" w:cs="Arial"/>
          <w:sz w:val="22"/>
          <w:szCs w:val="22"/>
        </w:rPr>
        <w:t>na</w:t>
      </w:r>
      <w:r w:rsidRPr="0085657D">
        <w:rPr>
          <w:rFonts w:ascii="Arial" w:hAnsi="Arial" w:cs="Arial"/>
          <w:sz w:val="22"/>
          <w:szCs w:val="22"/>
          <w:lang w:val="sr-Latn-ME"/>
        </w:rPr>
        <w:t xml:space="preserve"> </w:t>
      </w:r>
      <w:r w:rsidRPr="0085657D">
        <w:rPr>
          <w:rFonts w:ascii="Arial" w:hAnsi="Arial" w:cs="Arial"/>
          <w:sz w:val="22"/>
          <w:szCs w:val="22"/>
        </w:rPr>
        <w:t>prethodno</w:t>
      </w:r>
      <w:r w:rsidRPr="0085657D">
        <w:rPr>
          <w:rFonts w:ascii="Arial" w:hAnsi="Arial" w:cs="Arial"/>
          <w:sz w:val="22"/>
          <w:szCs w:val="22"/>
          <w:lang w:val="sr-Latn-ME"/>
        </w:rPr>
        <w:t xml:space="preserve"> </w:t>
      </w:r>
      <w:r w:rsidRPr="0085657D">
        <w:rPr>
          <w:rFonts w:ascii="Arial" w:hAnsi="Arial" w:cs="Arial"/>
          <w:sz w:val="22"/>
          <w:szCs w:val="22"/>
        </w:rPr>
        <w:t>usmeno</w:t>
      </w:r>
      <w:r w:rsidRPr="0085657D">
        <w:rPr>
          <w:rFonts w:ascii="Arial" w:hAnsi="Arial" w:cs="Arial"/>
          <w:sz w:val="22"/>
          <w:szCs w:val="22"/>
          <w:lang w:val="sr-Latn-ME"/>
        </w:rPr>
        <w:t xml:space="preserve"> </w:t>
      </w:r>
      <w:r w:rsidRPr="0085657D">
        <w:rPr>
          <w:rFonts w:ascii="Arial" w:hAnsi="Arial" w:cs="Arial"/>
          <w:sz w:val="22"/>
          <w:szCs w:val="22"/>
        </w:rPr>
        <w:t>saop</w:t>
      </w:r>
      <w:r w:rsidRPr="0085657D">
        <w:rPr>
          <w:rFonts w:ascii="Arial" w:hAnsi="Arial" w:cs="Arial"/>
          <w:sz w:val="22"/>
          <w:szCs w:val="22"/>
          <w:lang w:val="sr-Latn-ME"/>
        </w:rPr>
        <w:t>š</w:t>
      </w:r>
      <w:r w:rsidRPr="0085657D">
        <w:rPr>
          <w:rFonts w:ascii="Arial" w:hAnsi="Arial" w:cs="Arial"/>
          <w:sz w:val="22"/>
          <w:szCs w:val="22"/>
        </w:rPr>
        <w:t>tene</w:t>
      </w:r>
      <w:r w:rsidRPr="0085657D">
        <w:rPr>
          <w:rFonts w:ascii="Arial" w:hAnsi="Arial" w:cs="Arial"/>
          <w:sz w:val="22"/>
          <w:szCs w:val="22"/>
          <w:lang w:val="sr-Latn-ME"/>
        </w:rPr>
        <w:t xml:space="preserve"> </w:t>
      </w:r>
      <w:r w:rsidRPr="0085657D">
        <w:rPr>
          <w:rFonts w:ascii="Arial" w:hAnsi="Arial" w:cs="Arial"/>
          <w:sz w:val="22"/>
          <w:szCs w:val="22"/>
        </w:rPr>
        <w:t>informacije</w:t>
      </w:r>
      <w:r w:rsidRPr="0085657D">
        <w:rPr>
          <w:rFonts w:ascii="Arial" w:hAnsi="Arial" w:cs="Arial"/>
          <w:sz w:val="22"/>
          <w:szCs w:val="22"/>
          <w:lang w:val="sr-Latn-ME"/>
        </w:rPr>
        <w:t xml:space="preserve">, </w:t>
      </w:r>
      <w:r w:rsidRPr="0085657D">
        <w:rPr>
          <w:rFonts w:ascii="Arial" w:hAnsi="Arial" w:cs="Arial"/>
          <w:sz w:val="22"/>
          <w:szCs w:val="22"/>
        </w:rPr>
        <w:t>kao</w:t>
      </w:r>
      <w:r w:rsidRPr="0085657D">
        <w:rPr>
          <w:rFonts w:ascii="Arial" w:hAnsi="Arial" w:cs="Arial"/>
          <w:sz w:val="22"/>
          <w:szCs w:val="22"/>
          <w:lang w:val="sr-Latn-ME"/>
        </w:rPr>
        <w:t xml:space="preserve"> </w:t>
      </w:r>
      <w:r w:rsidRPr="0085657D">
        <w:rPr>
          <w:rFonts w:ascii="Arial" w:hAnsi="Arial" w:cs="Arial"/>
          <w:sz w:val="22"/>
          <w:szCs w:val="22"/>
        </w:rPr>
        <w:t>i</w:t>
      </w:r>
      <w:r w:rsidRPr="0085657D">
        <w:rPr>
          <w:rFonts w:ascii="Arial" w:hAnsi="Arial" w:cs="Arial"/>
          <w:sz w:val="22"/>
          <w:szCs w:val="22"/>
          <w:lang w:val="sr-Latn-ME"/>
        </w:rPr>
        <w:t xml:space="preserve"> </w:t>
      </w:r>
      <w:r w:rsidRPr="0085657D">
        <w:rPr>
          <w:rFonts w:ascii="Arial" w:hAnsi="Arial" w:cs="Arial"/>
          <w:sz w:val="22"/>
          <w:szCs w:val="22"/>
        </w:rPr>
        <w:t>razvoj</w:t>
      </w:r>
      <w:r w:rsidRPr="0085657D">
        <w:rPr>
          <w:rFonts w:ascii="Arial" w:hAnsi="Arial" w:cs="Arial"/>
          <w:sz w:val="22"/>
          <w:szCs w:val="22"/>
          <w:lang w:val="sr-Latn-ME"/>
        </w:rPr>
        <w:t xml:space="preserve"> </w:t>
      </w:r>
      <w:r w:rsidRPr="0085657D">
        <w:rPr>
          <w:rFonts w:ascii="Arial" w:hAnsi="Arial" w:cs="Arial"/>
          <w:sz w:val="22"/>
          <w:szCs w:val="22"/>
        </w:rPr>
        <w:t>online</w:t>
      </w:r>
      <w:r w:rsidRPr="0085657D">
        <w:rPr>
          <w:rFonts w:ascii="Arial" w:hAnsi="Arial" w:cs="Arial"/>
          <w:sz w:val="22"/>
          <w:szCs w:val="22"/>
          <w:lang w:val="sr-Latn-ME"/>
        </w:rPr>
        <w:t xml:space="preserve"> </w:t>
      </w:r>
      <w:r w:rsidRPr="0085657D">
        <w:rPr>
          <w:rFonts w:ascii="Arial" w:hAnsi="Arial" w:cs="Arial"/>
          <w:sz w:val="22"/>
          <w:szCs w:val="22"/>
        </w:rPr>
        <w:t>platformi</w:t>
      </w:r>
      <w:r w:rsidRPr="0085657D">
        <w:rPr>
          <w:rFonts w:ascii="Arial" w:hAnsi="Arial" w:cs="Arial"/>
          <w:sz w:val="22"/>
          <w:szCs w:val="22"/>
          <w:lang w:val="sr-Latn-ME"/>
        </w:rPr>
        <w:t xml:space="preserve"> </w:t>
      </w:r>
      <w:r w:rsidRPr="0085657D">
        <w:rPr>
          <w:rFonts w:ascii="Arial" w:hAnsi="Arial" w:cs="Arial"/>
          <w:sz w:val="22"/>
          <w:szCs w:val="22"/>
        </w:rPr>
        <w:t>za</w:t>
      </w:r>
      <w:r w:rsidRPr="0085657D">
        <w:rPr>
          <w:rFonts w:ascii="Arial" w:hAnsi="Arial" w:cs="Arial"/>
          <w:sz w:val="22"/>
          <w:szCs w:val="22"/>
          <w:lang w:val="sr-Latn-ME"/>
        </w:rPr>
        <w:t xml:space="preserve"> </w:t>
      </w:r>
      <w:r w:rsidRPr="0085657D">
        <w:rPr>
          <w:rFonts w:ascii="Arial" w:hAnsi="Arial" w:cs="Arial"/>
          <w:sz w:val="22"/>
          <w:szCs w:val="22"/>
        </w:rPr>
        <w:t>pru</w:t>
      </w:r>
      <w:r w:rsidRPr="0085657D">
        <w:rPr>
          <w:rFonts w:ascii="Arial" w:hAnsi="Arial" w:cs="Arial"/>
          <w:sz w:val="22"/>
          <w:szCs w:val="22"/>
          <w:lang w:val="sr-Latn-ME"/>
        </w:rPr>
        <w:t>ž</w:t>
      </w:r>
      <w:r w:rsidRPr="0085657D">
        <w:rPr>
          <w:rFonts w:ascii="Arial" w:hAnsi="Arial" w:cs="Arial"/>
          <w:sz w:val="22"/>
          <w:szCs w:val="22"/>
        </w:rPr>
        <w:t>anje</w:t>
      </w:r>
      <w:r w:rsidRPr="0085657D">
        <w:rPr>
          <w:rFonts w:ascii="Arial" w:hAnsi="Arial" w:cs="Arial"/>
          <w:sz w:val="22"/>
          <w:szCs w:val="22"/>
          <w:lang w:val="sr-Latn-ME"/>
        </w:rPr>
        <w:t xml:space="preserve"> </w:t>
      </w:r>
      <w:r w:rsidRPr="0085657D">
        <w:rPr>
          <w:rFonts w:ascii="Arial" w:hAnsi="Arial" w:cs="Arial"/>
          <w:sz w:val="22"/>
          <w:szCs w:val="22"/>
        </w:rPr>
        <w:t>relevantnih</w:t>
      </w:r>
      <w:r w:rsidRPr="0085657D">
        <w:rPr>
          <w:rFonts w:ascii="Arial" w:hAnsi="Arial" w:cs="Arial"/>
          <w:sz w:val="22"/>
          <w:szCs w:val="22"/>
          <w:lang w:val="sr-Latn-ME"/>
        </w:rPr>
        <w:t xml:space="preserve"> </w:t>
      </w:r>
      <w:r w:rsidRPr="0085657D">
        <w:rPr>
          <w:rFonts w:ascii="Arial" w:hAnsi="Arial" w:cs="Arial"/>
          <w:sz w:val="22"/>
          <w:szCs w:val="22"/>
        </w:rPr>
        <w:t>informacija</w:t>
      </w:r>
      <w:r w:rsidRPr="0085657D">
        <w:rPr>
          <w:rFonts w:ascii="Arial" w:hAnsi="Arial" w:cs="Arial"/>
          <w:sz w:val="22"/>
          <w:szCs w:val="22"/>
          <w:lang w:val="sr-Latn-ME"/>
        </w:rPr>
        <w:t xml:space="preserve"> ž</w:t>
      </w:r>
      <w:r w:rsidRPr="0085657D">
        <w:rPr>
          <w:rFonts w:ascii="Arial" w:hAnsi="Arial" w:cs="Arial"/>
          <w:sz w:val="22"/>
          <w:szCs w:val="22"/>
        </w:rPr>
        <w:t>rtvama</w:t>
      </w:r>
      <w:r w:rsidRPr="0085657D">
        <w:rPr>
          <w:rFonts w:ascii="Arial" w:hAnsi="Arial" w:cs="Arial"/>
          <w:sz w:val="22"/>
          <w:szCs w:val="22"/>
          <w:lang w:val="sr-Latn-ME"/>
        </w:rPr>
        <w:t xml:space="preserve"> </w:t>
      </w:r>
      <w:r w:rsidRPr="0085657D">
        <w:rPr>
          <w:rFonts w:ascii="Arial" w:hAnsi="Arial" w:cs="Arial"/>
          <w:sz w:val="22"/>
          <w:szCs w:val="22"/>
        </w:rPr>
        <w:t>o</w:t>
      </w:r>
      <w:r w:rsidRPr="0085657D">
        <w:rPr>
          <w:rFonts w:ascii="Arial" w:hAnsi="Arial" w:cs="Arial"/>
          <w:sz w:val="22"/>
          <w:szCs w:val="22"/>
          <w:lang w:val="sr-Latn-ME"/>
        </w:rPr>
        <w:t xml:space="preserve"> </w:t>
      </w:r>
      <w:r w:rsidRPr="0085657D">
        <w:rPr>
          <w:rFonts w:ascii="Arial" w:hAnsi="Arial" w:cs="Arial"/>
          <w:sz w:val="22"/>
          <w:szCs w:val="22"/>
        </w:rPr>
        <w:t>njihovim</w:t>
      </w:r>
      <w:r w:rsidRPr="0085657D">
        <w:rPr>
          <w:rFonts w:ascii="Arial" w:hAnsi="Arial" w:cs="Arial"/>
          <w:sz w:val="22"/>
          <w:szCs w:val="22"/>
          <w:lang w:val="sr-Latn-ME"/>
        </w:rPr>
        <w:t xml:space="preserve"> </w:t>
      </w:r>
      <w:r w:rsidRPr="0085657D">
        <w:rPr>
          <w:rFonts w:ascii="Arial" w:hAnsi="Arial" w:cs="Arial"/>
          <w:sz w:val="22"/>
          <w:szCs w:val="22"/>
        </w:rPr>
        <w:t>pravima</w:t>
      </w:r>
      <w:r w:rsidR="00571877" w:rsidRPr="0085657D">
        <w:rPr>
          <w:rFonts w:ascii="Arial" w:hAnsi="Arial" w:cs="Arial"/>
          <w:sz w:val="22"/>
          <w:szCs w:val="22"/>
          <w:lang w:val="sr-Latn-ME"/>
        </w:rPr>
        <w:t>.</w:t>
      </w:r>
      <w:r w:rsidR="00387C5B" w:rsidRPr="0085657D">
        <w:rPr>
          <w:rFonts w:ascii="Arial" w:hAnsi="Arial" w:cs="Arial"/>
          <w:sz w:val="22"/>
          <w:szCs w:val="22"/>
          <w:lang w:val="sr-Latn-ME"/>
        </w:rPr>
        <w:t xml:space="preserve"> </w:t>
      </w:r>
      <w:r w:rsidR="00807008" w:rsidRPr="0085657D">
        <w:rPr>
          <w:rFonts w:ascii="Arial" w:hAnsi="Arial" w:cs="Arial"/>
          <w:sz w:val="22"/>
          <w:szCs w:val="22"/>
          <w:lang w:val="sr-Latn-ME"/>
        </w:rPr>
        <w:t xml:space="preserve"> </w:t>
      </w:r>
    </w:p>
    <w:p w14:paraId="2C5048B8" w14:textId="2B54C771" w:rsidR="003861C8" w:rsidRPr="0085657D" w:rsidRDefault="003861C8" w:rsidP="00571877">
      <w:pPr>
        <w:pStyle w:val="Default"/>
        <w:spacing w:after="240" w:line="276" w:lineRule="auto"/>
        <w:jc w:val="both"/>
        <w:rPr>
          <w:rFonts w:ascii="Arial" w:hAnsi="Arial" w:cs="Arial"/>
          <w:sz w:val="22"/>
          <w:szCs w:val="22"/>
          <w:lang w:val="sr-Latn-ME"/>
        </w:rPr>
      </w:pPr>
      <w:r>
        <w:rPr>
          <w:rFonts w:ascii="Arial" w:hAnsi="Arial" w:cs="Arial"/>
          <w:sz w:val="22"/>
          <w:szCs w:val="22"/>
          <w:lang w:val="sr-Latn-ME"/>
        </w:rPr>
        <w:t>Posebnu pažnju potrebno je posvetiti i mehanizmima za prijavljivanje krivičnih djela koji treba da, s jedne strane, budu pristupačni i za naročito osjetljive kategorije žrtava, poput djece, žena u ruralnim regijama, lica sa invaliditetom, žrtava slabog imovinskog stanja, žrtava koja ne poznaju jezike u službenoj upotrebi i sl, ali i kontinuirano raditi na razvijanju novih mehanizama poput online platformi za prijavljivanje</w:t>
      </w:r>
      <w:r w:rsidR="00C15038">
        <w:rPr>
          <w:rFonts w:ascii="Arial" w:hAnsi="Arial" w:cs="Arial"/>
          <w:sz w:val="22"/>
          <w:szCs w:val="22"/>
          <w:lang w:val="sr-Latn-ME"/>
        </w:rPr>
        <w:t xml:space="preserve"> i sl.</w:t>
      </w:r>
    </w:p>
    <w:p w14:paraId="2D3F1889" w14:textId="77777777" w:rsidR="00A53024" w:rsidRPr="0085657D" w:rsidRDefault="00A53024" w:rsidP="00595DE2">
      <w:pPr>
        <w:pStyle w:val="Default"/>
        <w:numPr>
          <w:ilvl w:val="0"/>
          <w:numId w:val="18"/>
        </w:numPr>
        <w:spacing w:after="160"/>
        <w:rPr>
          <w:rFonts w:ascii="Arial" w:hAnsi="Arial" w:cs="Arial"/>
          <w:sz w:val="22"/>
          <w:szCs w:val="22"/>
          <w:lang w:val="sr-Latn-ME"/>
        </w:rPr>
      </w:pPr>
      <w:r w:rsidRPr="0085657D">
        <w:rPr>
          <w:rFonts w:ascii="Arial" w:hAnsi="Arial" w:cs="Arial"/>
          <w:i/>
          <w:iCs/>
          <w:sz w:val="22"/>
          <w:szCs w:val="22"/>
          <w:lang w:val="sr-Latn-ME"/>
        </w:rPr>
        <w:t>Pravo na prevođenje</w:t>
      </w:r>
      <w:r w:rsidR="002B7358" w:rsidRPr="0085657D">
        <w:rPr>
          <w:rFonts w:ascii="Arial" w:hAnsi="Arial" w:cs="Arial"/>
          <w:i/>
          <w:iCs/>
          <w:sz w:val="22"/>
          <w:szCs w:val="22"/>
          <w:lang w:val="sr-Latn-ME"/>
        </w:rPr>
        <w:t xml:space="preserve"> i pravo da razumije</w:t>
      </w:r>
    </w:p>
    <w:p w14:paraId="689D14D0" w14:textId="108DDE47" w:rsidR="007F6B92" w:rsidRPr="00A07D7A" w:rsidRDefault="007F6B92" w:rsidP="0050646D">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it-IT"/>
        </w:rPr>
        <w:t>Direktivom</w:t>
      </w:r>
      <w:r w:rsidRPr="0085657D">
        <w:rPr>
          <w:rFonts w:ascii="Arial" w:hAnsi="Arial" w:cs="Arial"/>
          <w:sz w:val="22"/>
          <w:szCs w:val="22"/>
          <w:lang w:val="sr-Latn-ME"/>
        </w:rPr>
        <w:t xml:space="preserve"> 212/029/</w:t>
      </w:r>
      <w:r w:rsidRPr="0085657D">
        <w:rPr>
          <w:rFonts w:ascii="Arial" w:hAnsi="Arial" w:cs="Arial"/>
          <w:sz w:val="22"/>
          <w:szCs w:val="22"/>
          <w:lang w:val="it-IT"/>
        </w:rPr>
        <w:t>EU</w:t>
      </w:r>
      <w:r w:rsidRPr="00A07D7A">
        <w:rPr>
          <w:rFonts w:ascii="Arial" w:hAnsi="Arial" w:cs="Arial"/>
          <w:sz w:val="22"/>
          <w:szCs w:val="22"/>
          <w:lang w:val="sr-Latn-ME"/>
        </w:rPr>
        <w:t xml:space="preserve"> </w:t>
      </w:r>
      <w:r w:rsidRPr="0085657D">
        <w:rPr>
          <w:rFonts w:ascii="Arial" w:hAnsi="Arial" w:cs="Arial"/>
          <w:sz w:val="22"/>
          <w:szCs w:val="22"/>
          <w:lang w:val="it-IT"/>
        </w:rPr>
        <w:t>propisano</w:t>
      </w:r>
      <w:r w:rsidRPr="00A07D7A">
        <w:rPr>
          <w:rFonts w:ascii="Arial" w:hAnsi="Arial" w:cs="Arial"/>
          <w:sz w:val="22"/>
          <w:szCs w:val="22"/>
          <w:lang w:val="sr-Latn-ME"/>
        </w:rPr>
        <w:t xml:space="preserve"> </w:t>
      </w:r>
      <w:r w:rsidRPr="0085657D">
        <w:rPr>
          <w:rFonts w:ascii="Arial" w:hAnsi="Arial" w:cs="Arial"/>
          <w:sz w:val="22"/>
          <w:szCs w:val="22"/>
          <w:lang w:val="it-IT"/>
        </w:rPr>
        <w:t>je</w:t>
      </w:r>
      <w:r w:rsidRPr="00A07D7A">
        <w:rPr>
          <w:rFonts w:ascii="Arial" w:hAnsi="Arial" w:cs="Arial"/>
          <w:sz w:val="22"/>
          <w:szCs w:val="22"/>
          <w:lang w:val="sr-Latn-ME"/>
        </w:rPr>
        <w:t xml:space="preserve"> </w:t>
      </w:r>
      <w:r w:rsidRPr="0085657D">
        <w:rPr>
          <w:rFonts w:ascii="Arial" w:hAnsi="Arial" w:cs="Arial"/>
          <w:sz w:val="22"/>
          <w:szCs w:val="22"/>
          <w:lang w:val="it-IT"/>
        </w:rPr>
        <w:t>da</w:t>
      </w:r>
      <w:r w:rsidRPr="00A07D7A">
        <w:rPr>
          <w:rFonts w:ascii="Arial" w:hAnsi="Arial" w:cs="Arial"/>
          <w:sz w:val="22"/>
          <w:szCs w:val="22"/>
          <w:lang w:val="sr-Latn-ME"/>
        </w:rPr>
        <w:t xml:space="preserve"> </w:t>
      </w:r>
      <w:r w:rsidRPr="0085657D">
        <w:rPr>
          <w:rFonts w:ascii="Arial" w:hAnsi="Arial" w:cs="Arial"/>
          <w:sz w:val="22"/>
          <w:szCs w:val="22"/>
          <w:lang w:val="sr-Latn-ME"/>
        </w:rPr>
        <w:t xml:space="preserve">žrtvama koje ne razumiju ili ne govore jezik koji se koristi u krivičnom postupku (na zahtjev) treba osigurati besplatno usmeno prevođenje tokom saslušanja ili ispitivanja žrtve tokom krivičnog postupka od strane istražnih i pravosudnih tijela, uključujući i tokom saslušanja od strane policije, te usmeno prevođenje za njihovo aktivno </w:t>
      </w:r>
      <w:r w:rsidR="009E7F03" w:rsidRPr="0085657D">
        <w:rPr>
          <w:rFonts w:ascii="Arial" w:hAnsi="Arial" w:cs="Arial"/>
          <w:sz w:val="22"/>
          <w:szCs w:val="22"/>
          <w:lang w:val="sr-Latn-ME"/>
        </w:rPr>
        <w:t>učešće</w:t>
      </w:r>
      <w:r w:rsidRPr="0085657D">
        <w:rPr>
          <w:rFonts w:ascii="Arial" w:hAnsi="Arial" w:cs="Arial"/>
          <w:sz w:val="22"/>
          <w:szCs w:val="22"/>
          <w:lang w:val="sr-Latn-ME"/>
        </w:rPr>
        <w:t xml:space="preserve"> na sudskim raspravama i svim potrebnim međuročištima.</w:t>
      </w:r>
      <w:r w:rsidR="009E7F03" w:rsidRPr="0085657D">
        <w:rPr>
          <w:rFonts w:ascii="Arial" w:hAnsi="Arial" w:cs="Arial"/>
          <w:sz w:val="22"/>
          <w:szCs w:val="22"/>
          <w:lang w:val="sr-Latn-ME"/>
        </w:rPr>
        <w:t xml:space="preserve"> Takođe, predviđa se obaveza da se osigura besplatno prevođenje informacija bitnih za ostvarivanje njihovih prava u krivičnom postupku na jezik koji razumiju, u mjeri u kojoj se takve informacije čine dostupnim žrtvama. </w:t>
      </w:r>
    </w:p>
    <w:p w14:paraId="6D344F9E" w14:textId="4979FE15" w:rsidR="00873520" w:rsidRPr="0085657D" w:rsidRDefault="00873520" w:rsidP="00873520">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it-IT"/>
        </w:rPr>
        <w:t>Budu</w:t>
      </w:r>
      <w:r w:rsidRPr="0085657D">
        <w:rPr>
          <w:rFonts w:ascii="Arial" w:hAnsi="Arial" w:cs="Arial"/>
          <w:sz w:val="22"/>
          <w:szCs w:val="22"/>
          <w:lang w:val="sr-Latn-ME"/>
        </w:rPr>
        <w:t>ć</w:t>
      </w:r>
      <w:r w:rsidRPr="0085657D">
        <w:rPr>
          <w:rFonts w:ascii="Arial" w:hAnsi="Arial" w:cs="Arial"/>
          <w:sz w:val="22"/>
          <w:szCs w:val="22"/>
          <w:lang w:val="it-IT"/>
        </w:rPr>
        <w:t>i</w:t>
      </w:r>
      <w:r w:rsidRPr="0085657D">
        <w:rPr>
          <w:rFonts w:ascii="Arial" w:hAnsi="Arial" w:cs="Arial"/>
          <w:sz w:val="22"/>
          <w:szCs w:val="22"/>
          <w:lang w:val="sr-Latn-ME"/>
        </w:rPr>
        <w:t xml:space="preserve"> </w:t>
      </w:r>
      <w:r w:rsidRPr="0085657D">
        <w:rPr>
          <w:rFonts w:ascii="Arial" w:hAnsi="Arial" w:cs="Arial"/>
          <w:sz w:val="22"/>
          <w:szCs w:val="22"/>
          <w:lang w:val="it-IT"/>
        </w:rPr>
        <w:t>da</w:t>
      </w:r>
      <w:r w:rsidRPr="0085657D">
        <w:rPr>
          <w:rFonts w:ascii="Arial" w:hAnsi="Arial" w:cs="Arial"/>
          <w:sz w:val="22"/>
          <w:szCs w:val="22"/>
          <w:lang w:val="sr-Latn-ME"/>
        </w:rPr>
        <w:t xml:space="preserve"> </w:t>
      </w:r>
      <w:r w:rsidRPr="0085657D">
        <w:rPr>
          <w:rFonts w:ascii="Arial" w:hAnsi="Arial" w:cs="Arial"/>
          <w:sz w:val="22"/>
          <w:szCs w:val="22"/>
          <w:lang w:val="it-IT"/>
        </w:rPr>
        <w:t>je</w:t>
      </w:r>
      <w:r w:rsidRPr="0085657D">
        <w:rPr>
          <w:rFonts w:ascii="Arial" w:hAnsi="Arial" w:cs="Arial"/>
          <w:sz w:val="22"/>
          <w:szCs w:val="22"/>
          <w:lang w:val="sr-Latn-ME"/>
        </w:rPr>
        <w:t xml:space="preserve"> </w:t>
      </w:r>
      <w:r w:rsidRPr="0085657D">
        <w:rPr>
          <w:rFonts w:ascii="Arial" w:hAnsi="Arial" w:cs="Arial"/>
          <w:sz w:val="22"/>
          <w:szCs w:val="22"/>
          <w:lang w:val="it-IT"/>
        </w:rPr>
        <w:t>ovom</w:t>
      </w:r>
      <w:r w:rsidRPr="0085657D">
        <w:rPr>
          <w:rFonts w:ascii="Arial" w:hAnsi="Arial" w:cs="Arial"/>
          <w:sz w:val="22"/>
          <w:szCs w:val="22"/>
          <w:lang w:val="sr-Latn-ME"/>
        </w:rPr>
        <w:t xml:space="preserve"> </w:t>
      </w:r>
      <w:r w:rsidRPr="0085657D">
        <w:rPr>
          <w:rFonts w:ascii="Arial" w:hAnsi="Arial" w:cs="Arial"/>
          <w:sz w:val="22"/>
          <w:szCs w:val="22"/>
          <w:lang w:val="it-IT"/>
        </w:rPr>
        <w:t>pravu</w:t>
      </w:r>
      <w:r w:rsidRPr="0085657D">
        <w:rPr>
          <w:rFonts w:ascii="Arial" w:hAnsi="Arial" w:cs="Arial"/>
          <w:sz w:val="22"/>
          <w:szCs w:val="22"/>
          <w:lang w:val="sr-Latn-ME"/>
        </w:rPr>
        <w:t xml:space="preserve"> ž</w:t>
      </w:r>
      <w:r w:rsidRPr="0085657D">
        <w:rPr>
          <w:rFonts w:ascii="Arial" w:hAnsi="Arial" w:cs="Arial"/>
          <w:sz w:val="22"/>
          <w:szCs w:val="22"/>
          <w:lang w:val="it-IT"/>
        </w:rPr>
        <w:t>rtava</w:t>
      </w:r>
      <w:r w:rsidRPr="0085657D">
        <w:rPr>
          <w:rFonts w:ascii="Arial" w:hAnsi="Arial" w:cs="Arial"/>
          <w:sz w:val="22"/>
          <w:szCs w:val="22"/>
          <w:lang w:val="sr-Latn-ME"/>
        </w:rPr>
        <w:t xml:space="preserve"> </w:t>
      </w:r>
      <w:r w:rsidRPr="0085657D">
        <w:rPr>
          <w:rFonts w:ascii="Arial" w:hAnsi="Arial" w:cs="Arial"/>
          <w:sz w:val="22"/>
          <w:szCs w:val="22"/>
          <w:lang w:val="it-IT"/>
        </w:rPr>
        <w:t>u</w:t>
      </w:r>
      <w:r w:rsidRPr="0085657D">
        <w:rPr>
          <w:rFonts w:ascii="Arial" w:hAnsi="Arial" w:cs="Arial"/>
          <w:sz w:val="22"/>
          <w:szCs w:val="22"/>
          <w:lang w:val="sr-Latn-ME"/>
        </w:rPr>
        <w:t xml:space="preserve"> </w:t>
      </w:r>
      <w:r w:rsidRPr="0085657D">
        <w:rPr>
          <w:rFonts w:ascii="Arial" w:hAnsi="Arial" w:cs="Arial"/>
          <w:sz w:val="22"/>
          <w:szCs w:val="22"/>
          <w:lang w:val="it-IT"/>
        </w:rPr>
        <w:t>krivi</w:t>
      </w:r>
      <w:r w:rsidRPr="0085657D">
        <w:rPr>
          <w:rFonts w:ascii="Arial" w:hAnsi="Arial" w:cs="Arial"/>
          <w:sz w:val="22"/>
          <w:szCs w:val="22"/>
          <w:lang w:val="sr-Latn-ME"/>
        </w:rPr>
        <w:t>č</w:t>
      </w:r>
      <w:r w:rsidRPr="0085657D">
        <w:rPr>
          <w:rFonts w:ascii="Arial" w:hAnsi="Arial" w:cs="Arial"/>
          <w:sz w:val="22"/>
          <w:szCs w:val="22"/>
          <w:lang w:val="it-IT"/>
        </w:rPr>
        <w:t>nom</w:t>
      </w:r>
      <w:r w:rsidRPr="0085657D">
        <w:rPr>
          <w:rFonts w:ascii="Arial" w:hAnsi="Arial" w:cs="Arial"/>
          <w:sz w:val="22"/>
          <w:szCs w:val="22"/>
          <w:lang w:val="sr-Latn-ME"/>
        </w:rPr>
        <w:t xml:space="preserve"> </w:t>
      </w:r>
      <w:r w:rsidRPr="0085657D">
        <w:rPr>
          <w:rFonts w:ascii="Arial" w:hAnsi="Arial" w:cs="Arial"/>
          <w:sz w:val="22"/>
          <w:szCs w:val="22"/>
          <w:lang w:val="it-IT"/>
        </w:rPr>
        <w:t>postupku</w:t>
      </w:r>
      <w:r w:rsidRPr="0085657D">
        <w:rPr>
          <w:rFonts w:ascii="Arial" w:hAnsi="Arial" w:cs="Arial"/>
          <w:sz w:val="22"/>
          <w:szCs w:val="22"/>
          <w:lang w:val="sr-Latn-ME"/>
        </w:rPr>
        <w:t xml:space="preserve"> </w:t>
      </w:r>
      <w:r w:rsidRPr="0085657D">
        <w:rPr>
          <w:rFonts w:ascii="Arial" w:hAnsi="Arial" w:cs="Arial"/>
          <w:sz w:val="22"/>
          <w:szCs w:val="22"/>
          <w:lang w:val="it-IT"/>
        </w:rPr>
        <w:t>Direktivom</w:t>
      </w:r>
      <w:r w:rsidRPr="0085657D">
        <w:rPr>
          <w:rFonts w:ascii="Arial" w:hAnsi="Arial" w:cs="Arial"/>
          <w:sz w:val="22"/>
          <w:szCs w:val="22"/>
          <w:lang w:val="sr-Latn-ME"/>
        </w:rPr>
        <w:t xml:space="preserve"> 212/029/</w:t>
      </w:r>
      <w:r w:rsidRPr="0085657D">
        <w:rPr>
          <w:rFonts w:ascii="Arial" w:hAnsi="Arial" w:cs="Arial"/>
          <w:sz w:val="22"/>
          <w:szCs w:val="22"/>
          <w:lang w:val="it-IT"/>
        </w:rPr>
        <w:t>EU</w:t>
      </w:r>
      <w:r w:rsidR="00D43982">
        <w:rPr>
          <w:rFonts w:ascii="Arial" w:hAnsi="Arial" w:cs="Arial"/>
          <w:sz w:val="22"/>
          <w:szCs w:val="22"/>
          <w:lang w:val="sr-Latn-ME"/>
        </w:rPr>
        <w:t xml:space="preserve"> </w:t>
      </w:r>
      <w:r w:rsidRPr="0085657D">
        <w:rPr>
          <w:rFonts w:ascii="Arial" w:hAnsi="Arial" w:cs="Arial"/>
          <w:sz w:val="22"/>
          <w:szCs w:val="22"/>
          <w:lang w:val="sr-Latn-ME"/>
        </w:rPr>
        <w:t>(čl. 3,</w:t>
      </w:r>
      <w:r w:rsidR="00CF0943">
        <w:rPr>
          <w:rFonts w:ascii="Arial" w:hAnsi="Arial" w:cs="Arial"/>
          <w:sz w:val="22"/>
          <w:szCs w:val="22"/>
          <w:lang w:val="sr-Latn-ME"/>
        </w:rPr>
        <w:t xml:space="preserve"> </w:t>
      </w:r>
      <w:r w:rsidRPr="0085657D">
        <w:rPr>
          <w:rFonts w:ascii="Arial" w:hAnsi="Arial" w:cs="Arial"/>
          <w:sz w:val="22"/>
          <w:szCs w:val="22"/>
          <w:lang w:val="sr-Latn-ME"/>
        </w:rPr>
        <w:t>5,</w:t>
      </w:r>
      <w:r w:rsidR="00CF0943">
        <w:rPr>
          <w:rFonts w:ascii="Arial" w:hAnsi="Arial" w:cs="Arial"/>
          <w:sz w:val="22"/>
          <w:szCs w:val="22"/>
          <w:lang w:val="sr-Latn-ME"/>
        </w:rPr>
        <w:t xml:space="preserve"> </w:t>
      </w:r>
      <w:r w:rsidRPr="0085657D">
        <w:rPr>
          <w:rFonts w:ascii="Arial" w:hAnsi="Arial" w:cs="Arial"/>
          <w:sz w:val="22"/>
          <w:szCs w:val="22"/>
          <w:lang w:val="sr-Latn-ME"/>
        </w:rPr>
        <w:t xml:space="preserve">7) </w:t>
      </w:r>
      <w:r w:rsidRPr="0085657D">
        <w:rPr>
          <w:rFonts w:ascii="Arial" w:hAnsi="Arial" w:cs="Arial"/>
          <w:sz w:val="22"/>
          <w:szCs w:val="22"/>
          <w:lang w:val="it-IT"/>
        </w:rPr>
        <w:t>posve</w:t>
      </w:r>
      <w:r w:rsidRPr="0085657D">
        <w:rPr>
          <w:rFonts w:ascii="Arial" w:hAnsi="Arial" w:cs="Arial"/>
          <w:sz w:val="22"/>
          <w:szCs w:val="22"/>
          <w:lang w:val="sr-Latn-ME"/>
        </w:rPr>
        <w:t>ć</w:t>
      </w:r>
      <w:r w:rsidRPr="0085657D">
        <w:rPr>
          <w:rFonts w:ascii="Arial" w:hAnsi="Arial" w:cs="Arial"/>
          <w:sz w:val="22"/>
          <w:szCs w:val="22"/>
          <w:lang w:val="it-IT"/>
        </w:rPr>
        <w:t>ena</w:t>
      </w:r>
      <w:r w:rsidRPr="0085657D">
        <w:rPr>
          <w:rFonts w:ascii="Arial" w:hAnsi="Arial" w:cs="Arial"/>
          <w:sz w:val="22"/>
          <w:szCs w:val="22"/>
          <w:lang w:val="sr-Latn-ME"/>
        </w:rPr>
        <w:t xml:space="preserve"> </w:t>
      </w:r>
      <w:r w:rsidRPr="0085657D">
        <w:rPr>
          <w:rFonts w:ascii="Arial" w:hAnsi="Arial" w:cs="Arial"/>
          <w:sz w:val="22"/>
          <w:szCs w:val="22"/>
          <w:lang w:val="it-IT"/>
        </w:rPr>
        <w:t>velika</w:t>
      </w:r>
      <w:r w:rsidRPr="0085657D">
        <w:rPr>
          <w:rFonts w:ascii="Arial" w:hAnsi="Arial" w:cs="Arial"/>
          <w:sz w:val="22"/>
          <w:szCs w:val="22"/>
          <w:lang w:val="sr-Latn-ME"/>
        </w:rPr>
        <w:t xml:space="preserve"> </w:t>
      </w:r>
      <w:r w:rsidRPr="0085657D">
        <w:rPr>
          <w:rFonts w:ascii="Arial" w:hAnsi="Arial" w:cs="Arial"/>
          <w:sz w:val="22"/>
          <w:szCs w:val="22"/>
          <w:lang w:val="it-IT"/>
        </w:rPr>
        <w:t>pa</w:t>
      </w:r>
      <w:r w:rsidRPr="0085657D">
        <w:rPr>
          <w:rFonts w:ascii="Arial" w:hAnsi="Arial" w:cs="Arial"/>
          <w:sz w:val="22"/>
          <w:szCs w:val="22"/>
          <w:lang w:val="sr-Latn-ME"/>
        </w:rPr>
        <w:t>ž</w:t>
      </w:r>
      <w:r w:rsidRPr="0085657D">
        <w:rPr>
          <w:rFonts w:ascii="Arial" w:hAnsi="Arial" w:cs="Arial"/>
          <w:sz w:val="22"/>
          <w:szCs w:val="22"/>
          <w:lang w:val="it-IT"/>
        </w:rPr>
        <w:t>nja</w:t>
      </w:r>
      <w:r w:rsidRPr="0085657D">
        <w:rPr>
          <w:rFonts w:ascii="Arial" w:hAnsi="Arial" w:cs="Arial"/>
          <w:sz w:val="22"/>
          <w:szCs w:val="22"/>
          <w:lang w:val="sr-Latn-ME"/>
        </w:rPr>
        <w:t>, a da problemi njegovog ostvarivanja u praksi nisu bili obuhvaćeni drugim analizama u oblasti prava žrtava, sredinom 2024. godine u podršku zajedničkog proje</w:t>
      </w:r>
      <w:r w:rsidR="00A07D7A">
        <w:rPr>
          <w:rFonts w:ascii="Arial" w:hAnsi="Arial" w:cs="Arial"/>
          <w:sz w:val="22"/>
          <w:szCs w:val="22"/>
          <w:lang w:val="sr-Latn-ME"/>
        </w:rPr>
        <w:t>k</w:t>
      </w:r>
      <w:r w:rsidRPr="0085657D">
        <w:rPr>
          <w:rFonts w:ascii="Arial" w:hAnsi="Arial" w:cs="Arial"/>
          <w:sz w:val="22"/>
          <w:szCs w:val="22"/>
          <w:lang w:val="sr-Latn-ME"/>
        </w:rPr>
        <w:t>ta Evropske unije i Savjeta Evrope sprovedena je ciljana analiza o pravu žrtava da koriste jezik koji razumiju u sudskim postupcima</w:t>
      </w:r>
      <w:r w:rsidRPr="0085657D">
        <w:rPr>
          <w:rStyle w:val="FootnoteReference"/>
          <w:rFonts w:ascii="Arial" w:hAnsi="Arial" w:cs="Arial"/>
          <w:sz w:val="22"/>
          <w:szCs w:val="22"/>
          <w:lang w:val="sr-Latn-ME"/>
        </w:rPr>
        <w:footnoteReference w:id="44"/>
      </w:r>
      <w:r w:rsidRPr="0085657D">
        <w:rPr>
          <w:rFonts w:ascii="Arial" w:hAnsi="Arial" w:cs="Arial"/>
          <w:sz w:val="22"/>
          <w:szCs w:val="22"/>
          <w:lang w:val="sr-Latn-ME"/>
        </w:rPr>
        <w:t xml:space="preserve"> koja je identifikovala ključne probleme i dala preporuke za njihovo prevazilaženje. </w:t>
      </w:r>
    </w:p>
    <w:p w14:paraId="0ADF5B5C" w14:textId="77777777" w:rsidR="00873520" w:rsidRPr="0085657D" w:rsidRDefault="009E7F03" w:rsidP="009E7F03">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 xml:space="preserve">U ostvarivanju ovog prava Crna Gora je suočena sa brojnim izazovima koji se prvenstveno odnose </w:t>
      </w:r>
      <w:r w:rsidR="00873520" w:rsidRPr="0085657D">
        <w:rPr>
          <w:rFonts w:ascii="Arial" w:hAnsi="Arial" w:cs="Arial"/>
          <w:sz w:val="22"/>
          <w:szCs w:val="22"/>
          <w:lang w:val="sr-Latn-ME"/>
        </w:rPr>
        <w:t xml:space="preserve">na </w:t>
      </w:r>
      <w:r w:rsidRPr="0085657D">
        <w:rPr>
          <w:rFonts w:ascii="Arial" w:hAnsi="Arial" w:cs="Arial"/>
          <w:sz w:val="22"/>
          <w:szCs w:val="22"/>
          <w:lang w:val="sr-Latn-ME"/>
        </w:rPr>
        <w:t>adekvatnost i dostupnost prevodilaca tokom rane faze</w:t>
      </w:r>
      <w:r w:rsidR="00873520" w:rsidRPr="0085657D">
        <w:rPr>
          <w:rFonts w:ascii="Arial" w:hAnsi="Arial" w:cs="Arial"/>
          <w:sz w:val="22"/>
          <w:szCs w:val="22"/>
          <w:lang w:val="sr-Latn-ME"/>
        </w:rPr>
        <w:t xml:space="preserve"> postupka, odnosno od prvog kontakta sa žrtvom, što je posebno slučaj sa takozvanim „rijetkim jezicima“ za koje ne postoji dovoljan broj tumača na spisku koji vodi Ministarstvo pravde</w:t>
      </w:r>
      <w:r w:rsidRPr="0085657D">
        <w:rPr>
          <w:rFonts w:ascii="Arial" w:hAnsi="Arial" w:cs="Arial"/>
          <w:sz w:val="22"/>
          <w:szCs w:val="22"/>
          <w:lang w:val="sr-Latn-ME"/>
        </w:rPr>
        <w:t xml:space="preserve">. </w:t>
      </w:r>
    </w:p>
    <w:p w14:paraId="35C08EBF" w14:textId="2E5FD14E" w:rsidR="001E3740" w:rsidRPr="0085657D" w:rsidRDefault="00873520" w:rsidP="001E3740">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 xml:space="preserve">Proces </w:t>
      </w:r>
      <w:r w:rsidR="00026C61" w:rsidRPr="00A07D7A">
        <w:rPr>
          <w:rFonts w:ascii="Arial" w:hAnsi="Arial" w:cs="Arial"/>
          <w:sz w:val="22"/>
          <w:szCs w:val="22"/>
          <w:lang w:val="sr-Latn-ME"/>
        </w:rPr>
        <w:t>određivanj</w:t>
      </w:r>
      <w:r w:rsidR="00A07D7A">
        <w:rPr>
          <w:rFonts w:ascii="Arial" w:hAnsi="Arial" w:cs="Arial"/>
          <w:sz w:val="22"/>
          <w:szCs w:val="22"/>
          <w:lang w:val="sr-Latn-ME"/>
        </w:rPr>
        <w:t>a</w:t>
      </w:r>
      <w:r w:rsidR="00026C61" w:rsidRPr="00A07D7A">
        <w:rPr>
          <w:rFonts w:ascii="Arial" w:hAnsi="Arial" w:cs="Arial"/>
          <w:sz w:val="22"/>
          <w:szCs w:val="22"/>
          <w:lang w:val="sr-Latn-ME"/>
        </w:rPr>
        <w:t xml:space="preserve"> tumača od sudova i državnih tužilaštava tokom postupka </w:t>
      </w:r>
      <w:r w:rsidRPr="00A07D7A">
        <w:rPr>
          <w:rFonts w:ascii="Arial" w:hAnsi="Arial" w:cs="Arial"/>
          <w:sz w:val="22"/>
          <w:szCs w:val="22"/>
          <w:lang w:val="sr-Latn-ME"/>
        </w:rPr>
        <w:t>za žrtve tokom sudskih postupaka</w:t>
      </w:r>
      <w:r w:rsidRPr="0085657D">
        <w:rPr>
          <w:rFonts w:ascii="Arial" w:hAnsi="Arial" w:cs="Arial"/>
          <w:sz w:val="22"/>
          <w:szCs w:val="22"/>
          <w:lang w:val="sr-Latn-ME"/>
        </w:rPr>
        <w:t>, i za usmenu komunikaciju i za prevod dokumenata</w:t>
      </w:r>
      <w:r w:rsidR="00A07D7A">
        <w:rPr>
          <w:rFonts w:ascii="Arial" w:hAnsi="Arial" w:cs="Arial"/>
          <w:sz w:val="22"/>
          <w:szCs w:val="22"/>
          <w:lang w:val="sr-Latn-ME"/>
        </w:rPr>
        <w:t>,</w:t>
      </w:r>
      <w:r w:rsidRPr="0085657D">
        <w:rPr>
          <w:rFonts w:ascii="Arial" w:hAnsi="Arial" w:cs="Arial"/>
          <w:sz w:val="22"/>
          <w:szCs w:val="22"/>
          <w:lang w:val="sr-Latn-ME"/>
        </w:rPr>
        <w:t xml:space="preserve"> skopčan je sa problemom dostupnosti kvalifikovanih prevodilaca, procedura kontrole kvaliteta i specifičnih pitanja koja su vezana za položaj manjinskih grupa. </w:t>
      </w:r>
      <w:r w:rsidR="001E3740" w:rsidRPr="0085657D">
        <w:rPr>
          <w:rFonts w:ascii="Arial" w:hAnsi="Arial" w:cs="Arial"/>
          <w:sz w:val="22"/>
          <w:szCs w:val="22"/>
          <w:lang w:val="sr-Latn-ME"/>
        </w:rPr>
        <w:t xml:space="preserve">U praksi se uočava i pretjerano oslanjanje na </w:t>
      </w:r>
      <w:r w:rsidR="001E3740" w:rsidRPr="0085657D">
        <w:rPr>
          <w:rFonts w:ascii="Arial" w:hAnsi="Arial" w:cs="Arial"/>
          <w:i/>
          <w:iCs/>
          <w:sz w:val="22"/>
          <w:szCs w:val="22"/>
          <w:lang w:val="sr-Latn-ME"/>
        </w:rPr>
        <w:t>ad hoc</w:t>
      </w:r>
      <w:r w:rsidR="001E3740" w:rsidRPr="0085657D">
        <w:rPr>
          <w:rFonts w:ascii="Arial" w:hAnsi="Arial" w:cs="Arial"/>
          <w:sz w:val="22"/>
          <w:szCs w:val="22"/>
          <w:lang w:val="sr-Latn-ME"/>
        </w:rPr>
        <w:t xml:space="preserve"> stručnjake umjesto</w:t>
      </w:r>
      <w:r w:rsidR="00A07D7A">
        <w:rPr>
          <w:rFonts w:ascii="Arial" w:hAnsi="Arial" w:cs="Arial"/>
          <w:strike/>
          <w:sz w:val="22"/>
          <w:szCs w:val="22"/>
          <w:lang w:val="sr-Latn-ME"/>
        </w:rPr>
        <w:t xml:space="preserve"> </w:t>
      </w:r>
      <w:r w:rsidR="001E3740" w:rsidRPr="0085657D">
        <w:rPr>
          <w:rFonts w:ascii="Arial" w:hAnsi="Arial" w:cs="Arial"/>
          <w:sz w:val="22"/>
          <w:szCs w:val="22"/>
          <w:lang w:val="sr-Latn-ME"/>
        </w:rPr>
        <w:t xml:space="preserve">sudske tumače (istina, uglavnom u prekršajnim postupcima), posebno tokom perioda turističke sezone. Ovakav pristup može bitno uticati na pravo žrtve da razumije i da je razumiju, jer stručna lica mogu poznavati jezik u lingvističkom smislu, ali je pitanje u kojoj mjeri su u mogućnosti saopštiti informacije na </w:t>
      </w:r>
      <w:r w:rsidR="006D7546" w:rsidRPr="0085657D">
        <w:rPr>
          <w:rFonts w:ascii="Arial" w:hAnsi="Arial" w:cs="Arial"/>
          <w:sz w:val="22"/>
          <w:szCs w:val="22"/>
          <w:lang w:val="sr-Latn-ME"/>
        </w:rPr>
        <w:t xml:space="preserve">način </w:t>
      </w:r>
      <w:r w:rsidR="001E3740" w:rsidRPr="0085657D">
        <w:rPr>
          <w:rFonts w:ascii="Arial" w:hAnsi="Arial" w:cs="Arial"/>
          <w:sz w:val="22"/>
          <w:szCs w:val="22"/>
          <w:lang w:val="sr-Latn-ME"/>
        </w:rPr>
        <w:t>koji je lako razumljiv za žrtve.</w:t>
      </w:r>
    </w:p>
    <w:p w14:paraId="4865DAF5" w14:textId="77777777" w:rsidR="00DA03C1" w:rsidRDefault="00873520" w:rsidP="006D7546">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R</w:t>
      </w:r>
      <w:r w:rsidR="009E7F03" w:rsidRPr="0085657D">
        <w:rPr>
          <w:rFonts w:ascii="Arial" w:hAnsi="Arial" w:cs="Arial"/>
          <w:sz w:val="22"/>
          <w:szCs w:val="22"/>
          <w:lang w:val="sr-Latn-ME"/>
        </w:rPr>
        <w:t>azličit</w:t>
      </w:r>
      <w:r w:rsidRPr="0085657D">
        <w:rPr>
          <w:rFonts w:ascii="Arial" w:hAnsi="Arial" w:cs="Arial"/>
          <w:sz w:val="22"/>
          <w:szCs w:val="22"/>
          <w:lang w:val="sr-Latn-ME"/>
        </w:rPr>
        <w:t>i</w:t>
      </w:r>
      <w:r w:rsidR="009E7F03" w:rsidRPr="0085657D">
        <w:rPr>
          <w:rFonts w:ascii="Arial" w:hAnsi="Arial" w:cs="Arial"/>
          <w:sz w:val="22"/>
          <w:szCs w:val="22"/>
          <w:lang w:val="sr-Latn-ME"/>
        </w:rPr>
        <w:t xml:space="preserve"> komunikacioni kanal</w:t>
      </w:r>
      <w:r w:rsidR="00D43982">
        <w:rPr>
          <w:rFonts w:ascii="Arial" w:hAnsi="Arial" w:cs="Arial"/>
          <w:sz w:val="22"/>
          <w:szCs w:val="22"/>
          <w:lang w:val="sr-Latn-ME"/>
        </w:rPr>
        <w:t>i</w:t>
      </w:r>
      <w:r w:rsidRPr="0085657D">
        <w:rPr>
          <w:rFonts w:ascii="Arial" w:hAnsi="Arial" w:cs="Arial"/>
          <w:sz w:val="22"/>
          <w:szCs w:val="22"/>
          <w:lang w:val="sr-Latn-ME"/>
        </w:rPr>
        <w:t xml:space="preserve"> nisu u dovoljnoj upotrebi</w:t>
      </w:r>
      <w:r w:rsidR="006D7546" w:rsidRPr="0085657D">
        <w:rPr>
          <w:rFonts w:ascii="Arial" w:hAnsi="Arial" w:cs="Arial"/>
          <w:sz w:val="22"/>
          <w:szCs w:val="22"/>
          <w:lang w:val="sr-Latn-ME"/>
        </w:rPr>
        <w:t xml:space="preserve">. </w:t>
      </w:r>
      <w:r w:rsidR="00A94CD7" w:rsidRPr="0085657D">
        <w:rPr>
          <w:rFonts w:ascii="Arial" w:hAnsi="Arial" w:cs="Arial"/>
          <w:sz w:val="22"/>
          <w:szCs w:val="22"/>
          <w:lang w:val="sr-Latn-ME"/>
        </w:rPr>
        <w:t xml:space="preserve">U pogledu mogućih rješenja za prevazilaženje identifikovanih problema, analizom je preporučeno razvijanje preciznih kriterijuma/smjernica za </w:t>
      </w:r>
      <w:r w:rsidR="0050646D" w:rsidRPr="0085657D">
        <w:rPr>
          <w:rFonts w:ascii="Arial" w:hAnsi="Arial" w:cs="Arial"/>
          <w:sz w:val="22"/>
          <w:szCs w:val="22"/>
          <w:lang w:val="sr-Latn-ME"/>
        </w:rPr>
        <w:t>proc</w:t>
      </w:r>
      <w:r w:rsidR="00A94CD7" w:rsidRPr="0085657D">
        <w:rPr>
          <w:rFonts w:ascii="Arial" w:hAnsi="Arial" w:cs="Arial"/>
          <w:sz w:val="22"/>
          <w:szCs w:val="22"/>
          <w:lang w:val="sr-Latn-ME"/>
        </w:rPr>
        <w:t>j</w:t>
      </w:r>
      <w:r w:rsidR="0050646D" w:rsidRPr="0085657D">
        <w:rPr>
          <w:rFonts w:ascii="Arial" w:hAnsi="Arial" w:cs="Arial"/>
          <w:sz w:val="22"/>
          <w:szCs w:val="22"/>
          <w:lang w:val="sr-Latn-ME"/>
        </w:rPr>
        <w:t xml:space="preserve">enu da li pojedinac </w:t>
      </w:r>
      <w:r w:rsidR="00A94CD7" w:rsidRPr="0085657D">
        <w:rPr>
          <w:rFonts w:ascii="Arial" w:hAnsi="Arial" w:cs="Arial"/>
          <w:sz w:val="22"/>
          <w:szCs w:val="22"/>
          <w:lang w:val="sr-Latn-ME"/>
        </w:rPr>
        <w:t>zaht</w:t>
      </w:r>
      <w:r w:rsidR="00D43982">
        <w:rPr>
          <w:rFonts w:ascii="Arial" w:hAnsi="Arial" w:cs="Arial"/>
          <w:sz w:val="22"/>
          <w:szCs w:val="22"/>
          <w:lang w:val="sr-Latn-ME"/>
        </w:rPr>
        <w:t>i</w:t>
      </w:r>
      <w:r w:rsidR="00A94CD7" w:rsidRPr="0085657D">
        <w:rPr>
          <w:rFonts w:ascii="Arial" w:hAnsi="Arial" w:cs="Arial"/>
          <w:sz w:val="22"/>
          <w:szCs w:val="22"/>
          <w:lang w:val="sr-Latn-ME"/>
        </w:rPr>
        <w:t>jeva</w:t>
      </w:r>
      <w:r w:rsidR="0050646D" w:rsidRPr="0085657D">
        <w:rPr>
          <w:rFonts w:ascii="Arial" w:hAnsi="Arial" w:cs="Arial"/>
          <w:sz w:val="22"/>
          <w:szCs w:val="22"/>
          <w:lang w:val="sr-Latn-ME"/>
        </w:rPr>
        <w:t xml:space="preserve"> podršku prevodioca i koj</w:t>
      </w:r>
      <w:r w:rsidR="00A94CD7" w:rsidRPr="0085657D">
        <w:rPr>
          <w:rFonts w:ascii="Arial" w:hAnsi="Arial" w:cs="Arial"/>
          <w:sz w:val="22"/>
          <w:szCs w:val="22"/>
          <w:lang w:val="sr-Latn-ME"/>
        </w:rPr>
        <w:t>e</w:t>
      </w:r>
      <w:r w:rsidR="0050646D" w:rsidRPr="0085657D">
        <w:rPr>
          <w:rFonts w:ascii="Arial" w:hAnsi="Arial" w:cs="Arial"/>
          <w:sz w:val="22"/>
          <w:szCs w:val="22"/>
          <w:lang w:val="sr-Latn-ME"/>
        </w:rPr>
        <w:t xml:space="preserve"> dokument</w:t>
      </w:r>
      <w:r w:rsidR="00A94CD7" w:rsidRPr="0085657D">
        <w:rPr>
          <w:rFonts w:ascii="Arial" w:hAnsi="Arial" w:cs="Arial"/>
          <w:sz w:val="22"/>
          <w:szCs w:val="22"/>
          <w:lang w:val="sr-Latn-ME"/>
        </w:rPr>
        <w:t>e</w:t>
      </w:r>
      <w:r w:rsidR="0050646D" w:rsidRPr="0085657D">
        <w:rPr>
          <w:rFonts w:ascii="Arial" w:hAnsi="Arial" w:cs="Arial"/>
          <w:sz w:val="22"/>
          <w:szCs w:val="22"/>
          <w:lang w:val="sr-Latn-ME"/>
        </w:rPr>
        <w:t xml:space="preserve"> </w:t>
      </w:r>
      <w:r w:rsidR="0050646D" w:rsidRPr="0085657D">
        <w:rPr>
          <w:rFonts w:ascii="Arial" w:hAnsi="Arial" w:cs="Arial"/>
          <w:sz w:val="22"/>
          <w:szCs w:val="22"/>
          <w:lang w:val="sr-Latn-ME"/>
        </w:rPr>
        <w:lastRenderedPageBreak/>
        <w:t>treba prevesti,</w:t>
      </w:r>
      <w:r w:rsidR="00A94CD7" w:rsidRPr="0085657D">
        <w:rPr>
          <w:rFonts w:ascii="Arial" w:hAnsi="Arial" w:cs="Arial"/>
          <w:sz w:val="22"/>
          <w:szCs w:val="22"/>
          <w:lang w:val="sr-Latn-ME"/>
        </w:rPr>
        <w:t xml:space="preserve"> ali i</w:t>
      </w:r>
      <w:r w:rsidR="0050646D" w:rsidRPr="0085657D">
        <w:rPr>
          <w:rFonts w:ascii="Arial" w:hAnsi="Arial" w:cs="Arial"/>
          <w:sz w:val="22"/>
          <w:szCs w:val="22"/>
          <w:lang w:val="sr-Latn-ME"/>
        </w:rPr>
        <w:t xml:space="preserve"> uvođenje obuka za prevodioc</w:t>
      </w:r>
      <w:r w:rsidR="00A94CD7" w:rsidRPr="0085657D">
        <w:rPr>
          <w:rFonts w:ascii="Arial" w:hAnsi="Arial" w:cs="Arial"/>
          <w:sz w:val="22"/>
          <w:szCs w:val="22"/>
          <w:lang w:val="sr-Latn-ME"/>
        </w:rPr>
        <w:t>e/tumače</w:t>
      </w:r>
      <w:r w:rsidR="0050646D" w:rsidRPr="0085657D">
        <w:rPr>
          <w:rFonts w:ascii="Arial" w:hAnsi="Arial" w:cs="Arial"/>
          <w:sz w:val="22"/>
          <w:szCs w:val="22"/>
          <w:lang w:val="sr-Latn-ME"/>
        </w:rPr>
        <w:t>, uvođenje različitih kanala komunikacije i uvođenje statističk</w:t>
      </w:r>
      <w:r w:rsidR="00A94CD7" w:rsidRPr="0085657D">
        <w:rPr>
          <w:rFonts w:ascii="Arial" w:hAnsi="Arial" w:cs="Arial"/>
          <w:sz w:val="22"/>
          <w:szCs w:val="22"/>
          <w:lang w:val="sr-Latn-ME"/>
        </w:rPr>
        <w:t>og</w:t>
      </w:r>
      <w:r w:rsidR="0050646D" w:rsidRPr="0085657D">
        <w:rPr>
          <w:rFonts w:ascii="Arial" w:hAnsi="Arial" w:cs="Arial"/>
          <w:sz w:val="22"/>
          <w:szCs w:val="22"/>
          <w:lang w:val="sr-Latn-ME"/>
        </w:rPr>
        <w:t xml:space="preserve"> praćenja angažovanj</w:t>
      </w:r>
      <w:r w:rsidR="00D43982">
        <w:rPr>
          <w:rFonts w:ascii="Arial" w:hAnsi="Arial" w:cs="Arial"/>
          <w:sz w:val="22"/>
          <w:szCs w:val="22"/>
          <w:lang w:val="sr-Latn-ME"/>
        </w:rPr>
        <w:t>a</w:t>
      </w:r>
      <w:r w:rsidR="0050646D" w:rsidRPr="0085657D">
        <w:rPr>
          <w:rFonts w:ascii="Arial" w:hAnsi="Arial" w:cs="Arial"/>
          <w:sz w:val="22"/>
          <w:szCs w:val="22"/>
          <w:lang w:val="sr-Latn-ME"/>
        </w:rPr>
        <w:t xml:space="preserve"> </w:t>
      </w:r>
      <w:r w:rsidR="00A94CD7" w:rsidRPr="0085657D">
        <w:rPr>
          <w:rFonts w:ascii="Arial" w:hAnsi="Arial" w:cs="Arial"/>
          <w:sz w:val="22"/>
          <w:szCs w:val="22"/>
          <w:lang w:val="sr-Latn-ME"/>
        </w:rPr>
        <w:t>pojedinačnih tumača</w:t>
      </w:r>
      <w:r w:rsidR="0050646D" w:rsidRPr="0085657D">
        <w:rPr>
          <w:rFonts w:ascii="Arial" w:hAnsi="Arial" w:cs="Arial"/>
          <w:sz w:val="22"/>
          <w:szCs w:val="22"/>
          <w:lang w:val="sr-Latn-ME"/>
        </w:rPr>
        <w:t>.</w:t>
      </w:r>
      <w:r w:rsidR="003E4286" w:rsidRPr="0085657D">
        <w:rPr>
          <w:rFonts w:ascii="Arial" w:hAnsi="Arial" w:cs="Arial"/>
          <w:sz w:val="22"/>
          <w:szCs w:val="22"/>
          <w:lang w:val="sr-Latn-ME"/>
        </w:rPr>
        <w:t xml:space="preserve"> </w:t>
      </w:r>
    </w:p>
    <w:p w14:paraId="37310350" w14:textId="3EE3E8C6" w:rsidR="00B723C8" w:rsidRPr="0085657D" w:rsidRDefault="008B5AD9" w:rsidP="006D7546">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Takođe</w:t>
      </w:r>
      <w:r w:rsidR="00385168" w:rsidRPr="0085657D">
        <w:rPr>
          <w:rFonts w:ascii="Arial" w:hAnsi="Arial" w:cs="Arial"/>
          <w:sz w:val="22"/>
          <w:szCs w:val="22"/>
          <w:lang w:val="sr-Latn-ME"/>
        </w:rPr>
        <w:t>,</w:t>
      </w:r>
      <w:r w:rsidR="003E4286" w:rsidRPr="0085657D">
        <w:rPr>
          <w:rFonts w:ascii="Arial" w:hAnsi="Arial" w:cs="Arial"/>
          <w:sz w:val="22"/>
          <w:szCs w:val="22"/>
          <w:lang w:val="sr-Latn-ME"/>
        </w:rPr>
        <w:t xml:space="preserve"> </w:t>
      </w:r>
      <w:r w:rsidR="008D7F86" w:rsidRPr="0085657D">
        <w:rPr>
          <w:rFonts w:ascii="Arial" w:hAnsi="Arial" w:cs="Arial"/>
          <w:sz w:val="22"/>
          <w:szCs w:val="22"/>
          <w:lang w:val="sr-Latn-ME"/>
        </w:rPr>
        <w:t>uvode se izmjene koje se odnose na</w:t>
      </w:r>
      <w:r w:rsidR="003E4286" w:rsidRPr="0085657D">
        <w:rPr>
          <w:rFonts w:ascii="Arial" w:hAnsi="Arial" w:cs="Arial"/>
          <w:sz w:val="22"/>
          <w:szCs w:val="22"/>
          <w:lang w:val="sr-Latn-ME"/>
        </w:rPr>
        <w:t xml:space="preserve"> prevođenje posredstvom tehničkih uređaja za prenos slike i zvuka podnesaka, iskaza, isprava i drugog pisanog dokaznog materijala, kao i sudskih odluka. Nadalje, kada nema postavljenih tumača za odgovarajući jezik u konkretnom predmetu, primijeniće se odredbe zakona kojim se uređuju tumači</w:t>
      </w:r>
      <w:r w:rsidR="00417C7C" w:rsidRPr="0085657D">
        <w:rPr>
          <w:rFonts w:ascii="Arial" w:hAnsi="Arial" w:cs="Arial"/>
          <w:sz w:val="22"/>
          <w:szCs w:val="22"/>
          <w:lang w:val="sr-Latn-ME"/>
        </w:rPr>
        <w:t>, odnosno ukoliko nema postavljenih tumača za odgovarajući jezik ili postoje drugi opravdani razlozi zbog kojih tumač postavljen u skladu sa ovim zakonom ne može prevoditi u konkretnom predmetu, prevođenje može vršiti i tumač iz druge države, koji u skladu sa zakonom te države vrši poslove tumača.</w:t>
      </w:r>
    </w:p>
    <w:p w14:paraId="6E58EA4D" w14:textId="44DE7963" w:rsidR="00B8605B" w:rsidRPr="0085657D" w:rsidRDefault="00490F83" w:rsidP="00490F83">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Zakonom o izmjenama i dopunama Zakonika o krivičnom postupku  strankama, žrtvama, svjedocima i drugim licima koja učestvuju u postupku garantuje se pravo da u postupku upotrebljavaju svoj jezik ili jezik koji razumiju, od prvog kontakta sa nadležnim organima, a ako se postupak ne vodi na jeziku nekog od tih lica, obezbijediće se prevođenje podnesaka, iskaza, isprava i drugog pisanog dokaznog materijala i sudskih odluka. Takođe, propisuje se mogućnost da se žrtvi, na njen zahtjev, obezbijedi tumač istog pola. Nadalje, ako se prevođenje ne može obezbijediti na vrijeme ili neposrednim prisustvom tumača, prevođenje se može sprovesti posredstvom tehničkih uređaja za prenos slike i zvuka, a u slučajevima kad nema postavljenih tumača za odgovarajući jezik ili postoje drugi opravdani razlozi zbog kojih tumač ne može prevoditi u konkretnom predmetu, prevođenje može vršiti i tumač iz druge države, koji u skladu sa zakonom te države vrši poslove tumača</w:t>
      </w:r>
      <w:r w:rsidR="0035780B" w:rsidRPr="0085657D">
        <w:rPr>
          <w:rFonts w:ascii="Arial" w:hAnsi="Arial" w:cs="Arial"/>
          <w:sz w:val="22"/>
          <w:szCs w:val="22"/>
          <w:lang w:val="sr-Latn-ME"/>
        </w:rPr>
        <w:t>.</w:t>
      </w:r>
    </w:p>
    <w:p w14:paraId="64218ECC" w14:textId="77777777" w:rsidR="00A53024" w:rsidRPr="0085657D" w:rsidRDefault="00A53024" w:rsidP="00595DE2">
      <w:pPr>
        <w:pStyle w:val="Heading3"/>
        <w:numPr>
          <w:ilvl w:val="2"/>
          <w:numId w:val="5"/>
        </w:numPr>
        <w:rPr>
          <w:rStyle w:val="Heading3Char"/>
          <w:rFonts w:ascii="Arial" w:hAnsi="Arial" w:cs="Arial"/>
          <w:sz w:val="22"/>
          <w:szCs w:val="22"/>
        </w:rPr>
      </w:pPr>
      <w:bookmarkStart w:id="30" w:name="_Toc208489184"/>
      <w:r w:rsidRPr="0085657D">
        <w:rPr>
          <w:rStyle w:val="Heading3Char"/>
          <w:rFonts w:ascii="Arial" w:hAnsi="Arial" w:cs="Arial"/>
          <w:sz w:val="22"/>
          <w:szCs w:val="22"/>
        </w:rPr>
        <w:t>Besplatna pravna pomoć</w:t>
      </w:r>
      <w:bookmarkEnd w:id="30"/>
    </w:p>
    <w:p w14:paraId="1A07005E" w14:textId="274C6C8C" w:rsidR="00A07D7A" w:rsidRDefault="00B8605B" w:rsidP="00D50486">
      <w:pPr>
        <w:spacing w:after="0" w:line="276" w:lineRule="auto"/>
        <w:rPr>
          <w:rFonts w:ascii="Arial" w:hAnsi="Arial" w:cs="Arial"/>
          <w:highlight w:val="yellow"/>
        </w:rPr>
      </w:pPr>
      <w:r w:rsidRPr="0085657D">
        <w:rPr>
          <w:rFonts w:ascii="Arial" w:hAnsi="Arial" w:cs="Arial"/>
        </w:rPr>
        <w:t>N</w:t>
      </w:r>
      <w:r w:rsidR="002836A0" w:rsidRPr="0085657D">
        <w:rPr>
          <w:rFonts w:ascii="Arial" w:hAnsi="Arial" w:cs="Arial"/>
        </w:rPr>
        <w:t xml:space="preserve">edavnim izmjenama i dopunama Zakona o besplatnoj pravnoj pomoći proširen je krug žrtava koje mogu </w:t>
      </w:r>
      <w:r w:rsidRPr="0085657D">
        <w:rPr>
          <w:rFonts w:ascii="Arial" w:hAnsi="Arial" w:cs="Arial"/>
        </w:rPr>
        <w:t xml:space="preserve">neposredno </w:t>
      </w:r>
      <w:r w:rsidR="002836A0" w:rsidRPr="0085657D">
        <w:rPr>
          <w:rFonts w:ascii="Arial" w:hAnsi="Arial" w:cs="Arial"/>
        </w:rPr>
        <w:t xml:space="preserve">ostvariti </w:t>
      </w:r>
      <w:r w:rsidRPr="0085657D">
        <w:rPr>
          <w:rFonts w:ascii="Arial" w:hAnsi="Arial" w:cs="Arial"/>
        </w:rPr>
        <w:t xml:space="preserve">ovo </w:t>
      </w:r>
      <w:r w:rsidR="002836A0" w:rsidRPr="0085657D">
        <w:rPr>
          <w:rFonts w:ascii="Arial" w:hAnsi="Arial" w:cs="Arial"/>
        </w:rPr>
        <w:t>pravo</w:t>
      </w:r>
      <w:r w:rsidRPr="0085657D">
        <w:rPr>
          <w:rFonts w:ascii="Arial" w:hAnsi="Arial" w:cs="Arial"/>
        </w:rPr>
        <w:t xml:space="preserve"> ne</w:t>
      </w:r>
      <w:r w:rsidR="00D43982">
        <w:rPr>
          <w:rFonts w:ascii="Arial" w:hAnsi="Arial" w:cs="Arial"/>
        </w:rPr>
        <w:t>za</w:t>
      </w:r>
      <w:r w:rsidRPr="0085657D">
        <w:rPr>
          <w:rFonts w:ascii="Arial" w:hAnsi="Arial" w:cs="Arial"/>
        </w:rPr>
        <w:t>visno od njihovog materijalnog statusa.</w:t>
      </w:r>
      <w:r w:rsidR="002836A0" w:rsidRPr="0085657D">
        <w:rPr>
          <w:rFonts w:ascii="Arial" w:hAnsi="Arial" w:cs="Arial"/>
        </w:rPr>
        <w:t xml:space="preserve"> </w:t>
      </w:r>
      <w:r w:rsidRPr="0085657D">
        <w:rPr>
          <w:rFonts w:ascii="Arial" w:hAnsi="Arial" w:cs="Arial"/>
        </w:rPr>
        <w:t xml:space="preserve">Proširen je i krug postupaka u kojima žrtve mogu ostvariti ovo pravo i predviđena </w:t>
      </w:r>
      <w:r w:rsidR="00D43982">
        <w:rPr>
          <w:rFonts w:ascii="Arial" w:hAnsi="Arial" w:cs="Arial"/>
        </w:rPr>
        <w:t xml:space="preserve">je </w:t>
      </w:r>
      <w:r w:rsidRPr="0085657D">
        <w:rPr>
          <w:rFonts w:ascii="Arial" w:hAnsi="Arial" w:cs="Arial"/>
        </w:rPr>
        <w:t xml:space="preserve">obavezna specijalizacija advokata koji pružaju pravnu pomoć naročito ranjivim kategorijama žrtava. </w:t>
      </w:r>
    </w:p>
    <w:p w14:paraId="08C48A56" w14:textId="77777777" w:rsidR="00A07D7A" w:rsidRDefault="00A07D7A" w:rsidP="00D50486">
      <w:pPr>
        <w:spacing w:after="0" w:line="276" w:lineRule="auto"/>
        <w:rPr>
          <w:rFonts w:ascii="Arial" w:hAnsi="Arial" w:cs="Arial"/>
          <w:highlight w:val="yellow"/>
        </w:rPr>
      </w:pPr>
    </w:p>
    <w:p w14:paraId="0DFC41D4" w14:textId="43610E88" w:rsidR="00D50486" w:rsidRDefault="00D50486" w:rsidP="00D50486">
      <w:pPr>
        <w:spacing w:after="0" w:line="276" w:lineRule="auto"/>
        <w:rPr>
          <w:rFonts w:ascii="Arial" w:hAnsi="Arial" w:cs="Arial"/>
        </w:rPr>
      </w:pPr>
      <w:r w:rsidRPr="00A07D7A">
        <w:rPr>
          <w:rFonts w:ascii="Arial" w:hAnsi="Arial" w:cs="Arial"/>
        </w:rPr>
        <w:t xml:space="preserve">Naime, izmjenama i dopunama </w:t>
      </w:r>
      <w:r w:rsidRPr="00A07D7A">
        <w:rPr>
          <w:rFonts w:ascii="Arial" w:hAnsi="Arial" w:cs="Arial"/>
          <w:b/>
          <w:bCs/>
        </w:rPr>
        <w:t>Zakona o besplatnoj pravnoj pomoći</w:t>
      </w:r>
      <w:r w:rsidRPr="00A07D7A">
        <w:rPr>
          <w:rFonts w:ascii="Arial" w:hAnsi="Arial" w:cs="Arial"/>
        </w:rPr>
        <w:t xml:space="preserve"> iz decembra 2024. godine proširen je krug lica koja neposredno ostvaruju pravo na besplatnu pravnu pomoć, nezavisno od njihovog finansijskog statusa. Tako sada pravo na neposrednu pravnu pomoć imaju i žrtve mučenja ili nečovječnog ili ponižavajućeg postupanja ili kažnjavanja, žrtve krivičnih djela protiv polne slobode i djec</w:t>
      </w:r>
      <w:r w:rsidR="00D43982">
        <w:rPr>
          <w:rFonts w:ascii="Arial" w:hAnsi="Arial" w:cs="Arial"/>
        </w:rPr>
        <w:t>a</w:t>
      </w:r>
      <w:r w:rsidRPr="00A07D7A">
        <w:rPr>
          <w:rFonts w:ascii="Arial" w:hAnsi="Arial" w:cs="Arial"/>
        </w:rPr>
        <w:t xml:space="preserve"> koja su pokrenula postupak za zaštitu prava djeteta, u skladu sa odredbama zakona kojim se uređuju porodični odnosi. Ovakve izmjene nesumnjivo predstavljaju korak naprijed u odnosu na prethodnu verziju zakona kojom je ovo pravo bilo garantovano žrtvama krivičnog djela nasilje u porodici ili u porodičnoj zajednici i trgovina ljudima (član 13 ZBPP). Dalje je predviđeno da advokati koji pružaju pravnu pomoć naročito ranjivim kategorijama žrtava, moraju posjedovati posebna znanja iz oblasti nasilja u porodici i porodičnoj zajednici, trgovine ljudima i zaštite prava djece. Proširen je i krug postupaka u kojima žrtve ostvaruju p</w:t>
      </w:r>
      <w:r w:rsidR="00127E33">
        <w:rPr>
          <w:rFonts w:ascii="Arial" w:hAnsi="Arial" w:cs="Arial"/>
        </w:rPr>
        <w:t>ravo na besplatnu pravnu pomoć, a koji se odnosi na v</w:t>
      </w:r>
      <w:r w:rsidRPr="00A07D7A">
        <w:rPr>
          <w:rFonts w:ascii="Arial" w:hAnsi="Arial" w:cs="Arial"/>
        </w:rPr>
        <w:t>e</w:t>
      </w:r>
      <w:r w:rsidR="00127E33">
        <w:rPr>
          <w:rFonts w:ascii="Arial" w:hAnsi="Arial" w:cs="Arial"/>
        </w:rPr>
        <w:t>zane postupke</w:t>
      </w:r>
      <w:r w:rsidRPr="00A07D7A">
        <w:rPr>
          <w:rFonts w:ascii="Arial" w:hAnsi="Arial" w:cs="Arial"/>
        </w:rPr>
        <w:t xml:space="preserve">, u skladu sa zakonima kojima se uređuju porodični i obligacioni odnosi i postupak izvršenja i obezbjeđenja, nakon što pravosnažnom odlukom suda bude utvrđeno da je žrtva krivičnog djela nasilje u porodici ili u porodičnoj zajednici i trgovine ljudima, kao i žrtva nasilja u porodici u skladu sa zakonom kojim </w:t>
      </w:r>
      <w:r w:rsidRPr="00A07D7A">
        <w:rPr>
          <w:rFonts w:ascii="Arial" w:hAnsi="Arial" w:cs="Arial"/>
        </w:rPr>
        <w:lastRenderedPageBreak/>
        <w:t>se uređuje zaštita od nasilja u porodici, žrtva mučenja ili nečovječnog ili ponižavajućeg postupanja ili kažnjavanja, odnosno krivičnih djela protiv polne slobode.</w:t>
      </w:r>
    </w:p>
    <w:p w14:paraId="31782BCB" w14:textId="77777777" w:rsidR="00D50486" w:rsidRPr="0085657D" w:rsidRDefault="00D50486" w:rsidP="00D50486">
      <w:pPr>
        <w:spacing w:after="0" w:line="276" w:lineRule="auto"/>
        <w:rPr>
          <w:rFonts w:ascii="Arial" w:hAnsi="Arial" w:cs="Arial"/>
        </w:rPr>
      </w:pPr>
    </w:p>
    <w:p w14:paraId="42E20F1F" w14:textId="77777777" w:rsidR="002836A0" w:rsidRPr="0085657D" w:rsidRDefault="002836A0" w:rsidP="002836A0">
      <w:pPr>
        <w:spacing w:line="276" w:lineRule="auto"/>
        <w:rPr>
          <w:rFonts w:ascii="Arial" w:hAnsi="Arial" w:cs="Arial"/>
        </w:rPr>
      </w:pPr>
      <w:r w:rsidRPr="0085657D">
        <w:rPr>
          <w:rFonts w:ascii="Arial" w:hAnsi="Arial" w:cs="Arial"/>
        </w:rPr>
        <w:t xml:space="preserve">Ipak, </w:t>
      </w:r>
      <w:r w:rsidR="00B723C8" w:rsidRPr="0085657D">
        <w:rPr>
          <w:rFonts w:ascii="Arial" w:hAnsi="Arial" w:cs="Arial"/>
        </w:rPr>
        <w:t>da bi se osigurala djelotvornost mehanizma uspostavljenog Zakonom o besplatnoj pravnoj pomoći, neophodno je da žrtvama budu dostupne informacije o uslovima i načinima ostvarivanja ovog prava</w:t>
      </w:r>
      <w:r w:rsidRPr="0085657D">
        <w:rPr>
          <w:rFonts w:ascii="Arial" w:hAnsi="Arial" w:cs="Arial"/>
        </w:rPr>
        <w:t>.</w:t>
      </w:r>
    </w:p>
    <w:p w14:paraId="756AEB81" w14:textId="1B9006C0" w:rsidR="00B723C8" w:rsidRPr="0085657D" w:rsidRDefault="008760D1" w:rsidP="007D712E">
      <w:pPr>
        <w:spacing w:line="276" w:lineRule="auto"/>
        <w:rPr>
          <w:rFonts w:ascii="Arial" w:hAnsi="Arial" w:cs="Arial"/>
        </w:rPr>
      </w:pPr>
      <w:r w:rsidRPr="0085657D">
        <w:rPr>
          <w:rFonts w:ascii="Arial" w:hAnsi="Arial" w:cs="Arial"/>
        </w:rPr>
        <w:t>Dodatno, potrebno je sprovesti obuke u cilju specijalizacije advokata koji mogu pružati pravnu pomoć naročito ranjivim žrtvama. Nerijetko, činjenica da advokati ne posjeduju specifična znanja u ovoj oblasti značajno utiče na razumijevanje potreba žrtve, način ophođenja prema žrtvi, naročito kada se radi o posebno osjetljivim kategorijama, ali i na domete zaštite njenih interesa tokom postupka, u kontekstu prepoznavanja potencijalnih izvora sekundarne viktimizacije i mehanizama da se ona spriječi ili otkloni. Centar za obuku u sudstvu i državnom tužilaštvu, u saradnji sa Advokatskom komorom Crne Gore, otpočeo je aktivnosti na izradi i realizaciji specijalističkih kurseva za advokate – pružaoce besplatne pravne pomoći žrtvama trgovine ljudima i nasilja u porodici i porodičnoj zajednici.</w:t>
      </w:r>
      <w:r w:rsidR="00B8605B" w:rsidRPr="0085657D">
        <w:rPr>
          <w:rFonts w:ascii="Arial" w:hAnsi="Arial" w:cs="Arial"/>
        </w:rPr>
        <w:t xml:space="preserve"> </w:t>
      </w:r>
      <w:r w:rsidR="00C15038">
        <w:rPr>
          <w:rFonts w:ascii="Arial" w:hAnsi="Arial" w:cs="Arial"/>
        </w:rPr>
        <w:t>Pored toga,</w:t>
      </w:r>
      <w:r w:rsidR="00C15038" w:rsidRPr="00C15038">
        <w:rPr>
          <w:rFonts w:ascii="Arial" w:hAnsi="Arial" w:cs="Arial"/>
        </w:rPr>
        <w:t xml:space="preserve"> EU, Savjet Evrope i GIZ podr</w:t>
      </w:r>
      <w:r w:rsidR="00D43982">
        <w:rPr>
          <w:rFonts w:ascii="Arial" w:hAnsi="Arial" w:cs="Arial"/>
        </w:rPr>
        <w:t>ž</w:t>
      </w:r>
      <w:r w:rsidR="00C15038" w:rsidRPr="00C15038">
        <w:rPr>
          <w:rFonts w:ascii="Arial" w:hAnsi="Arial" w:cs="Arial"/>
        </w:rPr>
        <w:t>avaju izradu specijalizovanih kurseva</w:t>
      </w:r>
      <w:r w:rsidR="00C15038">
        <w:rPr>
          <w:rFonts w:ascii="Arial" w:hAnsi="Arial" w:cs="Arial"/>
        </w:rPr>
        <w:t xml:space="preserve"> u ovoj oblasti</w:t>
      </w:r>
      <w:r w:rsidR="00C15038" w:rsidRPr="00C15038">
        <w:rPr>
          <w:rFonts w:ascii="Arial" w:hAnsi="Arial" w:cs="Arial"/>
        </w:rPr>
        <w:t>.</w:t>
      </w:r>
    </w:p>
    <w:p w14:paraId="21D9AC80" w14:textId="4A6255CF" w:rsidR="008760D1" w:rsidRPr="0085657D" w:rsidRDefault="008760D1" w:rsidP="007D712E">
      <w:pPr>
        <w:spacing w:line="276" w:lineRule="auto"/>
        <w:rPr>
          <w:rFonts w:ascii="Arial" w:hAnsi="Arial" w:cs="Arial"/>
        </w:rPr>
      </w:pPr>
      <w:r w:rsidRPr="0085657D">
        <w:rPr>
          <w:rFonts w:ascii="Arial" w:hAnsi="Arial" w:cs="Arial"/>
        </w:rPr>
        <w:t>Takođe, neophodno je kontinuirano unapređivati kapacitet</w:t>
      </w:r>
      <w:r w:rsidRPr="00D43982">
        <w:rPr>
          <w:rFonts w:ascii="Arial" w:hAnsi="Arial" w:cs="Arial"/>
        </w:rPr>
        <w:t xml:space="preserve">e </w:t>
      </w:r>
      <w:r w:rsidR="00C53A47" w:rsidRPr="00D43982">
        <w:rPr>
          <w:rFonts w:ascii="Arial" w:hAnsi="Arial" w:cs="Arial"/>
        </w:rPr>
        <w:t xml:space="preserve">Službi </w:t>
      </w:r>
      <w:r w:rsidRPr="00D43982">
        <w:rPr>
          <w:rFonts w:ascii="Arial" w:hAnsi="Arial" w:cs="Arial"/>
        </w:rPr>
        <w:t>za besplatnu pravnu pomoć, koje su svakodnevno u kontaktu sa žrtvama krivičnih djela, kako</w:t>
      </w:r>
      <w:r w:rsidRPr="0085657D">
        <w:rPr>
          <w:rFonts w:ascii="Arial" w:hAnsi="Arial" w:cs="Arial"/>
        </w:rPr>
        <w:t xml:space="preserve"> bi se ojačala njihova senzibilizacija za potrebe žrtava, produbilo razumijevanje fenomena viktimizacije i unaprijedio pristup u ophođenju prema njima.   </w:t>
      </w:r>
    </w:p>
    <w:p w14:paraId="4FA07401" w14:textId="7162600C" w:rsidR="006D7546" w:rsidRPr="0085657D" w:rsidRDefault="006D7546" w:rsidP="007D712E">
      <w:pPr>
        <w:spacing w:line="276" w:lineRule="auto"/>
        <w:rPr>
          <w:rFonts w:ascii="Arial" w:hAnsi="Arial" w:cs="Arial"/>
        </w:rPr>
      </w:pPr>
      <w:r w:rsidRPr="0085657D">
        <w:rPr>
          <w:rFonts w:ascii="Arial" w:hAnsi="Arial" w:cs="Arial"/>
        </w:rPr>
        <w:t>Potrebno je unparijediti i statističko izvještavanje o pružanju usluga besplatne pravne pomoći, kako bi se dobila realna slika o potrebama žrtava za besplatnom pravn</w:t>
      </w:r>
      <w:r w:rsidR="0017667C">
        <w:rPr>
          <w:rFonts w:ascii="Arial" w:hAnsi="Arial" w:cs="Arial"/>
        </w:rPr>
        <w:t>om</w:t>
      </w:r>
      <w:r w:rsidRPr="0085657D">
        <w:rPr>
          <w:rFonts w:ascii="Arial" w:hAnsi="Arial" w:cs="Arial"/>
        </w:rPr>
        <w:t xml:space="preserve"> pomoć</w:t>
      </w:r>
      <w:r w:rsidR="0017667C">
        <w:rPr>
          <w:rFonts w:ascii="Arial" w:hAnsi="Arial" w:cs="Arial"/>
        </w:rPr>
        <w:t>i</w:t>
      </w:r>
      <w:r w:rsidRPr="0085657D">
        <w:rPr>
          <w:rFonts w:ascii="Arial" w:hAnsi="Arial" w:cs="Arial"/>
        </w:rPr>
        <w:t>, i mogućnostima unapređenja ovog sistema</w:t>
      </w:r>
      <w:r w:rsidR="00C15038">
        <w:rPr>
          <w:rFonts w:ascii="Arial" w:hAnsi="Arial" w:cs="Arial"/>
        </w:rPr>
        <w:t>, uz postepeno povećanje broja kriterijuma po kojima je moguće prikazati podatke.</w:t>
      </w:r>
    </w:p>
    <w:p w14:paraId="598F373C" w14:textId="77777777" w:rsidR="00A53024" w:rsidRPr="0085657D" w:rsidRDefault="00A53024" w:rsidP="00595DE2">
      <w:pPr>
        <w:pStyle w:val="Heading3"/>
        <w:numPr>
          <w:ilvl w:val="2"/>
          <w:numId w:val="5"/>
        </w:numPr>
        <w:rPr>
          <w:rFonts w:ascii="Arial" w:hAnsi="Arial" w:cs="Arial"/>
          <w:sz w:val="22"/>
          <w:szCs w:val="22"/>
        </w:rPr>
      </w:pPr>
      <w:bookmarkStart w:id="31" w:name="_Toc208489185"/>
      <w:r w:rsidRPr="0085657D">
        <w:rPr>
          <w:rFonts w:ascii="Arial" w:hAnsi="Arial" w:cs="Arial"/>
          <w:sz w:val="22"/>
          <w:szCs w:val="22"/>
        </w:rPr>
        <w:t>Pravo na suđenje u razumnom roku</w:t>
      </w:r>
      <w:bookmarkEnd w:id="31"/>
    </w:p>
    <w:p w14:paraId="6646CFB6" w14:textId="582FD10C" w:rsidR="004E2D90" w:rsidRPr="0085657D" w:rsidRDefault="00AB5012" w:rsidP="00AB5012">
      <w:pPr>
        <w:spacing w:after="120" w:line="276" w:lineRule="auto"/>
        <w:rPr>
          <w:rFonts w:ascii="Arial" w:hAnsi="Arial" w:cs="Arial"/>
        </w:rPr>
      </w:pPr>
      <w:r w:rsidRPr="0085657D">
        <w:rPr>
          <w:rFonts w:ascii="Arial" w:hAnsi="Arial" w:cs="Arial"/>
        </w:rPr>
        <w:t xml:space="preserve">Kako je konstatovano u SRP 2024-2027. predugo trajanje sudskih postupaka i dalje predstavlja problem crnogorskog pravosuđa. Prosječno trajanje postupka u parničnim postupcima u prvom stepenu od 229 dana (u Evropi prosjek je 194 dana), dok je odnos između crnogorskog i evropskog prosjeka trajanja </w:t>
      </w:r>
      <w:r w:rsidR="00535F3E" w:rsidRPr="0085657D">
        <w:rPr>
          <w:rFonts w:ascii="Arial" w:hAnsi="Arial" w:cs="Arial"/>
        </w:rPr>
        <w:t>prvostepenih</w:t>
      </w:r>
      <w:r w:rsidRPr="0085657D">
        <w:rPr>
          <w:rFonts w:ascii="Arial" w:hAnsi="Arial" w:cs="Arial"/>
        </w:rPr>
        <w:t xml:space="preserve"> krivičnih predmeta 189 naspram 145 dana. Podaci o ukupnom trajanju postupka u više instanci i dalje nisu dostupni.</w:t>
      </w:r>
      <w:r w:rsidR="008B71A9" w:rsidRPr="0085657D">
        <w:rPr>
          <w:rFonts w:ascii="Arial" w:hAnsi="Arial" w:cs="Arial"/>
        </w:rPr>
        <w:t xml:space="preserve"> </w:t>
      </w:r>
    </w:p>
    <w:p w14:paraId="459B6DEE" w14:textId="50D80FC5" w:rsidR="00A53024" w:rsidRPr="0085657D" w:rsidRDefault="008B71A9" w:rsidP="00EB3FA6">
      <w:pPr>
        <w:spacing w:after="0" w:line="276" w:lineRule="auto"/>
        <w:rPr>
          <w:rFonts w:ascii="Arial" w:hAnsi="Arial" w:cs="Arial"/>
        </w:rPr>
      </w:pPr>
      <w:r w:rsidRPr="0085657D">
        <w:rPr>
          <w:rFonts w:ascii="Arial" w:hAnsi="Arial" w:cs="Arial"/>
        </w:rPr>
        <w:t>Oba podatka su podjednako ilustrativna u kontekstu ostvarivanja prava na suđenje u razumn</w:t>
      </w:r>
      <w:r w:rsidR="00535F3E" w:rsidRPr="0085657D">
        <w:rPr>
          <w:rFonts w:ascii="Arial" w:hAnsi="Arial" w:cs="Arial"/>
        </w:rPr>
        <w:t>o</w:t>
      </w:r>
      <w:r w:rsidRPr="0085657D">
        <w:rPr>
          <w:rFonts w:ascii="Arial" w:hAnsi="Arial" w:cs="Arial"/>
        </w:rPr>
        <w:t xml:space="preserve">m roku iz perspektive žrtve, imajući u vidu da u krivičnom postupku očekuju </w:t>
      </w:r>
      <w:r w:rsidR="00720B69" w:rsidRPr="0085657D">
        <w:rPr>
          <w:rFonts w:ascii="Arial" w:hAnsi="Arial" w:cs="Arial"/>
        </w:rPr>
        <w:t>rješavanje</w:t>
      </w:r>
      <w:r w:rsidRPr="0085657D">
        <w:rPr>
          <w:rFonts w:ascii="Arial" w:hAnsi="Arial" w:cs="Arial"/>
        </w:rPr>
        <w:t xml:space="preserve"> krivične stvari, dok iako odredbe ZKP-a ne predviđaju tako, </w:t>
      </w:r>
      <w:r w:rsidR="00D06074" w:rsidRPr="0085657D">
        <w:rPr>
          <w:rFonts w:ascii="Arial" w:hAnsi="Arial" w:cs="Arial"/>
        </w:rPr>
        <w:t>sudovi oštećene za potrebe ostvarivanja imovinsko</w:t>
      </w:r>
      <w:r w:rsidR="00CA4FE3">
        <w:rPr>
          <w:rFonts w:ascii="Arial" w:hAnsi="Arial" w:cs="Arial"/>
        </w:rPr>
        <w:t>-</w:t>
      </w:r>
      <w:r w:rsidR="00D06074" w:rsidRPr="0085657D">
        <w:rPr>
          <w:rFonts w:ascii="Arial" w:hAnsi="Arial" w:cs="Arial"/>
        </w:rPr>
        <w:t>pravnog zahtjeva</w:t>
      </w:r>
      <w:r w:rsidR="00535F3E" w:rsidRPr="0085657D">
        <w:rPr>
          <w:rFonts w:ascii="Arial" w:hAnsi="Arial" w:cs="Arial"/>
        </w:rPr>
        <w:t>, po pravilu, upućuju na parnicu, o čemu će kasnije biti više riječi.</w:t>
      </w:r>
    </w:p>
    <w:p w14:paraId="76D5241E" w14:textId="77777777" w:rsidR="00DD5503" w:rsidRPr="0085657D" w:rsidRDefault="00DD5503" w:rsidP="00DD5503">
      <w:pPr>
        <w:pStyle w:val="Default"/>
        <w:spacing w:after="160"/>
        <w:ind w:left="720"/>
        <w:rPr>
          <w:rFonts w:ascii="Arial" w:hAnsi="Arial" w:cs="Arial"/>
          <w:sz w:val="22"/>
          <w:szCs w:val="22"/>
          <w:lang w:val="sr-Latn-ME"/>
        </w:rPr>
      </w:pPr>
    </w:p>
    <w:p w14:paraId="69D778E0" w14:textId="77777777" w:rsidR="00A53024" w:rsidRPr="0085657D" w:rsidRDefault="00A53024" w:rsidP="00595DE2">
      <w:pPr>
        <w:pStyle w:val="Heading3"/>
        <w:numPr>
          <w:ilvl w:val="2"/>
          <w:numId w:val="5"/>
        </w:numPr>
        <w:spacing w:before="0" w:after="240"/>
        <w:ind w:left="1077"/>
        <w:rPr>
          <w:rFonts w:ascii="Arial" w:hAnsi="Arial" w:cs="Arial"/>
          <w:sz w:val="22"/>
          <w:szCs w:val="22"/>
        </w:rPr>
      </w:pPr>
      <w:bookmarkStart w:id="32" w:name="_Toc208489186"/>
      <w:r w:rsidRPr="0085657D">
        <w:rPr>
          <w:rFonts w:ascii="Arial" w:hAnsi="Arial" w:cs="Arial"/>
          <w:sz w:val="22"/>
          <w:szCs w:val="22"/>
        </w:rPr>
        <w:t>Reparacije</w:t>
      </w:r>
      <w:bookmarkEnd w:id="32"/>
      <w:r w:rsidRPr="0085657D">
        <w:rPr>
          <w:rFonts w:ascii="Arial" w:hAnsi="Arial" w:cs="Arial"/>
          <w:sz w:val="22"/>
          <w:szCs w:val="22"/>
        </w:rPr>
        <w:t xml:space="preserve"> </w:t>
      </w:r>
    </w:p>
    <w:p w14:paraId="06115A4F" w14:textId="77777777" w:rsidR="00DA03C1" w:rsidRDefault="004166EE" w:rsidP="00754485">
      <w:pPr>
        <w:spacing w:after="120" w:line="276" w:lineRule="auto"/>
        <w:rPr>
          <w:rFonts w:ascii="Arial" w:hAnsi="Arial" w:cs="Arial"/>
        </w:rPr>
      </w:pPr>
      <w:r w:rsidRPr="0085657D">
        <w:rPr>
          <w:rFonts w:ascii="Arial" w:hAnsi="Arial" w:cs="Arial"/>
        </w:rPr>
        <w:t>Iako su odredbe ZKP-a kojima se uređuje ostvarivanje imovinsko</w:t>
      </w:r>
      <w:r w:rsidR="00CA4FE3">
        <w:rPr>
          <w:rFonts w:ascii="Arial" w:hAnsi="Arial" w:cs="Arial"/>
        </w:rPr>
        <w:t>-</w:t>
      </w:r>
      <w:r w:rsidRPr="0085657D">
        <w:rPr>
          <w:rFonts w:ascii="Arial" w:hAnsi="Arial" w:cs="Arial"/>
        </w:rPr>
        <w:t>pravnog zahtjeva adekvatne, u</w:t>
      </w:r>
      <w:r w:rsidR="00754485" w:rsidRPr="0085657D">
        <w:rPr>
          <w:rFonts w:ascii="Arial" w:hAnsi="Arial" w:cs="Arial"/>
        </w:rPr>
        <w:t xml:space="preserve"> crnogorskom pravosudnom sistemu, imovinsko</w:t>
      </w:r>
      <w:r w:rsidR="00CA4FE3">
        <w:rPr>
          <w:rFonts w:ascii="Arial" w:hAnsi="Arial" w:cs="Arial"/>
        </w:rPr>
        <w:t>-</w:t>
      </w:r>
      <w:r w:rsidR="00754485" w:rsidRPr="0085657D">
        <w:rPr>
          <w:rFonts w:ascii="Arial" w:hAnsi="Arial" w:cs="Arial"/>
        </w:rPr>
        <w:t>pravni zahtjevi oštećenih, odnosno žrtava</w:t>
      </w:r>
      <w:r w:rsidR="0017667C">
        <w:rPr>
          <w:rFonts w:ascii="Arial" w:hAnsi="Arial" w:cs="Arial"/>
        </w:rPr>
        <w:t xml:space="preserve">, </w:t>
      </w:r>
      <w:r w:rsidRPr="0085657D">
        <w:rPr>
          <w:rFonts w:ascii="Arial" w:hAnsi="Arial" w:cs="Arial"/>
        </w:rPr>
        <w:t>već decenijama</w:t>
      </w:r>
      <w:r w:rsidR="00754485" w:rsidRPr="0085657D">
        <w:rPr>
          <w:rFonts w:ascii="Arial" w:hAnsi="Arial" w:cs="Arial"/>
        </w:rPr>
        <w:t xml:space="preserve"> se najčešće ostvaruju putem parničnog postupka, budući da sudovi uz obrazloženje </w:t>
      </w:r>
      <w:r w:rsidR="00754485" w:rsidRPr="0085657D">
        <w:rPr>
          <w:rFonts w:ascii="Arial" w:hAnsi="Arial" w:cs="Arial"/>
        </w:rPr>
        <w:lastRenderedPageBreak/>
        <w:t>da bi se odlučivanjem o imovinsko</w:t>
      </w:r>
      <w:r w:rsidR="00CA4FE3">
        <w:rPr>
          <w:rFonts w:ascii="Arial" w:hAnsi="Arial" w:cs="Arial"/>
        </w:rPr>
        <w:t>-</w:t>
      </w:r>
      <w:r w:rsidR="00754485" w:rsidRPr="0085657D">
        <w:rPr>
          <w:rFonts w:ascii="Arial" w:hAnsi="Arial" w:cs="Arial"/>
        </w:rPr>
        <w:t>pravnom zahtjevu u krivičnom postupku značajno odugovlačio krivični postupak, upućuju oštećene da imovinsko</w:t>
      </w:r>
      <w:r w:rsidR="00CA4FE3">
        <w:rPr>
          <w:rFonts w:ascii="Arial" w:hAnsi="Arial" w:cs="Arial"/>
        </w:rPr>
        <w:t>-</w:t>
      </w:r>
      <w:r w:rsidR="00754485" w:rsidRPr="0085657D">
        <w:rPr>
          <w:rFonts w:ascii="Arial" w:hAnsi="Arial" w:cs="Arial"/>
        </w:rPr>
        <w:t xml:space="preserve">pravni zahtjev ostvaruju u parničnom postupku. </w:t>
      </w:r>
    </w:p>
    <w:p w14:paraId="52EFA079" w14:textId="77777777" w:rsidR="00DA03C1" w:rsidRDefault="00DA03C1" w:rsidP="00754485">
      <w:pPr>
        <w:spacing w:after="120" w:line="276" w:lineRule="auto"/>
        <w:rPr>
          <w:rFonts w:ascii="Arial" w:hAnsi="Arial" w:cs="Arial"/>
        </w:rPr>
      </w:pPr>
    </w:p>
    <w:p w14:paraId="0A450B76" w14:textId="62C24C22" w:rsidR="00754485" w:rsidRPr="0085657D" w:rsidRDefault="00754485" w:rsidP="00754485">
      <w:pPr>
        <w:spacing w:after="120" w:line="276" w:lineRule="auto"/>
        <w:rPr>
          <w:rFonts w:ascii="Arial" w:hAnsi="Arial" w:cs="Arial"/>
        </w:rPr>
      </w:pPr>
      <w:r w:rsidRPr="0085657D">
        <w:rPr>
          <w:rFonts w:ascii="Arial" w:hAnsi="Arial" w:cs="Arial"/>
        </w:rPr>
        <w:t>Ova praksa, načelno omogućava žrtvama da ostvare naknadu štete, ali su prinuđene da to čine u postupku u kojem su „ravnopravna“ strana tuženom (odnosno osuđenom) bez obezb</w:t>
      </w:r>
      <w:r w:rsidR="0017667C">
        <w:rPr>
          <w:rFonts w:ascii="Arial" w:hAnsi="Arial" w:cs="Arial"/>
        </w:rPr>
        <w:t>i</w:t>
      </w:r>
      <w:r w:rsidRPr="0085657D">
        <w:rPr>
          <w:rFonts w:ascii="Arial" w:hAnsi="Arial" w:cs="Arial"/>
        </w:rPr>
        <w:t>jeđenih mjera podrške, pomoći i zaštite.</w:t>
      </w:r>
      <w:r w:rsidR="004166EE" w:rsidRPr="0085657D">
        <w:rPr>
          <w:rFonts w:ascii="Arial" w:hAnsi="Arial" w:cs="Arial"/>
        </w:rPr>
        <w:t xml:space="preserve"> Pored toga, na ovaj način se postupak ostvarivanja ovog prava dodatno odugovlači, stvaraju se dodatni troškovi za žrtve, a pravosudni sistem Crne Gore opterećuje dodatnim parničnim predmetima.  </w:t>
      </w:r>
    </w:p>
    <w:p w14:paraId="15D5586E" w14:textId="2060E9A6" w:rsidR="00B81199" w:rsidRPr="0085657D" w:rsidRDefault="004166EE" w:rsidP="00754485">
      <w:pPr>
        <w:spacing w:after="120" w:line="276" w:lineRule="auto"/>
        <w:rPr>
          <w:rFonts w:ascii="Arial" w:hAnsi="Arial" w:cs="Arial"/>
        </w:rPr>
      </w:pPr>
      <w:r w:rsidRPr="0085657D">
        <w:rPr>
          <w:rFonts w:ascii="Arial" w:hAnsi="Arial" w:cs="Arial"/>
        </w:rPr>
        <w:t xml:space="preserve">Jedan od osnovnih razloga </w:t>
      </w:r>
      <w:r w:rsidR="00476247" w:rsidRPr="0085657D">
        <w:rPr>
          <w:rFonts w:ascii="Arial" w:hAnsi="Arial" w:cs="Arial"/>
        </w:rPr>
        <w:t>za postojanje navedenog problema leži u činjenici da se oštećeni</w:t>
      </w:r>
      <w:r w:rsidR="00350E81" w:rsidRPr="0085657D">
        <w:rPr>
          <w:rFonts w:ascii="Arial" w:hAnsi="Arial" w:cs="Arial"/>
        </w:rPr>
        <w:t>ma</w:t>
      </w:r>
      <w:r w:rsidR="00476247" w:rsidRPr="0085657D">
        <w:rPr>
          <w:rFonts w:ascii="Arial" w:hAnsi="Arial" w:cs="Arial"/>
        </w:rPr>
        <w:t xml:space="preserve"> </w:t>
      </w:r>
      <w:r w:rsidR="00350E81" w:rsidRPr="0085657D">
        <w:rPr>
          <w:rFonts w:ascii="Arial" w:hAnsi="Arial" w:cs="Arial"/>
        </w:rPr>
        <w:t>rijetko dosuđuje naknada</w:t>
      </w:r>
      <w:r w:rsidR="00476247" w:rsidRPr="0085657D">
        <w:rPr>
          <w:rFonts w:ascii="Arial" w:hAnsi="Arial" w:cs="Arial"/>
        </w:rPr>
        <w:t xml:space="preserve"> </w:t>
      </w:r>
      <w:r w:rsidR="00350E81" w:rsidRPr="0085657D">
        <w:rPr>
          <w:rFonts w:ascii="Arial" w:hAnsi="Arial" w:cs="Arial"/>
        </w:rPr>
        <w:t xml:space="preserve">na ime postavljenog </w:t>
      </w:r>
      <w:r w:rsidR="00476247" w:rsidRPr="0085657D">
        <w:rPr>
          <w:rFonts w:ascii="Arial" w:hAnsi="Arial" w:cs="Arial"/>
        </w:rPr>
        <w:t>imovinsko</w:t>
      </w:r>
      <w:r w:rsidR="00CA4FE3">
        <w:rPr>
          <w:rFonts w:ascii="Arial" w:hAnsi="Arial" w:cs="Arial"/>
        </w:rPr>
        <w:t>-</w:t>
      </w:r>
      <w:r w:rsidR="00476247" w:rsidRPr="0085657D">
        <w:rPr>
          <w:rFonts w:ascii="Arial" w:hAnsi="Arial" w:cs="Arial"/>
        </w:rPr>
        <w:t>pravnog zahtjeva</w:t>
      </w:r>
      <w:r w:rsidR="00350E81" w:rsidRPr="0085657D">
        <w:rPr>
          <w:rFonts w:ascii="Arial" w:hAnsi="Arial" w:cs="Arial"/>
        </w:rPr>
        <w:t xml:space="preserve"> u krivičnom postupku. </w:t>
      </w:r>
      <w:r w:rsidR="00476247" w:rsidRPr="0085657D">
        <w:rPr>
          <w:rFonts w:ascii="Arial" w:hAnsi="Arial" w:cs="Arial"/>
        </w:rPr>
        <w:t xml:space="preserve">Ovo je </w:t>
      </w:r>
      <w:r w:rsidR="00350E81" w:rsidRPr="0085657D">
        <w:rPr>
          <w:rFonts w:ascii="Arial" w:hAnsi="Arial" w:cs="Arial"/>
        </w:rPr>
        <w:t>najčešće</w:t>
      </w:r>
      <w:r w:rsidR="00476247" w:rsidRPr="0085657D">
        <w:rPr>
          <w:rFonts w:ascii="Arial" w:hAnsi="Arial" w:cs="Arial"/>
        </w:rPr>
        <w:t xml:space="preserve"> uzrokovano činjenicom da</w:t>
      </w:r>
      <w:r w:rsidR="00350E81" w:rsidRPr="0085657D">
        <w:rPr>
          <w:rFonts w:ascii="Arial" w:hAnsi="Arial" w:cs="Arial"/>
        </w:rPr>
        <w:t xml:space="preserve"> u krivičnom postupku nije moguće, bez vještačenja, precizno opredijeliti vrstu i visinu štete, a što u krivičnom postupku može dovesti do odugovlačenja postupka.</w:t>
      </w:r>
    </w:p>
    <w:p w14:paraId="34AE2E08" w14:textId="40F03DBA" w:rsidR="007E4389" w:rsidRPr="0085657D" w:rsidRDefault="001B6125" w:rsidP="00754485">
      <w:pPr>
        <w:spacing w:after="120" w:line="276" w:lineRule="auto"/>
        <w:rPr>
          <w:rFonts w:ascii="Arial" w:hAnsi="Arial" w:cs="Arial"/>
        </w:rPr>
      </w:pPr>
      <w:r w:rsidRPr="0085657D">
        <w:rPr>
          <w:rFonts w:ascii="Arial" w:hAnsi="Arial" w:cs="Arial"/>
        </w:rPr>
        <w:t>Kada je rij</w:t>
      </w:r>
      <w:r w:rsidR="00802F09" w:rsidRPr="0085657D">
        <w:rPr>
          <w:rFonts w:ascii="Arial" w:hAnsi="Arial" w:cs="Arial"/>
        </w:rPr>
        <w:t>eč o žrtvama koje nemaju stručnu pomoć advokata-punomoćnika oštećenog, od velikog značaja je, ne samo da budu blagovremeno i adekvatno informisane da mogu istaći imovinsko</w:t>
      </w:r>
      <w:r w:rsidR="00CA4FE3">
        <w:rPr>
          <w:rFonts w:ascii="Arial" w:hAnsi="Arial" w:cs="Arial"/>
        </w:rPr>
        <w:t>-</w:t>
      </w:r>
      <w:r w:rsidR="00802F09" w:rsidRPr="0085657D">
        <w:rPr>
          <w:rFonts w:ascii="Arial" w:hAnsi="Arial" w:cs="Arial"/>
        </w:rPr>
        <w:t xml:space="preserve">pravni zahtjev, već i da dobiju pomoć da to i učine. </w:t>
      </w:r>
    </w:p>
    <w:p w14:paraId="1928B9FB" w14:textId="787813A9" w:rsidR="001B6125" w:rsidRPr="0085657D" w:rsidRDefault="00802F09" w:rsidP="00754485">
      <w:pPr>
        <w:spacing w:after="120" w:line="276" w:lineRule="auto"/>
        <w:rPr>
          <w:rFonts w:ascii="Arial" w:hAnsi="Arial" w:cs="Arial"/>
        </w:rPr>
      </w:pPr>
      <w:r w:rsidRPr="0085657D">
        <w:rPr>
          <w:rFonts w:ascii="Arial" w:hAnsi="Arial" w:cs="Arial"/>
        </w:rPr>
        <w:t xml:space="preserve">U uporednoj praksi, uobičajeno </w:t>
      </w:r>
      <w:r w:rsidR="00EE5627">
        <w:rPr>
          <w:rFonts w:ascii="Arial" w:hAnsi="Arial" w:cs="Arial"/>
        </w:rPr>
        <w:t xml:space="preserve">je </w:t>
      </w:r>
      <w:r w:rsidRPr="0085657D">
        <w:rPr>
          <w:rFonts w:ascii="Arial" w:hAnsi="Arial" w:cs="Arial"/>
        </w:rPr>
        <w:t xml:space="preserve">da ovu vrstu pomoći žrtva dobije od strane službe podrške žrtvama, koristeći standardizovani obrazac. Kako u Crnoj Gori ni jedno, ni drugo i dalje ne postoji, za žrtve koje nemaju stručnu pomoć advokata, gotovo je nemoguće da </w:t>
      </w:r>
      <w:r w:rsidR="00AA419E" w:rsidRPr="0085657D">
        <w:rPr>
          <w:rFonts w:ascii="Arial" w:hAnsi="Arial" w:cs="Arial"/>
        </w:rPr>
        <w:t>samostalno učine bilo šta više od izjave da ističu imovinsko</w:t>
      </w:r>
      <w:r w:rsidR="0017667C">
        <w:rPr>
          <w:rFonts w:ascii="Arial" w:hAnsi="Arial" w:cs="Arial"/>
        </w:rPr>
        <w:t>-</w:t>
      </w:r>
      <w:r w:rsidR="00AA419E" w:rsidRPr="0085657D">
        <w:rPr>
          <w:rFonts w:ascii="Arial" w:hAnsi="Arial" w:cs="Arial"/>
        </w:rPr>
        <w:t>pravni zahtjev, odnosno teško da mogu imati neophodna znanja i vještine da takav zahtjev opredijele i potkrijepe dokazima.</w:t>
      </w:r>
    </w:p>
    <w:p w14:paraId="0139001C" w14:textId="5B7CD9CB" w:rsidR="00C47459" w:rsidRDefault="00B81199" w:rsidP="00754485">
      <w:pPr>
        <w:spacing w:after="120" w:line="276" w:lineRule="auto"/>
        <w:rPr>
          <w:rFonts w:ascii="Arial" w:hAnsi="Arial" w:cs="Arial"/>
        </w:rPr>
      </w:pPr>
      <w:r w:rsidRPr="0085657D">
        <w:rPr>
          <w:rFonts w:ascii="Arial" w:hAnsi="Arial" w:cs="Arial"/>
        </w:rPr>
        <w:t>Istovremeno</w:t>
      </w:r>
      <w:r w:rsidR="00AA419E" w:rsidRPr="0085657D">
        <w:rPr>
          <w:rFonts w:ascii="Arial" w:hAnsi="Arial" w:cs="Arial"/>
        </w:rPr>
        <w:t>,</w:t>
      </w:r>
      <w:r w:rsidR="00476247" w:rsidRPr="0085657D">
        <w:rPr>
          <w:rFonts w:ascii="Arial" w:hAnsi="Arial" w:cs="Arial"/>
        </w:rPr>
        <w:t xml:space="preserve"> organi postupka</w:t>
      </w:r>
      <w:r w:rsidRPr="0085657D">
        <w:rPr>
          <w:rFonts w:ascii="Arial" w:hAnsi="Arial" w:cs="Arial"/>
        </w:rPr>
        <w:t xml:space="preserve"> nerijetko</w:t>
      </w:r>
      <w:r w:rsidR="00476247" w:rsidRPr="0085657D">
        <w:rPr>
          <w:rFonts w:ascii="Arial" w:hAnsi="Arial" w:cs="Arial"/>
        </w:rPr>
        <w:t xml:space="preserve"> propuštaju da</w:t>
      </w:r>
      <w:r w:rsidRPr="0085657D">
        <w:rPr>
          <w:rFonts w:ascii="Arial" w:hAnsi="Arial" w:cs="Arial"/>
        </w:rPr>
        <w:t>, prvenstveno tokom istrage, prikupljaju dokaze od značaja za odluku o imovinsko</w:t>
      </w:r>
      <w:r w:rsidR="00CA4FE3">
        <w:rPr>
          <w:rFonts w:ascii="Arial" w:hAnsi="Arial" w:cs="Arial"/>
        </w:rPr>
        <w:t>-</w:t>
      </w:r>
      <w:r w:rsidRPr="0085657D">
        <w:rPr>
          <w:rFonts w:ascii="Arial" w:hAnsi="Arial" w:cs="Arial"/>
        </w:rPr>
        <w:t>pravnom zahtjevu, što u kasnijoj fazi postupka utiče na procjenu da bi prikupljanje takvih dokaza dovelo do značajnog odugovlačenja krivičnog postupka.</w:t>
      </w:r>
    </w:p>
    <w:p w14:paraId="4FEF12A1" w14:textId="7B302644" w:rsidR="00B81199" w:rsidRPr="0085657D" w:rsidRDefault="00834BB7" w:rsidP="00754485">
      <w:pPr>
        <w:spacing w:after="120" w:line="276" w:lineRule="auto"/>
        <w:rPr>
          <w:rFonts w:ascii="Arial" w:hAnsi="Arial" w:cs="Arial"/>
        </w:rPr>
      </w:pPr>
      <w:r w:rsidRPr="0085657D">
        <w:rPr>
          <w:rFonts w:ascii="Arial" w:hAnsi="Arial" w:cs="Arial"/>
        </w:rPr>
        <w:t>Konačno</w:t>
      </w:r>
      <w:r w:rsidR="00B81199" w:rsidRPr="0085657D">
        <w:rPr>
          <w:rFonts w:ascii="Arial" w:hAnsi="Arial" w:cs="Arial"/>
        </w:rPr>
        <w:t xml:space="preserve">, značajnu prepreku predstavlja i </w:t>
      </w:r>
      <w:r w:rsidR="007E4389" w:rsidRPr="0085657D">
        <w:rPr>
          <w:rFonts w:ascii="Arial" w:hAnsi="Arial" w:cs="Arial"/>
        </w:rPr>
        <w:t>to što</w:t>
      </w:r>
      <w:r w:rsidR="00B81199" w:rsidRPr="0085657D">
        <w:rPr>
          <w:rFonts w:ascii="Arial" w:hAnsi="Arial" w:cs="Arial"/>
        </w:rPr>
        <w:t>, uprkos činjenici da postupanje određenog sudije u krivičnoj ili građanskoj materiji zavisi isključivo od godišnjeg rasporeda poslova u sudu, značajan procenat sudija gotovo čitavu karijeru provede u jednoj (u ovom slučaju krivičnoj materiji), što ih čini uskraćenim za praksu odlučivanja o imovinskim zahtjevima.</w:t>
      </w:r>
      <w:r w:rsidR="00731397" w:rsidRPr="0085657D">
        <w:rPr>
          <w:rFonts w:ascii="Arial" w:hAnsi="Arial" w:cs="Arial"/>
        </w:rPr>
        <w:t xml:space="preserve"> </w:t>
      </w:r>
      <w:bookmarkStart w:id="33" w:name="_Hlk196475023"/>
      <w:r w:rsidR="00745694" w:rsidRPr="0085657D">
        <w:rPr>
          <w:rFonts w:ascii="Arial" w:hAnsi="Arial" w:cs="Arial"/>
        </w:rPr>
        <w:t>Izrada s</w:t>
      </w:r>
      <w:r w:rsidR="00745694" w:rsidRPr="0085657D">
        <w:rPr>
          <w:rFonts w:ascii="Arial" w:hAnsi="Arial" w:cs="Arial"/>
          <w:lang w:val="en-US"/>
        </w:rPr>
        <w:t>mjernica</w:t>
      </w:r>
      <w:r w:rsidR="00745694" w:rsidRPr="0085657D">
        <w:rPr>
          <w:rFonts w:ascii="Arial" w:hAnsi="Arial" w:cs="Arial"/>
        </w:rPr>
        <w:t xml:space="preserve"> </w:t>
      </w:r>
      <w:r w:rsidR="00745694" w:rsidRPr="0085657D">
        <w:rPr>
          <w:rFonts w:ascii="Arial" w:hAnsi="Arial" w:cs="Arial"/>
          <w:lang w:val="en-US"/>
        </w:rPr>
        <w:t>za</w:t>
      </w:r>
      <w:r w:rsidR="00745694" w:rsidRPr="0085657D">
        <w:rPr>
          <w:rFonts w:ascii="Arial" w:hAnsi="Arial" w:cs="Arial"/>
        </w:rPr>
        <w:t xml:space="preserve"> </w:t>
      </w:r>
      <w:r w:rsidR="00745694" w:rsidRPr="0085657D">
        <w:rPr>
          <w:rFonts w:ascii="Arial" w:hAnsi="Arial" w:cs="Arial"/>
          <w:lang w:val="en-US"/>
        </w:rPr>
        <w:t>sudije</w:t>
      </w:r>
      <w:r w:rsidR="00745694" w:rsidRPr="0085657D">
        <w:rPr>
          <w:rFonts w:ascii="Arial" w:hAnsi="Arial" w:cs="Arial"/>
        </w:rPr>
        <w:t xml:space="preserve"> </w:t>
      </w:r>
      <w:r w:rsidR="00745694" w:rsidRPr="0085657D">
        <w:rPr>
          <w:rFonts w:ascii="Arial" w:hAnsi="Arial" w:cs="Arial"/>
          <w:lang w:val="en-US"/>
        </w:rPr>
        <w:t>i</w:t>
      </w:r>
      <w:r w:rsidR="00745694" w:rsidRPr="0085657D">
        <w:rPr>
          <w:rFonts w:ascii="Arial" w:hAnsi="Arial" w:cs="Arial"/>
        </w:rPr>
        <w:t xml:space="preserve"> </w:t>
      </w:r>
      <w:r w:rsidR="00745694" w:rsidRPr="0085657D">
        <w:rPr>
          <w:rFonts w:ascii="Arial" w:hAnsi="Arial" w:cs="Arial"/>
          <w:lang w:val="en-US"/>
        </w:rPr>
        <w:t>dr</w:t>
      </w:r>
      <w:r w:rsidR="00745694" w:rsidRPr="0085657D">
        <w:rPr>
          <w:rFonts w:ascii="Arial" w:hAnsi="Arial" w:cs="Arial"/>
        </w:rPr>
        <w:t>ž</w:t>
      </w:r>
      <w:r w:rsidR="00745694" w:rsidRPr="0085657D">
        <w:rPr>
          <w:rFonts w:ascii="Arial" w:hAnsi="Arial" w:cs="Arial"/>
          <w:lang w:val="en-US"/>
        </w:rPr>
        <w:t>avne</w:t>
      </w:r>
      <w:r w:rsidR="00745694" w:rsidRPr="0085657D">
        <w:rPr>
          <w:rFonts w:ascii="Arial" w:hAnsi="Arial" w:cs="Arial"/>
        </w:rPr>
        <w:t xml:space="preserve"> </w:t>
      </w:r>
      <w:r w:rsidR="00745694" w:rsidRPr="0085657D">
        <w:rPr>
          <w:rFonts w:ascii="Arial" w:hAnsi="Arial" w:cs="Arial"/>
          <w:lang w:val="en-US"/>
        </w:rPr>
        <w:t>tu</w:t>
      </w:r>
      <w:r w:rsidR="00745694" w:rsidRPr="0085657D">
        <w:rPr>
          <w:rFonts w:ascii="Arial" w:hAnsi="Arial" w:cs="Arial"/>
        </w:rPr>
        <w:t>ž</w:t>
      </w:r>
      <w:r w:rsidR="00745694" w:rsidRPr="0085657D">
        <w:rPr>
          <w:rFonts w:ascii="Arial" w:hAnsi="Arial" w:cs="Arial"/>
          <w:lang w:val="en-US"/>
        </w:rPr>
        <w:t>ioce</w:t>
      </w:r>
      <w:r w:rsidR="00745694" w:rsidRPr="0085657D">
        <w:rPr>
          <w:rFonts w:ascii="Arial" w:hAnsi="Arial" w:cs="Arial"/>
        </w:rPr>
        <w:t xml:space="preserve"> </w:t>
      </w:r>
      <w:r w:rsidR="00745694" w:rsidRPr="0085657D">
        <w:rPr>
          <w:rFonts w:ascii="Arial" w:hAnsi="Arial" w:cs="Arial"/>
          <w:lang w:val="en-US"/>
        </w:rPr>
        <w:t>u</w:t>
      </w:r>
      <w:r w:rsidR="00745694" w:rsidRPr="0085657D">
        <w:rPr>
          <w:rFonts w:ascii="Arial" w:hAnsi="Arial" w:cs="Arial"/>
        </w:rPr>
        <w:t xml:space="preserve"> </w:t>
      </w:r>
      <w:r w:rsidR="00745694" w:rsidRPr="0085657D">
        <w:rPr>
          <w:rFonts w:ascii="Arial" w:hAnsi="Arial" w:cs="Arial"/>
          <w:lang w:val="en-US"/>
        </w:rPr>
        <w:t>postupcima</w:t>
      </w:r>
      <w:r w:rsidR="00745694" w:rsidRPr="0085657D">
        <w:rPr>
          <w:rFonts w:ascii="Arial" w:hAnsi="Arial" w:cs="Arial"/>
        </w:rPr>
        <w:t xml:space="preserve"> </w:t>
      </w:r>
      <w:r w:rsidR="00745694" w:rsidRPr="0085657D">
        <w:rPr>
          <w:rFonts w:ascii="Arial" w:hAnsi="Arial" w:cs="Arial"/>
          <w:lang w:val="en-US"/>
        </w:rPr>
        <w:t>povodom</w:t>
      </w:r>
      <w:r w:rsidR="00745694" w:rsidRPr="0085657D">
        <w:rPr>
          <w:rFonts w:ascii="Arial" w:hAnsi="Arial" w:cs="Arial"/>
        </w:rPr>
        <w:t xml:space="preserve"> </w:t>
      </w:r>
      <w:r w:rsidR="00745694" w:rsidRPr="0085657D">
        <w:rPr>
          <w:rFonts w:ascii="Arial" w:hAnsi="Arial" w:cs="Arial"/>
          <w:lang w:val="en-US"/>
        </w:rPr>
        <w:t>ostvarivanja</w:t>
      </w:r>
      <w:r w:rsidR="00745694" w:rsidRPr="0085657D">
        <w:rPr>
          <w:rFonts w:ascii="Arial" w:hAnsi="Arial" w:cs="Arial"/>
        </w:rPr>
        <w:t xml:space="preserve"> </w:t>
      </w:r>
      <w:r w:rsidR="00745694" w:rsidRPr="0085657D">
        <w:rPr>
          <w:rFonts w:ascii="Arial" w:hAnsi="Arial" w:cs="Arial"/>
          <w:lang w:val="en-US"/>
        </w:rPr>
        <w:t>imovinsko</w:t>
      </w:r>
      <w:r w:rsidR="00745694" w:rsidRPr="0085657D">
        <w:rPr>
          <w:rFonts w:ascii="Arial" w:hAnsi="Arial" w:cs="Arial"/>
        </w:rPr>
        <w:t>-</w:t>
      </w:r>
      <w:r w:rsidR="00745694" w:rsidRPr="0085657D">
        <w:rPr>
          <w:rFonts w:ascii="Arial" w:hAnsi="Arial" w:cs="Arial"/>
          <w:lang w:val="en-US"/>
        </w:rPr>
        <w:t>pravnog</w:t>
      </w:r>
      <w:r w:rsidR="00745694" w:rsidRPr="0085657D">
        <w:rPr>
          <w:rFonts w:ascii="Arial" w:hAnsi="Arial" w:cs="Arial"/>
        </w:rPr>
        <w:t xml:space="preserve"> </w:t>
      </w:r>
      <w:r w:rsidR="00745694" w:rsidRPr="0085657D">
        <w:rPr>
          <w:rFonts w:ascii="Arial" w:hAnsi="Arial" w:cs="Arial"/>
          <w:lang w:val="en-US"/>
        </w:rPr>
        <w:t>zahtjeva</w:t>
      </w:r>
      <w:r w:rsidR="00745694" w:rsidRPr="0085657D">
        <w:rPr>
          <w:rFonts w:ascii="Arial" w:hAnsi="Arial" w:cs="Arial"/>
        </w:rPr>
        <w:t xml:space="preserve"> </w:t>
      </w:r>
      <w:r w:rsidR="00745694" w:rsidRPr="0085657D">
        <w:rPr>
          <w:rFonts w:ascii="Arial" w:hAnsi="Arial" w:cs="Arial"/>
          <w:lang w:val="en-US"/>
        </w:rPr>
        <w:t>za</w:t>
      </w:r>
      <w:r w:rsidR="00745694" w:rsidRPr="0085657D">
        <w:rPr>
          <w:rFonts w:ascii="Arial" w:hAnsi="Arial" w:cs="Arial"/>
        </w:rPr>
        <w:t xml:space="preserve"> ž</w:t>
      </w:r>
      <w:r w:rsidR="00745694" w:rsidRPr="0085657D">
        <w:rPr>
          <w:rFonts w:ascii="Arial" w:hAnsi="Arial" w:cs="Arial"/>
          <w:lang w:val="en-US"/>
        </w:rPr>
        <w:t>rtve</w:t>
      </w:r>
      <w:r w:rsidR="00745694" w:rsidRPr="0085657D">
        <w:rPr>
          <w:rFonts w:ascii="Arial" w:hAnsi="Arial" w:cs="Arial"/>
        </w:rPr>
        <w:t xml:space="preserve"> </w:t>
      </w:r>
      <w:r w:rsidR="00745694" w:rsidRPr="0085657D">
        <w:rPr>
          <w:rFonts w:ascii="Arial" w:hAnsi="Arial" w:cs="Arial"/>
          <w:lang w:val="en-US"/>
        </w:rPr>
        <w:t>krivi</w:t>
      </w:r>
      <w:r w:rsidR="00745694" w:rsidRPr="0085657D">
        <w:rPr>
          <w:rFonts w:ascii="Arial" w:hAnsi="Arial" w:cs="Arial"/>
        </w:rPr>
        <w:t>č</w:t>
      </w:r>
      <w:r w:rsidR="00745694" w:rsidRPr="0085657D">
        <w:rPr>
          <w:rFonts w:ascii="Arial" w:hAnsi="Arial" w:cs="Arial"/>
          <w:lang w:val="en-US"/>
        </w:rPr>
        <w:t>nog</w:t>
      </w:r>
      <w:r w:rsidR="00745694" w:rsidRPr="0085657D">
        <w:rPr>
          <w:rFonts w:ascii="Arial" w:hAnsi="Arial" w:cs="Arial"/>
        </w:rPr>
        <w:t xml:space="preserve"> </w:t>
      </w:r>
      <w:r w:rsidR="00745694" w:rsidRPr="0085657D">
        <w:rPr>
          <w:rFonts w:ascii="Arial" w:hAnsi="Arial" w:cs="Arial"/>
          <w:lang w:val="en-US"/>
        </w:rPr>
        <w:t>djela</w:t>
      </w:r>
      <w:r w:rsidR="00745694" w:rsidRPr="0085657D">
        <w:rPr>
          <w:rFonts w:ascii="Arial" w:hAnsi="Arial" w:cs="Arial"/>
        </w:rPr>
        <w:t xml:space="preserve"> </w:t>
      </w:r>
      <w:r w:rsidR="00745694" w:rsidRPr="0085657D">
        <w:rPr>
          <w:rFonts w:ascii="Arial" w:hAnsi="Arial" w:cs="Arial"/>
          <w:lang w:val="en-US"/>
        </w:rPr>
        <w:t>trgovina</w:t>
      </w:r>
      <w:r w:rsidR="00745694" w:rsidRPr="0085657D">
        <w:rPr>
          <w:rFonts w:ascii="Arial" w:hAnsi="Arial" w:cs="Arial"/>
        </w:rPr>
        <w:t xml:space="preserve"> </w:t>
      </w:r>
      <w:r w:rsidR="00745694" w:rsidRPr="0085657D">
        <w:rPr>
          <w:rFonts w:ascii="Arial" w:hAnsi="Arial" w:cs="Arial"/>
          <w:lang w:val="en-US"/>
        </w:rPr>
        <w:t>ljudima</w:t>
      </w:r>
      <w:r w:rsidR="00745694" w:rsidRPr="0085657D">
        <w:rPr>
          <w:rFonts w:ascii="Arial" w:hAnsi="Arial" w:cs="Arial"/>
        </w:rPr>
        <w:t xml:space="preserve"> jedna je od mjera predviđenih planom rada Vrhovnog suda Crne Gore za 2025. godinu</w:t>
      </w:r>
      <w:r w:rsidR="00745694" w:rsidRPr="0085657D">
        <w:rPr>
          <w:rStyle w:val="FootnoteReference"/>
          <w:rFonts w:ascii="Arial" w:hAnsi="Arial" w:cs="Arial"/>
        </w:rPr>
        <w:footnoteReference w:id="45"/>
      </w:r>
      <w:r w:rsidR="00745694" w:rsidRPr="0085657D">
        <w:rPr>
          <w:rFonts w:ascii="Arial" w:hAnsi="Arial" w:cs="Arial"/>
        </w:rPr>
        <w:t xml:space="preserve">. Iako ovo predstavlja korak naprijed u ostvarivanju prava žrtava, potrebno je izraditi ovakve smjernice za sve žrtve koje ostvaruju imovinsko-pravni zahtjev. </w:t>
      </w:r>
      <w:bookmarkEnd w:id="33"/>
    </w:p>
    <w:p w14:paraId="21AA999C" w14:textId="77777777" w:rsidR="007E4389" w:rsidRPr="0085657D" w:rsidRDefault="00834BB7" w:rsidP="00834BB7">
      <w:pPr>
        <w:spacing w:after="120" w:line="276" w:lineRule="auto"/>
        <w:rPr>
          <w:rFonts w:ascii="Arial" w:hAnsi="Arial" w:cs="Arial"/>
        </w:rPr>
      </w:pPr>
      <w:r w:rsidRPr="0085657D">
        <w:rPr>
          <w:rFonts w:ascii="Arial" w:hAnsi="Arial" w:cs="Arial"/>
        </w:rPr>
        <w:t xml:space="preserve">Najzad, jednu od značajnih prepreka promjeni postojećih praksi u ovoj oblasti predstavlja i dalje široko rasprostranjeno </w:t>
      </w:r>
      <w:r w:rsidR="00BA11FF" w:rsidRPr="0085657D">
        <w:rPr>
          <w:rFonts w:ascii="Arial" w:hAnsi="Arial" w:cs="Arial"/>
        </w:rPr>
        <w:t>nerazumijevanje</w:t>
      </w:r>
      <w:r w:rsidRPr="0085657D">
        <w:rPr>
          <w:rFonts w:ascii="Arial" w:hAnsi="Arial" w:cs="Arial"/>
        </w:rPr>
        <w:t xml:space="preserve"> da je pravo žrtava na reparaciju značajno šire od njihovog prava na kompenzaciju (pravično zadovoljenje) te da obuhvata i pravo na restituciju, rehabilitaciju, ponovno uspostavljanje dostojanstva i ugleda, kao i garancije da se viktimizacija neće ponoviti.</w:t>
      </w:r>
      <w:r w:rsidRPr="0085657D">
        <w:rPr>
          <w:rStyle w:val="FootnoteReference"/>
          <w:rFonts w:ascii="Arial" w:hAnsi="Arial" w:cs="Arial"/>
        </w:rPr>
        <w:footnoteReference w:id="46"/>
      </w:r>
      <w:r w:rsidR="00D210D8" w:rsidRPr="0085657D">
        <w:rPr>
          <w:rFonts w:ascii="Arial" w:hAnsi="Arial" w:cs="Arial"/>
        </w:rPr>
        <w:t xml:space="preserve">  </w:t>
      </w:r>
    </w:p>
    <w:p w14:paraId="28D3B776" w14:textId="6F171422" w:rsidR="00834BB7" w:rsidRPr="0085657D" w:rsidRDefault="00D210D8" w:rsidP="00834BB7">
      <w:pPr>
        <w:spacing w:after="120" w:line="276" w:lineRule="auto"/>
        <w:rPr>
          <w:rFonts w:ascii="Arial" w:hAnsi="Arial" w:cs="Arial"/>
        </w:rPr>
      </w:pPr>
      <w:r w:rsidRPr="0085657D">
        <w:rPr>
          <w:rFonts w:ascii="Arial" w:hAnsi="Arial" w:cs="Arial"/>
        </w:rPr>
        <w:lastRenderedPageBreak/>
        <w:t>Neophodno je, dakle, preusm</w:t>
      </w:r>
      <w:r w:rsidR="0007538F" w:rsidRPr="0085657D">
        <w:rPr>
          <w:rFonts w:ascii="Arial" w:hAnsi="Arial" w:cs="Arial"/>
        </w:rPr>
        <w:t>j</w:t>
      </w:r>
      <w:r w:rsidRPr="0085657D">
        <w:rPr>
          <w:rFonts w:ascii="Arial" w:hAnsi="Arial" w:cs="Arial"/>
        </w:rPr>
        <w:t xml:space="preserve">eravanje fokusa sa krivičnog djela i učinioca na žrtvu, odnosno otklanjanje, koliko god je moguće, nastale štete, </w:t>
      </w:r>
      <w:r w:rsidR="009C7B38" w:rsidRPr="0085657D">
        <w:rPr>
          <w:rFonts w:ascii="Arial" w:hAnsi="Arial" w:cs="Arial"/>
        </w:rPr>
        <w:t>sprečavanje</w:t>
      </w:r>
      <w:r w:rsidRPr="0085657D">
        <w:rPr>
          <w:rFonts w:ascii="Arial" w:hAnsi="Arial" w:cs="Arial"/>
        </w:rPr>
        <w:t xml:space="preserve"> nastanka dalje i/ili ponovljene štete, kao  osnaživanje žrtve da nastavi sa normalnim životnim aktivnostima. </w:t>
      </w:r>
    </w:p>
    <w:p w14:paraId="5D31EFC6" w14:textId="77777777" w:rsidR="007822A8" w:rsidRPr="0085657D" w:rsidRDefault="00973EEF" w:rsidP="00834BB7">
      <w:pPr>
        <w:spacing w:after="120" w:line="276" w:lineRule="auto"/>
        <w:rPr>
          <w:rFonts w:ascii="Arial" w:hAnsi="Arial" w:cs="Arial"/>
        </w:rPr>
      </w:pPr>
      <w:r w:rsidRPr="0085657D">
        <w:rPr>
          <w:rFonts w:ascii="Arial" w:hAnsi="Arial" w:cs="Arial"/>
        </w:rPr>
        <w:t>Sve ovo ukazuje da pravo na kompenzaciju treba posmatrati kao komplementarno mjerama zaštite i podrške žrtvama.</w:t>
      </w:r>
    </w:p>
    <w:p w14:paraId="5FC86AD3" w14:textId="3CEFA858" w:rsidR="007822A8" w:rsidRPr="0085657D" w:rsidRDefault="007822A8" w:rsidP="00003BEF">
      <w:pPr>
        <w:pStyle w:val="Default"/>
        <w:jc w:val="both"/>
        <w:rPr>
          <w:rFonts w:ascii="Arial" w:hAnsi="Arial" w:cs="Arial"/>
          <w:color w:val="auto"/>
          <w:sz w:val="22"/>
          <w:szCs w:val="22"/>
          <w:lang w:val="sr-Latn-ME"/>
          <w14:ligatures w14:val="none"/>
        </w:rPr>
      </w:pPr>
      <w:r w:rsidRPr="0085657D">
        <w:rPr>
          <w:rFonts w:ascii="Arial" w:hAnsi="Arial" w:cs="Arial"/>
          <w:color w:val="auto"/>
          <w:sz w:val="22"/>
          <w:szCs w:val="22"/>
          <w:lang w:val="sr-Latn-ME"/>
          <w14:ligatures w14:val="none"/>
        </w:rPr>
        <w:t xml:space="preserve">Crna Gora je ratifikovala Evropsku konvenciju o naknadi štete žrtvama krivičnih djela nasilja od 24. novembra 1983. godine, Zakonom o potvrđivanju Evropske konvencije o naknadi štete žrtvama krivičnih djela nasilja („Službeni list CG – Međunarodni ugovori“, br. 6/2009). </w:t>
      </w:r>
      <w:r w:rsidR="00804AFE" w:rsidRPr="0085657D">
        <w:rPr>
          <w:rFonts w:ascii="Arial" w:hAnsi="Arial" w:cs="Arial"/>
          <w:color w:val="auto"/>
          <w:sz w:val="22"/>
          <w:szCs w:val="22"/>
          <w:lang w:val="sr-Latn-ME"/>
          <w14:ligatures w14:val="none"/>
        </w:rPr>
        <w:t>Time je Crna Gora postala država članica ove Konvencije i preuzela obavezu donošenja posebnog zakona kojim će se urediti pravo na novčanu naknadu štete žrtvama krivičnih djela nasilja učinjenih sa umišljajem, što je učinjeno 2015. godine, ali je primjena ovog Zakona odložena do dana pristupanja Crne Gore Evropskoj uniji.</w:t>
      </w:r>
    </w:p>
    <w:p w14:paraId="26B71013" w14:textId="77777777" w:rsidR="00765DFB" w:rsidRPr="0085657D" w:rsidRDefault="00765DFB" w:rsidP="00003BEF">
      <w:pPr>
        <w:pStyle w:val="Default"/>
        <w:jc w:val="both"/>
        <w:rPr>
          <w:rFonts w:ascii="Arial" w:hAnsi="Arial" w:cs="Arial"/>
          <w:color w:val="auto"/>
          <w:sz w:val="22"/>
          <w:szCs w:val="22"/>
          <w:lang w:val="sr-Latn-ME"/>
          <w14:ligatures w14:val="none"/>
        </w:rPr>
      </w:pPr>
    </w:p>
    <w:p w14:paraId="57F06033" w14:textId="77777777" w:rsidR="007822A8" w:rsidRPr="0085657D" w:rsidRDefault="007822A8" w:rsidP="00003BEF">
      <w:pPr>
        <w:pStyle w:val="Default"/>
        <w:jc w:val="both"/>
        <w:rPr>
          <w:rFonts w:ascii="Arial" w:hAnsi="Arial" w:cs="Arial"/>
          <w:color w:val="auto"/>
          <w:sz w:val="22"/>
          <w:szCs w:val="22"/>
          <w:lang w:val="sr-Latn-ME"/>
          <w14:ligatures w14:val="none"/>
        </w:rPr>
      </w:pPr>
      <w:r w:rsidRPr="0085657D">
        <w:rPr>
          <w:rFonts w:ascii="Arial" w:hAnsi="Arial" w:cs="Arial"/>
          <w:color w:val="auto"/>
          <w:sz w:val="22"/>
          <w:szCs w:val="22"/>
          <w:lang w:val="sr-Latn-ME"/>
          <w14:ligatures w14:val="none"/>
        </w:rPr>
        <w:t>Stoga, uvažavajući načela Evropske konvencije o naknadi štete žrtvama krivičnih djela nasilja,</w:t>
      </w:r>
      <w:r w:rsidR="001A2E3D" w:rsidRPr="0085657D">
        <w:rPr>
          <w:rFonts w:ascii="Arial" w:hAnsi="Arial" w:cs="Arial"/>
          <w:color w:val="auto"/>
          <w:sz w:val="22"/>
          <w:szCs w:val="22"/>
          <w:lang w:val="sr-Latn-ME"/>
          <w14:ligatures w14:val="none"/>
        </w:rPr>
        <w:t xml:space="preserve"> ovim zakonom</w:t>
      </w:r>
      <w:r w:rsidRPr="0085657D">
        <w:rPr>
          <w:rFonts w:ascii="Arial" w:hAnsi="Arial" w:cs="Arial"/>
          <w:color w:val="auto"/>
          <w:sz w:val="22"/>
          <w:szCs w:val="22"/>
          <w:lang w:val="sr-Latn-ME"/>
          <w14:ligatures w14:val="none"/>
        </w:rPr>
        <w:t xml:space="preserve"> uređuje </w:t>
      </w:r>
      <w:r w:rsidR="001A2E3D" w:rsidRPr="0085657D">
        <w:rPr>
          <w:rFonts w:ascii="Arial" w:hAnsi="Arial" w:cs="Arial"/>
          <w:color w:val="auto"/>
          <w:sz w:val="22"/>
          <w:szCs w:val="22"/>
          <w:lang w:val="sr-Latn-ME"/>
          <w14:ligatures w14:val="none"/>
        </w:rPr>
        <w:t xml:space="preserve">se </w:t>
      </w:r>
      <w:r w:rsidRPr="0085657D">
        <w:rPr>
          <w:rFonts w:ascii="Arial" w:hAnsi="Arial" w:cs="Arial"/>
          <w:color w:val="auto"/>
          <w:sz w:val="22"/>
          <w:szCs w:val="22"/>
          <w:lang w:val="sr-Latn-ME"/>
          <w14:ligatures w14:val="none"/>
        </w:rPr>
        <w:t>pravo na novčanu naknadu štete žrtvama krivičnih djela nasilja učinjenih s umišljajem, uslovi i postupak za ostvarivanje prava na naknadu, organi koji vode postupak i odlučuju o pravu na naknadu, organi i postupci koji se primjenjuju u prekograničnim slučajevima, kao i kada država ima pravo regresa.</w:t>
      </w:r>
    </w:p>
    <w:p w14:paraId="7B477726" w14:textId="77777777" w:rsidR="00C47459" w:rsidRPr="0085657D" w:rsidRDefault="00C47459" w:rsidP="00003BEF">
      <w:pPr>
        <w:pStyle w:val="Default"/>
        <w:jc w:val="both"/>
        <w:rPr>
          <w:rFonts w:ascii="Arial" w:hAnsi="Arial" w:cs="Arial"/>
          <w:color w:val="auto"/>
          <w:sz w:val="22"/>
          <w:szCs w:val="22"/>
          <w:lang w:val="sr-Latn-ME"/>
          <w14:ligatures w14:val="none"/>
        </w:rPr>
      </w:pPr>
    </w:p>
    <w:p w14:paraId="1F26CA76" w14:textId="77777777" w:rsidR="00A53024" w:rsidRPr="0085657D" w:rsidRDefault="00DD5503" w:rsidP="00DD5503">
      <w:pPr>
        <w:pStyle w:val="Heading2"/>
        <w:rPr>
          <w:rFonts w:ascii="Arial" w:hAnsi="Arial" w:cs="Arial"/>
          <w:sz w:val="22"/>
          <w:szCs w:val="22"/>
        </w:rPr>
      </w:pPr>
      <w:bookmarkStart w:id="34" w:name="_Toc208489187"/>
      <w:r w:rsidRPr="0085657D">
        <w:rPr>
          <w:rFonts w:ascii="Arial" w:hAnsi="Arial" w:cs="Arial"/>
          <w:sz w:val="22"/>
          <w:szCs w:val="22"/>
        </w:rPr>
        <w:t xml:space="preserve">3.5. </w:t>
      </w:r>
      <w:r w:rsidR="00B46254" w:rsidRPr="0085657D">
        <w:rPr>
          <w:rFonts w:ascii="Arial" w:hAnsi="Arial" w:cs="Arial"/>
          <w:sz w:val="22"/>
          <w:szCs w:val="22"/>
        </w:rPr>
        <w:t>P</w:t>
      </w:r>
      <w:r w:rsidR="00A53024" w:rsidRPr="0085657D">
        <w:rPr>
          <w:rFonts w:ascii="Arial" w:hAnsi="Arial" w:cs="Arial"/>
          <w:sz w:val="22"/>
          <w:szCs w:val="22"/>
        </w:rPr>
        <w:t xml:space="preserve">odrška </w:t>
      </w:r>
      <w:r w:rsidR="00973EEF" w:rsidRPr="0085657D">
        <w:rPr>
          <w:rFonts w:ascii="Arial" w:hAnsi="Arial" w:cs="Arial"/>
          <w:sz w:val="22"/>
          <w:szCs w:val="22"/>
        </w:rPr>
        <w:t>žrtvama</w:t>
      </w:r>
      <w:bookmarkEnd w:id="34"/>
    </w:p>
    <w:p w14:paraId="2E31CBD6" w14:textId="77777777" w:rsidR="00CA3859" w:rsidRPr="0085657D" w:rsidRDefault="00CA3859" w:rsidP="00CA3859">
      <w:pPr>
        <w:rPr>
          <w:rFonts w:ascii="Arial" w:hAnsi="Arial" w:cs="Arial"/>
        </w:rPr>
      </w:pPr>
    </w:p>
    <w:p w14:paraId="4765A8B5" w14:textId="77777777" w:rsidR="00CA3859" w:rsidRPr="0085657D" w:rsidRDefault="008735EF" w:rsidP="00774B66">
      <w:pPr>
        <w:pStyle w:val="Heading3"/>
        <w:spacing w:before="0" w:after="240"/>
        <w:rPr>
          <w:rFonts w:ascii="Arial" w:hAnsi="Arial" w:cs="Arial"/>
          <w:sz w:val="22"/>
          <w:szCs w:val="22"/>
        </w:rPr>
      </w:pPr>
      <w:bookmarkStart w:id="35" w:name="_Toc208489188"/>
      <w:r w:rsidRPr="0085657D">
        <w:rPr>
          <w:rFonts w:ascii="Arial" w:hAnsi="Arial" w:cs="Arial"/>
          <w:sz w:val="22"/>
          <w:szCs w:val="22"/>
        </w:rPr>
        <w:t xml:space="preserve">3.5.1. </w:t>
      </w:r>
      <w:r w:rsidR="004D276A" w:rsidRPr="0085657D">
        <w:rPr>
          <w:rFonts w:ascii="Arial" w:hAnsi="Arial" w:cs="Arial"/>
          <w:sz w:val="22"/>
          <w:szCs w:val="22"/>
        </w:rPr>
        <w:t>Trenutni nivo implementacije m</w:t>
      </w:r>
      <w:r w:rsidRPr="0085657D">
        <w:rPr>
          <w:rFonts w:ascii="Arial" w:hAnsi="Arial" w:cs="Arial"/>
          <w:sz w:val="22"/>
          <w:szCs w:val="22"/>
        </w:rPr>
        <w:t>inimalni</w:t>
      </w:r>
      <w:r w:rsidR="004D276A" w:rsidRPr="0085657D">
        <w:rPr>
          <w:rFonts w:ascii="Arial" w:hAnsi="Arial" w:cs="Arial"/>
          <w:sz w:val="22"/>
          <w:szCs w:val="22"/>
        </w:rPr>
        <w:t>h</w:t>
      </w:r>
      <w:r w:rsidRPr="0085657D">
        <w:rPr>
          <w:rFonts w:ascii="Arial" w:hAnsi="Arial" w:cs="Arial"/>
          <w:sz w:val="22"/>
          <w:szCs w:val="22"/>
        </w:rPr>
        <w:t xml:space="preserve"> standard</w:t>
      </w:r>
      <w:r w:rsidR="004D276A" w:rsidRPr="0085657D">
        <w:rPr>
          <w:rFonts w:ascii="Arial" w:hAnsi="Arial" w:cs="Arial"/>
          <w:sz w:val="22"/>
          <w:szCs w:val="22"/>
        </w:rPr>
        <w:t>a</w:t>
      </w:r>
      <w:r w:rsidRPr="0085657D">
        <w:rPr>
          <w:rFonts w:ascii="Arial" w:hAnsi="Arial" w:cs="Arial"/>
          <w:sz w:val="22"/>
          <w:szCs w:val="22"/>
        </w:rPr>
        <w:t xml:space="preserve"> u skladu sa Direktivom 2012</w:t>
      </w:r>
      <w:r w:rsidR="006A5B1C" w:rsidRPr="0085657D">
        <w:rPr>
          <w:rFonts w:ascii="Arial" w:hAnsi="Arial" w:cs="Arial"/>
          <w:sz w:val="22"/>
          <w:szCs w:val="22"/>
        </w:rPr>
        <w:t>/</w:t>
      </w:r>
      <w:r w:rsidRPr="0085657D">
        <w:rPr>
          <w:rFonts w:ascii="Arial" w:hAnsi="Arial" w:cs="Arial"/>
          <w:sz w:val="22"/>
          <w:szCs w:val="22"/>
        </w:rPr>
        <w:t>0</w:t>
      </w:r>
      <w:r w:rsidR="00774B66" w:rsidRPr="0085657D">
        <w:rPr>
          <w:rFonts w:ascii="Arial" w:hAnsi="Arial" w:cs="Arial"/>
          <w:sz w:val="22"/>
          <w:szCs w:val="22"/>
        </w:rPr>
        <w:t>29</w:t>
      </w:r>
      <w:r w:rsidR="006A5B1C" w:rsidRPr="0085657D">
        <w:rPr>
          <w:rFonts w:ascii="Arial" w:hAnsi="Arial" w:cs="Arial"/>
          <w:sz w:val="22"/>
          <w:szCs w:val="22"/>
        </w:rPr>
        <w:t>/</w:t>
      </w:r>
      <w:r w:rsidR="00774B66" w:rsidRPr="0085657D">
        <w:rPr>
          <w:rFonts w:ascii="Arial" w:hAnsi="Arial" w:cs="Arial"/>
          <w:sz w:val="22"/>
          <w:szCs w:val="22"/>
        </w:rPr>
        <w:t>EU</w:t>
      </w:r>
      <w:bookmarkEnd w:id="35"/>
    </w:p>
    <w:p w14:paraId="22060B09" w14:textId="511A0033" w:rsidR="003D6629" w:rsidRPr="0085657D" w:rsidRDefault="00774B66" w:rsidP="004D276A">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Jedan od ključnih dometa Direktive 2012/029/EU</w:t>
      </w:r>
      <w:r w:rsidR="004D276A" w:rsidRPr="0085657D">
        <w:rPr>
          <w:rFonts w:ascii="Arial" w:hAnsi="Arial" w:cs="Arial"/>
          <w:sz w:val="22"/>
          <w:szCs w:val="22"/>
          <w:lang w:val="sr-Latn-ME"/>
        </w:rPr>
        <w:t xml:space="preserve"> je</w:t>
      </w:r>
      <w:r w:rsidR="006D7546" w:rsidRPr="0085657D">
        <w:rPr>
          <w:rFonts w:ascii="Arial" w:hAnsi="Arial" w:cs="Arial"/>
          <w:sz w:val="22"/>
          <w:szCs w:val="22"/>
          <w:lang w:val="sr-Latn-ME"/>
        </w:rPr>
        <w:t xml:space="preserve"> i</w:t>
      </w:r>
      <w:r w:rsidR="004D276A" w:rsidRPr="0085657D">
        <w:rPr>
          <w:rFonts w:ascii="Arial" w:hAnsi="Arial" w:cs="Arial"/>
          <w:sz w:val="22"/>
          <w:szCs w:val="22"/>
          <w:lang w:val="sr-Latn-ME"/>
        </w:rPr>
        <w:t xml:space="preserve"> uspostavljanje minimalnih standarda u oblasti podrške svim žrtvama krivičnih djela. U tom smislu, </w:t>
      </w:r>
      <w:r w:rsidR="00C8442B" w:rsidRPr="0085657D">
        <w:rPr>
          <w:rFonts w:ascii="Arial" w:hAnsi="Arial" w:cs="Arial"/>
          <w:sz w:val="22"/>
          <w:szCs w:val="22"/>
          <w:lang w:val="sr-Latn-ME"/>
        </w:rPr>
        <w:t xml:space="preserve">u skladu sa čl. 8 i 9 Direktive, </w:t>
      </w:r>
      <w:r w:rsidR="004D276A" w:rsidRPr="0085657D">
        <w:rPr>
          <w:rFonts w:ascii="Arial" w:hAnsi="Arial" w:cs="Arial"/>
          <w:sz w:val="22"/>
          <w:szCs w:val="22"/>
          <w:lang w:val="sr-Latn-ME"/>
        </w:rPr>
        <w:t>države članice imaju obavezu da obezb</w:t>
      </w:r>
      <w:r w:rsidR="0017667C">
        <w:rPr>
          <w:rFonts w:ascii="Arial" w:hAnsi="Arial" w:cs="Arial"/>
          <w:sz w:val="22"/>
          <w:szCs w:val="22"/>
          <w:lang w:val="sr-Latn-ME"/>
        </w:rPr>
        <w:t>i</w:t>
      </w:r>
      <w:r w:rsidR="006D7546" w:rsidRPr="0085657D">
        <w:rPr>
          <w:rFonts w:ascii="Arial" w:hAnsi="Arial" w:cs="Arial"/>
          <w:sz w:val="22"/>
          <w:szCs w:val="22"/>
          <w:lang w:val="sr-Latn-ME"/>
        </w:rPr>
        <w:t>j</w:t>
      </w:r>
      <w:r w:rsidR="004D276A" w:rsidRPr="0085657D">
        <w:rPr>
          <w:rFonts w:ascii="Arial" w:hAnsi="Arial" w:cs="Arial"/>
          <w:sz w:val="22"/>
          <w:szCs w:val="22"/>
          <w:lang w:val="sr-Latn-ME"/>
        </w:rPr>
        <w:t xml:space="preserve">ede </w:t>
      </w:r>
      <w:r w:rsidR="003D6629" w:rsidRPr="0085657D">
        <w:rPr>
          <w:rFonts w:ascii="Arial" w:hAnsi="Arial" w:cs="Arial"/>
          <w:sz w:val="22"/>
          <w:szCs w:val="22"/>
          <w:lang w:val="sr-Latn-ME"/>
        </w:rPr>
        <w:t>žrtvi podršku koja je:</w:t>
      </w:r>
    </w:p>
    <w:p w14:paraId="5CE22598" w14:textId="702F4FD2" w:rsidR="00CA3859" w:rsidRPr="0085657D" w:rsidRDefault="003D6629"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U skladu sa njihovim potrebama;</w:t>
      </w:r>
    </w:p>
    <w:p w14:paraId="6AC92370" w14:textId="77777777" w:rsidR="003D6629" w:rsidRPr="0085657D" w:rsidRDefault="003D6629"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Besplatna;</w:t>
      </w:r>
    </w:p>
    <w:p w14:paraId="41617D1E" w14:textId="5D14C152" w:rsidR="003D6629" w:rsidRPr="0085657D" w:rsidRDefault="003D6629"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Usmjerena na zaštitu interesa žrtava pr</w:t>
      </w:r>
      <w:r w:rsidR="007D2708" w:rsidRPr="0085657D">
        <w:rPr>
          <w:rFonts w:ascii="Arial" w:hAnsi="Arial" w:cs="Arial"/>
          <w:sz w:val="22"/>
          <w:szCs w:val="22"/>
          <w:lang w:val="sr-Latn-ME"/>
        </w:rPr>
        <w:t>ij</w:t>
      </w:r>
      <w:r w:rsidRPr="0085657D">
        <w:rPr>
          <w:rFonts w:ascii="Arial" w:hAnsi="Arial" w:cs="Arial"/>
          <w:sz w:val="22"/>
          <w:szCs w:val="22"/>
          <w:lang w:val="sr-Latn-ME"/>
        </w:rPr>
        <w:t>e početka, tokom i prikladno vr</w:t>
      </w:r>
      <w:r w:rsidR="007D2708" w:rsidRPr="0085657D">
        <w:rPr>
          <w:rFonts w:ascii="Arial" w:hAnsi="Arial" w:cs="Arial"/>
          <w:sz w:val="22"/>
          <w:szCs w:val="22"/>
          <w:lang w:val="sr-Latn-ME"/>
        </w:rPr>
        <w:t>ij</w:t>
      </w:r>
      <w:r w:rsidRPr="0085657D">
        <w:rPr>
          <w:rFonts w:ascii="Arial" w:hAnsi="Arial" w:cs="Arial"/>
          <w:sz w:val="22"/>
          <w:szCs w:val="22"/>
          <w:lang w:val="sr-Latn-ME"/>
        </w:rPr>
        <w:t>eme nakon okončanja krivičnog postupka</w:t>
      </w:r>
      <w:r w:rsidR="007D2708" w:rsidRPr="0085657D">
        <w:rPr>
          <w:rFonts w:ascii="Arial" w:hAnsi="Arial" w:cs="Arial"/>
          <w:sz w:val="22"/>
          <w:szCs w:val="22"/>
          <w:lang w:val="sr-Latn-ME"/>
        </w:rPr>
        <w:t>;</w:t>
      </w:r>
    </w:p>
    <w:p w14:paraId="5409C46F" w14:textId="77777777" w:rsidR="00C8442B" w:rsidRPr="0085657D" w:rsidRDefault="00C8442B"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Bazirana na mehanizmu upućivanja žrtava iz</w:t>
      </w:r>
      <w:r w:rsidR="00963D1C" w:rsidRPr="0085657D">
        <w:rPr>
          <w:rFonts w:ascii="Arial" w:hAnsi="Arial" w:cs="Arial"/>
          <w:sz w:val="22"/>
          <w:szCs w:val="22"/>
          <w:lang w:val="sr-Latn-ME"/>
        </w:rPr>
        <w:t xml:space="preserve"> drugih institucija u službe opšte podrške kao</w:t>
      </w:r>
      <w:r w:rsidRPr="0085657D">
        <w:rPr>
          <w:rFonts w:ascii="Arial" w:hAnsi="Arial" w:cs="Arial"/>
          <w:sz w:val="22"/>
          <w:szCs w:val="22"/>
          <w:lang w:val="sr-Latn-ME"/>
        </w:rPr>
        <w:t xml:space="preserve"> i u </w:t>
      </w:r>
      <w:r w:rsidR="00963D1C" w:rsidRPr="0085657D">
        <w:rPr>
          <w:rFonts w:ascii="Arial" w:hAnsi="Arial" w:cs="Arial"/>
          <w:sz w:val="22"/>
          <w:szCs w:val="22"/>
          <w:lang w:val="sr-Latn-ME"/>
        </w:rPr>
        <w:t>upućivanja žrtava iz službi opšte, u besplatne službe specijalizovane podrške;</w:t>
      </w:r>
    </w:p>
    <w:p w14:paraId="15C1BCAE" w14:textId="77777777" w:rsidR="00963D1C" w:rsidRPr="0085657D" w:rsidRDefault="00963D1C"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Nije preduslovljena podnošenjem krivične prijave.</w:t>
      </w:r>
    </w:p>
    <w:p w14:paraId="7B3856E8" w14:textId="4DEC1FEB" w:rsidR="00873805" w:rsidRPr="0085657D" w:rsidRDefault="00963D1C"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Ovakva primarna podrška treba da uključi osnovni set informacija vezanih za ulogu žrtve u krivičnom postupku, pristupu kompenzaciji, dostupnim uslugama specijalizovane podrške, </w:t>
      </w:r>
      <w:r w:rsidRPr="0085657D">
        <w:rPr>
          <w:rFonts w:ascii="Arial" w:hAnsi="Arial" w:cs="Arial"/>
          <w:sz w:val="22"/>
          <w:szCs w:val="22"/>
          <w:lang w:val="sr-Latn-ME"/>
        </w:rPr>
        <w:lastRenderedPageBreak/>
        <w:t xml:space="preserve">emocionalnu i (tamo gdje je dostupna) psihološku podršku, </w:t>
      </w:r>
      <w:r w:rsidR="005A2E3D" w:rsidRPr="0085657D">
        <w:rPr>
          <w:rFonts w:ascii="Arial" w:hAnsi="Arial" w:cs="Arial"/>
          <w:sz w:val="22"/>
          <w:szCs w:val="22"/>
          <w:lang w:val="sr-Latn-ME"/>
        </w:rPr>
        <w:t>kao i informacije o mehanizmima sprečavanja sekundarne i ponovljene viktimizacije</w:t>
      </w:r>
      <w:r w:rsidR="00C974D1" w:rsidRPr="0085657D">
        <w:rPr>
          <w:rFonts w:ascii="Arial" w:hAnsi="Arial" w:cs="Arial"/>
          <w:sz w:val="22"/>
          <w:szCs w:val="22"/>
          <w:lang w:val="sr-Latn-ME"/>
        </w:rPr>
        <w:t xml:space="preserve"> i neprimjerenog uticaja.</w:t>
      </w:r>
    </w:p>
    <w:p w14:paraId="1B3BF398" w14:textId="77777777" w:rsidR="00242F36" w:rsidRPr="0085657D" w:rsidRDefault="00242F36" w:rsidP="00595DE2">
      <w:pPr>
        <w:pStyle w:val="Default"/>
        <w:numPr>
          <w:ilvl w:val="0"/>
          <w:numId w:val="23"/>
        </w:numPr>
        <w:spacing w:after="160" w:line="276" w:lineRule="auto"/>
        <w:jc w:val="both"/>
        <w:rPr>
          <w:rFonts w:ascii="Arial" w:hAnsi="Arial" w:cs="Arial"/>
          <w:b/>
          <w:bCs/>
          <w:sz w:val="22"/>
          <w:szCs w:val="22"/>
          <w:lang w:val="sr-Latn-ME"/>
        </w:rPr>
      </w:pPr>
      <w:r w:rsidRPr="0085657D">
        <w:rPr>
          <w:rFonts w:ascii="Arial" w:hAnsi="Arial" w:cs="Arial"/>
          <w:b/>
          <w:bCs/>
          <w:sz w:val="22"/>
          <w:szCs w:val="22"/>
          <w:lang w:val="sr-Latn-ME"/>
        </w:rPr>
        <w:t>Usluge primarne podrške</w:t>
      </w:r>
    </w:p>
    <w:p w14:paraId="65FCCE48" w14:textId="7E73D80C" w:rsidR="00A637B9" w:rsidRPr="0085657D" w:rsidRDefault="00C974D1" w:rsidP="00A637B9">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Trenutno stanje podrške žrtvama u Crnoj Gori značajno odstupa od pomenutih standarda. </w:t>
      </w:r>
      <w:r w:rsidR="00513C95" w:rsidRPr="0085657D">
        <w:rPr>
          <w:rFonts w:ascii="Arial" w:hAnsi="Arial" w:cs="Arial"/>
          <w:sz w:val="22"/>
          <w:szCs w:val="22"/>
          <w:lang w:val="sr-Latn-ME"/>
        </w:rPr>
        <w:t xml:space="preserve">Naime, u prethodnom periodu, </w:t>
      </w:r>
      <w:r w:rsidR="0034471A" w:rsidRPr="0085657D">
        <w:rPr>
          <w:rFonts w:ascii="Arial" w:hAnsi="Arial" w:cs="Arial"/>
          <w:sz w:val="22"/>
          <w:szCs w:val="22"/>
          <w:lang w:val="sr-Latn-ME"/>
        </w:rPr>
        <w:t>kako je već navedeno, postojala je intencija uspostavljanja službi za podršku oštećenima i svjedocima krivičnih djela nasilja u porodici, trgovine ljudima i krivičnih djela protiv polnih sloboda, ali one nikada nisu zaživ</w:t>
      </w:r>
      <w:r w:rsidR="007E4389" w:rsidRPr="0085657D">
        <w:rPr>
          <w:rFonts w:ascii="Arial" w:hAnsi="Arial" w:cs="Arial"/>
          <w:sz w:val="22"/>
          <w:szCs w:val="22"/>
          <w:lang w:val="sr-Latn-ME"/>
        </w:rPr>
        <w:t>j</w:t>
      </w:r>
      <w:r w:rsidR="00025EE7" w:rsidRPr="0085657D">
        <w:rPr>
          <w:rFonts w:ascii="Arial" w:hAnsi="Arial" w:cs="Arial"/>
          <w:sz w:val="22"/>
          <w:szCs w:val="22"/>
          <w:lang w:val="sr-Latn-ME"/>
        </w:rPr>
        <w:t>e</w:t>
      </w:r>
      <w:r w:rsidR="0034471A" w:rsidRPr="0085657D">
        <w:rPr>
          <w:rFonts w:ascii="Arial" w:hAnsi="Arial" w:cs="Arial"/>
          <w:sz w:val="22"/>
          <w:szCs w:val="22"/>
          <w:lang w:val="sr-Latn-ME"/>
        </w:rPr>
        <w:t>le u praksi.</w:t>
      </w:r>
      <w:r w:rsidR="007E4389" w:rsidRPr="0085657D">
        <w:rPr>
          <w:rFonts w:ascii="Arial" w:hAnsi="Arial" w:cs="Arial"/>
          <w:sz w:val="22"/>
          <w:szCs w:val="22"/>
          <w:lang w:val="sr-Latn-ME"/>
        </w:rPr>
        <w:t xml:space="preserve"> </w:t>
      </w:r>
      <w:r w:rsidR="0034471A" w:rsidRPr="0085657D">
        <w:rPr>
          <w:rFonts w:ascii="Arial" w:hAnsi="Arial" w:cs="Arial"/>
          <w:sz w:val="22"/>
          <w:szCs w:val="22"/>
          <w:lang w:val="sr-Latn-ME"/>
        </w:rPr>
        <w:t xml:space="preserve"> </w:t>
      </w:r>
      <w:r w:rsidR="00A637B9" w:rsidRPr="0085657D">
        <w:rPr>
          <w:rFonts w:ascii="Arial" w:hAnsi="Arial" w:cs="Arial"/>
          <w:sz w:val="22"/>
          <w:szCs w:val="22"/>
          <w:lang w:val="sr-Latn-ME"/>
        </w:rPr>
        <w:t>Razlozi tome leže prije svega u manjkavosti normativnog okvira, budući da nisu definisane standardizovane procedure postupanja. Potom, za nesmetan i održiv rad ovih službi nikada nisu obezb</w:t>
      </w:r>
      <w:r w:rsidR="00873805">
        <w:rPr>
          <w:rFonts w:ascii="Arial" w:hAnsi="Arial" w:cs="Arial"/>
          <w:sz w:val="22"/>
          <w:szCs w:val="22"/>
          <w:lang w:val="sr-Latn-ME"/>
        </w:rPr>
        <w:t>i</w:t>
      </w:r>
      <w:r w:rsidR="00B414B2" w:rsidRPr="0085657D">
        <w:rPr>
          <w:rFonts w:ascii="Arial" w:hAnsi="Arial" w:cs="Arial"/>
          <w:sz w:val="22"/>
          <w:szCs w:val="22"/>
          <w:lang w:val="sr-Latn-ME"/>
        </w:rPr>
        <w:t>j</w:t>
      </w:r>
      <w:r w:rsidR="00A637B9" w:rsidRPr="0085657D">
        <w:rPr>
          <w:rFonts w:ascii="Arial" w:hAnsi="Arial" w:cs="Arial"/>
          <w:sz w:val="22"/>
          <w:szCs w:val="22"/>
          <w:lang w:val="sr-Latn-ME"/>
        </w:rPr>
        <w:t>eđeni adekvatni ljudski, tehnički i infrastrukturni resursi. U svim sudovima i državnim tužilaštvima imenovana je po jedna osoba za pružanje podrške, ali kao dodatna aktivnost uz redovne poslove koje te osobe obavljaju u tužilaštvu</w:t>
      </w:r>
      <w:r w:rsidR="00B414B2" w:rsidRPr="0085657D">
        <w:rPr>
          <w:rFonts w:ascii="Arial" w:hAnsi="Arial" w:cs="Arial"/>
          <w:sz w:val="22"/>
          <w:szCs w:val="22"/>
          <w:lang w:val="sr-Latn-ME"/>
        </w:rPr>
        <w:t xml:space="preserve"> i sudu</w:t>
      </w:r>
      <w:r w:rsidR="00A637B9" w:rsidRPr="0085657D">
        <w:rPr>
          <w:rFonts w:ascii="Arial" w:hAnsi="Arial" w:cs="Arial"/>
          <w:sz w:val="22"/>
          <w:szCs w:val="22"/>
          <w:lang w:val="sr-Latn-ME"/>
        </w:rPr>
        <w:t>. Kada je rije</w:t>
      </w:r>
      <w:r w:rsidR="00B414B2" w:rsidRPr="0085657D">
        <w:rPr>
          <w:rFonts w:ascii="Arial" w:hAnsi="Arial" w:cs="Arial"/>
          <w:sz w:val="22"/>
          <w:szCs w:val="22"/>
          <w:lang w:val="sr-Latn-ME"/>
        </w:rPr>
        <w:t>č</w:t>
      </w:r>
      <w:r w:rsidR="00A637B9" w:rsidRPr="0085657D">
        <w:rPr>
          <w:rFonts w:ascii="Arial" w:hAnsi="Arial" w:cs="Arial"/>
          <w:sz w:val="22"/>
          <w:szCs w:val="22"/>
          <w:lang w:val="sr-Latn-ME"/>
        </w:rPr>
        <w:t xml:space="preserve"> o sudovima, u najvećem broju slučajeva određen je po jedan službenik/ca i najčešće su to sekretari, upravitelji pisarnice ili savjetnici u sudu, dok je u jednom slučaju to i predsjednik suda. Očigledno je da </w:t>
      </w:r>
      <w:r w:rsidR="00873805">
        <w:rPr>
          <w:rFonts w:ascii="Arial" w:hAnsi="Arial" w:cs="Arial"/>
          <w:sz w:val="22"/>
          <w:szCs w:val="22"/>
          <w:lang w:val="sr-Latn-ME"/>
        </w:rPr>
        <w:t xml:space="preserve">se </w:t>
      </w:r>
      <w:r w:rsidR="00A637B9" w:rsidRPr="0085657D">
        <w:rPr>
          <w:rFonts w:ascii="Arial" w:hAnsi="Arial" w:cs="Arial"/>
          <w:sz w:val="22"/>
          <w:szCs w:val="22"/>
          <w:lang w:val="sr-Latn-ME"/>
        </w:rPr>
        <w:t xml:space="preserve">struktura ovlašćenih službenika/ca i njihova osnovna namještenja i nadležnosti u sudu ograničavaju u pogledu specijalizacije i pune posvećenosti u dijelu nadležnosti pružanja podrške i pomoći oštećenom/svjedoku i žrtvi. </w:t>
      </w:r>
      <w:r w:rsidR="00A637B9" w:rsidRPr="0085657D">
        <w:rPr>
          <w:rFonts w:ascii="Arial" w:hAnsi="Arial" w:cs="Arial"/>
          <w:sz w:val="22"/>
          <w:szCs w:val="22"/>
          <w:vertAlign w:val="superscript"/>
          <w:lang w:val="sr-Latn-ME"/>
        </w:rPr>
        <w:footnoteReference w:id="47"/>
      </w:r>
    </w:p>
    <w:p w14:paraId="2E82859C" w14:textId="77777777" w:rsidR="00A637B9" w:rsidRPr="0085657D" w:rsidRDefault="00A637B9" w:rsidP="00A637B9">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U višim sudovima </w:t>
      </w:r>
      <w:r w:rsidR="00A85534" w:rsidRPr="0085657D">
        <w:rPr>
          <w:rFonts w:ascii="Arial" w:hAnsi="Arial" w:cs="Arial"/>
          <w:sz w:val="22"/>
          <w:szCs w:val="22"/>
          <w:lang w:val="sr-Latn-ME"/>
        </w:rPr>
        <w:t xml:space="preserve">u Podgorici i Bijelom Polju </w:t>
      </w:r>
      <w:r w:rsidR="001D5B5B" w:rsidRPr="0085657D">
        <w:rPr>
          <w:rFonts w:ascii="Arial" w:hAnsi="Arial" w:cs="Arial"/>
          <w:sz w:val="22"/>
          <w:szCs w:val="22"/>
          <w:lang w:val="sr-Latn-ME"/>
        </w:rPr>
        <w:t xml:space="preserve">i </w:t>
      </w:r>
      <w:r w:rsidR="00A85534" w:rsidRPr="0085657D">
        <w:rPr>
          <w:rFonts w:ascii="Arial" w:hAnsi="Arial" w:cs="Arial"/>
          <w:sz w:val="22"/>
          <w:szCs w:val="22"/>
          <w:lang w:val="sr-Latn-ME"/>
        </w:rPr>
        <w:t xml:space="preserve">Vrhovnom državnom </w:t>
      </w:r>
      <w:r w:rsidR="001D5B5B" w:rsidRPr="0085657D">
        <w:rPr>
          <w:rFonts w:ascii="Arial" w:hAnsi="Arial" w:cs="Arial"/>
          <w:sz w:val="22"/>
          <w:szCs w:val="22"/>
          <w:lang w:val="sr-Latn-ME"/>
        </w:rPr>
        <w:t>tužilaštv</w:t>
      </w:r>
      <w:r w:rsidR="00A85534" w:rsidRPr="0085657D">
        <w:rPr>
          <w:rFonts w:ascii="Arial" w:hAnsi="Arial" w:cs="Arial"/>
          <w:sz w:val="22"/>
          <w:szCs w:val="22"/>
          <w:lang w:val="sr-Latn-ME"/>
        </w:rPr>
        <w:t>u</w:t>
      </w:r>
      <w:r w:rsidR="001D5B5B" w:rsidRPr="0085657D">
        <w:rPr>
          <w:rFonts w:ascii="Arial" w:hAnsi="Arial" w:cs="Arial"/>
          <w:sz w:val="22"/>
          <w:szCs w:val="22"/>
          <w:lang w:val="sr-Latn-ME"/>
        </w:rPr>
        <w:t xml:space="preserve"> </w:t>
      </w:r>
      <w:r w:rsidRPr="0085657D">
        <w:rPr>
          <w:rFonts w:ascii="Arial" w:hAnsi="Arial" w:cs="Arial"/>
          <w:sz w:val="22"/>
          <w:szCs w:val="22"/>
          <w:lang w:val="sr-Latn-ME"/>
        </w:rPr>
        <w:t>zasebno funkcionišu S</w:t>
      </w:r>
      <w:r w:rsidR="00AC08BC" w:rsidRPr="0085657D">
        <w:rPr>
          <w:rFonts w:ascii="Arial" w:hAnsi="Arial" w:cs="Arial"/>
          <w:sz w:val="22"/>
          <w:szCs w:val="22"/>
          <w:lang w:val="sr-Latn-ME"/>
        </w:rPr>
        <w:t>tručne s</w:t>
      </w:r>
      <w:r w:rsidRPr="0085657D">
        <w:rPr>
          <w:rFonts w:ascii="Arial" w:hAnsi="Arial" w:cs="Arial"/>
          <w:sz w:val="22"/>
          <w:szCs w:val="22"/>
          <w:lang w:val="sr-Latn-ME"/>
        </w:rPr>
        <w:t xml:space="preserve">lužbe za </w:t>
      </w:r>
      <w:r w:rsidR="00AC08BC" w:rsidRPr="0085657D">
        <w:rPr>
          <w:rFonts w:ascii="Arial" w:hAnsi="Arial" w:cs="Arial"/>
          <w:sz w:val="22"/>
          <w:szCs w:val="22"/>
          <w:lang w:val="sr-Latn-ME"/>
        </w:rPr>
        <w:t>pomoć</w:t>
      </w:r>
      <w:r w:rsidRPr="0085657D">
        <w:rPr>
          <w:rFonts w:ascii="Arial" w:hAnsi="Arial" w:cs="Arial"/>
          <w:sz w:val="22"/>
          <w:szCs w:val="22"/>
          <w:lang w:val="sr-Latn-ME"/>
        </w:rPr>
        <w:t xml:space="preserve"> </w:t>
      </w:r>
      <w:r w:rsidR="004C18F2" w:rsidRPr="0085657D">
        <w:rPr>
          <w:rFonts w:ascii="Arial" w:hAnsi="Arial" w:cs="Arial"/>
          <w:sz w:val="22"/>
          <w:szCs w:val="22"/>
          <w:lang w:val="sr-Latn-ME"/>
        </w:rPr>
        <w:t>sudovima i državnim tužilaštvima</w:t>
      </w:r>
      <w:r w:rsidR="001E78AF" w:rsidRPr="0085657D">
        <w:rPr>
          <w:rFonts w:ascii="Arial" w:hAnsi="Arial" w:cs="Arial"/>
          <w:sz w:val="22"/>
          <w:szCs w:val="22"/>
          <w:lang w:val="sr-Latn-ME"/>
        </w:rPr>
        <w:t xml:space="preserve"> </w:t>
      </w:r>
      <w:r w:rsidRPr="0085657D">
        <w:rPr>
          <w:rFonts w:ascii="Arial" w:hAnsi="Arial" w:cs="Arial"/>
          <w:sz w:val="22"/>
          <w:szCs w:val="22"/>
          <w:lang w:val="sr-Latn-ME"/>
        </w:rPr>
        <w:t xml:space="preserve">u krivičnom postupku, koje su formirane u skladu sa Zakonom o postupanju prema maloljetnicima u krivičnom postupku, ali se priroda njihovih nadležnosti razlikuje od zahtjeva koje postavlja Direktiva 2012/029/EU. </w:t>
      </w:r>
    </w:p>
    <w:p w14:paraId="604C8943" w14:textId="77777777" w:rsidR="00FA1E17" w:rsidRPr="0085657D" w:rsidRDefault="00FA1E17"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Mehanizam individualne procjene potreba, kao ni upućivanja nije uspostavljen, a ne postoje ni pouzdani podaci o specijalizovanim službama podrške dostupnim u okviru institucija socijalne i zdravstvene zaštite, kao i pri organizacijama civilnog društva.</w:t>
      </w:r>
    </w:p>
    <w:p w14:paraId="733AB623" w14:textId="68542C2B" w:rsidR="00025EE7" w:rsidRPr="0085657D" w:rsidRDefault="001D5B5B" w:rsidP="007F6B92">
      <w:pPr>
        <w:spacing w:after="0"/>
        <w:rPr>
          <w:rFonts w:ascii="Arial" w:eastAsia="Times New Roman" w:hAnsi="Arial" w:cs="Arial"/>
        </w:rPr>
      </w:pPr>
      <w:r w:rsidRPr="0085657D">
        <w:rPr>
          <w:rFonts w:ascii="Arial" w:hAnsi="Arial" w:cs="Arial"/>
          <w:lang w:val="en-GB"/>
        </w:rPr>
        <w:t>Predlog</w:t>
      </w:r>
      <w:r w:rsidR="002B6079" w:rsidRPr="0085657D">
        <w:rPr>
          <w:rFonts w:ascii="Arial" w:hAnsi="Arial" w:cs="Arial"/>
        </w:rPr>
        <w:t xml:space="preserve"> Zakona o izmjenama i dopunama ZKPa </w:t>
      </w:r>
      <w:r w:rsidR="002B6079" w:rsidRPr="0085657D">
        <w:rPr>
          <w:rFonts w:ascii="Arial" w:hAnsi="Arial" w:cs="Arial"/>
          <w:lang w:val="en-GB"/>
        </w:rPr>
        <w:t>daje</w:t>
      </w:r>
      <w:r w:rsidR="002B6079" w:rsidRPr="0085657D">
        <w:rPr>
          <w:rFonts w:ascii="Arial" w:hAnsi="Arial" w:cs="Arial"/>
        </w:rPr>
        <w:t xml:space="preserve"> </w:t>
      </w:r>
      <w:r w:rsidR="002B6079" w:rsidRPr="0085657D">
        <w:rPr>
          <w:rFonts w:ascii="Arial" w:hAnsi="Arial" w:cs="Arial"/>
          <w:lang w:val="en-GB"/>
        </w:rPr>
        <w:t>predlog</w:t>
      </w:r>
      <w:r w:rsidR="002B6079" w:rsidRPr="0085657D">
        <w:rPr>
          <w:rFonts w:ascii="Arial" w:hAnsi="Arial" w:cs="Arial"/>
        </w:rPr>
        <w:t xml:space="preserve"> </w:t>
      </w:r>
      <w:r w:rsidR="002B6079" w:rsidRPr="0085657D">
        <w:rPr>
          <w:rFonts w:ascii="Arial" w:hAnsi="Arial" w:cs="Arial"/>
          <w:lang w:val="en-GB"/>
        </w:rPr>
        <w:t>da</w:t>
      </w:r>
      <w:r w:rsidR="002B6079" w:rsidRPr="0085657D">
        <w:rPr>
          <w:rFonts w:ascii="Arial" w:hAnsi="Arial" w:cs="Arial"/>
        </w:rPr>
        <w:t xml:space="preserve"> </w:t>
      </w:r>
      <w:r w:rsidR="002B6079" w:rsidRPr="0085657D">
        <w:rPr>
          <w:rFonts w:ascii="Arial" w:hAnsi="Arial" w:cs="Arial"/>
          <w:lang w:val="en-GB"/>
        </w:rPr>
        <w:t>se</w:t>
      </w:r>
      <w:r w:rsidR="002B6079" w:rsidRPr="0085657D">
        <w:rPr>
          <w:rFonts w:ascii="Arial" w:hAnsi="Arial" w:cs="Arial"/>
        </w:rPr>
        <w:t xml:space="preserve"> </w:t>
      </w:r>
      <w:r w:rsidR="002B6079" w:rsidRPr="0085657D">
        <w:rPr>
          <w:rFonts w:ascii="Arial" w:hAnsi="Arial" w:cs="Arial"/>
          <w:lang w:val="en-GB"/>
        </w:rPr>
        <w:t>u</w:t>
      </w:r>
      <w:r w:rsidR="002B6079" w:rsidRPr="0085657D">
        <w:rPr>
          <w:rFonts w:ascii="Arial" w:hAnsi="Arial" w:cs="Arial"/>
        </w:rPr>
        <w:t xml:space="preserve"> </w:t>
      </w:r>
      <w:r w:rsidR="002B6079" w:rsidRPr="0085657D">
        <w:rPr>
          <w:rFonts w:ascii="Arial" w:hAnsi="Arial" w:cs="Arial"/>
          <w:lang w:val="en-GB"/>
        </w:rPr>
        <w:t>posebnom</w:t>
      </w:r>
      <w:r w:rsidR="002B6079" w:rsidRPr="0085657D">
        <w:rPr>
          <w:rFonts w:ascii="Arial" w:hAnsi="Arial" w:cs="Arial"/>
        </w:rPr>
        <w:t xml:space="preserve"> č</w:t>
      </w:r>
      <w:r w:rsidR="002B6079" w:rsidRPr="0085657D">
        <w:rPr>
          <w:rFonts w:ascii="Arial" w:hAnsi="Arial" w:cs="Arial"/>
          <w:lang w:val="en-GB"/>
        </w:rPr>
        <w:t>lanu</w:t>
      </w:r>
      <w:r w:rsidR="002B6079" w:rsidRPr="0085657D">
        <w:rPr>
          <w:rFonts w:ascii="Arial" w:hAnsi="Arial" w:cs="Arial"/>
        </w:rPr>
        <w:t xml:space="preserve"> </w:t>
      </w:r>
      <w:r w:rsidR="002B6079" w:rsidRPr="0085657D">
        <w:rPr>
          <w:rFonts w:ascii="Arial" w:hAnsi="Arial" w:cs="Arial"/>
          <w:lang w:val="en-GB"/>
        </w:rPr>
        <w:t>uredi</w:t>
      </w:r>
      <w:r w:rsidR="002B6079" w:rsidRPr="0085657D">
        <w:rPr>
          <w:rFonts w:ascii="Arial" w:hAnsi="Arial" w:cs="Arial"/>
        </w:rPr>
        <w:t xml:space="preserve"> </w:t>
      </w:r>
      <w:r w:rsidR="002B6079" w:rsidRPr="0085657D">
        <w:rPr>
          <w:rFonts w:ascii="Arial" w:hAnsi="Arial" w:cs="Arial"/>
          <w:lang w:val="en-GB"/>
        </w:rPr>
        <w:t>formiranje</w:t>
      </w:r>
      <w:r w:rsidR="002B6079" w:rsidRPr="0085657D">
        <w:rPr>
          <w:rFonts w:ascii="Arial" w:hAnsi="Arial" w:cs="Arial"/>
        </w:rPr>
        <w:t xml:space="preserve"> </w:t>
      </w:r>
      <w:r w:rsidR="002B6079" w:rsidRPr="0085657D">
        <w:rPr>
          <w:rFonts w:ascii="Arial" w:hAnsi="Arial" w:cs="Arial"/>
          <w:lang w:val="en-GB"/>
        </w:rPr>
        <w:t>i</w:t>
      </w:r>
      <w:r w:rsidR="002B6079" w:rsidRPr="0085657D">
        <w:rPr>
          <w:rFonts w:ascii="Arial" w:hAnsi="Arial" w:cs="Arial"/>
        </w:rPr>
        <w:t xml:space="preserve"> </w:t>
      </w:r>
      <w:r w:rsidR="002B6079" w:rsidRPr="0085657D">
        <w:rPr>
          <w:rFonts w:ascii="Arial" w:hAnsi="Arial" w:cs="Arial"/>
          <w:lang w:val="en-GB"/>
        </w:rPr>
        <w:t>nadle</w:t>
      </w:r>
      <w:r w:rsidR="002B6079" w:rsidRPr="0085657D">
        <w:rPr>
          <w:rFonts w:ascii="Arial" w:hAnsi="Arial" w:cs="Arial"/>
        </w:rPr>
        <w:t>ž</w:t>
      </w:r>
      <w:r w:rsidR="002B6079" w:rsidRPr="0085657D">
        <w:rPr>
          <w:rFonts w:ascii="Arial" w:hAnsi="Arial" w:cs="Arial"/>
          <w:lang w:val="en-GB"/>
        </w:rPr>
        <w:t>nosti</w:t>
      </w:r>
      <w:r w:rsidR="002B6079" w:rsidRPr="0085657D">
        <w:rPr>
          <w:rFonts w:ascii="Arial" w:hAnsi="Arial" w:cs="Arial"/>
        </w:rPr>
        <w:t xml:space="preserve"> </w:t>
      </w:r>
      <w:r w:rsidR="002B6079" w:rsidRPr="0085657D">
        <w:rPr>
          <w:rFonts w:ascii="Arial" w:hAnsi="Arial" w:cs="Arial"/>
          <w:lang w:val="en-GB"/>
        </w:rPr>
        <w:t>stru</w:t>
      </w:r>
      <w:r w:rsidR="002B6079" w:rsidRPr="0085657D">
        <w:rPr>
          <w:rFonts w:ascii="Arial" w:hAnsi="Arial" w:cs="Arial"/>
        </w:rPr>
        <w:t>č</w:t>
      </w:r>
      <w:r w:rsidR="002B6079" w:rsidRPr="0085657D">
        <w:rPr>
          <w:rFonts w:ascii="Arial" w:hAnsi="Arial" w:cs="Arial"/>
          <w:lang w:val="en-GB"/>
        </w:rPr>
        <w:t>nih</w:t>
      </w:r>
      <w:r w:rsidR="002B6079" w:rsidRPr="0085657D">
        <w:rPr>
          <w:rFonts w:ascii="Arial" w:hAnsi="Arial" w:cs="Arial"/>
        </w:rPr>
        <w:t xml:space="preserve"> </w:t>
      </w:r>
      <w:r w:rsidR="002B6079" w:rsidRPr="0085657D">
        <w:rPr>
          <w:rFonts w:ascii="Arial" w:hAnsi="Arial" w:cs="Arial"/>
          <w:lang w:val="en-GB"/>
        </w:rPr>
        <w:t>slu</w:t>
      </w:r>
      <w:r w:rsidR="002B6079" w:rsidRPr="0085657D">
        <w:rPr>
          <w:rFonts w:ascii="Arial" w:hAnsi="Arial" w:cs="Arial"/>
        </w:rPr>
        <w:t>ž</w:t>
      </w:r>
      <w:r w:rsidR="002B6079" w:rsidRPr="0085657D">
        <w:rPr>
          <w:rFonts w:ascii="Arial" w:hAnsi="Arial" w:cs="Arial"/>
          <w:lang w:val="en-GB"/>
        </w:rPr>
        <w:t>bi</w:t>
      </w:r>
      <w:r w:rsidR="002B6079" w:rsidRPr="0085657D">
        <w:rPr>
          <w:rFonts w:ascii="Arial" w:hAnsi="Arial" w:cs="Arial"/>
        </w:rPr>
        <w:t xml:space="preserve"> </w:t>
      </w:r>
      <w:r w:rsidR="002B6079" w:rsidRPr="0085657D">
        <w:rPr>
          <w:rFonts w:ascii="Arial" w:hAnsi="Arial" w:cs="Arial"/>
          <w:lang w:val="en-GB"/>
        </w:rPr>
        <w:t>za</w:t>
      </w:r>
      <w:r w:rsidR="002B6079" w:rsidRPr="0085657D">
        <w:rPr>
          <w:rFonts w:ascii="Arial" w:hAnsi="Arial" w:cs="Arial"/>
        </w:rPr>
        <w:t xml:space="preserve"> </w:t>
      </w:r>
      <w:r w:rsidR="002B6079" w:rsidRPr="0085657D">
        <w:rPr>
          <w:rFonts w:ascii="Arial" w:hAnsi="Arial" w:cs="Arial"/>
          <w:lang w:val="en-GB"/>
        </w:rPr>
        <w:t>podr</w:t>
      </w:r>
      <w:r w:rsidR="002B6079" w:rsidRPr="0085657D">
        <w:rPr>
          <w:rFonts w:ascii="Arial" w:hAnsi="Arial" w:cs="Arial"/>
        </w:rPr>
        <w:t>š</w:t>
      </w:r>
      <w:r w:rsidR="002B6079" w:rsidRPr="0085657D">
        <w:rPr>
          <w:rFonts w:ascii="Arial" w:hAnsi="Arial" w:cs="Arial"/>
          <w:lang w:val="en-GB"/>
        </w:rPr>
        <w:t>ku</w:t>
      </w:r>
      <w:r w:rsidR="002B6079" w:rsidRPr="0085657D">
        <w:rPr>
          <w:rFonts w:ascii="Arial" w:hAnsi="Arial" w:cs="Arial"/>
        </w:rPr>
        <w:t xml:space="preserve"> ž</w:t>
      </w:r>
      <w:r w:rsidR="002B6079" w:rsidRPr="0085657D">
        <w:rPr>
          <w:rFonts w:ascii="Arial" w:hAnsi="Arial" w:cs="Arial"/>
          <w:lang w:val="en-GB"/>
        </w:rPr>
        <w:t>rtv</w:t>
      </w:r>
      <w:r w:rsidR="0034471A" w:rsidRPr="0085657D">
        <w:rPr>
          <w:rFonts w:ascii="Arial" w:hAnsi="Arial" w:cs="Arial"/>
          <w:lang w:val="en-GB"/>
        </w:rPr>
        <w:t>ama</w:t>
      </w:r>
      <w:r w:rsidR="0034471A" w:rsidRPr="0085657D">
        <w:rPr>
          <w:rFonts w:ascii="Arial" w:hAnsi="Arial" w:cs="Arial"/>
        </w:rPr>
        <w:t xml:space="preserve"> krivičnih djela, radi pružanja pomoći sudovima tužilaštvima i policiji.</w:t>
      </w:r>
      <w:r w:rsidR="008B3325" w:rsidRPr="0085657D">
        <w:rPr>
          <w:rFonts w:ascii="Arial" w:hAnsi="Arial" w:cs="Arial"/>
        </w:rPr>
        <w:t xml:space="preserve"> </w:t>
      </w:r>
      <w:r w:rsidR="001A4CF6" w:rsidRPr="0085657D">
        <w:rPr>
          <w:rFonts w:ascii="Arial" w:hAnsi="Arial" w:cs="Arial"/>
        </w:rPr>
        <w:t xml:space="preserve">Predviđeno je da se ove službe formiraju pri višim sudovima i višim državnim tužilaštvima u Crnoj Gori, koje bi </w:t>
      </w:r>
      <w:r w:rsidR="00025EE7" w:rsidRPr="0085657D">
        <w:rPr>
          <w:rFonts w:ascii="Arial" w:hAnsi="Arial" w:cs="Arial"/>
        </w:rPr>
        <w:t xml:space="preserve">pružale </w:t>
      </w:r>
      <w:r w:rsidR="00F53860" w:rsidRPr="0085657D">
        <w:rPr>
          <w:rFonts w:ascii="Arial" w:hAnsi="Arial" w:cs="Arial"/>
        </w:rPr>
        <w:t xml:space="preserve">primarnu </w:t>
      </w:r>
      <w:r w:rsidR="00025EE7" w:rsidRPr="0085657D">
        <w:rPr>
          <w:rFonts w:ascii="Arial" w:hAnsi="Arial" w:cs="Arial"/>
        </w:rPr>
        <w:t xml:space="preserve">podršku žrtvama </w:t>
      </w:r>
      <w:r w:rsidR="00025EE7" w:rsidRPr="0085657D">
        <w:rPr>
          <w:rFonts w:ascii="Arial" w:eastAsia="Times New Roman" w:hAnsi="Arial" w:cs="Arial"/>
        </w:rPr>
        <w:t>sa područja mjesne nadležnosti tih sudova, državnih tužilaštava</w:t>
      </w:r>
      <w:r w:rsidR="00873805">
        <w:rPr>
          <w:rFonts w:ascii="Arial" w:eastAsia="Times New Roman" w:hAnsi="Arial" w:cs="Arial"/>
        </w:rPr>
        <w:t xml:space="preserve">, </w:t>
      </w:r>
      <w:r w:rsidR="00025EE7" w:rsidRPr="0085657D">
        <w:rPr>
          <w:rFonts w:ascii="Arial" w:eastAsia="Times New Roman" w:hAnsi="Arial" w:cs="Arial"/>
        </w:rPr>
        <w:t>odnosno policije.</w:t>
      </w:r>
      <w:r w:rsidR="00025EE7" w:rsidRPr="0085657D">
        <w:rPr>
          <w:rFonts w:ascii="Arial" w:eastAsiaTheme="minorEastAsia" w:hAnsi="Arial" w:cs="Arial"/>
        </w:rPr>
        <w:t xml:space="preserve"> Predviđeno je da p</w:t>
      </w:r>
      <w:r w:rsidR="00025EE7" w:rsidRPr="0085657D">
        <w:rPr>
          <w:rFonts w:ascii="Arial" w:eastAsia="Times New Roman" w:hAnsi="Arial" w:cs="Arial"/>
        </w:rPr>
        <w:t>oslove u stručnoj službi</w:t>
      </w:r>
      <w:r w:rsidR="00873805">
        <w:rPr>
          <w:rFonts w:ascii="Arial" w:eastAsia="Times New Roman" w:hAnsi="Arial" w:cs="Arial"/>
        </w:rPr>
        <w:t xml:space="preserve"> </w:t>
      </w:r>
      <w:r w:rsidR="00025EE7" w:rsidRPr="0085657D">
        <w:rPr>
          <w:rFonts w:ascii="Arial" w:eastAsia="Times New Roman" w:hAnsi="Arial" w:cs="Arial"/>
        </w:rPr>
        <w:t>obavljaju socijalni radnici, psiholozi, defektolozi, specijalni pedagozi i druga stručna lica iz odgovarajućih oblasti, koja mogu dati stručna mišljenja, obavještenja i drugu pomoć u postupanju prema žrtvama.</w:t>
      </w:r>
    </w:p>
    <w:p w14:paraId="2E6A6503" w14:textId="77777777" w:rsidR="00025EE7" w:rsidRPr="0085657D" w:rsidRDefault="00025EE7" w:rsidP="00025EE7">
      <w:pPr>
        <w:spacing w:after="0"/>
        <w:ind w:firstLine="708"/>
        <w:rPr>
          <w:rFonts w:ascii="Arial" w:eastAsia="Times New Roman" w:hAnsi="Arial" w:cs="Arial"/>
        </w:rPr>
      </w:pPr>
    </w:p>
    <w:p w14:paraId="42B1E727" w14:textId="6B9248B6" w:rsidR="00025EE7" w:rsidRPr="0085657D" w:rsidRDefault="00025EE7" w:rsidP="007F6B92">
      <w:pPr>
        <w:spacing w:after="0"/>
        <w:rPr>
          <w:rFonts w:ascii="Arial" w:eastAsia="Times New Roman" w:hAnsi="Arial" w:cs="Arial"/>
        </w:rPr>
      </w:pPr>
      <w:r w:rsidRPr="0085657D">
        <w:rPr>
          <w:rFonts w:ascii="Arial" w:eastAsia="Times New Roman" w:hAnsi="Arial" w:cs="Arial"/>
        </w:rPr>
        <w:t>Važna uloga ovih službi ogleda</w:t>
      </w:r>
      <w:r w:rsidR="00A637B9" w:rsidRPr="0085657D">
        <w:rPr>
          <w:rFonts w:ascii="Arial" w:eastAsia="Times New Roman" w:hAnsi="Arial" w:cs="Arial"/>
        </w:rPr>
        <w:t>la bi</w:t>
      </w:r>
      <w:r w:rsidRPr="0085657D">
        <w:rPr>
          <w:rFonts w:ascii="Arial" w:eastAsia="Times New Roman" w:hAnsi="Arial" w:cs="Arial"/>
        </w:rPr>
        <w:t xml:space="preserve"> se prvenstveno u sprovođenju pojedinačne/individualne procjene žrtve. Predložene izmjene ZKPa predviđaju da </w:t>
      </w:r>
      <w:r w:rsidR="00053CAE" w:rsidRPr="0085657D">
        <w:rPr>
          <w:rFonts w:ascii="Arial" w:eastAsia="Times New Roman" w:hAnsi="Arial" w:cs="Arial"/>
        </w:rPr>
        <w:t>p</w:t>
      </w:r>
      <w:r w:rsidRPr="0085657D">
        <w:rPr>
          <w:rFonts w:ascii="Arial" w:eastAsia="Times New Roman" w:hAnsi="Arial" w:cs="Arial"/>
        </w:rPr>
        <w:t>rilikom saslušanja žrtve organ koji sprovodi saslušanje će u saradnji sa stručnim službama sprovesti pojedinačnu procjenu žrtve</w:t>
      </w:r>
      <w:r w:rsidR="00053CAE" w:rsidRPr="0085657D">
        <w:rPr>
          <w:rFonts w:ascii="Arial" w:eastAsia="Times New Roman" w:hAnsi="Arial" w:cs="Arial"/>
        </w:rPr>
        <w:t>, koja podrazumijeva u</w:t>
      </w:r>
      <w:r w:rsidRPr="0085657D">
        <w:rPr>
          <w:rFonts w:ascii="Arial" w:eastAsia="Times New Roman" w:hAnsi="Arial" w:cs="Arial"/>
        </w:rPr>
        <w:t>tvrđivanje ličnih karakteristika te žrtve, vrste i prirode krivičnog djela, okolnosti izvršenja krivičnog djela, posljedice krivičnog djela, potrebe za primjenom mjera i radnji radi zaštite žrtve</w:t>
      </w:r>
      <w:r w:rsidR="00053CAE" w:rsidRPr="0085657D">
        <w:rPr>
          <w:rFonts w:ascii="Arial" w:eastAsia="Times New Roman" w:hAnsi="Arial" w:cs="Arial"/>
        </w:rPr>
        <w:t xml:space="preserve">. </w:t>
      </w:r>
    </w:p>
    <w:p w14:paraId="3DFD8C73" w14:textId="77777777" w:rsidR="00A87CBE" w:rsidRPr="0085657D" w:rsidRDefault="00A87CBE" w:rsidP="00053CAE">
      <w:pPr>
        <w:spacing w:after="0"/>
        <w:rPr>
          <w:rFonts w:ascii="Arial" w:eastAsia="Times New Roman" w:hAnsi="Arial" w:cs="Arial"/>
        </w:rPr>
      </w:pPr>
    </w:p>
    <w:p w14:paraId="4301E3FB" w14:textId="76914BAA" w:rsidR="00053CAE" w:rsidRPr="0085657D" w:rsidRDefault="00053CAE" w:rsidP="00053CAE">
      <w:pPr>
        <w:spacing w:after="0"/>
        <w:rPr>
          <w:rFonts w:ascii="Arial" w:eastAsia="Times New Roman" w:hAnsi="Arial" w:cs="Arial"/>
        </w:rPr>
      </w:pPr>
      <w:r w:rsidRPr="0085657D">
        <w:rPr>
          <w:rFonts w:ascii="Arial" w:eastAsia="Times New Roman" w:hAnsi="Arial" w:cs="Arial"/>
        </w:rPr>
        <w:t xml:space="preserve">Pored toga, u okviru službi neophodno je razviti i mehanizam upućivanja u specijalizovane službe koje pružaju specifične vrste podrške (ukoliko se ukaže potreba za tim). </w:t>
      </w:r>
    </w:p>
    <w:p w14:paraId="3A93E39C" w14:textId="77777777" w:rsidR="00025EE7" w:rsidRPr="0085657D" w:rsidRDefault="00025EE7" w:rsidP="00025EE7">
      <w:pPr>
        <w:spacing w:after="0"/>
        <w:ind w:firstLine="708"/>
        <w:rPr>
          <w:rFonts w:ascii="Arial" w:eastAsia="Times New Roman" w:hAnsi="Arial" w:cs="Arial"/>
        </w:rPr>
      </w:pPr>
    </w:p>
    <w:p w14:paraId="568F9FD4" w14:textId="77777777" w:rsidR="00025EE7" w:rsidRPr="0085657D" w:rsidRDefault="00025EE7" w:rsidP="00025EE7">
      <w:pPr>
        <w:spacing w:after="0"/>
        <w:ind w:firstLine="708"/>
        <w:rPr>
          <w:rFonts w:ascii="Arial" w:eastAsia="Times New Roman" w:hAnsi="Arial" w:cs="Arial"/>
        </w:rPr>
      </w:pPr>
    </w:p>
    <w:p w14:paraId="5EF35EC8" w14:textId="77777777" w:rsidR="00242F36" w:rsidRPr="0085657D" w:rsidRDefault="00242F36" w:rsidP="00595DE2">
      <w:pPr>
        <w:pStyle w:val="Default"/>
        <w:numPr>
          <w:ilvl w:val="0"/>
          <w:numId w:val="23"/>
        </w:numPr>
        <w:spacing w:after="160" w:line="276" w:lineRule="auto"/>
        <w:jc w:val="both"/>
        <w:rPr>
          <w:rFonts w:ascii="Arial" w:hAnsi="Arial" w:cs="Arial"/>
          <w:b/>
          <w:bCs/>
          <w:sz w:val="22"/>
          <w:szCs w:val="22"/>
          <w:lang w:val="sr-Latn-ME"/>
        </w:rPr>
      </w:pPr>
      <w:r w:rsidRPr="0085657D">
        <w:rPr>
          <w:rFonts w:ascii="Arial" w:hAnsi="Arial" w:cs="Arial"/>
          <w:b/>
          <w:bCs/>
          <w:sz w:val="22"/>
          <w:szCs w:val="22"/>
          <w:lang w:val="sr-Latn-ME"/>
        </w:rPr>
        <w:t>Usluge specijalizovane podrške</w:t>
      </w:r>
    </w:p>
    <w:p w14:paraId="39880589" w14:textId="77777777" w:rsidR="001A6789" w:rsidRPr="0079465C" w:rsidRDefault="001A6789"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Službe za podršku pri sudovima i tužilaštvima ne mogu pružiti sve vrste podrške koje bi žrtvama mogle biti potrebne na osnovu rezultata individualne procjene</w:t>
      </w:r>
      <w:r w:rsidRPr="00664D8F">
        <w:rPr>
          <w:rFonts w:ascii="Arial" w:hAnsi="Arial" w:cs="Arial"/>
          <w:sz w:val="22"/>
          <w:szCs w:val="22"/>
          <w:lang w:val="sr-Latn-ME"/>
        </w:rPr>
        <w:t xml:space="preserve">. </w:t>
      </w:r>
      <w:r w:rsidRPr="00985C21">
        <w:rPr>
          <w:rFonts w:ascii="Arial" w:hAnsi="Arial" w:cs="Arial"/>
          <w:sz w:val="22"/>
          <w:szCs w:val="22"/>
          <w:lang w:val="sr-Latn-ME"/>
        </w:rPr>
        <w:t xml:space="preserve">Zato je važno razviti mehanizme upućivanja u službe specijalizovane podrške, bilo u okviru državnih institucija ili u okviru </w:t>
      </w:r>
      <w:r w:rsidRPr="0079465C">
        <w:rPr>
          <w:rFonts w:ascii="Arial" w:hAnsi="Arial" w:cs="Arial"/>
          <w:sz w:val="22"/>
          <w:szCs w:val="22"/>
          <w:lang w:val="sr-Latn-ME"/>
        </w:rPr>
        <w:t xml:space="preserve">organizacija civilnog društva. </w:t>
      </w:r>
    </w:p>
    <w:p w14:paraId="32491B4F" w14:textId="61B555CB" w:rsidR="00802C4A" w:rsidRPr="0079465C" w:rsidRDefault="00802C4A" w:rsidP="00981EB6">
      <w:pPr>
        <w:autoSpaceDE w:val="0"/>
        <w:autoSpaceDN w:val="0"/>
        <w:adjustRightInd w:val="0"/>
        <w:spacing w:after="0" w:line="276" w:lineRule="auto"/>
        <w:rPr>
          <w:rFonts w:ascii="Arial" w:hAnsi="Arial" w:cs="Arial"/>
          <w:color w:val="000000"/>
          <w14:ligatures w14:val="standardContextual"/>
        </w:rPr>
      </w:pPr>
      <w:r w:rsidRPr="0079465C">
        <w:rPr>
          <w:rFonts w:ascii="Arial" w:hAnsi="Arial" w:cs="Arial"/>
          <w:color w:val="000000"/>
          <w14:ligatures w14:val="standardContextual"/>
        </w:rPr>
        <w:t>Kada je riječ o potencijalnim kapacitetima za pružanje specijalizovane podrške, kako je prepoznaj</w:t>
      </w:r>
      <w:r w:rsidR="00664D8F" w:rsidRPr="0079465C">
        <w:rPr>
          <w:rFonts w:ascii="Arial" w:hAnsi="Arial" w:cs="Arial"/>
          <w:color w:val="000000"/>
          <w14:ligatures w14:val="standardContextual"/>
        </w:rPr>
        <w:t xml:space="preserve">u Direktiva 2012/029/EU, ali i </w:t>
      </w:r>
      <w:r w:rsidRPr="0079465C">
        <w:rPr>
          <w:rFonts w:ascii="Arial" w:hAnsi="Arial" w:cs="Arial"/>
          <w:color w:val="000000"/>
          <w14:ligatures w14:val="standardContextual"/>
        </w:rPr>
        <w:t>Konvencij</w:t>
      </w:r>
      <w:r w:rsidR="00B33875" w:rsidRPr="0079465C">
        <w:rPr>
          <w:rFonts w:ascii="Arial" w:hAnsi="Arial" w:cs="Arial"/>
          <w:color w:val="000000"/>
          <w14:ligatures w14:val="standardContextual"/>
        </w:rPr>
        <w:t>a</w:t>
      </w:r>
      <w:r w:rsidRPr="0079465C">
        <w:rPr>
          <w:rFonts w:ascii="Arial" w:hAnsi="Arial" w:cs="Arial"/>
          <w:color w:val="000000"/>
          <w14:ligatures w14:val="standardContextual"/>
        </w:rPr>
        <w:t xml:space="preserve"> Savjeta Evrope o sprečavanju i borbi protiv nasilja nad ženama i nasilja u porodici (Istanbulska konvencija) Ministarstvo socijalnog staranja, brige o porodici i demografije vodi registar licenciranih pružalaca usluga u oblasti socijalne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je zaštite. Izmijenjenim Pravilnikom o sadržaju baze podataka i sadržaju i načinu vođenja evidencija u socijalnoj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joj zaštiti predviđena je nadogradnja pomenutog registra na način što će biti dostupna infomacija o ličnom imenu, datum</w:t>
      </w:r>
      <w:r w:rsidR="00B33875" w:rsidRPr="0079465C">
        <w:rPr>
          <w:rFonts w:ascii="Arial" w:hAnsi="Arial" w:cs="Arial"/>
          <w:color w:val="000000"/>
          <w14:ligatures w14:val="standardContextual"/>
        </w:rPr>
        <w:t>u</w:t>
      </w:r>
      <w:r w:rsidRPr="0079465C">
        <w:rPr>
          <w:rFonts w:ascii="Arial" w:hAnsi="Arial" w:cs="Arial"/>
          <w:color w:val="000000"/>
          <w14:ligatures w14:val="standardContextual"/>
        </w:rPr>
        <w:t xml:space="preserve"> i mjest</w:t>
      </w:r>
      <w:r w:rsidR="00B33875" w:rsidRPr="0079465C">
        <w:rPr>
          <w:rFonts w:ascii="Arial" w:hAnsi="Arial" w:cs="Arial"/>
          <w:color w:val="000000"/>
          <w14:ligatures w14:val="standardContextual"/>
        </w:rPr>
        <w:t>u</w:t>
      </w:r>
      <w:r w:rsidRPr="0079465C">
        <w:rPr>
          <w:rFonts w:ascii="Arial" w:hAnsi="Arial" w:cs="Arial"/>
          <w:color w:val="000000"/>
          <w14:ligatures w14:val="standardContextual"/>
        </w:rPr>
        <w:t xml:space="preserve"> rođenja stručnih radnika, stručnih saradnika i saradnika angažovanih za pružanje usluge, naziv usluge socijalne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je zaštite, ko su korisnici usluga socijalne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 xml:space="preserve">je zaštite i broj korisnika usluge kao i mjesto pružanja usluge. </w:t>
      </w:r>
    </w:p>
    <w:p w14:paraId="06D8D331" w14:textId="77777777" w:rsidR="00981EB6" w:rsidRPr="0079465C" w:rsidRDefault="00981EB6" w:rsidP="00981EB6">
      <w:pPr>
        <w:autoSpaceDE w:val="0"/>
        <w:autoSpaceDN w:val="0"/>
        <w:adjustRightInd w:val="0"/>
        <w:spacing w:after="0" w:line="276" w:lineRule="auto"/>
        <w:rPr>
          <w:rFonts w:ascii="Arial" w:hAnsi="Arial" w:cs="Arial"/>
          <w:color w:val="000000"/>
          <w14:ligatures w14:val="standardContextual"/>
        </w:rPr>
      </w:pPr>
    </w:p>
    <w:p w14:paraId="39A96491" w14:textId="2C78E067" w:rsidR="00FA6CF9" w:rsidRPr="0079465C" w:rsidRDefault="00FA6CF9" w:rsidP="00981EB6">
      <w:pPr>
        <w:pStyle w:val="Default"/>
        <w:spacing w:line="276" w:lineRule="auto"/>
        <w:jc w:val="both"/>
        <w:rPr>
          <w:rFonts w:ascii="Arial" w:hAnsi="Arial" w:cs="Arial"/>
          <w:sz w:val="22"/>
          <w:szCs w:val="22"/>
          <w:lang w:val="sr-Latn-ME"/>
        </w:rPr>
      </w:pPr>
      <w:r w:rsidRPr="0079465C">
        <w:rPr>
          <w:rFonts w:ascii="Arial" w:hAnsi="Arial" w:cs="Arial"/>
          <w:sz w:val="22"/>
          <w:szCs w:val="22"/>
          <w:lang w:val="sr-Latn-ME"/>
        </w:rPr>
        <w:t>Ministarstvo socijalnog staranja, brige o porodici i demografi</w:t>
      </w:r>
      <w:r w:rsidR="00981EB6" w:rsidRPr="0079465C">
        <w:rPr>
          <w:rFonts w:ascii="Arial" w:hAnsi="Arial" w:cs="Arial"/>
          <w:sz w:val="22"/>
          <w:szCs w:val="22"/>
          <w:lang w:val="sr-Latn-ME"/>
        </w:rPr>
        <w:t xml:space="preserve">je izdaje licence za obavljanje </w:t>
      </w:r>
      <w:r w:rsidRPr="0079465C">
        <w:rPr>
          <w:rFonts w:ascii="Arial" w:hAnsi="Arial" w:cs="Arial"/>
          <w:sz w:val="22"/>
          <w:szCs w:val="22"/>
          <w:lang w:val="sr-Latn-ME"/>
        </w:rPr>
        <w:t>djelatnosti u oblasti socijalne i dječ</w:t>
      </w:r>
      <w:r w:rsidR="00B33875" w:rsidRPr="0079465C">
        <w:rPr>
          <w:rFonts w:ascii="Arial" w:hAnsi="Arial" w:cs="Arial"/>
          <w:sz w:val="22"/>
          <w:szCs w:val="22"/>
          <w:lang w:val="sr-Latn-ME"/>
        </w:rPr>
        <w:t>i</w:t>
      </w:r>
      <w:r w:rsidRPr="0079465C">
        <w:rPr>
          <w:rFonts w:ascii="Arial" w:hAnsi="Arial" w:cs="Arial"/>
          <w:sz w:val="22"/>
          <w:szCs w:val="22"/>
          <w:lang w:val="sr-Latn-ME"/>
        </w:rPr>
        <w:t>je zaštite, a na osnovu Zakona o socijalnoj i dječ</w:t>
      </w:r>
      <w:r w:rsidR="00B33875" w:rsidRPr="0079465C">
        <w:rPr>
          <w:rFonts w:ascii="Arial" w:hAnsi="Arial" w:cs="Arial"/>
          <w:sz w:val="22"/>
          <w:szCs w:val="22"/>
          <w:lang w:val="sr-Latn-ME"/>
        </w:rPr>
        <w:t>i</w:t>
      </w:r>
      <w:r w:rsidRPr="0079465C">
        <w:rPr>
          <w:rFonts w:ascii="Arial" w:hAnsi="Arial" w:cs="Arial"/>
          <w:sz w:val="22"/>
          <w:szCs w:val="22"/>
          <w:lang w:val="sr-Latn-ME"/>
        </w:rPr>
        <w:t xml:space="preserve">joj zaštiti pružalac usluge je dužan da prije otpočinjanja sa obavljanjem djelatnosti pribavi licencu za obavljanje djelatnosti. Zakonom i podzakonskim aktom propisana je dokumentacija koju je pružalac usluge dužan da dostavi uz zahtjev za dobijanje licence. </w:t>
      </w:r>
    </w:p>
    <w:p w14:paraId="03F0290B" w14:textId="77777777" w:rsidR="00981EB6" w:rsidRPr="0079465C" w:rsidRDefault="00981EB6" w:rsidP="00981EB6">
      <w:pPr>
        <w:pStyle w:val="Default"/>
        <w:spacing w:line="276" w:lineRule="auto"/>
        <w:jc w:val="both"/>
        <w:rPr>
          <w:rFonts w:ascii="Arial" w:hAnsi="Arial" w:cs="Arial"/>
          <w:sz w:val="22"/>
          <w:szCs w:val="22"/>
          <w:lang w:val="sr-Latn-ME"/>
        </w:rPr>
      </w:pPr>
    </w:p>
    <w:p w14:paraId="3283D15D" w14:textId="7BB8D43F" w:rsidR="00606C39" w:rsidRPr="0085657D" w:rsidRDefault="00FA6CF9" w:rsidP="00981EB6">
      <w:pPr>
        <w:pStyle w:val="Default"/>
        <w:spacing w:after="160" w:line="276" w:lineRule="auto"/>
        <w:jc w:val="both"/>
        <w:rPr>
          <w:rFonts w:ascii="Arial" w:hAnsi="Arial" w:cs="Arial"/>
          <w:sz w:val="22"/>
          <w:szCs w:val="22"/>
          <w:lang w:val="sr-Latn-ME"/>
        </w:rPr>
      </w:pPr>
      <w:r w:rsidRPr="0079465C">
        <w:rPr>
          <w:rFonts w:ascii="Arial" w:hAnsi="Arial" w:cs="Arial"/>
          <w:sz w:val="22"/>
          <w:szCs w:val="22"/>
          <w:lang w:val="sr-Latn-ME"/>
        </w:rPr>
        <w:t>Zakonom o socijalnoj i dječj</w:t>
      </w:r>
      <w:r w:rsidR="00B33875" w:rsidRPr="0079465C">
        <w:rPr>
          <w:rFonts w:ascii="Arial" w:hAnsi="Arial" w:cs="Arial"/>
          <w:sz w:val="22"/>
          <w:szCs w:val="22"/>
          <w:lang w:val="sr-Latn-ME"/>
        </w:rPr>
        <w:t>i</w:t>
      </w:r>
      <w:r w:rsidRPr="0079465C">
        <w:rPr>
          <w:rFonts w:ascii="Arial" w:hAnsi="Arial" w:cs="Arial"/>
          <w:sz w:val="22"/>
          <w:szCs w:val="22"/>
          <w:lang w:val="sr-Latn-ME"/>
        </w:rPr>
        <w:t>oj zaštiti propisano je da nadzor nad sprovođenjem ovog zakona vrši Inspekcija socijalne i dječ</w:t>
      </w:r>
      <w:r w:rsidR="00B33875" w:rsidRPr="0079465C">
        <w:rPr>
          <w:rFonts w:ascii="Arial" w:hAnsi="Arial" w:cs="Arial"/>
          <w:sz w:val="22"/>
          <w:szCs w:val="22"/>
          <w:lang w:val="sr-Latn-ME"/>
        </w:rPr>
        <w:t>i</w:t>
      </w:r>
      <w:r w:rsidRPr="0079465C">
        <w:rPr>
          <w:rFonts w:ascii="Arial" w:hAnsi="Arial" w:cs="Arial"/>
          <w:sz w:val="22"/>
          <w:szCs w:val="22"/>
          <w:lang w:val="sr-Latn-ME"/>
        </w:rPr>
        <w:t>je zaštite. Takođe, zakonom je propisano da Ministarstvo vrši nadzor nad stručnim radom pružaoca usluge. U nadzoru nad stručnim radom pružaoca usluge utvrđuje se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w:t>
      </w:r>
    </w:p>
    <w:p w14:paraId="0603A997" w14:textId="77777777" w:rsidR="00242F36" w:rsidRPr="0085657D" w:rsidRDefault="00242F36" w:rsidP="00595DE2">
      <w:pPr>
        <w:pStyle w:val="Default"/>
        <w:numPr>
          <w:ilvl w:val="0"/>
          <w:numId w:val="23"/>
        </w:numPr>
        <w:spacing w:after="160" w:line="276" w:lineRule="auto"/>
        <w:jc w:val="both"/>
        <w:rPr>
          <w:rFonts w:ascii="Arial" w:hAnsi="Arial" w:cs="Arial"/>
          <w:b/>
          <w:bCs/>
          <w:sz w:val="22"/>
          <w:szCs w:val="22"/>
          <w:lang w:val="sr-Latn-ME"/>
        </w:rPr>
      </w:pPr>
      <w:r w:rsidRPr="0085657D">
        <w:rPr>
          <w:rFonts w:ascii="Arial" w:hAnsi="Arial" w:cs="Arial"/>
          <w:b/>
          <w:bCs/>
          <w:sz w:val="22"/>
          <w:szCs w:val="22"/>
          <w:lang w:val="sr-Latn-ME"/>
        </w:rPr>
        <w:t>Dostupnost informacija o uslugama podrške</w:t>
      </w:r>
    </w:p>
    <w:p w14:paraId="558DC04C" w14:textId="79A91F77" w:rsidR="00C974D1" w:rsidRPr="0085657D" w:rsidRDefault="00FA1E17"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Najzad, </w:t>
      </w:r>
      <w:r w:rsidR="00A65805" w:rsidRPr="0085657D">
        <w:rPr>
          <w:rFonts w:ascii="Arial" w:hAnsi="Arial" w:cs="Arial"/>
          <w:sz w:val="22"/>
          <w:szCs w:val="22"/>
          <w:lang w:val="sr-Latn-ME"/>
        </w:rPr>
        <w:t xml:space="preserve">ozbiljan problem trenutno predstavlja činjenica da i </w:t>
      </w:r>
      <w:r w:rsidRPr="0085657D">
        <w:rPr>
          <w:rFonts w:ascii="Arial" w:hAnsi="Arial" w:cs="Arial"/>
          <w:sz w:val="22"/>
          <w:szCs w:val="22"/>
          <w:lang w:val="sr-Latn-ME"/>
        </w:rPr>
        <w:t>samim žrtvama</w:t>
      </w:r>
      <w:r w:rsidR="00A65805" w:rsidRPr="0085657D">
        <w:rPr>
          <w:rFonts w:ascii="Arial" w:hAnsi="Arial" w:cs="Arial"/>
          <w:sz w:val="22"/>
          <w:szCs w:val="22"/>
          <w:lang w:val="sr-Latn-ME"/>
        </w:rPr>
        <w:t xml:space="preserve"> nisu </w:t>
      </w:r>
      <w:r w:rsidR="001A38D0" w:rsidRPr="0085657D">
        <w:rPr>
          <w:rFonts w:ascii="Arial" w:hAnsi="Arial" w:cs="Arial"/>
          <w:sz w:val="22"/>
          <w:szCs w:val="22"/>
          <w:lang w:val="sr-Latn-ME"/>
        </w:rPr>
        <w:t xml:space="preserve">lako </w:t>
      </w:r>
      <w:r w:rsidR="00A65805" w:rsidRPr="0085657D">
        <w:rPr>
          <w:rFonts w:ascii="Arial" w:hAnsi="Arial" w:cs="Arial"/>
          <w:sz w:val="22"/>
          <w:szCs w:val="22"/>
          <w:lang w:val="sr-Latn-ME"/>
        </w:rPr>
        <w:t>dostupne</w:t>
      </w:r>
      <w:r w:rsidR="00254721" w:rsidRPr="0085657D">
        <w:rPr>
          <w:rFonts w:ascii="Arial" w:hAnsi="Arial" w:cs="Arial"/>
          <w:sz w:val="22"/>
          <w:szCs w:val="22"/>
          <w:lang w:val="sr-Latn-ME"/>
        </w:rPr>
        <w:t xml:space="preserve"> informacije o postojećim uslugama podrške, kao ni o ostalim pravima koja im pripadaju, </w:t>
      </w:r>
      <w:r w:rsidR="001A38D0" w:rsidRPr="0085657D">
        <w:rPr>
          <w:rFonts w:ascii="Arial" w:hAnsi="Arial" w:cs="Arial"/>
          <w:sz w:val="22"/>
          <w:szCs w:val="22"/>
          <w:lang w:val="sr-Latn-ME"/>
        </w:rPr>
        <w:t xml:space="preserve">budući da su te informacije „rasute“ po brojnim internet stranicama </w:t>
      </w:r>
      <w:r w:rsidR="001A6789" w:rsidRPr="0085657D">
        <w:rPr>
          <w:rFonts w:ascii="Arial" w:hAnsi="Arial" w:cs="Arial"/>
          <w:sz w:val="22"/>
          <w:szCs w:val="22"/>
          <w:lang w:val="sr-Latn-ME"/>
        </w:rPr>
        <w:t xml:space="preserve">državnih organa, institucija i </w:t>
      </w:r>
      <w:r w:rsidR="00242F36" w:rsidRPr="0085657D">
        <w:rPr>
          <w:rFonts w:ascii="Arial" w:hAnsi="Arial" w:cs="Arial"/>
          <w:sz w:val="22"/>
          <w:szCs w:val="22"/>
          <w:lang w:val="sr-Latn-ME"/>
        </w:rPr>
        <w:t>organizacija civilnog društva</w:t>
      </w:r>
      <w:r w:rsidR="001A6789" w:rsidRPr="0085657D">
        <w:rPr>
          <w:rFonts w:ascii="Arial" w:hAnsi="Arial" w:cs="Arial"/>
          <w:sz w:val="22"/>
          <w:szCs w:val="22"/>
          <w:lang w:val="sr-Latn-ME"/>
        </w:rPr>
        <w:t>.</w:t>
      </w:r>
      <w:r w:rsidR="00A65805" w:rsidRPr="0085657D">
        <w:rPr>
          <w:rFonts w:ascii="Arial" w:hAnsi="Arial" w:cs="Arial"/>
          <w:sz w:val="22"/>
          <w:szCs w:val="22"/>
          <w:lang w:val="sr-Latn-ME"/>
        </w:rPr>
        <w:t xml:space="preserve"> </w:t>
      </w:r>
      <w:r w:rsidR="00242F36" w:rsidRPr="0085657D">
        <w:rPr>
          <w:rFonts w:ascii="Arial" w:hAnsi="Arial" w:cs="Arial"/>
          <w:sz w:val="22"/>
          <w:szCs w:val="22"/>
          <w:lang w:val="sr-Latn-ME"/>
        </w:rPr>
        <w:t xml:space="preserve">U više navrata, uglavnom kroz projektnu podršku, štampane su i informativne brošure o </w:t>
      </w:r>
      <w:r w:rsidR="001A6789" w:rsidRPr="0085657D">
        <w:rPr>
          <w:rFonts w:ascii="Arial" w:hAnsi="Arial" w:cs="Arial"/>
          <w:sz w:val="22"/>
          <w:szCs w:val="22"/>
          <w:lang w:val="sr-Latn-ME"/>
        </w:rPr>
        <w:t>pravima žrtava</w:t>
      </w:r>
      <w:r w:rsidR="005B718D" w:rsidRPr="0085657D">
        <w:rPr>
          <w:rFonts w:ascii="Arial" w:hAnsi="Arial" w:cs="Arial"/>
          <w:sz w:val="22"/>
          <w:szCs w:val="22"/>
          <w:lang w:val="sr-Latn-ME"/>
        </w:rPr>
        <w:t xml:space="preserve"> i oblicima podrške i zaštite</w:t>
      </w:r>
      <w:r w:rsidR="00242F36" w:rsidRPr="0085657D">
        <w:rPr>
          <w:rFonts w:ascii="Arial" w:hAnsi="Arial" w:cs="Arial"/>
          <w:sz w:val="22"/>
          <w:szCs w:val="22"/>
          <w:lang w:val="sr-Latn-ME"/>
        </w:rPr>
        <w:t xml:space="preserve">, </w:t>
      </w:r>
      <w:r w:rsidR="005B718D" w:rsidRPr="0085657D">
        <w:rPr>
          <w:rFonts w:ascii="Arial" w:hAnsi="Arial" w:cs="Arial"/>
          <w:sz w:val="22"/>
          <w:szCs w:val="22"/>
          <w:lang w:val="sr-Latn-ME"/>
        </w:rPr>
        <w:t>ali su ove informacije uglavnom disperzovane i odnose se na određene kategorije žrtava i/ili određenu vrstu pomoći i podrške.</w:t>
      </w:r>
    </w:p>
    <w:p w14:paraId="000A61BE" w14:textId="77777777" w:rsidR="00DA03C1" w:rsidRDefault="00CE31A6"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Posebno zabrinjava činjenica da su ograničeno dostupne čak i informacije o, iako skromnim, trenutno dostupnim uslugama podrške. „Niti na jednoj osnovnoj/početnoj stranici portala sudova se ne nalazi link (baner) koji ukazuje na prava i mogućnost podrške</w:t>
      </w:r>
      <w:r w:rsidR="00096ED8">
        <w:rPr>
          <w:rFonts w:ascii="Arial" w:hAnsi="Arial" w:cs="Arial"/>
          <w:sz w:val="22"/>
          <w:szCs w:val="22"/>
          <w:lang w:val="sr-Latn-ME"/>
        </w:rPr>
        <w:t xml:space="preserve">, </w:t>
      </w:r>
      <w:r w:rsidRPr="0085657D">
        <w:rPr>
          <w:rFonts w:ascii="Arial" w:hAnsi="Arial" w:cs="Arial"/>
          <w:sz w:val="22"/>
          <w:szCs w:val="22"/>
          <w:lang w:val="sr-Latn-ME"/>
        </w:rPr>
        <w:t xml:space="preserve">i u odnosu na sve dostupne podatke koji se tiču službi za podršku potrebno je pretraživanje samog portala kako bi se do istih stiglo. </w:t>
      </w:r>
    </w:p>
    <w:p w14:paraId="3A171786" w14:textId="2E8B3454" w:rsidR="00CE31A6" w:rsidRPr="0085657D" w:rsidRDefault="00CE31A6"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lastRenderedPageBreak/>
        <w:t>Kontakt podaci ovlašćenih službenika za podršku dostupni su na portalu samo četiri suda i to Osnovnog suda u Cetinju, Osnovnog suda u Baru i sudovima za prekršaje u Podgorici i Bijelom Polju.“ Kao rezultat, građani se vrlo rijetko obraćaju za pomoć i podršku, a o dosadašnjoj praksi postupanja nema ni dostu</w:t>
      </w:r>
      <w:r w:rsidR="00096ED8">
        <w:rPr>
          <w:rFonts w:ascii="Arial" w:hAnsi="Arial" w:cs="Arial"/>
          <w:sz w:val="22"/>
          <w:szCs w:val="22"/>
          <w:lang w:val="sr-Latn-ME"/>
        </w:rPr>
        <w:t>p</w:t>
      </w:r>
      <w:r w:rsidRPr="0085657D">
        <w:rPr>
          <w:rFonts w:ascii="Arial" w:hAnsi="Arial" w:cs="Arial"/>
          <w:sz w:val="22"/>
          <w:szCs w:val="22"/>
          <w:lang w:val="sr-Latn-ME"/>
        </w:rPr>
        <w:t>nih statističkih podataka.</w:t>
      </w:r>
    </w:p>
    <w:p w14:paraId="2A84651F" w14:textId="7D1605EC" w:rsidR="000A7969" w:rsidRPr="00096ED8" w:rsidRDefault="00242F36" w:rsidP="00096ED8">
      <w:pPr>
        <w:pStyle w:val="Default"/>
        <w:spacing w:line="276" w:lineRule="auto"/>
        <w:jc w:val="both"/>
        <w:rPr>
          <w:rFonts w:ascii="Arial" w:hAnsi="Arial" w:cs="Arial"/>
          <w:sz w:val="22"/>
          <w:szCs w:val="22"/>
          <w:lang w:val="sr-Latn-ME"/>
        </w:rPr>
      </w:pPr>
      <w:r w:rsidRPr="0085657D">
        <w:rPr>
          <w:rFonts w:ascii="Arial" w:hAnsi="Arial" w:cs="Arial"/>
          <w:sz w:val="22"/>
          <w:szCs w:val="22"/>
          <w:lang w:val="sr-Latn-ME"/>
        </w:rPr>
        <w:t xml:space="preserve">Imajući u vidu sve navedeno, jasno je da postoji neophodnost uspostavljanja održivog </w:t>
      </w:r>
      <w:r w:rsidR="001879B4" w:rsidRPr="0085657D">
        <w:rPr>
          <w:rFonts w:ascii="Arial" w:hAnsi="Arial" w:cs="Arial"/>
          <w:sz w:val="22"/>
          <w:szCs w:val="22"/>
          <w:lang w:val="sr-Latn-ME"/>
        </w:rPr>
        <w:t xml:space="preserve">i centralizovanog </w:t>
      </w:r>
      <w:r w:rsidRPr="0085657D">
        <w:rPr>
          <w:rFonts w:ascii="Arial" w:hAnsi="Arial" w:cs="Arial"/>
          <w:sz w:val="22"/>
          <w:szCs w:val="22"/>
          <w:lang w:val="sr-Latn-ME"/>
        </w:rPr>
        <w:t xml:space="preserve">sistema informisanja </w:t>
      </w:r>
      <w:r w:rsidR="001879B4" w:rsidRPr="0085657D">
        <w:rPr>
          <w:rFonts w:ascii="Arial" w:hAnsi="Arial" w:cs="Arial"/>
          <w:sz w:val="22"/>
          <w:szCs w:val="22"/>
          <w:lang w:val="sr-Latn-ME"/>
        </w:rPr>
        <w:t xml:space="preserve">žrtava, za koji bi odgovornost preuzele nadležne institucije </w:t>
      </w:r>
      <w:r w:rsidR="00680193" w:rsidRPr="0085657D">
        <w:rPr>
          <w:rFonts w:ascii="Arial" w:hAnsi="Arial" w:cs="Arial"/>
          <w:sz w:val="22"/>
          <w:szCs w:val="22"/>
          <w:lang w:val="sr-Latn-ME"/>
        </w:rPr>
        <w:t xml:space="preserve"> </w:t>
      </w:r>
    </w:p>
    <w:p w14:paraId="34280D69" w14:textId="606BD060" w:rsidR="00A53024" w:rsidRPr="005F56B0" w:rsidRDefault="005F56B0" w:rsidP="005F56B0">
      <w:pPr>
        <w:pStyle w:val="Heading2"/>
        <w:ind w:left="360"/>
        <w:rPr>
          <w:rStyle w:val="Heading2Char"/>
          <w:rFonts w:ascii="Arial" w:hAnsi="Arial" w:cs="Arial"/>
          <w:sz w:val="22"/>
          <w:szCs w:val="22"/>
          <w:lang w:val="sr-Latn-ME"/>
        </w:rPr>
      </w:pPr>
      <w:bookmarkStart w:id="36" w:name="_Toc208489189"/>
      <w:r w:rsidRPr="005F56B0">
        <w:rPr>
          <w:rStyle w:val="Heading2Char"/>
          <w:rFonts w:ascii="Arial" w:hAnsi="Arial" w:cs="Arial"/>
          <w:sz w:val="22"/>
          <w:szCs w:val="22"/>
          <w:lang w:val="sr-Latn-ME"/>
        </w:rPr>
        <w:t xml:space="preserve">3.6 </w:t>
      </w:r>
      <w:r w:rsidR="00FB5E65" w:rsidRPr="005F56B0">
        <w:rPr>
          <w:rStyle w:val="Heading2Char"/>
          <w:rFonts w:ascii="Arial" w:hAnsi="Arial" w:cs="Arial"/>
          <w:sz w:val="22"/>
          <w:szCs w:val="22"/>
          <w:lang w:val="sr-Latn-ME"/>
        </w:rPr>
        <w:t>Zaštita žrtava</w:t>
      </w:r>
      <w:bookmarkEnd w:id="36"/>
    </w:p>
    <w:p w14:paraId="7F9742FE" w14:textId="6D9EA1F2" w:rsidR="00985730" w:rsidRPr="0085657D" w:rsidRDefault="00985730" w:rsidP="00772D21">
      <w:pPr>
        <w:spacing w:line="276" w:lineRule="auto"/>
        <w:rPr>
          <w:rFonts w:ascii="Arial" w:hAnsi="Arial" w:cs="Arial"/>
        </w:rPr>
      </w:pPr>
      <w:r w:rsidRPr="0085657D">
        <w:rPr>
          <w:rFonts w:ascii="Arial" w:hAnsi="Arial" w:cs="Arial"/>
        </w:rPr>
        <w:t>Individualna procjena potreba žrtava (o kojoj je već bilo riječi) kao jedan od ključnih zadataka, pored procjene potreba za podrškom, ima i ulog</w:t>
      </w:r>
      <w:r w:rsidR="00096ED8">
        <w:rPr>
          <w:rFonts w:ascii="Arial" w:hAnsi="Arial" w:cs="Arial"/>
        </w:rPr>
        <w:t>u</w:t>
      </w:r>
      <w:r w:rsidRPr="0085657D">
        <w:rPr>
          <w:rFonts w:ascii="Arial" w:hAnsi="Arial" w:cs="Arial"/>
        </w:rPr>
        <w:t xml:space="preserve"> prepoznavanja naročite ranjivosti žrtve</w:t>
      </w:r>
      <w:r w:rsidR="00772D21" w:rsidRPr="0085657D">
        <w:rPr>
          <w:rFonts w:ascii="Arial" w:hAnsi="Arial" w:cs="Arial"/>
        </w:rPr>
        <w:t xml:space="preserve"> u svrhe pružanja adekvatnih mjera procesne zaštite.</w:t>
      </w:r>
    </w:p>
    <w:p w14:paraId="68F1FFE9" w14:textId="50EE1DDA" w:rsidR="000A0EE0" w:rsidRPr="0085657D" w:rsidRDefault="000A0EE0" w:rsidP="00B414B2">
      <w:pPr>
        <w:spacing w:line="276" w:lineRule="auto"/>
        <w:rPr>
          <w:rFonts w:ascii="Arial" w:hAnsi="Arial" w:cs="Arial"/>
        </w:rPr>
      </w:pPr>
      <w:r w:rsidRPr="0085657D">
        <w:rPr>
          <w:rFonts w:ascii="Arial" w:hAnsi="Arial" w:cs="Arial"/>
        </w:rPr>
        <w:t xml:space="preserve">U </w:t>
      </w:r>
      <w:r w:rsidR="001F1647" w:rsidRPr="0085657D">
        <w:rPr>
          <w:rFonts w:ascii="Arial" w:hAnsi="Arial" w:cs="Arial"/>
        </w:rPr>
        <w:t>skladu</w:t>
      </w:r>
      <w:r w:rsidRPr="0085657D">
        <w:rPr>
          <w:rFonts w:ascii="Arial" w:hAnsi="Arial" w:cs="Arial"/>
        </w:rPr>
        <w:t xml:space="preserve"> sa članom 22 Direktive 2012/029/EU, individualna procjena potreba treba da uzme u obzir</w:t>
      </w:r>
      <w:r w:rsidR="00B414B2" w:rsidRPr="0085657D">
        <w:rPr>
          <w:rFonts w:ascii="Arial" w:hAnsi="Arial" w:cs="Arial"/>
        </w:rPr>
        <w:t xml:space="preserve"> </w:t>
      </w:r>
      <w:r w:rsidRPr="0085657D">
        <w:rPr>
          <w:rFonts w:ascii="Arial" w:hAnsi="Arial" w:cs="Arial"/>
        </w:rPr>
        <w:t>lična svojstva žrtve</w:t>
      </w:r>
      <w:r w:rsidR="00B414B2" w:rsidRPr="0085657D">
        <w:rPr>
          <w:rFonts w:ascii="Arial" w:hAnsi="Arial" w:cs="Arial"/>
        </w:rPr>
        <w:t xml:space="preserve">, </w:t>
      </w:r>
      <w:r w:rsidRPr="0085657D">
        <w:rPr>
          <w:rFonts w:ascii="Arial" w:hAnsi="Arial" w:cs="Arial"/>
        </w:rPr>
        <w:t>vrstu krivičnog djela</w:t>
      </w:r>
      <w:r w:rsidR="00B414B2" w:rsidRPr="0085657D">
        <w:rPr>
          <w:rFonts w:ascii="Arial" w:hAnsi="Arial" w:cs="Arial"/>
        </w:rPr>
        <w:t xml:space="preserve"> i </w:t>
      </w:r>
      <w:r w:rsidRPr="0085657D">
        <w:rPr>
          <w:rFonts w:ascii="Arial" w:hAnsi="Arial" w:cs="Arial"/>
        </w:rPr>
        <w:t>okolnosti izvršenja krivičnog djela</w:t>
      </w:r>
      <w:r w:rsidR="00B414B2" w:rsidRPr="0085657D">
        <w:rPr>
          <w:rFonts w:ascii="Arial" w:hAnsi="Arial" w:cs="Arial"/>
        </w:rPr>
        <w:t>.</w:t>
      </w:r>
    </w:p>
    <w:p w14:paraId="26F36E61" w14:textId="4E0D948B" w:rsidR="000A0EE0" w:rsidRPr="0085657D" w:rsidRDefault="000A0EE0" w:rsidP="00772D21">
      <w:pPr>
        <w:spacing w:line="276" w:lineRule="auto"/>
        <w:rPr>
          <w:rFonts w:ascii="Arial" w:hAnsi="Arial" w:cs="Arial"/>
        </w:rPr>
      </w:pPr>
      <w:r w:rsidRPr="0085657D">
        <w:rPr>
          <w:rFonts w:ascii="Arial" w:hAnsi="Arial" w:cs="Arial"/>
        </w:rPr>
        <w:t xml:space="preserve">U kontekstu individualne procjene, posebna pažnja treba da bude posvećena žrtvama koje su pretrpjele ozbiljnu štetu uslijed težine krivičnog djela i žrtvama krivičnih djela zasnovanih na diskriminatornim motivima vezanim za lična svojstva žrtve. U tom smislu, kao naročito ranjive kategorije žrtava, Direktiva prepoznaje žrtve terorizma, organizovanog kriminala, </w:t>
      </w:r>
      <w:r w:rsidR="0007340E" w:rsidRPr="0085657D">
        <w:rPr>
          <w:rFonts w:ascii="Arial" w:hAnsi="Arial" w:cs="Arial"/>
        </w:rPr>
        <w:t>trgovine ljudima, rodno zasnovanog, partnerskog i se</w:t>
      </w:r>
      <w:r w:rsidR="00702270" w:rsidRPr="0085657D">
        <w:rPr>
          <w:rFonts w:ascii="Arial" w:hAnsi="Arial" w:cs="Arial"/>
        </w:rPr>
        <w:t>ks</w:t>
      </w:r>
      <w:r w:rsidR="0007340E" w:rsidRPr="0085657D">
        <w:rPr>
          <w:rFonts w:ascii="Arial" w:hAnsi="Arial" w:cs="Arial"/>
        </w:rPr>
        <w:t xml:space="preserve">ualnog nasilja, zločina iz mržnje, kao i žrtve sa invaliditetom. Direktiva posebno prepoznaje </w:t>
      </w:r>
      <w:r w:rsidR="00702270" w:rsidRPr="0085657D">
        <w:rPr>
          <w:rFonts w:ascii="Arial" w:hAnsi="Arial" w:cs="Arial"/>
        </w:rPr>
        <w:t>ranjivost djece žrtava</w:t>
      </w:r>
      <w:r w:rsidR="00B414B2" w:rsidRPr="0085657D">
        <w:rPr>
          <w:rFonts w:ascii="Arial" w:hAnsi="Arial" w:cs="Arial"/>
        </w:rPr>
        <w:t xml:space="preserve"> i</w:t>
      </w:r>
      <w:r w:rsidR="001F1647" w:rsidRPr="0085657D">
        <w:rPr>
          <w:rFonts w:ascii="Arial" w:hAnsi="Arial" w:cs="Arial"/>
        </w:rPr>
        <w:t xml:space="preserve"> podvlači značaj uzimanja u obzir i želja samih žrtava, kao i kontinuirano prilagođavanje mjera tokom samog postupka.</w:t>
      </w:r>
    </w:p>
    <w:p w14:paraId="63DE45D2" w14:textId="59FC1C6B" w:rsidR="006743B3" w:rsidRPr="0085657D" w:rsidRDefault="006743B3" w:rsidP="00772D21">
      <w:pPr>
        <w:spacing w:line="276" w:lineRule="auto"/>
        <w:rPr>
          <w:rFonts w:ascii="Arial" w:hAnsi="Arial" w:cs="Arial"/>
        </w:rPr>
      </w:pPr>
      <w:r w:rsidRPr="0085657D">
        <w:rPr>
          <w:rFonts w:ascii="Arial" w:hAnsi="Arial" w:cs="Arial"/>
        </w:rPr>
        <w:t xml:space="preserve">Direktiva 2012/029/EU prepoznaje </w:t>
      </w:r>
      <w:r w:rsidR="00BF02BC" w:rsidRPr="0085657D">
        <w:rPr>
          <w:rFonts w:ascii="Arial" w:hAnsi="Arial" w:cs="Arial"/>
        </w:rPr>
        <w:t>čitav niz zaštitnih mjera, poput sprečavanja kontakta (susreta) žrtve i okrivljenog, izbjegavanja ponovljenog i/ili višestrukog ispitivanja žrtve, omogućavanje žrtvi da je</w:t>
      </w:r>
      <w:r w:rsidR="00E256B2" w:rsidRPr="0085657D">
        <w:rPr>
          <w:rFonts w:ascii="Arial" w:hAnsi="Arial" w:cs="Arial"/>
        </w:rPr>
        <w:t>,</w:t>
      </w:r>
      <w:r w:rsidR="00BF02BC" w:rsidRPr="0085657D">
        <w:rPr>
          <w:rFonts w:ascii="Arial" w:hAnsi="Arial" w:cs="Arial"/>
        </w:rPr>
        <w:t xml:space="preserve"> tokom postupka, pored punomoćnika prati i osoba od povjerenja</w:t>
      </w:r>
      <w:r w:rsidR="00032373" w:rsidRPr="0085657D">
        <w:rPr>
          <w:rFonts w:ascii="Arial" w:hAnsi="Arial" w:cs="Arial"/>
        </w:rPr>
        <w:t xml:space="preserve">. Direktiva, takođe, insistira na </w:t>
      </w:r>
      <w:r w:rsidR="00E256B2" w:rsidRPr="0085657D">
        <w:rPr>
          <w:rFonts w:ascii="Arial" w:hAnsi="Arial" w:cs="Arial"/>
        </w:rPr>
        <w:t>svođenju medicinskih pregleda/vještačenja na minimum</w:t>
      </w:r>
      <w:r w:rsidR="00A337D3" w:rsidRPr="0085657D">
        <w:rPr>
          <w:rFonts w:ascii="Arial" w:hAnsi="Arial" w:cs="Arial"/>
        </w:rPr>
        <w:t xml:space="preserve">, </w:t>
      </w:r>
      <w:r w:rsidR="00B063DA" w:rsidRPr="0085657D">
        <w:rPr>
          <w:rFonts w:ascii="Arial" w:hAnsi="Arial" w:cs="Arial"/>
        </w:rPr>
        <w:t>kao</w:t>
      </w:r>
      <w:r w:rsidR="00A337D3" w:rsidRPr="0085657D">
        <w:rPr>
          <w:rFonts w:ascii="Arial" w:hAnsi="Arial" w:cs="Arial"/>
        </w:rPr>
        <w:t xml:space="preserve"> i na zaštiti privatnosti i dostojanstva žrtve.</w:t>
      </w:r>
    </w:p>
    <w:p w14:paraId="6129672C" w14:textId="06F8D3E7" w:rsidR="00E256B2" w:rsidRPr="0085657D" w:rsidRDefault="00E256B2" w:rsidP="00C5688A">
      <w:pPr>
        <w:spacing w:after="0" w:line="276" w:lineRule="auto"/>
        <w:rPr>
          <w:rFonts w:ascii="Arial" w:hAnsi="Arial" w:cs="Arial"/>
        </w:rPr>
      </w:pPr>
      <w:r w:rsidRPr="0085657D">
        <w:rPr>
          <w:rFonts w:ascii="Arial" w:hAnsi="Arial" w:cs="Arial"/>
        </w:rPr>
        <w:t>Problemi koji se u krivičnim postupcima u Crnoj Gori učestalo javljaju</w:t>
      </w:r>
      <w:r w:rsidR="00B375EB" w:rsidRPr="0085657D">
        <w:rPr>
          <w:rFonts w:ascii="Arial" w:hAnsi="Arial" w:cs="Arial"/>
        </w:rPr>
        <w:t xml:space="preserve"> u pogledu zaštite </w:t>
      </w:r>
      <w:r w:rsidR="001F1647" w:rsidRPr="0085657D">
        <w:rPr>
          <w:rFonts w:ascii="Arial" w:hAnsi="Arial" w:cs="Arial"/>
        </w:rPr>
        <w:t xml:space="preserve">svih osjetljivih kategorija </w:t>
      </w:r>
      <w:r w:rsidR="00B375EB" w:rsidRPr="0085657D">
        <w:rPr>
          <w:rFonts w:ascii="Arial" w:hAnsi="Arial" w:cs="Arial"/>
        </w:rPr>
        <w:t>žrtava, vezani su uglavnom za višestruko, odnosno ponovljeno ispitivanje žrtava tokom više faza postupka</w:t>
      </w:r>
      <w:r w:rsidR="00A337D3" w:rsidRPr="0085657D">
        <w:rPr>
          <w:rFonts w:ascii="Arial" w:hAnsi="Arial" w:cs="Arial"/>
        </w:rPr>
        <w:t>, nepostojanje preduslova za fizičko distanciranje žrtve i okrivljenog prije, tokom i nakon davanja iskaza</w:t>
      </w:r>
      <w:r w:rsidR="00C5688A" w:rsidRPr="0085657D">
        <w:rPr>
          <w:rFonts w:ascii="Arial" w:hAnsi="Arial" w:cs="Arial"/>
        </w:rPr>
        <w:t>; neadekvatan pristup ispitivanju žrtava uslijed nedostatka neophodnih znanja, vještina i senzibilizacije aktera postupka za potrebe (naročito ranjivih) žrtava; potom,</w:t>
      </w:r>
      <w:r w:rsidR="00A337D3" w:rsidRPr="0085657D">
        <w:rPr>
          <w:rFonts w:ascii="Arial" w:hAnsi="Arial" w:cs="Arial"/>
        </w:rPr>
        <w:t xml:space="preserve"> „curenje“</w:t>
      </w:r>
      <w:r w:rsidR="00C5688A" w:rsidRPr="0085657D">
        <w:rPr>
          <w:rFonts w:ascii="Arial" w:hAnsi="Arial" w:cs="Arial"/>
        </w:rPr>
        <w:t xml:space="preserve"> podataka iz istraga, odnosno krivičnih postupaka u kojima je isključena javnost i neadekvatno medijsko izvještavanje o takvim postupcima i samim žrtvama.</w:t>
      </w:r>
    </w:p>
    <w:p w14:paraId="12E5E67D" w14:textId="79B7B0B4" w:rsidR="00746ECB" w:rsidRPr="00DA03C1" w:rsidRDefault="00746ECB" w:rsidP="00C5688A">
      <w:pPr>
        <w:spacing w:after="0" w:line="276" w:lineRule="auto"/>
        <w:rPr>
          <w:rFonts w:ascii="Arial" w:hAnsi="Arial" w:cs="Arial"/>
        </w:rPr>
      </w:pPr>
      <w:r w:rsidRPr="00DA03C1">
        <w:rPr>
          <w:rFonts w:ascii="Arial" w:hAnsi="Arial" w:cs="Arial"/>
        </w:rPr>
        <w:t xml:space="preserve">U cilju unapređenja zaštite žrtava, posebno onih koje su izložene nasilju u porodici, rodno zasnovanom i seksualnom nasilju, neophodno je osigurati sistemsku i efikasnu primjenu zaštitnih mjera koje su predviđene zakonodavstvom Crne Gore, uključujući mjere bezbjednosti u krivičnim postupcima i zaštitne mjere u prekršajnim postupcima. Iako pravni okvir predviđa različite oblike zaštite, nekada u praksi njihova primjena predstavlja izazov. </w:t>
      </w:r>
    </w:p>
    <w:p w14:paraId="1702E9E5" w14:textId="65D3BD72" w:rsidR="00096ED8" w:rsidRDefault="00096ED8" w:rsidP="00C5688A">
      <w:pPr>
        <w:spacing w:after="0" w:line="276" w:lineRule="auto"/>
        <w:rPr>
          <w:rFonts w:ascii="Arial" w:hAnsi="Arial" w:cs="Arial"/>
        </w:rPr>
      </w:pPr>
    </w:p>
    <w:p w14:paraId="0717B4A8" w14:textId="337A3646" w:rsidR="00096ED8" w:rsidRDefault="00096ED8" w:rsidP="00C5688A">
      <w:pPr>
        <w:spacing w:after="0" w:line="276" w:lineRule="auto"/>
        <w:rPr>
          <w:rFonts w:ascii="Arial" w:hAnsi="Arial" w:cs="Arial"/>
        </w:rPr>
      </w:pPr>
    </w:p>
    <w:p w14:paraId="7280D978" w14:textId="5423B9B8" w:rsidR="00096ED8" w:rsidRDefault="00096ED8" w:rsidP="00C5688A">
      <w:pPr>
        <w:spacing w:after="0" w:line="276" w:lineRule="auto"/>
        <w:rPr>
          <w:rFonts w:ascii="Arial" w:hAnsi="Arial" w:cs="Arial"/>
        </w:rPr>
      </w:pPr>
    </w:p>
    <w:p w14:paraId="79989BAF" w14:textId="77777777" w:rsidR="00096ED8" w:rsidRPr="0085657D" w:rsidRDefault="00096ED8" w:rsidP="00C5688A">
      <w:pPr>
        <w:spacing w:after="0" w:line="276" w:lineRule="auto"/>
        <w:rPr>
          <w:rFonts w:ascii="Arial" w:hAnsi="Arial" w:cs="Arial"/>
        </w:rPr>
      </w:pPr>
    </w:p>
    <w:p w14:paraId="0C67F3AE" w14:textId="77777777" w:rsidR="00985730" w:rsidRPr="0085657D" w:rsidRDefault="00985730" w:rsidP="00772D21">
      <w:pPr>
        <w:spacing w:line="276" w:lineRule="auto"/>
        <w:rPr>
          <w:rFonts w:ascii="Arial" w:hAnsi="Arial" w:cs="Arial"/>
        </w:rPr>
      </w:pPr>
      <w:r w:rsidRPr="0085657D">
        <w:rPr>
          <w:rFonts w:ascii="Arial" w:hAnsi="Arial" w:cs="Arial"/>
        </w:rPr>
        <w:t xml:space="preserve"> </w:t>
      </w:r>
    </w:p>
    <w:p w14:paraId="0AFC14E2" w14:textId="5A255A0F" w:rsidR="00985730" w:rsidRPr="00064C53" w:rsidRDefault="00064C53" w:rsidP="00064C53">
      <w:pPr>
        <w:pStyle w:val="Heading3"/>
        <w:rPr>
          <w:rFonts w:ascii="Arial" w:hAnsi="Arial" w:cs="Arial"/>
          <w:sz w:val="22"/>
          <w:szCs w:val="22"/>
        </w:rPr>
      </w:pPr>
      <w:bookmarkStart w:id="37" w:name="_Toc208489190"/>
      <w:r w:rsidRPr="00064C53">
        <w:rPr>
          <w:rFonts w:ascii="Arial" w:hAnsi="Arial" w:cs="Arial"/>
          <w:sz w:val="22"/>
          <w:szCs w:val="22"/>
        </w:rPr>
        <w:lastRenderedPageBreak/>
        <w:t xml:space="preserve">3.6.1. </w:t>
      </w:r>
      <w:r w:rsidR="00985730" w:rsidRPr="00064C53">
        <w:rPr>
          <w:rFonts w:ascii="Arial" w:hAnsi="Arial" w:cs="Arial"/>
          <w:sz w:val="22"/>
          <w:szCs w:val="22"/>
        </w:rPr>
        <w:t>Naročito osjetljive grupe žrtava i potreba za dodatnom podrškom i zaštitom</w:t>
      </w:r>
      <w:bookmarkEnd w:id="37"/>
    </w:p>
    <w:p w14:paraId="03B9DE33" w14:textId="77777777" w:rsidR="00772D21" w:rsidRPr="0085657D" w:rsidRDefault="00772D21" w:rsidP="00772D21">
      <w:pPr>
        <w:pStyle w:val="ListParagraph"/>
        <w:ind w:left="1080"/>
        <w:rPr>
          <w:rFonts w:ascii="Arial" w:hAnsi="Arial" w:cs="Arial"/>
        </w:rPr>
      </w:pPr>
    </w:p>
    <w:p w14:paraId="0C8DF192" w14:textId="54F6B210" w:rsidR="00985730" w:rsidRPr="00ED5F93" w:rsidRDefault="00ED5F93" w:rsidP="00ED5F93">
      <w:pPr>
        <w:pStyle w:val="Heading3"/>
        <w:rPr>
          <w:rFonts w:ascii="Arial" w:hAnsi="Arial" w:cs="Arial"/>
          <w:sz w:val="22"/>
        </w:rPr>
      </w:pPr>
      <w:bookmarkStart w:id="38" w:name="_Toc208489191"/>
      <w:r w:rsidRPr="00ED5F93">
        <w:rPr>
          <w:rFonts w:ascii="Arial" w:hAnsi="Arial" w:cs="Arial"/>
          <w:sz w:val="22"/>
        </w:rPr>
        <w:t xml:space="preserve">3.6.1.1 </w:t>
      </w:r>
      <w:r w:rsidR="00985730" w:rsidRPr="00ED5F93">
        <w:rPr>
          <w:rFonts w:ascii="Arial" w:hAnsi="Arial" w:cs="Arial"/>
          <w:sz w:val="22"/>
        </w:rPr>
        <w:t xml:space="preserve">Žrtve </w:t>
      </w:r>
      <w:r w:rsidR="00E72E55" w:rsidRPr="00ED5F93">
        <w:rPr>
          <w:rFonts w:ascii="Arial" w:hAnsi="Arial" w:cs="Arial"/>
          <w:sz w:val="22"/>
        </w:rPr>
        <w:t xml:space="preserve">seksualnog, </w:t>
      </w:r>
      <w:r w:rsidR="00985730" w:rsidRPr="00ED5F93">
        <w:rPr>
          <w:rFonts w:ascii="Arial" w:hAnsi="Arial" w:cs="Arial"/>
          <w:sz w:val="22"/>
        </w:rPr>
        <w:t>rodno zasnovanog i nasilja u porodici</w:t>
      </w:r>
      <w:bookmarkEnd w:id="38"/>
    </w:p>
    <w:p w14:paraId="3C791381" w14:textId="77777777" w:rsidR="00B573A2" w:rsidRPr="0085657D" w:rsidRDefault="00B573A2" w:rsidP="00B573A2">
      <w:pPr>
        <w:ind w:left="360"/>
        <w:rPr>
          <w:rFonts w:ascii="Arial" w:hAnsi="Arial" w:cs="Arial"/>
        </w:rPr>
      </w:pPr>
    </w:p>
    <w:p w14:paraId="0E7EAD66" w14:textId="37D30EDF" w:rsidR="00C47459" w:rsidRPr="00BB350E" w:rsidRDefault="00B573A2" w:rsidP="00B573A2">
      <w:pPr>
        <w:spacing w:line="276" w:lineRule="auto"/>
        <w:rPr>
          <w:rFonts w:ascii="Arial" w:hAnsi="Arial" w:cs="Arial"/>
          <w:color w:val="000000"/>
        </w:rPr>
      </w:pPr>
      <w:r w:rsidRPr="00BB350E">
        <w:rPr>
          <w:rFonts w:ascii="Arial" w:hAnsi="Arial" w:cs="Arial"/>
          <w:color w:val="000000"/>
        </w:rPr>
        <w:t>EU Direktiva 2012/29/EU prepoznaje žrtve seksualnog, rodno zasnovanog i nasilja u porodici kao posebno ranjive i nalaže državama članicama da im obezbijede sveobuhvatnu podršku i zaštitu. Direktiva prepoznaje da žrtve</w:t>
      </w:r>
      <w:r w:rsidRPr="00BB350E">
        <w:rPr>
          <w:rFonts w:ascii="Arial" w:hAnsi="Arial" w:cs="Arial"/>
        </w:rPr>
        <w:t> zločina iz mržnje</w:t>
      </w:r>
      <w:r w:rsidRPr="00BB350E">
        <w:rPr>
          <w:rFonts w:ascii="Arial" w:hAnsi="Arial" w:cs="Arial"/>
          <w:color w:val="000000"/>
        </w:rPr>
        <w:t>, uključujući on</w:t>
      </w:r>
      <w:r w:rsidR="00096ED8" w:rsidRPr="00BB350E">
        <w:rPr>
          <w:rFonts w:ascii="Arial" w:hAnsi="Arial" w:cs="Arial"/>
          <w:color w:val="000000"/>
        </w:rPr>
        <w:t>e</w:t>
      </w:r>
      <w:r w:rsidRPr="00BB350E">
        <w:rPr>
          <w:rFonts w:ascii="Arial" w:hAnsi="Arial" w:cs="Arial"/>
        </w:rPr>
        <w:t> zasnovan</w:t>
      </w:r>
      <w:r w:rsidR="00096ED8" w:rsidRPr="00BB350E">
        <w:rPr>
          <w:rFonts w:ascii="Arial" w:hAnsi="Arial" w:cs="Arial"/>
        </w:rPr>
        <w:t>e</w:t>
      </w:r>
      <w:r w:rsidRPr="00BB350E">
        <w:rPr>
          <w:rFonts w:ascii="Arial" w:hAnsi="Arial" w:cs="Arial"/>
        </w:rPr>
        <w:t xml:space="preserve"> na seksualnoj orijentaciji ili rodnom identitetu</w:t>
      </w:r>
      <w:r w:rsidRPr="00BB350E">
        <w:rPr>
          <w:rFonts w:ascii="Arial" w:hAnsi="Arial" w:cs="Arial"/>
          <w:color w:val="000000"/>
        </w:rPr>
        <w:t>, mogu imati specifične potrebe za zaštitom. Rodno zasnovano nasilje definiše se kao oblik diskriminacije i kršenje osnovnih prava, a uključuje i nasilje u bliskim odnosima, koje može biti fizičko, seksualno, psihološko ili ekonomsko, i koje često ima ozbiljne i dugotrajne posljedice po žrtve, posebno kada su počinioci osobe od povjerenja, poput sadašnjih ili bivših partnera. Direktiva zahtijeva individualnu procjenu potreba za zaštitom, uz uključivanje žrtava u procjenu, zatim osiguranje psihološke, pravne i socijalne podrške, te zaštitu tokom sudskih postupaka, uključujući mjere za sprečavanje kontakta s počiniocem. Pristup podršci ne smije biti uslovljen prijavom krivičnog djela, a prava se garantuju svim žrtvama bez obzira na državljanstvo ili migracioni status.</w:t>
      </w:r>
      <w:r w:rsidRPr="00BB350E">
        <w:rPr>
          <w:rFonts w:ascii="Arial" w:hAnsi="Arial" w:cs="Arial"/>
        </w:rPr>
        <w:t xml:space="preserve"> Istanbulska konvencija </w:t>
      </w:r>
      <w:r w:rsidRPr="00BB350E">
        <w:rPr>
          <w:rFonts w:ascii="Arial" w:hAnsi="Arial" w:cs="Arial"/>
          <w:color w:val="000000"/>
        </w:rPr>
        <w:t>posebnu pažnju posvećuje ranjivim grupama poput žena sa invaliditetom, migrantkinja, starijih žena i onih koje žive u izolaciji, dok se sve mjere moraju sprovoditi bez diskriminacije, oslanjajući se na pristup koji stavlja prava žrtava u središte institucionalnog odgovora.</w:t>
      </w:r>
    </w:p>
    <w:p w14:paraId="71624FBF" w14:textId="2AE068A5" w:rsidR="004162C3" w:rsidRDefault="00355F37" w:rsidP="00B573A2">
      <w:pPr>
        <w:spacing w:line="276" w:lineRule="auto"/>
        <w:rPr>
          <w:rFonts w:ascii="Arial" w:hAnsi="Arial" w:cs="Arial"/>
          <w:color w:val="000000"/>
        </w:rPr>
      </w:pPr>
      <w:r w:rsidRPr="00BB350E">
        <w:rPr>
          <w:rFonts w:ascii="Arial" w:hAnsi="Arial" w:cs="Arial"/>
          <w:color w:val="000000"/>
        </w:rPr>
        <w:t>EU D</w:t>
      </w:r>
      <w:r w:rsidR="00B17F25" w:rsidRPr="00BB350E">
        <w:rPr>
          <w:rFonts w:ascii="Arial" w:hAnsi="Arial" w:cs="Arial"/>
          <w:color w:val="000000"/>
        </w:rPr>
        <w:t>irektiva</w:t>
      </w:r>
      <w:r w:rsidRPr="00BB350E">
        <w:rPr>
          <w:rFonts w:ascii="Arial" w:hAnsi="Arial" w:cs="Arial"/>
          <w:color w:val="000000"/>
        </w:rPr>
        <w:t xml:space="preserve"> </w:t>
      </w:r>
      <w:r w:rsidR="004162C3" w:rsidRPr="00BB350E">
        <w:rPr>
          <w:rFonts w:ascii="Arial" w:hAnsi="Arial" w:cs="Arial"/>
          <w:color w:val="000000"/>
        </w:rPr>
        <w:t>2024/1385 o suzbijanju nasilja nad ženama i nasilja u porodici, usvojena</w:t>
      </w:r>
      <w:r w:rsidR="00096ED8" w:rsidRPr="00BB350E">
        <w:rPr>
          <w:rFonts w:ascii="Arial" w:hAnsi="Arial" w:cs="Arial"/>
          <w:color w:val="000000"/>
        </w:rPr>
        <w:t xml:space="preserve"> je</w:t>
      </w:r>
      <w:r w:rsidR="004162C3" w:rsidRPr="00BB350E">
        <w:rPr>
          <w:rFonts w:ascii="Arial" w:hAnsi="Arial" w:cs="Arial"/>
          <w:color w:val="000000"/>
        </w:rPr>
        <w:t xml:space="preserve"> sa ciljem uspostavljanja jedinstvenih minimalnih standarda u borbi protiv nasilja nad ženama i nasilja u porodici u svim državama članicama Evropske unije. Njome se po prvi put uvodi obaveza kriminalizacije određenih oblika nasilja poput sakaćenja ženskih genitalija, prisilnog braka, neovlašćenog dijeljenja intimnih sadržaja, kao i digitalnih oblika nasilja kao što su cyber proganjanje i online uznemiravanje. Direktiva garantuje žrtvama pravo na informacije, pravnu pomoć, specijalizovanu podršku i zaštitu tokom postupka, uključujući mjere sprečavanja sekundarne viktimizacije. Takođe obavezuje države članice da uvedu sistemsku prevenciju putem edukacije, javnih kampanja i programa za počinioce nasilja, kao i da unaprijede institucionalnu koordinaciju, prikupljanje podataka i praćenje napretka kroz nacionalne akcione planove. Ova direktiva predstavlja korak ka usklađivanju nacionalnih zakonodavstava i sveobuhvatnoj zaštiti žrtava na nivou EU.</w:t>
      </w:r>
    </w:p>
    <w:p w14:paraId="1673389E" w14:textId="385DA076" w:rsidR="00224D74" w:rsidRDefault="00224D74" w:rsidP="006C12CE">
      <w:pPr>
        <w:spacing w:line="276" w:lineRule="auto"/>
        <w:rPr>
          <w:rFonts w:ascii="Arial" w:hAnsi="Arial" w:cs="Arial"/>
          <w:color w:val="000000"/>
        </w:rPr>
      </w:pPr>
      <w:r>
        <w:rPr>
          <w:rFonts w:ascii="Arial" w:hAnsi="Arial" w:cs="Arial"/>
          <w:color w:val="000000"/>
        </w:rPr>
        <w:t>Istanbulska konvencija, kao najsveobuhvatniji instrument Savjeta Evrope u ovoj oblasti, kao i preporuke koje je GREVIO Komitet uputio Crnoj Gori, ukazuju na to da porodično i rodno zasnovano nasilje u Crnoj Gori zaht</w:t>
      </w:r>
      <w:r w:rsidR="00096ED8">
        <w:rPr>
          <w:rFonts w:ascii="Arial" w:hAnsi="Arial" w:cs="Arial"/>
          <w:color w:val="000000"/>
        </w:rPr>
        <w:t>ij</w:t>
      </w:r>
      <w:r>
        <w:rPr>
          <w:rFonts w:ascii="Arial" w:hAnsi="Arial" w:cs="Arial"/>
          <w:color w:val="000000"/>
        </w:rPr>
        <w:t>evaju sveobuhvatnu državnu reakciju.</w:t>
      </w:r>
      <w:r>
        <w:rPr>
          <w:rStyle w:val="FootnoteReference"/>
          <w:rFonts w:ascii="Arial" w:hAnsi="Arial" w:cs="Arial"/>
          <w:color w:val="000000"/>
        </w:rPr>
        <w:footnoteReference w:id="48"/>
      </w:r>
      <w:r w:rsidR="006C12CE">
        <w:rPr>
          <w:rFonts w:ascii="Arial" w:hAnsi="Arial" w:cs="Arial"/>
          <w:color w:val="000000"/>
        </w:rPr>
        <w:t xml:space="preserve"> </w:t>
      </w:r>
      <w:r w:rsidR="006C12CE" w:rsidRPr="006C12CE">
        <w:rPr>
          <w:rFonts w:ascii="Arial" w:hAnsi="Arial" w:cs="Arial"/>
          <w:color w:val="000000"/>
        </w:rPr>
        <w:t>GREVIO poziva vlasti da obezb</w:t>
      </w:r>
      <w:r w:rsidR="00096ED8">
        <w:rPr>
          <w:rFonts w:ascii="Arial" w:hAnsi="Arial" w:cs="Arial"/>
          <w:color w:val="000000"/>
        </w:rPr>
        <w:t>ij</w:t>
      </w:r>
      <w:r w:rsidR="006C12CE" w:rsidRPr="006C12CE">
        <w:rPr>
          <w:rFonts w:ascii="Arial" w:hAnsi="Arial" w:cs="Arial"/>
          <w:color w:val="000000"/>
        </w:rPr>
        <w:t>ede, uključujući i korišćenje sm</w:t>
      </w:r>
      <w:r w:rsidR="00096ED8">
        <w:rPr>
          <w:rFonts w:ascii="Arial" w:hAnsi="Arial" w:cs="Arial"/>
          <w:color w:val="000000"/>
        </w:rPr>
        <w:t>j</w:t>
      </w:r>
      <w:r w:rsidR="006C12CE" w:rsidRPr="006C12CE">
        <w:rPr>
          <w:rFonts w:ascii="Arial" w:hAnsi="Arial" w:cs="Arial"/>
          <w:color w:val="000000"/>
        </w:rPr>
        <w:t xml:space="preserve">ernica ili uputstava, prikupljanje svih relevantnih dokaza i njihov adekvatan prenos između organa za sprovođenje zakona i pravosuđa, uključujući i </w:t>
      </w:r>
      <w:r w:rsidR="006C12CE">
        <w:rPr>
          <w:rFonts w:ascii="Arial" w:hAnsi="Arial" w:cs="Arial"/>
          <w:color w:val="000000"/>
        </w:rPr>
        <w:t>državne</w:t>
      </w:r>
      <w:r w:rsidR="006C12CE" w:rsidRPr="006C12CE">
        <w:rPr>
          <w:rFonts w:ascii="Arial" w:hAnsi="Arial" w:cs="Arial"/>
          <w:color w:val="000000"/>
        </w:rPr>
        <w:t xml:space="preserve"> tužioce, sa ciljem stvaranja sveobuhvatnije osnove za podizanje optužnica i efikasno gonjenje nasilja nad ženama (paragraf 167).</w:t>
      </w:r>
      <w:r w:rsidR="006C12CE">
        <w:rPr>
          <w:rFonts w:ascii="Arial" w:hAnsi="Arial" w:cs="Arial"/>
          <w:color w:val="000000"/>
        </w:rPr>
        <w:t xml:space="preserve"> </w:t>
      </w:r>
      <w:r w:rsidR="006C12CE" w:rsidRPr="006C12CE">
        <w:rPr>
          <w:rFonts w:ascii="Arial" w:hAnsi="Arial" w:cs="Arial"/>
          <w:color w:val="000000"/>
        </w:rPr>
        <w:t>GREVIO snažno podstiče crnogorske vlasti da preduzmu m</w:t>
      </w:r>
      <w:r w:rsidR="00096ED8">
        <w:rPr>
          <w:rFonts w:ascii="Arial" w:hAnsi="Arial" w:cs="Arial"/>
          <w:color w:val="000000"/>
        </w:rPr>
        <w:t>j</w:t>
      </w:r>
      <w:r w:rsidR="006C12CE" w:rsidRPr="006C12CE">
        <w:rPr>
          <w:rFonts w:ascii="Arial" w:hAnsi="Arial" w:cs="Arial"/>
          <w:color w:val="000000"/>
        </w:rPr>
        <w:t>ere kako bi izb</w:t>
      </w:r>
      <w:r w:rsidR="000D3389">
        <w:rPr>
          <w:rFonts w:ascii="Arial" w:hAnsi="Arial" w:cs="Arial"/>
          <w:color w:val="000000"/>
        </w:rPr>
        <w:t>j</w:t>
      </w:r>
      <w:r w:rsidR="006C12CE" w:rsidRPr="006C12CE">
        <w:rPr>
          <w:rFonts w:ascii="Arial" w:hAnsi="Arial" w:cs="Arial"/>
          <w:color w:val="000000"/>
        </w:rPr>
        <w:t>egle ponovno ispitivanje žrtava nasilja nad ženama (paragraf 168).</w:t>
      </w:r>
    </w:p>
    <w:p w14:paraId="7F37DEA0" w14:textId="608B15A3" w:rsidR="00523B54" w:rsidRPr="0085657D" w:rsidRDefault="00B17F25" w:rsidP="00985C21">
      <w:pPr>
        <w:autoSpaceDE w:val="0"/>
        <w:autoSpaceDN w:val="0"/>
        <w:adjustRightInd w:val="0"/>
        <w:spacing w:line="276" w:lineRule="auto"/>
        <w:rPr>
          <w:rFonts w:ascii="Arial" w:hAnsi="Arial" w:cs="Arial"/>
          <w:color w:val="000000"/>
        </w:rPr>
      </w:pPr>
      <w:r>
        <w:rPr>
          <w:rFonts w:ascii="Arial" w:hAnsi="Arial" w:cs="Arial"/>
        </w:rPr>
        <w:lastRenderedPageBreak/>
        <w:t xml:space="preserve">Kada je riječ o postojećem stanju, </w:t>
      </w:r>
      <w:r w:rsidR="00523B54" w:rsidRPr="0085657D">
        <w:rPr>
          <w:rFonts w:ascii="Arial" w:hAnsi="Arial" w:cs="Arial"/>
        </w:rPr>
        <w:t>Analiza kaznene politike u  slučajevima nasilja u porodici (Centar za ženska prava,</w:t>
      </w:r>
      <w:r>
        <w:rPr>
          <w:rFonts w:ascii="Arial" w:hAnsi="Arial" w:cs="Arial"/>
        </w:rPr>
        <w:t xml:space="preserve"> </w:t>
      </w:r>
      <w:r w:rsidR="00523B54" w:rsidRPr="0085657D">
        <w:rPr>
          <w:rFonts w:ascii="Arial" w:hAnsi="Arial" w:cs="Arial"/>
        </w:rPr>
        <w:t>2024) pokazuje značajan porast broja krivičnih predmeta vezanih za nasilje u porodici u 2024. godini  – 796 u odnosu na 443 iz prethodne godine, što čini  28%  od ukupnog broja predmeta koji su sudovi te godine imali u radu (u odnosu na 16% iz 2023.) Tokom 2024. godine izrečene su 283 krivičnopravne sankcije: zatvorske kazne dominiraju sa 45,9% (121 slučaj), dok su uslovne osude činile 25%, a mjere bezbjednosti 29%. Prosječna kazna zatvora iznosila je 6 mjeseci, dok je najčešća bila zatvorska kazna u trajanju od 6 do 12 mjeseci (37% slučajeva). Prosječno trajanje krivičnih postupaka poraslo je na 153 dana, a osuđujuće presude su donijete u 97,3% slučajeva. Iako Zabrana približavanja (čl. 77a KZCG) čini trećinu svih izrečenih mjera bezbjednosti, ona čini svega 8% ukupno izrečenih krivično-pravnih sankcija. Mjera udaljenja iz stana i dalje se rijetko koristi – izrečena je u svega 3 predmeta tokom 2024, a godinu ranije je izrečena samo jednom. U prekršajnim postupcima, u toku 2024. godine, ukupno je izrečeno 637 zaštitnih mjera, što čini 48,3% svih riješenih predmeta. Od toga, 37% su Zabrane uznemiravanja i uhođenja, 35% Zabrane približavanja, dok 14% predstavljaju mjere Udaljenja iz stana. Sudska praksa i dalje pokazuje visok stepen tolerancije na nasilje: u  čak 35% presuda, neaktivnost žrtve uzeta je kao olakšavajuća okolnost, a blage kazne izrečene su i za ozbiljne oblike nasilja, uključujući prijetnje ubistvom.</w:t>
      </w:r>
    </w:p>
    <w:p w14:paraId="0DC76D44" w14:textId="2978D47F" w:rsidR="00636260" w:rsidRPr="0085657D" w:rsidRDefault="00096ED8" w:rsidP="007D712E">
      <w:pPr>
        <w:spacing w:line="276" w:lineRule="auto"/>
        <w:rPr>
          <w:rFonts w:ascii="Arial" w:hAnsi="Arial" w:cs="Arial"/>
        </w:rPr>
      </w:pPr>
      <w:r>
        <w:rPr>
          <w:rFonts w:ascii="Arial" w:hAnsi="Arial" w:cs="Arial"/>
        </w:rPr>
        <w:t>U o</w:t>
      </w:r>
      <w:r w:rsidR="00394096" w:rsidRPr="0085657D">
        <w:rPr>
          <w:rFonts w:ascii="Arial" w:hAnsi="Arial" w:cs="Arial"/>
        </w:rPr>
        <w:t xml:space="preserve">ktobru 2024. godine Vrhovni državni tužilac </w:t>
      </w:r>
      <w:r w:rsidR="00221A73" w:rsidRPr="0085657D">
        <w:rPr>
          <w:rFonts w:ascii="Arial" w:hAnsi="Arial" w:cs="Arial"/>
        </w:rPr>
        <w:t>donio</w:t>
      </w:r>
      <w:r w:rsidR="00394096" w:rsidRPr="0085657D">
        <w:rPr>
          <w:rFonts w:ascii="Arial" w:hAnsi="Arial" w:cs="Arial"/>
        </w:rPr>
        <w:t xml:space="preserve"> je </w:t>
      </w:r>
      <w:r w:rsidR="00636260" w:rsidRPr="0085657D">
        <w:rPr>
          <w:rFonts w:ascii="Arial" w:hAnsi="Arial" w:cs="Arial"/>
        </w:rPr>
        <w:t> Uputstvo za postupanje u slučajevima nasilja u porodici ili u porodičnoj zajednici</w:t>
      </w:r>
      <w:r w:rsidR="00636260" w:rsidRPr="0085657D">
        <w:rPr>
          <w:rStyle w:val="FootnoteReference"/>
          <w:rFonts w:ascii="Arial" w:hAnsi="Arial" w:cs="Arial"/>
        </w:rPr>
        <w:footnoteReference w:id="49"/>
      </w:r>
      <w:r w:rsidR="00636260" w:rsidRPr="0085657D">
        <w:rPr>
          <w:rFonts w:ascii="Arial" w:hAnsi="Arial" w:cs="Arial"/>
        </w:rPr>
        <w:t xml:space="preserve"> </w:t>
      </w:r>
      <w:r w:rsidR="00636260" w:rsidRPr="0085657D">
        <w:rPr>
          <w:rFonts w:ascii="Arial" w:hAnsi="Arial" w:cs="Arial"/>
          <w:lang w:val="it-IT"/>
        </w:rPr>
        <w:t>Uputstvo</w:t>
      </w:r>
      <w:r w:rsidR="00636260" w:rsidRPr="0085657D">
        <w:rPr>
          <w:rFonts w:ascii="Arial" w:hAnsi="Arial" w:cs="Arial"/>
        </w:rPr>
        <w:t xml:space="preserve"> </w:t>
      </w:r>
      <w:r w:rsidR="00636260" w:rsidRPr="0085657D">
        <w:rPr>
          <w:rFonts w:ascii="Arial" w:hAnsi="Arial" w:cs="Arial"/>
          <w:lang w:val="it-IT"/>
        </w:rPr>
        <w:t>propisuje</w:t>
      </w:r>
      <w:r w:rsidR="00636260" w:rsidRPr="0085657D">
        <w:rPr>
          <w:rFonts w:ascii="Arial" w:hAnsi="Arial" w:cs="Arial"/>
        </w:rPr>
        <w:t xml:space="preserve"> </w:t>
      </w:r>
      <w:r w:rsidR="00636260" w:rsidRPr="0085657D">
        <w:rPr>
          <w:rFonts w:ascii="Arial" w:hAnsi="Arial" w:cs="Arial"/>
          <w:lang w:val="it-IT"/>
        </w:rPr>
        <w:t>da</w:t>
      </w:r>
      <w:r w:rsidR="00636260" w:rsidRPr="0085657D">
        <w:rPr>
          <w:rFonts w:ascii="Arial" w:hAnsi="Arial" w:cs="Arial"/>
        </w:rPr>
        <w:t xml:space="preserve"> </w:t>
      </w:r>
      <w:r w:rsidR="00636260" w:rsidRPr="0085657D">
        <w:rPr>
          <w:rFonts w:ascii="Arial" w:hAnsi="Arial" w:cs="Arial"/>
          <w:lang w:val="it-IT"/>
        </w:rPr>
        <w:t>postupaju</w:t>
      </w:r>
      <w:r w:rsidR="00636260" w:rsidRPr="0085657D">
        <w:rPr>
          <w:rFonts w:ascii="Arial" w:hAnsi="Arial" w:cs="Arial"/>
        </w:rPr>
        <w:t>ć</w:t>
      </w:r>
      <w:r w:rsidR="00636260" w:rsidRPr="0085657D">
        <w:rPr>
          <w:rFonts w:ascii="Arial" w:hAnsi="Arial" w:cs="Arial"/>
          <w:lang w:val="it-IT"/>
        </w:rPr>
        <w:t>i</w:t>
      </w:r>
      <w:r w:rsidR="00636260" w:rsidRPr="0085657D">
        <w:rPr>
          <w:rFonts w:ascii="Arial" w:hAnsi="Arial" w:cs="Arial"/>
        </w:rPr>
        <w:t xml:space="preserve"> </w:t>
      </w:r>
      <w:r w:rsidR="00636260" w:rsidRPr="0085657D">
        <w:rPr>
          <w:rFonts w:ascii="Arial" w:hAnsi="Arial" w:cs="Arial"/>
          <w:lang w:val="it-IT"/>
        </w:rPr>
        <w:t>tu</w:t>
      </w:r>
      <w:r w:rsidR="00636260" w:rsidRPr="0085657D">
        <w:rPr>
          <w:rFonts w:ascii="Arial" w:hAnsi="Arial" w:cs="Arial"/>
        </w:rPr>
        <w:t>ž</w:t>
      </w:r>
      <w:r w:rsidR="00636260" w:rsidRPr="0085657D">
        <w:rPr>
          <w:rFonts w:ascii="Arial" w:hAnsi="Arial" w:cs="Arial"/>
          <w:lang w:val="it-IT"/>
        </w:rPr>
        <w:t>ioci</w:t>
      </w:r>
      <w:r w:rsidR="00636260" w:rsidRPr="0085657D">
        <w:rPr>
          <w:rFonts w:ascii="Arial" w:hAnsi="Arial" w:cs="Arial"/>
        </w:rPr>
        <w:t xml:space="preserve"> </w:t>
      </w:r>
      <w:r w:rsidR="00636260" w:rsidRPr="0085657D">
        <w:rPr>
          <w:rFonts w:ascii="Arial" w:hAnsi="Arial" w:cs="Arial"/>
          <w:lang w:val="it-IT"/>
        </w:rPr>
        <w:t>hitno</w:t>
      </w:r>
      <w:r w:rsidR="00636260" w:rsidRPr="0085657D">
        <w:rPr>
          <w:rFonts w:ascii="Arial" w:hAnsi="Arial" w:cs="Arial"/>
        </w:rPr>
        <w:t xml:space="preserve"> </w:t>
      </w:r>
      <w:r w:rsidR="00636260" w:rsidRPr="0085657D">
        <w:rPr>
          <w:rFonts w:ascii="Arial" w:hAnsi="Arial" w:cs="Arial"/>
          <w:lang w:val="it-IT"/>
        </w:rPr>
        <w:t>saslu</w:t>
      </w:r>
      <w:r w:rsidR="00636260" w:rsidRPr="0085657D">
        <w:rPr>
          <w:rFonts w:ascii="Arial" w:hAnsi="Arial" w:cs="Arial"/>
        </w:rPr>
        <w:t>š</w:t>
      </w:r>
      <w:r w:rsidR="00636260" w:rsidRPr="0085657D">
        <w:rPr>
          <w:rFonts w:ascii="Arial" w:hAnsi="Arial" w:cs="Arial"/>
          <w:lang w:val="it-IT"/>
        </w:rPr>
        <w:t>aju</w:t>
      </w:r>
      <w:r w:rsidR="00636260" w:rsidRPr="0085657D">
        <w:rPr>
          <w:rFonts w:ascii="Arial" w:hAnsi="Arial" w:cs="Arial"/>
        </w:rPr>
        <w:t xml:space="preserve"> ž</w:t>
      </w:r>
      <w:r w:rsidR="00636260" w:rsidRPr="0085657D">
        <w:rPr>
          <w:rFonts w:ascii="Arial" w:hAnsi="Arial" w:cs="Arial"/>
          <w:lang w:val="it-IT"/>
        </w:rPr>
        <w:t>rtvu</w:t>
      </w:r>
      <w:r w:rsidR="00636260" w:rsidRPr="0085657D">
        <w:rPr>
          <w:rFonts w:ascii="Arial" w:hAnsi="Arial" w:cs="Arial"/>
        </w:rPr>
        <w:t xml:space="preserve"> </w:t>
      </w:r>
      <w:r w:rsidR="00636260" w:rsidRPr="0085657D">
        <w:rPr>
          <w:rFonts w:ascii="Arial" w:hAnsi="Arial" w:cs="Arial"/>
          <w:lang w:val="it-IT"/>
        </w:rPr>
        <w:t>nasilja</w:t>
      </w:r>
      <w:r w:rsidR="00636260" w:rsidRPr="0085657D">
        <w:rPr>
          <w:rFonts w:ascii="Arial" w:hAnsi="Arial" w:cs="Arial"/>
        </w:rPr>
        <w:t xml:space="preserve">, </w:t>
      </w:r>
      <w:r w:rsidR="00636260" w:rsidRPr="0085657D">
        <w:rPr>
          <w:rFonts w:ascii="Arial" w:hAnsi="Arial" w:cs="Arial"/>
          <w:lang w:val="it-IT"/>
        </w:rPr>
        <w:t>bez</w:t>
      </w:r>
      <w:r w:rsidR="00636260" w:rsidRPr="0085657D">
        <w:rPr>
          <w:rFonts w:ascii="Arial" w:hAnsi="Arial" w:cs="Arial"/>
        </w:rPr>
        <w:t xml:space="preserve"> </w:t>
      </w:r>
      <w:r w:rsidR="00636260" w:rsidRPr="0085657D">
        <w:rPr>
          <w:rFonts w:ascii="Arial" w:hAnsi="Arial" w:cs="Arial"/>
          <w:lang w:val="it-IT"/>
        </w:rPr>
        <w:t>njenog</w:t>
      </w:r>
      <w:r w:rsidR="00636260" w:rsidRPr="0085657D">
        <w:rPr>
          <w:rFonts w:ascii="Arial" w:hAnsi="Arial" w:cs="Arial"/>
        </w:rPr>
        <w:t xml:space="preserve"> </w:t>
      </w:r>
      <w:r w:rsidR="00636260" w:rsidRPr="0085657D">
        <w:rPr>
          <w:rFonts w:ascii="Arial" w:hAnsi="Arial" w:cs="Arial"/>
          <w:lang w:val="it-IT"/>
        </w:rPr>
        <w:t>prethodnog</w:t>
      </w:r>
      <w:r w:rsidR="00636260" w:rsidRPr="0085657D">
        <w:rPr>
          <w:rFonts w:ascii="Arial" w:hAnsi="Arial" w:cs="Arial"/>
        </w:rPr>
        <w:t xml:space="preserve"> </w:t>
      </w:r>
      <w:r w:rsidR="00636260" w:rsidRPr="0085657D">
        <w:rPr>
          <w:rFonts w:ascii="Arial" w:hAnsi="Arial" w:cs="Arial"/>
          <w:lang w:val="it-IT"/>
        </w:rPr>
        <w:t>saslu</w:t>
      </w:r>
      <w:r w:rsidR="00636260" w:rsidRPr="0085657D">
        <w:rPr>
          <w:rFonts w:ascii="Arial" w:hAnsi="Arial" w:cs="Arial"/>
        </w:rPr>
        <w:t>š</w:t>
      </w:r>
      <w:r w:rsidR="00636260" w:rsidRPr="0085657D">
        <w:rPr>
          <w:rFonts w:ascii="Arial" w:hAnsi="Arial" w:cs="Arial"/>
          <w:lang w:val="it-IT"/>
        </w:rPr>
        <w:t>anja</w:t>
      </w:r>
      <w:r w:rsidR="00636260" w:rsidRPr="0085657D">
        <w:rPr>
          <w:rFonts w:ascii="Arial" w:hAnsi="Arial" w:cs="Arial"/>
        </w:rPr>
        <w:t xml:space="preserve"> </w:t>
      </w:r>
      <w:r w:rsidR="00636260" w:rsidRPr="0085657D">
        <w:rPr>
          <w:rFonts w:ascii="Arial" w:hAnsi="Arial" w:cs="Arial"/>
          <w:lang w:val="it-IT"/>
        </w:rPr>
        <w:t>od</w:t>
      </w:r>
      <w:r w:rsidR="00636260" w:rsidRPr="0085657D">
        <w:rPr>
          <w:rFonts w:ascii="Arial" w:hAnsi="Arial" w:cs="Arial"/>
        </w:rPr>
        <w:t xml:space="preserve"> </w:t>
      </w:r>
      <w:r w:rsidR="00636260" w:rsidRPr="0085657D">
        <w:rPr>
          <w:rFonts w:ascii="Arial" w:hAnsi="Arial" w:cs="Arial"/>
          <w:lang w:val="it-IT"/>
        </w:rPr>
        <w:t>strane</w:t>
      </w:r>
      <w:r w:rsidR="00636260" w:rsidRPr="0085657D">
        <w:rPr>
          <w:rFonts w:ascii="Arial" w:hAnsi="Arial" w:cs="Arial"/>
        </w:rPr>
        <w:t xml:space="preserve"> </w:t>
      </w:r>
      <w:r w:rsidR="00636260" w:rsidRPr="0085657D">
        <w:rPr>
          <w:rFonts w:ascii="Arial" w:hAnsi="Arial" w:cs="Arial"/>
          <w:lang w:val="it-IT"/>
        </w:rPr>
        <w:t>policijskih</w:t>
      </w:r>
      <w:r w:rsidR="00636260" w:rsidRPr="0085657D">
        <w:rPr>
          <w:rFonts w:ascii="Arial" w:hAnsi="Arial" w:cs="Arial"/>
        </w:rPr>
        <w:t xml:space="preserve"> </w:t>
      </w:r>
      <w:r w:rsidR="00636260" w:rsidRPr="0085657D">
        <w:rPr>
          <w:rFonts w:ascii="Arial" w:hAnsi="Arial" w:cs="Arial"/>
          <w:lang w:val="it-IT"/>
        </w:rPr>
        <w:t>slu</w:t>
      </w:r>
      <w:r w:rsidR="00636260" w:rsidRPr="0085657D">
        <w:rPr>
          <w:rFonts w:ascii="Arial" w:hAnsi="Arial" w:cs="Arial"/>
        </w:rPr>
        <w:t>ž</w:t>
      </w:r>
      <w:r w:rsidR="00636260" w:rsidRPr="0085657D">
        <w:rPr>
          <w:rFonts w:ascii="Arial" w:hAnsi="Arial" w:cs="Arial"/>
          <w:lang w:val="it-IT"/>
        </w:rPr>
        <w:t>benika</w:t>
      </w:r>
      <w:r w:rsidR="00636260" w:rsidRPr="0085657D">
        <w:rPr>
          <w:rFonts w:ascii="Arial" w:hAnsi="Arial" w:cs="Arial"/>
        </w:rPr>
        <w:t xml:space="preserve">, </w:t>
      </w:r>
      <w:r w:rsidR="00636260" w:rsidRPr="0085657D">
        <w:rPr>
          <w:rFonts w:ascii="Arial" w:hAnsi="Arial" w:cs="Arial"/>
          <w:lang w:val="it-IT"/>
        </w:rPr>
        <w:t>ukoliko</w:t>
      </w:r>
      <w:r w:rsidR="00636260" w:rsidRPr="0085657D">
        <w:rPr>
          <w:rFonts w:ascii="Arial" w:hAnsi="Arial" w:cs="Arial"/>
        </w:rPr>
        <w:t xml:space="preserve"> </w:t>
      </w:r>
      <w:r w:rsidR="00636260" w:rsidRPr="0085657D">
        <w:rPr>
          <w:rFonts w:ascii="Arial" w:hAnsi="Arial" w:cs="Arial"/>
          <w:lang w:val="it-IT"/>
        </w:rPr>
        <w:t>je</w:t>
      </w:r>
      <w:r w:rsidR="00636260" w:rsidRPr="0085657D">
        <w:rPr>
          <w:rFonts w:ascii="Arial" w:hAnsi="Arial" w:cs="Arial"/>
        </w:rPr>
        <w:t xml:space="preserve"> </w:t>
      </w:r>
      <w:r w:rsidR="00636260" w:rsidRPr="0085657D">
        <w:rPr>
          <w:rFonts w:ascii="Arial" w:hAnsi="Arial" w:cs="Arial"/>
          <w:lang w:val="it-IT"/>
        </w:rPr>
        <w:t>to</w:t>
      </w:r>
      <w:r w:rsidR="00636260" w:rsidRPr="0085657D">
        <w:rPr>
          <w:rFonts w:ascii="Arial" w:hAnsi="Arial" w:cs="Arial"/>
        </w:rPr>
        <w:t xml:space="preserve"> </w:t>
      </w:r>
      <w:r w:rsidR="00636260" w:rsidRPr="0085657D">
        <w:rPr>
          <w:rFonts w:ascii="Arial" w:hAnsi="Arial" w:cs="Arial"/>
          <w:lang w:val="it-IT"/>
        </w:rPr>
        <w:t>mogu</w:t>
      </w:r>
      <w:r w:rsidR="00636260" w:rsidRPr="0085657D">
        <w:rPr>
          <w:rFonts w:ascii="Arial" w:hAnsi="Arial" w:cs="Arial"/>
        </w:rPr>
        <w:t>ć</w:t>
      </w:r>
      <w:r w:rsidR="00636260" w:rsidRPr="0085657D">
        <w:rPr>
          <w:rFonts w:ascii="Arial" w:hAnsi="Arial" w:cs="Arial"/>
          <w:lang w:val="it-IT"/>
        </w:rPr>
        <w:t>e</w:t>
      </w:r>
      <w:r w:rsidR="00636260" w:rsidRPr="0085657D">
        <w:rPr>
          <w:rFonts w:ascii="Arial" w:hAnsi="Arial" w:cs="Arial"/>
        </w:rPr>
        <w:t>.</w:t>
      </w:r>
      <w:r w:rsidR="00394096" w:rsidRPr="0085657D">
        <w:rPr>
          <w:rFonts w:ascii="Arial" w:hAnsi="Arial" w:cs="Arial"/>
        </w:rPr>
        <w:t xml:space="preserve"> Pored toga, Uputstvom su date precizne smjernice kako u odnosu na postupanje sa samim žrtvama, njihovo informisanje i zaštitu, tako </w:t>
      </w:r>
      <w:r w:rsidR="000D3389">
        <w:rPr>
          <w:rFonts w:ascii="Arial" w:hAnsi="Arial" w:cs="Arial"/>
        </w:rPr>
        <w:t>i</w:t>
      </w:r>
      <w:r w:rsidR="00394096" w:rsidRPr="0085657D">
        <w:rPr>
          <w:rFonts w:ascii="Arial" w:hAnsi="Arial" w:cs="Arial"/>
        </w:rPr>
        <w:t xml:space="preserve"> u pogledu prikupljanja informacija, određivanja pritvora</w:t>
      </w:r>
      <w:r>
        <w:rPr>
          <w:rFonts w:ascii="Arial" w:hAnsi="Arial" w:cs="Arial"/>
        </w:rPr>
        <w:t>.</w:t>
      </w:r>
    </w:p>
    <w:p w14:paraId="36B77576" w14:textId="77777777" w:rsidR="00636260" w:rsidRPr="0085657D" w:rsidRDefault="00636260" w:rsidP="007D712E">
      <w:pPr>
        <w:spacing w:line="276" w:lineRule="auto"/>
        <w:rPr>
          <w:rFonts w:ascii="Arial" w:hAnsi="Arial" w:cs="Arial"/>
        </w:rPr>
      </w:pPr>
      <w:r w:rsidRPr="0085657D">
        <w:rPr>
          <w:rFonts w:ascii="Arial" w:hAnsi="Arial" w:cs="Arial"/>
          <w:lang w:val="it-IT"/>
        </w:rPr>
        <w:t>Tako</w:t>
      </w:r>
      <w:r w:rsidRPr="0085657D">
        <w:rPr>
          <w:rFonts w:ascii="Arial" w:hAnsi="Arial" w:cs="Arial"/>
        </w:rPr>
        <w:t>đ</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propisano</w:t>
      </w:r>
      <w:r w:rsidRPr="0085657D">
        <w:rPr>
          <w:rFonts w:ascii="Arial" w:hAnsi="Arial" w:cs="Arial"/>
        </w:rPr>
        <w:t xml:space="preserve"> </w:t>
      </w:r>
      <w:r w:rsidRPr="0085657D">
        <w:rPr>
          <w:rFonts w:ascii="Arial" w:hAnsi="Arial" w:cs="Arial"/>
          <w:lang w:val="it-IT"/>
        </w:rPr>
        <w:t>da</w:t>
      </w:r>
      <w:r w:rsidRPr="0085657D">
        <w:rPr>
          <w:rFonts w:ascii="Arial" w:hAnsi="Arial" w:cs="Arial"/>
        </w:rPr>
        <w:t xml:space="preserve"> </w:t>
      </w:r>
      <w:r w:rsidRPr="0085657D">
        <w:rPr>
          <w:rFonts w:ascii="Arial" w:hAnsi="Arial" w:cs="Arial"/>
          <w:lang w:val="it-IT"/>
        </w:rPr>
        <w:t>se</w:t>
      </w:r>
      <w:r w:rsidRPr="0085657D">
        <w:rPr>
          <w:rFonts w:ascii="Arial" w:hAnsi="Arial" w:cs="Arial"/>
        </w:rPr>
        <w:t xml:space="preserve"> </w:t>
      </w:r>
      <w:r w:rsidRPr="0085657D">
        <w:rPr>
          <w:rFonts w:ascii="Arial" w:hAnsi="Arial" w:cs="Arial"/>
          <w:lang w:val="it-IT"/>
        </w:rPr>
        <w:t>pribave</w:t>
      </w:r>
      <w:r w:rsidRPr="0085657D">
        <w:rPr>
          <w:rFonts w:ascii="Arial" w:hAnsi="Arial" w:cs="Arial"/>
        </w:rPr>
        <w:t xml:space="preserve"> </w:t>
      </w:r>
      <w:r w:rsidRPr="0085657D">
        <w:rPr>
          <w:rFonts w:ascii="Arial" w:hAnsi="Arial" w:cs="Arial"/>
          <w:lang w:val="it-IT"/>
        </w:rPr>
        <w:t>podaci</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procjeni</w:t>
      </w:r>
      <w:r w:rsidRPr="0085657D">
        <w:rPr>
          <w:rFonts w:ascii="Arial" w:hAnsi="Arial" w:cs="Arial"/>
        </w:rPr>
        <w:t xml:space="preserve"> </w:t>
      </w:r>
      <w:r w:rsidRPr="0085657D">
        <w:rPr>
          <w:rFonts w:ascii="Arial" w:hAnsi="Arial" w:cs="Arial"/>
          <w:lang w:val="it-IT"/>
        </w:rPr>
        <w:t>rizika</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ž</w:t>
      </w:r>
      <w:r w:rsidRPr="0085657D">
        <w:rPr>
          <w:rFonts w:ascii="Arial" w:hAnsi="Arial" w:cs="Arial"/>
          <w:lang w:val="it-IT"/>
        </w:rPr>
        <w:t>rtvu</w:t>
      </w:r>
      <w:r w:rsidRPr="0085657D">
        <w:rPr>
          <w:rFonts w:ascii="Arial" w:hAnsi="Arial" w:cs="Arial"/>
        </w:rPr>
        <w:t xml:space="preserve">, </w:t>
      </w:r>
      <w:r w:rsidRPr="0085657D">
        <w:rPr>
          <w:rFonts w:ascii="Arial" w:hAnsi="Arial" w:cs="Arial"/>
          <w:lang w:val="it-IT"/>
        </w:rPr>
        <w:t>ranijim</w:t>
      </w:r>
      <w:r w:rsidRPr="0085657D">
        <w:rPr>
          <w:rFonts w:ascii="Arial" w:hAnsi="Arial" w:cs="Arial"/>
        </w:rPr>
        <w:t xml:space="preserve"> </w:t>
      </w:r>
      <w:r w:rsidRPr="0085657D">
        <w:rPr>
          <w:rFonts w:ascii="Arial" w:hAnsi="Arial" w:cs="Arial"/>
          <w:lang w:val="it-IT"/>
        </w:rPr>
        <w:t>prijavama</w:t>
      </w:r>
      <w:r w:rsidRPr="0085657D">
        <w:rPr>
          <w:rFonts w:ascii="Arial" w:hAnsi="Arial" w:cs="Arial"/>
        </w:rPr>
        <w:t xml:space="preserve"> </w:t>
      </w:r>
      <w:r w:rsidRPr="0085657D">
        <w:rPr>
          <w:rFonts w:ascii="Arial" w:hAnsi="Arial" w:cs="Arial"/>
          <w:lang w:val="it-IT"/>
        </w:rPr>
        <w:t>nasilja</w:t>
      </w:r>
      <w:r w:rsidRPr="0085657D">
        <w:rPr>
          <w:rFonts w:ascii="Arial" w:hAnsi="Arial" w:cs="Arial"/>
        </w:rPr>
        <w:t xml:space="preserve">, </w:t>
      </w:r>
      <w:r w:rsidRPr="0085657D">
        <w:rPr>
          <w:rFonts w:ascii="Arial" w:hAnsi="Arial" w:cs="Arial"/>
          <w:lang w:val="it-IT"/>
        </w:rPr>
        <w:t>uklju</w:t>
      </w:r>
      <w:r w:rsidRPr="0085657D">
        <w:rPr>
          <w:rFonts w:ascii="Arial" w:hAnsi="Arial" w:cs="Arial"/>
        </w:rPr>
        <w:t>č</w:t>
      </w:r>
      <w:r w:rsidRPr="0085657D">
        <w:rPr>
          <w:rFonts w:ascii="Arial" w:hAnsi="Arial" w:cs="Arial"/>
          <w:lang w:val="it-IT"/>
        </w:rPr>
        <w:t>uju</w:t>
      </w:r>
      <w:r w:rsidRPr="0085657D">
        <w:rPr>
          <w:rFonts w:ascii="Arial" w:hAnsi="Arial" w:cs="Arial"/>
        </w:rPr>
        <w:t>ć</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one</w:t>
      </w:r>
      <w:r w:rsidRPr="0085657D">
        <w:rPr>
          <w:rFonts w:ascii="Arial" w:hAnsi="Arial" w:cs="Arial"/>
        </w:rPr>
        <w:t xml:space="preserve"> </w:t>
      </w:r>
      <w:r w:rsidRPr="0085657D">
        <w:rPr>
          <w:rFonts w:ascii="Arial" w:hAnsi="Arial" w:cs="Arial"/>
          <w:lang w:val="it-IT"/>
        </w:rPr>
        <w:t>doga</w:t>
      </w:r>
      <w:r w:rsidRPr="0085657D">
        <w:rPr>
          <w:rFonts w:ascii="Arial" w:hAnsi="Arial" w:cs="Arial"/>
        </w:rPr>
        <w:t>đ</w:t>
      </w:r>
      <w:r w:rsidRPr="0085657D">
        <w:rPr>
          <w:rFonts w:ascii="Arial" w:hAnsi="Arial" w:cs="Arial"/>
          <w:lang w:val="it-IT"/>
        </w:rPr>
        <w:t>aje</w:t>
      </w:r>
      <w:r w:rsidRPr="0085657D">
        <w:rPr>
          <w:rFonts w:ascii="Arial" w:hAnsi="Arial" w:cs="Arial"/>
        </w:rPr>
        <w:t xml:space="preserve"> </w:t>
      </w:r>
      <w:r w:rsidRPr="0085657D">
        <w:rPr>
          <w:rFonts w:ascii="Arial" w:hAnsi="Arial" w:cs="Arial"/>
          <w:lang w:val="it-IT"/>
        </w:rPr>
        <w:t>koji</w:t>
      </w:r>
      <w:r w:rsidRPr="0085657D">
        <w:rPr>
          <w:rFonts w:ascii="Arial" w:hAnsi="Arial" w:cs="Arial"/>
        </w:rPr>
        <w:t xml:space="preserve"> </w:t>
      </w:r>
      <w:r w:rsidRPr="0085657D">
        <w:rPr>
          <w:rFonts w:ascii="Arial" w:hAnsi="Arial" w:cs="Arial"/>
          <w:lang w:val="it-IT"/>
        </w:rPr>
        <w:t>nisu</w:t>
      </w:r>
      <w:r w:rsidRPr="0085657D">
        <w:rPr>
          <w:rFonts w:ascii="Arial" w:hAnsi="Arial" w:cs="Arial"/>
        </w:rPr>
        <w:t xml:space="preserve"> </w:t>
      </w:r>
      <w:r w:rsidRPr="0085657D">
        <w:rPr>
          <w:rFonts w:ascii="Arial" w:hAnsi="Arial" w:cs="Arial"/>
          <w:lang w:val="it-IT"/>
        </w:rPr>
        <w:t>prijavljeni</w:t>
      </w:r>
      <w:r w:rsidRPr="0085657D">
        <w:rPr>
          <w:rFonts w:ascii="Arial" w:hAnsi="Arial" w:cs="Arial"/>
        </w:rPr>
        <w:t xml:space="preserve">, </w:t>
      </w:r>
      <w:r w:rsidRPr="0085657D">
        <w:rPr>
          <w:rFonts w:ascii="Arial" w:hAnsi="Arial" w:cs="Arial"/>
          <w:lang w:val="it-IT"/>
        </w:rPr>
        <w:t>kao</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podaci</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svim</w:t>
      </w:r>
      <w:r w:rsidRPr="0085657D">
        <w:rPr>
          <w:rFonts w:ascii="Arial" w:hAnsi="Arial" w:cs="Arial"/>
        </w:rPr>
        <w:t xml:space="preserve"> </w:t>
      </w:r>
      <w:r w:rsidRPr="0085657D">
        <w:rPr>
          <w:rFonts w:ascii="Arial" w:hAnsi="Arial" w:cs="Arial"/>
          <w:lang w:val="it-IT"/>
        </w:rPr>
        <w:t>prethodno</w:t>
      </w:r>
      <w:r w:rsidRPr="0085657D">
        <w:rPr>
          <w:rFonts w:ascii="Arial" w:hAnsi="Arial" w:cs="Arial"/>
        </w:rPr>
        <w:t xml:space="preserve"> </w:t>
      </w:r>
      <w:r w:rsidRPr="0085657D">
        <w:rPr>
          <w:rFonts w:ascii="Arial" w:hAnsi="Arial" w:cs="Arial"/>
          <w:lang w:val="it-IT"/>
        </w:rPr>
        <w:t>izre</w:t>
      </w:r>
      <w:r w:rsidRPr="0085657D">
        <w:rPr>
          <w:rFonts w:ascii="Arial" w:hAnsi="Arial" w:cs="Arial"/>
        </w:rPr>
        <w:t>č</w:t>
      </w:r>
      <w:r w:rsidRPr="0085657D">
        <w:rPr>
          <w:rFonts w:ascii="Arial" w:hAnsi="Arial" w:cs="Arial"/>
          <w:lang w:val="it-IT"/>
        </w:rPr>
        <w:t>enim</w:t>
      </w:r>
      <w:r w:rsidRPr="0085657D">
        <w:rPr>
          <w:rFonts w:ascii="Arial" w:hAnsi="Arial" w:cs="Arial"/>
        </w:rPr>
        <w:t xml:space="preserve"> </w:t>
      </w:r>
      <w:r w:rsidRPr="0085657D">
        <w:rPr>
          <w:rFonts w:ascii="Arial" w:hAnsi="Arial" w:cs="Arial"/>
          <w:lang w:val="it-IT"/>
        </w:rPr>
        <w:t>za</w:t>
      </w:r>
      <w:r w:rsidRPr="0085657D">
        <w:rPr>
          <w:rFonts w:ascii="Arial" w:hAnsi="Arial" w:cs="Arial"/>
        </w:rPr>
        <w:t>š</w:t>
      </w:r>
      <w:r w:rsidRPr="0085657D">
        <w:rPr>
          <w:rFonts w:ascii="Arial" w:hAnsi="Arial" w:cs="Arial"/>
          <w:lang w:val="it-IT"/>
        </w:rPr>
        <w:t>titnim</w:t>
      </w:r>
      <w:r w:rsidRPr="0085657D">
        <w:rPr>
          <w:rFonts w:ascii="Arial" w:hAnsi="Arial" w:cs="Arial"/>
        </w:rPr>
        <w:t xml:space="preserve"> </w:t>
      </w:r>
      <w:r w:rsidRPr="0085657D">
        <w:rPr>
          <w:rFonts w:ascii="Arial" w:hAnsi="Arial" w:cs="Arial"/>
          <w:lang w:val="it-IT"/>
        </w:rPr>
        <w:t>mjerama</w:t>
      </w:r>
      <w:r w:rsidRPr="0085657D">
        <w:rPr>
          <w:rFonts w:ascii="Arial" w:hAnsi="Arial" w:cs="Arial"/>
        </w:rPr>
        <w:t xml:space="preserve">, </w:t>
      </w:r>
      <w:r w:rsidRPr="0085657D">
        <w:rPr>
          <w:rFonts w:ascii="Arial" w:hAnsi="Arial" w:cs="Arial"/>
          <w:lang w:val="it-IT"/>
        </w:rPr>
        <w:t>podnijetim</w:t>
      </w:r>
      <w:r w:rsidRPr="0085657D">
        <w:rPr>
          <w:rFonts w:ascii="Arial" w:hAnsi="Arial" w:cs="Arial"/>
        </w:rPr>
        <w:t xml:space="preserve"> </w:t>
      </w:r>
      <w:r w:rsidRPr="0085657D">
        <w:rPr>
          <w:rFonts w:ascii="Arial" w:hAnsi="Arial" w:cs="Arial"/>
          <w:lang w:val="it-IT"/>
        </w:rPr>
        <w:t>prijavama</w:t>
      </w:r>
      <w:r w:rsidRPr="0085657D">
        <w:rPr>
          <w:rFonts w:ascii="Arial" w:hAnsi="Arial" w:cs="Arial"/>
        </w:rPr>
        <w:t xml:space="preserve">, </w:t>
      </w:r>
      <w:r w:rsidRPr="0085657D">
        <w:rPr>
          <w:rFonts w:ascii="Arial" w:hAnsi="Arial" w:cs="Arial"/>
          <w:lang w:val="it-IT"/>
        </w:rPr>
        <w:t>krivi</w:t>
      </w:r>
      <w:r w:rsidRPr="0085657D">
        <w:rPr>
          <w:rFonts w:ascii="Arial" w:hAnsi="Arial" w:cs="Arial"/>
        </w:rPr>
        <w:t>č</w:t>
      </w:r>
      <w:r w:rsidRPr="0085657D">
        <w:rPr>
          <w:rFonts w:ascii="Arial" w:hAnsi="Arial" w:cs="Arial"/>
          <w:lang w:val="it-IT"/>
        </w:rPr>
        <w:t>noj</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prekr</w:t>
      </w:r>
      <w:r w:rsidRPr="0085657D">
        <w:rPr>
          <w:rFonts w:ascii="Arial" w:hAnsi="Arial" w:cs="Arial"/>
        </w:rPr>
        <w:t>š</w:t>
      </w:r>
      <w:r w:rsidRPr="0085657D">
        <w:rPr>
          <w:rFonts w:ascii="Arial" w:hAnsi="Arial" w:cs="Arial"/>
          <w:lang w:val="it-IT"/>
        </w:rPr>
        <w:t>ajnoj</w:t>
      </w:r>
      <w:r w:rsidRPr="0085657D">
        <w:rPr>
          <w:rFonts w:ascii="Arial" w:hAnsi="Arial" w:cs="Arial"/>
        </w:rPr>
        <w:t xml:space="preserve"> </w:t>
      </w:r>
      <w:r w:rsidRPr="0085657D">
        <w:rPr>
          <w:rFonts w:ascii="Arial" w:hAnsi="Arial" w:cs="Arial"/>
          <w:lang w:val="it-IT"/>
        </w:rPr>
        <w:t>evidenciji</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osumnji</w:t>
      </w:r>
      <w:r w:rsidRPr="0085657D">
        <w:rPr>
          <w:rFonts w:ascii="Arial" w:hAnsi="Arial" w:cs="Arial"/>
        </w:rPr>
        <w:t>č</w:t>
      </w:r>
      <w:r w:rsidRPr="0085657D">
        <w:rPr>
          <w:rFonts w:ascii="Arial" w:hAnsi="Arial" w:cs="Arial"/>
          <w:lang w:val="it-IT"/>
        </w:rPr>
        <w:t>enog</w:t>
      </w:r>
      <w:r w:rsidRPr="0085657D">
        <w:rPr>
          <w:rFonts w:ascii="Arial" w:hAnsi="Arial" w:cs="Arial"/>
        </w:rPr>
        <w:t>.</w:t>
      </w:r>
    </w:p>
    <w:p w14:paraId="37220CB4" w14:textId="77777777" w:rsidR="00636260" w:rsidRPr="0085657D" w:rsidRDefault="00636260" w:rsidP="007D712E">
      <w:pPr>
        <w:spacing w:line="276" w:lineRule="auto"/>
        <w:rPr>
          <w:rFonts w:ascii="Arial" w:hAnsi="Arial" w:cs="Arial"/>
        </w:rPr>
      </w:pPr>
      <w:r w:rsidRPr="0085657D">
        <w:rPr>
          <w:rFonts w:ascii="Arial" w:hAnsi="Arial" w:cs="Arial"/>
          <w:lang w:val="it-IT"/>
        </w:rPr>
        <w:t>Rukovodioci</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avnih</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tava</w:t>
      </w:r>
      <w:r w:rsidRPr="0085657D">
        <w:rPr>
          <w:rFonts w:ascii="Arial" w:hAnsi="Arial" w:cs="Arial"/>
        </w:rPr>
        <w:t xml:space="preserve">, </w:t>
      </w:r>
      <w:r w:rsidRPr="0085657D">
        <w:rPr>
          <w:rFonts w:ascii="Arial" w:hAnsi="Arial" w:cs="Arial"/>
          <w:lang w:val="it-IT"/>
        </w:rPr>
        <w:t>na</w:t>
      </w:r>
      <w:r w:rsidRPr="0085657D">
        <w:rPr>
          <w:rFonts w:ascii="Arial" w:hAnsi="Arial" w:cs="Arial"/>
        </w:rPr>
        <w:t xml:space="preserve"> </w:t>
      </w:r>
      <w:r w:rsidRPr="0085657D">
        <w:rPr>
          <w:rFonts w:ascii="Arial" w:hAnsi="Arial" w:cs="Arial"/>
          <w:lang w:val="it-IT"/>
        </w:rPr>
        <w:t>osnovu</w:t>
      </w:r>
      <w:r w:rsidRPr="0085657D">
        <w:rPr>
          <w:rFonts w:ascii="Arial" w:hAnsi="Arial" w:cs="Arial"/>
        </w:rPr>
        <w:t xml:space="preserve"> </w:t>
      </w:r>
      <w:r w:rsidRPr="0085657D">
        <w:rPr>
          <w:rFonts w:ascii="Arial" w:hAnsi="Arial" w:cs="Arial"/>
          <w:lang w:val="it-IT"/>
        </w:rPr>
        <w:t>Uputstva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cilju</w:t>
      </w:r>
      <w:r w:rsidRPr="0085657D">
        <w:rPr>
          <w:rFonts w:ascii="Arial" w:hAnsi="Arial" w:cs="Arial"/>
        </w:rPr>
        <w:t xml:space="preserve"> </w:t>
      </w:r>
      <w:r w:rsidRPr="0085657D">
        <w:rPr>
          <w:rFonts w:ascii="Arial" w:hAnsi="Arial" w:cs="Arial"/>
          <w:lang w:val="it-IT"/>
        </w:rPr>
        <w:t>uspostavljanja</w:t>
      </w:r>
      <w:r w:rsidRPr="0085657D">
        <w:rPr>
          <w:rFonts w:ascii="Arial" w:hAnsi="Arial" w:cs="Arial"/>
        </w:rPr>
        <w:t xml:space="preserve"> </w:t>
      </w:r>
      <w:r w:rsidRPr="0085657D">
        <w:rPr>
          <w:rFonts w:ascii="Arial" w:hAnsi="Arial" w:cs="Arial"/>
          <w:lang w:val="it-IT"/>
        </w:rPr>
        <w:t>prakse</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standarda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postupanju</w:t>
      </w:r>
      <w:r w:rsidRPr="0085657D">
        <w:rPr>
          <w:rFonts w:ascii="Arial" w:hAnsi="Arial" w:cs="Arial"/>
        </w:rPr>
        <w:t xml:space="preserve">, </w:t>
      </w:r>
      <w:r w:rsidRPr="0085657D">
        <w:rPr>
          <w:rFonts w:ascii="Arial" w:hAnsi="Arial" w:cs="Arial"/>
          <w:lang w:val="it-IT"/>
        </w:rPr>
        <w:t>osigura</w:t>
      </w:r>
      <w:r w:rsidRPr="0085657D">
        <w:rPr>
          <w:rFonts w:ascii="Arial" w:hAnsi="Arial" w:cs="Arial"/>
        </w:rPr>
        <w:t>ć</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efikasnu</w:t>
      </w:r>
      <w:r w:rsidRPr="0085657D">
        <w:rPr>
          <w:rFonts w:ascii="Arial" w:hAnsi="Arial" w:cs="Arial"/>
        </w:rPr>
        <w:t xml:space="preserve"> </w:t>
      </w:r>
      <w:r w:rsidRPr="0085657D">
        <w:rPr>
          <w:rFonts w:ascii="Arial" w:hAnsi="Arial" w:cs="Arial"/>
          <w:lang w:val="it-IT"/>
        </w:rPr>
        <w:t>koordinaciju</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razmjenu</w:t>
      </w:r>
      <w:r w:rsidRPr="0085657D">
        <w:rPr>
          <w:rFonts w:ascii="Arial" w:hAnsi="Arial" w:cs="Arial"/>
        </w:rPr>
        <w:t xml:space="preserve"> </w:t>
      </w:r>
      <w:r w:rsidRPr="0085657D">
        <w:rPr>
          <w:rFonts w:ascii="Arial" w:hAnsi="Arial" w:cs="Arial"/>
          <w:lang w:val="it-IT"/>
        </w:rPr>
        <w:t>informacija</w:t>
      </w:r>
      <w:r w:rsidRPr="0085657D">
        <w:rPr>
          <w:rFonts w:ascii="Arial" w:hAnsi="Arial" w:cs="Arial"/>
        </w:rPr>
        <w:t xml:space="preserve"> </w:t>
      </w:r>
      <w:r w:rsidRPr="0085657D">
        <w:rPr>
          <w:rFonts w:ascii="Arial" w:hAnsi="Arial" w:cs="Arial"/>
          <w:lang w:val="it-IT"/>
        </w:rPr>
        <w:t>unutar</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avnog</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tva</w:t>
      </w:r>
      <w:r w:rsidRPr="0085657D">
        <w:rPr>
          <w:rFonts w:ascii="Arial" w:hAnsi="Arial" w:cs="Arial"/>
        </w:rPr>
        <w:t xml:space="preserve"> </w:t>
      </w:r>
      <w:r w:rsidRPr="0085657D">
        <w:rPr>
          <w:rFonts w:ascii="Arial" w:hAnsi="Arial" w:cs="Arial"/>
          <w:lang w:val="it-IT"/>
        </w:rPr>
        <w:t>kojim</w:t>
      </w:r>
      <w:r w:rsidRPr="0085657D">
        <w:rPr>
          <w:rFonts w:ascii="Arial" w:hAnsi="Arial" w:cs="Arial"/>
        </w:rPr>
        <w:t xml:space="preserve"> </w:t>
      </w:r>
      <w:r w:rsidRPr="0085657D">
        <w:rPr>
          <w:rFonts w:ascii="Arial" w:hAnsi="Arial" w:cs="Arial"/>
          <w:lang w:val="it-IT"/>
        </w:rPr>
        <w:t>rukovode</w:t>
      </w:r>
      <w:r w:rsidRPr="0085657D">
        <w:rPr>
          <w:rFonts w:ascii="Arial" w:hAnsi="Arial" w:cs="Arial"/>
        </w:rPr>
        <w:t xml:space="preserve">. </w:t>
      </w:r>
      <w:r w:rsidRPr="0085657D">
        <w:rPr>
          <w:rFonts w:ascii="Arial" w:hAnsi="Arial" w:cs="Arial"/>
          <w:lang w:val="it-IT"/>
        </w:rPr>
        <w:t>Tako</w:t>
      </w:r>
      <w:r w:rsidRPr="0085657D">
        <w:rPr>
          <w:rFonts w:ascii="Arial" w:hAnsi="Arial" w:cs="Arial"/>
        </w:rPr>
        <w:t>đ</w:t>
      </w:r>
      <w:r w:rsidRPr="0085657D">
        <w:rPr>
          <w:rFonts w:ascii="Arial" w:hAnsi="Arial" w:cs="Arial"/>
          <w:lang w:val="it-IT"/>
        </w:rPr>
        <w:t>e</w:t>
      </w:r>
      <w:r w:rsidRPr="0085657D">
        <w:rPr>
          <w:rFonts w:ascii="Arial" w:hAnsi="Arial" w:cs="Arial"/>
        </w:rPr>
        <w:t xml:space="preserve"> ć</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Vrhovnom</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avnom</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tvu</w:t>
      </w:r>
      <w:r w:rsidRPr="0085657D">
        <w:rPr>
          <w:rFonts w:ascii="Arial" w:hAnsi="Arial" w:cs="Arial"/>
        </w:rPr>
        <w:t xml:space="preserve"> </w:t>
      </w:r>
      <w:r w:rsidRPr="0085657D">
        <w:rPr>
          <w:rFonts w:ascii="Arial" w:hAnsi="Arial" w:cs="Arial"/>
          <w:lang w:val="it-IT"/>
        </w:rPr>
        <w:t>dostavljati</w:t>
      </w:r>
      <w:r w:rsidRPr="0085657D">
        <w:rPr>
          <w:rFonts w:ascii="Arial" w:hAnsi="Arial" w:cs="Arial"/>
        </w:rPr>
        <w:t xml:space="preserve"> </w:t>
      </w:r>
      <w:r w:rsidRPr="0085657D">
        <w:rPr>
          <w:rFonts w:ascii="Arial" w:hAnsi="Arial" w:cs="Arial"/>
          <w:lang w:val="it-IT"/>
        </w:rPr>
        <w:t>kvartalne</w:t>
      </w:r>
      <w:r w:rsidRPr="0085657D">
        <w:rPr>
          <w:rFonts w:ascii="Arial" w:hAnsi="Arial" w:cs="Arial"/>
        </w:rPr>
        <w:t xml:space="preserve"> </w:t>
      </w:r>
      <w:r w:rsidRPr="0085657D">
        <w:rPr>
          <w:rFonts w:ascii="Arial" w:hAnsi="Arial" w:cs="Arial"/>
          <w:lang w:val="it-IT"/>
        </w:rPr>
        <w:t>izvje</w:t>
      </w:r>
      <w:r w:rsidRPr="0085657D">
        <w:rPr>
          <w:rFonts w:ascii="Arial" w:hAnsi="Arial" w:cs="Arial"/>
        </w:rPr>
        <w:t>š</w:t>
      </w:r>
      <w:r w:rsidRPr="0085657D">
        <w:rPr>
          <w:rFonts w:ascii="Arial" w:hAnsi="Arial" w:cs="Arial"/>
          <w:lang w:val="it-IT"/>
        </w:rPr>
        <w:t>taje</w:t>
      </w:r>
      <w:r w:rsidRPr="0085657D">
        <w:rPr>
          <w:rFonts w:ascii="Arial" w:hAnsi="Arial" w:cs="Arial"/>
        </w:rPr>
        <w:t xml:space="preserve"> </w:t>
      </w:r>
      <w:r w:rsidRPr="0085657D">
        <w:rPr>
          <w:rFonts w:ascii="Arial" w:hAnsi="Arial" w:cs="Arial"/>
          <w:lang w:val="it-IT"/>
        </w:rPr>
        <w:t>sa</w:t>
      </w:r>
      <w:r w:rsidRPr="0085657D">
        <w:rPr>
          <w:rFonts w:ascii="Arial" w:hAnsi="Arial" w:cs="Arial"/>
        </w:rPr>
        <w:t xml:space="preserve"> </w:t>
      </w:r>
      <w:r w:rsidRPr="0085657D">
        <w:rPr>
          <w:rFonts w:ascii="Arial" w:hAnsi="Arial" w:cs="Arial"/>
          <w:lang w:val="it-IT"/>
        </w:rPr>
        <w:t>a</w:t>
      </w:r>
      <w:r w:rsidRPr="0085657D">
        <w:rPr>
          <w:rFonts w:ascii="Arial" w:hAnsi="Arial" w:cs="Arial"/>
        </w:rPr>
        <w:t>ž</w:t>
      </w:r>
      <w:r w:rsidRPr="0085657D">
        <w:rPr>
          <w:rFonts w:ascii="Arial" w:hAnsi="Arial" w:cs="Arial"/>
          <w:lang w:val="it-IT"/>
        </w:rPr>
        <w:t>uriranim</w:t>
      </w:r>
      <w:r w:rsidRPr="0085657D">
        <w:rPr>
          <w:rFonts w:ascii="Arial" w:hAnsi="Arial" w:cs="Arial"/>
        </w:rPr>
        <w:t xml:space="preserve"> </w:t>
      </w:r>
      <w:r w:rsidRPr="0085657D">
        <w:rPr>
          <w:rFonts w:ascii="Arial" w:hAnsi="Arial" w:cs="Arial"/>
          <w:lang w:val="it-IT"/>
        </w:rPr>
        <w:t>podacima</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predmetima</w:t>
      </w:r>
      <w:r w:rsidRPr="0085657D">
        <w:rPr>
          <w:rFonts w:ascii="Arial" w:hAnsi="Arial" w:cs="Arial"/>
        </w:rPr>
        <w:t xml:space="preserve"> </w:t>
      </w:r>
      <w:r w:rsidRPr="0085657D">
        <w:rPr>
          <w:rFonts w:ascii="Arial" w:hAnsi="Arial" w:cs="Arial"/>
          <w:lang w:val="it-IT"/>
        </w:rPr>
        <w:t>nasilja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porodici</w:t>
      </w:r>
      <w:r w:rsidRPr="0085657D">
        <w:rPr>
          <w:rFonts w:ascii="Arial" w:hAnsi="Arial" w:cs="Arial"/>
        </w:rPr>
        <w:t xml:space="preserve"> </w:t>
      </w:r>
      <w:r w:rsidRPr="0085657D">
        <w:rPr>
          <w:rFonts w:ascii="Arial" w:hAnsi="Arial" w:cs="Arial"/>
          <w:lang w:val="it-IT"/>
        </w:rPr>
        <w:t>ili</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porodi</w:t>
      </w:r>
      <w:r w:rsidRPr="0085657D">
        <w:rPr>
          <w:rFonts w:ascii="Arial" w:hAnsi="Arial" w:cs="Arial"/>
        </w:rPr>
        <w:t>č</w:t>
      </w:r>
      <w:r w:rsidRPr="0085657D">
        <w:rPr>
          <w:rFonts w:ascii="Arial" w:hAnsi="Arial" w:cs="Arial"/>
          <w:lang w:val="it-IT"/>
        </w:rPr>
        <w:t>noj</w:t>
      </w:r>
      <w:r w:rsidRPr="0085657D">
        <w:rPr>
          <w:rFonts w:ascii="Arial" w:hAnsi="Arial" w:cs="Arial"/>
        </w:rPr>
        <w:t xml:space="preserve"> </w:t>
      </w:r>
      <w:r w:rsidRPr="0085657D">
        <w:rPr>
          <w:rFonts w:ascii="Arial" w:hAnsi="Arial" w:cs="Arial"/>
          <w:lang w:val="it-IT"/>
        </w:rPr>
        <w:t>zajednici</w:t>
      </w:r>
      <w:r w:rsidRPr="0085657D">
        <w:rPr>
          <w:rFonts w:ascii="Arial" w:hAnsi="Arial" w:cs="Arial"/>
        </w:rPr>
        <w:t>.</w:t>
      </w:r>
    </w:p>
    <w:p w14:paraId="304E3141" w14:textId="77777777" w:rsidR="00636260" w:rsidRPr="0085657D" w:rsidRDefault="00636260" w:rsidP="007D712E">
      <w:pPr>
        <w:spacing w:line="276" w:lineRule="auto"/>
        <w:rPr>
          <w:rFonts w:ascii="Arial" w:hAnsi="Arial" w:cs="Arial"/>
        </w:rPr>
      </w:pPr>
      <w:r w:rsidRPr="0085657D">
        <w:rPr>
          <w:rFonts w:ascii="Arial" w:hAnsi="Arial" w:cs="Arial"/>
          <w:lang w:val="it-IT"/>
        </w:rPr>
        <w:t>Portparoli</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avnih</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tava</w:t>
      </w:r>
      <w:r w:rsidRPr="0085657D">
        <w:rPr>
          <w:rFonts w:ascii="Arial" w:hAnsi="Arial" w:cs="Arial"/>
        </w:rPr>
        <w:t xml:space="preserve"> </w:t>
      </w:r>
      <w:r w:rsidRPr="0085657D">
        <w:rPr>
          <w:rFonts w:ascii="Arial" w:hAnsi="Arial" w:cs="Arial"/>
          <w:lang w:val="it-IT"/>
        </w:rPr>
        <w:t>prilikom</w:t>
      </w:r>
      <w:r w:rsidRPr="0085657D">
        <w:rPr>
          <w:rFonts w:ascii="Arial" w:hAnsi="Arial" w:cs="Arial"/>
        </w:rPr>
        <w:t xml:space="preserve"> </w:t>
      </w:r>
      <w:r w:rsidRPr="0085657D">
        <w:rPr>
          <w:rFonts w:ascii="Arial" w:hAnsi="Arial" w:cs="Arial"/>
          <w:lang w:val="it-IT"/>
        </w:rPr>
        <w:t>obavje</w:t>
      </w:r>
      <w:r w:rsidRPr="0085657D">
        <w:rPr>
          <w:rFonts w:ascii="Arial" w:hAnsi="Arial" w:cs="Arial"/>
        </w:rPr>
        <w:t>š</w:t>
      </w:r>
      <w:r w:rsidRPr="0085657D">
        <w:rPr>
          <w:rFonts w:ascii="Arial" w:hAnsi="Arial" w:cs="Arial"/>
          <w:lang w:val="it-IT"/>
        </w:rPr>
        <w:t>tavanja</w:t>
      </w:r>
      <w:r w:rsidRPr="0085657D">
        <w:rPr>
          <w:rFonts w:ascii="Arial" w:hAnsi="Arial" w:cs="Arial"/>
        </w:rPr>
        <w:t xml:space="preserve"> </w:t>
      </w:r>
      <w:r w:rsidRPr="0085657D">
        <w:rPr>
          <w:rFonts w:ascii="Arial" w:hAnsi="Arial" w:cs="Arial"/>
          <w:lang w:val="it-IT"/>
        </w:rPr>
        <w:t>javnosti</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doga</w:t>
      </w:r>
      <w:r w:rsidRPr="0085657D">
        <w:rPr>
          <w:rFonts w:ascii="Arial" w:hAnsi="Arial" w:cs="Arial"/>
        </w:rPr>
        <w:t>đ</w:t>
      </w:r>
      <w:r w:rsidRPr="0085657D">
        <w:rPr>
          <w:rFonts w:ascii="Arial" w:hAnsi="Arial" w:cs="Arial"/>
          <w:lang w:val="it-IT"/>
        </w:rPr>
        <w:t>aju</w:t>
      </w:r>
      <w:r w:rsidRPr="0085657D">
        <w:rPr>
          <w:rFonts w:ascii="Arial" w:hAnsi="Arial" w:cs="Arial"/>
        </w:rPr>
        <w:t xml:space="preserve"> </w:t>
      </w:r>
      <w:r w:rsidRPr="0085657D">
        <w:rPr>
          <w:rFonts w:ascii="Arial" w:hAnsi="Arial" w:cs="Arial"/>
          <w:lang w:val="it-IT"/>
        </w:rPr>
        <w:t>obezbijedi</w:t>
      </w:r>
      <w:r w:rsidRPr="0085657D">
        <w:rPr>
          <w:rFonts w:ascii="Arial" w:hAnsi="Arial" w:cs="Arial"/>
        </w:rPr>
        <w:t>ć</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za</w:t>
      </w:r>
      <w:r w:rsidRPr="0085657D">
        <w:rPr>
          <w:rFonts w:ascii="Arial" w:hAnsi="Arial" w:cs="Arial"/>
        </w:rPr>
        <w:t>š</w:t>
      </w:r>
      <w:r w:rsidRPr="0085657D">
        <w:rPr>
          <w:rFonts w:ascii="Arial" w:hAnsi="Arial" w:cs="Arial"/>
          <w:lang w:val="it-IT"/>
        </w:rPr>
        <w:t>titu</w:t>
      </w:r>
      <w:r w:rsidRPr="0085657D">
        <w:rPr>
          <w:rFonts w:ascii="Arial" w:hAnsi="Arial" w:cs="Arial"/>
        </w:rPr>
        <w:t xml:space="preserve"> </w:t>
      </w:r>
      <w:r w:rsidRPr="0085657D">
        <w:rPr>
          <w:rFonts w:ascii="Arial" w:hAnsi="Arial" w:cs="Arial"/>
          <w:lang w:val="it-IT"/>
        </w:rPr>
        <w:t>privatnosti</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integriteta</w:t>
      </w:r>
      <w:r w:rsidRPr="0085657D">
        <w:rPr>
          <w:rFonts w:ascii="Arial" w:hAnsi="Arial" w:cs="Arial"/>
        </w:rPr>
        <w:t xml:space="preserve"> ž</w:t>
      </w:r>
      <w:r w:rsidRPr="0085657D">
        <w:rPr>
          <w:rFonts w:ascii="Arial" w:hAnsi="Arial" w:cs="Arial"/>
          <w:lang w:val="it-IT"/>
        </w:rPr>
        <w:t>rtve</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posebno</w:t>
      </w:r>
      <w:r w:rsidRPr="0085657D">
        <w:rPr>
          <w:rFonts w:ascii="Arial" w:hAnsi="Arial" w:cs="Arial"/>
        </w:rPr>
        <w:t xml:space="preserve"> </w:t>
      </w:r>
      <w:r w:rsidRPr="0085657D">
        <w:rPr>
          <w:rFonts w:ascii="Arial" w:hAnsi="Arial" w:cs="Arial"/>
          <w:lang w:val="it-IT"/>
        </w:rPr>
        <w:t>obazrivo</w:t>
      </w:r>
      <w:r w:rsidRPr="0085657D">
        <w:rPr>
          <w:rFonts w:ascii="Arial" w:hAnsi="Arial" w:cs="Arial"/>
        </w:rPr>
        <w:t xml:space="preserve"> </w:t>
      </w:r>
      <w:r w:rsidRPr="0085657D">
        <w:rPr>
          <w:rFonts w:ascii="Arial" w:hAnsi="Arial" w:cs="Arial"/>
          <w:lang w:val="it-IT"/>
        </w:rPr>
        <w:t>informisati</w:t>
      </w:r>
      <w:r w:rsidRPr="0085657D">
        <w:rPr>
          <w:rFonts w:ascii="Arial" w:hAnsi="Arial" w:cs="Arial"/>
        </w:rPr>
        <w:t xml:space="preserve"> </w:t>
      </w:r>
      <w:r w:rsidRPr="0085657D">
        <w:rPr>
          <w:rFonts w:ascii="Arial" w:hAnsi="Arial" w:cs="Arial"/>
          <w:lang w:val="it-IT"/>
        </w:rPr>
        <w:t>javnost</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slu</w:t>
      </w:r>
      <w:r w:rsidRPr="0085657D">
        <w:rPr>
          <w:rFonts w:ascii="Arial" w:hAnsi="Arial" w:cs="Arial"/>
        </w:rPr>
        <w:t>č</w:t>
      </w:r>
      <w:r w:rsidRPr="0085657D">
        <w:rPr>
          <w:rFonts w:ascii="Arial" w:hAnsi="Arial" w:cs="Arial"/>
          <w:lang w:val="it-IT"/>
        </w:rPr>
        <w:t>ajevima</w:t>
      </w:r>
      <w:r w:rsidRPr="0085657D">
        <w:rPr>
          <w:rFonts w:ascii="Arial" w:hAnsi="Arial" w:cs="Arial"/>
        </w:rPr>
        <w:t xml:space="preserve"> </w:t>
      </w:r>
      <w:r w:rsidRPr="0085657D">
        <w:rPr>
          <w:rFonts w:ascii="Arial" w:hAnsi="Arial" w:cs="Arial"/>
          <w:lang w:val="it-IT"/>
        </w:rPr>
        <w:t>kada</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ž</w:t>
      </w:r>
      <w:r w:rsidRPr="0085657D">
        <w:rPr>
          <w:rFonts w:ascii="Arial" w:hAnsi="Arial" w:cs="Arial"/>
          <w:lang w:val="it-IT"/>
        </w:rPr>
        <w:t>rtva</w:t>
      </w:r>
      <w:r w:rsidRPr="0085657D">
        <w:rPr>
          <w:rFonts w:ascii="Arial" w:hAnsi="Arial" w:cs="Arial"/>
        </w:rPr>
        <w:t xml:space="preserve"> </w:t>
      </w:r>
      <w:r w:rsidRPr="0085657D">
        <w:rPr>
          <w:rFonts w:ascii="Arial" w:hAnsi="Arial" w:cs="Arial"/>
          <w:lang w:val="it-IT"/>
        </w:rPr>
        <w:t>dijete</w:t>
      </w:r>
      <w:r w:rsidRPr="0085657D">
        <w:rPr>
          <w:rFonts w:ascii="Arial" w:hAnsi="Arial" w:cs="Arial"/>
        </w:rPr>
        <w:t>.</w:t>
      </w:r>
    </w:p>
    <w:p w14:paraId="685E9200" w14:textId="77777777" w:rsidR="00DA03C1" w:rsidRDefault="00636260" w:rsidP="0016148A">
      <w:pPr>
        <w:spacing w:line="276" w:lineRule="auto"/>
        <w:rPr>
          <w:rFonts w:ascii="Arial" w:hAnsi="Arial" w:cs="Arial"/>
        </w:rPr>
      </w:pPr>
      <w:r w:rsidRPr="0085657D">
        <w:rPr>
          <w:rFonts w:ascii="Arial" w:hAnsi="Arial" w:cs="Arial"/>
          <w:lang w:val="it-IT"/>
        </w:rPr>
        <w:t>Vrhovni</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avni</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ilac</w:t>
      </w:r>
      <w:r w:rsidRPr="0085657D">
        <w:rPr>
          <w:rFonts w:ascii="Arial" w:hAnsi="Arial" w:cs="Arial"/>
        </w:rPr>
        <w:t xml:space="preserve"> </w:t>
      </w:r>
      <w:r w:rsidRPr="0085657D">
        <w:rPr>
          <w:rFonts w:ascii="Arial" w:hAnsi="Arial" w:cs="Arial"/>
          <w:lang w:val="it-IT"/>
        </w:rPr>
        <w:t>odredio</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koordinatorku</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pra</w:t>
      </w:r>
      <w:r w:rsidRPr="0085657D">
        <w:rPr>
          <w:rFonts w:ascii="Arial" w:hAnsi="Arial" w:cs="Arial"/>
        </w:rPr>
        <w:t>ć</w:t>
      </w:r>
      <w:r w:rsidRPr="0085657D">
        <w:rPr>
          <w:rFonts w:ascii="Arial" w:hAnsi="Arial" w:cs="Arial"/>
          <w:lang w:val="it-IT"/>
        </w:rPr>
        <w:t>enje</w:t>
      </w:r>
      <w:r w:rsidRPr="0085657D">
        <w:rPr>
          <w:rFonts w:ascii="Arial" w:hAnsi="Arial" w:cs="Arial"/>
        </w:rPr>
        <w:t xml:space="preserve"> </w:t>
      </w:r>
      <w:r w:rsidRPr="0085657D">
        <w:rPr>
          <w:rFonts w:ascii="Arial" w:hAnsi="Arial" w:cs="Arial"/>
          <w:lang w:val="it-IT"/>
        </w:rPr>
        <w:t>primjene</w:t>
      </w:r>
      <w:r w:rsidRPr="0085657D">
        <w:rPr>
          <w:rFonts w:ascii="Arial" w:hAnsi="Arial" w:cs="Arial"/>
        </w:rPr>
        <w:t xml:space="preserve"> </w:t>
      </w:r>
      <w:r w:rsidRPr="0085657D">
        <w:rPr>
          <w:rFonts w:ascii="Arial" w:hAnsi="Arial" w:cs="Arial"/>
          <w:lang w:val="it-IT"/>
        </w:rPr>
        <w:t>Uputstva</w:t>
      </w:r>
      <w:r w:rsidRPr="0085657D">
        <w:rPr>
          <w:rFonts w:ascii="Arial" w:hAnsi="Arial" w:cs="Arial"/>
        </w:rPr>
        <w:t>, č</w:t>
      </w:r>
      <w:r w:rsidRPr="0085657D">
        <w:rPr>
          <w:rFonts w:ascii="Arial" w:hAnsi="Arial" w:cs="Arial"/>
          <w:lang w:val="it-IT"/>
        </w:rPr>
        <w:t>ija</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obaveza</w:t>
      </w:r>
      <w:r w:rsidRPr="0085657D">
        <w:rPr>
          <w:rFonts w:ascii="Arial" w:hAnsi="Arial" w:cs="Arial"/>
        </w:rPr>
        <w:t xml:space="preserve"> </w:t>
      </w:r>
      <w:r w:rsidRPr="0085657D">
        <w:rPr>
          <w:rFonts w:ascii="Arial" w:hAnsi="Arial" w:cs="Arial"/>
          <w:lang w:val="it-IT"/>
        </w:rPr>
        <w:t>koordinacija</w:t>
      </w:r>
      <w:r w:rsidRPr="0085657D">
        <w:rPr>
          <w:rFonts w:ascii="Arial" w:hAnsi="Arial" w:cs="Arial"/>
        </w:rPr>
        <w:t xml:space="preserve">, </w:t>
      </w:r>
      <w:r w:rsidRPr="0085657D">
        <w:rPr>
          <w:rFonts w:ascii="Arial" w:hAnsi="Arial" w:cs="Arial"/>
          <w:lang w:val="it-IT"/>
        </w:rPr>
        <w:t>pra</w:t>
      </w:r>
      <w:r w:rsidRPr="0085657D">
        <w:rPr>
          <w:rFonts w:ascii="Arial" w:hAnsi="Arial" w:cs="Arial"/>
        </w:rPr>
        <w:t>ć</w:t>
      </w:r>
      <w:r w:rsidRPr="0085657D">
        <w:rPr>
          <w:rFonts w:ascii="Arial" w:hAnsi="Arial" w:cs="Arial"/>
          <w:lang w:val="it-IT"/>
        </w:rPr>
        <w:t>enje</w:t>
      </w:r>
      <w:r w:rsidRPr="0085657D">
        <w:rPr>
          <w:rFonts w:ascii="Arial" w:hAnsi="Arial" w:cs="Arial"/>
        </w:rPr>
        <w:t xml:space="preserve"> </w:t>
      </w:r>
      <w:r w:rsidRPr="0085657D">
        <w:rPr>
          <w:rFonts w:ascii="Arial" w:hAnsi="Arial" w:cs="Arial"/>
          <w:lang w:val="it-IT"/>
        </w:rPr>
        <w:t>primjene</w:t>
      </w:r>
      <w:r w:rsidRPr="0085657D">
        <w:rPr>
          <w:rFonts w:ascii="Arial" w:hAnsi="Arial" w:cs="Arial"/>
        </w:rPr>
        <w:t xml:space="preserve"> </w:t>
      </w:r>
      <w:r w:rsidRPr="0085657D">
        <w:rPr>
          <w:rFonts w:ascii="Arial" w:hAnsi="Arial" w:cs="Arial"/>
          <w:lang w:val="it-IT"/>
        </w:rPr>
        <w:t>Uputstva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saradnja</w:t>
      </w:r>
      <w:r w:rsidRPr="0085657D">
        <w:rPr>
          <w:rFonts w:ascii="Arial" w:hAnsi="Arial" w:cs="Arial"/>
        </w:rPr>
        <w:t xml:space="preserve"> </w:t>
      </w:r>
      <w:r w:rsidRPr="0085657D">
        <w:rPr>
          <w:rFonts w:ascii="Arial" w:hAnsi="Arial" w:cs="Arial"/>
          <w:lang w:val="it-IT"/>
        </w:rPr>
        <w:t>sa</w:t>
      </w:r>
      <w:r w:rsidRPr="0085657D">
        <w:rPr>
          <w:rFonts w:ascii="Arial" w:hAnsi="Arial" w:cs="Arial"/>
        </w:rPr>
        <w:t xml:space="preserve"> </w:t>
      </w:r>
      <w:r w:rsidRPr="0085657D">
        <w:rPr>
          <w:rFonts w:ascii="Arial" w:hAnsi="Arial" w:cs="Arial"/>
          <w:lang w:val="it-IT"/>
        </w:rPr>
        <w:t>relevantnim</w:t>
      </w:r>
      <w:r w:rsidRPr="0085657D">
        <w:rPr>
          <w:rFonts w:ascii="Arial" w:hAnsi="Arial" w:cs="Arial"/>
        </w:rPr>
        <w:t xml:space="preserve"> </w:t>
      </w:r>
      <w:r w:rsidRPr="0085657D">
        <w:rPr>
          <w:rFonts w:ascii="Arial" w:hAnsi="Arial" w:cs="Arial"/>
          <w:lang w:val="it-IT"/>
        </w:rPr>
        <w:t>institucijama</w:t>
      </w:r>
      <w:r w:rsidRPr="0085657D">
        <w:rPr>
          <w:rFonts w:ascii="Arial" w:hAnsi="Arial" w:cs="Arial"/>
        </w:rPr>
        <w:t xml:space="preserve"> </w:t>
      </w:r>
      <w:r w:rsidRPr="0085657D">
        <w:rPr>
          <w:rFonts w:ascii="Arial" w:hAnsi="Arial" w:cs="Arial"/>
          <w:lang w:val="it-IT"/>
        </w:rPr>
        <w:t>Multidisciplinarnog</w:t>
      </w:r>
      <w:r w:rsidRPr="0085657D">
        <w:rPr>
          <w:rFonts w:ascii="Arial" w:hAnsi="Arial" w:cs="Arial"/>
        </w:rPr>
        <w:t xml:space="preserve"> </w:t>
      </w:r>
      <w:r w:rsidRPr="0085657D">
        <w:rPr>
          <w:rFonts w:ascii="Arial" w:hAnsi="Arial" w:cs="Arial"/>
          <w:lang w:val="it-IT"/>
        </w:rPr>
        <w:t>tima</w:t>
      </w:r>
      <w:r w:rsidRPr="0085657D">
        <w:rPr>
          <w:rFonts w:ascii="Arial" w:hAnsi="Arial" w:cs="Arial"/>
        </w:rPr>
        <w:t xml:space="preserve">, </w:t>
      </w:r>
      <w:r w:rsidRPr="0085657D">
        <w:rPr>
          <w:rFonts w:ascii="Arial" w:hAnsi="Arial" w:cs="Arial"/>
          <w:lang w:val="it-IT"/>
        </w:rPr>
        <w:t>nevladinim</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me</w:t>
      </w:r>
      <w:r w:rsidRPr="0085657D">
        <w:rPr>
          <w:rFonts w:ascii="Arial" w:hAnsi="Arial" w:cs="Arial"/>
        </w:rPr>
        <w:t>đ</w:t>
      </w:r>
      <w:r w:rsidRPr="0085657D">
        <w:rPr>
          <w:rFonts w:ascii="Arial" w:hAnsi="Arial" w:cs="Arial"/>
          <w:lang w:val="it-IT"/>
        </w:rPr>
        <w:t>unarodnim</w:t>
      </w:r>
      <w:r w:rsidRPr="0085657D">
        <w:rPr>
          <w:rFonts w:ascii="Arial" w:hAnsi="Arial" w:cs="Arial"/>
        </w:rPr>
        <w:t xml:space="preserve"> </w:t>
      </w:r>
      <w:r w:rsidRPr="0085657D">
        <w:rPr>
          <w:rFonts w:ascii="Arial" w:hAnsi="Arial" w:cs="Arial"/>
          <w:lang w:val="it-IT"/>
        </w:rPr>
        <w:t>organizacijama</w:t>
      </w:r>
      <w:r w:rsidRPr="0085657D">
        <w:rPr>
          <w:rFonts w:ascii="Arial" w:hAnsi="Arial" w:cs="Arial"/>
        </w:rPr>
        <w:t xml:space="preserve">, </w:t>
      </w:r>
      <w:r w:rsidRPr="0085657D">
        <w:rPr>
          <w:rFonts w:ascii="Arial" w:hAnsi="Arial" w:cs="Arial"/>
          <w:lang w:val="it-IT"/>
        </w:rPr>
        <w:t>kao</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projektima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ovoj</w:t>
      </w:r>
      <w:r w:rsidRPr="0085657D">
        <w:rPr>
          <w:rFonts w:ascii="Arial" w:hAnsi="Arial" w:cs="Arial"/>
        </w:rPr>
        <w:t xml:space="preserve"> </w:t>
      </w:r>
      <w:r w:rsidRPr="0085657D">
        <w:rPr>
          <w:rFonts w:ascii="Arial" w:hAnsi="Arial" w:cs="Arial"/>
          <w:lang w:val="it-IT"/>
        </w:rPr>
        <w:t>oblasti</w:t>
      </w:r>
      <w:r w:rsidRPr="0085657D">
        <w:rPr>
          <w:rFonts w:ascii="Arial" w:hAnsi="Arial" w:cs="Arial"/>
        </w:rPr>
        <w:t>.</w:t>
      </w:r>
    </w:p>
    <w:p w14:paraId="01885C40" w14:textId="6E26FA55" w:rsidR="0016148A" w:rsidRPr="0085657D" w:rsidRDefault="0016148A" w:rsidP="0016148A">
      <w:pPr>
        <w:spacing w:line="276" w:lineRule="auto"/>
        <w:rPr>
          <w:rFonts w:ascii="Arial" w:hAnsi="Arial" w:cs="Arial"/>
        </w:rPr>
      </w:pPr>
      <w:r w:rsidRPr="0085657D">
        <w:rPr>
          <w:rFonts w:ascii="Arial" w:hAnsi="Arial" w:cs="Arial"/>
        </w:rPr>
        <w:lastRenderedPageBreak/>
        <w:t>Strategija za prevenciju i zaštitu djece od nasilja 2025-2029</w:t>
      </w:r>
      <w:r w:rsidR="00F518A6" w:rsidRPr="0085657D">
        <w:rPr>
          <w:rFonts w:ascii="Arial" w:hAnsi="Arial" w:cs="Arial"/>
        </w:rPr>
        <w:t>.</w:t>
      </w:r>
      <w:r w:rsidRPr="0085657D">
        <w:rPr>
          <w:rFonts w:ascii="Arial" w:hAnsi="Arial" w:cs="Arial"/>
        </w:rPr>
        <w:t xml:space="preserve"> predviđa mjere za uspostavljanje usluge Dječ</w:t>
      </w:r>
      <w:r w:rsidR="00467B56" w:rsidRPr="0085657D">
        <w:rPr>
          <w:rFonts w:ascii="Arial" w:hAnsi="Arial" w:cs="Arial"/>
        </w:rPr>
        <w:t>i</w:t>
      </w:r>
      <w:r w:rsidRPr="0085657D">
        <w:rPr>
          <w:rFonts w:ascii="Arial" w:hAnsi="Arial" w:cs="Arial"/>
        </w:rPr>
        <w:t xml:space="preserve">je kuće (Barnahus) za  zaštitu djece žrtava </w:t>
      </w:r>
      <w:r w:rsidR="00DA2443" w:rsidRPr="0085657D">
        <w:rPr>
          <w:rFonts w:ascii="Arial" w:hAnsi="Arial" w:cs="Arial"/>
        </w:rPr>
        <w:t>u krivičnim postupcima</w:t>
      </w:r>
      <w:r w:rsidRPr="0085657D">
        <w:rPr>
          <w:rFonts w:ascii="Arial" w:hAnsi="Arial" w:cs="Arial"/>
        </w:rPr>
        <w:t>, koja će implementirati standarde pravosuđa po mjeri djeteta i prevenirati dalju viktimizaciju i traumatizaciju djece žrtava nasilja.</w:t>
      </w:r>
    </w:p>
    <w:p w14:paraId="329AAE9E" w14:textId="1491A82E" w:rsidR="00886693" w:rsidRPr="00096ED8" w:rsidRDefault="00985730" w:rsidP="00096ED8">
      <w:pPr>
        <w:pStyle w:val="Heading3"/>
        <w:rPr>
          <w:rFonts w:ascii="Arial" w:hAnsi="Arial" w:cs="Arial"/>
          <w:sz w:val="22"/>
        </w:rPr>
      </w:pPr>
      <w:bookmarkStart w:id="39" w:name="_Toc208489192"/>
      <w:r w:rsidRPr="001C6065">
        <w:rPr>
          <w:rFonts w:ascii="Arial" w:hAnsi="Arial" w:cs="Arial"/>
          <w:sz w:val="22"/>
        </w:rPr>
        <w:t>3.</w:t>
      </w:r>
      <w:r w:rsidR="00886693" w:rsidRPr="001C6065">
        <w:rPr>
          <w:rFonts w:ascii="Arial" w:hAnsi="Arial" w:cs="Arial"/>
          <w:sz w:val="22"/>
        </w:rPr>
        <w:t>6</w:t>
      </w:r>
      <w:r w:rsidRPr="001C6065">
        <w:rPr>
          <w:rFonts w:ascii="Arial" w:hAnsi="Arial" w:cs="Arial"/>
          <w:sz w:val="22"/>
        </w:rPr>
        <w:t>.</w:t>
      </w:r>
      <w:r w:rsidR="00A337D3" w:rsidRPr="001C6065">
        <w:rPr>
          <w:rFonts w:ascii="Arial" w:hAnsi="Arial" w:cs="Arial"/>
          <w:sz w:val="22"/>
        </w:rPr>
        <w:t>1</w:t>
      </w:r>
      <w:r w:rsidRPr="001C6065">
        <w:rPr>
          <w:rFonts w:ascii="Arial" w:hAnsi="Arial" w:cs="Arial"/>
          <w:sz w:val="22"/>
        </w:rPr>
        <w:t>.2. Djeca žrtve</w:t>
      </w:r>
      <w:bookmarkEnd w:id="39"/>
    </w:p>
    <w:p w14:paraId="450051D4" w14:textId="3EAF6879" w:rsidR="001D6E3F" w:rsidRPr="000D3389" w:rsidRDefault="00985730" w:rsidP="007D712E">
      <w:pPr>
        <w:spacing w:line="276" w:lineRule="auto"/>
        <w:rPr>
          <w:rFonts w:ascii="Arial" w:hAnsi="Arial" w:cs="Arial"/>
        </w:rPr>
      </w:pPr>
      <w:r w:rsidRPr="000D3389">
        <w:rPr>
          <w:rFonts w:ascii="Arial" w:hAnsi="Arial" w:cs="Arial"/>
        </w:rPr>
        <w:t>Životno doba, odnosno specifične razvojne karakteristike djece, čine ih naročito osjetljivim žrtvama. Ova činjenica prepoznata je u svim relevantnim</w:t>
      </w:r>
      <w:r w:rsidR="003D75FB" w:rsidRPr="000D3389">
        <w:rPr>
          <w:rFonts w:ascii="Arial" w:hAnsi="Arial" w:cs="Arial"/>
        </w:rPr>
        <w:t>, prvenstveno UN i CoE</w:t>
      </w:r>
      <w:r w:rsidRPr="000D3389">
        <w:rPr>
          <w:rFonts w:ascii="Arial" w:hAnsi="Arial" w:cs="Arial"/>
        </w:rPr>
        <w:t xml:space="preserve"> međunarodnim standardima, a značajni koraci da se ti standardi implementiraju u pravni sistem Crne Gore načinjeni već sa usvajanjem Zakona o postupanju prema maloljetnicima u krivičnom postupku</w:t>
      </w:r>
      <w:r w:rsidR="003D75FB" w:rsidRPr="000D3389">
        <w:rPr>
          <w:rFonts w:ascii="Arial" w:hAnsi="Arial" w:cs="Arial"/>
        </w:rPr>
        <w:t>, a detaljan pregled postojećih problema u njihov</w:t>
      </w:r>
      <w:r w:rsidR="000D3389" w:rsidRPr="000D3389">
        <w:rPr>
          <w:rFonts w:ascii="Arial" w:hAnsi="Arial" w:cs="Arial"/>
        </w:rPr>
        <w:t>o</w:t>
      </w:r>
      <w:r w:rsidR="003D75FB" w:rsidRPr="000D3389">
        <w:rPr>
          <w:rFonts w:ascii="Arial" w:hAnsi="Arial" w:cs="Arial"/>
        </w:rPr>
        <w:t>j implementaciji dat je u Strategiji prevencije i zaštite djece od nasilja 2024-2028.</w:t>
      </w:r>
    </w:p>
    <w:p w14:paraId="38501C90" w14:textId="77777777" w:rsidR="00AA1DDF" w:rsidRPr="000D3389" w:rsidRDefault="007544F2" w:rsidP="00D3277B">
      <w:pPr>
        <w:spacing w:after="240" w:line="269" w:lineRule="auto"/>
        <w:rPr>
          <w:rFonts w:ascii="Arial" w:hAnsi="Arial" w:cs="Arial"/>
        </w:rPr>
      </w:pPr>
      <w:r w:rsidRPr="000D3389">
        <w:rPr>
          <w:rFonts w:ascii="Arial" w:hAnsi="Arial" w:cs="Arial"/>
        </w:rPr>
        <w:t>U Crnoj Gori djeca su najčešće žrtve nasilja unutar porodice, iako je primjetan porast nasilja i izvan porodičnog okruženja, uključujući škole i online prostor. Podaci pokazuju da je 2021. godine 231 dijete bilo žrtva porodičnog nasilja, a 2022. godine 102 djece, dok je broj žrtava izvan porodice porastao sa 6 u 2021. na 114 u 2022. godini. Izvještaji ukazuju na kontinuiran i zabrinjavajući trend porasta porodičnog nasilja, sa povećanjem od 58% u periodu od 2013. do 2020. godine.</w:t>
      </w:r>
    </w:p>
    <w:p w14:paraId="7464A563" w14:textId="77777777" w:rsidR="00AA1DDF" w:rsidRPr="0085657D" w:rsidRDefault="00AA1DDF" w:rsidP="007D712E">
      <w:pPr>
        <w:spacing w:line="276" w:lineRule="auto"/>
        <w:rPr>
          <w:rFonts w:ascii="Arial" w:hAnsi="Arial" w:cs="Arial"/>
          <w:strike/>
        </w:rPr>
      </w:pPr>
    </w:p>
    <w:p w14:paraId="5429C871" w14:textId="77777777" w:rsidR="00BF532E" w:rsidRPr="0085657D" w:rsidRDefault="00BF532E" w:rsidP="007D712E">
      <w:pPr>
        <w:pStyle w:val="Caption"/>
        <w:spacing w:line="269" w:lineRule="auto"/>
        <w:jc w:val="center"/>
        <w:rPr>
          <w:rFonts w:ascii="Arial" w:hAnsi="Arial" w:cs="Arial"/>
          <w:b w:val="0"/>
          <w:bCs w:val="0"/>
          <w:szCs w:val="22"/>
          <w:lang w:val="sr-Latn-ME"/>
        </w:rPr>
      </w:pPr>
      <w:r w:rsidRPr="00127E33">
        <w:rPr>
          <w:rFonts w:ascii="Arial" w:hAnsi="Arial" w:cs="Arial"/>
          <w:b w:val="0"/>
          <w:bCs w:val="0"/>
          <w:szCs w:val="22"/>
        </w:rPr>
        <w:t>Grafikon</w:t>
      </w:r>
      <w:r w:rsidRPr="00127E33">
        <w:rPr>
          <w:rFonts w:ascii="Arial" w:hAnsi="Arial" w:cs="Arial"/>
          <w:b w:val="0"/>
          <w:bCs w:val="0"/>
          <w:szCs w:val="22"/>
          <w:lang w:val="sr-Latn-ME"/>
        </w:rPr>
        <w:t xml:space="preserve"> </w:t>
      </w:r>
      <w:r w:rsidRPr="00127E33">
        <w:rPr>
          <w:rFonts w:ascii="Arial" w:hAnsi="Arial" w:cs="Arial"/>
          <w:b w:val="0"/>
          <w:bCs w:val="0"/>
          <w:szCs w:val="22"/>
        </w:rPr>
        <w:fldChar w:fldCharType="begin"/>
      </w:r>
      <w:r w:rsidRPr="00127E33">
        <w:rPr>
          <w:rFonts w:ascii="Arial" w:hAnsi="Arial" w:cs="Arial"/>
          <w:b w:val="0"/>
          <w:bCs w:val="0"/>
          <w:szCs w:val="22"/>
          <w:lang w:val="sr-Latn-ME"/>
        </w:rPr>
        <w:instrText xml:space="preserve"> </w:instrText>
      </w:r>
      <w:r w:rsidRPr="00127E33">
        <w:rPr>
          <w:rFonts w:ascii="Arial" w:hAnsi="Arial" w:cs="Arial"/>
          <w:b w:val="0"/>
          <w:bCs w:val="0"/>
          <w:szCs w:val="22"/>
        </w:rPr>
        <w:instrText>SEQ</w:instrText>
      </w:r>
      <w:r w:rsidRPr="00127E33">
        <w:rPr>
          <w:rFonts w:ascii="Arial" w:hAnsi="Arial" w:cs="Arial"/>
          <w:b w:val="0"/>
          <w:bCs w:val="0"/>
          <w:szCs w:val="22"/>
          <w:lang w:val="sr-Latn-ME"/>
        </w:rPr>
        <w:instrText xml:space="preserve"> </w:instrText>
      </w:r>
      <w:r w:rsidRPr="00127E33">
        <w:rPr>
          <w:rFonts w:ascii="Arial" w:hAnsi="Arial" w:cs="Arial"/>
          <w:b w:val="0"/>
          <w:bCs w:val="0"/>
          <w:szCs w:val="22"/>
        </w:rPr>
        <w:instrText>Slika</w:instrText>
      </w:r>
      <w:r w:rsidRPr="00127E33">
        <w:rPr>
          <w:rFonts w:ascii="Arial" w:hAnsi="Arial" w:cs="Arial"/>
          <w:b w:val="0"/>
          <w:bCs w:val="0"/>
          <w:szCs w:val="22"/>
          <w:lang w:val="sr-Latn-ME"/>
        </w:rPr>
        <w:instrText xml:space="preserve"> \* </w:instrText>
      </w:r>
      <w:r w:rsidRPr="00127E33">
        <w:rPr>
          <w:rFonts w:ascii="Arial" w:hAnsi="Arial" w:cs="Arial"/>
          <w:b w:val="0"/>
          <w:bCs w:val="0"/>
          <w:szCs w:val="22"/>
        </w:rPr>
        <w:instrText>ARABIC</w:instrText>
      </w:r>
      <w:r w:rsidRPr="00127E33">
        <w:rPr>
          <w:rFonts w:ascii="Arial" w:hAnsi="Arial" w:cs="Arial"/>
          <w:b w:val="0"/>
          <w:bCs w:val="0"/>
          <w:szCs w:val="22"/>
          <w:lang w:val="sr-Latn-ME"/>
        </w:rPr>
        <w:instrText xml:space="preserve"> </w:instrText>
      </w:r>
      <w:r w:rsidRPr="00127E33">
        <w:rPr>
          <w:rFonts w:ascii="Arial" w:hAnsi="Arial" w:cs="Arial"/>
          <w:b w:val="0"/>
          <w:bCs w:val="0"/>
          <w:szCs w:val="22"/>
        </w:rPr>
        <w:fldChar w:fldCharType="separate"/>
      </w:r>
      <w:r w:rsidR="00490347" w:rsidRPr="00127E33">
        <w:rPr>
          <w:rFonts w:ascii="Arial" w:hAnsi="Arial" w:cs="Arial"/>
          <w:b w:val="0"/>
          <w:bCs w:val="0"/>
          <w:noProof/>
          <w:szCs w:val="22"/>
          <w:lang w:val="sr-Latn-ME"/>
        </w:rPr>
        <w:t>1</w:t>
      </w:r>
      <w:r w:rsidRPr="00127E33">
        <w:rPr>
          <w:rFonts w:ascii="Arial" w:hAnsi="Arial" w:cs="Arial"/>
          <w:b w:val="0"/>
          <w:bCs w:val="0"/>
          <w:szCs w:val="22"/>
        </w:rPr>
        <w:fldChar w:fldCharType="end"/>
      </w:r>
      <w:r w:rsidRPr="00127E33">
        <w:rPr>
          <w:rFonts w:ascii="Arial" w:hAnsi="Arial" w:cs="Arial"/>
          <w:b w:val="0"/>
          <w:bCs w:val="0"/>
          <w:szCs w:val="22"/>
          <w:lang w:val="sr-Latn-ME"/>
        </w:rPr>
        <w:t>: Najčešća</w:t>
      </w:r>
      <w:r w:rsidRPr="0085657D">
        <w:rPr>
          <w:rFonts w:ascii="Arial" w:hAnsi="Arial" w:cs="Arial"/>
          <w:b w:val="0"/>
          <w:bCs w:val="0"/>
          <w:szCs w:val="22"/>
          <w:lang w:val="sr-Latn-ME"/>
        </w:rPr>
        <w:t xml:space="preserve"> krivična djela na štetu djece</w:t>
      </w:r>
    </w:p>
    <w:p w14:paraId="056EB4C8" w14:textId="32EDA7D5" w:rsidR="00BF532E" w:rsidRPr="00096ED8" w:rsidRDefault="00BF532E" w:rsidP="00096ED8">
      <w:pPr>
        <w:pStyle w:val="Pa8"/>
        <w:spacing w:after="200" w:line="269" w:lineRule="auto"/>
        <w:jc w:val="both"/>
        <w:rPr>
          <w:rFonts w:ascii="Arial" w:hAnsi="Arial" w:cs="Arial"/>
          <w:bCs/>
          <w:sz w:val="22"/>
          <w:szCs w:val="22"/>
          <w:lang w:val="sr-Latn-ME"/>
        </w:rPr>
      </w:pPr>
      <w:r w:rsidRPr="0085657D">
        <w:rPr>
          <w:rFonts w:ascii="Arial" w:hAnsi="Arial" w:cs="Arial"/>
          <w:bCs/>
          <w:noProof/>
          <w:sz w:val="22"/>
          <w:szCs w:val="22"/>
          <w:lang w:val="en-US"/>
        </w:rPr>
        <w:drawing>
          <wp:inline distT="0" distB="0" distL="0" distR="0" wp14:anchorId="59308261" wp14:editId="3506A791">
            <wp:extent cx="5486400" cy="1993186"/>
            <wp:effectExtent l="0" t="0" r="127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1A0AE4" w14:textId="624C55EB" w:rsidR="00F3323E" w:rsidRDefault="00F3323E" w:rsidP="00F3323E">
      <w:pPr>
        <w:spacing w:after="240" w:line="269" w:lineRule="auto"/>
        <w:rPr>
          <w:rFonts w:ascii="Arial" w:hAnsi="Arial" w:cs="Arial"/>
        </w:rPr>
      </w:pPr>
      <w:r w:rsidRPr="0085657D">
        <w:rPr>
          <w:rFonts w:ascii="Arial" w:hAnsi="Arial" w:cs="Arial"/>
        </w:rPr>
        <w:t>Ovi prepoznati problemi imaju negativne efekte po djecu, roditelje, zajednicu i društvo u cjelini, uz porast smrtnosti djece, dugoročne medicinske probleme i zloupotrebu supstanci, opadanje nivoa obrazovanja i smanjenu produktivnost buduće radno sposobne populacije, povećano siromaštvo i ponavljanje ciklusa nasilja.</w:t>
      </w:r>
      <w:r w:rsidRPr="0085657D">
        <w:rPr>
          <w:rStyle w:val="FootnoteReference"/>
          <w:rFonts w:ascii="Arial" w:hAnsi="Arial" w:cs="Arial"/>
        </w:rPr>
        <w:footnoteReference w:id="50"/>
      </w:r>
    </w:p>
    <w:p w14:paraId="2588F369" w14:textId="31AC61C1" w:rsidR="00096ED8" w:rsidRDefault="00096ED8" w:rsidP="00F3323E">
      <w:pPr>
        <w:spacing w:after="240" w:line="269" w:lineRule="auto"/>
        <w:rPr>
          <w:rFonts w:ascii="Arial" w:hAnsi="Arial" w:cs="Arial"/>
        </w:rPr>
      </w:pPr>
    </w:p>
    <w:p w14:paraId="3D2EEAC0" w14:textId="77777777" w:rsidR="009406F6" w:rsidRDefault="009406F6" w:rsidP="00F3323E">
      <w:pPr>
        <w:spacing w:after="240" w:line="269" w:lineRule="auto"/>
        <w:rPr>
          <w:rFonts w:ascii="Arial" w:hAnsi="Arial" w:cs="Arial"/>
        </w:rPr>
      </w:pPr>
    </w:p>
    <w:p w14:paraId="0E2046D8" w14:textId="77777777" w:rsidR="00DA03C1" w:rsidRPr="0085657D" w:rsidRDefault="00DA03C1" w:rsidP="00F3323E">
      <w:pPr>
        <w:spacing w:after="240" w:line="269" w:lineRule="auto"/>
        <w:rPr>
          <w:rFonts w:ascii="Arial" w:hAnsi="Arial" w:cs="Arial"/>
        </w:rPr>
      </w:pPr>
    </w:p>
    <w:p w14:paraId="19208314" w14:textId="5619501D" w:rsidR="00847D7B" w:rsidRPr="0085657D" w:rsidRDefault="00AA0219" w:rsidP="00E61AAC">
      <w:pPr>
        <w:spacing w:line="269" w:lineRule="auto"/>
        <w:rPr>
          <w:rFonts w:ascii="Arial" w:hAnsi="Arial" w:cs="Arial"/>
        </w:rPr>
      </w:pPr>
      <w:r w:rsidRPr="0085657D">
        <w:rPr>
          <w:rFonts w:ascii="Arial" w:hAnsi="Arial" w:cs="Arial"/>
        </w:rPr>
        <w:lastRenderedPageBreak/>
        <w:t>GREVIO Izv</w:t>
      </w:r>
      <w:r w:rsidR="00096ED8">
        <w:rPr>
          <w:rFonts w:ascii="Arial" w:hAnsi="Arial" w:cs="Arial"/>
        </w:rPr>
        <w:t>j</w:t>
      </w:r>
      <w:r w:rsidRPr="0085657D">
        <w:rPr>
          <w:rFonts w:ascii="Arial" w:hAnsi="Arial" w:cs="Arial"/>
        </w:rPr>
        <w:t xml:space="preserve">eštaj za </w:t>
      </w:r>
      <w:r w:rsidRPr="00127E33">
        <w:rPr>
          <w:rFonts w:ascii="Arial" w:hAnsi="Arial" w:cs="Arial"/>
        </w:rPr>
        <w:t>Crnu Goru za 2018.</w:t>
      </w:r>
      <w:r w:rsidRPr="0085657D">
        <w:rPr>
          <w:rFonts w:ascii="Arial" w:hAnsi="Arial" w:cs="Arial"/>
        </w:rPr>
        <w:t xml:space="preserve"> godinu napominje da je zaštita djece u sistemu pravosuđa neadekvatna jer se čini da veliki broj profesionalaca nije svjestan dinamike nasilja u porodici i uticaja koji svjedočenje takvog nasilja može imati na djecu, sa fokusom uglavnom na zaštitu porodične zajednice. Stoga </w:t>
      </w:r>
      <w:r w:rsidR="00E61AAC" w:rsidRPr="0085657D">
        <w:rPr>
          <w:rFonts w:ascii="Arial" w:hAnsi="Arial" w:cs="Arial"/>
        </w:rPr>
        <w:t>GREVIO</w:t>
      </w:r>
      <w:r w:rsidRPr="0085657D">
        <w:rPr>
          <w:rFonts w:ascii="Arial" w:hAnsi="Arial" w:cs="Arial"/>
        </w:rPr>
        <w:t xml:space="preserve"> </w:t>
      </w:r>
      <w:r w:rsidR="00E61AAC" w:rsidRPr="0085657D">
        <w:rPr>
          <w:rFonts w:ascii="Arial" w:hAnsi="Arial" w:cs="Arial"/>
        </w:rPr>
        <w:t>primjećuje</w:t>
      </w:r>
      <w:r w:rsidRPr="0085657D">
        <w:rPr>
          <w:rFonts w:ascii="Arial" w:hAnsi="Arial" w:cs="Arial"/>
        </w:rPr>
        <w:t xml:space="preserve"> da postoji potreba da se pojačaju mjere kako bi se obezbijedio širi nivo svijesti o štetnim posljedicama svjedočenja nasilja u porodici na djecu i da se obezbijede adekvatna sredstva za zaštitu djece unutar pravosudnog sistema, te razvi</w:t>
      </w:r>
      <w:r w:rsidR="000D3389">
        <w:rPr>
          <w:rFonts w:ascii="Arial" w:hAnsi="Arial" w:cs="Arial"/>
        </w:rPr>
        <w:t xml:space="preserve">ju </w:t>
      </w:r>
      <w:r w:rsidRPr="0085657D">
        <w:rPr>
          <w:rFonts w:ascii="Arial" w:hAnsi="Arial" w:cs="Arial"/>
        </w:rPr>
        <w:t>posebni programi za psiho-socijalno savjetovanje za ovu djecu.</w:t>
      </w:r>
      <w:r w:rsidRPr="0085657D">
        <w:rPr>
          <w:rStyle w:val="FootnoteReference"/>
          <w:rFonts w:ascii="Arial" w:hAnsi="Arial" w:cs="Arial"/>
        </w:rPr>
        <w:footnoteReference w:id="51"/>
      </w:r>
      <w:r w:rsidRPr="0085657D">
        <w:rPr>
          <w:rFonts w:ascii="Arial" w:hAnsi="Arial" w:cs="Arial"/>
        </w:rPr>
        <w:t xml:space="preserve"> </w:t>
      </w:r>
    </w:p>
    <w:p w14:paraId="13E0DB8C" w14:textId="77777777" w:rsidR="00074D8F" w:rsidRPr="00074D8F" w:rsidRDefault="00074D8F" w:rsidP="00074D8F">
      <w:pPr>
        <w:spacing w:line="269" w:lineRule="auto"/>
        <w:rPr>
          <w:rFonts w:ascii="Arial" w:hAnsi="Arial" w:cs="Arial"/>
          <w:lang w:val="en-GB"/>
        </w:rPr>
      </w:pPr>
      <w:r w:rsidRPr="00074D8F">
        <w:rPr>
          <w:rFonts w:ascii="Arial" w:hAnsi="Arial" w:cs="Arial"/>
          <w:lang w:val="en-GB"/>
        </w:rPr>
        <w:t xml:space="preserve">The Lanzarote Committee has invited Montenegro to establish, when appropriate, specialised units, services, or persons within the courts in charge of dealing with ICT facilitated sexual offences against children (Recommendation III-8), and has required Montenegro to take measures to enable units or investigative services to identify the victims of the offences established in accordance with Article 20 of the Convention, in particular by analysing [Child Sexual Abuse Material] (Recommendation III-22). </w:t>
      </w:r>
    </w:p>
    <w:p w14:paraId="0F515D3A" w14:textId="1B609D96" w:rsidR="00FC4AFE" w:rsidRPr="0085657D" w:rsidRDefault="00FC4AFE" w:rsidP="00E61AAC">
      <w:pPr>
        <w:spacing w:line="269" w:lineRule="auto"/>
        <w:rPr>
          <w:rFonts w:ascii="Arial" w:hAnsi="Arial" w:cs="Arial"/>
        </w:rPr>
      </w:pPr>
      <w:r w:rsidRPr="0085657D">
        <w:rPr>
          <w:rFonts w:ascii="Arial" w:hAnsi="Arial" w:cs="Arial"/>
        </w:rPr>
        <w:t>Analiza usklađenosti kaznenog zakonodavstva Crne Gore sa relevantnim međunarodnim standardima u oblasti pravde po mjeri djeteta izrađena</w:t>
      </w:r>
      <w:r w:rsidR="000D3389">
        <w:rPr>
          <w:rFonts w:ascii="Arial" w:hAnsi="Arial" w:cs="Arial"/>
        </w:rPr>
        <w:t xml:space="preserve"> je</w:t>
      </w:r>
      <w:r w:rsidRPr="0085657D">
        <w:rPr>
          <w:rFonts w:ascii="Arial" w:hAnsi="Arial" w:cs="Arial"/>
        </w:rPr>
        <w:t xml:space="preserve"> 2020. godine uz podršku UNICEF-a</w:t>
      </w:r>
      <w:r w:rsidRPr="0085657D">
        <w:rPr>
          <w:rStyle w:val="FootnoteReference"/>
          <w:rFonts w:ascii="Arial" w:hAnsi="Arial" w:cs="Arial"/>
        </w:rPr>
        <w:footnoteReference w:id="52"/>
      </w:r>
      <w:r w:rsidRPr="0085657D">
        <w:rPr>
          <w:rFonts w:ascii="Arial" w:hAnsi="Arial" w:cs="Arial"/>
        </w:rPr>
        <w:t xml:space="preserve"> pokazala je potrebu za izmjenom kako materijalnog, tako i procesnog zakonodavstva u brojnim segmentima. Nakon izrade ove analize</w:t>
      </w:r>
      <w:r w:rsidR="00A1729C" w:rsidRPr="0085657D">
        <w:rPr>
          <w:rFonts w:ascii="Arial" w:hAnsi="Arial" w:cs="Arial"/>
        </w:rPr>
        <w:t>, a u pokušaju da se, i prije izmjene zakona, poboljša situacija u praksi izrađen je, uz podršku UNICEF-a, niz dokumenata za profesionalce kao što su:</w:t>
      </w:r>
    </w:p>
    <w:p w14:paraId="3F724513" w14:textId="77777777" w:rsidR="00A1729C" w:rsidRPr="0085657D" w:rsidRDefault="00FC4AFE" w:rsidP="00FC4AFE">
      <w:pPr>
        <w:pStyle w:val="ListParagraph"/>
        <w:numPr>
          <w:ilvl w:val="0"/>
          <w:numId w:val="24"/>
        </w:numPr>
        <w:spacing w:line="269" w:lineRule="auto"/>
        <w:rPr>
          <w:rFonts w:ascii="Arial" w:hAnsi="Arial" w:cs="Arial"/>
        </w:rPr>
      </w:pPr>
      <w:r w:rsidRPr="0085657D">
        <w:rPr>
          <w:rFonts w:ascii="Arial" w:hAnsi="Arial" w:cs="Arial"/>
          <w:lang w:val="it-IT"/>
        </w:rPr>
        <w:t>Smjernice</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rad</w:t>
      </w:r>
      <w:r w:rsidRPr="0085657D">
        <w:rPr>
          <w:rFonts w:ascii="Arial" w:hAnsi="Arial" w:cs="Arial"/>
        </w:rPr>
        <w:t xml:space="preserve"> </w:t>
      </w:r>
      <w:r w:rsidRPr="0085657D">
        <w:rPr>
          <w:rFonts w:ascii="Arial" w:hAnsi="Arial" w:cs="Arial"/>
          <w:lang w:val="it-IT"/>
        </w:rPr>
        <w:t>stru</w:t>
      </w:r>
      <w:r w:rsidRPr="0085657D">
        <w:rPr>
          <w:rFonts w:ascii="Arial" w:hAnsi="Arial" w:cs="Arial"/>
        </w:rPr>
        <w:t>č</w:t>
      </w:r>
      <w:r w:rsidRPr="0085657D">
        <w:rPr>
          <w:rFonts w:ascii="Arial" w:hAnsi="Arial" w:cs="Arial"/>
          <w:lang w:val="it-IT"/>
        </w:rPr>
        <w:t>ne</w:t>
      </w:r>
      <w:r w:rsidRPr="0085657D">
        <w:rPr>
          <w:rFonts w:ascii="Arial" w:hAnsi="Arial" w:cs="Arial"/>
        </w:rPr>
        <w:t xml:space="preserve"> </w:t>
      </w:r>
      <w:r w:rsidRPr="0085657D">
        <w:rPr>
          <w:rFonts w:ascii="Arial" w:hAnsi="Arial" w:cs="Arial"/>
          <w:lang w:val="it-IT"/>
        </w:rPr>
        <w:t>slu</w:t>
      </w:r>
      <w:r w:rsidRPr="0085657D">
        <w:rPr>
          <w:rFonts w:ascii="Arial" w:hAnsi="Arial" w:cs="Arial"/>
        </w:rPr>
        <w:t>ž</w:t>
      </w:r>
      <w:r w:rsidRPr="0085657D">
        <w:rPr>
          <w:rFonts w:ascii="Arial" w:hAnsi="Arial" w:cs="Arial"/>
          <w:lang w:val="it-IT"/>
        </w:rPr>
        <w:t>be</w:t>
      </w:r>
      <w:r w:rsidRPr="0085657D">
        <w:rPr>
          <w:rFonts w:ascii="Arial" w:hAnsi="Arial" w:cs="Arial"/>
        </w:rPr>
        <w:t xml:space="preserve"> </w:t>
      </w:r>
      <w:r w:rsidRPr="0085657D">
        <w:rPr>
          <w:rFonts w:ascii="Arial" w:hAnsi="Arial" w:cs="Arial"/>
          <w:lang w:val="it-IT"/>
        </w:rPr>
        <w:t>s</w:t>
      </w:r>
      <w:r w:rsidRPr="0085657D">
        <w:rPr>
          <w:rFonts w:ascii="Arial" w:hAnsi="Arial" w:cs="Arial"/>
        </w:rPr>
        <w:t xml:space="preserve"> </w:t>
      </w:r>
      <w:r w:rsidRPr="0085657D">
        <w:rPr>
          <w:rFonts w:ascii="Arial" w:hAnsi="Arial" w:cs="Arial"/>
          <w:lang w:val="it-IT"/>
        </w:rPr>
        <w:t>djecom</w:t>
      </w:r>
      <w:r w:rsidRPr="0085657D">
        <w:rPr>
          <w:rFonts w:ascii="Arial" w:hAnsi="Arial" w:cs="Arial"/>
        </w:rPr>
        <w:t xml:space="preserve">, </w:t>
      </w:r>
      <w:r w:rsidRPr="0085657D">
        <w:rPr>
          <w:rFonts w:ascii="Arial" w:hAnsi="Arial" w:cs="Arial"/>
          <w:lang w:val="it-IT"/>
        </w:rPr>
        <w:t>maloljetnim</w:t>
      </w:r>
      <w:r w:rsidRPr="0085657D">
        <w:rPr>
          <w:rFonts w:ascii="Arial" w:hAnsi="Arial" w:cs="Arial"/>
        </w:rPr>
        <w:t xml:space="preserve"> </w:t>
      </w:r>
      <w:r w:rsidRPr="0085657D">
        <w:rPr>
          <w:rFonts w:ascii="Arial" w:hAnsi="Arial" w:cs="Arial"/>
          <w:lang w:val="it-IT"/>
        </w:rPr>
        <w:t>u</w:t>
      </w:r>
      <w:r w:rsidRPr="0085657D">
        <w:rPr>
          <w:rFonts w:ascii="Arial" w:hAnsi="Arial" w:cs="Arial"/>
        </w:rPr>
        <w:t>č</w:t>
      </w:r>
      <w:r w:rsidRPr="0085657D">
        <w:rPr>
          <w:rFonts w:ascii="Arial" w:hAnsi="Arial" w:cs="Arial"/>
          <w:lang w:val="it-IT"/>
        </w:rPr>
        <w:t>iniocima</w:t>
      </w:r>
      <w:r w:rsidRPr="0085657D">
        <w:rPr>
          <w:rFonts w:ascii="Arial" w:hAnsi="Arial" w:cs="Arial"/>
        </w:rPr>
        <w:t>, ž</w:t>
      </w:r>
      <w:r w:rsidRPr="0085657D">
        <w:rPr>
          <w:rFonts w:ascii="Arial" w:hAnsi="Arial" w:cs="Arial"/>
          <w:lang w:val="it-IT"/>
        </w:rPr>
        <w:t>rtvama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svjedocima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krivi</w:t>
      </w:r>
      <w:r w:rsidRPr="0085657D">
        <w:rPr>
          <w:rFonts w:ascii="Arial" w:hAnsi="Arial" w:cs="Arial"/>
        </w:rPr>
        <w:t>č</w:t>
      </w:r>
      <w:r w:rsidRPr="0085657D">
        <w:rPr>
          <w:rFonts w:ascii="Arial" w:hAnsi="Arial" w:cs="Arial"/>
          <w:lang w:val="it-IT"/>
        </w:rPr>
        <w:t>nom</w:t>
      </w:r>
      <w:r w:rsidRPr="0085657D">
        <w:rPr>
          <w:rFonts w:ascii="Arial" w:hAnsi="Arial" w:cs="Arial"/>
        </w:rPr>
        <w:t xml:space="preserve"> </w:t>
      </w:r>
      <w:r w:rsidRPr="0085657D">
        <w:rPr>
          <w:rFonts w:ascii="Arial" w:hAnsi="Arial" w:cs="Arial"/>
          <w:lang w:val="it-IT"/>
        </w:rPr>
        <w:t>postupku</w:t>
      </w:r>
      <w:r w:rsidR="00A1729C" w:rsidRPr="0085657D">
        <w:rPr>
          <w:rStyle w:val="FootnoteReference"/>
          <w:rFonts w:ascii="Arial" w:hAnsi="Arial" w:cs="Arial"/>
          <w:lang w:val="it-IT"/>
        </w:rPr>
        <w:footnoteReference w:id="53"/>
      </w:r>
    </w:p>
    <w:p w14:paraId="1DD0BCED" w14:textId="0109CBD5" w:rsidR="00A1729C" w:rsidRPr="0085657D" w:rsidRDefault="00FC4AFE" w:rsidP="00FC4AFE">
      <w:pPr>
        <w:pStyle w:val="ListParagraph"/>
        <w:numPr>
          <w:ilvl w:val="0"/>
          <w:numId w:val="24"/>
        </w:numPr>
        <w:spacing w:line="269" w:lineRule="auto"/>
        <w:rPr>
          <w:rFonts w:ascii="Arial" w:hAnsi="Arial" w:cs="Arial"/>
        </w:rPr>
      </w:pPr>
      <w:r w:rsidRPr="0085657D">
        <w:rPr>
          <w:rFonts w:ascii="Arial" w:hAnsi="Arial" w:cs="Arial"/>
          <w:lang w:val="it-IT"/>
        </w:rPr>
        <w:t>Vodi</w:t>
      </w:r>
      <w:r w:rsidRPr="0085657D">
        <w:rPr>
          <w:rFonts w:ascii="Arial" w:hAnsi="Arial" w:cs="Arial"/>
        </w:rPr>
        <w:t xml:space="preserve">č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djecu</w:t>
      </w:r>
      <w:r w:rsidRPr="0085657D">
        <w:rPr>
          <w:rFonts w:ascii="Arial" w:hAnsi="Arial" w:cs="Arial"/>
        </w:rPr>
        <w:t xml:space="preserve"> </w:t>
      </w:r>
      <w:r w:rsidRPr="0085657D">
        <w:rPr>
          <w:rFonts w:ascii="Arial" w:hAnsi="Arial" w:cs="Arial"/>
          <w:lang w:val="it-IT"/>
        </w:rPr>
        <w:t>svjedoke</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tvu</w:t>
      </w:r>
      <w:r w:rsidR="00A1729C" w:rsidRPr="0085657D">
        <w:rPr>
          <w:rStyle w:val="FootnoteReference"/>
          <w:rFonts w:ascii="Arial" w:hAnsi="Arial" w:cs="Arial"/>
          <w:lang w:val="it-IT"/>
        </w:rPr>
        <w:footnoteReference w:id="54"/>
      </w:r>
    </w:p>
    <w:p w14:paraId="6BEC8D76" w14:textId="77777777" w:rsidR="00A1729C" w:rsidRPr="0085657D" w:rsidRDefault="00FC4AFE" w:rsidP="00FC4AFE">
      <w:pPr>
        <w:pStyle w:val="ListParagraph"/>
        <w:numPr>
          <w:ilvl w:val="0"/>
          <w:numId w:val="24"/>
        </w:numPr>
        <w:spacing w:line="269" w:lineRule="auto"/>
        <w:rPr>
          <w:rFonts w:ascii="Arial" w:hAnsi="Arial" w:cs="Arial"/>
        </w:rPr>
      </w:pPr>
      <w:r w:rsidRPr="0085657D">
        <w:rPr>
          <w:rFonts w:ascii="Arial" w:hAnsi="Arial" w:cs="Arial"/>
          <w:lang w:val="it-IT"/>
        </w:rPr>
        <w:t>Vodi</w:t>
      </w:r>
      <w:r w:rsidRPr="0085657D">
        <w:rPr>
          <w:rFonts w:ascii="Arial" w:hAnsi="Arial" w:cs="Arial"/>
        </w:rPr>
        <w:t xml:space="preserve">č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djecu</w:t>
      </w:r>
      <w:r w:rsidRPr="0085657D">
        <w:rPr>
          <w:rFonts w:ascii="Arial" w:hAnsi="Arial" w:cs="Arial"/>
        </w:rPr>
        <w:t xml:space="preserve"> </w:t>
      </w:r>
      <w:r w:rsidRPr="0085657D">
        <w:rPr>
          <w:rFonts w:ascii="Arial" w:hAnsi="Arial" w:cs="Arial"/>
          <w:lang w:val="it-IT"/>
        </w:rPr>
        <w:t>svjedoke</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sudu</w:t>
      </w:r>
      <w:r w:rsidRPr="0085657D">
        <w:rPr>
          <w:rFonts w:ascii="Arial" w:hAnsi="Arial" w:cs="Arial"/>
        </w:rPr>
        <w:t xml:space="preserve"> </w:t>
      </w:r>
      <w:r w:rsidR="00A1729C" w:rsidRPr="0085657D">
        <w:rPr>
          <w:rStyle w:val="FootnoteReference"/>
          <w:rFonts w:ascii="Arial" w:hAnsi="Arial" w:cs="Arial"/>
        </w:rPr>
        <w:footnoteReference w:id="55"/>
      </w:r>
    </w:p>
    <w:p w14:paraId="6CFBDF00" w14:textId="77777777" w:rsidR="00FC4AFE" w:rsidRPr="0085657D" w:rsidRDefault="00FC4AFE" w:rsidP="007D712E">
      <w:pPr>
        <w:pStyle w:val="ListParagraph"/>
        <w:numPr>
          <w:ilvl w:val="0"/>
          <w:numId w:val="24"/>
        </w:numPr>
        <w:spacing w:line="269" w:lineRule="auto"/>
        <w:rPr>
          <w:rFonts w:ascii="Arial" w:hAnsi="Arial" w:cs="Arial"/>
        </w:rPr>
      </w:pPr>
      <w:r w:rsidRPr="0085657D">
        <w:rPr>
          <w:rFonts w:ascii="Arial" w:hAnsi="Arial" w:cs="Arial"/>
          <w:lang w:val="it-IT"/>
        </w:rPr>
        <w:t>Vodi</w:t>
      </w:r>
      <w:r w:rsidRPr="0085657D">
        <w:rPr>
          <w:rFonts w:ascii="Arial" w:hAnsi="Arial" w:cs="Arial"/>
        </w:rPr>
        <w:t xml:space="preserve">č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roditelje</w:t>
      </w:r>
      <w:r w:rsidRPr="0085657D">
        <w:rPr>
          <w:rFonts w:ascii="Arial" w:hAnsi="Arial" w:cs="Arial"/>
        </w:rPr>
        <w:t xml:space="preserve"> </w:t>
      </w:r>
      <w:r w:rsidRPr="0085657D">
        <w:rPr>
          <w:rFonts w:ascii="Arial" w:hAnsi="Arial" w:cs="Arial"/>
          <w:lang w:val="it-IT"/>
        </w:rPr>
        <w:t>djece</w:t>
      </w:r>
      <w:r w:rsidRPr="0085657D">
        <w:rPr>
          <w:rFonts w:ascii="Arial" w:hAnsi="Arial" w:cs="Arial"/>
        </w:rPr>
        <w:t xml:space="preserve"> </w:t>
      </w:r>
      <w:r w:rsidRPr="0085657D">
        <w:rPr>
          <w:rFonts w:ascii="Arial" w:hAnsi="Arial" w:cs="Arial"/>
          <w:lang w:val="it-IT"/>
        </w:rPr>
        <w:t>svjedoka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krivi</w:t>
      </w:r>
      <w:r w:rsidRPr="0085657D">
        <w:rPr>
          <w:rFonts w:ascii="Arial" w:hAnsi="Arial" w:cs="Arial"/>
        </w:rPr>
        <w:t>č</w:t>
      </w:r>
      <w:r w:rsidRPr="0085657D">
        <w:rPr>
          <w:rFonts w:ascii="Arial" w:hAnsi="Arial" w:cs="Arial"/>
          <w:lang w:val="it-IT"/>
        </w:rPr>
        <w:t>nom</w:t>
      </w:r>
      <w:r w:rsidRPr="0085657D">
        <w:rPr>
          <w:rFonts w:ascii="Arial" w:hAnsi="Arial" w:cs="Arial"/>
        </w:rPr>
        <w:t xml:space="preserve"> </w:t>
      </w:r>
      <w:r w:rsidRPr="0085657D">
        <w:rPr>
          <w:rFonts w:ascii="Arial" w:hAnsi="Arial" w:cs="Arial"/>
          <w:lang w:val="it-IT"/>
        </w:rPr>
        <w:t>postupku</w:t>
      </w:r>
      <w:r w:rsidRPr="0085657D">
        <w:rPr>
          <w:rFonts w:ascii="Arial" w:hAnsi="Arial" w:cs="Arial"/>
        </w:rPr>
        <w:t xml:space="preserve"> </w:t>
      </w:r>
    </w:p>
    <w:p w14:paraId="15A6FC03" w14:textId="2B5BEFC3" w:rsidR="00FC4AFE" w:rsidRPr="0085657D" w:rsidRDefault="00A1729C" w:rsidP="00E61AAC">
      <w:pPr>
        <w:spacing w:line="269" w:lineRule="auto"/>
        <w:rPr>
          <w:rFonts w:ascii="Arial" w:hAnsi="Arial" w:cs="Arial"/>
        </w:rPr>
      </w:pPr>
      <w:r w:rsidRPr="0085657D">
        <w:rPr>
          <w:rFonts w:ascii="Arial" w:hAnsi="Arial" w:cs="Arial"/>
        </w:rPr>
        <w:t xml:space="preserve">Trenutno je </w:t>
      </w:r>
      <w:r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izradi</w:t>
      </w:r>
      <w:r w:rsidRPr="0085657D">
        <w:rPr>
          <w:rFonts w:ascii="Arial" w:hAnsi="Arial" w:cs="Arial"/>
        </w:rPr>
        <w:t xml:space="preserve"> </w:t>
      </w:r>
      <w:r w:rsidR="00FC4AFE" w:rsidRPr="0085657D">
        <w:rPr>
          <w:rFonts w:ascii="Arial" w:hAnsi="Arial" w:cs="Arial"/>
          <w:lang w:val="it-IT"/>
        </w:rPr>
        <w:t>obavezuju</w:t>
      </w:r>
      <w:r w:rsidR="00FC4AFE" w:rsidRPr="0085657D">
        <w:rPr>
          <w:rFonts w:ascii="Arial" w:hAnsi="Arial" w:cs="Arial"/>
        </w:rPr>
        <w:t>ć</w:t>
      </w:r>
      <w:r w:rsidR="00FC4AFE" w:rsidRPr="0085657D">
        <w:rPr>
          <w:rFonts w:ascii="Arial" w:hAnsi="Arial" w:cs="Arial"/>
          <w:lang w:val="it-IT"/>
        </w:rPr>
        <w:t>e</w:t>
      </w:r>
      <w:r w:rsidR="00FC4AFE" w:rsidRPr="0085657D">
        <w:rPr>
          <w:rFonts w:ascii="Arial" w:hAnsi="Arial" w:cs="Arial"/>
        </w:rPr>
        <w:t xml:space="preserve"> </w:t>
      </w:r>
      <w:r w:rsidR="00FC4AFE" w:rsidRPr="0085657D">
        <w:rPr>
          <w:rFonts w:ascii="Arial" w:hAnsi="Arial" w:cs="Arial"/>
          <w:lang w:val="it-IT"/>
        </w:rPr>
        <w:t>Uputs</w:t>
      </w:r>
      <w:r w:rsidR="000D3389">
        <w:rPr>
          <w:rFonts w:ascii="Arial" w:hAnsi="Arial" w:cs="Arial"/>
          <w:lang w:val="it-IT"/>
        </w:rPr>
        <w:t>t</w:t>
      </w:r>
      <w:r w:rsidR="00FC4AFE" w:rsidRPr="0085657D">
        <w:rPr>
          <w:rFonts w:ascii="Arial" w:hAnsi="Arial" w:cs="Arial"/>
          <w:lang w:val="it-IT"/>
        </w:rPr>
        <w:t>vo</w:t>
      </w:r>
      <w:r w:rsidR="00FC4AFE" w:rsidRPr="0085657D">
        <w:rPr>
          <w:rFonts w:ascii="Arial" w:hAnsi="Arial" w:cs="Arial"/>
        </w:rPr>
        <w:t xml:space="preserve"> </w:t>
      </w:r>
      <w:r w:rsidR="00FC4AFE" w:rsidRPr="0085657D">
        <w:rPr>
          <w:rFonts w:ascii="Arial" w:hAnsi="Arial" w:cs="Arial"/>
          <w:lang w:val="it-IT"/>
        </w:rPr>
        <w:t>za</w:t>
      </w:r>
      <w:r w:rsidR="00FC4AFE" w:rsidRPr="0085657D">
        <w:rPr>
          <w:rFonts w:ascii="Arial" w:hAnsi="Arial" w:cs="Arial"/>
        </w:rPr>
        <w:t xml:space="preserve"> </w:t>
      </w:r>
      <w:r w:rsidR="00FC4AFE" w:rsidRPr="0085657D">
        <w:rPr>
          <w:rFonts w:ascii="Arial" w:hAnsi="Arial" w:cs="Arial"/>
          <w:lang w:val="it-IT"/>
        </w:rPr>
        <w:t>postupanje</w:t>
      </w:r>
      <w:r w:rsidR="00FC4AFE" w:rsidRPr="0085657D">
        <w:rPr>
          <w:rFonts w:ascii="Arial" w:hAnsi="Arial" w:cs="Arial"/>
        </w:rPr>
        <w:t xml:space="preserve"> </w:t>
      </w:r>
      <w:r w:rsidR="00FC4AFE" w:rsidRPr="0085657D">
        <w:rPr>
          <w:rFonts w:ascii="Arial" w:hAnsi="Arial" w:cs="Arial"/>
          <w:lang w:val="it-IT"/>
        </w:rPr>
        <w:t>dr</w:t>
      </w:r>
      <w:r w:rsidR="00FC4AFE" w:rsidRPr="0085657D">
        <w:rPr>
          <w:rFonts w:ascii="Arial" w:hAnsi="Arial" w:cs="Arial"/>
        </w:rPr>
        <w:t>ž</w:t>
      </w:r>
      <w:r w:rsidR="00FC4AFE" w:rsidRPr="0085657D">
        <w:rPr>
          <w:rFonts w:ascii="Arial" w:hAnsi="Arial" w:cs="Arial"/>
          <w:lang w:val="it-IT"/>
        </w:rPr>
        <w:t>avnih</w:t>
      </w:r>
      <w:r w:rsidR="00FC4AFE" w:rsidRPr="0085657D">
        <w:rPr>
          <w:rFonts w:ascii="Arial" w:hAnsi="Arial" w:cs="Arial"/>
        </w:rPr>
        <w:t xml:space="preserve"> </w:t>
      </w:r>
      <w:r w:rsidR="00FC4AFE" w:rsidRPr="0085657D">
        <w:rPr>
          <w:rFonts w:ascii="Arial" w:hAnsi="Arial" w:cs="Arial"/>
          <w:lang w:val="it-IT"/>
        </w:rPr>
        <w:t>tu</w:t>
      </w:r>
      <w:r w:rsidR="00FC4AFE" w:rsidRPr="0085657D">
        <w:rPr>
          <w:rFonts w:ascii="Arial" w:hAnsi="Arial" w:cs="Arial"/>
        </w:rPr>
        <w:t>ž</w:t>
      </w:r>
      <w:r w:rsidR="00FC4AFE" w:rsidRPr="0085657D">
        <w:rPr>
          <w:rFonts w:ascii="Arial" w:hAnsi="Arial" w:cs="Arial"/>
          <w:lang w:val="it-IT"/>
        </w:rPr>
        <w:t>ila</w:t>
      </w:r>
      <w:r w:rsidR="00FC4AFE" w:rsidRPr="0085657D">
        <w:rPr>
          <w:rFonts w:ascii="Arial" w:hAnsi="Arial" w:cs="Arial"/>
        </w:rPr>
        <w:t>š</w:t>
      </w:r>
      <w:r w:rsidR="00FC4AFE" w:rsidRPr="0085657D">
        <w:rPr>
          <w:rFonts w:ascii="Arial" w:hAnsi="Arial" w:cs="Arial"/>
          <w:lang w:val="it-IT"/>
        </w:rPr>
        <w:t>tava</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krivi</w:t>
      </w:r>
      <w:r w:rsidR="00FC4AFE" w:rsidRPr="0085657D">
        <w:rPr>
          <w:rFonts w:ascii="Arial" w:hAnsi="Arial" w:cs="Arial"/>
        </w:rPr>
        <w:t>č</w:t>
      </w:r>
      <w:r w:rsidR="00FC4AFE" w:rsidRPr="0085657D">
        <w:rPr>
          <w:rFonts w:ascii="Arial" w:hAnsi="Arial" w:cs="Arial"/>
          <w:lang w:val="it-IT"/>
        </w:rPr>
        <w:t>nim</w:t>
      </w:r>
      <w:r w:rsidR="00FC4AFE" w:rsidRPr="0085657D">
        <w:rPr>
          <w:rFonts w:ascii="Arial" w:hAnsi="Arial" w:cs="Arial"/>
        </w:rPr>
        <w:t xml:space="preserve"> </w:t>
      </w:r>
      <w:r w:rsidR="00FC4AFE" w:rsidRPr="0085657D">
        <w:rPr>
          <w:rFonts w:ascii="Arial" w:hAnsi="Arial" w:cs="Arial"/>
          <w:lang w:val="it-IT"/>
        </w:rPr>
        <w:t>postupcima</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kojima</w:t>
      </w:r>
      <w:r w:rsidR="00FC4AFE" w:rsidRPr="0085657D">
        <w:rPr>
          <w:rFonts w:ascii="Arial" w:hAnsi="Arial" w:cs="Arial"/>
        </w:rPr>
        <w:t xml:space="preserve"> </w:t>
      </w:r>
      <w:r w:rsidR="00FC4AFE" w:rsidRPr="0085657D">
        <w:rPr>
          <w:rFonts w:ascii="Arial" w:hAnsi="Arial" w:cs="Arial"/>
          <w:lang w:val="it-IT"/>
        </w:rPr>
        <w:t>je</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č</w:t>
      </w:r>
      <w:r w:rsidR="00FC4AFE" w:rsidRPr="0085657D">
        <w:rPr>
          <w:rFonts w:ascii="Arial" w:hAnsi="Arial" w:cs="Arial"/>
          <w:lang w:val="it-IT"/>
        </w:rPr>
        <w:t>esnik</w:t>
      </w:r>
      <w:r w:rsidR="00FC4AFE" w:rsidRPr="0085657D">
        <w:rPr>
          <w:rFonts w:ascii="Arial" w:hAnsi="Arial" w:cs="Arial"/>
        </w:rPr>
        <w:t xml:space="preserve"> </w:t>
      </w:r>
      <w:r w:rsidR="00FC4AFE" w:rsidRPr="0085657D">
        <w:rPr>
          <w:rFonts w:ascii="Arial" w:hAnsi="Arial" w:cs="Arial"/>
          <w:lang w:val="it-IT"/>
        </w:rPr>
        <w:t>dijete</w:t>
      </w:r>
      <w:r w:rsidR="00FC4AFE" w:rsidRPr="0085657D">
        <w:rPr>
          <w:rFonts w:ascii="Arial" w:hAnsi="Arial" w:cs="Arial"/>
        </w:rPr>
        <w:t xml:space="preserve"> </w:t>
      </w:r>
      <w:r w:rsidR="00FC4AFE" w:rsidRPr="0085657D">
        <w:rPr>
          <w:rFonts w:ascii="Arial" w:hAnsi="Arial" w:cs="Arial"/>
          <w:lang w:val="it-IT"/>
        </w:rPr>
        <w:t>o</w:t>
      </w:r>
      <w:r w:rsidR="00FC4AFE" w:rsidRPr="0085657D">
        <w:rPr>
          <w:rFonts w:ascii="Arial" w:hAnsi="Arial" w:cs="Arial"/>
        </w:rPr>
        <w:t>š</w:t>
      </w:r>
      <w:r w:rsidR="00FC4AFE" w:rsidRPr="0085657D">
        <w:rPr>
          <w:rFonts w:ascii="Arial" w:hAnsi="Arial" w:cs="Arial"/>
          <w:lang w:val="it-IT"/>
        </w:rPr>
        <w:t>te</w:t>
      </w:r>
      <w:r w:rsidR="00FC4AFE" w:rsidRPr="0085657D">
        <w:rPr>
          <w:rFonts w:ascii="Arial" w:hAnsi="Arial" w:cs="Arial"/>
        </w:rPr>
        <w:t>ć</w:t>
      </w:r>
      <w:r w:rsidR="00FC4AFE" w:rsidRPr="0085657D">
        <w:rPr>
          <w:rFonts w:ascii="Arial" w:hAnsi="Arial" w:cs="Arial"/>
          <w:lang w:val="it-IT"/>
        </w:rPr>
        <w:t>eno</w:t>
      </w:r>
      <w:r w:rsidR="00FC4AFE" w:rsidRPr="0085657D">
        <w:rPr>
          <w:rFonts w:ascii="Arial" w:hAnsi="Arial" w:cs="Arial"/>
        </w:rPr>
        <w:t xml:space="preserve"> </w:t>
      </w:r>
      <w:r w:rsidR="00FC4AFE" w:rsidRPr="0085657D">
        <w:rPr>
          <w:rFonts w:ascii="Arial" w:hAnsi="Arial" w:cs="Arial"/>
          <w:lang w:val="it-IT"/>
        </w:rPr>
        <w:t>krivi</w:t>
      </w:r>
      <w:r w:rsidR="00FC4AFE" w:rsidRPr="0085657D">
        <w:rPr>
          <w:rFonts w:ascii="Arial" w:hAnsi="Arial" w:cs="Arial"/>
        </w:rPr>
        <w:t>č</w:t>
      </w:r>
      <w:r w:rsidR="00FC4AFE" w:rsidRPr="0085657D">
        <w:rPr>
          <w:rFonts w:ascii="Arial" w:hAnsi="Arial" w:cs="Arial"/>
          <w:lang w:val="it-IT"/>
        </w:rPr>
        <w:t>nim</w:t>
      </w:r>
      <w:r w:rsidR="00FC4AFE" w:rsidRPr="0085657D">
        <w:rPr>
          <w:rFonts w:ascii="Arial" w:hAnsi="Arial" w:cs="Arial"/>
        </w:rPr>
        <w:t xml:space="preserve"> </w:t>
      </w:r>
      <w:r w:rsidR="00FC4AFE" w:rsidRPr="0085657D">
        <w:rPr>
          <w:rFonts w:ascii="Arial" w:hAnsi="Arial" w:cs="Arial"/>
          <w:lang w:val="it-IT"/>
        </w:rPr>
        <w:t>djelom</w:t>
      </w:r>
      <w:r w:rsidR="00FC4AFE" w:rsidRPr="0085657D">
        <w:rPr>
          <w:rFonts w:ascii="Arial" w:hAnsi="Arial" w:cs="Arial"/>
        </w:rPr>
        <w:t xml:space="preserve"> </w:t>
      </w:r>
      <w:r w:rsidR="00FC4AFE" w:rsidRPr="0085657D">
        <w:rPr>
          <w:rFonts w:ascii="Arial" w:hAnsi="Arial" w:cs="Arial"/>
          <w:lang w:val="it-IT"/>
        </w:rPr>
        <w:t>ili</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kojem</w:t>
      </w:r>
      <w:r w:rsidR="00FC4AFE" w:rsidRPr="0085657D">
        <w:rPr>
          <w:rFonts w:ascii="Arial" w:hAnsi="Arial" w:cs="Arial"/>
        </w:rPr>
        <w:t xml:space="preserve"> </w:t>
      </w:r>
      <w:r w:rsidR="00FC4AFE" w:rsidRPr="0085657D">
        <w:rPr>
          <w:rFonts w:ascii="Arial" w:hAnsi="Arial" w:cs="Arial"/>
          <w:lang w:val="it-IT"/>
        </w:rPr>
        <w:t>se</w:t>
      </w:r>
      <w:r w:rsidR="00FC4AFE" w:rsidRPr="0085657D">
        <w:rPr>
          <w:rFonts w:ascii="Arial" w:hAnsi="Arial" w:cs="Arial"/>
        </w:rPr>
        <w:t xml:space="preserve"> </w:t>
      </w:r>
      <w:r w:rsidR="00FC4AFE" w:rsidRPr="0085657D">
        <w:rPr>
          <w:rFonts w:ascii="Arial" w:hAnsi="Arial" w:cs="Arial"/>
          <w:lang w:val="it-IT"/>
        </w:rPr>
        <w:t>dijete</w:t>
      </w:r>
      <w:r w:rsidR="00FC4AFE" w:rsidRPr="0085657D">
        <w:rPr>
          <w:rFonts w:ascii="Arial" w:hAnsi="Arial" w:cs="Arial"/>
        </w:rPr>
        <w:t xml:space="preserve"> </w:t>
      </w:r>
      <w:r w:rsidR="00FC4AFE" w:rsidRPr="0085657D">
        <w:rPr>
          <w:rFonts w:ascii="Arial" w:hAnsi="Arial" w:cs="Arial"/>
          <w:lang w:val="it-IT"/>
        </w:rPr>
        <w:t>saslu</w:t>
      </w:r>
      <w:r w:rsidR="00FC4AFE" w:rsidRPr="0085657D">
        <w:rPr>
          <w:rFonts w:ascii="Arial" w:hAnsi="Arial" w:cs="Arial"/>
        </w:rPr>
        <w:t>š</w:t>
      </w:r>
      <w:r w:rsidR="00FC4AFE" w:rsidRPr="0085657D">
        <w:rPr>
          <w:rFonts w:ascii="Arial" w:hAnsi="Arial" w:cs="Arial"/>
          <w:lang w:val="it-IT"/>
        </w:rPr>
        <w:t>ava</w:t>
      </w:r>
      <w:r w:rsidR="00FC4AFE" w:rsidRPr="0085657D">
        <w:rPr>
          <w:rFonts w:ascii="Arial" w:hAnsi="Arial" w:cs="Arial"/>
        </w:rPr>
        <w:t xml:space="preserve"> </w:t>
      </w:r>
      <w:r w:rsidR="00FC4AFE" w:rsidRPr="0085657D">
        <w:rPr>
          <w:rFonts w:ascii="Arial" w:hAnsi="Arial" w:cs="Arial"/>
          <w:lang w:val="it-IT"/>
        </w:rPr>
        <w:t>kao</w:t>
      </w:r>
      <w:r w:rsidR="00FC4AFE" w:rsidRPr="0085657D">
        <w:rPr>
          <w:rFonts w:ascii="Arial" w:hAnsi="Arial" w:cs="Arial"/>
        </w:rPr>
        <w:t xml:space="preserve"> </w:t>
      </w:r>
      <w:r w:rsidR="00FC4AFE" w:rsidRPr="0085657D">
        <w:rPr>
          <w:rFonts w:ascii="Arial" w:hAnsi="Arial" w:cs="Arial"/>
          <w:lang w:val="it-IT"/>
        </w:rPr>
        <w:t>svjedok</w:t>
      </w:r>
      <w:r w:rsidR="00F861CC" w:rsidRPr="0085657D">
        <w:rPr>
          <w:rFonts w:ascii="Arial" w:hAnsi="Arial" w:cs="Arial"/>
        </w:rPr>
        <w:t>.</w:t>
      </w:r>
    </w:p>
    <w:p w14:paraId="4F5201A3" w14:textId="77777777" w:rsidR="00DA03C1" w:rsidRDefault="0007261B" w:rsidP="00E61AAC">
      <w:pPr>
        <w:spacing w:line="269" w:lineRule="auto"/>
        <w:rPr>
          <w:rFonts w:ascii="Arial" w:hAnsi="Arial" w:cs="Arial"/>
        </w:rPr>
      </w:pPr>
      <w:r w:rsidRPr="0085657D">
        <w:rPr>
          <w:rFonts w:ascii="Arial" w:hAnsi="Arial" w:cs="Arial"/>
        </w:rPr>
        <w:t xml:space="preserve">Ovo uputstvo je od velikog značaja imajući u vidu da trenutno postoje značajne </w:t>
      </w:r>
      <w:r w:rsidRPr="0085657D">
        <w:rPr>
          <w:rFonts w:ascii="Arial" w:hAnsi="Arial" w:cs="Arial"/>
          <w:b/>
          <w:bCs/>
        </w:rPr>
        <w:t>razlike u praksi postupanja tužilaštava</w:t>
      </w:r>
      <w:r w:rsidR="00EC719F" w:rsidRPr="0085657D">
        <w:rPr>
          <w:rFonts w:ascii="Arial" w:hAnsi="Arial" w:cs="Arial"/>
        </w:rPr>
        <w:t>, naročito u korišćenju pomoći Stručne službe, budući da ne postoji jednako razumijevanje aktivnog učešća Stručne službe u različitim fazama krivičnog postupka</w:t>
      </w:r>
      <w:r w:rsidR="005D3216" w:rsidRPr="0085657D">
        <w:rPr>
          <w:rFonts w:ascii="Arial" w:hAnsi="Arial" w:cs="Arial"/>
        </w:rPr>
        <w:t xml:space="preserve">, a posebno tokom saslušanja djeteta, uključujući i saslušanje primjenom </w:t>
      </w:r>
      <w:r w:rsidR="005D3216" w:rsidRPr="0085657D">
        <w:rPr>
          <w:rFonts w:ascii="Arial" w:hAnsi="Arial" w:cs="Arial"/>
          <w:lang w:val="it-IT"/>
        </w:rPr>
        <w:t>audi</w:t>
      </w:r>
      <w:r w:rsidR="00096ED8">
        <w:rPr>
          <w:rFonts w:ascii="Arial" w:hAnsi="Arial" w:cs="Arial"/>
          <w:lang w:val="it-IT"/>
        </w:rPr>
        <w:t>o-</w:t>
      </w:r>
      <w:r w:rsidR="005D3216" w:rsidRPr="0085657D">
        <w:rPr>
          <w:rFonts w:ascii="Arial" w:hAnsi="Arial" w:cs="Arial"/>
          <w:lang w:val="it-IT"/>
        </w:rPr>
        <w:t>vizuelne</w:t>
      </w:r>
      <w:r w:rsidR="005D3216" w:rsidRPr="0085657D">
        <w:rPr>
          <w:rFonts w:ascii="Arial" w:hAnsi="Arial" w:cs="Arial"/>
        </w:rPr>
        <w:t xml:space="preserve"> </w:t>
      </w:r>
      <w:r w:rsidR="005D3216" w:rsidRPr="0085657D">
        <w:rPr>
          <w:rFonts w:ascii="Arial" w:hAnsi="Arial" w:cs="Arial"/>
          <w:lang w:val="it-IT"/>
        </w:rPr>
        <w:t>tehnike</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saslu</w:t>
      </w:r>
      <w:r w:rsidR="005D3216" w:rsidRPr="0085657D">
        <w:rPr>
          <w:rFonts w:ascii="Arial" w:hAnsi="Arial" w:cs="Arial"/>
        </w:rPr>
        <w:t>š</w:t>
      </w:r>
      <w:r w:rsidR="005D3216" w:rsidRPr="0085657D">
        <w:rPr>
          <w:rFonts w:ascii="Arial" w:hAnsi="Arial" w:cs="Arial"/>
          <w:lang w:val="it-IT"/>
        </w:rPr>
        <w:t>anje</w:t>
      </w:r>
      <w:r w:rsidR="005D3216" w:rsidRPr="0085657D">
        <w:rPr>
          <w:rFonts w:ascii="Arial" w:hAnsi="Arial" w:cs="Arial"/>
        </w:rPr>
        <w:t xml:space="preserve"> </w:t>
      </w:r>
      <w:r w:rsidR="005D3216" w:rsidRPr="0085657D">
        <w:rPr>
          <w:rFonts w:ascii="Arial" w:hAnsi="Arial" w:cs="Arial"/>
          <w:lang w:val="it-IT"/>
        </w:rPr>
        <w:t>djeteta</w:t>
      </w:r>
      <w:r w:rsidR="005D3216" w:rsidRPr="0085657D">
        <w:rPr>
          <w:rFonts w:ascii="Arial" w:hAnsi="Arial" w:cs="Arial"/>
        </w:rPr>
        <w:t xml:space="preserve"> </w:t>
      </w:r>
      <w:r w:rsidR="005D3216" w:rsidRPr="0085657D">
        <w:rPr>
          <w:rFonts w:ascii="Arial" w:hAnsi="Arial" w:cs="Arial"/>
          <w:lang w:val="it-IT"/>
        </w:rPr>
        <w:t>iz</w:t>
      </w:r>
      <w:r w:rsidR="005D3216" w:rsidRPr="0085657D">
        <w:rPr>
          <w:rFonts w:ascii="Arial" w:hAnsi="Arial" w:cs="Arial"/>
        </w:rPr>
        <w:t xml:space="preserve"> </w:t>
      </w:r>
      <w:r w:rsidR="005D3216" w:rsidRPr="0085657D">
        <w:rPr>
          <w:rFonts w:ascii="Arial" w:hAnsi="Arial" w:cs="Arial"/>
          <w:lang w:val="it-IT"/>
        </w:rPr>
        <w:t>zasebne</w:t>
      </w:r>
      <w:r w:rsidR="005D3216" w:rsidRPr="0085657D">
        <w:rPr>
          <w:rFonts w:ascii="Arial" w:hAnsi="Arial" w:cs="Arial"/>
        </w:rPr>
        <w:t xml:space="preserve"> </w:t>
      </w:r>
      <w:r w:rsidR="005D3216" w:rsidRPr="0085657D">
        <w:rPr>
          <w:rFonts w:ascii="Arial" w:hAnsi="Arial" w:cs="Arial"/>
          <w:lang w:val="it-IT"/>
        </w:rPr>
        <w:t>prostorije</w:t>
      </w:r>
      <w:r w:rsidR="005D3216" w:rsidRPr="0085657D">
        <w:rPr>
          <w:rFonts w:ascii="Arial" w:hAnsi="Arial" w:cs="Arial"/>
        </w:rPr>
        <w:t xml:space="preserve">. </w:t>
      </w:r>
      <w:r w:rsidR="003D75FB">
        <w:rPr>
          <w:rFonts w:ascii="Arial" w:hAnsi="Arial" w:cs="Arial"/>
        </w:rPr>
        <w:t>Prema zvaničnim podacima Stručne službe, o</w:t>
      </w:r>
      <w:r w:rsidR="005D3216" w:rsidRPr="0085657D">
        <w:rPr>
          <w:rFonts w:ascii="Arial" w:hAnsi="Arial" w:cs="Arial"/>
        </w:rPr>
        <w:t xml:space="preserve">vaj vid saslušanja </w:t>
      </w:r>
      <w:r w:rsidR="005D3216" w:rsidRPr="0085657D">
        <w:rPr>
          <w:rFonts w:ascii="Arial" w:hAnsi="Arial" w:cs="Arial"/>
          <w:lang w:val="it-IT"/>
        </w:rPr>
        <w:t>uz</w:t>
      </w:r>
      <w:r w:rsidR="005D3216" w:rsidRPr="0085657D">
        <w:rPr>
          <w:rFonts w:ascii="Arial" w:hAnsi="Arial" w:cs="Arial"/>
        </w:rPr>
        <w:t xml:space="preserve"> </w:t>
      </w:r>
      <w:r w:rsidR="005D3216" w:rsidRPr="0085657D">
        <w:rPr>
          <w:rFonts w:ascii="Arial" w:hAnsi="Arial" w:cs="Arial"/>
          <w:lang w:val="it-IT"/>
        </w:rPr>
        <w:t>pomo</w:t>
      </w:r>
      <w:r w:rsidR="005D3216" w:rsidRPr="0085657D">
        <w:rPr>
          <w:rFonts w:ascii="Arial" w:hAnsi="Arial" w:cs="Arial"/>
        </w:rPr>
        <w:t xml:space="preserve">ć </w:t>
      </w:r>
      <w:r w:rsidR="005D3216" w:rsidRPr="0085657D">
        <w:rPr>
          <w:rFonts w:ascii="Arial" w:hAnsi="Arial" w:cs="Arial"/>
          <w:lang w:val="it-IT"/>
        </w:rPr>
        <w:t>stru</w:t>
      </w:r>
      <w:r w:rsidR="005D3216" w:rsidRPr="0085657D">
        <w:rPr>
          <w:rFonts w:ascii="Arial" w:hAnsi="Arial" w:cs="Arial"/>
        </w:rPr>
        <w:t>č</w:t>
      </w:r>
      <w:r w:rsidR="005D3216" w:rsidRPr="0085657D">
        <w:rPr>
          <w:rFonts w:ascii="Arial" w:hAnsi="Arial" w:cs="Arial"/>
          <w:lang w:val="it-IT"/>
        </w:rPr>
        <w:t>ne</w:t>
      </w:r>
      <w:r w:rsidR="005D3216" w:rsidRPr="0085657D">
        <w:rPr>
          <w:rFonts w:ascii="Arial" w:hAnsi="Arial" w:cs="Arial"/>
        </w:rPr>
        <w:t xml:space="preserve"> </w:t>
      </w:r>
      <w:r w:rsidR="005D3216" w:rsidRPr="0085657D">
        <w:rPr>
          <w:rFonts w:ascii="Arial" w:hAnsi="Arial" w:cs="Arial"/>
          <w:lang w:val="it-IT"/>
        </w:rPr>
        <w:t>slu</w:t>
      </w:r>
      <w:r w:rsidR="005D3216" w:rsidRPr="0085657D">
        <w:rPr>
          <w:rFonts w:ascii="Arial" w:hAnsi="Arial" w:cs="Arial"/>
        </w:rPr>
        <w:t>ž</w:t>
      </w:r>
      <w:r w:rsidR="005D3216" w:rsidRPr="0085657D">
        <w:rPr>
          <w:rFonts w:ascii="Arial" w:hAnsi="Arial" w:cs="Arial"/>
          <w:lang w:val="it-IT"/>
        </w:rPr>
        <w:t>be</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 xml:space="preserve"> </w:t>
      </w:r>
      <w:r w:rsidR="005D3216" w:rsidRPr="0085657D">
        <w:rPr>
          <w:rFonts w:ascii="Arial" w:hAnsi="Arial" w:cs="Arial"/>
          <w:lang w:val="it-IT"/>
        </w:rPr>
        <w:t>dr</w:t>
      </w:r>
      <w:r w:rsidR="005D3216" w:rsidRPr="0085657D">
        <w:rPr>
          <w:rFonts w:ascii="Arial" w:hAnsi="Arial" w:cs="Arial"/>
        </w:rPr>
        <w:t>ž</w:t>
      </w:r>
      <w:r w:rsidR="005D3216" w:rsidRPr="0085657D">
        <w:rPr>
          <w:rFonts w:ascii="Arial" w:hAnsi="Arial" w:cs="Arial"/>
          <w:lang w:val="it-IT"/>
        </w:rPr>
        <w:t>avnom</w:t>
      </w:r>
      <w:r w:rsidR="005D3216" w:rsidRPr="0085657D">
        <w:rPr>
          <w:rFonts w:ascii="Arial" w:hAnsi="Arial" w:cs="Arial"/>
        </w:rPr>
        <w:t xml:space="preserve"> </w:t>
      </w:r>
      <w:r w:rsidR="005D3216" w:rsidRPr="0085657D">
        <w:rPr>
          <w:rFonts w:ascii="Arial" w:hAnsi="Arial" w:cs="Arial"/>
          <w:lang w:val="it-IT"/>
        </w:rPr>
        <w:t>tu</w:t>
      </w:r>
      <w:r w:rsidR="005D3216" w:rsidRPr="0085657D">
        <w:rPr>
          <w:rFonts w:ascii="Arial" w:hAnsi="Arial" w:cs="Arial"/>
        </w:rPr>
        <w:t>ž</w:t>
      </w:r>
      <w:r w:rsidR="005D3216" w:rsidRPr="0085657D">
        <w:rPr>
          <w:rFonts w:ascii="Arial" w:hAnsi="Arial" w:cs="Arial"/>
          <w:lang w:val="it-IT"/>
        </w:rPr>
        <w:t>ila</w:t>
      </w:r>
      <w:r w:rsidR="005D3216" w:rsidRPr="0085657D">
        <w:rPr>
          <w:rFonts w:ascii="Arial" w:hAnsi="Arial" w:cs="Arial"/>
        </w:rPr>
        <w:t>š</w:t>
      </w:r>
      <w:r w:rsidR="005D3216" w:rsidRPr="0085657D">
        <w:rPr>
          <w:rFonts w:ascii="Arial" w:hAnsi="Arial" w:cs="Arial"/>
          <w:lang w:val="it-IT"/>
        </w:rPr>
        <w:t>tvu</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 xml:space="preserve"> </w:t>
      </w:r>
      <w:r w:rsidR="005D3216" w:rsidRPr="0085657D">
        <w:rPr>
          <w:rFonts w:ascii="Arial" w:hAnsi="Arial" w:cs="Arial"/>
          <w:lang w:val="it-IT"/>
        </w:rPr>
        <w:t>primjeni</w:t>
      </w:r>
      <w:r w:rsidR="005D3216" w:rsidRPr="0085657D">
        <w:rPr>
          <w:rFonts w:ascii="Arial" w:hAnsi="Arial" w:cs="Arial"/>
        </w:rPr>
        <w:t xml:space="preserve"> od 2016. </w:t>
      </w:r>
      <w:r w:rsidR="005D3216" w:rsidRPr="0085657D">
        <w:rPr>
          <w:rFonts w:ascii="Arial" w:hAnsi="Arial" w:cs="Arial"/>
          <w:lang w:val="it-IT"/>
        </w:rPr>
        <w:t>godine</w:t>
      </w:r>
      <w:r w:rsidR="00E652F6" w:rsidRPr="0085657D">
        <w:rPr>
          <w:rFonts w:ascii="Arial" w:hAnsi="Arial" w:cs="Arial"/>
        </w:rPr>
        <w:t xml:space="preserve">. </w:t>
      </w:r>
    </w:p>
    <w:p w14:paraId="421EC00E" w14:textId="074A7AB4" w:rsidR="005D3216" w:rsidRPr="0085657D" w:rsidRDefault="00E652F6" w:rsidP="00E61AAC">
      <w:pPr>
        <w:spacing w:line="269" w:lineRule="auto"/>
        <w:rPr>
          <w:rFonts w:ascii="Arial" w:hAnsi="Arial" w:cs="Arial"/>
        </w:rPr>
      </w:pPr>
      <w:r w:rsidRPr="0085657D">
        <w:rPr>
          <w:rFonts w:ascii="Arial" w:hAnsi="Arial" w:cs="Arial"/>
        </w:rPr>
        <w:lastRenderedPageBreak/>
        <w:t>D</w:t>
      </w:r>
      <w:r w:rsidR="005D3216" w:rsidRPr="0085657D">
        <w:rPr>
          <w:rFonts w:ascii="Arial" w:hAnsi="Arial" w:cs="Arial"/>
          <w:lang w:val="it-IT"/>
        </w:rPr>
        <w:t>o</w:t>
      </w:r>
      <w:r w:rsidR="005D3216" w:rsidRPr="0085657D">
        <w:rPr>
          <w:rFonts w:ascii="Arial" w:hAnsi="Arial" w:cs="Arial"/>
        </w:rPr>
        <w:t xml:space="preserve"> </w:t>
      </w:r>
      <w:r w:rsidRPr="0085657D">
        <w:rPr>
          <w:rFonts w:ascii="Arial" w:hAnsi="Arial" w:cs="Arial"/>
          <w:lang w:val="it-IT"/>
        </w:rPr>
        <w:t>novembra</w:t>
      </w:r>
      <w:r w:rsidRPr="0085657D">
        <w:rPr>
          <w:rFonts w:ascii="Arial" w:hAnsi="Arial" w:cs="Arial"/>
        </w:rPr>
        <w:t xml:space="preserve"> 2024. </w:t>
      </w:r>
      <w:r w:rsidRPr="0085657D">
        <w:rPr>
          <w:rFonts w:ascii="Arial" w:hAnsi="Arial" w:cs="Arial"/>
          <w:lang w:val="it-IT"/>
        </w:rPr>
        <w:t>godine</w:t>
      </w:r>
      <w:r w:rsidR="005D3216" w:rsidRPr="0085657D">
        <w:rPr>
          <w:rFonts w:ascii="Arial" w:hAnsi="Arial" w:cs="Arial"/>
        </w:rPr>
        <w:t xml:space="preserve">, </w:t>
      </w:r>
      <w:r w:rsidR="005D3216" w:rsidRPr="0085657D">
        <w:rPr>
          <w:rFonts w:ascii="Arial" w:hAnsi="Arial" w:cs="Arial"/>
          <w:lang w:val="it-IT"/>
        </w:rPr>
        <w:t>na</w:t>
      </w:r>
      <w:r w:rsidR="005D3216" w:rsidRPr="0085657D">
        <w:rPr>
          <w:rFonts w:ascii="Arial" w:hAnsi="Arial" w:cs="Arial"/>
        </w:rPr>
        <w:t xml:space="preserve"> </w:t>
      </w:r>
      <w:r w:rsidR="005D3216" w:rsidRPr="0085657D">
        <w:rPr>
          <w:rFonts w:ascii="Arial" w:hAnsi="Arial" w:cs="Arial"/>
          <w:lang w:val="it-IT"/>
        </w:rPr>
        <w:t>taj</w:t>
      </w:r>
      <w:r w:rsidR="005D3216" w:rsidRPr="0085657D">
        <w:rPr>
          <w:rFonts w:ascii="Arial" w:hAnsi="Arial" w:cs="Arial"/>
        </w:rPr>
        <w:t xml:space="preserve"> </w:t>
      </w:r>
      <w:r w:rsidR="005D3216" w:rsidRPr="0085657D">
        <w:rPr>
          <w:rFonts w:ascii="Arial" w:hAnsi="Arial" w:cs="Arial"/>
          <w:lang w:val="it-IT"/>
        </w:rPr>
        <w:t>na</w:t>
      </w:r>
      <w:r w:rsidR="005D3216" w:rsidRPr="0085657D">
        <w:rPr>
          <w:rFonts w:ascii="Arial" w:hAnsi="Arial" w:cs="Arial"/>
        </w:rPr>
        <w:t>č</w:t>
      </w:r>
      <w:r w:rsidR="005D3216" w:rsidRPr="0085657D">
        <w:rPr>
          <w:rFonts w:ascii="Arial" w:hAnsi="Arial" w:cs="Arial"/>
          <w:lang w:val="it-IT"/>
        </w:rPr>
        <w:t>in</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saslu</w:t>
      </w:r>
      <w:r w:rsidR="005D3216" w:rsidRPr="0085657D">
        <w:rPr>
          <w:rFonts w:ascii="Arial" w:hAnsi="Arial" w:cs="Arial"/>
        </w:rPr>
        <w:t>š</w:t>
      </w:r>
      <w:r w:rsidR="005D3216" w:rsidRPr="0085657D">
        <w:rPr>
          <w:rFonts w:ascii="Arial" w:hAnsi="Arial" w:cs="Arial"/>
          <w:lang w:val="it-IT"/>
        </w:rPr>
        <w:t>ano</w:t>
      </w:r>
      <w:r w:rsidR="005D3216" w:rsidRPr="0085657D">
        <w:rPr>
          <w:rFonts w:ascii="Arial" w:hAnsi="Arial" w:cs="Arial"/>
        </w:rPr>
        <w:t xml:space="preserve"> 147 </w:t>
      </w:r>
      <w:r w:rsidR="005D3216" w:rsidRPr="0085657D">
        <w:rPr>
          <w:rFonts w:ascii="Arial" w:hAnsi="Arial" w:cs="Arial"/>
          <w:lang w:val="it-IT"/>
        </w:rPr>
        <w:t>od</w:t>
      </w:r>
      <w:r w:rsidR="005D3216" w:rsidRPr="0085657D">
        <w:rPr>
          <w:rFonts w:ascii="Arial" w:hAnsi="Arial" w:cs="Arial"/>
        </w:rPr>
        <w:t xml:space="preserve"> 644 </w:t>
      </w:r>
      <w:r w:rsidR="005D3216" w:rsidRPr="0085657D">
        <w:rPr>
          <w:rFonts w:ascii="Arial" w:hAnsi="Arial" w:cs="Arial"/>
          <w:lang w:val="it-IT"/>
        </w:rPr>
        <w:t>djece</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koje</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zatra</w:t>
      </w:r>
      <w:r w:rsidR="005D3216" w:rsidRPr="0085657D">
        <w:rPr>
          <w:rFonts w:ascii="Arial" w:hAnsi="Arial" w:cs="Arial"/>
        </w:rPr>
        <w:t>ž</w:t>
      </w:r>
      <w:r w:rsidR="005D3216" w:rsidRPr="0085657D">
        <w:rPr>
          <w:rFonts w:ascii="Arial" w:hAnsi="Arial" w:cs="Arial"/>
          <w:lang w:val="it-IT"/>
        </w:rPr>
        <w:t>ena</w:t>
      </w:r>
      <w:r w:rsidR="005D3216" w:rsidRPr="0085657D">
        <w:rPr>
          <w:rFonts w:ascii="Arial" w:hAnsi="Arial" w:cs="Arial"/>
        </w:rPr>
        <w:t xml:space="preserve"> </w:t>
      </w:r>
      <w:r w:rsidR="005D3216" w:rsidRPr="0085657D">
        <w:rPr>
          <w:rFonts w:ascii="Arial" w:hAnsi="Arial" w:cs="Arial"/>
          <w:lang w:val="it-IT"/>
        </w:rPr>
        <w:t>procjena</w:t>
      </w:r>
      <w:r w:rsidR="005D3216" w:rsidRPr="0085657D">
        <w:rPr>
          <w:rFonts w:ascii="Arial" w:hAnsi="Arial" w:cs="Arial"/>
        </w:rPr>
        <w:t xml:space="preserve"> </w:t>
      </w:r>
      <w:r w:rsidR="005D3216" w:rsidRPr="0085657D">
        <w:rPr>
          <w:rFonts w:ascii="Arial" w:hAnsi="Arial" w:cs="Arial"/>
          <w:lang w:val="it-IT"/>
        </w:rPr>
        <w:t>Stru</w:t>
      </w:r>
      <w:r w:rsidR="005D3216" w:rsidRPr="0085657D">
        <w:rPr>
          <w:rFonts w:ascii="Arial" w:hAnsi="Arial" w:cs="Arial"/>
        </w:rPr>
        <w:t>č</w:t>
      </w:r>
      <w:r w:rsidR="005D3216" w:rsidRPr="0085657D">
        <w:rPr>
          <w:rFonts w:ascii="Arial" w:hAnsi="Arial" w:cs="Arial"/>
          <w:lang w:val="it-IT"/>
        </w:rPr>
        <w:t>ne</w:t>
      </w:r>
      <w:r w:rsidR="005D3216" w:rsidRPr="0085657D">
        <w:rPr>
          <w:rFonts w:ascii="Arial" w:hAnsi="Arial" w:cs="Arial"/>
        </w:rPr>
        <w:t xml:space="preserve"> </w:t>
      </w:r>
      <w:r w:rsidR="005D3216" w:rsidRPr="0085657D">
        <w:rPr>
          <w:rFonts w:ascii="Arial" w:hAnsi="Arial" w:cs="Arial"/>
          <w:lang w:val="it-IT"/>
        </w:rPr>
        <w:t>slu</w:t>
      </w:r>
      <w:r w:rsidR="005D3216" w:rsidRPr="0085657D">
        <w:rPr>
          <w:rFonts w:ascii="Arial" w:hAnsi="Arial" w:cs="Arial"/>
        </w:rPr>
        <w:t>ž</w:t>
      </w:r>
      <w:r w:rsidR="005D3216" w:rsidRPr="0085657D">
        <w:rPr>
          <w:rFonts w:ascii="Arial" w:hAnsi="Arial" w:cs="Arial"/>
          <w:lang w:val="it-IT"/>
        </w:rPr>
        <w:t>be</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č</w:t>
      </w:r>
      <w:r w:rsidR="005D3216" w:rsidRPr="0085657D">
        <w:rPr>
          <w:rFonts w:ascii="Arial" w:hAnsi="Arial" w:cs="Arial"/>
          <w:lang w:val="it-IT"/>
        </w:rPr>
        <w:t>e</w:t>
      </w:r>
      <w:r w:rsidR="005D3216" w:rsidRPr="0085657D">
        <w:rPr>
          <w:rFonts w:ascii="Arial" w:hAnsi="Arial" w:cs="Arial"/>
        </w:rPr>
        <w:t>šć</w:t>
      </w:r>
      <w:r w:rsidR="005D3216" w:rsidRPr="0085657D">
        <w:rPr>
          <w:rFonts w:ascii="Arial" w:hAnsi="Arial" w:cs="Arial"/>
          <w:lang w:val="it-IT"/>
        </w:rPr>
        <w:t>e</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 xml:space="preserve"> </w:t>
      </w:r>
      <w:r w:rsidR="005D3216" w:rsidRPr="0085657D">
        <w:rPr>
          <w:rFonts w:ascii="Arial" w:hAnsi="Arial" w:cs="Arial"/>
          <w:lang w:val="it-IT"/>
        </w:rPr>
        <w:t>krivi</w:t>
      </w:r>
      <w:r w:rsidR="005D3216" w:rsidRPr="0085657D">
        <w:rPr>
          <w:rFonts w:ascii="Arial" w:hAnsi="Arial" w:cs="Arial"/>
        </w:rPr>
        <w:t>č</w:t>
      </w:r>
      <w:r w:rsidR="005D3216" w:rsidRPr="0085657D">
        <w:rPr>
          <w:rFonts w:ascii="Arial" w:hAnsi="Arial" w:cs="Arial"/>
          <w:lang w:val="it-IT"/>
        </w:rPr>
        <w:t>nom</w:t>
      </w:r>
      <w:r w:rsidR="005D3216" w:rsidRPr="0085657D">
        <w:rPr>
          <w:rFonts w:ascii="Arial" w:hAnsi="Arial" w:cs="Arial"/>
        </w:rPr>
        <w:t xml:space="preserve"> </w:t>
      </w:r>
      <w:r w:rsidR="005D3216" w:rsidRPr="0085657D">
        <w:rPr>
          <w:rFonts w:ascii="Arial" w:hAnsi="Arial" w:cs="Arial"/>
          <w:lang w:val="it-IT"/>
        </w:rPr>
        <w:t>postupku</w:t>
      </w:r>
      <w:r w:rsidR="005D3216" w:rsidRPr="0085657D">
        <w:rPr>
          <w:rFonts w:ascii="Arial" w:hAnsi="Arial" w:cs="Arial"/>
        </w:rPr>
        <w:t xml:space="preserve">. </w:t>
      </w:r>
      <w:r w:rsidRPr="0085657D">
        <w:rPr>
          <w:rFonts w:ascii="Arial" w:hAnsi="Arial" w:cs="Arial"/>
        </w:rPr>
        <w:t>Neposredno,</w:t>
      </w:r>
      <w:r w:rsidR="005D3216" w:rsidRPr="0085657D">
        <w:rPr>
          <w:rFonts w:ascii="Arial" w:hAnsi="Arial" w:cs="Arial"/>
        </w:rPr>
        <w:t xml:space="preserve"> </w:t>
      </w:r>
      <w:r w:rsidR="005D3216" w:rsidRPr="0085657D">
        <w:rPr>
          <w:rFonts w:ascii="Arial" w:hAnsi="Arial" w:cs="Arial"/>
          <w:lang w:val="it-IT"/>
        </w:rPr>
        <w:t>od</w:t>
      </w:r>
      <w:r w:rsidR="005D3216" w:rsidRPr="0085657D">
        <w:rPr>
          <w:rFonts w:ascii="Arial" w:hAnsi="Arial" w:cs="Arial"/>
        </w:rPr>
        <w:t xml:space="preserve"> </w:t>
      </w:r>
      <w:r w:rsidR="005D3216" w:rsidRPr="0085657D">
        <w:rPr>
          <w:rFonts w:ascii="Arial" w:hAnsi="Arial" w:cs="Arial"/>
          <w:lang w:val="it-IT"/>
        </w:rPr>
        <w:t>strane</w:t>
      </w:r>
      <w:r w:rsidR="005D3216" w:rsidRPr="0085657D">
        <w:rPr>
          <w:rFonts w:ascii="Arial" w:hAnsi="Arial" w:cs="Arial"/>
        </w:rPr>
        <w:t xml:space="preserve"> </w:t>
      </w:r>
      <w:r w:rsidR="005D3216" w:rsidRPr="0085657D">
        <w:rPr>
          <w:rFonts w:ascii="Arial" w:hAnsi="Arial" w:cs="Arial"/>
          <w:lang w:val="it-IT"/>
        </w:rPr>
        <w:t>dr</w:t>
      </w:r>
      <w:r w:rsidR="005D3216" w:rsidRPr="0085657D">
        <w:rPr>
          <w:rFonts w:ascii="Arial" w:hAnsi="Arial" w:cs="Arial"/>
        </w:rPr>
        <w:t>ž</w:t>
      </w:r>
      <w:r w:rsidR="005D3216" w:rsidRPr="0085657D">
        <w:rPr>
          <w:rFonts w:ascii="Arial" w:hAnsi="Arial" w:cs="Arial"/>
          <w:lang w:val="it-IT"/>
        </w:rPr>
        <w:t>avnog</w:t>
      </w:r>
      <w:r w:rsidR="005D3216" w:rsidRPr="0085657D">
        <w:rPr>
          <w:rFonts w:ascii="Arial" w:hAnsi="Arial" w:cs="Arial"/>
        </w:rPr>
        <w:t xml:space="preserve"> </w:t>
      </w:r>
      <w:r w:rsidR="005D3216" w:rsidRPr="0085657D">
        <w:rPr>
          <w:rFonts w:ascii="Arial" w:hAnsi="Arial" w:cs="Arial"/>
          <w:lang w:val="it-IT"/>
        </w:rPr>
        <w:t>tu</w:t>
      </w:r>
      <w:r w:rsidR="005D3216" w:rsidRPr="0085657D">
        <w:rPr>
          <w:rFonts w:ascii="Arial" w:hAnsi="Arial" w:cs="Arial"/>
        </w:rPr>
        <w:t>ž</w:t>
      </w:r>
      <w:r w:rsidR="005D3216" w:rsidRPr="0085657D">
        <w:rPr>
          <w:rFonts w:ascii="Arial" w:hAnsi="Arial" w:cs="Arial"/>
          <w:lang w:val="it-IT"/>
        </w:rPr>
        <w:t>ioca</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maloljetnike</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saslu</w:t>
      </w:r>
      <w:r w:rsidR="005D3216" w:rsidRPr="0085657D">
        <w:rPr>
          <w:rFonts w:ascii="Arial" w:hAnsi="Arial" w:cs="Arial"/>
        </w:rPr>
        <w:t>š</w:t>
      </w:r>
      <w:r w:rsidR="005D3216" w:rsidRPr="0085657D">
        <w:rPr>
          <w:rFonts w:ascii="Arial" w:hAnsi="Arial" w:cs="Arial"/>
          <w:lang w:val="it-IT"/>
        </w:rPr>
        <w:t>ano</w:t>
      </w:r>
      <w:r w:rsidR="005D3216" w:rsidRPr="0085657D">
        <w:rPr>
          <w:rFonts w:ascii="Arial" w:hAnsi="Arial" w:cs="Arial"/>
        </w:rPr>
        <w:t xml:space="preserve"> 176 </w:t>
      </w:r>
      <w:r w:rsidR="005D3216" w:rsidRPr="0085657D">
        <w:rPr>
          <w:rFonts w:ascii="Arial" w:hAnsi="Arial" w:cs="Arial"/>
          <w:lang w:val="it-IT"/>
        </w:rPr>
        <w:t>djece</w:t>
      </w:r>
      <w:r w:rsidR="005D3216" w:rsidRPr="0085657D">
        <w:rPr>
          <w:rFonts w:ascii="Arial" w:hAnsi="Arial" w:cs="Arial"/>
        </w:rPr>
        <w:t>.</w:t>
      </w:r>
    </w:p>
    <w:p w14:paraId="30BA9F12" w14:textId="2CFC4805" w:rsidR="0007261B" w:rsidRPr="0085657D" w:rsidRDefault="0007261B" w:rsidP="007D712E">
      <w:pPr>
        <w:spacing w:line="278" w:lineRule="auto"/>
        <w:rPr>
          <w:rFonts w:ascii="Arial" w:hAnsi="Arial" w:cs="Arial"/>
        </w:rPr>
      </w:pPr>
      <w:r w:rsidRPr="0085657D">
        <w:rPr>
          <w:rFonts w:ascii="Arial" w:hAnsi="Arial" w:cs="Arial"/>
        </w:rPr>
        <w:t xml:space="preserve">Dodatni problem predstavlja i činjenica da se ne izriču u dovoljnoj mjeri </w:t>
      </w:r>
      <w:r w:rsidR="008775AC" w:rsidRPr="0085657D">
        <w:rPr>
          <w:rFonts w:ascii="Arial" w:hAnsi="Arial" w:cs="Arial"/>
          <w:b/>
          <w:bCs/>
        </w:rPr>
        <w:t xml:space="preserve">zaštitne </w:t>
      </w:r>
      <w:r w:rsidRPr="0085657D">
        <w:rPr>
          <w:rFonts w:ascii="Arial" w:hAnsi="Arial" w:cs="Arial"/>
          <w:b/>
          <w:bCs/>
        </w:rPr>
        <w:t>mjere</w:t>
      </w:r>
      <w:r w:rsidRPr="0085657D">
        <w:rPr>
          <w:rFonts w:ascii="Arial" w:hAnsi="Arial" w:cs="Arial"/>
        </w:rPr>
        <w:t xml:space="preserve">, koje bi zaštitile dijete kao žrtvu posebno kada je učinilac osoba iz porodice-kruga povjerenja, pa se nerijetko zaštita djeteta obezbjeđuje izmještanjem djeteta iz porodice u ustanovu socijalnog staranja. Veliki problem je i upućivanje djeteta-maloljetnog lica na specijalizovani tretman traume u okviru sistema zdravstvene zaštite koji zbog načina kategorizacije i manjka stručnih kapaciteta ne može </w:t>
      </w:r>
      <w:r w:rsidR="00375048" w:rsidRPr="0085657D">
        <w:rPr>
          <w:rFonts w:ascii="Arial" w:hAnsi="Arial" w:cs="Arial"/>
        </w:rPr>
        <w:t>obezb</w:t>
      </w:r>
      <w:r w:rsidR="00096ED8">
        <w:rPr>
          <w:rFonts w:ascii="Arial" w:hAnsi="Arial" w:cs="Arial"/>
        </w:rPr>
        <w:t>ij</w:t>
      </w:r>
      <w:r w:rsidR="00375048" w:rsidRPr="0085657D">
        <w:rPr>
          <w:rFonts w:ascii="Arial" w:hAnsi="Arial" w:cs="Arial"/>
        </w:rPr>
        <w:t>editi</w:t>
      </w:r>
      <w:r w:rsidRPr="0085657D">
        <w:rPr>
          <w:rFonts w:ascii="Arial" w:hAnsi="Arial" w:cs="Arial"/>
        </w:rPr>
        <w:t xml:space="preserve"> ovu uslugu svoj djeci koja za tim imaju potrebu na čitavoj teritoriji Crne Gore.</w:t>
      </w:r>
      <w:r w:rsidRPr="0085657D">
        <w:rPr>
          <w:rStyle w:val="FootnoteReference"/>
          <w:rFonts w:ascii="Arial" w:hAnsi="Arial" w:cs="Arial"/>
        </w:rPr>
        <w:footnoteReference w:id="56"/>
      </w:r>
    </w:p>
    <w:p w14:paraId="0275420C" w14:textId="49FD45E2" w:rsidR="00241B3C" w:rsidRPr="0085657D" w:rsidRDefault="00241B3C" w:rsidP="00E61AAC">
      <w:pPr>
        <w:spacing w:line="269" w:lineRule="auto"/>
        <w:rPr>
          <w:rFonts w:ascii="Arial" w:hAnsi="Arial" w:cs="Arial"/>
        </w:rPr>
      </w:pPr>
      <w:r w:rsidRPr="0085657D">
        <w:rPr>
          <w:rFonts w:ascii="Arial" w:hAnsi="Arial" w:cs="Arial"/>
          <w:b/>
          <w:bCs/>
        </w:rPr>
        <w:t>U zdravstvenom sistemu</w:t>
      </w:r>
      <w:r w:rsidR="00096ED8">
        <w:rPr>
          <w:rFonts w:ascii="Arial" w:hAnsi="Arial" w:cs="Arial"/>
        </w:rPr>
        <w:t xml:space="preserve"> </w:t>
      </w:r>
      <w:r w:rsidRPr="0085657D">
        <w:rPr>
          <w:rFonts w:ascii="Arial" w:hAnsi="Arial" w:cs="Arial"/>
        </w:rPr>
        <w:t xml:space="preserve">razvijene su Smjernice za postupanje pružalaca zdravstvenih usluga u cilju zaštite djece i adolescenata od nasilja, zlostavljanja i zanemarivanja koje su od strane Ministarstva zdravlja usvojene 2022, godine kao važan alat za </w:t>
      </w:r>
      <w:r w:rsidR="00375048" w:rsidRPr="0085657D">
        <w:rPr>
          <w:rFonts w:ascii="Arial" w:hAnsi="Arial" w:cs="Arial"/>
        </w:rPr>
        <w:t>unapređenje</w:t>
      </w:r>
      <w:r w:rsidRPr="0085657D">
        <w:rPr>
          <w:rFonts w:ascii="Arial" w:hAnsi="Arial" w:cs="Arial"/>
        </w:rPr>
        <w:t xml:space="preserve"> rada pružalaca zdravstvenih usluga na svim nivoima zaštite, u oblasti identifikacije slučajeva zlostavljanja, zanemarivanja i nasilja, kao i za prijavljivanje i dalje upućivanje takvih slučajeva nadležnim službama. Ipak, primjena ovih smjernica u praksi i dalje nije na adekvatnom nivou.</w:t>
      </w:r>
    </w:p>
    <w:p w14:paraId="677364EE" w14:textId="77777777" w:rsidR="00847D7B" w:rsidRPr="0085657D" w:rsidRDefault="00847D7B" w:rsidP="00E61AAC">
      <w:pPr>
        <w:spacing w:line="269" w:lineRule="auto"/>
        <w:rPr>
          <w:rFonts w:ascii="Arial" w:hAnsi="Arial" w:cs="Arial"/>
        </w:rPr>
      </w:pPr>
      <w:r w:rsidRPr="0085657D">
        <w:rPr>
          <w:rFonts w:ascii="Arial" w:hAnsi="Arial" w:cs="Arial"/>
        </w:rPr>
        <w:t xml:space="preserve">Sa druga strane, Zaštitnik ljudskih prava i sloboda konstatuje da predstavnici pravosuđa, naročito policijski službenici, imaju poteškoća da prepoznaju </w:t>
      </w:r>
      <w:r w:rsidRPr="0085657D">
        <w:rPr>
          <w:rFonts w:ascii="Arial" w:hAnsi="Arial" w:cs="Arial"/>
          <w:b/>
          <w:bCs/>
        </w:rPr>
        <w:t>onlajn nasilje nad djecom</w:t>
      </w:r>
      <w:r w:rsidRPr="0085657D">
        <w:rPr>
          <w:rFonts w:ascii="Arial" w:hAnsi="Arial" w:cs="Arial"/>
        </w:rPr>
        <w:t xml:space="preserve"> i da pokazuju sporost u pružanju podrške djeci žrtvama tog oblika nasilja.</w:t>
      </w:r>
      <w:r w:rsidRPr="0085657D">
        <w:rPr>
          <w:rStyle w:val="FootnoteReference"/>
          <w:rFonts w:ascii="Arial" w:hAnsi="Arial" w:cs="Arial"/>
        </w:rPr>
        <w:footnoteReference w:id="57"/>
      </w:r>
      <w:r w:rsidRPr="0085657D">
        <w:rPr>
          <w:rFonts w:ascii="Arial" w:hAnsi="Arial" w:cs="Arial"/>
        </w:rPr>
        <w:t xml:space="preserve"> </w:t>
      </w:r>
    </w:p>
    <w:p w14:paraId="50F3DC7F" w14:textId="7FCEE826" w:rsidR="00C6357B" w:rsidRPr="0085657D" w:rsidRDefault="00E9351E" w:rsidP="00E61AAC">
      <w:pPr>
        <w:spacing w:line="269" w:lineRule="auto"/>
        <w:rPr>
          <w:rFonts w:ascii="Arial" w:hAnsi="Arial" w:cs="Arial"/>
        </w:rPr>
      </w:pPr>
      <w:r w:rsidRPr="0085657D">
        <w:rPr>
          <w:rFonts w:ascii="Arial" w:hAnsi="Arial" w:cs="Arial"/>
        </w:rPr>
        <w:t xml:space="preserve">Najzad, postoje značajni problemi u pogledu </w:t>
      </w:r>
      <w:r w:rsidRPr="0085657D">
        <w:rPr>
          <w:rFonts w:ascii="Arial" w:hAnsi="Arial" w:cs="Arial"/>
          <w:b/>
          <w:bCs/>
        </w:rPr>
        <w:t>međusektorskog pristupa zaštite i podrške</w:t>
      </w:r>
      <w:r w:rsidRPr="0085657D">
        <w:rPr>
          <w:rFonts w:ascii="Arial" w:hAnsi="Arial" w:cs="Arial"/>
        </w:rPr>
        <w:t xml:space="preserve"> djece žrtava. </w:t>
      </w:r>
      <w:r w:rsidR="00C6357B" w:rsidRPr="0085657D">
        <w:rPr>
          <w:rFonts w:ascii="Arial" w:hAnsi="Arial" w:cs="Arial"/>
        </w:rPr>
        <w:t>Izvjesni pomak u tom smislu predstavljaju „Standardne operativne procedure za međusektorsku saradnju u radu sa djecom žrtvama nasilja i iskorištavanja u Crnoj Gori“</w:t>
      </w:r>
      <w:r w:rsidR="00C6357B" w:rsidRPr="0085657D">
        <w:rPr>
          <w:rStyle w:val="FootnoteReference"/>
          <w:rFonts w:ascii="Arial" w:hAnsi="Arial" w:cs="Arial"/>
        </w:rPr>
        <w:footnoteReference w:id="58"/>
      </w:r>
      <w:r w:rsidR="00C6357B" w:rsidRPr="0085657D">
        <w:rPr>
          <w:rFonts w:ascii="Arial" w:hAnsi="Arial" w:cs="Arial"/>
        </w:rPr>
        <w:t xml:space="preserve"> iz  2020. godine izrađene u saradnji  Zavoda za socijalnu i dječiju zaštitu, Minist</w:t>
      </w:r>
      <w:r w:rsidR="00001BCC">
        <w:rPr>
          <w:rFonts w:ascii="Arial" w:hAnsi="Arial" w:cs="Arial"/>
        </w:rPr>
        <w:t>a</w:t>
      </w:r>
      <w:r w:rsidR="00C6357B" w:rsidRPr="0085657D">
        <w:rPr>
          <w:rFonts w:ascii="Arial" w:hAnsi="Arial" w:cs="Arial"/>
        </w:rPr>
        <w:t xml:space="preserve">rstva rada i socijalnog staranja i  UNICEF-a. </w:t>
      </w:r>
    </w:p>
    <w:p w14:paraId="142EDD23" w14:textId="77777777" w:rsidR="00DA03C1" w:rsidRDefault="00DA03C1" w:rsidP="00E61AAC">
      <w:pPr>
        <w:spacing w:line="269" w:lineRule="auto"/>
        <w:rPr>
          <w:rFonts w:ascii="Arial" w:hAnsi="Arial" w:cs="Arial"/>
        </w:rPr>
      </w:pPr>
    </w:p>
    <w:p w14:paraId="6FCFD497" w14:textId="77777777" w:rsidR="00DA03C1" w:rsidRDefault="00DA03C1" w:rsidP="00E61AAC">
      <w:pPr>
        <w:spacing w:line="269" w:lineRule="auto"/>
        <w:rPr>
          <w:rFonts w:ascii="Arial" w:hAnsi="Arial" w:cs="Arial"/>
        </w:rPr>
      </w:pPr>
    </w:p>
    <w:p w14:paraId="365EE368" w14:textId="119A9CD8" w:rsidR="00E9351E" w:rsidRPr="0085657D" w:rsidRDefault="00E9351E" w:rsidP="00E61AAC">
      <w:pPr>
        <w:spacing w:line="269" w:lineRule="auto"/>
        <w:rPr>
          <w:rFonts w:ascii="Arial" w:hAnsi="Arial" w:cs="Arial"/>
        </w:rPr>
      </w:pPr>
      <w:r w:rsidRPr="0085657D">
        <w:rPr>
          <w:rFonts w:ascii="Arial" w:hAnsi="Arial" w:cs="Arial"/>
        </w:rPr>
        <w:lastRenderedPageBreak/>
        <w:t xml:space="preserve">Iako je UNICEF 2022. izradio inicijalnu </w:t>
      </w:r>
      <w:r w:rsidR="00FC4AFE" w:rsidRPr="0085657D">
        <w:rPr>
          <w:rFonts w:ascii="Arial" w:hAnsi="Arial" w:cs="Arial"/>
        </w:rPr>
        <w:t xml:space="preserve">Studiju </w:t>
      </w:r>
      <w:r w:rsidR="00C6357B" w:rsidRPr="0085657D">
        <w:rPr>
          <w:rFonts w:ascii="Arial" w:hAnsi="Arial" w:cs="Arial"/>
        </w:rPr>
        <w:t>izvodljivosti</w:t>
      </w:r>
      <w:r w:rsidR="00FC4AFE" w:rsidRPr="0085657D">
        <w:rPr>
          <w:rFonts w:ascii="Arial" w:hAnsi="Arial" w:cs="Arial"/>
        </w:rPr>
        <w:t xml:space="preserve"> za uspostavljanje Dječ</w:t>
      </w:r>
      <w:r w:rsidR="00096ED8">
        <w:rPr>
          <w:rFonts w:ascii="Arial" w:hAnsi="Arial" w:cs="Arial"/>
        </w:rPr>
        <w:t>i</w:t>
      </w:r>
      <w:r w:rsidR="00FC4AFE" w:rsidRPr="0085657D">
        <w:rPr>
          <w:rFonts w:ascii="Arial" w:hAnsi="Arial" w:cs="Arial"/>
        </w:rPr>
        <w:t>je kuće (</w:t>
      </w:r>
      <w:r w:rsidR="00FC4AFE" w:rsidRPr="0085657D">
        <w:rPr>
          <w:rFonts w:ascii="Arial" w:hAnsi="Arial" w:cs="Arial"/>
          <w:i/>
          <w:iCs/>
        </w:rPr>
        <w:t>Barnahus</w:t>
      </w:r>
      <w:r w:rsidR="00FC4AFE" w:rsidRPr="0085657D">
        <w:rPr>
          <w:rFonts w:ascii="Arial" w:hAnsi="Arial" w:cs="Arial"/>
        </w:rPr>
        <w:t>) u Crnoj Gori</w:t>
      </w:r>
      <w:r w:rsidR="00FC4AFE" w:rsidRPr="0085657D">
        <w:rPr>
          <w:rStyle w:val="FootnoteReference"/>
          <w:rFonts w:ascii="Arial" w:hAnsi="Arial" w:cs="Arial"/>
        </w:rPr>
        <w:footnoteReference w:id="59"/>
      </w:r>
      <w:r w:rsidR="00FC4AFE" w:rsidRPr="0085657D">
        <w:rPr>
          <w:rFonts w:ascii="Arial" w:hAnsi="Arial" w:cs="Arial"/>
        </w:rPr>
        <w:t xml:space="preserve"> kojom su pred</w:t>
      </w:r>
      <w:r w:rsidR="00FC4AFE" w:rsidRPr="0085657D">
        <w:rPr>
          <w:rFonts w:ascii="Arial" w:hAnsi="Arial" w:cs="Arial"/>
          <w:lang w:val="en-GB"/>
        </w:rPr>
        <w:t>o</w:t>
      </w:r>
      <w:r w:rsidR="00FC4AFE" w:rsidRPr="0085657D">
        <w:rPr>
          <w:rFonts w:ascii="Arial" w:hAnsi="Arial" w:cs="Arial"/>
        </w:rPr>
        <w:t>č</w:t>
      </w:r>
      <w:r w:rsidR="00FC4AFE" w:rsidRPr="0085657D">
        <w:rPr>
          <w:rFonts w:ascii="Arial" w:hAnsi="Arial" w:cs="Arial"/>
          <w:lang w:val="en-GB"/>
        </w:rPr>
        <w:t>eni</w:t>
      </w:r>
      <w:r w:rsidR="00FC4AFE" w:rsidRPr="0085657D">
        <w:rPr>
          <w:rFonts w:ascii="Arial" w:hAnsi="Arial" w:cs="Arial"/>
        </w:rPr>
        <w:t xml:space="preserve"> </w:t>
      </w:r>
      <w:r w:rsidR="00FC4AFE" w:rsidRPr="0085657D">
        <w:rPr>
          <w:rFonts w:ascii="Arial" w:hAnsi="Arial" w:cs="Arial"/>
          <w:lang w:val="en-GB"/>
        </w:rPr>
        <w:t>brojni</w:t>
      </w:r>
      <w:r w:rsidR="00FC4AFE" w:rsidRPr="0085657D">
        <w:rPr>
          <w:rFonts w:ascii="Arial" w:hAnsi="Arial" w:cs="Arial"/>
        </w:rPr>
        <w:t xml:space="preserve"> benefiti </w:t>
      </w:r>
      <w:r w:rsidR="00C6357B" w:rsidRPr="0085657D">
        <w:rPr>
          <w:rFonts w:ascii="Arial" w:hAnsi="Arial" w:cs="Arial"/>
        </w:rPr>
        <w:t>ovog modela, realizacija u praksi preduslovljena je detaljnom procjenom potreba kako u pogledu izmjene normativnog okvira, tako i</w:t>
      </w:r>
      <w:r w:rsidR="009406F6">
        <w:rPr>
          <w:rFonts w:ascii="Arial" w:hAnsi="Arial" w:cs="Arial"/>
        </w:rPr>
        <w:t xml:space="preserve"> u</w:t>
      </w:r>
      <w:r w:rsidR="00C6357B" w:rsidRPr="0085657D">
        <w:rPr>
          <w:rFonts w:ascii="Arial" w:hAnsi="Arial" w:cs="Arial"/>
        </w:rPr>
        <w:t xml:space="preserve"> pogledu organizacionih, </w:t>
      </w:r>
      <w:r w:rsidR="00111137" w:rsidRPr="0085657D">
        <w:rPr>
          <w:rFonts w:ascii="Arial" w:hAnsi="Arial" w:cs="Arial"/>
        </w:rPr>
        <w:t>finansijskih</w:t>
      </w:r>
      <w:r w:rsidR="00C6357B" w:rsidRPr="0085657D">
        <w:rPr>
          <w:rFonts w:ascii="Arial" w:hAnsi="Arial" w:cs="Arial"/>
        </w:rPr>
        <w:t xml:space="preserve"> i administrativnih kapaciteta. </w:t>
      </w:r>
    </w:p>
    <w:p w14:paraId="468624E4" w14:textId="4ED9E8C0" w:rsidR="00985730" w:rsidRPr="0085657D" w:rsidRDefault="00AA0219" w:rsidP="00C47459">
      <w:pPr>
        <w:spacing w:line="269" w:lineRule="auto"/>
        <w:rPr>
          <w:rFonts w:ascii="Arial" w:hAnsi="Arial" w:cs="Arial"/>
        </w:rPr>
      </w:pPr>
      <w:r w:rsidRPr="0085657D">
        <w:rPr>
          <w:rFonts w:ascii="Arial" w:hAnsi="Arial" w:cs="Arial"/>
        </w:rPr>
        <w:t>U tom smislu, od velikog je značaja nastaviti rad na izmjenama i dopunama Zakona o postupanju prema maloljetnicima u krivičnom postupku kojim je predviđeno više mehanizama zaštite djeteta žrtve, oštećenog, svjedoka ili kao drugog učesnika u krivičnom postupku, čije odredbe se imaju primjenjivati i kada je dijete žrtva, oštećeni ili svjedok krivičnog djela. Ove planirane izmjene treba posmatrati u sadejstvu sa planiranim izmjenama i dopunama Zakona o sprečavanju nasilja u porodici.</w:t>
      </w:r>
    </w:p>
    <w:p w14:paraId="3C8D8934" w14:textId="7BA37A40" w:rsidR="00985730" w:rsidRPr="00096ED8" w:rsidRDefault="00985730" w:rsidP="00096ED8">
      <w:pPr>
        <w:pStyle w:val="Heading3"/>
        <w:rPr>
          <w:rFonts w:ascii="Arial" w:hAnsi="Arial" w:cs="Arial"/>
          <w:sz w:val="22"/>
        </w:rPr>
      </w:pPr>
      <w:bookmarkStart w:id="40" w:name="_Toc208489193"/>
      <w:r w:rsidRPr="0071399C">
        <w:rPr>
          <w:rFonts w:ascii="Arial" w:hAnsi="Arial" w:cs="Arial"/>
          <w:sz w:val="22"/>
        </w:rPr>
        <w:t>3.</w:t>
      </w:r>
      <w:r w:rsidR="00886693" w:rsidRPr="0071399C">
        <w:rPr>
          <w:rFonts w:ascii="Arial" w:hAnsi="Arial" w:cs="Arial"/>
          <w:sz w:val="22"/>
        </w:rPr>
        <w:t>6</w:t>
      </w:r>
      <w:r w:rsidRPr="0071399C">
        <w:rPr>
          <w:rFonts w:ascii="Arial" w:hAnsi="Arial" w:cs="Arial"/>
          <w:sz w:val="22"/>
        </w:rPr>
        <w:t>.</w:t>
      </w:r>
      <w:r w:rsidR="00A337D3" w:rsidRPr="0071399C">
        <w:rPr>
          <w:rFonts w:ascii="Arial" w:hAnsi="Arial" w:cs="Arial"/>
          <w:sz w:val="22"/>
        </w:rPr>
        <w:t>1</w:t>
      </w:r>
      <w:r w:rsidRPr="0071399C">
        <w:rPr>
          <w:rFonts w:ascii="Arial" w:hAnsi="Arial" w:cs="Arial"/>
          <w:sz w:val="22"/>
        </w:rPr>
        <w:t>.3. Žrtve trgovine ljudima</w:t>
      </w:r>
      <w:bookmarkEnd w:id="40"/>
      <w:r w:rsidR="00032373" w:rsidRPr="0071399C">
        <w:rPr>
          <w:rFonts w:ascii="Arial" w:hAnsi="Arial" w:cs="Arial"/>
          <w:sz w:val="22"/>
        </w:rPr>
        <w:t xml:space="preserve"> </w:t>
      </w:r>
    </w:p>
    <w:p w14:paraId="7D46204D" w14:textId="6C634591" w:rsidR="009D6FCA" w:rsidRPr="00985C21" w:rsidRDefault="009D6FCA" w:rsidP="00F61EAC">
      <w:pPr>
        <w:spacing w:line="269" w:lineRule="auto"/>
        <w:rPr>
          <w:rFonts w:ascii="Arial" w:hAnsi="Arial" w:cs="Arial"/>
        </w:rPr>
      </w:pPr>
      <w:r w:rsidRPr="009D6FCA">
        <w:rPr>
          <w:rFonts w:ascii="Arial" w:hAnsi="Arial" w:cs="Arial"/>
          <w:lang w:val="it-IT"/>
        </w:rPr>
        <w:t>Konvencija</w:t>
      </w:r>
      <w:r w:rsidRPr="00985C21">
        <w:rPr>
          <w:rFonts w:ascii="Arial" w:hAnsi="Arial" w:cs="Arial"/>
        </w:rPr>
        <w:t xml:space="preserve"> </w:t>
      </w:r>
      <w:r w:rsidRPr="009D6FCA">
        <w:rPr>
          <w:rFonts w:ascii="Arial" w:hAnsi="Arial" w:cs="Arial"/>
          <w:lang w:val="it-IT"/>
        </w:rPr>
        <w:t>Sav</w:t>
      </w:r>
      <w:r w:rsidR="00096ED8">
        <w:rPr>
          <w:rFonts w:ascii="Arial" w:hAnsi="Arial" w:cs="Arial"/>
          <w:lang w:val="it-IT"/>
        </w:rPr>
        <w:t>j</w:t>
      </w:r>
      <w:r w:rsidRPr="009D6FCA">
        <w:rPr>
          <w:rFonts w:ascii="Arial" w:hAnsi="Arial" w:cs="Arial"/>
          <w:lang w:val="it-IT"/>
        </w:rPr>
        <w:t>eta</w:t>
      </w:r>
      <w:r w:rsidRPr="00985C21">
        <w:rPr>
          <w:rFonts w:ascii="Arial" w:hAnsi="Arial" w:cs="Arial"/>
        </w:rPr>
        <w:t xml:space="preserve"> </w:t>
      </w:r>
      <w:r w:rsidRPr="009D6FCA">
        <w:rPr>
          <w:rFonts w:ascii="Arial" w:hAnsi="Arial" w:cs="Arial"/>
          <w:lang w:val="it-IT"/>
        </w:rPr>
        <w:t>Evrope</w:t>
      </w:r>
      <w:r w:rsidRPr="00985C21">
        <w:rPr>
          <w:rFonts w:ascii="Arial" w:hAnsi="Arial" w:cs="Arial"/>
        </w:rPr>
        <w:t xml:space="preserve"> </w:t>
      </w:r>
      <w:r w:rsidRPr="009D6FCA">
        <w:rPr>
          <w:rFonts w:ascii="Arial" w:hAnsi="Arial" w:cs="Arial"/>
          <w:lang w:val="it-IT"/>
        </w:rPr>
        <w:t>o</w:t>
      </w:r>
      <w:r w:rsidRPr="00985C21">
        <w:rPr>
          <w:rFonts w:ascii="Arial" w:hAnsi="Arial" w:cs="Arial"/>
        </w:rPr>
        <w:t xml:space="preserve"> </w:t>
      </w:r>
      <w:r w:rsidRPr="009D6FCA">
        <w:rPr>
          <w:rFonts w:ascii="Arial" w:hAnsi="Arial" w:cs="Arial"/>
          <w:lang w:val="it-IT"/>
        </w:rPr>
        <w:t>borbi</w:t>
      </w:r>
      <w:r w:rsidRPr="00985C21">
        <w:rPr>
          <w:rFonts w:ascii="Arial" w:hAnsi="Arial" w:cs="Arial"/>
        </w:rPr>
        <w:t xml:space="preserve"> </w:t>
      </w:r>
      <w:r w:rsidRPr="009D6FCA">
        <w:rPr>
          <w:rFonts w:ascii="Arial" w:hAnsi="Arial" w:cs="Arial"/>
          <w:lang w:val="it-IT"/>
        </w:rPr>
        <w:t>protiv</w:t>
      </w:r>
      <w:r w:rsidRPr="00985C21">
        <w:rPr>
          <w:rFonts w:ascii="Arial" w:hAnsi="Arial" w:cs="Arial"/>
        </w:rPr>
        <w:t xml:space="preserve"> </w:t>
      </w:r>
      <w:r w:rsidRPr="009D6FCA">
        <w:rPr>
          <w:rFonts w:ascii="Arial" w:hAnsi="Arial" w:cs="Arial"/>
          <w:lang w:val="it-IT"/>
        </w:rPr>
        <w:t>trgovine</w:t>
      </w:r>
      <w:r w:rsidRPr="00985C21">
        <w:rPr>
          <w:rFonts w:ascii="Arial" w:hAnsi="Arial" w:cs="Arial"/>
        </w:rPr>
        <w:t xml:space="preserve"> </w:t>
      </w:r>
      <w:r w:rsidRPr="009D6FCA">
        <w:rPr>
          <w:rFonts w:ascii="Arial" w:hAnsi="Arial" w:cs="Arial"/>
          <w:lang w:val="it-IT"/>
        </w:rPr>
        <w:t>ljudima</w:t>
      </w:r>
      <w:r w:rsidRPr="00985C21">
        <w:rPr>
          <w:rFonts w:ascii="Arial" w:hAnsi="Arial" w:cs="Arial"/>
        </w:rPr>
        <w:t xml:space="preserve"> </w:t>
      </w:r>
      <w:r>
        <w:rPr>
          <w:rFonts w:ascii="Arial" w:hAnsi="Arial" w:cs="Arial"/>
          <w:lang w:val="it-IT"/>
        </w:rPr>
        <w:t>da</w:t>
      </w:r>
      <w:r w:rsidR="00096ED8">
        <w:rPr>
          <w:rFonts w:ascii="Arial" w:hAnsi="Arial" w:cs="Arial"/>
          <w:lang w:val="it-IT"/>
        </w:rPr>
        <w:t>l</w:t>
      </w:r>
      <w:r>
        <w:rPr>
          <w:rFonts w:ascii="Arial" w:hAnsi="Arial" w:cs="Arial"/>
          <w:lang w:val="it-IT"/>
        </w:rPr>
        <w:t>je</w:t>
      </w:r>
      <w:r>
        <w:rPr>
          <w:rFonts w:ascii="Arial" w:hAnsi="Arial" w:cs="Arial"/>
        </w:rPr>
        <w:t xml:space="preserve"> </w:t>
      </w:r>
      <w:r w:rsidRPr="0085657D">
        <w:rPr>
          <w:rFonts w:ascii="Arial" w:hAnsi="Arial" w:cs="Arial"/>
        </w:rPr>
        <w:t>predviđa sveobuhvatan set garancija u pogledu prepoznavanja žrtava trgovine ljudima, njihove zaštite i podrške u skladu sa individualnom procjenom potreba</w:t>
      </w:r>
      <w:r>
        <w:rPr>
          <w:rFonts w:ascii="Arial" w:hAnsi="Arial" w:cs="Arial"/>
        </w:rPr>
        <w:t xml:space="preserve">, a izvještajima </w:t>
      </w:r>
      <w:r w:rsidRPr="009D6FCA">
        <w:rPr>
          <w:rFonts w:ascii="Arial" w:hAnsi="Arial" w:cs="Arial"/>
        </w:rPr>
        <w:t>Grupa stručnjaka za borbu protiv trgovine ljudima (GRETA)</w:t>
      </w:r>
      <w:r>
        <w:rPr>
          <w:rFonts w:ascii="Arial" w:hAnsi="Arial" w:cs="Arial"/>
        </w:rPr>
        <w:t xml:space="preserve"> prepoznati su problemi u normativnom i institucionalnom okviru Crne Gore i definisane preporuke za unapređenje.</w:t>
      </w:r>
      <w:r>
        <w:rPr>
          <w:rStyle w:val="FootnoteReference"/>
          <w:rFonts w:ascii="Arial" w:hAnsi="Arial" w:cs="Arial"/>
        </w:rPr>
        <w:footnoteReference w:id="60"/>
      </w:r>
    </w:p>
    <w:p w14:paraId="1CD56696" w14:textId="5491EA95" w:rsidR="00F61EAC" w:rsidRPr="0085657D" w:rsidRDefault="00F61EAC" w:rsidP="00F61EAC">
      <w:pPr>
        <w:spacing w:line="269" w:lineRule="auto"/>
        <w:rPr>
          <w:rFonts w:ascii="Arial" w:hAnsi="Arial" w:cs="Arial"/>
        </w:rPr>
      </w:pPr>
      <w:r w:rsidRPr="0085657D">
        <w:rPr>
          <w:rFonts w:ascii="Arial" w:hAnsi="Arial" w:cs="Arial"/>
          <w:lang w:val="it-IT"/>
        </w:rPr>
        <w:t>Direktiva</w:t>
      </w:r>
      <w:r w:rsidRPr="0085657D">
        <w:rPr>
          <w:rFonts w:ascii="Arial" w:hAnsi="Arial" w:cs="Arial"/>
        </w:rPr>
        <w:t xml:space="preserve"> </w:t>
      </w:r>
      <w:r w:rsidRPr="0085657D">
        <w:rPr>
          <w:rFonts w:ascii="Arial" w:hAnsi="Arial" w:cs="Arial"/>
          <w:lang w:val="it-IT"/>
        </w:rPr>
        <w:t>Evropske</w:t>
      </w:r>
      <w:r w:rsidRPr="0085657D">
        <w:rPr>
          <w:rFonts w:ascii="Arial" w:hAnsi="Arial" w:cs="Arial"/>
        </w:rPr>
        <w:t xml:space="preserve"> </w:t>
      </w:r>
      <w:r w:rsidRPr="0085657D">
        <w:rPr>
          <w:rFonts w:ascii="Arial" w:hAnsi="Arial" w:cs="Arial"/>
          <w:lang w:val="it-IT"/>
        </w:rPr>
        <w:t>unije</w:t>
      </w:r>
      <w:r w:rsidRPr="0085657D">
        <w:rPr>
          <w:rFonts w:ascii="Arial" w:hAnsi="Arial" w:cs="Arial"/>
        </w:rPr>
        <w:t xml:space="preserve"> 2011/36/</w:t>
      </w:r>
      <w:r w:rsidRPr="0085657D">
        <w:rPr>
          <w:rFonts w:ascii="Arial" w:hAnsi="Arial" w:cs="Arial"/>
          <w:lang w:val="it-IT"/>
        </w:rPr>
        <w:t>EU</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spre</w:t>
      </w:r>
      <w:r w:rsidRPr="0085657D">
        <w:rPr>
          <w:rFonts w:ascii="Arial" w:hAnsi="Arial" w:cs="Arial"/>
        </w:rPr>
        <w:t>č</w:t>
      </w:r>
      <w:r w:rsidRPr="0085657D">
        <w:rPr>
          <w:rFonts w:ascii="Arial" w:hAnsi="Arial" w:cs="Arial"/>
          <w:lang w:val="it-IT"/>
        </w:rPr>
        <w:t>avanju</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suzbijanju</w:t>
      </w:r>
      <w:r w:rsidRPr="0085657D">
        <w:rPr>
          <w:rFonts w:ascii="Arial" w:hAnsi="Arial" w:cs="Arial"/>
        </w:rPr>
        <w:t xml:space="preserve"> </w:t>
      </w:r>
      <w:r w:rsidRPr="0085657D">
        <w:rPr>
          <w:rFonts w:ascii="Arial" w:hAnsi="Arial" w:cs="Arial"/>
          <w:lang w:val="it-IT"/>
        </w:rPr>
        <w:t>trgovine</w:t>
      </w:r>
      <w:r w:rsidRPr="0085657D">
        <w:rPr>
          <w:rFonts w:ascii="Arial" w:hAnsi="Arial" w:cs="Arial"/>
        </w:rPr>
        <w:t xml:space="preserve"> </w:t>
      </w:r>
      <w:r w:rsidRPr="0085657D">
        <w:rPr>
          <w:rFonts w:ascii="Arial" w:hAnsi="Arial" w:cs="Arial"/>
          <w:lang w:val="it-IT"/>
        </w:rPr>
        <w:t>ljudima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za</w:t>
      </w:r>
      <w:r w:rsidRPr="0085657D">
        <w:rPr>
          <w:rFonts w:ascii="Arial" w:hAnsi="Arial" w:cs="Arial"/>
        </w:rPr>
        <w:t>š</w:t>
      </w:r>
      <w:r w:rsidRPr="0085657D">
        <w:rPr>
          <w:rFonts w:ascii="Arial" w:hAnsi="Arial" w:cs="Arial"/>
          <w:lang w:val="it-IT"/>
        </w:rPr>
        <w:t>titi</w:t>
      </w:r>
      <w:r w:rsidRPr="0085657D">
        <w:rPr>
          <w:rFonts w:ascii="Arial" w:hAnsi="Arial" w:cs="Arial"/>
        </w:rPr>
        <w:t xml:space="preserve"> ž</w:t>
      </w:r>
      <w:r w:rsidRPr="0085657D">
        <w:rPr>
          <w:rFonts w:ascii="Arial" w:hAnsi="Arial" w:cs="Arial"/>
          <w:lang w:val="it-IT"/>
        </w:rPr>
        <w:t>rtava</w:t>
      </w:r>
      <w:r w:rsidRPr="0085657D">
        <w:rPr>
          <w:rFonts w:ascii="Arial" w:hAnsi="Arial" w:cs="Arial"/>
          <w:b/>
          <w:bCs/>
        </w:rPr>
        <w:t xml:space="preserve">  </w:t>
      </w:r>
      <w:r w:rsidRPr="0085657D">
        <w:rPr>
          <w:rFonts w:ascii="Arial" w:hAnsi="Arial" w:cs="Arial"/>
        </w:rPr>
        <w:t>predviđa sveobuhvatan set garancija u pogledu prepoznavanja žrtava trgovine ljudima, njihove zaštite i podrške u skladu sa individualnom procjenom potreba.</w:t>
      </w:r>
    </w:p>
    <w:p w14:paraId="41CD420A" w14:textId="3A5EB96C" w:rsidR="00F61EAC" w:rsidRPr="0085657D" w:rsidRDefault="00F61EAC" w:rsidP="00F61EAC">
      <w:pPr>
        <w:spacing w:line="269" w:lineRule="auto"/>
        <w:rPr>
          <w:rFonts w:ascii="Arial" w:hAnsi="Arial" w:cs="Arial"/>
        </w:rPr>
      </w:pPr>
      <w:r w:rsidRPr="0085657D">
        <w:rPr>
          <w:rFonts w:ascii="Arial" w:hAnsi="Arial" w:cs="Arial"/>
        </w:rPr>
        <w:t xml:space="preserve">U junu 2024. godine Evropska unija </w:t>
      </w:r>
      <w:r w:rsidR="00096ED8">
        <w:rPr>
          <w:rFonts w:ascii="Arial" w:hAnsi="Arial" w:cs="Arial"/>
        </w:rPr>
        <w:t xml:space="preserve">je </w:t>
      </w:r>
      <w:r w:rsidRPr="0085657D">
        <w:rPr>
          <w:rFonts w:ascii="Arial" w:hAnsi="Arial" w:cs="Arial"/>
        </w:rPr>
        <w:t xml:space="preserve">revidirala pravila EU o sprečavanju i borbi protiv trgovine ljudima, izmjenom Direktive 2011/36/EU o sprečavanju i borbi protiv trgovine ljudima i zaštiti njenih žrtava. Ova pravila obezbjeđuju snažnije alate za sprovođenje zakona i pravosudne organe da istražuju i krivično gone nove oblike eksploatacije, uključujući i one koji se dešavaju na mreži, te osiguravaju viši nivo pomoći i podrške žrtvama. </w:t>
      </w:r>
    </w:p>
    <w:p w14:paraId="7A6B4049" w14:textId="77777777" w:rsidR="00F61EAC" w:rsidRPr="0085657D" w:rsidRDefault="00F61EAC" w:rsidP="00F61EAC">
      <w:pPr>
        <w:spacing w:line="269" w:lineRule="auto"/>
        <w:rPr>
          <w:rFonts w:ascii="Arial" w:hAnsi="Arial" w:cs="Arial"/>
        </w:rPr>
      </w:pPr>
      <w:r w:rsidRPr="0085657D">
        <w:rPr>
          <w:rFonts w:ascii="Arial" w:hAnsi="Arial" w:cs="Arial"/>
        </w:rPr>
        <w:t>Jedan od ključnih problema u praksi tiče se prepoznavanja žrtava koje se nerijetko nađu u procesnom svojstvu okrivljenog, posebno kada se radi o tzv. eksploataciji u svrhu vršenja kriminalnih aktivnosti (npr. trgovina narkoticima, krađe, prosjačenje) ali i u slučajevima razgraničenja prostitucije i trgovine ljudima. U strahu od mogućih posljedica, žrtve se teško odlučuju na svjedočenje i prihvataju ulogu krivca. U tom smislu, od velikog značaja je njihova zaštita ali i osnaživanje za aktivno učešće u postupku.</w:t>
      </w:r>
    </w:p>
    <w:p w14:paraId="7F8E3BBC" w14:textId="77777777" w:rsidR="00F61EAC" w:rsidRPr="0085657D" w:rsidRDefault="00F61EAC" w:rsidP="00F61EAC">
      <w:pPr>
        <w:spacing w:line="269" w:lineRule="auto"/>
        <w:rPr>
          <w:rFonts w:ascii="Arial" w:hAnsi="Arial" w:cs="Arial"/>
        </w:rPr>
      </w:pPr>
      <w:r w:rsidRPr="0085657D">
        <w:rPr>
          <w:rFonts w:ascii="Arial" w:hAnsi="Arial" w:cs="Arial"/>
        </w:rPr>
        <w:t xml:space="preserve">Posljednjim izmjenama Krivičnog zakonika, iz decembra mjeseca 2023. godine, osim terminološkog usklađivanja pojma djeteta, kao jedan od načina izvršenja krivičnog djela trgovina ljudima dodata je i otmica, kao i još jedan teži oblik ovog krivičnog djela, a koji će postojati ako je usljed počinjenog djela prema djetetu nastupila teška tjelesna povreda i u tom slučaju propisana je kazna zatvora od najmanje pet godina. </w:t>
      </w:r>
    </w:p>
    <w:p w14:paraId="253F11B8" w14:textId="77777777" w:rsidR="00DA03C1" w:rsidRDefault="00DA03C1" w:rsidP="00F61EAC">
      <w:pPr>
        <w:spacing w:line="269" w:lineRule="auto"/>
        <w:rPr>
          <w:rFonts w:ascii="Arial" w:hAnsi="Arial" w:cs="Arial"/>
        </w:rPr>
      </w:pPr>
    </w:p>
    <w:p w14:paraId="7088FE73" w14:textId="77777777" w:rsidR="00DA03C1" w:rsidRDefault="00DA03C1" w:rsidP="00F61EAC">
      <w:pPr>
        <w:spacing w:line="269" w:lineRule="auto"/>
        <w:rPr>
          <w:rFonts w:ascii="Arial" w:hAnsi="Arial" w:cs="Arial"/>
        </w:rPr>
      </w:pPr>
    </w:p>
    <w:p w14:paraId="0E968805" w14:textId="73750768" w:rsidR="00F61EAC" w:rsidRPr="0085657D" w:rsidRDefault="00F61EAC" w:rsidP="00F61EAC">
      <w:pPr>
        <w:spacing w:line="269" w:lineRule="auto"/>
        <w:rPr>
          <w:rFonts w:ascii="Arial" w:hAnsi="Arial" w:cs="Arial"/>
        </w:rPr>
      </w:pPr>
      <w:r w:rsidRPr="0085657D">
        <w:rPr>
          <w:rFonts w:ascii="Arial" w:hAnsi="Arial" w:cs="Arial"/>
        </w:rPr>
        <w:lastRenderedPageBreak/>
        <w:t>Istovremeno, u vidu novog stava dodata</w:t>
      </w:r>
      <w:r w:rsidR="00096ED8">
        <w:rPr>
          <w:rFonts w:ascii="Arial" w:hAnsi="Arial" w:cs="Arial"/>
        </w:rPr>
        <w:t xml:space="preserve"> je</w:t>
      </w:r>
      <w:r w:rsidRPr="0085657D">
        <w:rPr>
          <w:rFonts w:ascii="Arial" w:hAnsi="Arial" w:cs="Arial"/>
        </w:rPr>
        <w:t xml:space="preserve"> i izričita odredba o nekažnjavanju žrtve. Na taj način uz ranije uvrštene odredbe o irelevantnosti pristanka žrtve na namjeravanu eksploataciju na postojanje krivičnog djela, kao i sankcionisanja korisnika usluga, zaokružen je ovaj normativni okvir.</w:t>
      </w:r>
    </w:p>
    <w:p w14:paraId="3FECF0DF" w14:textId="17822645" w:rsidR="00F61EAC" w:rsidRPr="0085657D" w:rsidRDefault="00F61EAC" w:rsidP="00F61EAC">
      <w:pPr>
        <w:spacing w:line="269" w:lineRule="auto"/>
        <w:rPr>
          <w:rFonts w:ascii="Arial" w:hAnsi="Arial" w:cs="Arial"/>
        </w:rPr>
      </w:pPr>
      <w:r w:rsidRPr="0085657D">
        <w:rPr>
          <w:rFonts w:ascii="Arial" w:hAnsi="Arial" w:cs="Arial"/>
        </w:rPr>
        <w:t>Sistem identifikacije žrtava trgovine ljudima unaprijeđen je formiranjem Tima za formalnu identifikaciju žrtava trgovine ljudima 2019. godine, čije je ključno načelo u radu dodjeljivanje statusa žrtve po osnovu ugrožavanja ljudskih prava, nezavisno od toka krivičnog postupka. U 2024. godini kroz rad Tima za formalnu identifikaciju žrtava trgovine ljudima status žrtve dobilo</w:t>
      </w:r>
      <w:r w:rsidR="00096ED8">
        <w:rPr>
          <w:rFonts w:ascii="Arial" w:hAnsi="Arial" w:cs="Arial"/>
        </w:rPr>
        <w:t xml:space="preserve"> je </w:t>
      </w:r>
      <w:r w:rsidRPr="0085657D">
        <w:rPr>
          <w:rFonts w:ascii="Arial" w:hAnsi="Arial" w:cs="Arial"/>
        </w:rPr>
        <w:t xml:space="preserve"> 28 lica, gdje su kao oblici eksploatacije prepoznati radna eksploatacija i prisilno prosjačenje.</w:t>
      </w:r>
    </w:p>
    <w:p w14:paraId="7FE178AB" w14:textId="54B3FBD5" w:rsidR="00F61EAC" w:rsidRPr="0085657D" w:rsidRDefault="00F61EAC" w:rsidP="00F61EAC">
      <w:pPr>
        <w:spacing w:line="269" w:lineRule="auto"/>
        <w:rPr>
          <w:rFonts w:ascii="Arial" w:hAnsi="Arial" w:cs="Arial"/>
        </w:rPr>
      </w:pPr>
      <w:r w:rsidRPr="0085657D">
        <w:rPr>
          <w:rFonts w:ascii="Arial" w:hAnsi="Arial" w:cs="Arial"/>
        </w:rPr>
        <w:t xml:space="preserve">Kako bi se postigla bolja ravnoteža između postignutih rezultata u istraživanju i krivičnom gonjenju predmeta, Državni tužilac i direktor Uprave policije Crne Gore su, </w:t>
      </w:r>
      <w:r w:rsidRPr="0085657D">
        <w:rPr>
          <w:rFonts w:ascii="Arial" w:hAnsi="Arial" w:cs="Arial"/>
          <w:b/>
        </w:rPr>
        <w:t>tokom 2018. godine, formirali Operativni tim</w:t>
      </w:r>
      <w:r w:rsidRPr="0085657D">
        <w:rPr>
          <w:rFonts w:ascii="Arial" w:hAnsi="Arial" w:cs="Arial"/>
        </w:rPr>
        <w:t xml:space="preserve"> za borbu protiv trgovine ljudima.</w:t>
      </w:r>
      <w:r w:rsidRPr="0085657D">
        <w:rPr>
          <w:rFonts w:ascii="Arial" w:hAnsi="Arial" w:cs="Arial"/>
          <w:vertAlign w:val="superscript"/>
        </w:rPr>
        <w:footnoteReference w:id="61"/>
      </w:r>
      <w:r w:rsidRPr="0085657D">
        <w:rPr>
          <w:rFonts w:ascii="Arial" w:hAnsi="Arial" w:cs="Arial"/>
        </w:rPr>
        <w:t xml:space="preserve"> Odlukom iz 2024. godine, državni javni tužilac i ministar unutrašnjih poslova Crne Gore proširili su nadležnosti ovog tijela, koj</w:t>
      </w:r>
      <w:r w:rsidR="00F804F5">
        <w:rPr>
          <w:rFonts w:ascii="Arial" w:hAnsi="Arial" w:cs="Arial"/>
        </w:rPr>
        <w:t>e</w:t>
      </w:r>
      <w:r w:rsidRPr="0085657D">
        <w:rPr>
          <w:rFonts w:ascii="Arial" w:hAnsi="Arial" w:cs="Arial"/>
        </w:rPr>
        <w:t xml:space="preserve"> se sada bavi i poslovima u vezi sa ilegalnim prelaskom teritorije i krijumčarenjem ljudi</w:t>
      </w:r>
      <w:r w:rsidRPr="0085657D">
        <w:rPr>
          <w:rFonts w:ascii="Arial" w:hAnsi="Arial" w:cs="Arial"/>
          <w:vertAlign w:val="superscript"/>
          <w:lang w:val="en-US"/>
        </w:rPr>
        <w:footnoteReference w:id="62"/>
      </w:r>
      <w:r w:rsidRPr="0085657D">
        <w:rPr>
          <w:rFonts w:ascii="Arial" w:hAnsi="Arial" w:cs="Arial"/>
        </w:rPr>
        <w:t>. Tim se sastoji od predstavnika Ministarstva unutrašnjih poslova, Uprave policije i Višeg državnog tužilaštva. Sastaje se najmanje četiri puta godišnje, a osim analize postignutih rezultata, izazova i problema u svom radu, donosi zaključke koji su značajni za budući rad u ovoj oblasti i doprinose realizaciji strateških planova. Ključni zadaci pomenutog tijela su:</w:t>
      </w:r>
    </w:p>
    <w:p w14:paraId="07DF3A46"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 xml:space="preserve">efikasnije procesuiranje slučajeva trgovine ljudima i nezakonitog prelaska državnih granica i krijumčarenja ljudi; </w:t>
      </w:r>
    </w:p>
    <w:p w14:paraId="19CB568A"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koordinacija aktivnosti i usklađivanje rada sa drugim učesnicima na suzbijanju trgovine ljudima i nezakonitog prelaska državnih granica i krijumčarenja ljudi;</w:t>
      </w:r>
    </w:p>
    <w:p w14:paraId="28C3AE12"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 xml:space="preserve">identifikacija žrtava trgovine ljudima u lancu trgovine ljudima, ilegalnog prelaska državne granice i krijumčarenja ljudi i drugih krivičnih djela počinjenih od strane kriminalnih grupa; </w:t>
      </w:r>
    </w:p>
    <w:p w14:paraId="75F9BC61"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 xml:space="preserve">prikupljanje informacija o finansijskim sredstvima stečenim trgovinom ljudima i ilegalnim prelaskom državnih granica i krijumčarenjem ljudi u svrhu sprovođenja finansijskih istraga; </w:t>
      </w:r>
    </w:p>
    <w:p w14:paraId="08BCDF43"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ostvarivanje međunarodne saradnje neposrednim kontaktom sa policijskim službama, naročito u zemljama iz regiona, kao i sa drugim međunarodnim organizacijama i  inicijativama, i učešćem u zajedničkim istražnim timovima.</w:t>
      </w:r>
    </w:p>
    <w:p w14:paraId="625A579D" w14:textId="77777777" w:rsidR="00DA03C1" w:rsidRDefault="00F61EAC" w:rsidP="00F61EAC">
      <w:pPr>
        <w:spacing w:line="269" w:lineRule="auto"/>
        <w:rPr>
          <w:rFonts w:ascii="Arial" w:hAnsi="Arial" w:cs="Arial"/>
        </w:rPr>
      </w:pPr>
      <w:r w:rsidRPr="0085657D">
        <w:rPr>
          <w:rFonts w:ascii="Arial" w:hAnsi="Arial" w:cs="Arial"/>
        </w:rPr>
        <w:t xml:space="preserve">Saradnja na zaštiti žrtava zasniva se na Sporazumu o međusobnoj saradnji u oblasti borbe protiv trgovine ljudima,  koji je potpisan 2007. godine između državnih institucija i relevantnih nevladinih organizacija. Sporazum je više puta revidiran kako bi bio prilagođen aktuelnom kontekstu i nadležnostima institucija, a posljednji put je potpisan 27. maja 2024. godine. Cilj ovog sporazuma je saradnja na prevenciji, edukaciji, otkrivanju i procesuiranju počinilaca, kao i na identifikaciji, zaštiti, integraciji, reintegraciji i rehabilitaciji potencijalnih i stvarnih žrtava trgovine ljudima, posebno žena i djece, uz puno poštovanje njihovih ljudskih prava. </w:t>
      </w:r>
    </w:p>
    <w:p w14:paraId="50CDB0EE" w14:textId="1EF2C41D" w:rsidR="00F61EAC" w:rsidRPr="0085657D" w:rsidRDefault="00F61EAC" w:rsidP="00F61EAC">
      <w:pPr>
        <w:spacing w:line="269" w:lineRule="auto"/>
        <w:rPr>
          <w:rFonts w:ascii="Arial" w:hAnsi="Arial" w:cs="Arial"/>
        </w:rPr>
      </w:pPr>
      <w:r w:rsidRPr="0085657D">
        <w:rPr>
          <w:rFonts w:ascii="Arial" w:hAnsi="Arial" w:cs="Arial"/>
        </w:rPr>
        <w:lastRenderedPageBreak/>
        <w:t>Sporazum obezbjeđuje fizičku, psihološku, zdravstvenu, socijalnu i zaštitu djece žrtava trgovine ljudima, njihovu integraciju u novo društvo ili reintegraciju u slučaju dobrovoljnog povratka u zemlju porijekla. Potpisnici Sporazuma su saglasni da pruže pomoć žrtvama trgovine ljudima, u skladu sa Sporazumom, bez obzira na volju žrtve da učestvuje ili ne učestvuje u krivičnom postupku za krivično djelo trgovine ljudima. Takođe, obavezuju se da žrtvama pruže informacije o besplatnoj pravnoj pomoći i drugim pravima, u skladu sa nadležnostima i zakonskim odredbama.</w:t>
      </w:r>
    </w:p>
    <w:p w14:paraId="7E097F03" w14:textId="77777777" w:rsidR="00F61EAC" w:rsidRPr="0085657D" w:rsidRDefault="00F61EAC" w:rsidP="00F61EAC">
      <w:pPr>
        <w:spacing w:line="269" w:lineRule="auto"/>
        <w:rPr>
          <w:rFonts w:ascii="Arial" w:hAnsi="Arial" w:cs="Arial"/>
        </w:rPr>
      </w:pPr>
      <w:r w:rsidRPr="0085657D">
        <w:rPr>
          <w:rFonts w:ascii="Arial" w:hAnsi="Arial" w:cs="Arial"/>
        </w:rPr>
        <w:t>Protokol o postupanju organa, institucija i organizacija u Crnoj Gori u vezi sa djecom koja žive i rade na ulici potpisan je 2019. godine, a revidiran 2021. godine. Ovaj Protokol pruža smjernice za postupanje svim akterima koji rade s djecom, ali i s njihovim porodicama, kako bi zajedničkim djelovanjem preduzeli mjere i aktivnosti za zaštitu djece uključene u život i rad na ulici, u skladu s garantovanim pravima djeteta. Protokol se odnosi na postupanje svih službenih lica i drugih stručnjaka koji obavljaju poslove značajne za zaštitu djece koja su uključena u život i rad na ulici (policija, centri za socijalni rad, druge institucije i pružaoci usluga socijalne zaštite, zdravstvene ustanove, obrazovne institucije, organizacije i drugi).</w:t>
      </w:r>
    </w:p>
    <w:p w14:paraId="4D5A8D27" w14:textId="08A44029" w:rsidR="00F61EAC" w:rsidRPr="0085657D" w:rsidRDefault="00F61EAC" w:rsidP="00F61EAC">
      <w:pPr>
        <w:spacing w:line="269" w:lineRule="auto"/>
        <w:rPr>
          <w:rFonts w:ascii="Arial" w:hAnsi="Arial" w:cs="Arial"/>
        </w:rPr>
      </w:pPr>
      <w:r w:rsidRPr="0085657D">
        <w:rPr>
          <w:rFonts w:ascii="Arial" w:hAnsi="Arial" w:cs="Arial"/>
        </w:rPr>
        <w:t xml:space="preserve">Posebno zabrinjava činjenica da su žrtve trgovine ljudima nerijetko djeca. </w:t>
      </w:r>
      <w:r w:rsidRPr="0085657D">
        <w:rPr>
          <w:rFonts w:ascii="Arial" w:hAnsi="Arial" w:cs="Arial"/>
          <w:lang w:val="it-IT"/>
        </w:rPr>
        <w:t>Podaci</w:t>
      </w:r>
      <w:r w:rsidRPr="0085657D">
        <w:rPr>
          <w:rFonts w:ascii="Arial" w:hAnsi="Arial" w:cs="Arial"/>
        </w:rPr>
        <w:t xml:space="preserve"> </w:t>
      </w:r>
      <w:r w:rsidRPr="0085657D">
        <w:rPr>
          <w:rFonts w:ascii="Arial" w:hAnsi="Arial" w:cs="Arial"/>
          <w:lang w:val="it-IT"/>
        </w:rPr>
        <w:t>Stru</w:t>
      </w:r>
      <w:r w:rsidRPr="0085657D">
        <w:rPr>
          <w:rFonts w:ascii="Arial" w:hAnsi="Arial" w:cs="Arial"/>
        </w:rPr>
        <w:t>č</w:t>
      </w:r>
      <w:r w:rsidRPr="0085657D">
        <w:rPr>
          <w:rFonts w:ascii="Arial" w:hAnsi="Arial" w:cs="Arial"/>
          <w:lang w:val="it-IT"/>
        </w:rPr>
        <w:t>ne</w:t>
      </w:r>
      <w:r w:rsidRPr="0085657D">
        <w:rPr>
          <w:rFonts w:ascii="Arial" w:hAnsi="Arial" w:cs="Arial"/>
        </w:rPr>
        <w:t xml:space="preserve"> </w:t>
      </w:r>
      <w:r w:rsidRPr="0085657D">
        <w:rPr>
          <w:rFonts w:ascii="Arial" w:hAnsi="Arial" w:cs="Arial"/>
          <w:lang w:val="it-IT"/>
        </w:rPr>
        <w:t>slu</w:t>
      </w:r>
      <w:r w:rsidRPr="0085657D">
        <w:rPr>
          <w:rFonts w:ascii="Arial" w:hAnsi="Arial" w:cs="Arial"/>
        </w:rPr>
        <w:t>ž</w:t>
      </w:r>
      <w:r w:rsidRPr="0085657D">
        <w:rPr>
          <w:rFonts w:ascii="Arial" w:hAnsi="Arial" w:cs="Arial"/>
          <w:lang w:val="it-IT"/>
        </w:rPr>
        <w:t>be</w:t>
      </w:r>
      <w:r w:rsidRPr="0085657D">
        <w:rPr>
          <w:rFonts w:ascii="Arial" w:hAnsi="Arial" w:cs="Arial"/>
        </w:rPr>
        <w:t xml:space="preserve"> </w:t>
      </w:r>
      <w:r w:rsidRPr="0085657D">
        <w:rPr>
          <w:rFonts w:ascii="Arial" w:hAnsi="Arial" w:cs="Arial"/>
          <w:lang w:val="it-IT"/>
        </w:rPr>
        <w:t>Vrhovnog</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avnog</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tva</w:t>
      </w:r>
      <w:r w:rsidRPr="0085657D">
        <w:rPr>
          <w:rFonts w:ascii="Arial" w:hAnsi="Arial" w:cs="Arial"/>
        </w:rPr>
        <w:t xml:space="preserve"> </w:t>
      </w:r>
      <w:r w:rsidRPr="0085657D">
        <w:rPr>
          <w:rFonts w:ascii="Arial" w:hAnsi="Arial" w:cs="Arial"/>
          <w:lang w:val="it-IT"/>
        </w:rPr>
        <w:t>pokazuju</w:t>
      </w:r>
      <w:r w:rsidRPr="0085657D">
        <w:rPr>
          <w:rFonts w:ascii="Arial" w:hAnsi="Arial" w:cs="Arial"/>
        </w:rPr>
        <w:t xml:space="preserve"> </w:t>
      </w:r>
      <w:r w:rsidRPr="0085657D">
        <w:rPr>
          <w:rFonts w:ascii="Arial" w:hAnsi="Arial" w:cs="Arial"/>
          <w:lang w:val="it-IT"/>
        </w:rPr>
        <w:t>da</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periodu</w:t>
      </w:r>
      <w:r w:rsidR="00096ED8">
        <w:rPr>
          <w:rFonts w:ascii="Arial" w:hAnsi="Arial" w:cs="Arial"/>
          <w:lang w:val="it-IT"/>
        </w:rPr>
        <w:t xml:space="preserve"> od</w:t>
      </w:r>
      <w:r w:rsidRPr="0085657D">
        <w:rPr>
          <w:rFonts w:ascii="Arial" w:hAnsi="Arial" w:cs="Arial"/>
        </w:rPr>
        <w:t xml:space="preserve"> </w:t>
      </w:r>
      <w:r w:rsidRPr="0085657D">
        <w:rPr>
          <w:rFonts w:ascii="Arial" w:hAnsi="Arial" w:cs="Arial"/>
          <w:lang w:val="it-IT"/>
        </w:rPr>
        <w:t>oktobr</w:t>
      </w:r>
      <w:r w:rsidR="00096ED8">
        <w:rPr>
          <w:rFonts w:ascii="Arial" w:hAnsi="Arial" w:cs="Arial"/>
          <w:lang w:val="it-IT"/>
        </w:rPr>
        <w:t>a</w:t>
      </w:r>
      <w:r w:rsidRPr="0085657D">
        <w:rPr>
          <w:rFonts w:ascii="Arial" w:hAnsi="Arial" w:cs="Arial"/>
        </w:rPr>
        <w:t xml:space="preserve"> 2018 - </w:t>
      </w:r>
      <w:r w:rsidRPr="0085657D">
        <w:rPr>
          <w:rFonts w:ascii="Arial" w:hAnsi="Arial" w:cs="Arial"/>
          <w:lang w:val="it-IT"/>
        </w:rPr>
        <w:t>oktobr</w:t>
      </w:r>
      <w:r w:rsidR="00096ED8">
        <w:rPr>
          <w:rFonts w:ascii="Arial" w:hAnsi="Arial" w:cs="Arial"/>
          <w:lang w:val="it-IT"/>
        </w:rPr>
        <w:t>a</w:t>
      </w:r>
      <w:r w:rsidRPr="0085657D">
        <w:rPr>
          <w:rFonts w:ascii="Arial" w:hAnsi="Arial" w:cs="Arial"/>
        </w:rPr>
        <w:t xml:space="preserve"> 2024. registrovano  30 </w:t>
      </w:r>
      <w:r w:rsidRPr="0085657D">
        <w:rPr>
          <w:rFonts w:ascii="Arial" w:hAnsi="Arial" w:cs="Arial"/>
          <w:lang w:val="it-IT"/>
        </w:rPr>
        <w:t>djece</w:t>
      </w:r>
      <w:r w:rsidRPr="0085657D">
        <w:rPr>
          <w:rFonts w:ascii="Arial" w:hAnsi="Arial" w:cs="Arial"/>
        </w:rPr>
        <w:t xml:space="preserve"> žrtava trgovine ljudima, od čega:</w:t>
      </w:r>
    </w:p>
    <w:p w14:paraId="25E5DCC6" w14:textId="77777777" w:rsidR="00F61EAC" w:rsidRPr="0085657D" w:rsidRDefault="00F61EAC" w:rsidP="00F61EAC">
      <w:pPr>
        <w:numPr>
          <w:ilvl w:val="0"/>
          <w:numId w:val="31"/>
        </w:numPr>
        <w:spacing w:line="269" w:lineRule="auto"/>
        <w:rPr>
          <w:rFonts w:ascii="Arial" w:hAnsi="Arial" w:cs="Arial"/>
        </w:rPr>
      </w:pP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svrhu</w:t>
      </w:r>
      <w:r w:rsidRPr="0085657D">
        <w:rPr>
          <w:rFonts w:ascii="Arial" w:hAnsi="Arial" w:cs="Arial"/>
        </w:rPr>
        <w:t xml:space="preserve"> </w:t>
      </w:r>
      <w:r w:rsidRPr="0085657D">
        <w:rPr>
          <w:rFonts w:ascii="Arial" w:hAnsi="Arial" w:cs="Arial"/>
          <w:lang w:val="it-IT"/>
        </w:rPr>
        <w:t>dje</w:t>
      </w:r>
      <w:r w:rsidRPr="0085657D">
        <w:rPr>
          <w:rFonts w:ascii="Arial" w:hAnsi="Arial" w:cs="Arial"/>
        </w:rPr>
        <w:t>č</w:t>
      </w:r>
      <w:r w:rsidRPr="0085657D">
        <w:rPr>
          <w:rFonts w:ascii="Arial" w:hAnsi="Arial" w:cs="Arial"/>
          <w:lang w:val="it-IT"/>
        </w:rPr>
        <w:t>ijeg</w:t>
      </w:r>
      <w:r w:rsidRPr="0085657D">
        <w:rPr>
          <w:rFonts w:ascii="Arial" w:hAnsi="Arial" w:cs="Arial"/>
        </w:rPr>
        <w:t xml:space="preserve"> </w:t>
      </w:r>
      <w:r w:rsidRPr="0085657D">
        <w:rPr>
          <w:rFonts w:ascii="Arial" w:hAnsi="Arial" w:cs="Arial"/>
          <w:lang w:val="it-IT"/>
        </w:rPr>
        <w:t>braka</w:t>
      </w:r>
      <w:r w:rsidRPr="0085657D">
        <w:rPr>
          <w:rFonts w:ascii="Arial" w:hAnsi="Arial" w:cs="Arial"/>
        </w:rPr>
        <w:t xml:space="preserve">: 13 (12 </w:t>
      </w:r>
      <w:r w:rsidRPr="0085657D">
        <w:rPr>
          <w:rFonts w:ascii="Arial" w:hAnsi="Arial" w:cs="Arial"/>
          <w:lang w:val="it-IT"/>
        </w:rPr>
        <w:t>djevoj</w:t>
      </w:r>
      <w:r w:rsidRPr="0085657D">
        <w:rPr>
          <w:rFonts w:ascii="Arial" w:hAnsi="Arial" w:cs="Arial"/>
        </w:rPr>
        <w:t>č</w:t>
      </w:r>
      <w:r w:rsidRPr="0085657D">
        <w:rPr>
          <w:rFonts w:ascii="Arial" w:hAnsi="Arial" w:cs="Arial"/>
          <w:lang w:val="it-IT"/>
        </w:rPr>
        <w:t>ica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1 </w:t>
      </w:r>
      <w:r w:rsidRPr="0085657D">
        <w:rPr>
          <w:rFonts w:ascii="Arial" w:hAnsi="Arial" w:cs="Arial"/>
          <w:lang w:val="it-IT"/>
        </w:rPr>
        <w:t>dje</w:t>
      </w:r>
      <w:r w:rsidRPr="0085657D">
        <w:rPr>
          <w:rFonts w:ascii="Arial" w:hAnsi="Arial" w:cs="Arial"/>
        </w:rPr>
        <w:t>č</w:t>
      </w:r>
      <w:r w:rsidRPr="0085657D">
        <w:rPr>
          <w:rFonts w:ascii="Arial" w:hAnsi="Arial" w:cs="Arial"/>
          <w:lang w:val="it-IT"/>
        </w:rPr>
        <w:t>ak</w:t>
      </w:r>
      <w:r w:rsidRPr="0085657D">
        <w:rPr>
          <w:rFonts w:ascii="Arial" w:hAnsi="Arial" w:cs="Arial"/>
        </w:rPr>
        <w:t>)</w:t>
      </w:r>
    </w:p>
    <w:p w14:paraId="7E5355F8" w14:textId="77777777" w:rsidR="00F61EAC" w:rsidRPr="0085657D" w:rsidRDefault="00F61EAC" w:rsidP="00F61EAC">
      <w:pPr>
        <w:numPr>
          <w:ilvl w:val="0"/>
          <w:numId w:val="31"/>
        </w:numPr>
        <w:spacing w:line="269" w:lineRule="auto"/>
        <w:rPr>
          <w:rFonts w:ascii="Arial" w:hAnsi="Arial" w:cs="Arial"/>
        </w:rPr>
      </w:pP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svrhu</w:t>
      </w:r>
      <w:r w:rsidRPr="0085657D">
        <w:rPr>
          <w:rFonts w:ascii="Arial" w:hAnsi="Arial" w:cs="Arial"/>
        </w:rPr>
        <w:t xml:space="preserve"> </w:t>
      </w:r>
      <w:r w:rsidRPr="0085657D">
        <w:rPr>
          <w:rFonts w:ascii="Arial" w:hAnsi="Arial" w:cs="Arial"/>
          <w:lang w:val="it-IT"/>
        </w:rPr>
        <w:t>prosja</w:t>
      </w:r>
      <w:r w:rsidRPr="0085657D">
        <w:rPr>
          <w:rFonts w:ascii="Arial" w:hAnsi="Arial" w:cs="Arial"/>
        </w:rPr>
        <w:t>č</w:t>
      </w:r>
      <w:r w:rsidRPr="0085657D">
        <w:rPr>
          <w:rFonts w:ascii="Arial" w:hAnsi="Arial" w:cs="Arial"/>
          <w:lang w:val="it-IT"/>
        </w:rPr>
        <w:t>enja</w:t>
      </w:r>
      <w:r w:rsidRPr="0085657D">
        <w:rPr>
          <w:rFonts w:ascii="Arial" w:hAnsi="Arial" w:cs="Arial"/>
        </w:rPr>
        <w:t xml:space="preserve">: 13 (6 </w:t>
      </w:r>
      <w:r w:rsidRPr="0085657D">
        <w:rPr>
          <w:rFonts w:ascii="Arial" w:hAnsi="Arial" w:cs="Arial"/>
          <w:lang w:val="it-IT"/>
        </w:rPr>
        <w:t>djevoj</w:t>
      </w:r>
      <w:r w:rsidRPr="0085657D">
        <w:rPr>
          <w:rFonts w:ascii="Arial" w:hAnsi="Arial" w:cs="Arial"/>
        </w:rPr>
        <w:t>č</w:t>
      </w:r>
      <w:r w:rsidRPr="0085657D">
        <w:rPr>
          <w:rFonts w:ascii="Arial" w:hAnsi="Arial" w:cs="Arial"/>
          <w:lang w:val="it-IT"/>
        </w:rPr>
        <w:t>ica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7 </w:t>
      </w:r>
      <w:r w:rsidRPr="0085657D">
        <w:rPr>
          <w:rFonts w:ascii="Arial" w:hAnsi="Arial" w:cs="Arial"/>
          <w:lang w:val="it-IT"/>
        </w:rPr>
        <w:t>dje</w:t>
      </w:r>
      <w:r w:rsidRPr="0085657D">
        <w:rPr>
          <w:rFonts w:ascii="Arial" w:hAnsi="Arial" w:cs="Arial"/>
        </w:rPr>
        <w:t>č</w:t>
      </w:r>
      <w:r w:rsidRPr="0085657D">
        <w:rPr>
          <w:rFonts w:ascii="Arial" w:hAnsi="Arial" w:cs="Arial"/>
          <w:lang w:val="it-IT"/>
        </w:rPr>
        <w:t>aka</w:t>
      </w:r>
      <w:r w:rsidRPr="0085657D">
        <w:rPr>
          <w:rFonts w:ascii="Arial" w:hAnsi="Arial" w:cs="Arial"/>
        </w:rPr>
        <w:t>)</w:t>
      </w:r>
    </w:p>
    <w:p w14:paraId="5E15F437" w14:textId="77777777" w:rsidR="00F61EAC" w:rsidRPr="0085657D" w:rsidRDefault="00F61EAC" w:rsidP="00F61EAC">
      <w:pPr>
        <w:numPr>
          <w:ilvl w:val="0"/>
          <w:numId w:val="31"/>
        </w:numPr>
        <w:spacing w:line="269" w:lineRule="auto"/>
        <w:rPr>
          <w:rFonts w:ascii="Arial" w:hAnsi="Arial" w:cs="Arial"/>
        </w:rPr>
      </w:pP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svrhu</w:t>
      </w:r>
      <w:r w:rsidRPr="0085657D">
        <w:rPr>
          <w:rFonts w:ascii="Arial" w:hAnsi="Arial" w:cs="Arial"/>
        </w:rPr>
        <w:t xml:space="preserve"> </w:t>
      </w:r>
      <w:r w:rsidRPr="0085657D">
        <w:rPr>
          <w:rFonts w:ascii="Arial" w:hAnsi="Arial" w:cs="Arial"/>
          <w:lang w:val="it-IT"/>
        </w:rPr>
        <w:t>seksualnog</w:t>
      </w:r>
      <w:r w:rsidRPr="0085657D">
        <w:rPr>
          <w:rFonts w:ascii="Arial" w:hAnsi="Arial" w:cs="Arial"/>
        </w:rPr>
        <w:t xml:space="preserve"> </w:t>
      </w:r>
      <w:r w:rsidRPr="0085657D">
        <w:rPr>
          <w:rFonts w:ascii="Arial" w:hAnsi="Arial" w:cs="Arial"/>
          <w:lang w:val="it-IT"/>
        </w:rPr>
        <w:t>iskori</w:t>
      </w:r>
      <w:r w:rsidRPr="0085657D">
        <w:rPr>
          <w:rFonts w:ascii="Arial" w:hAnsi="Arial" w:cs="Arial"/>
        </w:rPr>
        <w:t>šć</w:t>
      </w:r>
      <w:r w:rsidRPr="0085657D">
        <w:rPr>
          <w:rFonts w:ascii="Arial" w:hAnsi="Arial" w:cs="Arial"/>
          <w:lang w:val="it-IT"/>
        </w:rPr>
        <w:t>avanja</w:t>
      </w:r>
      <w:r w:rsidRPr="0085657D">
        <w:rPr>
          <w:rFonts w:ascii="Arial" w:hAnsi="Arial" w:cs="Arial"/>
        </w:rPr>
        <w:t xml:space="preserve">: 4 </w:t>
      </w:r>
      <w:r w:rsidRPr="0085657D">
        <w:rPr>
          <w:rFonts w:ascii="Arial" w:hAnsi="Arial" w:cs="Arial"/>
          <w:lang w:val="it-IT"/>
        </w:rPr>
        <w:t>djevoj</w:t>
      </w:r>
      <w:r w:rsidRPr="0085657D">
        <w:rPr>
          <w:rFonts w:ascii="Arial" w:hAnsi="Arial" w:cs="Arial"/>
        </w:rPr>
        <w:t>č</w:t>
      </w:r>
      <w:r w:rsidRPr="0085657D">
        <w:rPr>
          <w:rFonts w:ascii="Arial" w:hAnsi="Arial" w:cs="Arial"/>
          <w:lang w:val="it-IT"/>
        </w:rPr>
        <w:t>ice</w:t>
      </w:r>
      <w:r w:rsidRPr="0085657D">
        <w:rPr>
          <w:rFonts w:ascii="Arial" w:hAnsi="Arial" w:cs="Arial"/>
        </w:rPr>
        <w:t>.</w:t>
      </w:r>
    </w:p>
    <w:p w14:paraId="0B46DC31" w14:textId="6152FB39" w:rsidR="00F61EAC" w:rsidRPr="0085657D" w:rsidRDefault="00F61EAC" w:rsidP="00F61EAC">
      <w:pPr>
        <w:spacing w:line="269" w:lineRule="auto"/>
        <w:rPr>
          <w:rFonts w:ascii="Arial" w:hAnsi="Arial" w:cs="Arial"/>
        </w:rPr>
      </w:pPr>
      <w:r w:rsidRPr="0085657D">
        <w:rPr>
          <w:rFonts w:ascii="Arial" w:hAnsi="Arial" w:cs="Arial"/>
        </w:rPr>
        <w:t>Navedeni podaci jasno ukazuju da je u kontekstu vođenja krivičnog postupka neophodno razumjeti porodični i kulturološki kontekst, internalizovane porodične i kulturološke vrijednosti, kao i činjenicu da su počinioci ovog krivičnog djela nerijetko članovi porodice i kompleksnost veze djeteta sa njima, budući da se ovi faktori odražavaju</w:t>
      </w:r>
      <w:r w:rsidR="00096ED8">
        <w:rPr>
          <w:rFonts w:ascii="Arial" w:hAnsi="Arial" w:cs="Arial"/>
        </w:rPr>
        <w:t xml:space="preserve"> na</w:t>
      </w:r>
      <w:r w:rsidRPr="0085657D">
        <w:rPr>
          <w:rFonts w:ascii="Arial" w:hAnsi="Arial" w:cs="Arial"/>
        </w:rPr>
        <w:t>:</w:t>
      </w:r>
    </w:p>
    <w:p w14:paraId="387A0118" w14:textId="79C94D94" w:rsidR="00F61EAC" w:rsidRPr="00985C21" w:rsidRDefault="00F61EAC" w:rsidP="000363A3">
      <w:pPr>
        <w:numPr>
          <w:ilvl w:val="0"/>
          <w:numId w:val="31"/>
        </w:numPr>
        <w:spacing w:line="269" w:lineRule="auto"/>
        <w:rPr>
          <w:rFonts w:ascii="Arial" w:hAnsi="Arial" w:cs="Arial"/>
        </w:rPr>
      </w:pPr>
      <w:r w:rsidRPr="0085657D">
        <w:rPr>
          <w:rFonts w:ascii="Arial" w:hAnsi="Arial" w:cs="Arial"/>
          <w:lang w:val="it-IT"/>
        </w:rPr>
        <w:t>sp</w:t>
      </w:r>
      <w:r w:rsidR="00096ED8">
        <w:rPr>
          <w:rFonts w:ascii="Arial" w:hAnsi="Arial" w:cs="Arial"/>
          <w:lang w:val="it-IT"/>
        </w:rPr>
        <w:t>o</w:t>
      </w:r>
      <w:r w:rsidRPr="0085657D">
        <w:rPr>
          <w:rFonts w:ascii="Arial" w:hAnsi="Arial" w:cs="Arial"/>
          <w:lang w:val="it-IT"/>
        </w:rPr>
        <w:t>sobnost</w:t>
      </w:r>
      <w:r w:rsidRPr="00985C21">
        <w:rPr>
          <w:rFonts w:ascii="Arial" w:hAnsi="Arial" w:cs="Arial"/>
        </w:rPr>
        <w:t xml:space="preserve"> </w:t>
      </w:r>
      <w:r w:rsidRPr="0085657D">
        <w:rPr>
          <w:rFonts w:ascii="Arial" w:hAnsi="Arial" w:cs="Arial"/>
          <w:lang w:val="it-IT"/>
        </w:rPr>
        <w:t>djeteta</w:t>
      </w:r>
      <w:r w:rsidRPr="00985C21">
        <w:rPr>
          <w:rFonts w:ascii="Arial" w:hAnsi="Arial" w:cs="Arial"/>
        </w:rPr>
        <w:t xml:space="preserve"> </w:t>
      </w:r>
      <w:r w:rsidRPr="0085657D">
        <w:rPr>
          <w:rFonts w:ascii="Arial" w:hAnsi="Arial" w:cs="Arial"/>
          <w:lang w:val="it-IT"/>
        </w:rPr>
        <w:t>da</w:t>
      </w:r>
      <w:r w:rsidRPr="00985C21">
        <w:rPr>
          <w:rFonts w:ascii="Arial" w:hAnsi="Arial" w:cs="Arial"/>
        </w:rPr>
        <w:t xml:space="preserve"> </w:t>
      </w:r>
      <w:r w:rsidRPr="0085657D">
        <w:rPr>
          <w:rFonts w:ascii="Arial" w:hAnsi="Arial" w:cs="Arial"/>
          <w:lang w:val="it-IT"/>
        </w:rPr>
        <w:t>prepozna</w:t>
      </w:r>
      <w:r w:rsidRPr="00985C21">
        <w:rPr>
          <w:rFonts w:ascii="Arial" w:hAnsi="Arial" w:cs="Arial"/>
        </w:rPr>
        <w:t xml:space="preserve"> </w:t>
      </w:r>
      <w:r w:rsidRPr="0085657D">
        <w:rPr>
          <w:rFonts w:ascii="Arial" w:hAnsi="Arial" w:cs="Arial"/>
          <w:lang w:val="it-IT"/>
        </w:rPr>
        <w:t>i</w:t>
      </w:r>
      <w:r w:rsidRPr="00985C21">
        <w:rPr>
          <w:rFonts w:ascii="Arial" w:hAnsi="Arial" w:cs="Arial"/>
        </w:rPr>
        <w:t xml:space="preserve"> </w:t>
      </w:r>
      <w:r w:rsidRPr="0085657D">
        <w:rPr>
          <w:rFonts w:ascii="Arial" w:hAnsi="Arial" w:cs="Arial"/>
          <w:lang w:val="it-IT"/>
        </w:rPr>
        <w:t>reaguje</w:t>
      </w:r>
      <w:r w:rsidRPr="00985C21">
        <w:rPr>
          <w:rFonts w:ascii="Arial" w:hAnsi="Arial" w:cs="Arial"/>
        </w:rPr>
        <w:t xml:space="preserve"> </w:t>
      </w:r>
      <w:r w:rsidRPr="0085657D">
        <w:rPr>
          <w:rFonts w:ascii="Arial" w:hAnsi="Arial" w:cs="Arial"/>
          <w:lang w:val="it-IT"/>
        </w:rPr>
        <w:t>na</w:t>
      </w:r>
      <w:r w:rsidRPr="00985C21">
        <w:rPr>
          <w:rFonts w:ascii="Arial" w:hAnsi="Arial" w:cs="Arial"/>
        </w:rPr>
        <w:t xml:space="preserve"> </w:t>
      </w:r>
      <w:r w:rsidRPr="0085657D">
        <w:rPr>
          <w:rFonts w:ascii="Arial" w:hAnsi="Arial" w:cs="Arial"/>
          <w:lang w:val="it-IT"/>
        </w:rPr>
        <w:t>kr</w:t>
      </w:r>
      <w:r w:rsidRPr="00985C21">
        <w:rPr>
          <w:rFonts w:ascii="Arial" w:hAnsi="Arial" w:cs="Arial"/>
        </w:rPr>
        <w:t>š</w:t>
      </w:r>
      <w:r w:rsidRPr="0085657D">
        <w:rPr>
          <w:rFonts w:ascii="Arial" w:hAnsi="Arial" w:cs="Arial"/>
          <w:lang w:val="it-IT"/>
        </w:rPr>
        <w:t>enje</w:t>
      </w:r>
      <w:r w:rsidRPr="00985C21">
        <w:rPr>
          <w:rFonts w:ascii="Arial" w:hAnsi="Arial" w:cs="Arial"/>
        </w:rPr>
        <w:t xml:space="preserve"> </w:t>
      </w:r>
      <w:r w:rsidRPr="0085657D">
        <w:rPr>
          <w:rFonts w:ascii="Arial" w:hAnsi="Arial" w:cs="Arial"/>
          <w:lang w:val="it-IT"/>
        </w:rPr>
        <w:t>sopstvenih</w:t>
      </w:r>
      <w:r w:rsidRPr="00985C21">
        <w:rPr>
          <w:rFonts w:ascii="Arial" w:hAnsi="Arial" w:cs="Arial"/>
        </w:rPr>
        <w:t xml:space="preserve"> </w:t>
      </w:r>
      <w:r w:rsidRPr="0085657D">
        <w:rPr>
          <w:rFonts w:ascii="Arial" w:hAnsi="Arial" w:cs="Arial"/>
          <w:lang w:val="it-IT"/>
        </w:rPr>
        <w:t>prava</w:t>
      </w:r>
      <w:r w:rsidRPr="00985C21">
        <w:rPr>
          <w:rFonts w:ascii="Arial" w:hAnsi="Arial" w:cs="Arial"/>
        </w:rPr>
        <w:t xml:space="preserve"> </w:t>
      </w:r>
      <w:r w:rsidRPr="0085657D">
        <w:rPr>
          <w:rFonts w:ascii="Arial" w:hAnsi="Arial" w:cs="Arial"/>
          <w:lang w:val="it-IT"/>
        </w:rPr>
        <w:t>i</w:t>
      </w:r>
      <w:r w:rsidRPr="00985C21">
        <w:rPr>
          <w:rFonts w:ascii="Arial" w:hAnsi="Arial" w:cs="Arial"/>
        </w:rPr>
        <w:t xml:space="preserve"> </w:t>
      </w:r>
      <w:r w:rsidRPr="0085657D">
        <w:rPr>
          <w:rFonts w:ascii="Arial" w:hAnsi="Arial" w:cs="Arial"/>
          <w:lang w:val="it-IT"/>
        </w:rPr>
        <w:t>tra</w:t>
      </w:r>
      <w:r w:rsidRPr="00985C21">
        <w:rPr>
          <w:rFonts w:ascii="Arial" w:hAnsi="Arial" w:cs="Arial"/>
        </w:rPr>
        <w:t>ž</w:t>
      </w:r>
      <w:r w:rsidRPr="0085657D">
        <w:rPr>
          <w:rFonts w:ascii="Arial" w:hAnsi="Arial" w:cs="Arial"/>
          <w:lang w:val="it-IT"/>
        </w:rPr>
        <w:t>enje</w:t>
      </w:r>
      <w:r w:rsidRPr="00985C21">
        <w:rPr>
          <w:rFonts w:ascii="Arial" w:hAnsi="Arial" w:cs="Arial"/>
        </w:rPr>
        <w:t xml:space="preserve"> </w:t>
      </w:r>
      <w:r w:rsidRPr="0085657D">
        <w:rPr>
          <w:rFonts w:ascii="Arial" w:hAnsi="Arial" w:cs="Arial"/>
          <w:lang w:val="it-IT"/>
        </w:rPr>
        <w:t>za</w:t>
      </w:r>
      <w:r w:rsidRPr="00985C21">
        <w:rPr>
          <w:rFonts w:ascii="Arial" w:hAnsi="Arial" w:cs="Arial"/>
        </w:rPr>
        <w:t>š</w:t>
      </w:r>
      <w:r w:rsidRPr="0085657D">
        <w:rPr>
          <w:rFonts w:ascii="Arial" w:hAnsi="Arial" w:cs="Arial"/>
          <w:lang w:val="it-IT"/>
        </w:rPr>
        <w:t>tite</w:t>
      </w:r>
    </w:p>
    <w:p w14:paraId="3B88BF86" w14:textId="3C9186F9" w:rsidR="00F61EAC" w:rsidRPr="0085657D" w:rsidRDefault="00F61EAC" w:rsidP="000363A3">
      <w:pPr>
        <w:numPr>
          <w:ilvl w:val="0"/>
          <w:numId w:val="31"/>
        </w:numPr>
        <w:spacing w:line="269" w:lineRule="auto"/>
        <w:rPr>
          <w:rFonts w:ascii="Arial" w:hAnsi="Arial" w:cs="Arial"/>
          <w:lang w:val="it-IT"/>
        </w:rPr>
      </w:pPr>
      <w:r w:rsidRPr="0085657D">
        <w:rPr>
          <w:rFonts w:ascii="Arial" w:hAnsi="Arial" w:cs="Arial"/>
          <w:lang w:val="it-IT"/>
        </w:rPr>
        <w:t>razotkrivanje krivičnog djela</w:t>
      </w:r>
    </w:p>
    <w:p w14:paraId="08284E4D" w14:textId="52D32673" w:rsidR="00F61EAC" w:rsidRPr="0085657D" w:rsidRDefault="00F61EAC" w:rsidP="000363A3">
      <w:pPr>
        <w:numPr>
          <w:ilvl w:val="0"/>
          <w:numId w:val="31"/>
        </w:numPr>
        <w:spacing w:line="269" w:lineRule="auto"/>
        <w:rPr>
          <w:rFonts w:ascii="Arial" w:hAnsi="Arial" w:cs="Arial"/>
          <w:lang w:val="it-IT"/>
        </w:rPr>
      </w:pPr>
      <w:r w:rsidRPr="0085657D">
        <w:rPr>
          <w:rFonts w:ascii="Arial" w:hAnsi="Arial" w:cs="Arial"/>
          <w:lang w:val="it-IT"/>
        </w:rPr>
        <w:t>učešće djeteta u krivičnom postupku, na davanje svjedočkog iskaza</w:t>
      </w:r>
    </w:p>
    <w:p w14:paraId="0D50928D" w14:textId="6D08E66A" w:rsidR="00F61EAC" w:rsidRPr="0085657D" w:rsidRDefault="00F61EAC" w:rsidP="000363A3">
      <w:pPr>
        <w:numPr>
          <w:ilvl w:val="0"/>
          <w:numId w:val="31"/>
        </w:numPr>
        <w:spacing w:line="269" w:lineRule="auto"/>
        <w:rPr>
          <w:rFonts w:ascii="Arial" w:hAnsi="Arial" w:cs="Arial"/>
          <w:lang w:val="it-IT"/>
        </w:rPr>
      </w:pPr>
      <w:r w:rsidRPr="0085657D">
        <w:rPr>
          <w:rFonts w:ascii="Arial" w:hAnsi="Arial" w:cs="Arial"/>
          <w:lang w:val="it-IT"/>
        </w:rPr>
        <w:t>učešće djeteta u postupku socijalne zaštite</w:t>
      </w:r>
    </w:p>
    <w:p w14:paraId="6712F600" w14:textId="77777777" w:rsidR="00F61EAC" w:rsidRPr="0085657D" w:rsidRDefault="00F61EAC" w:rsidP="00F61EAC">
      <w:pPr>
        <w:spacing w:line="269" w:lineRule="auto"/>
        <w:rPr>
          <w:rFonts w:ascii="Arial" w:hAnsi="Arial" w:cs="Arial"/>
        </w:rPr>
      </w:pPr>
      <w:r w:rsidRPr="0085657D">
        <w:rPr>
          <w:rFonts w:ascii="Arial" w:hAnsi="Arial" w:cs="Arial"/>
        </w:rPr>
        <w:t>Zatim, većina identifikovanih žrtava trgovine ljudima od strane Tima za formalnu identifikaciju bila su djeca, što ukazuje da prevencija trgovine ljudima, na svim nivoima u Crnoj Gori, a naročito u odnosu na ranjive grupe ljudi, kao i zaštita žrtava i procesuiranje ovog krivičnog djela nijesu u potpunosti djelotvorni i potrebna su poboljšanja u tom dijelu.</w:t>
      </w:r>
    </w:p>
    <w:p w14:paraId="31D451CA" w14:textId="77777777" w:rsidR="00DA03C1" w:rsidRDefault="00F61EAC" w:rsidP="00C47459">
      <w:pPr>
        <w:spacing w:line="269" w:lineRule="auto"/>
        <w:rPr>
          <w:rFonts w:ascii="Arial" w:hAnsi="Arial" w:cs="Arial"/>
        </w:rPr>
      </w:pPr>
      <w:r w:rsidRPr="0085657D">
        <w:rPr>
          <w:rFonts w:ascii="Arial" w:hAnsi="Arial" w:cs="Arial"/>
        </w:rPr>
        <w:t xml:space="preserve">GRETA je u svom Izvještaju za Crnu Goru, u okviru trećeg kruga evaluacije o primjeni Konvencije Savjeta Evrope za borbu protiv trgovine ljudima izdala nekoliko preporuka koje crnogorski organi treba da razmotre, a mnoge se odnose na djecu kao žrtve trgovine ljudima. </w:t>
      </w:r>
    </w:p>
    <w:p w14:paraId="5027326A" w14:textId="155E7063" w:rsidR="00883A15" w:rsidRPr="0085657D" w:rsidRDefault="00F61EAC" w:rsidP="00C47459">
      <w:pPr>
        <w:spacing w:line="269" w:lineRule="auto"/>
        <w:rPr>
          <w:rFonts w:ascii="Arial" w:hAnsi="Arial" w:cs="Arial"/>
        </w:rPr>
      </w:pPr>
      <w:r w:rsidRPr="0085657D">
        <w:rPr>
          <w:rFonts w:ascii="Arial" w:hAnsi="Arial" w:cs="Arial"/>
        </w:rPr>
        <w:lastRenderedPageBreak/>
        <w:t>Na primjer, jedna od preporuka se odnosi na bolje procesuiranje slučajeva trgovine u svrhu dječ</w:t>
      </w:r>
      <w:r w:rsidR="00096ED8">
        <w:rPr>
          <w:rFonts w:ascii="Arial" w:hAnsi="Arial" w:cs="Arial"/>
        </w:rPr>
        <w:t>i</w:t>
      </w:r>
      <w:r w:rsidRPr="0085657D">
        <w:rPr>
          <w:rFonts w:ascii="Arial" w:hAnsi="Arial" w:cs="Arial"/>
        </w:rPr>
        <w:t>jih,</w:t>
      </w:r>
      <w:r w:rsidR="003373A4">
        <w:rPr>
          <w:rFonts w:ascii="Arial" w:hAnsi="Arial" w:cs="Arial"/>
        </w:rPr>
        <w:t xml:space="preserve"> </w:t>
      </w:r>
      <w:r w:rsidRPr="0085657D">
        <w:rPr>
          <w:rFonts w:ascii="Arial" w:hAnsi="Arial" w:cs="Arial"/>
        </w:rPr>
        <w:t>ranih i prisilnih brakova</w:t>
      </w:r>
      <w:r w:rsidRPr="0085657D">
        <w:rPr>
          <w:rFonts w:ascii="Arial" w:hAnsi="Arial" w:cs="Arial"/>
          <w:vertAlign w:val="superscript"/>
        </w:rPr>
        <w:footnoteReference w:id="63"/>
      </w:r>
      <w:r w:rsidRPr="0085657D">
        <w:rPr>
          <w:rFonts w:ascii="Arial" w:hAnsi="Arial" w:cs="Arial"/>
        </w:rPr>
        <w:t>, kao i</w:t>
      </w:r>
      <w:r w:rsidRPr="0085657D">
        <w:rPr>
          <w:rFonts w:ascii="Arial" w:hAnsi="Arial" w:cs="Arial"/>
          <w:vertAlign w:val="superscript"/>
        </w:rPr>
        <w:footnoteReference w:id="64"/>
      </w:r>
      <w:r w:rsidRPr="0085657D">
        <w:rPr>
          <w:rFonts w:ascii="Arial" w:hAnsi="Arial" w:cs="Arial"/>
        </w:rPr>
        <w:t xml:space="preserve"> preduzimanje koraka da se prilikom istrage, krivičnog gonjenja i suđenja u slučajevima trgovine ljudima obezbijede procedure prilagođene djeci, u skladu sa Smjernicama Komiteta ministara Savjeta Evrope o pravosuđu po mjeri djeteta, uključujući mjere kojima se obezbjeđuje postojanje dovoljnog broja prostorija za saslušanje prilagođenih za djecu širom zemlje.</w:t>
      </w:r>
      <w:r w:rsidRPr="0085657D">
        <w:rPr>
          <w:rFonts w:ascii="Arial" w:hAnsi="Arial" w:cs="Arial"/>
          <w:vertAlign w:val="superscript"/>
        </w:rPr>
        <w:footnoteReference w:id="65"/>
      </w:r>
      <w:r w:rsidRPr="0085657D">
        <w:rPr>
          <w:rFonts w:ascii="Arial" w:hAnsi="Arial" w:cs="Arial"/>
        </w:rPr>
        <w:t xml:space="preserve"> Konačno, GRETA smatra da crnogorski organi treba da pojačaju napore na identifikovanju djece žrtava trgovine ljudima i pruže im adekvatnu dalju pomoć.</w:t>
      </w:r>
      <w:r w:rsidRPr="0085657D">
        <w:rPr>
          <w:rFonts w:ascii="Arial" w:hAnsi="Arial" w:cs="Arial"/>
          <w:vertAlign w:val="superscript"/>
        </w:rPr>
        <w:footnoteReference w:id="66"/>
      </w:r>
      <w:bookmarkStart w:id="41" w:name="_Hlk196473735"/>
    </w:p>
    <w:p w14:paraId="0AC5DC29" w14:textId="74EE7667" w:rsidR="00985730" w:rsidRPr="00F100EC" w:rsidRDefault="00985730" w:rsidP="00F100EC">
      <w:pPr>
        <w:pStyle w:val="Heading3"/>
        <w:rPr>
          <w:rFonts w:ascii="Arial" w:hAnsi="Arial" w:cs="Arial"/>
          <w:sz w:val="22"/>
          <w:szCs w:val="22"/>
        </w:rPr>
      </w:pPr>
      <w:bookmarkStart w:id="42" w:name="_Toc208489194"/>
      <w:r w:rsidRPr="00F100EC">
        <w:rPr>
          <w:rFonts w:ascii="Arial" w:hAnsi="Arial" w:cs="Arial"/>
          <w:sz w:val="22"/>
          <w:szCs w:val="22"/>
        </w:rPr>
        <w:t>3.</w:t>
      </w:r>
      <w:r w:rsidR="00886693" w:rsidRPr="00F100EC">
        <w:rPr>
          <w:rFonts w:ascii="Arial" w:hAnsi="Arial" w:cs="Arial"/>
          <w:sz w:val="22"/>
          <w:szCs w:val="22"/>
        </w:rPr>
        <w:t>6</w:t>
      </w:r>
      <w:r w:rsidRPr="00F100EC">
        <w:rPr>
          <w:rFonts w:ascii="Arial" w:hAnsi="Arial" w:cs="Arial"/>
          <w:sz w:val="22"/>
          <w:szCs w:val="22"/>
        </w:rPr>
        <w:t>.</w:t>
      </w:r>
      <w:r w:rsidR="00A337D3" w:rsidRPr="00F100EC">
        <w:rPr>
          <w:rFonts w:ascii="Arial" w:hAnsi="Arial" w:cs="Arial"/>
          <w:sz w:val="22"/>
          <w:szCs w:val="22"/>
        </w:rPr>
        <w:t>1</w:t>
      </w:r>
      <w:r w:rsidRPr="00F100EC">
        <w:rPr>
          <w:rFonts w:ascii="Arial" w:hAnsi="Arial" w:cs="Arial"/>
          <w:sz w:val="22"/>
          <w:szCs w:val="22"/>
        </w:rPr>
        <w:t>.4. Žrtve ratnih zločina</w:t>
      </w:r>
      <w:bookmarkEnd w:id="42"/>
    </w:p>
    <w:p w14:paraId="639BC797" w14:textId="77777777" w:rsidR="00985730" w:rsidRPr="0085657D" w:rsidRDefault="00985730" w:rsidP="00985730">
      <w:pPr>
        <w:spacing w:after="120" w:line="276" w:lineRule="auto"/>
        <w:rPr>
          <w:rFonts w:ascii="Arial" w:hAnsi="Arial" w:cs="Arial"/>
        </w:rPr>
      </w:pPr>
      <w:r w:rsidRPr="0085657D">
        <w:rPr>
          <w:rFonts w:ascii="Arial" w:hAnsi="Arial" w:cs="Arial"/>
        </w:rPr>
        <w:t>U okviru Specijalizovanog odjeljenja za organizovani kriminal, korupciju, terorizam i ratne zločine u Višem sudu u Podgorici, oformljena je Služba za pružanje podrške oštećenima/svjedocima u predmetima koji se sude pred ovim odjeljenjem, a 2009. godine Viši sud u Podgorici objavio je Informator za oštećene/svjedoke izvršenja krivičnih djela za koje se postupci vode pred Specijalizovanim odjeljenjem za organizovani kriminal, korupciju, terorizam i ratne zločine</w:t>
      </w:r>
      <w:r w:rsidR="00613940" w:rsidRPr="0085657D">
        <w:rPr>
          <w:rStyle w:val="FootnoteReference"/>
          <w:rFonts w:ascii="Arial" w:hAnsi="Arial" w:cs="Arial"/>
        </w:rPr>
        <w:footnoteReference w:id="67"/>
      </w:r>
      <w:r w:rsidRPr="0085657D">
        <w:rPr>
          <w:rFonts w:ascii="Arial" w:hAnsi="Arial" w:cs="Arial"/>
        </w:rPr>
        <w:t xml:space="preserve">. Informator oštećene/svjedoke upoznaje s pravima i obavezama u krivičnim postupcima zbog izvršenja krivičnih djela iz oblasti organizovanog kriminala, korupcije, terorizma i ratnih zločina, upoznajući, između ostalog, oštećene/svjedoke o mogućnosti organizovanja prevoza i smještaja, kontaktiranja Jedinice za zaštitu u svrhu organizovanja obezbjeđenja, pružanja svih potrebnih informacija i brige tokom boravka u sudu od strane Službe za pružanje podrške. </w:t>
      </w:r>
    </w:p>
    <w:bookmarkEnd w:id="41"/>
    <w:p w14:paraId="6A44DC9F" w14:textId="42D30C9A" w:rsidR="00985730" w:rsidRPr="0085657D" w:rsidRDefault="00985730" w:rsidP="003B4A85">
      <w:pPr>
        <w:spacing w:after="0" w:line="276" w:lineRule="auto"/>
        <w:rPr>
          <w:rFonts w:ascii="Arial" w:hAnsi="Arial" w:cs="Arial"/>
        </w:rPr>
      </w:pPr>
      <w:r w:rsidRPr="0085657D">
        <w:rPr>
          <w:rFonts w:ascii="Arial" w:hAnsi="Arial" w:cs="Arial"/>
        </w:rPr>
        <w:t xml:space="preserve">Ipak, osim pružanja </w:t>
      </w:r>
      <w:r w:rsidRPr="0085657D">
        <w:rPr>
          <w:rFonts w:ascii="Arial" w:hAnsi="Arial" w:cs="Arial"/>
          <w:i/>
          <w:iCs/>
        </w:rPr>
        <w:t>ad hoc</w:t>
      </w:r>
      <w:r w:rsidRPr="0085657D">
        <w:rPr>
          <w:rFonts w:ascii="Arial" w:hAnsi="Arial" w:cs="Arial"/>
        </w:rPr>
        <w:t xml:space="preserve"> podrške u pojedinim predmetima u kojima su postupci već okončani, nije obezb</w:t>
      </w:r>
      <w:r w:rsidR="00096ED8">
        <w:rPr>
          <w:rFonts w:ascii="Arial" w:hAnsi="Arial" w:cs="Arial"/>
        </w:rPr>
        <w:t>i</w:t>
      </w:r>
      <w:r w:rsidRPr="0085657D">
        <w:rPr>
          <w:rFonts w:ascii="Arial" w:hAnsi="Arial" w:cs="Arial"/>
        </w:rPr>
        <w:t>jeđena održivost funkcionisanja ove službe kroz jačanje njenih kapaciteta i dostupnost informacija žrtvama, što je ispravno prepoznato Strategijom za istraživanje ratnih zločina 2024-2027. koja se, u pogledu unapređenja zaštite žrtava ratnih zločina, u potpunosti oslanja na mjere predviđene ovom strategijom.</w:t>
      </w:r>
    </w:p>
    <w:p w14:paraId="6ED0A7C2" w14:textId="77777777" w:rsidR="00985730" w:rsidRPr="0085657D" w:rsidRDefault="00985730" w:rsidP="00985730">
      <w:pPr>
        <w:rPr>
          <w:rFonts w:ascii="Arial" w:hAnsi="Arial" w:cs="Arial"/>
        </w:rPr>
      </w:pPr>
    </w:p>
    <w:p w14:paraId="55C0C22C" w14:textId="03DF6C59" w:rsidR="00985730" w:rsidRPr="00F100EC" w:rsidRDefault="00985730" w:rsidP="00F100EC">
      <w:pPr>
        <w:pStyle w:val="Heading3"/>
        <w:rPr>
          <w:rFonts w:ascii="Arial" w:hAnsi="Arial" w:cs="Arial"/>
          <w:sz w:val="22"/>
        </w:rPr>
      </w:pPr>
      <w:bookmarkStart w:id="43" w:name="_Toc208489195"/>
      <w:r w:rsidRPr="00F100EC">
        <w:rPr>
          <w:rFonts w:ascii="Arial" w:hAnsi="Arial" w:cs="Arial"/>
          <w:sz w:val="22"/>
        </w:rPr>
        <w:t>3.</w:t>
      </w:r>
      <w:r w:rsidR="00886693" w:rsidRPr="00F100EC">
        <w:rPr>
          <w:rFonts w:ascii="Arial" w:hAnsi="Arial" w:cs="Arial"/>
          <w:sz w:val="22"/>
        </w:rPr>
        <w:t>6</w:t>
      </w:r>
      <w:r w:rsidRPr="00F100EC">
        <w:rPr>
          <w:rFonts w:ascii="Arial" w:hAnsi="Arial" w:cs="Arial"/>
          <w:sz w:val="22"/>
        </w:rPr>
        <w:t>.</w:t>
      </w:r>
      <w:r w:rsidR="00A337D3" w:rsidRPr="00F100EC">
        <w:rPr>
          <w:rFonts w:ascii="Arial" w:hAnsi="Arial" w:cs="Arial"/>
          <w:sz w:val="22"/>
        </w:rPr>
        <w:t>1</w:t>
      </w:r>
      <w:r w:rsidRPr="00F100EC">
        <w:rPr>
          <w:rFonts w:ascii="Arial" w:hAnsi="Arial" w:cs="Arial"/>
          <w:sz w:val="22"/>
        </w:rPr>
        <w:t>.</w:t>
      </w:r>
      <w:r w:rsidR="00F100EC" w:rsidRPr="00F100EC">
        <w:rPr>
          <w:rFonts w:ascii="Arial" w:hAnsi="Arial" w:cs="Arial"/>
          <w:sz w:val="22"/>
        </w:rPr>
        <w:t>5</w:t>
      </w:r>
      <w:r w:rsidRPr="00F100EC">
        <w:rPr>
          <w:rFonts w:ascii="Arial" w:hAnsi="Arial" w:cs="Arial"/>
          <w:sz w:val="22"/>
        </w:rPr>
        <w:t>. Žrtve zločina iz mržnje</w:t>
      </w:r>
      <w:bookmarkEnd w:id="43"/>
    </w:p>
    <w:p w14:paraId="2D8CC762" w14:textId="77777777" w:rsidR="00DA03C1" w:rsidRDefault="003B4A85" w:rsidP="00985730">
      <w:pPr>
        <w:spacing w:line="276" w:lineRule="auto"/>
        <w:rPr>
          <w:rFonts w:ascii="Arial" w:hAnsi="Arial" w:cs="Arial"/>
        </w:rPr>
      </w:pPr>
      <w:r w:rsidRPr="0085657D">
        <w:rPr>
          <w:rFonts w:ascii="Arial" w:hAnsi="Arial" w:cs="Arial"/>
        </w:rPr>
        <w:t>Kako sistem evidentiranja zločina iz mržnje i dalje ne funkcioniše na adekvatan način</w:t>
      </w:r>
      <w:r w:rsidR="005315B2" w:rsidRPr="0085657D">
        <w:rPr>
          <w:rFonts w:ascii="Arial" w:hAnsi="Arial" w:cs="Arial"/>
        </w:rPr>
        <w:t>,</w:t>
      </w:r>
      <w:r w:rsidR="00191DBC" w:rsidRPr="0085657D">
        <w:rPr>
          <w:rStyle w:val="FootnoteReference"/>
          <w:rFonts w:ascii="Arial" w:hAnsi="Arial" w:cs="Arial"/>
        </w:rPr>
        <w:footnoteReference w:id="68"/>
      </w:r>
      <w:r w:rsidR="005315B2" w:rsidRPr="0085657D">
        <w:rPr>
          <w:rFonts w:ascii="Arial" w:hAnsi="Arial" w:cs="Arial"/>
        </w:rPr>
        <w:t xml:space="preserve"> zajedno sa izostankom </w:t>
      </w:r>
      <w:r w:rsidR="00E7140C" w:rsidRPr="0085657D">
        <w:rPr>
          <w:rFonts w:ascii="Arial" w:hAnsi="Arial" w:cs="Arial"/>
        </w:rPr>
        <w:t>individualne procjene potreba rezultira time da mnoštvo žrtava zločina iz mržnje ostane</w:t>
      </w:r>
      <w:r w:rsidR="003D2588" w:rsidRPr="0085657D">
        <w:rPr>
          <w:rFonts w:ascii="Arial" w:hAnsi="Arial" w:cs="Arial"/>
        </w:rPr>
        <w:t xml:space="preserve"> neprepoznato i uskraćeno za adekvatnu </w:t>
      </w:r>
      <w:r w:rsidR="00E7140C" w:rsidRPr="0085657D">
        <w:rPr>
          <w:rFonts w:ascii="Arial" w:hAnsi="Arial" w:cs="Arial"/>
        </w:rPr>
        <w:t xml:space="preserve"> </w:t>
      </w:r>
      <w:r w:rsidR="003D2588" w:rsidRPr="0085657D">
        <w:rPr>
          <w:rFonts w:ascii="Arial" w:hAnsi="Arial" w:cs="Arial"/>
        </w:rPr>
        <w:t xml:space="preserve">zaštitu i podršku, naročito u kontekstu sekundarne i ponovljene viktimizacije. Ovi problemi u praksi su skopčani i sa činjenicom da se tužioci teško odlučuju da krivično djelo okvalifikuju kao zločin iz mržnje, a i kada to učine, ova kvalifikacija ne nađe uvijek put do sudske presude. </w:t>
      </w:r>
    </w:p>
    <w:p w14:paraId="5EE60632" w14:textId="39528388" w:rsidR="00985730" w:rsidRPr="0085657D" w:rsidRDefault="003D2588" w:rsidP="00985730">
      <w:pPr>
        <w:spacing w:line="276" w:lineRule="auto"/>
        <w:rPr>
          <w:rFonts w:ascii="Arial" w:hAnsi="Arial" w:cs="Arial"/>
        </w:rPr>
      </w:pPr>
      <w:r w:rsidRPr="0085657D">
        <w:rPr>
          <w:rFonts w:ascii="Arial" w:hAnsi="Arial" w:cs="Arial"/>
        </w:rPr>
        <w:lastRenderedPageBreak/>
        <w:t xml:space="preserve">Ovo je posebno slučaj kada je riječ o dokazivanju „pretežnosti“ mržnje u odnosu na druge motive, </w:t>
      </w:r>
      <w:r w:rsidR="009C2134" w:rsidRPr="0085657D">
        <w:rPr>
          <w:rFonts w:ascii="Arial" w:hAnsi="Arial" w:cs="Arial"/>
        </w:rPr>
        <w:t xml:space="preserve">(ne)uzimanju u obzir ranijeg ispoljavanja mržnje kao dokaza pretežnosti motiva, </w:t>
      </w:r>
      <w:r w:rsidRPr="0085657D">
        <w:rPr>
          <w:rFonts w:ascii="Arial" w:hAnsi="Arial" w:cs="Arial"/>
        </w:rPr>
        <w:t>kao i u pogledu distinkcije mržnje i srodnih pojmova, poput npr. predrasuda.</w:t>
      </w:r>
      <w:r w:rsidR="00CC2C37" w:rsidRPr="0085657D">
        <w:rPr>
          <w:rStyle w:val="FootnoteReference"/>
          <w:rFonts w:ascii="Arial" w:hAnsi="Arial" w:cs="Arial"/>
        </w:rPr>
        <w:footnoteReference w:id="69"/>
      </w:r>
    </w:p>
    <w:p w14:paraId="3988A1CD" w14:textId="77777777" w:rsidR="009C2134" w:rsidRPr="0085657D" w:rsidRDefault="009C2134" w:rsidP="00985730">
      <w:pPr>
        <w:spacing w:line="276" w:lineRule="auto"/>
        <w:rPr>
          <w:rFonts w:ascii="Arial" w:hAnsi="Arial" w:cs="Arial"/>
        </w:rPr>
      </w:pPr>
      <w:r w:rsidRPr="0085657D">
        <w:rPr>
          <w:rFonts w:ascii="Arial" w:hAnsi="Arial" w:cs="Arial"/>
        </w:rPr>
        <w:t>Posebno teška je pozicija žrtava govora mržnje, naročito onog koji ne ispunjava elemente bića bilo kog krivičnog djela, a ispoljen u javnom prostoru ostavlja dalekosežne posljedice na žrtvu, stigmatizirajući je i praveći od nje „legitimnu“ metu za ponovljenu viktimizaciju. Nerijetko, govor mržnje predstavlja uvod u zločin iz mržnje.</w:t>
      </w:r>
    </w:p>
    <w:p w14:paraId="49B4160E" w14:textId="6C1F3BA1" w:rsidR="006642A9" w:rsidRDefault="006642A9" w:rsidP="00985C21">
      <w:pPr>
        <w:spacing w:line="276" w:lineRule="auto"/>
        <w:rPr>
          <w:rFonts w:ascii="Arial" w:hAnsi="Arial" w:cs="Arial"/>
        </w:rPr>
      </w:pPr>
      <w:r w:rsidRPr="0085657D">
        <w:rPr>
          <w:rFonts w:ascii="Arial" w:hAnsi="Arial" w:cs="Arial"/>
        </w:rPr>
        <w:t>Prema podacima UNDP-a, nasilje i govor mržnje najčešće se prepoznaju na društvenim mrežama (34,9%), zatim tokom predizbornih kampanja (31,4%), u medijima (17,4%), u parlamentu (9,3%) i u političkim partijama (7%). Društvene mreže postaju mjesto broj jedan za najintenzivnije nasilje nad političarkama, uključujući psihičko nasilje, posebno u obliku seksističkih i mizoginih primjedbi, ponižavajućih fotografija, zastrašivanja i prijetnji.</w:t>
      </w:r>
      <w:r w:rsidRPr="0085657D">
        <w:rPr>
          <w:rStyle w:val="FootnoteReference"/>
          <w:rFonts w:ascii="Arial" w:hAnsi="Arial" w:cs="Arial"/>
        </w:rPr>
        <w:footnoteReference w:id="70"/>
      </w:r>
      <w:r w:rsidRPr="0085657D">
        <w:rPr>
          <w:rFonts w:ascii="Arial" w:hAnsi="Arial" w:cs="Arial"/>
        </w:rPr>
        <w:t xml:space="preserve"> </w:t>
      </w:r>
    </w:p>
    <w:p w14:paraId="2D0E772D" w14:textId="3770BB8B" w:rsidR="00AD580C" w:rsidRPr="00985C21" w:rsidRDefault="00AD580C" w:rsidP="00985C21">
      <w:pPr>
        <w:pStyle w:val="NoSpacing"/>
        <w:spacing w:after="240" w:line="276" w:lineRule="auto"/>
        <w:rPr>
          <w:rFonts w:ascii="Source Sans Pro" w:eastAsia="Times New Roman" w:hAnsi="Source Sans Pro" w:cs="Times New Roman"/>
          <w:color w:val="000000"/>
          <w:spacing w:val="-2"/>
          <w:lang w:val="sr-Latn-RS" w:eastAsia="sr-Latn-RS"/>
        </w:rPr>
      </w:pPr>
      <w:r w:rsidRPr="00AD580C">
        <w:rPr>
          <w:rFonts w:ascii="Arial" w:hAnsi="Arial" w:cs="Arial"/>
        </w:rPr>
        <w:t xml:space="preserve">Sa ciljem adresiranja pomenutih problema i unapređenja praksi postupanja, </w:t>
      </w:r>
      <w:r w:rsidRPr="00985C21">
        <w:rPr>
          <w:rFonts w:ascii="Arial" w:eastAsia="Times New Roman" w:hAnsi="Arial" w:cs="Arial"/>
          <w:color w:val="000000"/>
          <w:spacing w:val="-2"/>
          <w:lang w:val="pt-BR" w:eastAsia="sr-Latn-RS"/>
        </w:rPr>
        <w:t>Vrhovni državni tužilac izdao je</w:t>
      </w:r>
      <w:r>
        <w:rPr>
          <w:rFonts w:ascii="Arial" w:eastAsia="Times New Roman" w:hAnsi="Arial" w:cs="Arial"/>
          <w:color w:val="000000"/>
          <w:spacing w:val="-2"/>
          <w:lang w:val="pt-BR" w:eastAsia="sr-Latn-RS"/>
        </w:rPr>
        <w:t xml:space="preserve"> u maju 2025. godine</w:t>
      </w:r>
      <w:r w:rsidRPr="00985C21">
        <w:rPr>
          <w:rFonts w:ascii="Arial" w:eastAsia="Times New Roman" w:hAnsi="Arial" w:cs="Arial"/>
          <w:color w:val="000000"/>
          <w:spacing w:val="-2"/>
          <w:lang w:val="pt-BR" w:eastAsia="sr-Latn-RS"/>
        </w:rPr>
        <w:t xml:space="preserve"> dr</w:t>
      </w:r>
      <w:r w:rsidRPr="00985C21">
        <w:rPr>
          <w:rFonts w:ascii="Arial" w:eastAsia="Times New Roman" w:hAnsi="Arial" w:cs="Arial"/>
          <w:color w:val="000000"/>
          <w:spacing w:val="-2"/>
          <w:lang w:val="sr-Latn-RS" w:eastAsia="sr-Latn-RS"/>
        </w:rPr>
        <w:t>žavnim tužilaštvima </w:t>
      </w:r>
      <w:r w:rsidRPr="00985C21">
        <w:rPr>
          <w:rFonts w:ascii="Arial" w:eastAsia="Times New Roman" w:hAnsi="Arial" w:cs="Arial"/>
          <w:color w:val="000000"/>
          <w:spacing w:val="-2"/>
          <w:lang w:val="pt-BR" w:eastAsia="sr-Latn-RS"/>
        </w:rPr>
        <w:t>obavezujuće uputstvo za postupanje u slučajevima govora mržnje i predmetima formiranim za krivična djela učinjena iz mržnje (zločin iz mržnje)</w:t>
      </w:r>
      <w:r>
        <w:rPr>
          <w:rStyle w:val="FootnoteReference"/>
          <w:rFonts w:ascii="Arial" w:eastAsia="Times New Roman" w:hAnsi="Arial" w:cs="Arial"/>
          <w:color w:val="000000"/>
          <w:spacing w:val="-2"/>
          <w:lang w:val="pt-BR" w:eastAsia="sr-Latn-RS"/>
        </w:rPr>
        <w:footnoteReference w:id="71"/>
      </w:r>
      <w:r w:rsidRPr="00985C21">
        <w:rPr>
          <w:rFonts w:ascii="Arial" w:eastAsia="Times New Roman" w:hAnsi="Arial" w:cs="Arial"/>
          <w:color w:val="000000"/>
          <w:spacing w:val="-2"/>
          <w:lang w:val="pt-BR" w:eastAsia="sr-Latn-RS"/>
        </w:rPr>
        <w:t>. Uputstvo je izdato sa ciljem da se osigura djelotvorno i jednoobrazno postupanje i primjena međunarodnih preporuka na jednak postupak prema svim osobama i borbu protiv rasizma, ksenofobije, antisemitizma i netolerancije.</w:t>
      </w:r>
    </w:p>
    <w:p w14:paraId="1EFECB9F" w14:textId="77777777"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Uputstvom  se nadležna državna tužilaštva obavezuju na postupanje u skladu sa kriterijumima Evropske komisije protiv rasizma i netolerancije (ECRI), Rabat akcionim planom Ujedinjenih nacija i indikatorima predrasuda.</w:t>
      </w:r>
    </w:p>
    <w:p w14:paraId="2FD6572C" w14:textId="77777777"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Prema odredbama uputstva, postupajući državni tužioci bi</w:t>
      </w:r>
      <w:r w:rsidRPr="00985C21">
        <w:rPr>
          <w:rFonts w:ascii="Arial" w:eastAsia="Times New Roman" w:hAnsi="Arial" w:cs="Arial"/>
          <w:color w:val="000000"/>
          <w:spacing w:val="-2"/>
          <w:lang w:val="pt-BR" w:eastAsia="sr-Latn-RS"/>
        </w:rPr>
        <w:t>će</w:t>
      </w:r>
      <w:r w:rsidRPr="00AD580C">
        <w:rPr>
          <w:rFonts w:ascii="Arial" w:eastAsia="Times New Roman" w:hAnsi="Arial" w:cs="Arial"/>
          <w:color w:val="000000"/>
          <w:spacing w:val="-2"/>
          <w:lang w:val="pt-BR" w:eastAsia="sr-Latn-RS"/>
        </w:rPr>
        <w:t> u obavezi da u predmetima sa elementima govora mržnje posebno cijene svako javno izražavanje ili prouzrokovanje mržnje prema određenoj grupi ili pojedincu zbog nekog njenog određenja radi stvaranja netrpeljivosti, razdora, diskriminacije i nasilja. Takođe će se cijeniti da li je došlo do raspirivanja već postojeće mržnje, vodeći računa da li se mržnja putem javnog govora razvija, jača i produbljuje. </w:t>
      </w:r>
    </w:p>
    <w:p w14:paraId="4CDB069B" w14:textId="6B6993DA"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 xml:space="preserve">U prijavljenim slučajevima sa elementima mržnje, u skladu sa obavezujućim uputstvom, državni tužioci će preduzimati sve razumne korake kako bi </w:t>
      </w:r>
      <w:r w:rsidR="00096ED8">
        <w:rPr>
          <w:rFonts w:ascii="Arial" w:eastAsia="Times New Roman" w:hAnsi="Arial" w:cs="Arial"/>
          <w:color w:val="000000"/>
          <w:spacing w:val="-2"/>
          <w:lang w:val="pt-BR" w:eastAsia="sr-Latn-RS"/>
        </w:rPr>
        <w:t xml:space="preserve">se </w:t>
      </w:r>
      <w:r w:rsidRPr="00AD580C">
        <w:rPr>
          <w:rFonts w:ascii="Arial" w:eastAsia="Times New Roman" w:hAnsi="Arial" w:cs="Arial"/>
          <w:color w:val="000000"/>
          <w:spacing w:val="-2"/>
          <w:lang w:val="pt-BR" w:eastAsia="sr-Latn-RS"/>
        </w:rPr>
        <w:t>razotkri</w:t>
      </w:r>
      <w:r w:rsidRPr="00985C21">
        <w:rPr>
          <w:rFonts w:ascii="Arial" w:eastAsia="Times New Roman" w:hAnsi="Arial" w:cs="Arial"/>
          <w:color w:val="000000"/>
          <w:spacing w:val="-2"/>
          <w:lang w:val="pt-BR" w:eastAsia="sr-Latn-RS"/>
        </w:rPr>
        <w:t>o</w:t>
      </w:r>
      <w:r w:rsidRPr="00AD580C">
        <w:rPr>
          <w:rFonts w:ascii="Arial" w:eastAsia="Times New Roman" w:hAnsi="Arial" w:cs="Arial"/>
          <w:color w:val="000000"/>
          <w:spacing w:val="-2"/>
          <w:lang w:val="pt-BR" w:eastAsia="sr-Latn-RS"/>
        </w:rPr>
        <w:t> bilo koji motiv, odnosno okolnost iz mržnje</w:t>
      </w:r>
      <w:r w:rsidRPr="00985C21">
        <w:rPr>
          <w:rFonts w:ascii="Arial" w:eastAsia="Times New Roman" w:hAnsi="Arial" w:cs="Arial"/>
          <w:color w:val="000000"/>
          <w:spacing w:val="-2"/>
          <w:lang w:val="pt-BR" w:eastAsia="sr-Latn-RS"/>
        </w:rPr>
        <w:t>,</w:t>
      </w:r>
      <w:r w:rsidRPr="00AD580C">
        <w:rPr>
          <w:rFonts w:ascii="Arial" w:eastAsia="Times New Roman" w:hAnsi="Arial" w:cs="Arial"/>
          <w:color w:val="000000"/>
          <w:spacing w:val="-2"/>
          <w:lang w:val="pt-BR" w:eastAsia="sr-Latn-RS"/>
        </w:rPr>
        <w:t> koji bi mogli imati ulogu u događaju. U slučajevima krivičnih djela učinjenih putem interneta, tužilaštvo će u najkraćem roku, kada za to postoji potreba, koristiti međunarodnu pravnu pomoć</w:t>
      </w:r>
      <w:r w:rsidRPr="00985C21">
        <w:rPr>
          <w:rFonts w:ascii="Arial" w:eastAsia="Times New Roman" w:hAnsi="Arial" w:cs="Arial"/>
          <w:color w:val="000000"/>
          <w:spacing w:val="-2"/>
          <w:lang w:val="pt-BR" w:eastAsia="sr-Latn-RS"/>
        </w:rPr>
        <w:t>,</w:t>
      </w:r>
      <w:r w:rsidRPr="00AD580C">
        <w:rPr>
          <w:rFonts w:ascii="Arial" w:eastAsia="Times New Roman" w:hAnsi="Arial" w:cs="Arial"/>
          <w:color w:val="000000"/>
          <w:spacing w:val="-2"/>
          <w:lang w:val="pt-BR" w:eastAsia="sr-Latn-RS"/>
        </w:rPr>
        <w:t> radi prikupljanja neophodnih podataka</w:t>
      </w:r>
      <w:r w:rsidRPr="00985C21">
        <w:rPr>
          <w:rFonts w:ascii="Arial" w:eastAsia="Times New Roman" w:hAnsi="Arial" w:cs="Arial"/>
          <w:color w:val="000000"/>
          <w:spacing w:val="-2"/>
          <w:lang w:val="pt-BR" w:eastAsia="sr-Latn-RS"/>
        </w:rPr>
        <w:t>. U</w:t>
      </w:r>
      <w:r w:rsidRPr="00AD580C">
        <w:rPr>
          <w:rFonts w:ascii="Arial" w:eastAsia="Times New Roman" w:hAnsi="Arial" w:cs="Arial"/>
          <w:color w:val="000000"/>
          <w:spacing w:val="-2"/>
          <w:lang w:val="pt-BR" w:eastAsia="sr-Latn-RS"/>
        </w:rPr>
        <w:t> hitnim </w:t>
      </w:r>
      <w:r w:rsidRPr="00985C21">
        <w:rPr>
          <w:rFonts w:ascii="Arial" w:eastAsia="Times New Roman" w:hAnsi="Arial" w:cs="Arial"/>
          <w:color w:val="000000"/>
          <w:spacing w:val="-2"/>
          <w:lang w:val="pt-BR" w:eastAsia="sr-Latn-RS"/>
        </w:rPr>
        <w:t>slučajevima</w:t>
      </w:r>
      <w:r w:rsidRPr="00AD580C">
        <w:rPr>
          <w:rFonts w:ascii="Arial" w:eastAsia="Times New Roman" w:hAnsi="Arial" w:cs="Arial"/>
          <w:color w:val="000000"/>
          <w:spacing w:val="-2"/>
          <w:lang w:val="pt-BR" w:eastAsia="sr-Latn-RS"/>
        </w:rPr>
        <w:t>, kada postoji uzajamnost, zamolnice za međunarodnu pravnu pomoć biće dostavljene i posredstvom Nacionalnog centralnog biroa INTERPOL-a.</w:t>
      </w:r>
    </w:p>
    <w:p w14:paraId="09993710" w14:textId="77777777"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lastRenderedPageBreak/>
        <w:t>Prilikom postupanja</w:t>
      </w:r>
      <w:r w:rsidRPr="00985C21">
        <w:rPr>
          <w:rFonts w:ascii="Arial" w:eastAsia="Times New Roman" w:hAnsi="Arial" w:cs="Arial"/>
          <w:color w:val="000000"/>
          <w:spacing w:val="-2"/>
          <w:lang w:val="pt-BR" w:eastAsia="sr-Latn-RS"/>
        </w:rPr>
        <w:t>,</w:t>
      </w:r>
      <w:r w:rsidRPr="00AD580C">
        <w:rPr>
          <w:rFonts w:ascii="Arial" w:eastAsia="Times New Roman" w:hAnsi="Arial" w:cs="Arial"/>
          <w:color w:val="000000"/>
          <w:spacing w:val="-2"/>
          <w:lang w:val="pt-BR" w:eastAsia="sr-Latn-RS"/>
        </w:rPr>
        <w:t> državni tužioci će aktivno sarađivati sa oštećenima i blagovremeno ih obavještavati o svim preduzetim radnjama.</w:t>
      </w:r>
    </w:p>
    <w:p w14:paraId="1CBEF619" w14:textId="0CC9BF50" w:rsidR="00985730" w:rsidRPr="00DA03C1" w:rsidRDefault="00AD580C" w:rsidP="00DA03C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U cilju efikasne primjene uputstva, VDT je imenovao koordinatora koji će pratiti  primjenu uputstva i sarađivati s relevantnim institucijama, međunarodnim organizacijama i nevladinim sektorom, o čemu će direktno izvještavati i odgovarati vrhovnom državnom tužiocu.</w:t>
      </w:r>
    </w:p>
    <w:p w14:paraId="64F3DCD8" w14:textId="51716550" w:rsidR="00985730" w:rsidRPr="00F100EC" w:rsidRDefault="00985730" w:rsidP="00F100EC">
      <w:pPr>
        <w:pStyle w:val="Heading3"/>
        <w:rPr>
          <w:rFonts w:ascii="Arial" w:hAnsi="Arial" w:cs="Arial"/>
        </w:rPr>
      </w:pPr>
      <w:bookmarkStart w:id="44" w:name="_Toc208489196"/>
      <w:r w:rsidRPr="00F100EC">
        <w:rPr>
          <w:rFonts w:ascii="Arial" w:hAnsi="Arial" w:cs="Arial"/>
          <w:sz w:val="22"/>
        </w:rPr>
        <w:t>3.</w:t>
      </w:r>
      <w:r w:rsidR="00886693" w:rsidRPr="00F100EC">
        <w:rPr>
          <w:rFonts w:ascii="Arial" w:hAnsi="Arial" w:cs="Arial"/>
          <w:sz w:val="22"/>
        </w:rPr>
        <w:t>6</w:t>
      </w:r>
      <w:r w:rsidRPr="00F100EC">
        <w:rPr>
          <w:rFonts w:ascii="Arial" w:hAnsi="Arial" w:cs="Arial"/>
          <w:sz w:val="22"/>
        </w:rPr>
        <w:t>.</w:t>
      </w:r>
      <w:r w:rsidR="00A337D3" w:rsidRPr="00F100EC">
        <w:rPr>
          <w:rFonts w:ascii="Arial" w:hAnsi="Arial" w:cs="Arial"/>
          <w:sz w:val="22"/>
        </w:rPr>
        <w:t>1</w:t>
      </w:r>
      <w:r w:rsidRPr="00F100EC">
        <w:rPr>
          <w:rFonts w:ascii="Arial" w:hAnsi="Arial" w:cs="Arial"/>
          <w:sz w:val="22"/>
        </w:rPr>
        <w:t>.</w:t>
      </w:r>
      <w:r w:rsidR="00F100EC" w:rsidRPr="00F100EC">
        <w:rPr>
          <w:rFonts w:ascii="Arial" w:hAnsi="Arial" w:cs="Arial"/>
          <w:sz w:val="22"/>
        </w:rPr>
        <w:t>6</w:t>
      </w:r>
      <w:r w:rsidRPr="00F100EC">
        <w:rPr>
          <w:rFonts w:ascii="Arial" w:hAnsi="Arial" w:cs="Arial"/>
          <w:sz w:val="22"/>
        </w:rPr>
        <w:t>. Žrtve sa invaliditetom i stara lica kao žrtve</w:t>
      </w:r>
      <w:bookmarkEnd w:id="44"/>
    </w:p>
    <w:p w14:paraId="7A6C3A69" w14:textId="100AF801" w:rsidR="00985730" w:rsidRPr="0085657D" w:rsidRDefault="00985730" w:rsidP="00985730">
      <w:pPr>
        <w:spacing w:after="240" w:line="276" w:lineRule="auto"/>
        <w:rPr>
          <w:rFonts w:ascii="Arial" w:hAnsi="Arial" w:cs="Arial"/>
        </w:rPr>
      </w:pPr>
      <w:r w:rsidRPr="0085657D">
        <w:rPr>
          <w:rFonts w:ascii="Arial" w:hAnsi="Arial" w:cs="Arial"/>
        </w:rPr>
        <w:t>Iako same po sebi dovoljno teške, posljedice viktimizacije dobijaju na dodatnoj težini kada je riječ o višestruko ranjiv</w:t>
      </w:r>
      <w:r w:rsidR="004C0E3E">
        <w:rPr>
          <w:rFonts w:ascii="Arial" w:hAnsi="Arial" w:cs="Arial"/>
        </w:rPr>
        <w:t>im</w:t>
      </w:r>
      <w:r w:rsidRPr="0085657D">
        <w:rPr>
          <w:rFonts w:ascii="Arial" w:hAnsi="Arial" w:cs="Arial"/>
        </w:rPr>
        <w:t xml:space="preserve"> kategorijama lica, poput osoba sa invaliditetom ili starih lica. Razloge tome treba tražiti u dodatno otežanom pristupu informacijama o pravima, otežanom fizičkom pristupu institucijama, teškoj ekonomskoj situaciji sa kojom se ove kategorije lica učestalo suočavaju, predrasudama</w:t>
      </w:r>
      <w:r w:rsidR="006C3C71">
        <w:rPr>
          <w:rFonts w:ascii="Arial" w:hAnsi="Arial" w:cs="Arial"/>
        </w:rPr>
        <w:t xml:space="preserve"> </w:t>
      </w:r>
      <w:r w:rsidRPr="0085657D">
        <w:rPr>
          <w:rFonts w:ascii="Arial" w:hAnsi="Arial" w:cs="Arial"/>
        </w:rPr>
        <w:t>okruženja, životu u (djelimičnoj) izolaciji, kao i neposrednoj i posrednoj diskriminaciji sa kojom se svakodnevno suočavaju.</w:t>
      </w:r>
    </w:p>
    <w:p w14:paraId="2509B639" w14:textId="77777777" w:rsidR="00985730" w:rsidRPr="0085657D" w:rsidRDefault="00985730" w:rsidP="00985730">
      <w:pPr>
        <w:spacing w:after="0" w:line="276" w:lineRule="auto"/>
        <w:rPr>
          <w:rFonts w:ascii="Arial" w:hAnsi="Arial" w:cs="Arial"/>
        </w:rPr>
      </w:pPr>
      <w:r w:rsidRPr="0085657D">
        <w:rPr>
          <w:rFonts w:ascii="Arial" w:hAnsi="Arial" w:cs="Arial"/>
        </w:rPr>
        <w:t xml:space="preserve">Ovi faktori su, sve do usvajanja Strategije reforme pravosuđa 2024-2027, bili potpuno van fokusa donosilaca javnih </w:t>
      </w:r>
      <w:r w:rsidR="00005DDF" w:rsidRPr="0085657D">
        <w:rPr>
          <w:rFonts w:ascii="Arial" w:hAnsi="Arial" w:cs="Arial"/>
        </w:rPr>
        <w:t>politika</w:t>
      </w:r>
      <w:r w:rsidRPr="0085657D">
        <w:rPr>
          <w:rFonts w:ascii="Arial" w:hAnsi="Arial" w:cs="Arial"/>
        </w:rPr>
        <w:t xml:space="preserve"> u oblasti pravosuđa. Ovom strategijom planirano je otklanjanje fizičkih barijera pristupa institucijama pravosuđa. Ipak, neophodno je razviti komplementarne mjere koje bi omogućile olakšano informisanje i komunikaciju sa organima postupka i pružaocima podrške, osoba sa invaliditetom i starih lica.</w:t>
      </w:r>
    </w:p>
    <w:p w14:paraId="6E73D030" w14:textId="77777777" w:rsidR="00A53024" w:rsidRPr="00933A34" w:rsidRDefault="00A53024" w:rsidP="00A337D3">
      <w:pPr>
        <w:pStyle w:val="Default"/>
        <w:spacing w:after="160"/>
        <w:rPr>
          <w:rFonts w:ascii="Arial" w:hAnsi="Arial" w:cs="Arial"/>
          <w:sz w:val="16"/>
          <w:szCs w:val="22"/>
          <w:lang w:val="sr-Latn-ME"/>
        </w:rPr>
      </w:pPr>
    </w:p>
    <w:p w14:paraId="6C06B619" w14:textId="3C4E8C3F" w:rsidR="001B3CD3" w:rsidRPr="00933A34" w:rsidRDefault="00933A34" w:rsidP="00933A34">
      <w:pPr>
        <w:pStyle w:val="Heading3"/>
        <w:rPr>
          <w:rFonts w:ascii="Arial" w:hAnsi="Arial" w:cs="Arial"/>
          <w:sz w:val="22"/>
        </w:rPr>
      </w:pPr>
      <w:bookmarkStart w:id="45" w:name="_Toc208489197"/>
      <w:r w:rsidRPr="00933A34">
        <w:rPr>
          <w:rFonts w:ascii="Arial" w:hAnsi="Arial" w:cs="Arial"/>
          <w:sz w:val="22"/>
        </w:rPr>
        <w:t xml:space="preserve">3.6.2 </w:t>
      </w:r>
      <w:r w:rsidR="00782845" w:rsidRPr="00933A34">
        <w:rPr>
          <w:rFonts w:ascii="Arial" w:hAnsi="Arial" w:cs="Arial"/>
          <w:sz w:val="22"/>
        </w:rPr>
        <w:t xml:space="preserve">Pravosudna infrastruktura i </w:t>
      </w:r>
      <w:r w:rsidR="00A65805" w:rsidRPr="00933A34">
        <w:rPr>
          <w:rFonts w:ascii="Arial" w:hAnsi="Arial" w:cs="Arial"/>
          <w:sz w:val="22"/>
        </w:rPr>
        <w:t>zaštita žrtava</w:t>
      </w:r>
      <w:bookmarkEnd w:id="45"/>
    </w:p>
    <w:p w14:paraId="5884D63D" w14:textId="0DFEDDF8" w:rsidR="006F3325" w:rsidRPr="0085657D" w:rsidRDefault="000B13AC" w:rsidP="001B3CD3">
      <w:pPr>
        <w:spacing w:after="120" w:line="276" w:lineRule="auto"/>
        <w:rPr>
          <w:rFonts w:ascii="Arial" w:hAnsi="Arial" w:cs="Arial"/>
        </w:rPr>
      </w:pPr>
      <w:r w:rsidRPr="0085657D">
        <w:rPr>
          <w:rFonts w:ascii="Arial" w:hAnsi="Arial" w:cs="Arial"/>
        </w:rPr>
        <w:t xml:space="preserve">Direktivom 2012/029EU ispravno je prepoznato </w:t>
      </w:r>
      <w:r w:rsidR="006F3325" w:rsidRPr="0085657D">
        <w:rPr>
          <w:rFonts w:ascii="Arial" w:hAnsi="Arial" w:cs="Arial"/>
        </w:rPr>
        <w:t>u kojoj mjeri kontakt žrtve i okrivljenog, a ponekad i žrtve i organ</w:t>
      </w:r>
      <w:r w:rsidR="00254248">
        <w:rPr>
          <w:rFonts w:ascii="Arial" w:hAnsi="Arial" w:cs="Arial"/>
        </w:rPr>
        <w:t>a</w:t>
      </w:r>
      <w:r w:rsidR="006F3325" w:rsidRPr="0085657D">
        <w:rPr>
          <w:rFonts w:ascii="Arial" w:hAnsi="Arial" w:cs="Arial"/>
        </w:rPr>
        <w:t xml:space="preserve"> postupka (u smislu fizičkog prisustva u sudnici) može dodatno traumatizovati žrtvu i dovesti do sekundarne viktimizacije.</w:t>
      </w:r>
    </w:p>
    <w:p w14:paraId="7B1BD76B" w14:textId="05961EDB" w:rsidR="006F3325" w:rsidRPr="0085657D" w:rsidRDefault="006F3325" w:rsidP="001B3CD3">
      <w:pPr>
        <w:spacing w:after="120" w:line="276" w:lineRule="auto"/>
        <w:rPr>
          <w:rFonts w:ascii="Arial" w:hAnsi="Arial" w:cs="Arial"/>
        </w:rPr>
      </w:pPr>
      <w:r w:rsidRPr="0085657D">
        <w:rPr>
          <w:rFonts w:ascii="Arial" w:hAnsi="Arial" w:cs="Arial"/>
        </w:rPr>
        <w:t xml:space="preserve">U tom smislu, Direktiva insistira na izbjegavanju ove vrste susreta i na iznalaženju rješenja za ispitivanje žrtve u specijalizovanoj prostoriji, posredstvom tehničkih sredstava za prijenos slike i zvuka, kao i na </w:t>
      </w:r>
      <w:r w:rsidR="00E72E55" w:rsidRPr="0085657D">
        <w:rPr>
          <w:rFonts w:ascii="Arial" w:hAnsi="Arial" w:cs="Arial"/>
        </w:rPr>
        <w:t>obezb</w:t>
      </w:r>
      <w:r w:rsidR="00254248">
        <w:rPr>
          <w:rFonts w:ascii="Arial" w:hAnsi="Arial" w:cs="Arial"/>
        </w:rPr>
        <w:t>j</w:t>
      </w:r>
      <w:r w:rsidR="00E72E55" w:rsidRPr="0085657D">
        <w:rPr>
          <w:rFonts w:ascii="Arial" w:hAnsi="Arial" w:cs="Arial"/>
        </w:rPr>
        <w:t>eđivanju</w:t>
      </w:r>
      <w:r w:rsidRPr="0085657D">
        <w:rPr>
          <w:rFonts w:ascii="Arial" w:hAnsi="Arial" w:cs="Arial"/>
        </w:rPr>
        <w:t xml:space="preserve"> zasebnih čekaonica za žrtve, ako i odvojenih ulaz i/ili koridora kojima se stiže do sudnice čime bi se izbjegao susret žrtve i okrivljenog.</w:t>
      </w:r>
    </w:p>
    <w:p w14:paraId="1DE2216F" w14:textId="77777777" w:rsidR="00DA03C1" w:rsidRDefault="006F3325" w:rsidP="001B3CD3">
      <w:pPr>
        <w:spacing w:after="120" w:line="276" w:lineRule="auto"/>
        <w:rPr>
          <w:rFonts w:ascii="Arial" w:hAnsi="Arial" w:cs="Arial"/>
          <w14:ligatures w14:val="standardContextual"/>
        </w:rPr>
      </w:pPr>
      <w:r w:rsidRPr="0085657D">
        <w:rPr>
          <w:rFonts w:ascii="Arial" w:hAnsi="Arial" w:cs="Arial"/>
        </w:rPr>
        <w:t>St</w:t>
      </w:r>
      <w:r w:rsidR="001B3CD3" w:rsidRPr="0085657D">
        <w:rPr>
          <w:rFonts w:ascii="Arial" w:hAnsi="Arial" w:cs="Arial"/>
        </w:rPr>
        <w:t>anje pravosudne infrastrukture</w:t>
      </w:r>
      <w:r w:rsidRPr="0085657D">
        <w:rPr>
          <w:rFonts w:ascii="Arial" w:hAnsi="Arial" w:cs="Arial"/>
        </w:rPr>
        <w:t>, bez svake sumnje predstavlja jedan od gorućih problema crnogorskog pravosuđa</w:t>
      </w:r>
      <w:r w:rsidR="001B3CD3" w:rsidRPr="0085657D">
        <w:rPr>
          <w:rFonts w:ascii="Arial" w:hAnsi="Arial" w:cs="Arial"/>
        </w:rPr>
        <w:t>, a osim sprovedenih analiza i djelimično sprovedenog procesa planiranja, značajnijih pomaka u pogledu unapređenja pravosudne infrastrukture nije bilo. Prepoznajući potrebu da dalja ulaganja u pravosudnu infrastrukturu budu zasnovana na detaljnoj procjeni postojećeg stanja, 2019. godine je izražena studija</w:t>
      </w:r>
      <w:r w:rsidR="001B3CD3" w:rsidRPr="0085657D">
        <w:rPr>
          <w:rStyle w:val="FootnoteReference"/>
          <w:rFonts w:ascii="Arial" w:hAnsi="Arial" w:cs="Arial"/>
          <w14:ligatures w14:val="standardContextual"/>
        </w:rPr>
        <w:footnoteReference w:id="72"/>
      </w:r>
      <w:r w:rsidR="001B3CD3" w:rsidRPr="0085657D">
        <w:rPr>
          <w:rFonts w:ascii="Arial" w:hAnsi="Arial" w:cs="Arial"/>
        </w:rPr>
        <w:t xml:space="preserve"> zasnovana na procjeni potreba </w:t>
      </w:r>
      <w:r w:rsidR="001B3CD3" w:rsidRPr="0085657D">
        <w:rPr>
          <w:rFonts w:ascii="Arial" w:hAnsi="Arial" w:cs="Arial"/>
          <w14:ligatures w14:val="standardContextual"/>
        </w:rPr>
        <w:t xml:space="preserve">koje se odnose na poboljšanje programsko-prostornih, tehnoloških, bezbjednosnih i energetskih uslova ukupno 50 objekata na 30 pojedinačnih lokacija, što je neizostavni input u izradi tehničke dokumentacije za buduće projekte. </w:t>
      </w:r>
    </w:p>
    <w:p w14:paraId="3DFDEBB9" w14:textId="77777777" w:rsidR="00DA03C1" w:rsidRDefault="00DA03C1" w:rsidP="001B3CD3">
      <w:pPr>
        <w:spacing w:after="120" w:line="276" w:lineRule="auto"/>
        <w:rPr>
          <w:rFonts w:ascii="Arial" w:hAnsi="Arial" w:cs="Arial"/>
          <w14:ligatures w14:val="standardContextual"/>
        </w:rPr>
      </w:pPr>
    </w:p>
    <w:p w14:paraId="782C9480" w14:textId="77777777" w:rsidR="00DA03C1" w:rsidRDefault="00DA03C1" w:rsidP="001B3CD3">
      <w:pPr>
        <w:spacing w:after="120" w:line="276" w:lineRule="auto"/>
        <w:rPr>
          <w:rFonts w:ascii="Arial" w:hAnsi="Arial" w:cs="Arial"/>
          <w14:ligatures w14:val="standardContextual"/>
        </w:rPr>
      </w:pPr>
    </w:p>
    <w:p w14:paraId="306E8B6D" w14:textId="5148FD5C" w:rsidR="00C47459" w:rsidRPr="00046F11" w:rsidRDefault="001B3CD3" w:rsidP="001B3CD3">
      <w:pPr>
        <w:spacing w:after="120" w:line="276" w:lineRule="auto"/>
        <w:rPr>
          <w:rFonts w:ascii="Arial" w:hAnsi="Arial" w:cs="Arial"/>
          <w14:ligatures w14:val="standardContextual"/>
        </w:rPr>
      </w:pPr>
      <w:r w:rsidRPr="0085657D">
        <w:rPr>
          <w:rFonts w:ascii="Arial" w:hAnsi="Arial" w:cs="Arial"/>
          <w14:ligatures w14:val="standardContextual"/>
        </w:rPr>
        <w:lastRenderedPageBreak/>
        <w:t>Ipak, prilikom sprovođenja ove analize, propuštena je prilika da se izvrši i procjena stanja u pogledu stanja pravosudne infrastrukture iz ugla pristupa pravdi za naročito ranjive grupe građana, poput djece, žrtava krivičnih djela i osoba sa invaliditetom, uslijed čega ne postoje adekvatne informacije na osnovu kojih bi mogli biti utvrđeni prioriteti u pogledu upodobljavanja postojećih i izgradnji novih objekata u skladu sa relevantnim međunarodnim standardima.</w:t>
      </w:r>
    </w:p>
    <w:p w14:paraId="65128CDB" w14:textId="7479C597" w:rsidR="001B3CD3" w:rsidRPr="0085657D" w:rsidRDefault="001B3CD3" w:rsidP="001B3CD3">
      <w:pPr>
        <w:spacing w:line="276" w:lineRule="auto"/>
        <w:rPr>
          <w:rFonts w:ascii="Arial" w:hAnsi="Arial" w:cs="Arial"/>
        </w:rPr>
      </w:pPr>
      <w:r w:rsidRPr="0085657D">
        <w:rPr>
          <w:rFonts w:ascii="Arial" w:hAnsi="Arial" w:cs="Arial"/>
        </w:rPr>
        <w:t xml:space="preserve">Imajući u vidu izazove sa kojima se u oblasti infrastrukture suočava crnogorsko pravosuđe, u predstojećem periodu neophodno </w:t>
      </w:r>
      <w:r w:rsidR="006C3C71">
        <w:rPr>
          <w:rFonts w:ascii="Arial" w:hAnsi="Arial" w:cs="Arial"/>
        </w:rPr>
        <w:t xml:space="preserve">je </w:t>
      </w:r>
      <w:r w:rsidRPr="0085657D">
        <w:rPr>
          <w:rFonts w:ascii="Arial" w:hAnsi="Arial" w:cs="Arial"/>
        </w:rPr>
        <w:t>raditi na pripremnim radovima poput definisanja lokacije, izmjene prostornog plana i izrade tehničke dokumentacije za izgradnju novog kompleksa za smještaj institucija pravosuđa u Podgorici, kao i izvršiti neophodne radove u sklopu prenamjene objekata dodijeljenih na korišćenje institucijama pravosuđa u ovom gradu.</w:t>
      </w:r>
    </w:p>
    <w:p w14:paraId="13B291E4" w14:textId="15D7D751" w:rsidR="00684EF8" w:rsidRPr="0085657D" w:rsidRDefault="001B3CD3" w:rsidP="002A0062">
      <w:pPr>
        <w:spacing w:line="276" w:lineRule="auto"/>
        <w:rPr>
          <w:rFonts w:ascii="Arial" w:hAnsi="Arial" w:cs="Arial"/>
        </w:rPr>
      </w:pPr>
      <w:r w:rsidRPr="0085657D">
        <w:rPr>
          <w:rFonts w:ascii="Arial" w:hAnsi="Arial" w:cs="Arial"/>
        </w:rPr>
        <w:t xml:space="preserve">Paralelno sa ovim procesom, neophodno je prilikom planiranja svih budućih infrastrukturnih projekata (izgradnja i/ili rekonstrukcija) objekata u kojima su smješteni sudovi i tužilaštva, bude uzeta u obzir potreba za usaglašavanjem sa standardima u oblasti pristupa pravdi za </w:t>
      </w:r>
      <w:r w:rsidR="00684EF8" w:rsidRPr="0085657D">
        <w:rPr>
          <w:rFonts w:ascii="Arial" w:hAnsi="Arial" w:cs="Arial"/>
        </w:rPr>
        <w:t xml:space="preserve">djecu i/ili žrtve krivičnih djela, uključujući, ali se ne ograničavajući na zasebne ulaze za žrtve i okrivljenog, prostorije za smještaj službi podrške žrtvama i/ili svjedočenje, opremu neophodnu za svjedočenje putem video linka, itd. Pored toga, upodobljavanje infrastrukture potrebama olakšanog pristupa pravdi za žrtve krivičnih djela treba da uzme u obzir i potrebe višestruko ranjivih žrtava, poput </w:t>
      </w:r>
      <w:r w:rsidRPr="0085657D">
        <w:rPr>
          <w:rFonts w:ascii="Arial" w:hAnsi="Arial" w:cs="Arial"/>
        </w:rPr>
        <w:t xml:space="preserve">osoba sa invaliditetom, uključujući tu, ali se ne ograničavajući na pristupne rampe, liftove, info table sa Brajevom azbukom i zvučnim obavještenjima. </w:t>
      </w:r>
    </w:p>
    <w:p w14:paraId="6C9312A6" w14:textId="6149E9C9" w:rsidR="00684EF8" w:rsidRPr="00DA03C1" w:rsidRDefault="00071DBF" w:rsidP="00DA03C1">
      <w:pPr>
        <w:spacing w:after="0" w:line="276" w:lineRule="auto"/>
        <w:rPr>
          <w:rFonts w:ascii="Arial" w:hAnsi="Arial" w:cs="Arial"/>
        </w:rPr>
      </w:pPr>
      <w:r w:rsidRPr="0085657D">
        <w:rPr>
          <w:rFonts w:ascii="Arial" w:hAnsi="Arial" w:cs="Arial"/>
        </w:rPr>
        <w:t>Posebna pažnja treba da bude posvećena potrebama djece žrtava. Trenutno, prostorije za saslušanje djeteta su opred</w:t>
      </w:r>
      <w:r w:rsidR="00046F11">
        <w:rPr>
          <w:rFonts w:ascii="Arial" w:hAnsi="Arial" w:cs="Arial"/>
        </w:rPr>
        <w:t>i</w:t>
      </w:r>
      <w:r w:rsidRPr="0085657D">
        <w:rPr>
          <w:rFonts w:ascii="Arial" w:hAnsi="Arial" w:cs="Arial"/>
        </w:rPr>
        <w:t xml:space="preserve">jeljene u opštepoznatim nedostajućim prostornim kapacitetima svih državnih tužilaštava. Na taj način, u svakoj od šest prostorija (u šest državnih tužilaštava: ODT Berane, Podgorica, Nikšić, Kotor, Pljevlja i VDT Bijelo Polje) je maksimalno iskorišćen prostor i izvršena adaptacija shodno potrebama djeteta. </w:t>
      </w:r>
    </w:p>
    <w:p w14:paraId="613F6CFA" w14:textId="27C0449F" w:rsidR="00A53024" w:rsidRPr="00933A34" w:rsidRDefault="002E62DD" w:rsidP="00933A34">
      <w:pPr>
        <w:pStyle w:val="Heading3"/>
        <w:numPr>
          <w:ilvl w:val="2"/>
          <w:numId w:val="43"/>
        </w:numPr>
        <w:rPr>
          <w:rFonts w:ascii="Arial" w:hAnsi="Arial" w:cs="Arial"/>
          <w:sz w:val="22"/>
          <w:szCs w:val="22"/>
        </w:rPr>
      </w:pPr>
      <w:bookmarkStart w:id="46" w:name="_Toc208489198"/>
      <w:r w:rsidRPr="00933A34">
        <w:rPr>
          <w:rFonts w:ascii="Arial" w:hAnsi="Arial" w:cs="Arial"/>
          <w:sz w:val="22"/>
          <w:szCs w:val="22"/>
        </w:rPr>
        <w:t>Mediji i zaštita žrtava</w:t>
      </w:r>
      <w:bookmarkEnd w:id="46"/>
    </w:p>
    <w:p w14:paraId="5944AAA1" w14:textId="77777777" w:rsidR="002E62DD" w:rsidRPr="0085657D" w:rsidRDefault="002E62DD" w:rsidP="00131358">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Uloga medija u zaštiti žrtava je dvostruka: </w:t>
      </w:r>
      <w:r w:rsidR="005B718D" w:rsidRPr="0085657D">
        <w:rPr>
          <w:rFonts w:ascii="Arial" w:hAnsi="Arial" w:cs="Arial"/>
          <w:color w:val="000000"/>
        </w:rPr>
        <w:t>s</w:t>
      </w:r>
      <w:r w:rsidRPr="0085657D">
        <w:rPr>
          <w:rFonts w:ascii="Arial" w:hAnsi="Arial" w:cs="Arial"/>
          <w:color w:val="000000"/>
        </w:rPr>
        <w:t xml:space="preserve"> jedne strane, mediji mogu biti opasno oružje u kontekstu sekundarne viktimizacije, traumatizacije, stigmatizacije i narušavanja privatnosti i dostojanstva žrtve. Istovremeno, uloga medija u informisanju žrtava o mehanizmima zaštite, podrške i generalno prava koja imaju u vezi sa viktimizacijom može biti jedan od najjačih aduta zaštite njihovih prava.</w:t>
      </w:r>
    </w:p>
    <w:p w14:paraId="3A52CD56" w14:textId="7E9E1BCD" w:rsidR="00131358" w:rsidRPr="0085657D" w:rsidRDefault="00131358" w:rsidP="00131358">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Ubrzani razvoj </w:t>
      </w:r>
      <w:r w:rsidRPr="00046F11">
        <w:rPr>
          <w:rFonts w:ascii="Arial" w:hAnsi="Arial" w:cs="Arial"/>
          <w:color w:val="000000"/>
        </w:rPr>
        <w:t xml:space="preserve">elektronskih </w:t>
      </w:r>
      <w:r w:rsidR="009B7697" w:rsidRPr="00046F11">
        <w:rPr>
          <w:rFonts w:ascii="Arial" w:hAnsi="Arial" w:cs="Arial"/>
          <w:color w:val="000000"/>
        </w:rPr>
        <w:t>i drugih medija</w:t>
      </w:r>
      <w:r w:rsidR="00046F11" w:rsidRPr="00046F11">
        <w:rPr>
          <w:rFonts w:ascii="Arial" w:hAnsi="Arial" w:cs="Arial"/>
          <w:color w:val="000000"/>
        </w:rPr>
        <w:t>, kao</w:t>
      </w:r>
      <w:r w:rsidRPr="00046F11">
        <w:rPr>
          <w:rFonts w:ascii="Arial" w:hAnsi="Arial" w:cs="Arial"/>
          <w:color w:val="000000"/>
        </w:rPr>
        <w:t xml:space="preserve"> i društvenih </w:t>
      </w:r>
      <w:r w:rsidR="009B7697" w:rsidRPr="00046F11">
        <w:rPr>
          <w:rFonts w:ascii="Arial" w:hAnsi="Arial" w:cs="Arial"/>
          <w:color w:val="000000"/>
        </w:rPr>
        <w:t>mreža</w:t>
      </w:r>
      <w:r w:rsidR="00046F11" w:rsidRPr="00046F11">
        <w:rPr>
          <w:rFonts w:ascii="Arial" w:hAnsi="Arial" w:cs="Arial"/>
          <w:color w:val="000000"/>
        </w:rPr>
        <w:t>,</w:t>
      </w:r>
      <w:r w:rsidRPr="00046F11">
        <w:rPr>
          <w:rFonts w:ascii="Arial" w:hAnsi="Arial" w:cs="Arial"/>
          <w:color w:val="000000"/>
        </w:rPr>
        <w:t xml:space="preserve"> zamijenio je</w:t>
      </w:r>
      <w:r w:rsidR="00046F11" w:rsidRPr="00046F11">
        <w:rPr>
          <w:rFonts w:ascii="Arial" w:hAnsi="Arial" w:cs="Arial"/>
          <w:color w:val="000000"/>
        </w:rPr>
        <w:t xml:space="preserve"> </w:t>
      </w:r>
      <w:r w:rsidRPr="00046F11">
        <w:rPr>
          <w:rFonts w:ascii="Arial" w:hAnsi="Arial" w:cs="Arial"/>
          <w:color w:val="000000"/>
        </w:rPr>
        <w:t>već surovu borbu za tiraž, još bezobzirnijom borbom „za klikove“. Rukovodeći se principom</w:t>
      </w:r>
      <w:r w:rsidRPr="0085657D">
        <w:rPr>
          <w:rFonts w:ascii="Arial" w:hAnsi="Arial" w:cs="Arial"/>
          <w:color w:val="000000"/>
        </w:rPr>
        <w:t xml:space="preserve"> da</w:t>
      </w:r>
      <w:r w:rsidR="002E62DD" w:rsidRPr="0085657D">
        <w:rPr>
          <w:rFonts w:ascii="Arial" w:hAnsi="Arial" w:cs="Arial"/>
          <w:color w:val="000000"/>
        </w:rPr>
        <w:t>,</w:t>
      </w:r>
      <w:r w:rsidRPr="0085657D">
        <w:rPr>
          <w:rFonts w:ascii="Arial" w:hAnsi="Arial" w:cs="Arial"/>
          <w:color w:val="000000"/>
        </w:rPr>
        <w:t xml:space="preserve"> što skandalozniji naslov i što neprim</w:t>
      </w:r>
      <w:r w:rsidR="006C3C71">
        <w:rPr>
          <w:rFonts w:ascii="Arial" w:hAnsi="Arial" w:cs="Arial"/>
          <w:color w:val="000000"/>
        </w:rPr>
        <w:t>j</w:t>
      </w:r>
      <w:r w:rsidRPr="0085657D">
        <w:rPr>
          <w:rFonts w:ascii="Arial" w:hAnsi="Arial" w:cs="Arial"/>
          <w:color w:val="000000"/>
        </w:rPr>
        <w:t>erenija sadržina teksta garantuju i više pregleda, medijsk</w:t>
      </w:r>
      <w:r w:rsidR="002E62DD" w:rsidRPr="0085657D">
        <w:rPr>
          <w:rFonts w:ascii="Arial" w:hAnsi="Arial" w:cs="Arial"/>
          <w:color w:val="000000"/>
        </w:rPr>
        <w:t xml:space="preserve">i poslenici </w:t>
      </w:r>
      <w:r w:rsidRPr="0085657D">
        <w:rPr>
          <w:rFonts w:ascii="Arial" w:hAnsi="Arial" w:cs="Arial"/>
          <w:color w:val="000000"/>
        </w:rPr>
        <w:t xml:space="preserve">se nerijetko </w:t>
      </w:r>
      <w:r w:rsidR="002E62DD" w:rsidRPr="0085657D">
        <w:rPr>
          <w:rFonts w:ascii="Arial" w:hAnsi="Arial" w:cs="Arial"/>
          <w:color w:val="000000"/>
        </w:rPr>
        <w:t>odlučuju na nepoštovanje normi profesionalnog kodeksa, te za narušavanje privatnosti i dostojanstva žrtava, nepotrebnim (i/ili nedozvoljenim) iznošenjem identifikacionih podataka, ličnih prilika žrtve ili detalja izvršenja krivičnog djela.</w:t>
      </w:r>
    </w:p>
    <w:p w14:paraId="42EE7A68" w14:textId="7064D7DA" w:rsidR="00C47459" w:rsidRPr="0085657D" w:rsidRDefault="002E62DD" w:rsidP="00131358">
      <w:pPr>
        <w:autoSpaceDE w:val="0"/>
        <w:autoSpaceDN w:val="0"/>
        <w:adjustRightInd w:val="0"/>
        <w:spacing w:line="276" w:lineRule="auto"/>
        <w:rPr>
          <w:rFonts w:ascii="Arial" w:hAnsi="Arial" w:cs="Arial"/>
          <w:color w:val="000000"/>
        </w:rPr>
      </w:pPr>
      <w:r w:rsidRPr="0085657D">
        <w:rPr>
          <w:rFonts w:ascii="Arial" w:hAnsi="Arial" w:cs="Arial"/>
          <w:color w:val="000000"/>
        </w:rPr>
        <w:t>Pomenuta praksa nerijetko je skopčana sa nepoštovanjem povjerljivosti postupka tokom izviđaja, istrage, kao i u situacijama kada je isključena javnost tokom glavnog pretresa, kada se opravdano može dovesti u pitanje i odgovornost profesionalaca koji su imali pristup podacima koji su objavljeni u medijima.</w:t>
      </w:r>
    </w:p>
    <w:p w14:paraId="24F05402" w14:textId="5BE6356B"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lastRenderedPageBreak/>
        <w:t>Važno je konstatovati da su ovakve prakse ponekad skopčane, ne sa zlonamjernošću i/ili koristoljubljem, već sa nedostatkom edukacije u pogledu granica dozvoljenosti izvještavanja o ovako osjetljivim pitanjima, kao i o štetnim posljedicama takvog izvještavanja po žrtve.</w:t>
      </w:r>
      <w:r w:rsidR="00883A15" w:rsidRPr="0085657D">
        <w:rPr>
          <w:rFonts w:ascii="Arial" w:hAnsi="Arial" w:cs="Arial"/>
          <w:color w:val="000000"/>
        </w:rPr>
        <w:t xml:space="preserve"> </w:t>
      </w:r>
      <w:r w:rsidRPr="0085657D">
        <w:rPr>
          <w:rFonts w:ascii="Arial" w:hAnsi="Arial" w:cs="Arial"/>
          <w:color w:val="000000"/>
        </w:rPr>
        <w:t>Prije donošenja Zakona o audiovizuelnim uslugama nije bilo moguće izricanje novčanih kazni u slučaju kršnja zakona, dok je sada to moguće u slučaju ponovljenog prekršaja. Ipak, u praksi Agencija izb</w:t>
      </w:r>
      <w:r w:rsidR="00046F11">
        <w:rPr>
          <w:rFonts w:ascii="Arial" w:hAnsi="Arial" w:cs="Arial"/>
          <w:color w:val="000000"/>
        </w:rPr>
        <w:t>j</w:t>
      </w:r>
      <w:r w:rsidRPr="0085657D">
        <w:rPr>
          <w:rFonts w:ascii="Arial" w:hAnsi="Arial" w:cs="Arial"/>
          <w:color w:val="000000"/>
        </w:rPr>
        <w:t>egava pokretanje prekršajnih postupaka (osim za višestruko ponovljene prekršaje) i nastoji da d</w:t>
      </w:r>
      <w:r w:rsidR="00046F11">
        <w:rPr>
          <w:rFonts w:ascii="Arial" w:hAnsi="Arial" w:cs="Arial"/>
          <w:color w:val="000000"/>
        </w:rPr>
        <w:t>j</w:t>
      </w:r>
      <w:r w:rsidRPr="0085657D">
        <w:rPr>
          <w:rFonts w:ascii="Arial" w:hAnsi="Arial" w:cs="Arial"/>
          <w:color w:val="000000"/>
        </w:rPr>
        <w:t>eluje upozorenjima. Tokom 2025. godine Agencija je pokrenula jedan postupak koji se odnosio upravo na otkrivanje identiteta maloljetne žrtve i izrekla upozorenje.</w:t>
      </w:r>
    </w:p>
    <w:p w14:paraId="32D3A745" w14:textId="6F1665FA"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t>Imajući ovo u vidu, jačanje uloge samoregulatornih tijela u Crnoj Gori, kao i kontinuirani monitoring izvještavanja iz ugla zaštite prava žrtava nameću se kao neophodni koraci za preva</w:t>
      </w:r>
      <w:r w:rsidR="006C3C71">
        <w:rPr>
          <w:rFonts w:ascii="Arial" w:hAnsi="Arial" w:cs="Arial"/>
          <w:color w:val="000000"/>
        </w:rPr>
        <w:t>z</w:t>
      </w:r>
      <w:r w:rsidRPr="0085657D">
        <w:rPr>
          <w:rFonts w:ascii="Arial" w:hAnsi="Arial" w:cs="Arial"/>
          <w:color w:val="000000"/>
        </w:rPr>
        <w:t>ilaženje postojećeg problema, zajedno sa jačanjem mehanizama odgovornosti, kako u medijima, tako i u okviru policije i pravosuđa.</w:t>
      </w:r>
    </w:p>
    <w:p w14:paraId="7CC4D409" w14:textId="3E9FE88B"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t>Takođe,  postoji potreba za obukama novinara i urednika medija u oblasti zaštite prava žrtava, kao i promocija dobr</w:t>
      </w:r>
      <w:r w:rsidR="00046F11">
        <w:rPr>
          <w:rFonts w:ascii="Arial" w:hAnsi="Arial" w:cs="Arial"/>
          <w:color w:val="000000"/>
        </w:rPr>
        <w:t>i</w:t>
      </w:r>
      <w:r w:rsidRPr="0085657D">
        <w:rPr>
          <w:rFonts w:ascii="Arial" w:hAnsi="Arial" w:cs="Arial"/>
          <w:color w:val="000000"/>
        </w:rPr>
        <w:t>h praksi izvještavanja, kao i intenziviranje saradnje sa institucijama i tijelima u oblasti pravosuđa i socijalne zaštite koji imaju nad</w:t>
      </w:r>
      <w:r w:rsidR="00046F11">
        <w:rPr>
          <w:rFonts w:ascii="Arial" w:hAnsi="Arial" w:cs="Arial"/>
          <w:color w:val="000000"/>
        </w:rPr>
        <w:t>l</w:t>
      </w:r>
      <w:r w:rsidRPr="0085657D">
        <w:rPr>
          <w:rFonts w:ascii="Arial" w:hAnsi="Arial" w:cs="Arial"/>
          <w:color w:val="000000"/>
        </w:rPr>
        <w:t>ežnosti u pogledu zaštite žrtava.</w:t>
      </w:r>
    </w:p>
    <w:p w14:paraId="26075289" w14:textId="49531C1C"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t>Kada je riječ o drugoj, pomenutoj ulozi medija, kao instrumenta informisanja žrtava, važno je nap</w:t>
      </w:r>
      <w:r w:rsidR="00046F11">
        <w:rPr>
          <w:rFonts w:ascii="Arial" w:hAnsi="Arial" w:cs="Arial"/>
          <w:color w:val="000000"/>
        </w:rPr>
        <w:t>omenuti</w:t>
      </w:r>
      <w:r w:rsidRPr="0085657D">
        <w:rPr>
          <w:rFonts w:ascii="Arial" w:hAnsi="Arial" w:cs="Arial"/>
          <w:color w:val="000000"/>
        </w:rPr>
        <w:t xml:space="preserve"> da u posljednje tri godine iz Fonda za podsticanje pluralizma i </w:t>
      </w:r>
      <w:r w:rsidR="00EC1C9E" w:rsidRPr="0076201E">
        <w:rPr>
          <w:rFonts w:ascii="Arial" w:hAnsi="Arial" w:cs="Arial"/>
        </w:rPr>
        <w:t xml:space="preserve">raznovrsnosti medija </w:t>
      </w:r>
      <w:r w:rsidRPr="0085657D">
        <w:rPr>
          <w:rFonts w:ascii="Arial" w:hAnsi="Arial" w:cs="Arial"/>
          <w:color w:val="000000"/>
        </w:rPr>
        <w:t>nije podržan niti jedan medijski projekat koji se odnosi na prava žrtava, uprkos tome što su, kako je to ranije napomenuto, za to uspostavljene sve neophodne zakonske pretpostavke</w:t>
      </w:r>
      <w:r w:rsidR="00883A15" w:rsidRPr="0085657D">
        <w:rPr>
          <w:rFonts w:ascii="Arial" w:hAnsi="Arial" w:cs="Arial"/>
          <w:color w:val="000000"/>
        </w:rPr>
        <w:t>.</w:t>
      </w:r>
      <w:r w:rsidRPr="0085657D">
        <w:rPr>
          <w:rFonts w:ascii="Arial" w:hAnsi="Arial" w:cs="Arial"/>
          <w:color w:val="000000"/>
        </w:rPr>
        <w:t xml:space="preserve"> U tom smislu trebalo bi razmisliti o mogućnosti raspisivanja tematskih poziva kojima bi se podržali ovakvi projekti.</w:t>
      </w:r>
    </w:p>
    <w:p w14:paraId="01F60F97" w14:textId="77777777" w:rsidR="00A675C3" w:rsidRPr="0085657D" w:rsidRDefault="00A675C3" w:rsidP="00A675C3">
      <w:pPr>
        <w:pStyle w:val="ListParagraph"/>
        <w:autoSpaceDE w:val="0"/>
        <w:autoSpaceDN w:val="0"/>
        <w:adjustRightInd w:val="0"/>
        <w:rPr>
          <w:rFonts w:ascii="Arial" w:hAnsi="Arial" w:cs="Arial"/>
          <w:color w:val="000000"/>
        </w:rPr>
      </w:pPr>
    </w:p>
    <w:p w14:paraId="57C0C1B6" w14:textId="61CABA04" w:rsidR="00A53024" w:rsidRPr="0085657D" w:rsidRDefault="005E7EA9" w:rsidP="005E7EA9">
      <w:pPr>
        <w:pStyle w:val="Heading2"/>
        <w:spacing w:before="0" w:after="240"/>
        <w:ind w:left="1080"/>
        <w:rPr>
          <w:rFonts w:ascii="Arial" w:hAnsi="Arial" w:cs="Arial"/>
          <w:sz w:val="22"/>
          <w:szCs w:val="22"/>
        </w:rPr>
      </w:pPr>
      <w:bookmarkStart w:id="47" w:name="_Toc208489199"/>
      <w:r>
        <w:rPr>
          <w:rFonts w:ascii="Arial" w:hAnsi="Arial" w:cs="Arial"/>
          <w:sz w:val="22"/>
          <w:szCs w:val="22"/>
        </w:rPr>
        <w:t>3.</w:t>
      </w:r>
      <w:r w:rsidR="00184B3C">
        <w:rPr>
          <w:rFonts w:ascii="Arial" w:hAnsi="Arial" w:cs="Arial"/>
          <w:sz w:val="22"/>
          <w:szCs w:val="22"/>
        </w:rPr>
        <w:t xml:space="preserve">7. </w:t>
      </w:r>
      <w:r w:rsidR="00A53024" w:rsidRPr="0085657D">
        <w:rPr>
          <w:rFonts w:ascii="Arial" w:hAnsi="Arial" w:cs="Arial"/>
          <w:sz w:val="22"/>
          <w:szCs w:val="22"/>
        </w:rPr>
        <w:t>Prikupljanje i obrada statističkih podataka o žrtvama</w:t>
      </w:r>
      <w:bookmarkEnd w:id="47"/>
    </w:p>
    <w:p w14:paraId="18D44341" w14:textId="3DD5713E" w:rsidR="00640321" w:rsidRPr="0085657D" w:rsidRDefault="001B3CD3" w:rsidP="00640321">
      <w:pPr>
        <w:spacing w:line="276" w:lineRule="auto"/>
        <w:rPr>
          <w:rFonts w:ascii="Arial" w:hAnsi="Arial" w:cs="Arial"/>
        </w:rPr>
      </w:pPr>
      <w:r w:rsidRPr="0085657D">
        <w:rPr>
          <w:rFonts w:ascii="Arial" w:hAnsi="Arial" w:cs="Arial"/>
        </w:rPr>
        <w:t xml:space="preserve">Od velikog značaja je i generisanje  </w:t>
      </w:r>
      <w:r w:rsidR="00640321" w:rsidRPr="0085657D">
        <w:rPr>
          <w:rFonts w:ascii="Arial" w:hAnsi="Arial" w:cs="Arial"/>
        </w:rPr>
        <w:t xml:space="preserve">razvrstanih </w:t>
      </w:r>
      <w:r w:rsidRPr="0085657D">
        <w:rPr>
          <w:rFonts w:ascii="Arial" w:hAnsi="Arial" w:cs="Arial"/>
        </w:rPr>
        <w:t>podataka o žrtvama</w:t>
      </w:r>
      <w:r w:rsidR="00640321" w:rsidRPr="0085657D">
        <w:rPr>
          <w:rFonts w:ascii="Arial" w:hAnsi="Arial" w:cs="Arial"/>
        </w:rPr>
        <w:t xml:space="preserve"> u skladu sa Direktivom 2012/029/EU</w:t>
      </w:r>
      <w:r w:rsidRPr="0085657D">
        <w:rPr>
          <w:rFonts w:ascii="Arial" w:hAnsi="Arial" w:cs="Arial"/>
        </w:rPr>
        <w:t xml:space="preserve">, što je preduslovljeno daljim razvojem IKT sistema u MUP-u i pravosuđu, ali i paralelnim unapređenjem upisnika u sudstvu i državnom tužilaštvu u skladu sa zahtjevima relevantnih međunarodnih instrumenata i preporuka ugovornih tijela i specijalnih procedura. </w:t>
      </w:r>
    </w:p>
    <w:p w14:paraId="2224E0D1" w14:textId="77777777" w:rsidR="001B3CD3" w:rsidRPr="0085657D" w:rsidRDefault="001B3CD3" w:rsidP="00640321">
      <w:pPr>
        <w:spacing w:line="276" w:lineRule="auto"/>
        <w:rPr>
          <w:rFonts w:ascii="Arial" w:hAnsi="Arial" w:cs="Arial"/>
        </w:rPr>
      </w:pPr>
      <w:r w:rsidRPr="0085657D">
        <w:rPr>
          <w:rFonts w:ascii="Arial" w:hAnsi="Arial" w:cs="Arial"/>
        </w:rPr>
        <w:t xml:space="preserve">Zastarjelost i neadekvatnost informacionog sistema onemogućava efikasno upravljanje predmetima, analitiku i generisanje statističkih podataka i izvještaja. Ovo se istovremeno odražava na mogućnost blagovremenog uočavanja kritičnih tačaka i reagovanja adekvatnim mjerama. </w:t>
      </w:r>
    </w:p>
    <w:p w14:paraId="7BD18159" w14:textId="77777777" w:rsidR="001B3CD3" w:rsidRPr="0085657D" w:rsidRDefault="001B3CD3" w:rsidP="00640321">
      <w:pPr>
        <w:spacing w:line="276" w:lineRule="auto"/>
        <w:rPr>
          <w:rFonts w:ascii="Arial" w:hAnsi="Arial" w:cs="Arial"/>
        </w:rPr>
      </w:pPr>
      <w:r w:rsidRPr="0085657D">
        <w:rPr>
          <w:rFonts w:ascii="Arial" w:hAnsi="Arial" w:cs="Arial"/>
        </w:rPr>
        <w:t>Pored navedenog, neadekvatna tehnička rješenja otežavaju obezbjeđivanje procesne zaštite žrtvama u toku svjedočenja, ali i ograničavaju korišćenje modernih, hibridnih modela obuka.</w:t>
      </w:r>
    </w:p>
    <w:p w14:paraId="2F5C21DA" w14:textId="77777777" w:rsidR="001B3CD3" w:rsidRPr="0085657D" w:rsidRDefault="001B3CD3" w:rsidP="00640321">
      <w:pPr>
        <w:spacing w:line="276" w:lineRule="auto"/>
        <w:rPr>
          <w:rFonts w:ascii="Arial" w:hAnsi="Arial" w:cs="Arial"/>
        </w:rPr>
      </w:pPr>
      <w:r w:rsidRPr="0085657D">
        <w:rPr>
          <w:rFonts w:ascii="Arial" w:hAnsi="Arial" w:cs="Arial"/>
        </w:rPr>
        <w:t>U tom smislu, mjere predviđene ovom strategijom i pratećim akcionim planom u potpunosti se oslanjaju na rješenja Strategije digitalizacije pravosuđa 2024-2027.</w:t>
      </w:r>
    </w:p>
    <w:p w14:paraId="7C8B7F09" w14:textId="51DAB2B5" w:rsidR="00721D3E" w:rsidRDefault="00721D3E" w:rsidP="005414F1">
      <w:pPr>
        <w:spacing w:line="276" w:lineRule="auto"/>
        <w:rPr>
          <w:rFonts w:ascii="Arial" w:hAnsi="Arial" w:cs="Arial"/>
        </w:rPr>
      </w:pPr>
    </w:p>
    <w:p w14:paraId="4E06BC2B" w14:textId="77777777" w:rsidR="00C47459" w:rsidRPr="0085657D" w:rsidRDefault="00C47459" w:rsidP="00406DB3"/>
    <w:p w14:paraId="0E956A1E" w14:textId="65A3EFFB" w:rsidR="00721D3E" w:rsidRPr="00665894" w:rsidRDefault="00C80274" w:rsidP="00C80274">
      <w:pPr>
        <w:pStyle w:val="Heading2"/>
        <w:ind w:left="720"/>
        <w:rPr>
          <w:rFonts w:ascii="Arial" w:hAnsi="Arial" w:cs="Arial"/>
          <w:sz w:val="22"/>
        </w:rPr>
      </w:pPr>
      <w:bookmarkStart w:id="48" w:name="_Toc208489200"/>
      <w:r>
        <w:rPr>
          <w:rFonts w:ascii="Arial" w:hAnsi="Arial" w:cs="Arial"/>
          <w:sz w:val="22"/>
        </w:rPr>
        <w:lastRenderedPageBreak/>
        <w:t>3.</w:t>
      </w:r>
      <w:r w:rsidR="00665894" w:rsidRPr="00665894">
        <w:rPr>
          <w:rFonts w:ascii="Arial" w:hAnsi="Arial" w:cs="Arial"/>
          <w:sz w:val="22"/>
        </w:rPr>
        <w:t xml:space="preserve">8. </w:t>
      </w:r>
      <w:r w:rsidR="00721D3E" w:rsidRPr="00665894">
        <w:rPr>
          <w:rFonts w:ascii="Arial" w:hAnsi="Arial" w:cs="Arial"/>
          <w:sz w:val="22"/>
        </w:rPr>
        <w:t>SWOT analiza</w:t>
      </w:r>
      <w:bookmarkEnd w:id="48"/>
    </w:p>
    <w:p w14:paraId="1514BF77" w14:textId="77777777" w:rsidR="00721D3E" w:rsidRPr="0085657D" w:rsidRDefault="00721D3E" w:rsidP="005414F1">
      <w:pPr>
        <w:spacing w:line="276" w:lineRule="auto"/>
        <w:rPr>
          <w:rFonts w:ascii="Arial" w:hAnsi="Arial" w:cs="Arial"/>
        </w:rPr>
      </w:pPr>
    </w:p>
    <w:tbl>
      <w:tblPr>
        <w:tblStyle w:val="GridTable1Light-Accent11"/>
        <w:tblW w:w="10350" w:type="dxa"/>
        <w:tblInd w:w="-5" w:type="dxa"/>
        <w:tblLook w:val="04A0" w:firstRow="1" w:lastRow="0" w:firstColumn="1" w:lastColumn="0" w:noHBand="0" w:noVBand="1"/>
      </w:tblPr>
      <w:tblGrid>
        <w:gridCol w:w="4680"/>
        <w:gridCol w:w="5670"/>
      </w:tblGrid>
      <w:tr w:rsidR="00777966" w:rsidRPr="0085657D" w14:paraId="7FBE1F7B" w14:textId="77777777" w:rsidTr="00C47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D9F2D0" w:themeFill="accent6" w:themeFillTint="33"/>
          </w:tcPr>
          <w:p w14:paraId="58020568" w14:textId="77777777" w:rsidR="00777966" w:rsidRPr="0085657D" w:rsidRDefault="00777966" w:rsidP="00777966">
            <w:pPr>
              <w:spacing w:line="276" w:lineRule="auto"/>
              <w:jc w:val="center"/>
              <w:rPr>
                <w:rFonts w:ascii="Arial" w:hAnsi="Arial" w:cs="Arial"/>
                <w:b w:val="0"/>
                <w:bCs w:val="0"/>
              </w:rPr>
            </w:pPr>
            <w:r w:rsidRPr="0085657D">
              <w:rPr>
                <w:rFonts w:ascii="Arial" w:hAnsi="Arial" w:cs="Arial"/>
              </w:rPr>
              <w:t>SNAGE (S)</w:t>
            </w:r>
          </w:p>
        </w:tc>
        <w:tc>
          <w:tcPr>
            <w:tcW w:w="5670" w:type="dxa"/>
            <w:shd w:val="clear" w:color="auto" w:fill="FAE2D5" w:themeFill="accent2" w:themeFillTint="33"/>
          </w:tcPr>
          <w:p w14:paraId="60964411" w14:textId="77777777" w:rsidR="00777966" w:rsidRPr="0085657D" w:rsidRDefault="00777966" w:rsidP="00777966">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SLABOSTI (W)</w:t>
            </w:r>
          </w:p>
        </w:tc>
      </w:tr>
      <w:tr w:rsidR="00721D3E" w:rsidRPr="0085657D" w14:paraId="44E54CFD" w14:textId="77777777" w:rsidTr="00C47459">
        <w:tc>
          <w:tcPr>
            <w:cnfStyle w:val="001000000000" w:firstRow="0" w:lastRow="0" w:firstColumn="1" w:lastColumn="0" w:oddVBand="0" w:evenVBand="0" w:oddHBand="0" w:evenHBand="0" w:firstRowFirstColumn="0" w:firstRowLastColumn="0" w:lastRowFirstColumn="0" w:lastRowLastColumn="0"/>
            <w:tcW w:w="4680" w:type="dxa"/>
          </w:tcPr>
          <w:p w14:paraId="3BCAB3AF" w14:textId="77777777" w:rsidR="00721D3E"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b w:val="0"/>
                <w:bCs w:val="0"/>
              </w:rPr>
              <w:t>Značajni pomaci nedavno načinjeni u pogledu</w:t>
            </w:r>
            <w:r w:rsidRPr="0085657D">
              <w:rPr>
                <w:rFonts w:ascii="Arial" w:hAnsi="Arial" w:cs="Arial"/>
              </w:rPr>
              <w:t xml:space="preserve"> unapređenja normativnog okvira</w:t>
            </w:r>
          </w:p>
          <w:p w14:paraId="6A5C201B" w14:textId="77777777" w:rsidR="00E208F7"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rPr>
              <w:t>Prepoznata potreba za reformama u ovoj oblasti u ključnim dokumentima javnih politika na nacionalnom nivou</w:t>
            </w:r>
          </w:p>
          <w:p w14:paraId="6B489C59" w14:textId="77777777" w:rsidR="00E208F7"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b w:val="0"/>
                <w:bCs w:val="0"/>
              </w:rPr>
              <w:t>Pitanje zaštite prava žrtava</w:t>
            </w:r>
            <w:r w:rsidRPr="0085657D">
              <w:rPr>
                <w:rFonts w:ascii="Arial" w:hAnsi="Arial" w:cs="Arial"/>
              </w:rPr>
              <w:t xml:space="preserve"> dio reformske agende obuhvaćene mjerilima za zatvaranje Poglavlja 23</w:t>
            </w:r>
          </w:p>
          <w:p w14:paraId="5BA2FBCA" w14:textId="77777777" w:rsidR="00E208F7"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rPr>
              <w:t xml:space="preserve">Postojanje projektne podrške </w:t>
            </w:r>
          </w:p>
        </w:tc>
        <w:tc>
          <w:tcPr>
            <w:tcW w:w="5670" w:type="dxa"/>
          </w:tcPr>
          <w:p w14:paraId="16A25F29"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Manjak administrativnih</w:t>
            </w:r>
            <w:r w:rsidR="00C16F9D" w:rsidRPr="0085657D">
              <w:rPr>
                <w:rFonts w:ascii="Arial" w:hAnsi="Arial" w:cs="Arial"/>
                <w:b/>
                <w:bCs/>
                <w14:ligatures w14:val="standardContextual"/>
              </w:rPr>
              <w:t xml:space="preserve"> i stručnih</w:t>
            </w:r>
            <w:r w:rsidRPr="0085657D">
              <w:rPr>
                <w:rFonts w:ascii="Arial" w:hAnsi="Arial" w:cs="Arial"/>
                <w14:ligatures w14:val="standardContextual"/>
              </w:rPr>
              <w:t xml:space="preserve"> kapaciteta</w:t>
            </w:r>
            <w:r w:rsidR="00C16F9D" w:rsidRPr="0085657D">
              <w:rPr>
                <w:rFonts w:ascii="Arial" w:hAnsi="Arial" w:cs="Arial"/>
                <w:b/>
                <w:bCs/>
                <w14:ligatures w14:val="standardContextual"/>
              </w:rPr>
              <w:t xml:space="preserve"> u institucijama</w:t>
            </w:r>
          </w:p>
          <w:p w14:paraId="6E295526" w14:textId="77777777" w:rsidR="00441E71" w:rsidRPr="0085657D" w:rsidRDefault="00C16F9D"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b/>
                <w:bCs/>
                <w14:ligatures w14:val="standardContextual"/>
              </w:rPr>
              <w:t xml:space="preserve">Nedostatak </w:t>
            </w:r>
            <w:r w:rsidR="00721D3E" w:rsidRPr="0085657D">
              <w:rPr>
                <w:rFonts w:ascii="Arial" w:hAnsi="Arial" w:cs="Arial"/>
                <w14:ligatures w14:val="standardContextual"/>
              </w:rPr>
              <w:t xml:space="preserve">finansijskih sredstava za sprovođenje </w:t>
            </w:r>
            <w:r w:rsidRPr="0085657D">
              <w:rPr>
                <w:rFonts w:ascii="Arial" w:hAnsi="Arial" w:cs="Arial"/>
                <w:b/>
                <w:bCs/>
                <w14:ligatures w14:val="standardContextual"/>
              </w:rPr>
              <w:t>svih neophodnih reformi</w:t>
            </w:r>
          </w:p>
          <w:p w14:paraId="42B487EB"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Nedovoljna informisanost, koordinacija i saradnja</w:t>
            </w:r>
            <w:r w:rsidR="00441E71" w:rsidRPr="0085657D">
              <w:rPr>
                <w:rFonts w:ascii="Arial" w:hAnsi="Arial" w:cs="Arial"/>
                <w14:ligatures w14:val="standardContextual"/>
              </w:rPr>
              <w:t xml:space="preserve"> </w:t>
            </w:r>
            <w:r w:rsidRPr="0085657D">
              <w:rPr>
                <w:rFonts w:ascii="Arial" w:hAnsi="Arial" w:cs="Arial"/>
                <w14:ligatures w14:val="standardContextual"/>
              </w:rPr>
              <w:t xml:space="preserve">ključnih aktera </w:t>
            </w:r>
            <w:r w:rsidR="00B8405E" w:rsidRPr="0085657D">
              <w:rPr>
                <w:rFonts w:ascii="Arial" w:hAnsi="Arial" w:cs="Arial"/>
                <w:b/>
                <w:bCs/>
                <w14:ligatures w14:val="standardContextual"/>
              </w:rPr>
              <w:t>podrške i zaštite žrtava</w:t>
            </w:r>
          </w:p>
          <w:p w14:paraId="22CF189E"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Prisutna regionalna nejednakost po pitanju nivoa</w:t>
            </w:r>
            <w:r w:rsidR="00B8405E" w:rsidRPr="0085657D">
              <w:rPr>
                <w:rFonts w:ascii="Arial" w:hAnsi="Arial" w:cs="Arial"/>
                <w:b/>
                <w:bCs/>
                <w14:ligatures w14:val="standardContextual"/>
              </w:rPr>
              <w:t xml:space="preserve"> dostupnosti usluga podrške žrtvama</w:t>
            </w:r>
          </w:p>
          <w:p w14:paraId="7DF01B7E"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Nedostatak razvrstanih statističkih podataka</w:t>
            </w:r>
            <w:r w:rsidR="00C16F9D" w:rsidRPr="0085657D">
              <w:rPr>
                <w:rFonts w:ascii="Arial" w:hAnsi="Arial" w:cs="Arial"/>
                <w:b/>
                <w:bCs/>
                <w14:ligatures w14:val="standardContextual"/>
              </w:rPr>
              <w:t xml:space="preserve"> o žrtvama</w:t>
            </w:r>
          </w:p>
          <w:p w14:paraId="7F5BB684"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Neadekvatan sistemski okvir praćenja potreba za</w:t>
            </w:r>
            <w:r w:rsidR="00441E71" w:rsidRPr="0085657D">
              <w:rPr>
                <w:rFonts w:ascii="Arial" w:hAnsi="Arial" w:cs="Arial"/>
                <w14:ligatures w14:val="standardContextual"/>
              </w:rPr>
              <w:t xml:space="preserve"> </w:t>
            </w:r>
            <w:r w:rsidRPr="0085657D">
              <w:rPr>
                <w:rFonts w:ascii="Arial" w:hAnsi="Arial" w:cs="Arial"/>
                <w14:ligatures w14:val="standardContextual"/>
              </w:rPr>
              <w:t xml:space="preserve">obukom </w:t>
            </w:r>
            <w:r w:rsidR="00C16F9D" w:rsidRPr="0085657D">
              <w:rPr>
                <w:rFonts w:ascii="Arial" w:hAnsi="Arial" w:cs="Arial"/>
                <w:b/>
                <w:bCs/>
                <w14:ligatures w14:val="standardContextual"/>
              </w:rPr>
              <w:t>profesionalaca u oblasti prava žrtava</w:t>
            </w:r>
          </w:p>
          <w:p w14:paraId="7C75EEFE"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Ograničena ponuda i dostupnost programa</w:t>
            </w:r>
            <w:r w:rsidR="00C16F9D" w:rsidRPr="0085657D">
              <w:rPr>
                <w:rFonts w:ascii="Arial" w:hAnsi="Arial" w:cs="Arial"/>
                <w:b/>
                <w:bCs/>
                <w14:ligatures w14:val="standardContextual"/>
              </w:rPr>
              <w:t xml:space="preserve"> specijalizovane podrške žrtvama</w:t>
            </w:r>
          </w:p>
          <w:p w14:paraId="535E8F04"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 xml:space="preserve">Nedovoljna informisanost </w:t>
            </w:r>
            <w:r w:rsidRPr="0085657D">
              <w:rPr>
                <w:rFonts w:ascii="Arial" w:hAnsi="Arial" w:cs="Arial"/>
                <w:b/>
                <w:bCs/>
                <w14:ligatures w14:val="standardContextual"/>
              </w:rPr>
              <w:t>žrtava o pravima i dostupnim mehanizmima podrške i zaštite</w:t>
            </w:r>
          </w:p>
          <w:p w14:paraId="6DA17952"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 xml:space="preserve">Nedovoljna </w:t>
            </w:r>
            <w:r w:rsidR="00C16F9D" w:rsidRPr="0085657D">
              <w:rPr>
                <w:rFonts w:ascii="Arial" w:hAnsi="Arial" w:cs="Arial"/>
                <w:b/>
                <w:bCs/>
                <w14:ligatures w14:val="standardContextual"/>
              </w:rPr>
              <w:t>digitalna pismenost žrtava</w:t>
            </w:r>
          </w:p>
          <w:p w14:paraId="66B83C11" w14:textId="77777777" w:rsidR="00C16F9D" w:rsidRPr="0085657D" w:rsidRDefault="00C16F9D"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Nedovoljno razvijen sistem monitoringa i evaluacije</w:t>
            </w:r>
            <w:r w:rsidR="00E208F7" w:rsidRPr="0085657D">
              <w:rPr>
                <w:rFonts w:ascii="Arial" w:hAnsi="Arial" w:cs="Arial"/>
                <w14:ligatures w14:val="standardContextual"/>
              </w:rPr>
              <w:t xml:space="preserve"> reformskih procesa</w:t>
            </w:r>
          </w:p>
        </w:tc>
      </w:tr>
      <w:tr w:rsidR="00721D3E" w:rsidRPr="0085657D" w14:paraId="4A571EAD" w14:textId="77777777" w:rsidTr="00C47459">
        <w:tc>
          <w:tcPr>
            <w:cnfStyle w:val="001000000000" w:firstRow="0" w:lastRow="0" w:firstColumn="1" w:lastColumn="0" w:oddVBand="0" w:evenVBand="0" w:oddHBand="0" w:evenHBand="0" w:firstRowFirstColumn="0" w:firstRowLastColumn="0" w:lastRowFirstColumn="0" w:lastRowLastColumn="0"/>
            <w:tcW w:w="4680" w:type="dxa"/>
            <w:shd w:val="clear" w:color="auto" w:fill="DAE9F7" w:themeFill="text2" w:themeFillTint="1A"/>
          </w:tcPr>
          <w:p w14:paraId="2BC76692" w14:textId="77777777" w:rsidR="00721D3E" w:rsidRPr="0085657D" w:rsidRDefault="00721D3E" w:rsidP="00777966">
            <w:pPr>
              <w:spacing w:line="276" w:lineRule="auto"/>
              <w:jc w:val="center"/>
              <w:rPr>
                <w:rFonts w:ascii="Arial" w:hAnsi="Arial" w:cs="Arial"/>
              </w:rPr>
            </w:pPr>
            <w:r w:rsidRPr="0085657D">
              <w:rPr>
                <w:rFonts w:ascii="Arial" w:hAnsi="Arial" w:cs="Arial"/>
              </w:rPr>
              <w:t>ŠANSE (O)</w:t>
            </w:r>
          </w:p>
        </w:tc>
        <w:tc>
          <w:tcPr>
            <w:tcW w:w="5670" w:type="dxa"/>
            <w:shd w:val="clear" w:color="auto" w:fill="F2CEED" w:themeFill="accent5" w:themeFillTint="33"/>
          </w:tcPr>
          <w:p w14:paraId="1BB6AEA8" w14:textId="77777777" w:rsidR="00721D3E" w:rsidRPr="0085657D" w:rsidRDefault="00721D3E" w:rsidP="00777966">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657D">
              <w:rPr>
                <w:rFonts w:ascii="Arial" w:hAnsi="Arial" w:cs="Arial"/>
                <w:b/>
                <w:bCs/>
              </w:rPr>
              <w:t>PRIJETNJE (T)</w:t>
            </w:r>
          </w:p>
        </w:tc>
      </w:tr>
      <w:tr w:rsidR="00777966" w:rsidRPr="0085657D" w14:paraId="0875BCA2" w14:textId="77777777" w:rsidTr="00C47459">
        <w:tc>
          <w:tcPr>
            <w:cnfStyle w:val="001000000000" w:firstRow="0" w:lastRow="0" w:firstColumn="1" w:lastColumn="0" w:oddVBand="0" w:evenVBand="0" w:oddHBand="0" w:evenHBand="0" w:firstRowFirstColumn="0" w:firstRowLastColumn="0" w:lastRowFirstColumn="0" w:lastRowLastColumn="0"/>
            <w:tcW w:w="4680" w:type="dxa"/>
          </w:tcPr>
          <w:p w14:paraId="0B409CCE" w14:textId="77777777" w:rsidR="00777966" w:rsidRPr="0085657D" w:rsidRDefault="00247E52" w:rsidP="00247E52">
            <w:pPr>
              <w:pStyle w:val="ListParagraph"/>
              <w:numPr>
                <w:ilvl w:val="0"/>
                <w:numId w:val="36"/>
              </w:numPr>
              <w:spacing w:line="276" w:lineRule="auto"/>
              <w:rPr>
                <w:rFonts w:ascii="Arial" w:hAnsi="Arial" w:cs="Arial"/>
              </w:rPr>
            </w:pPr>
            <w:r w:rsidRPr="0085657D">
              <w:rPr>
                <w:rFonts w:ascii="Arial" w:hAnsi="Arial" w:cs="Arial"/>
              </w:rPr>
              <w:t xml:space="preserve">Preuzimanje dobrih praksi </w:t>
            </w:r>
            <w:r w:rsidRPr="0085657D">
              <w:rPr>
                <w:rFonts w:ascii="Arial" w:hAnsi="Arial" w:cs="Arial"/>
                <w:b w:val="0"/>
                <w:bCs w:val="0"/>
              </w:rPr>
              <w:t>podrške i zaštite žrtava iz država članica EU</w:t>
            </w:r>
          </w:p>
          <w:p w14:paraId="48CC4907" w14:textId="77777777" w:rsidR="00247E52" w:rsidRPr="0085657D" w:rsidRDefault="00AE6860" w:rsidP="00247E52">
            <w:pPr>
              <w:pStyle w:val="ListParagraph"/>
              <w:numPr>
                <w:ilvl w:val="0"/>
                <w:numId w:val="36"/>
              </w:numPr>
              <w:spacing w:line="276" w:lineRule="auto"/>
              <w:rPr>
                <w:rFonts w:ascii="Arial" w:hAnsi="Arial" w:cs="Arial"/>
              </w:rPr>
            </w:pPr>
            <w:r w:rsidRPr="0085657D">
              <w:rPr>
                <w:rFonts w:ascii="Arial" w:hAnsi="Arial" w:cs="Arial"/>
              </w:rPr>
              <w:t xml:space="preserve">Pristup EU fondovima </w:t>
            </w:r>
            <w:r w:rsidRPr="0085657D">
              <w:rPr>
                <w:rFonts w:ascii="Arial" w:hAnsi="Arial" w:cs="Arial"/>
                <w:b w:val="0"/>
                <w:bCs w:val="0"/>
              </w:rPr>
              <w:t>za potrebe sprovođenja reformi</w:t>
            </w:r>
          </w:p>
          <w:p w14:paraId="601A623D" w14:textId="77777777" w:rsidR="00933B5F" w:rsidRPr="0085657D" w:rsidRDefault="00933B5F" w:rsidP="00933B5F">
            <w:pPr>
              <w:spacing w:line="276" w:lineRule="auto"/>
              <w:rPr>
                <w:rFonts w:ascii="Arial" w:hAnsi="Arial" w:cs="Arial"/>
              </w:rPr>
            </w:pPr>
          </w:p>
        </w:tc>
        <w:tc>
          <w:tcPr>
            <w:tcW w:w="5670" w:type="dxa"/>
          </w:tcPr>
          <w:p w14:paraId="6F37B00C" w14:textId="77777777" w:rsidR="00777966" w:rsidRPr="0085657D" w:rsidRDefault="00E208F7" w:rsidP="00595DE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b/>
                <w:bCs/>
              </w:rPr>
              <w:t xml:space="preserve">Reformski diskontinuitet </w:t>
            </w:r>
            <w:r w:rsidRPr="0085657D">
              <w:rPr>
                <w:rFonts w:ascii="Arial" w:hAnsi="Arial" w:cs="Arial"/>
              </w:rPr>
              <w:t>u slučaju političke nestabilnosti i/ili vanrednih parlamentarnih izbora</w:t>
            </w:r>
          </w:p>
          <w:p w14:paraId="4669C028" w14:textId="77777777" w:rsidR="00E208F7" w:rsidRPr="0085657D" w:rsidRDefault="00E208F7" w:rsidP="00595DE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b/>
                <w:bCs/>
              </w:rPr>
              <w:t xml:space="preserve">Potencijalna odluka Ministarstva finansija da ne odobri budžetske projekcije </w:t>
            </w:r>
            <w:r w:rsidRPr="0085657D">
              <w:rPr>
                <w:rFonts w:ascii="Arial" w:hAnsi="Arial" w:cs="Arial"/>
              </w:rPr>
              <w:t>u skladu sa prepoznatim i procijenjenim troškovima reformi u ovoj strategiji</w:t>
            </w:r>
          </w:p>
          <w:p w14:paraId="61FDABDA"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BB6A48F"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8D3DE0A"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2F9E22D"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766A933"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27D241AF" w14:textId="77777777" w:rsidR="00721D3E" w:rsidRPr="0085657D" w:rsidRDefault="00721D3E" w:rsidP="005414F1">
      <w:pPr>
        <w:spacing w:line="276" w:lineRule="auto"/>
        <w:rPr>
          <w:rFonts w:ascii="Arial" w:hAnsi="Arial" w:cs="Arial"/>
        </w:rPr>
      </w:pPr>
    </w:p>
    <w:p w14:paraId="482E9E35" w14:textId="77777777" w:rsidR="002B7606" w:rsidRPr="0085657D" w:rsidRDefault="002B7606" w:rsidP="005414F1">
      <w:pPr>
        <w:spacing w:line="276" w:lineRule="auto"/>
        <w:rPr>
          <w:rFonts w:ascii="Arial" w:hAnsi="Arial" w:cs="Arial"/>
        </w:rPr>
      </w:pPr>
    </w:p>
    <w:p w14:paraId="3F78239B" w14:textId="2BD779E2" w:rsidR="003A0853" w:rsidRPr="00406DB3" w:rsidRDefault="00406DB3" w:rsidP="00406DB3">
      <w:pPr>
        <w:pStyle w:val="Heading2"/>
        <w:rPr>
          <w:rFonts w:ascii="Arial" w:hAnsi="Arial" w:cs="Arial"/>
          <w:sz w:val="22"/>
        </w:rPr>
      </w:pPr>
      <w:bookmarkStart w:id="49" w:name="_Toc95303016"/>
      <w:bookmarkStart w:id="50" w:name="_Toc97902481"/>
      <w:bookmarkStart w:id="51" w:name="_Toc208489201"/>
      <w:r w:rsidRPr="00406DB3">
        <w:rPr>
          <w:rFonts w:ascii="Arial" w:hAnsi="Arial" w:cs="Arial"/>
          <w:sz w:val="22"/>
        </w:rPr>
        <w:lastRenderedPageBreak/>
        <w:t xml:space="preserve">3.9. </w:t>
      </w:r>
      <w:r w:rsidR="003A0853" w:rsidRPr="00406DB3">
        <w:rPr>
          <w:rFonts w:ascii="Arial" w:hAnsi="Arial" w:cs="Arial"/>
          <w:sz w:val="22"/>
        </w:rPr>
        <w:t xml:space="preserve">PESTL </w:t>
      </w:r>
      <w:r w:rsidR="00AA0F31" w:rsidRPr="00406DB3">
        <w:rPr>
          <w:rFonts w:ascii="Arial" w:hAnsi="Arial" w:cs="Arial"/>
          <w:sz w:val="22"/>
        </w:rPr>
        <w:t>analiza</w:t>
      </w:r>
      <w:bookmarkEnd w:id="49"/>
      <w:bookmarkEnd w:id="50"/>
      <w:bookmarkEnd w:id="51"/>
      <w:r w:rsidR="00AA0F31" w:rsidRPr="00406DB3">
        <w:rPr>
          <w:rFonts w:ascii="Arial" w:hAnsi="Arial" w:cs="Arial"/>
          <w:sz w:val="22"/>
        </w:rPr>
        <w:t xml:space="preserve"> </w:t>
      </w:r>
    </w:p>
    <w:p w14:paraId="7EFACEAA" w14:textId="77777777" w:rsidR="003A0853" w:rsidRPr="0085657D" w:rsidRDefault="003A0853" w:rsidP="002A0062">
      <w:pPr>
        <w:spacing w:after="120" w:line="276" w:lineRule="auto"/>
        <w:rPr>
          <w:rFonts w:ascii="Arial" w:eastAsia="Cambria" w:hAnsi="Arial" w:cs="Arial"/>
        </w:rPr>
      </w:pPr>
      <w:r w:rsidRPr="0085657D">
        <w:rPr>
          <w:rFonts w:ascii="Arial" w:eastAsia="Times New Roman" w:hAnsi="Arial" w:cs="Arial"/>
        </w:rPr>
        <w:t>Analizom se sagledavaju politički, ekonomski, socio-kultuloroški, tehnološki, pravni i ekološki faktori.</w:t>
      </w:r>
      <w:r w:rsidRPr="0085657D">
        <w:rPr>
          <w:rFonts w:ascii="Arial" w:hAnsi="Arial" w:cs="Arial"/>
          <w:vertAlign w:val="superscript"/>
        </w:rPr>
        <w:footnoteReference w:id="73"/>
      </w:r>
      <w:r w:rsidRPr="0085657D">
        <w:rPr>
          <w:rFonts w:ascii="Arial" w:eastAsia="Times New Roman" w:hAnsi="Arial" w:cs="Arial"/>
        </w:rPr>
        <w:t xml:space="preserve"> </w:t>
      </w:r>
      <w:r w:rsidRPr="0085657D">
        <w:rPr>
          <w:rFonts w:ascii="Arial" w:eastAsia="Calibri" w:hAnsi="Arial" w:cs="Arial"/>
        </w:rPr>
        <w:t xml:space="preserve">PESTL analiza pokazuje pozitivne i negativne promjene koje se odvijaju u državi, ekonomiji, društvu, kao i novi trendovi koji utiču na </w:t>
      </w:r>
      <w:r w:rsidR="0029373E" w:rsidRPr="0085657D">
        <w:rPr>
          <w:rFonts w:ascii="Arial" w:eastAsia="Calibri" w:hAnsi="Arial" w:cs="Arial"/>
        </w:rPr>
        <w:t>položaj žrtava</w:t>
      </w:r>
      <w:r w:rsidRPr="0085657D">
        <w:rPr>
          <w:rFonts w:ascii="Arial" w:eastAsia="Calibri" w:hAnsi="Arial" w:cs="Arial"/>
        </w:rPr>
        <w:t xml:space="preserve"> u Crnoj Gori.</w:t>
      </w:r>
      <w:r w:rsidRPr="0085657D">
        <w:rPr>
          <w:rFonts w:ascii="Arial" w:eastAsia="Cambria" w:hAnsi="Arial" w:cs="Arial"/>
        </w:rPr>
        <w:t xml:space="preserve"> </w:t>
      </w:r>
    </w:p>
    <w:tbl>
      <w:tblPr>
        <w:tblStyle w:val="GridTable5Dark-Accent12"/>
        <w:tblW w:w="5532" w:type="pct"/>
        <w:tblLayout w:type="fixed"/>
        <w:tblLook w:val="04A0" w:firstRow="1" w:lastRow="0" w:firstColumn="1" w:lastColumn="0" w:noHBand="0" w:noVBand="1"/>
      </w:tblPr>
      <w:tblGrid>
        <w:gridCol w:w="397"/>
        <w:gridCol w:w="1289"/>
        <w:gridCol w:w="8659"/>
      </w:tblGrid>
      <w:tr w:rsidR="003A0853" w:rsidRPr="0085657D" w14:paraId="691B6B2F" w14:textId="77777777" w:rsidTr="00C47459">
        <w:trPr>
          <w:cnfStyle w:val="100000000000" w:firstRow="1" w:lastRow="0" w:firstColumn="0" w:lastColumn="0" w:oddVBand="0" w:evenVBand="0" w:oddHBand="0" w:evenHBand="0" w:firstRowFirstColumn="0" w:firstRowLastColumn="0" w:lastRowFirstColumn="0" w:lastRowLastColumn="0"/>
          <w:trHeight w:val="2694"/>
        </w:trPr>
        <w:tc>
          <w:tcPr>
            <w:cnfStyle w:val="001000000000" w:firstRow="0" w:lastRow="0" w:firstColumn="1" w:lastColumn="0" w:oddVBand="0" w:evenVBand="0" w:oddHBand="0" w:evenHBand="0" w:firstRowFirstColumn="0" w:firstRowLastColumn="0" w:lastRowFirstColumn="0" w:lastRowLastColumn="0"/>
            <w:tcW w:w="192" w:type="pct"/>
            <w:tcBorders>
              <w:right w:val="single" w:sz="4" w:space="0" w:color="auto"/>
            </w:tcBorders>
            <w:shd w:val="clear" w:color="auto" w:fill="0F9ED5" w:themeFill="accent4"/>
            <w:vAlign w:val="center"/>
          </w:tcPr>
          <w:p w14:paraId="76D75C65" w14:textId="77777777" w:rsidR="003A0853" w:rsidRPr="0085657D" w:rsidRDefault="003A0853" w:rsidP="00C921B0">
            <w:pPr>
              <w:rPr>
                <w:rFonts w:ascii="Arial" w:eastAsia="Cambria" w:hAnsi="Arial" w:cs="Arial"/>
              </w:rPr>
            </w:pPr>
            <w:bookmarkStart w:id="52" w:name="_Hlk200108961"/>
            <w:r w:rsidRPr="0085657D">
              <w:rPr>
                <w:rFonts w:ascii="Arial" w:eastAsia="Cambria" w:hAnsi="Arial" w:cs="Arial"/>
              </w:rPr>
              <w:t>P</w:t>
            </w:r>
          </w:p>
        </w:tc>
        <w:tc>
          <w:tcPr>
            <w:tcW w:w="623" w:type="pct"/>
            <w:tcBorders>
              <w:top w:val="single" w:sz="4" w:space="0" w:color="auto"/>
              <w:left w:val="single" w:sz="4" w:space="0" w:color="auto"/>
              <w:bottom w:val="single" w:sz="4" w:space="0" w:color="auto"/>
              <w:right w:val="single" w:sz="4" w:space="0" w:color="auto"/>
            </w:tcBorders>
            <w:vAlign w:val="center"/>
          </w:tcPr>
          <w:p w14:paraId="3F008CA5" w14:textId="77777777" w:rsidR="003A0853" w:rsidRPr="0085657D" w:rsidRDefault="003A0853" w:rsidP="00C921B0">
            <w:pPr>
              <w:cnfStyle w:val="100000000000" w:firstRow="1" w:lastRow="0" w:firstColumn="0" w:lastColumn="0" w:oddVBand="0" w:evenVBand="0" w:oddHBand="0" w:evenHBand="0" w:firstRowFirstColumn="0" w:firstRowLastColumn="0" w:lastRowFirstColumn="0" w:lastRowLastColumn="0"/>
              <w:rPr>
                <w:rFonts w:ascii="Arial" w:eastAsia="Cambria" w:hAnsi="Arial" w:cs="Arial"/>
                <w:bCs w:val="0"/>
              </w:rPr>
            </w:pPr>
            <w:r w:rsidRPr="0085657D">
              <w:rPr>
                <w:rFonts w:ascii="Arial" w:eastAsia="Cambria" w:hAnsi="Arial" w:cs="Arial"/>
              </w:rPr>
              <w:t>POLITIČKI</w:t>
            </w:r>
          </w:p>
        </w:tc>
        <w:tc>
          <w:tcPr>
            <w:tcW w:w="4185" w:type="pct"/>
            <w:tcBorders>
              <w:left w:val="single" w:sz="4" w:space="0" w:color="auto"/>
            </w:tcBorders>
          </w:tcPr>
          <w:p w14:paraId="13207CD2" w14:textId="77777777" w:rsidR="003A0853" w:rsidRPr="0085657D" w:rsidRDefault="003A0853"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 xml:space="preserve">kandidat za EU (kandidat za članstvo u EU - decembar 2010. godine, pregovori započeti 29. juna 2012. godine); </w:t>
            </w:r>
          </w:p>
          <w:p w14:paraId="606146D3" w14:textId="77777777" w:rsidR="003A0853" w:rsidRPr="0085657D" w:rsidRDefault="003A0853"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konstruktivna uloga Crne Gore u kontekstu regionalne saradnje i dobrih međususjedskih odnosa;</w:t>
            </w:r>
          </w:p>
          <w:p w14:paraId="0EE6F1E2" w14:textId="77777777" w:rsidR="003A0853" w:rsidRPr="0085657D" w:rsidRDefault="003A0853"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 xml:space="preserve">Crna Gora </w:t>
            </w:r>
            <w:r w:rsidR="00AA0F31" w:rsidRPr="0085657D">
              <w:rPr>
                <w:rFonts w:ascii="Arial" w:eastAsia="Cambria" w:hAnsi="Arial" w:cs="Arial"/>
              </w:rPr>
              <w:t>je član Fundamental Rights Agency</w:t>
            </w:r>
          </w:p>
          <w:p w14:paraId="4CDA2DCA" w14:textId="415FD540" w:rsidR="003A0853" w:rsidRPr="0085657D" w:rsidRDefault="00AA0F31"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Rekon</w:t>
            </w:r>
            <w:r w:rsidR="00046F11">
              <w:rPr>
                <w:rFonts w:ascii="Arial" w:eastAsia="Cambria" w:hAnsi="Arial" w:cs="Arial"/>
              </w:rPr>
              <w:t>t</w:t>
            </w:r>
            <w:r w:rsidRPr="0085657D">
              <w:rPr>
                <w:rFonts w:ascii="Arial" w:eastAsia="Cambria" w:hAnsi="Arial" w:cs="Arial"/>
              </w:rPr>
              <w:t xml:space="preserve">rukcija </w:t>
            </w:r>
            <w:r w:rsidR="003A0853" w:rsidRPr="0085657D">
              <w:rPr>
                <w:rFonts w:ascii="Arial" w:eastAsia="Cambria" w:hAnsi="Arial" w:cs="Arial"/>
              </w:rPr>
              <w:t xml:space="preserve">Vlade Crne Gore u </w:t>
            </w:r>
            <w:r w:rsidR="0029373E" w:rsidRPr="0085657D">
              <w:rPr>
                <w:rFonts w:ascii="Arial" w:eastAsia="Cambria" w:hAnsi="Arial" w:cs="Arial"/>
              </w:rPr>
              <w:t>julu</w:t>
            </w:r>
            <w:r w:rsidR="003A0853" w:rsidRPr="0085657D">
              <w:rPr>
                <w:rFonts w:ascii="Arial" w:eastAsia="Cambria" w:hAnsi="Arial" w:cs="Arial"/>
              </w:rPr>
              <w:t xml:space="preserve"> 202</w:t>
            </w:r>
            <w:r w:rsidRPr="0085657D">
              <w:rPr>
                <w:rFonts w:ascii="Arial" w:eastAsia="Cambria" w:hAnsi="Arial" w:cs="Arial"/>
              </w:rPr>
              <w:t>4</w:t>
            </w:r>
            <w:r w:rsidR="003A0853" w:rsidRPr="0085657D">
              <w:rPr>
                <w:rFonts w:ascii="Arial" w:eastAsia="Cambria" w:hAnsi="Arial" w:cs="Arial"/>
              </w:rPr>
              <w:t xml:space="preserve">. </w:t>
            </w:r>
            <w:r w:rsidR="0029373E" w:rsidRPr="0085657D">
              <w:rPr>
                <w:rFonts w:ascii="Arial" w:eastAsia="Cambria" w:hAnsi="Arial" w:cs="Arial"/>
              </w:rPr>
              <w:t>g</w:t>
            </w:r>
            <w:r w:rsidR="003A0853" w:rsidRPr="0085657D">
              <w:rPr>
                <w:rFonts w:ascii="Arial" w:eastAsia="Cambria" w:hAnsi="Arial" w:cs="Arial"/>
              </w:rPr>
              <w:t>odine</w:t>
            </w:r>
            <w:r w:rsidRPr="0085657D">
              <w:rPr>
                <w:rFonts w:ascii="Arial" w:eastAsia="Cambria" w:hAnsi="Arial" w:cs="Arial"/>
              </w:rPr>
              <w:t xml:space="preserve"> </w:t>
            </w:r>
          </w:p>
        </w:tc>
      </w:tr>
      <w:tr w:rsidR="003A0853" w:rsidRPr="0085657D" w14:paraId="32C1789C" w14:textId="77777777" w:rsidTr="00C47459">
        <w:trPr>
          <w:cnfStyle w:val="000000100000" w:firstRow="0" w:lastRow="0" w:firstColumn="0" w:lastColumn="0" w:oddVBand="0" w:evenVBand="0" w:oddHBand="1" w:evenHBand="0" w:firstRowFirstColumn="0" w:firstRowLastColumn="0" w:lastRowFirstColumn="0" w:lastRowLastColumn="0"/>
          <w:trHeight w:val="3109"/>
        </w:trPr>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5BEBCAE1" w14:textId="77777777" w:rsidR="003A0853" w:rsidRPr="0085657D" w:rsidRDefault="003A0853" w:rsidP="00C921B0">
            <w:pPr>
              <w:jc w:val="center"/>
              <w:rPr>
                <w:rFonts w:ascii="Arial" w:eastAsia="Cambria" w:hAnsi="Arial" w:cs="Arial"/>
                <w:b w:val="0"/>
                <w:bCs w:val="0"/>
              </w:rPr>
            </w:pPr>
            <w:bookmarkStart w:id="53" w:name="_Hlk200109013"/>
            <w:r w:rsidRPr="0085657D">
              <w:rPr>
                <w:rFonts w:ascii="Arial" w:eastAsia="Cambria" w:hAnsi="Arial" w:cs="Arial"/>
              </w:rPr>
              <w:t>E</w:t>
            </w:r>
          </w:p>
        </w:tc>
        <w:tc>
          <w:tcPr>
            <w:tcW w:w="623" w:type="pct"/>
            <w:tcBorders>
              <w:top w:val="single" w:sz="4" w:space="0" w:color="auto"/>
            </w:tcBorders>
            <w:shd w:val="clear" w:color="auto" w:fill="45B0E1" w:themeFill="accent1" w:themeFillTint="99"/>
            <w:vAlign w:val="center"/>
          </w:tcPr>
          <w:p w14:paraId="7FD30DA6" w14:textId="77777777" w:rsidR="003A0853" w:rsidRPr="0085657D" w:rsidRDefault="003A0853" w:rsidP="00C921B0">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85657D">
              <w:rPr>
                <w:rFonts w:ascii="Arial" w:eastAsia="Cambria" w:hAnsi="Arial" w:cs="Arial"/>
                <w:color w:val="FFFFFF" w:themeColor="background1"/>
              </w:rPr>
              <w:t>EKONOMSKI</w:t>
            </w:r>
          </w:p>
        </w:tc>
        <w:tc>
          <w:tcPr>
            <w:tcW w:w="4185" w:type="pct"/>
            <w:shd w:val="clear" w:color="auto" w:fill="45B0E1" w:themeFill="accent1" w:themeFillTint="99"/>
          </w:tcPr>
          <w:p w14:paraId="5EBF996E" w14:textId="77777777" w:rsidR="003A0853" w:rsidRPr="0085657D" w:rsidRDefault="003A0853" w:rsidP="00595DE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Makroekonomska kretanja u Crnoj Gori tokom 2020. i 2021. godine pod velikim uticajem pandemije COVID-19;</w:t>
            </w:r>
          </w:p>
          <w:p w14:paraId="776E022D" w14:textId="77777777" w:rsidR="003A0853" w:rsidRPr="0085657D" w:rsidRDefault="003A0853" w:rsidP="00595DE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BDP Crne Gore u 202</w:t>
            </w:r>
            <w:r w:rsidR="0029373E" w:rsidRPr="0085657D">
              <w:rPr>
                <w:rFonts w:ascii="Arial" w:eastAsia="Cambria" w:hAnsi="Arial" w:cs="Arial"/>
                <w:color w:val="FFFFFF" w:themeColor="background1"/>
              </w:rPr>
              <w:t>3</w:t>
            </w:r>
            <w:r w:rsidRPr="0085657D">
              <w:rPr>
                <w:rFonts w:ascii="Arial" w:eastAsia="Cambria" w:hAnsi="Arial" w:cs="Arial"/>
                <w:color w:val="FFFFFF" w:themeColor="background1"/>
              </w:rPr>
              <w:t xml:space="preserve">. </w:t>
            </w:r>
            <w:r w:rsidRPr="00DA03C1">
              <w:rPr>
                <w:rFonts w:ascii="Arial" w:eastAsia="Cambria" w:hAnsi="Arial" w:cs="Arial"/>
                <w:color w:val="FFFFFF" w:themeColor="background1"/>
              </w:rPr>
              <w:t xml:space="preserve">godini iznosio je </w:t>
            </w:r>
            <w:r w:rsidR="00416AAC" w:rsidRPr="00DA03C1">
              <w:rPr>
                <w:rFonts w:ascii="Arial" w:eastAsia="Cambria" w:hAnsi="Arial" w:cs="Arial"/>
                <w:color w:val="FFFFFF" w:themeColor="background1"/>
              </w:rPr>
              <w:t>6.</w:t>
            </w:r>
            <w:r w:rsidR="00F225BC" w:rsidRPr="00DA03C1">
              <w:rPr>
                <w:rFonts w:ascii="Arial" w:eastAsia="Cambria" w:hAnsi="Arial" w:cs="Arial"/>
                <w:color w:val="FFFFFF" w:themeColor="background1"/>
              </w:rPr>
              <w:t>964</w:t>
            </w:r>
            <w:r w:rsidRPr="00DA03C1">
              <w:rPr>
                <w:rFonts w:ascii="Arial" w:eastAsia="Cambria" w:hAnsi="Arial" w:cs="Arial"/>
                <w:color w:val="FFFFFF" w:themeColor="background1"/>
              </w:rPr>
              <w:t xml:space="preserve"> miliona</w:t>
            </w:r>
            <w:r w:rsidRPr="0085657D">
              <w:rPr>
                <w:rFonts w:ascii="Arial" w:eastAsia="Cambria" w:hAnsi="Arial" w:cs="Arial"/>
                <w:color w:val="FFFFFF" w:themeColor="background1"/>
              </w:rPr>
              <w:t xml:space="preserve"> eura, a u 20</w:t>
            </w:r>
            <w:r w:rsidR="00DD7989" w:rsidRPr="0085657D">
              <w:rPr>
                <w:rFonts w:ascii="Arial" w:eastAsia="Cambria" w:hAnsi="Arial" w:cs="Arial"/>
                <w:color w:val="FFFFFF" w:themeColor="background1"/>
              </w:rPr>
              <w:t>22</w:t>
            </w:r>
            <w:r w:rsidRPr="0085657D">
              <w:rPr>
                <w:rFonts w:ascii="Arial" w:eastAsia="Cambria" w:hAnsi="Arial" w:cs="Arial"/>
                <w:color w:val="FFFFFF" w:themeColor="background1"/>
              </w:rPr>
              <w:t xml:space="preserve">. godini </w:t>
            </w:r>
            <w:r w:rsidR="00DD7989" w:rsidRPr="0085657D">
              <w:rPr>
                <w:rFonts w:ascii="Arial" w:eastAsia="Cambria" w:hAnsi="Arial" w:cs="Arial"/>
                <w:color w:val="FFFFFF" w:themeColor="background1"/>
              </w:rPr>
              <w:t>5.924</w:t>
            </w:r>
            <w:r w:rsidRPr="0085657D">
              <w:rPr>
                <w:rFonts w:ascii="Arial" w:eastAsia="Cambria" w:hAnsi="Arial" w:cs="Arial"/>
                <w:color w:val="FFFFFF" w:themeColor="background1"/>
              </w:rPr>
              <w:t xml:space="preserve"> miliona eura; BDP u 202</w:t>
            </w:r>
            <w:r w:rsidR="00DD7989" w:rsidRPr="0085657D">
              <w:rPr>
                <w:rFonts w:ascii="Arial" w:eastAsia="Cambria" w:hAnsi="Arial" w:cs="Arial"/>
                <w:color w:val="FFFFFF" w:themeColor="background1"/>
              </w:rPr>
              <w:t>3</w:t>
            </w:r>
            <w:r w:rsidRPr="0085657D">
              <w:rPr>
                <w:rFonts w:ascii="Arial" w:eastAsia="Cambria" w:hAnsi="Arial" w:cs="Arial"/>
                <w:color w:val="FFFFFF" w:themeColor="background1"/>
              </w:rPr>
              <w:t xml:space="preserve">. godini je u nominalnom smislu </w:t>
            </w:r>
            <w:r w:rsidR="00DD7989" w:rsidRPr="0085657D">
              <w:rPr>
                <w:rFonts w:ascii="Arial" w:eastAsia="Cambria" w:hAnsi="Arial" w:cs="Arial"/>
                <w:color w:val="FFFFFF" w:themeColor="background1"/>
              </w:rPr>
              <w:t>u odnosu na 2022. godinu iznosila je 17.5%, dok je stopa realnog rasta BDP 6.3%</w:t>
            </w:r>
          </w:p>
          <w:p w14:paraId="525663CB" w14:textId="77777777" w:rsidR="003A0853" w:rsidRPr="0085657D" w:rsidRDefault="003A0853" w:rsidP="00595DE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eastAsia="Cambria" w:hAnsi="Arial" w:cs="Arial"/>
                <w:color w:val="FFFFFF" w:themeColor="background1"/>
              </w:rPr>
              <w:t>BDP po glavi stanovnika u 202</w:t>
            </w:r>
            <w:r w:rsidR="00F225BC" w:rsidRPr="0085657D">
              <w:rPr>
                <w:rFonts w:ascii="Arial" w:eastAsia="Cambria" w:hAnsi="Arial" w:cs="Arial"/>
                <w:color w:val="FFFFFF" w:themeColor="background1"/>
              </w:rPr>
              <w:t>2</w:t>
            </w:r>
            <w:r w:rsidRPr="0085657D">
              <w:rPr>
                <w:rFonts w:ascii="Arial" w:eastAsia="Cambria" w:hAnsi="Arial" w:cs="Arial"/>
                <w:color w:val="FFFFFF" w:themeColor="background1"/>
              </w:rPr>
              <w:t xml:space="preserve">. godini iznosio je </w:t>
            </w:r>
            <w:r w:rsidR="00F225BC" w:rsidRPr="0085657D">
              <w:rPr>
                <w:rFonts w:ascii="Arial" w:eastAsia="Cambria" w:hAnsi="Arial" w:cs="Arial"/>
                <w:color w:val="FFFFFF" w:themeColor="background1"/>
              </w:rPr>
              <w:t>9.598</w:t>
            </w:r>
            <w:r w:rsidRPr="0085657D">
              <w:rPr>
                <w:rFonts w:ascii="Arial" w:eastAsia="Cambria" w:hAnsi="Arial" w:cs="Arial"/>
                <w:color w:val="FFFFFF" w:themeColor="background1"/>
              </w:rPr>
              <w:t xml:space="preserve"> eura, ili </w:t>
            </w:r>
            <w:r w:rsidR="006A1DA5" w:rsidRPr="0085657D">
              <w:rPr>
                <w:rFonts w:ascii="Arial" w:eastAsia="Cambria" w:hAnsi="Arial" w:cs="Arial"/>
                <w:color w:val="FFFFFF" w:themeColor="background1"/>
              </w:rPr>
              <w:t>26.7 %</w:t>
            </w:r>
            <w:r w:rsidR="006A1DA5" w:rsidRPr="0085657D">
              <w:rPr>
                <w:rFonts w:ascii="Arial" w:hAnsi="Arial" w:cs="Arial"/>
              </w:rPr>
              <w:t xml:space="preserve"> </w:t>
            </w:r>
            <w:r w:rsidRPr="0085657D">
              <w:rPr>
                <w:rFonts w:ascii="Arial" w:eastAsia="Cambria" w:hAnsi="Arial" w:cs="Arial"/>
                <w:color w:val="FFFFFF" w:themeColor="background1"/>
              </w:rPr>
              <w:t>prosjeka EU, a u 20</w:t>
            </w:r>
            <w:r w:rsidR="00F225BC" w:rsidRPr="0085657D">
              <w:rPr>
                <w:rFonts w:ascii="Arial" w:eastAsia="Cambria" w:hAnsi="Arial" w:cs="Arial"/>
                <w:color w:val="FFFFFF" w:themeColor="background1"/>
              </w:rPr>
              <w:t>23</w:t>
            </w:r>
            <w:r w:rsidRPr="0085657D">
              <w:rPr>
                <w:rFonts w:ascii="Arial" w:eastAsia="Cambria" w:hAnsi="Arial" w:cs="Arial"/>
                <w:color w:val="FFFFFF" w:themeColor="background1"/>
              </w:rPr>
              <w:t xml:space="preserve">. godini </w:t>
            </w:r>
            <w:r w:rsidR="00F225BC" w:rsidRPr="0085657D">
              <w:rPr>
                <w:rFonts w:ascii="Arial" w:eastAsia="Cambria" w:hAnsi="Arial" w:cs="Arial"/>
                <w:color w:val="FFFFFF" w:themeColor="background1"/>
              </w:rPr>
              <w:t>10.998</w:t>
            </w:r>
            <w:r w:rsidRPr="0085657D">
              <w:rPr>
                <w:rFonts w:ascii="Arial" w:eastAsia="Cambria" w:hAnsi="Arial" w:cs="Arial"/>
                <w:color w:val="FFFFFF" w:themeColor="background1"/>
              </w:rPr>
              <w:t xml:space="preserve"> eura , ili 2</w:t>
            </w:r>
            <w:r w:rsidR="006A1DA5" w:rsidRPr="0085657D">
              <w:rPr>
                <w:rFonts w:ascii="Arial" w:eastAsia="Cambria" w:hAnsi="Arial" w:cs="Arial"/>
                <w:color w:val="FFFFFF" w:themeColor="background1"/>
              </w:rPr>
              <w:t>8</w:t>
            </w:r>
            <w:r w:rsidRPr="0085657D">
              <w:rPr>
                <w:rFonts w:ascii="Arial" w:eastAsia="Cambria" w:hAnsi="Arial" w:cs="Arial"/>
                <w:color w:val="FFFFFF" w:themeColor="background1"/>
              </w:rPr>
              <w:t>.</w:t>
            </w:r>
            <w:r w:rsidR="006A1DA5" w:rsidRPr="0085657D">
              <w:rPr>
                <w:rFonts w:ascii="Arial" w:eastAsia="Cambria" w:hAnsi="Arial" w:cs="Arial"/>
                <w:color w:val="FFFFFF" w:themeColor="background1"/>
              </w:rPr>
              <w:t>9</w:t>
            </w:r>
            <w:r w:rsidRPr="0085657D">
              <w:rPr>
                <w:rFonts w:ascii="Arial" w:eastAsia="Cambria" w:hAnsi="Arial" w:cs="Arial"/>
                <w:color w:val="FFFFFF" w:themeColor="background1"/>
              </w:rPr>
              <w:t>% prosjeka EU;</w:t>
            </w:r>
            <w:r w:rsidRPr="0085657D">
              <w:rPr>
                <w:rFonts w:ascii="Arial" w:hAnsi="Arial" w:cs="Arial"/>
              </w:rPr>
              <w:t xml:space="preserve"> </w:t>
            </w:r>
          </w:p>
          <w:p w14:paraId="573F4EDE" w14:textId="00140ED7" w:rsidR="00AA0F31" w:rsidRPr="002A7467" w:rsidRDefault="00AA0F31" w:rsidP="00F937A1">
            <w:pPr>
              <w:pStyle w:val="ListParagraph"/>
              <w:cnfStyle w:val="000000100000" w:firstRow="0" w:lastRow="0" w:firstColumn="0" w:lastColumn="0" w:oddVBand="0" w:evenVBand="0" w:oddHBand="1" w:evenHBand="0" w:firstRowFirstColumn="0" w:firstRowLastColumn="0" w:lastRowFirstColumn="0" w:lastRowLastColumn="0"/>
              <w:rPr>
                <w:rFonts w:ascii="Arial" w:eastAsia="Cambria" w:hAnsi="Arial" w:cs="Arial"/>
                <w:strike/>
                <w:color w:val="FFFFFF" w:themeColor="background1"/>
              </w:rPr>
            </w:pPr>
          </w:p>
        </w:tc>
      </w:tr>
      <w:tr w:rsidR="003A0853" w:rsidRPr="0085657D" w14:paraId="1A9F756F" w14:textId="77777777" w:rsidTr="00C47459">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433CC9F8" w14:textId="77777777" w:rsidR="003A0853" w:rsidRPr="0085657D" w:rsidRDefault="003A0853" w:rsidP="00C921B0">
            <w:pPr>
              <w:rPr>
                <w:rFonts w:ascii="Arial" w:eastAsia="Cambria" w:hAnsi="Arial" w:cs="Arial"/>
              </w:rPr>
            </w:pPr>
            <w:r w:rsidRPr="0085657D">
              <w:rPr>
                <w:rFonts w:ascii="Arial" w:eastAsia="Cambria" w:hAnsi="Arial" w:cs="Arial"/>
              </w:rPr>
              <w:t>S</w:t>
            </w:r>
          </w:p>
        </w:tc>
        <w:tc>
          <w:tcPr>
            <w:tcW w:w="623" w:type="pct"/>
            <w:shd w:val="clear" w:color="auto" w:fill="0070C0"/>
            <w:vAlign w:val="center"/>
          </w:tcPr>
          <w:p w14:paraId="0E1D0C02" w14:textId="77777777" w:rsidR="003A0853" w:rsidRPr="0085657D" w:rsidRDefault="003A0853" w:rsidP="00C921B0">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b/>
              </w:rPr>
            </w:pPr>
            <w:r w:rsidRPr="0085657D">
              <w:rPr>
                <w:rFonts w:ascii="Arial" w:eastAsia="Cambria" w:hAnsi="Arial" w:cs="Arial"/>
                <w:b/>
                <w:color w:val="FFFFFF" w:themeColor="background1"/>
              </w:rPr>
              <w:t>SOCIJALNI</w:t>
            </w:r>
          </w:p>
        </w:tc>
        <w:tc>
          <w:tcPr>
            <w:tcW w:w="4185" w:type="pct"/>
            <w:shd w:val="clear" w:color="auto" w:fill="0070C0"/>
          </w:tcPr>
          <w:p w14:paraId="0B626532" w14:textId="37D0E9F9"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strike/>
                <w:color w:val="FFFFFF" w:themeColor="background1"/>
              </w:rPr>
            </w:pPr>
            <w:r w:rsidRPr="0085657D">
              <w:rPr>
                <w:rFonts w:ascii="Arial" w:eastAsia="Cambria" w:hAnsi="Arial" w:cs="Arial"/>
                <w:color w:val="FFFFFF" w:themeColor="background1"/>
              </w:rPr>
              <w:t>Broj stanovnika u Crnoj Gori - 62</w:t>
            </w:r>
            <w:r w:rsidR="00D3535C" w:rsidRPr="0085657D">
              <w:rPr>
                <w:rFonts w:ascii="Arial" w:eastAsia="Cambria" w:hAnsi="Arial" w:cs="Arial"/>
                <w:color w:val="FFFFFF" w:themeColor="background1"/>
              </w:rPr>
              <w:t>3</w:t>
            </w:r>
            <w:r w:rsidRPr="0085657D">
              <w:rPr>
                <w:rFonts w:ascii="Arial" w:eastAsia="Cambria" w:hAnsi="Arial" w:cs="Arial"/>
                <w:color w:val="FFFFFF" w:themeColor="background1"/>
              </w:rPr>
              <w:t>.</w:t>
            </w:r>
            <w:r w:rsidR="002D0683" w:rsidRPr="0085657D">
              <w:rPr>
                <w:rFonts w:ascii="Arial" w:eastAsia="Cambria" w:hAnsi="Arial" w:cs="Arial"/>
                <w:color w:val="FFFFFF" w:themeColor="background1"/>
              </w:rPr>
              <w:t>633</w:t>
            </w:r>
            <w:r w:rsidRPr="0085657D">
              <w:rPr>
                <w:rFonts w:ascii="Arial" w:eastAsia="Cambria" w:hAnsi="Arial" w:cs="Arial"/>
                <w:color w:val="FFFFFF" w:themeColor="background1"/>
              </w:rPr>
              <w:t>, 1/3 živi u Podgorici</w:t>
            </w:r>
            <w:r w:rsidR="0076201E">
              <w:rPr>
                <w:rFonts w:ascii="Arial" w:eastAsia="Cambria" w:hAnsi="Arial" w:cs="Arial"/>
                <w:color w:val="FFFFFF" w:themeColor="background1"/>
              </w:rPr>
              <w:t>.</w:t>
            </w:r>
          </w:p>
          <w:p w14:paraId="58D0F90B" w14:textId="0072CA04"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 xml:space="preserve">Prisutnost migracija stanovništva iz </w:t>
            </w:r>
            <w:r w:rsidR="00046F11">
              <w:rPr>
                <w:rFonts w:ascii="Arial" w:eastAsia="Cambria" w:hAnsi="Arial" w:cs="Arial"/>
                <w:color w:val="FFFFFF" w:themeColor="background1"/>
              </w:rPr>
              <w:t>s</w:t>
            </w:r>
            <w:r w:rsidRPr="0085657D">
              <w:rPr>
                <w:rFonts w:ascii="Arial" w:eastAsia="Cambria" w:hAnsi="Arial" w:cs="Arial"/>
                <w:color w:val="FFFFFF" w:themeColor="background1"/>
              </w:rPr>
              <w:t>jevernog regiona prema Primorju i Podgorici;</w:t>
            </w:r>
          </w:p>
          <w:p w14:paraId="63EEF894" w14:textId="77777777"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2</w:t>
            </w:r>
            <w:r w:rsidR="00644E77" w:rsidRPr="0085657D">
              <w:rPr>
                <w:rFonts w:ascii="Arial" w:eastAsia="Cambria" w:hAnsi="Arial" w:cs="Arial"/>
                <w:color w:val="FFFFFF" w:themeColor="background1"/>
              </w:rPr>
              <w:t>1</w:t>
            </w:r>
            <w:r w:rsidRPr="0085657D">
              <w:rPr>
                <w:rFonts w:ascii="Arial" w:eastAsia="Cambria" w:hAnsi="Arial" w:cs="Arial"/>
                <w:color w:val="FFFFFF" w:themeColor="background1"/>
              </w:rPr>
              <w:t>,</w:t>
            </w:r>
            <w:r w:rsidR="00644E77" w:rsidRPr="0085657D">
              <w:rPr>
                <w:rFonts w:ascii="Arial" w:eastAsia="Cambria" w:hAnsi="Arial" w:cs="Arial"/>
                <w:color w:val="FFFFFF" w:themeColor="background1"/>
              </w:rPr>
              <w:t>6</w:t>
            </w:r>
            <w:r w:rsidRPr="0085657D">
              <w:rPr>
                <w:rFonts w:ascii="Arial" w:eastAsia="Cambria" w:hAnsi="Arial" w:cs="Arial"/>
                <w:color w:val="FFFFFF" w:themeColor="background1"/>
              </w:rPr>
              <w:t>% stanovništva Crne Gore mlađe je od 18 godina, 6</w:t>
            </w:r>
            <w:r w:rsidR="000F76D0" w:rsidRPr="0085657D">
              <w:rPr>
                <w:rFonts w:ascii="Arial" w:eastAsia="Cambria" w:hAnsi="Arial" w:cs="Arial"/>
                <w:color w:val="FFFFFF" w:themeColor="background1"/>
              </w:rPr>
              <w:t>5</w:t>
            </w:r>
            <w:r w:rsidRPr="0085657D">
              <w:rPr>
                <w:rFonts w:ascii="Arial" w:eastAsia="Cambria" w:hAnsi="Arial" w:cs="Arial"/>
                <w:color w:val="FFFFFF" w:themeColor="background1"/>
              </w:rPr>
              <w:t>,</w:t>
            </w:r>
            <w:r w:rsidR="000F76D0" w:rsidRPr="0085657D">
              <w:rPr>
                <w:rFonts w:ascii="Arial" w:eastAsia="Cambria" w:hAnsi="Arial" w:cs="Arial"/>
                <w:color w:val="FFFFFF" w:themeColor="background1"/>
              </w:rPr>
              <w:t>1</w:t>
            </w:r>
            <w:r w:rsidRPr="0085657D">
              <w:rPr>
                <w:rFonts w:ascii="Arial" w:eastAsia="Cambria" w:hAnsi="Arial" w:cs="Arial"/>
                <w:color w:val="FFFFFF" w:themeColor="background1"/>
              </w:rPr>
              <w:t xml:space="preserve">% je dobi od </w:t>
            </w:r>
            <w:r w:rsidR="000F76D0" w:rsidRPr="0085657D">
              <w:rPr>
                <w:rFonts w:ascii="Arial" w:eastAsia="Cambria" w:hAnsi="Arial" w:cs="Arial"/>
                <w:color w:val="FFFFFF" w:themeColor="background1"/>
              </w:rPr>
              <w:t>15</w:t>
            </w:r>
            <w:r w:rsidRPr="0085657D">
              <w:rPr>
                <w:rFonts w:ascii="Arial" w:eastAsia="Cambria" w:hAnsi="Arial" w:cs="Arial"/>
                <w:color w:val="FFFFFF" w:themeColor="background1"/>
              </w:rPr>
              <w:t xml:space="preserve"> do 64 godine, a 1</w:t>
            </w:r>
            <w:r w:rsidR="00C008D7" w:rsidRPr="0085657D">
              <w:rPr>
                <w:rFonts w:ascii="Arial" w:eastAsia="Cambria" w:hAnsi="Arial" w:cs="Arial"/>
                <w:color w:val="FFFFFF" w:themeColor="background1"/>
              </w:rPr>
              <w:t>6</w:t>
            </w:r>
            <w:r w:rsidRPr="0085657D">
              <w:rPr>
                <w:rFonts w:ascii="Arial" w:eastAsia="Cambria" w:hAnsi="Arial" w:cs="Arial"/>
                <w:color w:val="FFFFFF" w:themeColor="background1"/>
              </w:rPr>
              <w:t>,8% starije je od 65 godina, izvor Popis stanovništva CG 20</w:t>
            </w:r>
            <w:r w:rsidR="00C008D7" w:rsidRPr="0085657D">
              <w:rPr>
                <w:rFonts w:ascii="Arial" w:eastAsia="Cambria" w:hAnsi="Arial" w:cs="Arial"/>
                <w:color w:val="FFFFFF" w:themeColor="background1"/>
              </w:rPr>
              <w:t>23</w:t>
            </w:r>
            <w:r w:rsidRPr="0085657D">
              <w:rPr>
                <w:rFonts w:ascii="Arial" w:eastAsia="Cambria" w:hAnsi="Arial" w:cs="Arial"/>
                <w:color w:val="FFFFFF" w:themeColor="background1"/>
              </w:rPr>
              <w:t>. godine;</w:t>
            </w:r>
          </w:p>
          <w:p w14:paraId="61C340F2" w14:textId="3E56D4C8"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“Analiza stanja u zemlji” UN  - definisan je fokus na: unapređenje pružanja usluga, održavanje nivoa potrošnje na zdravstvo, obrazovanje i socijalnu zaštitu, uz smanjenje diskriminacije ranjivih grupa, unap</w:t>
            </w:r>
            <w:r w:rsidR="00046F11">
              <w:rPr>
                <w:rFonts w:ascii="Arial" w:eastAsia="Cambria" w:hAnsi="Arial" w:cs="Arial"/>
                <w:color w:val="FFFFFF" w:themeColor="background1"/>
              </w:rPr>
              <w:t>r</w:t>
            </w:r>
            <w:r w:rsidRPr="0085657D">
              <w:rPr>
                <w:rFonts w:ascii="Arial" w:eastAsia="Cambria" w:hAnsi="Arial" w:cs="Arial"/>
                <w:color w:val="FFFFFF" w:themeColor="background1"/>
              </w:rPr>
              <w:t>eđivanje kvaliteta i digitalizacije podataka, unapređenje javne uprave u cilju borbe protiv korupcije i nepotizma, sa ciljem stvaranja inkluzivnog društva.</w:t>
            </w:r>
          </w:p>
        </w:tc>
      </w:tr>
      <w:bookmarkEnd w:id="53"/>
      <w:tr w:rsidR="003A0853" w:rsidRPr="0085657D" w14:paraId="33BE811B" w14:textId="77777777" w:rsidTr="00C47459">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7268DDEA" w14:textId="77777777" w:rsidR="003A0853" w:rsidRPr="0085657D" w:rsidRDefault="003A0853" w:rsidP="00C921B0">
            <w:pPr>
              <w:jc w:val="center"/>
              <w:rPr>
                <w:rFonts w:ascii="Arial" w:eastAsia="Cambria" w:hAnsi="Arial" w:cs="Arial"/>
              </w:rPr>
            </w:pPr>
            <w:r w:rsidRPr="0085657D">
              <w:rPr>
                <w:rFonts w:ascii="Arial" w:eastAsia="Cambria" w:hAnsi="Arial" w:cs="Arial"/>
              </w:rPr>
              <w:t>T</w:t>
            </w:r>
          </w:p>
        </w:tc>
        <w:tc>
          <w:tcPr>
            <w:tcW w:w="623" w:type="pct"/>
            <w:shd w:val="clear" w:color="auto" w:fill="45B0E1" w:themeFill="accent1" w:themeFillTint="99"/>
            <w:vAlign w:val="center"/>
          </w:tcPr>
          <w:p w14:paraId="3C165BDC" w14:textId="77777777" w:rsidR="003A0853" w:rsidRPr="0085657D" w:rsidRDefault="003A0853" w:rsidP="00C921B0">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85657D">
              <w:rPr>
                <w:rFonts w:ascii="Arial" w:eastAsia="Cambria" w:hAnsi="Arial" w:cs="Arial"/>
                <w:b/>
                <w:color w:val="FFFFFF" w:themeColor="background1"/>
              </w:rPr>
              <w:t>TEHNOLOŠKI</w:t>
            </w:r>
          </w:p>
        </w:tc>
        <w:tc>
          <w:tcPr>
            <w:tcW w:w="4185" w:type="pct"/>
            <w:shd w:val="clear" w:color="auto" w:fill="45B0E1" w:themeFill="accent1" w:themeFillTint="99"/>
          </w:tcPr>
          <w:p w14:paraId="40CED885" w14:textId="77777777" w:rsidR="00AA0F31" w:rsidRPr="0085657D" w:rsidRDefault="00AA0F31" w:rsidP="00595DE2">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I</w:t>
            </w:r>
            <w:r w:rsidR="005B43EE" w:rsidRPr="0085657D">
              <w:rPr>
                <w:rFonts w:ascii="Arial" w:eastAsia="Cambria" w:hAnsi="Arial" w:cs="Arial"/>
                <w:color w:val="FFFFFF" w:themeColor="background1"/>
              </w:rPr>
              <w:t>nformacioni sistem pravosuđa i dalje na niskom stepenu razvoja</w:t>
            </w:r>
          </w:p>
          <w:p w14:paraId="5A5538BC" w14:textId="77777777" w:rsidR="003A0853" w:rsidRPr="0085657D" w:rsidRDefault="005B43EE" w:rsidP="00595DE2">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Digitalna komunikacija institucija sa građanima nije na zadovoljavajućem nivou</w:t>
            </w:r>
          </w:p>
          <w:p w14:paraId="126E7D02" w14:textId="77777777" w:rsidR="00AA0F31" w:rsidRPr="0085657D" w:rsidRDefault="00AA0F31" w:rsidP="005B43EE">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p>
        </w:tc>
      </w:tr>
      <w:tr w:rsidR="003A0853" w:rsidRPr="0085657D" w14:paraId="54DAA558" w14:textId="77777777" w:rsidTr="00C47459">
        <w:trPr>
          <w:trHeight w:val="2117"/>
        </w:trPr>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2E6BB84F" w14:textId="77777777" w:rsidR="003A0853" w:rsidRPr="0085657D" w:rsidRDefault="003A0853" w:rsidP="00C921B0">
            <w:pPr>
              <w:jc w:val="center"/>
              <w:rPr>
                <w:rFonts w:ascii="Arial" w:eastAsia="Cambria" w:hAnsi="Arial" w:cs="Arial"/>
              </w:rPr>
            </w:pPr>
            <w:r w:rsidRPr="0085657D">
              <w:rPr>
                <w:rFonts w:ascii="Arial" w:eastAsia="Cambria" w:hAnsi="Arial" w:cs="Arial"/>
              </w:rPr>
              <w:lastRenderedPageBreak/>
              <w:t>L</w:t>
            </w:r>
          </w:p>
        </w:tc>
        <w:tc>
          <w:tcPr>
            <w:tcW w:w="623" w:type="pct"/>
            <w:shd w:val="clear" w:color="auto" w:fill="0070C0"/>
            <w:vAlign w:val="center"/>
          </w:tcPr>
          <w:p w14:paraId="758A7DD2" w14:textId="77777777" w:rsidR="003A0853" w:rsidRPr="0085657D" w:rsidRDefault="003A0853" w:rsidP="00C921B0">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b/>
                <w:color w:val="FFFFFF" w:themeColor="background1"/>
              </w:rPr>
              <w:t>PRAVNI</w:t>
            </w:r>
          </w:p>
        </w:tc>
        <w:tc>
          <w:tcPr>
            <w:tcW w:w="4185" w:type="pct"/>
            <w:shd w:val="clear" w:color="auto" w:fill="0070C0"/>
          </w:tcPr>
          <w:p w14:paraId="5D09DA4C" w14:textId="77777777" w:rsidR="003A0853" w:rsidRPr="0085657D" w:rsidRDefault="003A0853" w:rsidP="00595DE2">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 xml:space="preserve">Direktni uticaj: </w:t>
            </w:r>
            <w:r w:rsidR="00AC29F8" w:rsidRPr="0085657D">
              <w:rPr>
                <w:rFonts w:ascii="Arial" w:eastAsia="Cambria" w:hAnsi="Arial" w:cs="Arial"/>
                <w:color w:val="FFFFFF" w:themeColor="background1"/>
              </w:rPr>
              <w:t>Zakonik o krivičnom postupku, Krivični zakonik, Zakon o postupanju prema maloljetnicima u krivičnom postupku, Zakon o zaštiti od nasilja u porodici</w:t>
            </w:r>
            <w:r w:rsidR="004E36A6" w:rsidRPr="0085657D">
              <w:rPr>
                <w:rFonts w:ascii="Arial" w:eastAsia="Cambria" w:hAnsi="Arial" w:cs="Arial"/>
                <w:color w:val="FFFFFF" w:themeColor="background1"/>
              </w:rPr>
              <w:t>, Zakon o besplatnoj pravnoj pomoći</w:t>
            </w:r>
            <w:r w:rsidR="0029373E" w:rsidRPr="0085657D">
              <w:rPr>
                <w:rFonts w:ascii="Arial" w:eastAsia="Cambria" w:hAnsi="Arial" w:cs="Arial"/>
                <w:color w:val="FFFFFF" w:themeColor="background1"/>
              </w:rPr>
              <w:t>, Zakon o prekršajima</w:t>
            </w:r>
          </w:p>
          <w:p w14:paraId="5E087CEF" w14:textId="6F4FF014" w:rsidR="003A0853" w:rsidRPr="0085657D" w:rsidRDefault="003A0853" w:rsidP="00595DE2">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Indirektan uticaj: Z</w:t>
            </w:r>
            <w:r w:rsidR="00C6285F" w:rsidRPr="0085657D">
              <w:rPr>
                <w:rFonts w:ascii="Arial" w:eastAsia="Cambria" w:hAnsi="Arial" w:cs="Arial"/>
                <w:color w:val="FFFFFF" w:themeColor="background1"/>
              </w:rPr>
              <w:t>akon o parničnom postupku</w:t>
            </w:r>
            <w:r w:rsidR="00E6371C" w:rsidRPr="0085657D">
              <w:rPr>
                <w:rFonts w:ascii="Arial" w:eastAsia="Cambria" w:hAnsi="Arial" w:cs="Arial"/>
                <w:color w:val="FFFFFF" w:themeColor="background1"/>
              </w:rPr>
              <w:t>, Zakon o socijalnoj i dječjoj zaštiti</w:t>
            </w:r>
            <w:r w:rsidR="004E36A6" w:rsidRPr="0085657D">
              <w:rPr>
                <w:rFonts w:ascii="Arial" w:eastAsia="Cambria" w:hAnsi="Arial" w:cs="Arial"/>
                <w:color w:val="FFFFFF" w:themeColor="background1"/>
              </w:rPr>
              <w:t>, Zakon o prekršajima</w:t>
            </w:r>
          </w:p>
          <w:p w14:paraId="06ADC92D" w14:textId="77777777" w:rsidR="003A0853" w:rsidRPr="00DA03C1" w:rsidRDefault="003A0853" w:rsidP="00595DE2">
            <w:pPr>
              <w:pStyle w:val="ListParagraph"/>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 xml:space="preserve">Dokumenta na nivou Vlade: </w:t>
            </w:r>
            <w:r w:rsidR="0029373E" w:rsidRPr="0085657D">
              <w:rPr>
                <w:rFonts w:ascii="Arial" w:eastAsia="Cambria" w:hAnsi="Arial" w:cs="Arial"/>
                <w:color w:val="FFFFFF" w:themeColor="background1"/>
              </w:rPr>
              <w:t xml:space="preserve">Strategija reforme pravosuđa 2024-2027, </w:t>
            </w:r>
            <w:r w:rsidR="0029373E" w:rsidRPr="0085657D">
              <w:rPr>
                <w:rFonts w:ascii="Arial" w:hAnsi="Arial" w:cs="Arial"/>
                <w:color w:val="FFFFFF" w:themeColor="background1"/>
              </w:rPr>
              <w:t xml:space="preserve">Nacionalna strategija rodne ravnopravnosti 2021-2025, Strategija digitalizacije pravosuđa 2024-2027, Strategija za borbu protiv trgovine ljudima 2019-2024, Nacionalni plan za implementaciju Konvencije Savjeta Evrope o suzbijanju i sprečavanju nasilja nad </w:t>
            </w:r>
            <w:r w:rsidR="0029373E" w:rsidRPr="00DA03C1">
              <w:rPr>
                <w:rFonts w:ascii="Arial" w:hAnsi="Arial" w:cs="Arial"/>
                <w:color w:val="FFFFFF" w:themeColor="background1"/>
              </w:rPr>
              <w:t>ženama i nasilja u porodici (Istanbulska konvencija) za period 2023. – 2027. godine</w:t>
            </w:r>
          </w:p>
          <w:p w14:paraId="540B697C" w14:textId="18DE00F0" w:rsidR="003A0853" w:rsidRPr="0085657D" w:rsidRDefault="003A0853" w:rsidP="00595DE2">
            <w:pPr>
              <w:pStyle w:val="ListParagraph"/>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DA03C1">
              <w:rPr>
                <w:rFonts w:ascii="Arial" w:eastAsia="Cambria" w:hAnsi="Arial" w:cs="Arial"/>
                <w:color w:val="FFFFFF" w:themeColor="background1"/>
              </w:rPr>
              <w:t xml:space="preserve">Ispunjenje obaveze iz procesa pristupanja Crne Gore EU, - poglavlja </w:t>
            </w:r>
            <w:r w:rsidR="00AA0F31" w:rsidRPr="00DA03C1">
              <w:rPr>
                <w:rFonts w:ascii="Arial" w:eastAsia="Cambria" w:hAnsi="Arial" w:cs="Arial"/>
                <w:color w:val="FFFFFF" w:themeColor="background1"/>
              </w:rPr>
              <w:t>2</w:t>
            </w:r>
            <w:r w:rsidRPr="00DA03C1">
              <w:rPr>
                <w:rFonts w:ascii="Arial" w:eastAsia="Cambria" w:hAnsi="Arial" w:cs="Arial"/>
                <w:color w:val="FFFFFF" w:themeColor="background1"/>
              </w:rPr>
              <w:t xml:space="preserve">3, </w:t>
            </w:r>
            <w:r w:rsidR="00AA0F31" w:rsidRPr="00DA03C1">
              <w:rPr>
                <w:rFonts w:ascii="Arial" w:eastAsia="Cambria" w:hAnsi="Arial" w:cs="Arial"/>
                <w:color w:val="FFFFFF" w:themeColor="background1"/>
              </w:rPr>
              <w:t xml:space="preserve">24, </w:t>
            </w:r>
            <w:r w:rsidRPr="00DA03C1">
              <w:rPr>
                <w:rFonts w:ascii="Arial" w:eastAsia="Cambria" w:hAnsi="Arial" w:cs="Arial"/>
                <w:color w:val="FFFFFF" w:themeColor="background1"/>
              </w:rPr>
              <w:t>1</w:t>
            </w:r>
            <w:r w:rsidR="00AA0F31" w:rsidRPr="00DA03C1">
              <w:rPr>
                <w:rFonts w:ascii="Arial" w:eastAsia="Cambria" w:hAnsi="Arial" w:cs="Arial"/>
                <w:color w:val="FFFFFF" w:themeColor="background1"/>
              </w:rPr>
              <w:t>9</w:t>
            </w:r>
            <w:r w:rsidR="005839B9" w:rsidRPr="00DA03C1">
              <w:rPr>
                <w:rFonts w:ascii="Arial" w:eastAsia="Cambria" w:hAnsi="Arial" w:cs="Arial"/>
                <w:color w:val="FFFFFF" w:themeColor="background1"/>
              </w:rPr>
              <w:t xml:space="preserve"> i usaglašavanja sa relevantnim UN i CoE standardima</w:t>
            </w:r>
            <w:r w:rsidRPr="00DA03C1">
              <w:rPr>
                <w:rFonts w:ascii="Arial" w:eastAsia="Cambria" w:hAnsi="Arial" w:cs="Arial"/>
                <w:color w:val="FFFFFF" w:themeColor="background1"/>
              </w:rPr>
              <w:t>.</w:t>
            </w:r>
          </w:p>
        </w:tc>
      </w:tr>
      <w:bookmarkEnd w:id="52"/>
    </w:tbl>
    <w:p w14:paraId="6305FF00" w14:textId="77777777" w:rsidR="00FB5E65" w:rsidRPr="0085657D" w:rsidRDefault="00FB5E65" w:rsidP="001F6CA3">
      <w:pPr>
        <w:spacing w:after="120"/>
        <w:rPr>
          <w:rFonts w:ascii="Arial" w:hAnsi="Arial" w:cs="Arial"/>
        </w:rPr>
      </w:pPr>
    </w:p>
    <w:p w14:paraId="7814A1A0" w14:textId="4EF926D5" w:rsidR="003C2745" w:rsidRPr="00100A20" w:rsidRDefault="00100A20" w:rsidP="00100A20">
      <w:pPr>
        <w:pStyle w:val="Heading2"/>
        <w:rPr>
          <w:rFonts w:ascii="Arial" w:hAnsi="Arial" w:cs="Arial"/>
          <w:sz w:val="22"/>
        </w:rPr>
      </w:pPr>
      <w:bookmarkStart w:id="54" w:name="_Toc208489202"/>
      <w:r w:rsidRPr="00100A20">
        <w:rPr>
          <w:rFonts w:ascii="Arial" w:hAnsi="Arial" w:cs="Arial"/>
          <w:sz w:val="22"/>
        </w:rPr>
        <w:lastRenderedPageBreak/>
        <w:t xml:space="preserve">3.10. </w:t>
      </w:r>
      <w:r w:rsidR="00FB5E65" w:rsidRPr="00100A20">
        <w:rPr>
          <w:rFonts w:ascii="Arial" w:hAnsi="Arial" w:cs="Arial"/>
          <w:sz w:val="22"/>
        </w:rPr>
        <w:t>Drvo problema</w:t>
      </w:r>
      <w:bookmarkEnd w:id="54"/>
    </w:p>
    <w:p w14:paraId="4A897647" w14:textId="24AF196F" w:rsidR="00F602EE" w:rsidRPr="0085657D" w:rsidRDefault="00046F11" w:rsidP="005414F1">
      <w:pPr>
        <w:spacing w:line="276" w:lineRule="auto"/>
        <w:rPr>
          <w:rFonts w:ascii="Arial" w:hAnsi="Arial" w:cs="Arial"/>
        </w:rPr>
      </w:pPr>
      <w:r w:rsidRPr="0085657D">
        <w:rPr>
          <w:rFonts w:ascii="Arial" w:hAnsi="Arial" w:cs="Arial"/>
          <w:noProof/>
          <w:lang w:val="en-US"/>
        </w:rPr>
        <mc:AlternateContent>
          <mc:Choice Requires="wps">
            <w:drawing>
              <wp:anchor distT="0" distB="0" distL="114300" distR="114300" simplePos="0" relativeHeight="251674624" behindDoc="0" locked="0" layoutInCell="1" allowOverlap="1" wp14:anchorId="410BCE42" wp14:editId="58447AEB">
                <wp:simplePos x="0" y="0"/>
                <wp:positionH relativeFrom="column">
                  <wp:posOffset>5390984</wp:posOffset>
                </wp:positionH>
                <wp:positionV relativeFrom="paragraph">
                  <wp:posOffset>6157540</wp:posOffset>
                </wp:positionV>
                <wp:extent cx="914400" cy="1121134"/>
                <wp:effectExtent l="0" t="0" r="38100" b="60325"/>
                <wp:wrapNone/>
                <wp:docPr id="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21134"/>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B217C15" w14:textId="77777777" w:rsidR="001D6F9B" w:rsidRPr="009D06FF" w:rsidRDefault="001D6F9B" w:rsidP="00471061">
                            <w:pPr>
                              <w:jc w:val="center"/>
                              <w:rPr>
                                <w:sz w:val="18"/>
                                <w:szCs w:val="18"/>
                              </w:rPr>
                            </w:pPr>
                            <w:r w:rsidRPr="00471061">
                              <w:rPr>
                                <w:sz w:val="18"/>
                                <w:szCs w:val="18"/>
                                <w:lang w:val="it-IT"/>
                              </w:rPr>
                              <w:t>Nedovoljna senzibilisanost javnosti i medija u</w:t>
                            </w:r>
                            <w:r w:rsidRPr="009D06FF">
                              <w:rPr>
                                <w:b/>
                                <w:bCs/>
                                <w:sz w:val="18"/>
                                <w:szCs w:val="18"/>
                                <w:lang w:val="it-IT"/>
                              </w:rPr>
                              <w:t xml:space="preserve"> pogledu potreba žrtava krivičnih djela</w:t>
                            </w:r>
                          </w:p>
                          <w:p w14:paraId="3EA20819" w14:textId="77777777" w:rsidR="001D6F9B" w:rsidRDefault="001D6F9B" w:rsidP="003C2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CE42" id="Rectangle 61" o:spid="_x0000_s1026" style="position:absolute;left:0;text-align:left;margin-left:424.5pt;margin-top:484.85pt;width:1in;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" fillcolor="#8dd873 [1945]" strokecolor="#8dd873 [1945]" strokeweight="1pt">
                <v:fill color2="#d9f2d0 [665]" angle="135" focus="50%" type="gradient"/>
                <v:shadow on="t" color="#265317 [1609]" opacity=".5" offset="1pt"/>
                <v:textbox>
                  <w:txbxContent>
                    <w:p w14:paraId="2B217C15" w14:textId="77777777" w:rsidR="001D6F9B" w:rsidRPr="009D06FF" w:rsidRDefault="001D6F9B" w:rsidP="00471061">
                      <w:pPr>
                        <w:jc w:val="center"/>
                        <w:rPr>
                          <w:sz w:val="18"/>
                          <w:szCs w:val="18"/>
                        </w:rPr>
                      </w:pPr>
                      <w:r w:rsidRPr="00471061">
                        <w:rPr>
                          <w:sz w:val="18"/>
                          <w:szCs w:val="18"/>
                          <w:lang w:val="it-IT"/>
                        </w:rPr>
                        <w:t>Nedovoljna senzibilisanost javnosti i medija u</w:t>
                      </w:r>
                      <w:r w:rsidRPr="009D06FF">
                        <w:rPr>
                          <w:b/>
                          <w:bCs/>
                          <w:sz w:val="18"/>
                          <w:szCs w:val="18"/>
                          <w:lang w:val="it-IT"/>
                        </w:rPr>
                        <w:t xml:space="preserve"> pogledu potreba žrtava krivičnih djela</w:t>
                      </w:r>
                    </w:p>
                    <w:p w14:paraId="3EA20819" w14:textId="77777777" w:rsidR="001D6F9B" w:rsidRDefault="001D6F9B" w:rsidP="003C2745"/>
                  </w:txbxContent>
                </v:textbox>
              </v:rect>
            </w:pict>
          </mc:Fallback>
        </mc:AlternateContent>
      </w:r>
      <w:r w:rsidR="00471061" w:rsidRPr="0085657D">
        <w:rPr>
          <w:rFonts w:ascii="Arial" w:hAnsi="Arial" w:cs="Arial"/>
          <w:noProof/>
          <w:lang w:val="en-US"/>
        </w:rPr>
        <mc:AlternateContent>
          <mc:Choice Requires="wps">
            <w:drawing>
              <wp:anchor distT="0" distB="0" distL="114300" distR="114300" simplePos="0" relativeHeight="251673600" behindDoc="0" locked="0" layoutInCell="1" allowOverlap="1" wp14:anchorId="5B5747D5" wp14:editId="3E6B8E45">
                <wp:simplePos x="0" y="0"/>
                <wp:positionH relativeFrom="column">
                  <wp:posOffset>2579649</wp:posOffset>
                </wp:positionH>
                <wp:positionV relativeFrom="paragraph">
                  <wp:posOffset>6347042</wp:posOffset>
                </wp:positionV>
                <wp:extent cx="892175" cy="988741"/>
                <wp:effectExtent l="0" t="0" r="41275" b="59055"/>
                <wp:wrapNone/>
                <wp:docPr id="5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988741"/>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E575693" w14:textId="77777777" w:rsidR="001D6F9B" w:rsidRPr="00471061" w:rsidRDefault="001D6F9B" w:rsidP="00471061">
                            <w:pPr>
                              <w:rPr>
                                <w:sz w:val="18"/>
                                <w:szCs w:val="18"/>
                                <w:lang w:val="en-GB"/>
                              </w:rPr>
                            </w:pPr>
                            <w:r w:rsidRPr="00471061">
                              <w:rPr>
                                <w:sz w:val="18"/>
                                <w:szCs w:val="18"/>
                                <w:lang w:val="en-GB"/>
                              </w:rPr>
                              <w:t>Nepostojanje sektorske strategije u oblasti prava žrtava</w:t>
                            </w:r>
                          </w:p>
                          <w:p w14:paraId="57A131F9" w14:textId="77777777" w:rsidR="001D6F9B" w:rsidRPr="00471061" w:rsidRDefault="001D6F9B" w:rsidP="003C2745">
                            <w:pPr>
                              <w:rPr>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47D5" id="Rectangle 60" o:spid="_x0000_s1027" style="position:absolute;left:0;text-align:left;margin-left:203.1pt;margin-top:499.75pt;width:70.25pt;height:7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" fillcolor="white [3201]" strokecolor="#8dd873 [1945]" strokeweight="1pt">
                <v:fill color2="#b3e5a1 [1305]" focus="100%" type="gradient"/>
                <v:shadow on="t" color="#265317 [1609]" opacity=".5" offset="1pt"/>
                <v:textbox>
                  <w:txbxContent>
                    <w:p w14:paraId="5E575693" w14:textId="77777777" w:rsidR="001D6F9B" w:rsidRPr="00471061" w:rsidRDefault="001D6F9B" w:rsidP="00471061">
                      <w:pPr>
                        <w:rPr>
                          <w:sz w:val="18"/>
                          <w:szCs w:val="18"/>
                          <w:lang w:val="en-GB"/>
                        </w:rPr>
                      </w:pPr>
                      <w:r w:rsidRPr="00471061">
                        <w:rPr>
                          <w:sz w:val="18"/>
                          <w:szCs w:val="18"/>
                          <w:lang w:val="en-GB"/>
                        </w:rPr>
                        <w:t>Nepostojanje sektorske strategije u oblasti prava žrtava</w:t>
                      </w:r>
                    </w:p>
                    <w:p w14:paraId="57A131F9" w14:textId="77777777" w:rsidR="001D6F9B" w:rsidRPr="00471061" w:rsidRDefault="001D6F9B" w:rsidP="003C2745">
                      <w:pPr>
                        <w:rPr>
                          <w:sz w:val="18"/>
                          <w:szCs w:val="18"/>
                          <w:lang w:val="en-GB"/>
                        </w:rPr>
                      </w:pPr>
                    </w:p>
                  </w:txbxContent>
                </v:textbox>
              </v:rect>
            </w:pict>
          </mc:Fallback>
        </mc:AlternateContent>
      </w:r>
      <w:r w:rsidR="00471061" w:rsidRPr="0085657D">
        <w:rPr>
          <w:rFonts w:ascii="Arial" w:hAnsi="Arial" w:cs="Arial"/>
          <w:noProof/>
          <w:lang w:val="en-US"/>
        </w:rPr>
        <mc:AlternateContent>
          <mc:Choice Requires="wps">
            <w:drawing>
              <wp:anchor distT="0" distB="0" distL="114300" distR="114300" simplePos="0" relativeHeight="251685888" behindDoc="0" locked="0" layoutInCell="1" allowOverlap="1" wp14:anchorId="3F3DC961" wp14:editId="40635FB0">
                <wp:simplePos x="0" y="0"/>
                <wp:positionH relativeFrom="column">
                  <wp:posOffset>946940</wp:posOffset>
                </wp:positionH>
                <wp:positionV relativeFrom="paragraph">
                  <wp:posOffset>1928092</wp:posOffset>
                </wp:positionV>
                <wp:extent cx="1182370" cy="620395"/>
                <wp:effectExtent l="0" t="0" r="36830" b="65405"/>
                <wp:wrapNone/>
                <wp:docPr id="6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620395"/>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D6C4338" w14:textId="77777777" w:rsidR="001D6F9B" w:rsidRPr="0037679F" w:rsidRDefault="001D6F9B" w:rsidP="003C2745">
                            <w:pPr>
                              <w:jc w:val="center"/>
                              <w:rPr>
                                <w:bCs/>
                                <w:color w:val="000000" w:themeColor="text1"/>
                                <w:sz w:val="18"/>
                                <w:szCs w:val="18"/>
                              </w:rPr>
                            </w:pPr>
                            <w:r w:rsidRPr="0037679F">
                              <w:rPr>
                                <w:bCs/>
                                <w:color w:val="000000" w:themeColor="text1"/>
                                <w:sz w:val="18"/>
                                <w:szCs w:val="18"/>
                              </w:rPr>
                              <w:t>Veoma otežano ostvarivanje prava na kompenzaciju</w:t>
                            </w:r>
                          </w:p>
                          <w:p w14:paraId="4D5B9A81" w14:textId="77777777" w:rsidR="001D6F9B" w:rsidRDefault="001D6F9B" w:rsidP="003C2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DC961" id="Rectangle 69" o:spid="_x0000_s1028" style="position:absolute;left:0;text-align:left;margin-left:74.55pt;margin-top:151.8pt;width:93.1pt;height:4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" fillcolor="#fae2d5 [661]" strokecolor="#d86dcb [1944]" strokeweight="1pt">
                <v:shadow on="t" color="#4f1548 [1608]" opacity=".5" offset="1pt"/>
                <v:textbox>
                  <w:txbxContent>
                    <w:p w14:paraId="4D6C4338" w14:textId="77777777" w:rsidR="001D6F9B" w:rsidRPr="0037679F" w:rsidRDefault="001D6F9B" w:rsidP="003C2745">
                      <w:pPr>
                        <w:jc w:val="center"/>
                        <w:rPr>
                          <w:bCs/>
                          <w:color w:val="000000" w:themeColor="text1"/>
                          <w:sz w:val="18"/>
                          <w:szCs w:val="18"/>
                        </w:rPr>
                      </w:pPr>
                      <w:r w:rsidRPr="0037679F">
                        <w:rPr>
                          <w:bCs/>
                          <w:color w:val="000000" w:themeColor="text1"/>
                          <w:sz w:val="18"/>
                          <w:szCs w:val="18"/>
                        </w:rPr>
                        <w:t>Veoma otežano ostvarivanje prava na kompenzaciju</w:t>
                      </w:r>
                    </w:p>
                    <w:p w14:paraId="4D5B9A81" w14:textId="77777777" w:rsidR="001D6F9B" w:rsidRDefault="001D6F9B" w:rsidP="003C2745"/>
                  </w:txbxContent>
                </v:textbox>
              </v:rect>
            </w:pict>
          </mc:Fallback>
        </mc:AlternateContent>
      </w:r>
      <w:r w:rsidR="00471061" w:rsidRPr="0085657D">
        <w:rPr>
          <w:rFonts w:ascii="Arial" w:hAnsi="Arial" w:cs="Arial"/>
          <w:noProof/>
          <w:lang w:val="en-US"/>
        </w:rPr>
        <mc:AlternateContent>
          <mc:Choice Requires="wps">
            <w:drawing>
              <wp:anchor distT="0" distB="0" distL="114300" distR="114300" simplePos="0" relativeHeight="251678720" behindDoc="0" locked="0" layoutInCell="1" allowOverlap="1" wp14:anchorId="3F5AA76C" wp14:editId="13D5B4D3">
                <wp:simplePos x="0" y="0"/>
                <wp:positionH relativeFrom="column">
                  <wp:posOffset>4163122</wp:posOffset>
                </wp:positionH>
                <wp:positionV relativeFrom="paragraph">
                  <wp:posOffset>1574320</wp:posOffset>
                </wp:positionV>
                <wp:extent cx="1306195" cy="788019"/>
                <wp:effectExtent l="0" t="0" r="46355" b="50800"/>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788019"/>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E78C003" w14:textId="3F26AFCC" w:rsidR="001D6F9B" w:rsidRPr="004472D5" w:rsidRDefault="00454CC5" w:rsidP="003C2745">
                            <w:pPr>
                              <w:rPr>
                                <w:sz w:val="20"/>
                                <w:szCs w:val="20"/>
                                <w:lang w:val="en-GB"/>
                              </w:rPr>
                            </w:pPr>
                            <w:r>
                              <w:rPr>
                                <w:sz w:val="20"/>
                                <w:szCs w:val="20"/>
                                <w:lang w:val="en-GB"/>
                              </w:rPr>
                              <w:t xml:space="preserve">Izloženost </w:t>
                            </w:r>
                            <w:r w:rsidR="001D6F9B">
                              <w:rPr>
                                <w:sz w:val="20"/>
                                <w:szCs w:val="20"/>
                                <w:lang w:val="en-GB"/>
                              </w:rPr>
                              <w:t>žrtava sekundarnoj viktimizaciji tokom postupka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A76C" id="Rectangle 71" o:spid="_x0000_s1029" style="position:absolute;left:0;text-align:left;margin-left:327.8pt;margin-top:123.95pt;width:102.85pt;height:6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" fillcolor="#fae2d5 [661]" strokecolor="#d86dcb [1944]" strokeweight="1pt">
                <v:shadow on="t" color="#4f1548 [1608]" opacity=".5" offset="1pt"/>
                <v:textbox>
                  <w:txbxContent>
                    <w:p w14:paraId="7E78C003" w14:textId="3F26AFCC" w:rsidR="001D6F9B" w:rsidRPr="004472D5" w:rsidRDefault="00454CC5" w:rsidP="003C2745">
                      <w:pPr>
                        <w:rPr>
                          <w:sz w:val="20"/>
                          <w:szCs w:val="20"/>
                          <w:lang w:val="en-GB"/>
                        </w:rPr>
                      </w:pPr>
                      <w:r>
                        <w:rPr>
                          <w:sz w:val="20"/>
                          <w:szCs w:val="20"/>
                          <w:lang w:val="en-GB"/>
                        </w:rPr>
                        <w:t xml:space="preserve">Izloženost </w:t>
                      </w:r>
                      <w:r w:rsidR="001D6F9B">
                        <w:rPr>
                          <w:sz w:val="20"/>
                          <w:szCs w:val="20"/>
                          <w:lang w:val="en-GB"/>
                        </w:rPr>
                        <w:t>žrtava sekundarnoj viktimizaciji tokom postupka</w:t>
                      </w:r>
                    </w:p>
                  </w:txbxContent>
                </v:textbox>
              </v:rect>
            </w:pict>
          </mc:Fallback>
        </mc:AlternateContent>
      </w:r>
      <w:r w:rsidR="008F2E9A" w:rsidRPr="0085657D">
        <w:rPr>
          <w:rFonts w:ascii="Arial" w:hAnsi="Arial" w:cs="Arial"/>
          <w:noProof/>
          <w:lang w:val="en-US"/>
        </w:rPr>
        <mc:AlternateContent>
          <mc:Choice Requires="wps">
            <w:drawing>
              <wp:anchor distT="0" distB="0" distL="114300" distR="114300" simplePos="0" relativeHeight="251667456" behindDoc="0" locked="0" layoutInCell="1" allowOverlap="1" wp14:anchorId="0886CD49" wp14:editId="367E19B3">
                <wp:simplePos x="0" y="0"/>
                <wp:positionH relativeFrom="column">
                  <wp:posOffset>921834</wp:posOffset>
                </wp:positionH>
                <wp:positionV relativeFrom="paragraph">
                  <wp:posOffset>5343433</wp:posOffset>
                </wp:positionV>
                <wp:extent cx="1045845" cy="1003610"/>
                <wp:effectExtent l="0" t="0" r="40005" b="63500"/>
                <wp:wrapNone/>
                <wp:docPr id="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100361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1D1ABE58" w14:textId="16052D01" w:rsidR="001D6F9B" w:rsidRPr="004472D5" w:rsidRDefault="001D6F9B" w:rsidP="003C2745">
                            <w:pPr>
                              <w:rPr>
                                <w:sz w:val="20"/>
                                <w:szCs w:val="20"/>
                                <w:lang w:val="en-GB"/>
                              </w:rPr>
                            </w:pPr>
                            <w:r w:rsidRPr="0037679F">
                              <w:rPr>
                                <w:sz w:val="20"/>
                                <w:szCs w:val="20"/>
                                <w:lang w:val="en-GB"/>
                              </w:rPr>
                              <w:t xml:space="preserve">Manjak psihologa </w:t>
                            </w:r>
                            <w:r>
                              <w:rPr>
                                <w:sz w:val="20"/>
                                <w:szCs w:val="20"/>
                                <w:lang w:val="en-GB"/>
                              </w:rPr>
                              <w:t>i</w:t>
                            </w:r>
                            <w:r w:rsidRPr="0037679F">
                              <w:rPr>
                                <w:sz w:val="20"/>
                                <w:szCs w:val="20"/>
                                <w:lang w:val="en-GB"/>
                              </w:rPr>
                              <w:t xml:space="preserve"> drugih stručnih lica za podršku žrtvama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6CD49" id="Rectangle 54" o:spid="_x0000_s1030" style="position:absolute;left:0;text-align:left;margin-left:72.6pt;margin-top:420.75pt;width:82.35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" fillcolor="white [3201]" strokecolor="#8dd873 [1945]" strokeweight="1pt">
                <v:fill color2="#b3e5a1 [1305]" focus="100%" type="gradient"/>
                <v:shadow on="t" color="#265317 [1609]" opacity=".5" offset="1pt"/>
                <v:textbox>
                  <w:txbxContent>
                    <w:p w14:paraId="1D1ABE58" w14:textId="16052D01" w:rsidR="001D6F9B" w:rsidRPr="004472D5" w:rsidRDefault="001D6F9B" w:rsidP="003C2745">
                      <w:pPr>
                        <w:rPr>
                          <w:sz w:val="20"/>
                          <w:szCs w:val="20"/>
                          <w:lang w:val="en-GB"/>
                        </w:rPr>
                      </w:pPr>
                      <w:r w:rsidRPr="0037679F">
                        <w:rPr>
                          <w:sz w:val="20"/>
                          <w:szCs w:val="20"/>
                          <w:lang w:val="en-GB"/>
                        </w:rPr>
                        <w:t xml:space="preserve">Manjak psihologa </w:t>
                      </w:r>
                      <w:r>
                        <w:rPr>
                          <w:sz w:val="20"/>
                          <w:szCs w:val="20"/>
                          <w:lang w:val="en-GB"/>
                        </w:rPr>
                        <w:t>i</w:t>
                      </w:r>
                      <w:r w:rsidRPr="0037679F">
                        <w:rPr>
                          <w:sz w:val="20"/>
                          <w:szCs w:val="20"/>
                          <w:lang w:val="en-GB"/>
                        </w:rPr>
                        <w:t xml:space="preserve"> drugih stručnih lica za podršku žrtvama </w:t>
                      </w:r>
                    </w:p>
                  </w:txbxContent>
                </v:textbox>
              </v:rect>
            </w:pict>
          </mc:Fallback>
        </mc:AlternateContent>
      </w:r>
      <w:r w:rsidR="006E4B90" w:rsidRPr="0085657D">
        <w:rPr>
          <w:rFonts w:ascii="Arial" w:hAnsi="Arial" w:cs="Arial"/>
          <w:noProof/>
          <w:lang w:val="en-US"/>
        </w:rPr>
        <mc:AlternateContent>
          <mc:Choice Requires="wps">
            <w:drawing>
              <wp:anchor distT="0" distB="0" distL="114300" distR="114300" simplePos="0" relativeHeight="251680768" behindDoc="0" locked="0" layoutInCell="1" allowOverlap="1" wp14:anchorId="1EACBA00" wp14:editId="636860E6">
                <wp:simplePos x="0" y="0"/>
                <wp:positionH relativeFrom="column">
                  <wp:posOffset>4334107</wp:posOffset>
                </wp:positionH>
                <wp:positionV relativeFrom="paragraph">
                  <wp:posOffset>2711744</wp:posOffset>
                </wp:positionV>
                <wp:extent cx="1577340" cy="654205"/>
                <wp:effectExtent l="0" t="0" r="41910" b="50800"/>
                <wp:wrapNone/>
                <wp:docPr id="6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654205"/>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9705E91" w14:textId="77777777" w:rsidR="001D6F9B" w:rsidRPr="004472D5" w:rsidRDefault="001D6F9B" w:rsidP="003C2745">
                            <w:pPr>
                              <w:rPr>
                                <w:sz w:val="20"/>
                                <w:szCs w:val="20"/>
                                <w:lang w:val="en-GB"/>
                              </w:rPr>
                            </w:pPr>
                            <w:r w:rsidRPr="0037679F">
                              <w:rPr>
                                <w:sz w:val="20"/>
                                <w:szCs w:val="20"/>
                                <w:lang w:val="en-GB"/>
                              </w:rPr>
                              <w:t>Manjak preciznih statističkih podataka o žrtvama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BA00" id="Rectangle 72" o:spid="_x0000_s1031" style="position:absolute;left:0;text-align:left;margin-left:341.25pt;margin-top:213.5pt;width:124.2pt;height: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" fillcolor="#fae2d5 [661]" strokecolor="#d86dcb [1944]" strokeweight="1pt">
                <v:shadow on="t" color="#4f1548 [1608]" opacity=".5" offset="1pt"/>
                <v:textbox>
                  <w:txbxContent>
                    <w:p w14:paraId="29705E91" w14:textId="77777777" w:rsidR="001D6F9B" w:rsidRPr="004472D5" w:rsidRDefault="001D6F9B" w:rsidP="003C2745">
                      <w:pPr>
                        <w:rPr>
                          <w:sz w:val="20"/>
                          <w:szCs w:val="20"/>
                          <w:lang w:val="en-GB"/>
                        </w:rPr>
                      </w:pPr>
                      <w:r w:rsidRPr="0037679F">
                        <w:rPr>
                          <w:sz w:val="20"/>
                          <w:szCs w:val="20"/>
                          <w:lang w:val="en-GB"/>
                        </w:rPr>
                        <w:t>Manjak preciznih statističkih podataka o žrtvama</w:t>
                      </w:r>
                    </w:p>
                  </w:txbxContent>
                </v:textbox>
              </v:rect>
            </w:pict>
          </mc:Fallback>
        </mc:AlternateContent>
      </w:r>
      <w:r w:rsidR="006E4B90" w:rsidRPr="0085657D">
        <w:rPr>
          <w:rFonts w:ascii="Arial" w:hAnsi="Arial" w:cs="Arial"/>
          <w:noProof/>
          <w:lang w:val="en-US"/>
        </w:rPr>
        <mc:AlternateContent>
          <mc:Choice Requires="wps">
            <w:drawing>
              <wp:anchor distT="0" distB="0" distL="114300" distR="114300" simplePos="0" relativeHeight="251676672" behindDoc="0" locked="0" layoutInCell="1" allowOverlap="1" wp14:anchorId="365A3BA9" wp14:editId="3EAF8FA5">
                <wp:simplePos x="0" y="0"/>
                <wp:positionH relativeFrom="column">
                  <wp:posOffset>2572215</wp:posOffset>
                </wp:positionH>
                <wp:positionV relativeFrom="paragraph">
                  <wp:posOffset>2548193</wp:posOffset>
                </wp:positionV>
                <wp:extent cx="1143000" cy="728546"/>
                <wp:effectExtent l="0" t="0" r="38100" b="52705"/>
                <wp:wrapNone/>
                <wp:docPr id="6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28546"/>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48B2234" w14:textId="77777777" w:rsidR="001D6F9B" w:rsidRPr="004472D5" w:rsidRDefault="001D6F9B" w:rsidP="003C2745">
                            <w:pPr>
                              <w:rPr>
                                <w:sz w:val="20"/>
                                <w:szCs w:val="20"/>
                                <w:lang w:val="en-GB"/>
                              </w:rPr>
                            </w:pPr>
                            <w:r w:rsidRPr="0037679F">
                              <w:rPr>
                                <w:sz w:val="20"/>
                                <w:szCs w:val="20"/>
                                <w:lang w:val="en-GB"/>
                              </w:rPr>
                              <w:t>Neujednačene prakse postupanja sa žrtvama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3BA9" id="Rectangle 70" o:spid="_x0000_s1032" style="position:absolute;left:0;text-align:left;margin-left:202.55pt;margin-top:200.65pt;width:90pt;height:5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" fillcolor="#fae2d5 [661]" strokecolor="#d86dcb [1944]" strokeweight="1pt">
                <v:shadow on="t" color="#4f1548 [1608]" opacity=".5" offset="1pt"/>
                <v:textbox>
                  <w:txbxContent>
                    <w:p w14:paraId="348B2234" w14:textId="77777777" w:rsidR="001D6F9B" w:rsidRPr="004472D5" w:rsidRDefault="001D6F9B" w:rsidP="003C2745">
                      <w:pPr>
                        <w:rPr>
                          <w:sz w:val="20"/>
                          <w:szCs w:val="20"/>
                          <w:lang w:val="en-GB"/>
                        </w:rPr>
                      </w:pPr>
                      <w:r w:rsidRPr="0037679F">
                        <w:rPr>
                          <w:sz w:val="20"/>
                          <w:szCs w:val="20"/>
                          <w:lang w:val="en-GB"/>
                        </w:rPr>
                        <w:t>Neujednačene prakse postupanja sa žrtvama</w:t>
                      </w:r>
                    </w:p>
                  </w:txbxContent>
                </v:textbox>
              </v:rect>
            </w:pict>
          </mc:Fallback>
        </mc:AlternateContent>
      </w:r>
      <w:r w:rsidR="00FA53C8" w:rsidRPr="0085657D">
        <w:rPr>
          <w:rFonts w:ascii="Arial" w:hAnsi="Arial" w:cs="Arial"/>
          <w:noProof/>
          <w:lang w:val="en-US"/>
        </w:rPr>
        <mc:AlternateContent>
          <mc:Choice Requires="wps">
            <w:drawing>
              <wp:anchor distT="0" distB="0" distL="114300" distR="114300" simplePos="0" relativeHeight="251681792" behindDoc="0" locked="0" layoutInCell="1" allowOverlap="1" wp14:anchorId="70269131" wp14:editId="129D065B">
                <wp:simplePos x="0" y="0"/>
                <wp:positionH relativeFrom="column">
                  <wp:posOffset>996176</wp:posOffset>
                </wp:positionH>
                <wp:positionV relativeFrom="paragraph">
                  <wp:posOffset>704525</wp:posOffset>
                </wp:positionV>
                <wp:extent cx="1183005" cy="936702"/>
                <wp:effectExtent l="0" t="0" r="36195" b="53975"/>
                <wp:wrapNone/>
                <wp:docPr id="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936702"/>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56FCA9C" w14:textId="77777777" w:rsidR="001D6F9B" w:rsidRPr="00617D92" w:rsidRDefault="001D6F9B" w:rsidP="003C2745">
                            <w:pPr>
                              <w:spacing w:after="0"/>
                              <w:jc w:val="center"/>
                              <w:rPr>
                                <w:b/>
                                <w:color w:val="000000" w:themeColor="text1"/>
                                <w:sz w:val="18"/>
                                <w:szCs w:val="18"/>
                              </w:rPr>
                            </w:pPr>
                          </w:p>
                          <w:p w14:paraId="3CBCAABF" w14:textId="77777777" w:rsidR="001D6F9B" w:rsidRDefault="001D6F9B">
                            <w:r w:rsidRPr="00471061">
                              <w:rPr>
                                <w:sz w:val="18"/>
                                <w:szCs w:val="18"/>
                                <w:lang w:val="it-IT"/>
                              </w:rPr>
                              <w:t>Ograničena dostupnost informacija i usluga besplatne pr</w:t>
                            </w:r>
                            <w:r>
                              <w:rPr>
                                <w:sz w:val="18"/>
                                <w:szCs w:val="18"/>
                                <w:lang w:val="it-IT"/>
                              </w:rPr>
                              <w:t>avne pomoći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9131" id="Rectangle 66" o:spid="_x0000_s1033" style="position:absolute;left:0;text-align:left;margin-left:78.45pt;margin-top:55.45pt;width:93.15pt;height:7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" fillcolor="#fae2d5 [661]" strokecolor="#d86dcb [1944]" strokeweight="1pt">
                <v:shadow on="t" color="#4f1548 [1608]" opacity=".5" offset="1pt"/>
                <v:textbox>
                  <w:txbxContent>
                    <w:p w14:paraId="556FCA9C" w14:textId="77777777" w:rsidR="001D6F9B" w:rsidRPr="00617D92" w:rsidRDefault="001D6F9B" w:rsidP="003C2745">
                      <w:pPr>
                        <w:spacing w:after="0"/>
                        <w:jc w:val="center"/>
                        <w:rPr>
                          <w:b/>
                          <w:color w:val="000000" w:themeColor="text1"/>
                          <w:sz w:val="18"/>
                          <w:szCs w:val="18"/>
                        </w:rPr>
                      </w:pPr>
                    </w:p>
                    <w:p w14:paraId="3CBCAABF" w14:textId="77777777" w:rsidR="001D6F9B" w:rsidRDefault="001D6F9B">
                      <w:r w:rsidRPr="00471061">
                        <w:rPr>
                          <w:sz w:val="18"/>
                          <w:szCs w:val="18"/>
                          <w:lang w:val="it-IT"/>
                        </w:rPr>
                        <w:t>Ograničena dostupnost informacija i usluga besplatne pr</w:t>
                      </w:r>
                      <w:r>
                        <w:rPr>
                          <w:sz w:val="18"/>
                          <w:szCs w:val="18"/>
                          <w:lang w:val="it-IT"/>
                        </w:rPr>
                        <w:t>avne pomoći</w:t>
                      </w:r>
                    </w:p>
                  </w:txbxContent>
                </v:textbox>
              </v:rect>
            </w:pict>
          </mc:Fallback>
        </mc:AlternateContent>
      </w:r>
      <w:r w:rsidR="008935B1" w:rsidRPr="0085657D">
        <w:rPr>
          <w:rFonts w:ascii="Arial" w:hAnsi="Arial" w:cs="Arial"/>
          <w:noProof/>
          <w:lang w:val="en-US"/>
        </w:rPr>
        <mc:AlternateContent>
          <mc:Choice Requires="wps">
            <w:drawing>
              <wp:anchor distT="0" distB="0" distL="114300" distR="114300" simplePos="0" relativeHeight="251691008" behindDoc="0" locked="0" layoutInCell="1" allowOverlap="1" wp14:anchorId="2D0986C9" wp14:editId="6184898F">
                <wp:simplePos x="0" y="0"/>
                <wp:positionH relativeFrom="column">
                  <wp:posOffset>2580216</wp:posOffset>
                </wp:positionH>
                <wp:positionV relativeFrom="paragraph">
                  <wp:posOffset>748665</wp:posOffset>
                </wp:positionV>
                <wp:extent cx="1219200" cy="680085"/>
                <wp:effectExtent l="0" t="0" r="19050" b="24765"/>
                <wp:wrapNone/>
                <wp:docPr id="44" name="Rectangle 44"/>
                <wp:cNvGraphicFramePr/>
                <a:graphic xmlns:a="http://schemas.openxmlformats.org/drawingml/2006/main">
                  <a:graphicData uri="http://schemas.microsoft.com/office/word/2010/wordprocessingShape">
                    <wps:wsp>
                      <wps:cNvSpPr/>
                      <wps:spPr>
                        <a:xfrm>
                          <a:off x="0" y="0"/>
                          <a:ext cx="1219200" cy="680085"/>
                        </a:xfrm>
                        <a:prstGeom prst="rect">
                          <a:avLst/>
                        </a:prstGeom>
                        <a:solidFill>
                          <a:schemeClr val="accent2">
                            <a:lumMod val="20000"/>
                            <a:lumOff val="80000"/>
                          </a:schemeClr>
                        </a:solidFill>
                      </wps:spPr>
                      <wps:style>
                        <a:lnRef idx="1">
                          <a:schemeClr val="accent5"/>
                        </a:lnRef>
                        <a:fillRef idx="2">
                          <a:schemeClr val="accent5"/>
                        </a:fillRef>
                        <a:effectRef idx="1">
                          <a:schemeClr val="accent5"/>
                        </a:effectRef>
                        <a:fontRef idx="minor">
                          <a:schemeClr val="dk1"/>
                        </a:fontRef>
                      </wps:style>
                      <wps:txbx>
                        <w:txbxContent>
                          <w:p w14:paraId="7277BDF4" w14:textId="77777777" w:rsidR="001D6F9B" w:rsidRPr="004472D5" w:rsidRDefault="001D6F9B" w:rsidP="003C2745">
                            <w:pPr>
                              <w:jc w:val="center"/>
                              <w:rPr>
                                <w:bCs/>
                                <w:sz w:val="18"/>
                                <w:szCs w:val="18"/>
                                <w:lang w:val="en-GB"/>
                              </w:rPr>
                            </w:pPr>
                            <w:r w:rsidRPr="0037679F">
                              <w:rPr>
                                <w:bCs/>
                                <w:sz w:val="18"/>
                                <w:szCs w:val="18"/>
                                <w:lang w:val="en-GB"/>
                              </w:rPr>
                              <w:t>Nejednaka dostupnost usluga podrške za žrtve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986C9" id="Rectangle 44" o:spid="_x0000_s1034" style="position:absolute;left:0;text-align:left;margin-left:203.15pt;margin-top:58.95pt;width:96pt;height:53.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" fillcolor="#fae2d5 [661]" strokecolor="#a02b93 [3208]" strokeweight=".5pt">
                <v:textbox>
                  <w:txbxContent>
                    <w:p w14:paraId="7277BDF4" w14:textId="77777777" w:rsidR="001D6F9B" w:rsidRPr="004472D5" w:rsidRDefault="001D6F9B" w:rsidP="003C2745">
                      <w:pPr>
                        <w:jc w:val="center"/>
                        <w:rPr>
                          <w:bCs/>
                          <w:sz w:val="18"/>
                          <w:szCs w:val="18"/>
                          <w:lang w:val="en-GB"/>
                        </w:rPr>
                      </w:pPr>
                      <w:r w:rsidRPr="0037679F">
                        <w:rPr>
                          <w:bCs/>
                          <w:sz w:val="18"/>
                          <w:szCs w:val="18"/>
                          <w:lang w:val="en-GB"/>
                        </w:rPr>
                        <w:t>Nejednaka dostupnost usluga podrške za žrtve</w:t>
                      </w:r>
                    </w:p>
                  </w:txbxContent>
                </v:textbox>
              </v:rect>
            </w:pict>
          </mc:Fallback>
        </mc:AlternateContent>
      </w:r>
      <w:r w:rsidR="008935B1" w:rsidRPr="0085657D">
        <w:rPr>
          <w:rFonts w:ascii="Arial" w:hAnsi="Arial" w:cs="Arial"/>
          <w:noProof/>
          <w:lang w:val="en-US"/>
        </w:rPr>
        <mc:AlternateContent>
          <mc:Choice Requires="wps">
            <w:drawing>
              <wp:anchor distT="0" distB="0" distL="114300" distR="114300" simplePos="0" relativeHeight="251684864" behindDoc="0" locked="0" layoutInCell="1" allowOverlap="1" wp14:anchorId="349E2A29" wp14:editId="32C4405C">
                <wp:simplePos x="0" y="0"/>
                <wp:positionH relativeFrom="column">
                  <wp:posOffset>4143163</wp:posOffset>
                </wp:positionH>
                <wp:positionV relativeFrom="paragraph">
                  <wp:posOffset>595207</wp:posOffset>
                </wp:positionV>
                <wp:extent cx="1769533" cy="618066"/>
                <wp:effectExtent l="0" t="0" r="40640" b="48895"/>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533" cy="618066"/>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E88A2E9" w14:textId="48F52D54" w:rsidR="001D6F9B" w:rsidRPr="00471061" w:rsidRDefault="001D6F9B" w:rsidP="009D06FF">
                            <w:pPr>
                              <w:jc w:val="center"/>
                              <w:rPr>
                                <w:sz w:val="18"/>
                                <w:szCs w:val="18"/>
                              </w:rPr>
                            </w:pPr>
                            <w:r w:rsidRPr="00471061">
                              <w:rPr>
                                <w:sz w:val="18"/>
                                <w:szCs w:val="18"/>
                                <w:lang w:val="it-IT"/>
                              </w:rPr>
                              <w:t>Medijsko izvještavanje koje naru</w:t>
                            </w:r>
                            <w:r>
                              <w:rPr>
                                <w:sz w:val="18"/>
                                <w:szCs w:val="18"/>
                                <w:lang w:val="it-IT"/>
                              </w:rPr>
                              <w:t>š</w:t>
                            </w:r>
                            <w:r w:rsidRPr="00471061">
                              <w:rPr>
                                <w:sz w:val="18"/>
                                <w:szCs w:val="18"/>
                                <w:lang w:val="it-IT"/>
                              </w:rPr>
                              <w:t>ava pravo na privatnost i dostojanstvo žrtava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E2A29" id="Rectangle 68" o:spid="_x0000_s1035" style="position:absolute;left:0;text-align:left;margin-left:326.25pt;margin-top:46.85pt;width:139.35pt;height:4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" fillcolor="#fae2d5 [661]" strokecolor="#d86dcb [1944]" strokeweight="1pt">
                <v:shadow on="t" color="#4f1548 [1608]" opacity=".5" offset="1pt"/>
                <v:textbox>
                  <w:txbxContent>
                    <w:p w14:paraId="1E88A2E9" w14:textId="48F52D54" w:rsidR="001D6F9B" w:rsidRPr="00471061" w:rsidRDefault="001D6F9B" w:rsidP="009D06FF">
                      <w:pPr>
                        <w:jc w:val="center"/>
                        <w:rPr>
                          <w:sz w:val="18"/>
                          <w:szCs w:val="18"/>
                        </w:rPr>
                      </w:pPr>
                      <w:r w:rsidRPr="00471061">
                        <w:rPr>
                          <w:sz w:val="18"/>
                          <w:szCs w:val="18"/>
                          <w:lang w:val="it-IT"/>
                        </w:rPr>
                        <w:t>Medijsko izvještavanje koje naru</w:t>
                      </w:r>
                      <w:r>
                        <w:rPr>
                          <w:sz w:val="18"/>
                          <w:szCs w:val="18"/>
                          <w:lang w:val="it-IT"/>
                        </w:rPr>
                        <w:t>š</w:t>
                      </w:r>
                      <w:r w:rsidRPr="00471061">
                        <w:rPr>
                          <w:sz w:val="18"/>
                          <w:szCs w:val="18"/>
                          <w:lang w:val="it-IT"/>
                        </w:rPr>
                        <w:t>ava pravo na privatnost i dostojanstvo žrtava</w:t>
                      </w:r>
                    </w:p>
                  </w:txbxContent>
                </v:textbox>
              </v:rect>
            </w:pict>
          </mc:Fallback>
        </mc:AlternateContent>
      </w:r>
      <w:r w:rsidR="009D06FF" w:rsidRPr="0085657D">
        <w:rPr>
          <w:rFonts w:ascii="Arial" w:hAnsi="Arial" w:cs="Arial"/>
          <w:noProof/>
          <w:lang w:val="en-US"/>
        </w:rPr>
        <mc:AlternateContent>
          <mc:Choice Requires="wps">
            <w:drawing>
              <wp:anchor distT="0" distB="0" distL="114300" distR="114300" simplePos="0" relativeHeight="251666432" behindDoc="0" locked="0" layoutInCell="1" allowOverlap="1" wp14:anchorId="2DE5DE9E" wp14:editId="65C3C227">
                <wp:simplePos x="0" y="0"/>
                <wp:positionH relativeFrom="column">
                  <wp:posOffset>1405467</wp:posOffset>
                </wp:positionH>
                <wp:positionV relativeFrom="paragraph">
                  <wp:posOffset>3905885</wp:posOffset>
                </wp:positionV>
                <wp:extent cx="3437466" cy="809625"/>
                <wp:effectExtent l="0" t="0" r="29845" b="66675"/>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466" cy="809625"/>
                        </a:xfrm>
                        <a:prstGeom prst="rect">
                          <a:avLst/>
                        </a:prstGeom>
                        <a:solidFill>
                          <a:schemeClr val="accent6">
                            <a:lumMod val="40000"/>
                            <a:lumOff val="60000"/>
                          </a:schemeClr>
                        </a:soli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36E120A" w14:textId="77777777" w:rsidR="001D6F9B" w:rsidRPr="009D06FF" w:rsidRDefault="001D6F9B" w:rsidP="009D06FF">
                            <w:pPr>
                              <w:jc w:val="center"/>
                              <w:rPr>
                                <w:b/>
                                <w:bCs/>
                                <w:lang w:val="it-IT"/>
                              </w:rPr>
                            </w:pPr>
                            <w:r>
                              <w:rPr>
                                <w:b/>
                                <w:bCs/>
                                <w:lang w:val="it-IT"/>
                              </w:rPr>
                              <w:t xml:space="preserve">Zaštita </w:t>
                            </w:r>
                            <w:r w:rsidRPr="009D06FF">
                              <w:rPr>
                                <w:b/>
                                <w:bCs/>
                                <w:lang w:val="it-IT"/>
                              </w:rPr>
                              <w:t>prava žrtava krivičnih djela u Crnoj Gori nije adekvatno osiguran</w:t>
                            </w:r>
                            <w:r>
                              <w:rPr>
                                <w:b/>
                                <w:bCs/>
                                <w:lang w:val="it-IT"/>
                              </w:rPr>
                              <w:t>a</w:t>
                            </w:r>
                            <w:r w:rsidRPr="009D06FF">
                              <w:rPr>
                                <w:b/>
                                <w:bCs/>
                                <w:lang w:val="it-IT"/>
                              </w:rPr>
                              <w:t xml:space="preserve"> normativnim i institucionalnim okvirom u skladu sa međunarodnim standardima i dobrim praksama.</w:t>
                            </w:r>
                          </w:p>
                          <w:p w14:paraId="70B6D2FC" w14:textId="77777777" w:rsidR="001D6F9B" w:rsidRPr="00A93677" w:rsidRDefault="001D6F9B" w:rsidP="003C2745">
                            <w:pPr>
                              <w:spacing w:after="0"/>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5DE9E" id="Rectangle 53" o:spid="_x0000_s1036" style="position:absolute;left:0;text-align:left;margin-left:110.65pt;margin-top:307.55pt;width:270.6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" fillcolor="#b3e5a1 [1305]" strokecolor="#47d459 [1942]" strokeweight="1pt">
                <v:shadow on="t" color="#0c3511 [1606]" opacity=".5" offset="1pt"/>
                <v:textbox>
                  <w:txbxContent>
                    <w:p w14:paraId="436E120A" w14:textId="77777777" w:rsidR="001D6F9B" w:rsidRPr="009D06FF" w:rsidRDefault="001D6F9B" w:rsidP="009D06FF">
                      <w:pPr>
                        <w:jc w:val="center"/>
                        <w:rPr>
                          <w:b/>
                          <w:bCs/>
                          <w:lang w:val="it-IT"/>
                        </w:rPr>
                      </w:pPr>
                      <w:r>
                        <w:rPr>
                          <w:b/>
                          <w:bCs/>
                          <w:lang w:val="it-IT"/>
                        </w:rPr>
                        <w:t xml:space="preserve">Zaštita </w:t>
                      </w:r>
                      <w:r w:rsidRPr="009D06FF">
                        <w:rPr>
                          <w:b/>
                          <w:bCs/>
                          <w:lang w:val="it-IT"/>
                        </w:rPr>
                        <w:t>prava žrtava krivičnih djela u Crnoj Gori nije adekvatno osiguran</w:t>
                      </w:r>
                      <w:r>
                        <w:rPr>
                          <w:b/>
                          <w:bCs/>
                          <w:lang w:val="it-IT"/>
                        </w:rPr>
                        <w:t>a</w:t>
                      </w:r>
                      <w:r w:rsidRPr="009D06FF">
                        <w:rPr>
                          <w:b/>
                          <w:bCs/>
                          <w:lang w:val="it-IT"/>
                        </w:rPr>
                        <w:t xml:space="preserve"> normativnim i institucionalnim okvirom u skladu sa međunarodnim standardima i dobrim praksama.</w:t>
                      </w:r>
                    </w:p>
                    <w:p w14:paraId="70B6D2FC" w14:textId="77777777" w:rsidR="001D6F9B" w:rsidRPr="00A93677" w:rsidRDefault="001D6F9B" w:rsidP="003C2745">
                      <w:pPr>
                        <w:spacing w:after="0"/>
                        <w:jc w:val="center"/>
                        <w:rPr>
                          <w:sz w:val="16"/>
                          <w:szCs w:val="16"/>
                        </w:rPr>
                      </w:pP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0528" behindDoc="0" locked="0" layoutInCell="1" allowOverlap="1" wp14:anchorId="4E5EA485" wp14:editId="1FDA59E9">
                <wp:simplePos x="0" y="0"/>
                <wp:positionH relativeFrom="column">
                  <wp:posOffset>3808639</wp:posOffset>
                </wp:positionH>
                <wp:positionV relativeFrom="paragraph">
                  <wp:posOffset>6317434</wp:posOffset>
                </wp:positionV>
                <wp:extent cx="1383847" cy="507909"/>
                <wp:effectExtent l="0" t="0" r="45085" b="6413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847" cy="507909"/>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9AE8904" w14:textId="77777777" w:rsidR="001D6F9B" w:rsidRPr="006D7395" w:rsidRDefault="001D6F9B" w:rsidP="008F2E9A">
                            <w:pPr>
                              <w:rPr>
                                <w:sz w:val="20"/>
                                <w:szCs w:val="20"/>
                                <w:lang w:val="en-GB"/>
                              </w:rPr>
                            </w:pPr>
                            <w:r w:rsidRPr="006D7395">
                              <w:rPr>
                                <w:sz w:val="20"/>
                                <w:szCs w:val="20"/>
                                <w:lang w:val="en-GB"/>
                              </w:rPr>
                              <w:t>Predugo trajanje krivičnih postupaka</w:t>
                            </w:r>
                          </w:p>
                          <w:p w14:paraId="27CB1BD2" w14:textId="77777777" w:rsidR="001D6F9B" w:rsidRPr="0099458E" w:rsidRDefault="001D6F9B" w:rsidP="003C274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EA485" id="Rectangle 57" o:spid="_x0000_s1037" style="position:absolute;left:0;text-align:left;margin-left:299.9pt;margin-top:497.45pt;width:108.95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" fillcolor="white [3201]" strokecolor="#8dd873 [1945]" strokeweight="1pt">
                <v:fill color2="#b3e5a1 [1305]" focus="100%" type="gradient"/>
                <v:shadow on="t" color="#265317 [1609]" opacity=".5" offset="1pt"/>
                <v:textbox>
                  <w:txbxContent>
                    <w:p w14:paraId="29AE8904" w14:textId="77777777" w:rsidR="001D6F9B" w:rsidRPr="006D7395" w:rsidRDefault="001D6F9B" w:rsidP="008F2E9A">
                      <w:pPr>
                        <w:rPr>
                          <w:sz w:val="20"/>
                          <w:szCs w:val="20"/>
                          <w:lang w:val="en-GB"/>
                        </w:rPr>
                      </w:pPr>
                      <w:r w:rsidRPr="006D7395">
                        <w:rPr>
                          <w:sz w:val="20"/>
                          <w:szCs w:val="20"/>
                          <w:lang w:val="en-GB"/>
                        </w:rPr>
                        <w:t>Predugo trajanje krivičnih postupaka</w:t>
                      </w:r>
                    </w:p>
                    <w:p w14:paraId="27CB1BD2" w14:textId="77777777" w:rsidR="001D6F9B" w:rsidRPr="0099458E" w:rsidRDefault="001D6F9B" w:rsidP="003C2745">
                      <w:pPr>
                        <w:rPr>
                          <w:sz w:val="16"/>
                          <w:szCs w:val="16"/>
                        </w:rPr>
                      </w:pP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68480" behindDoc="0" locked="0" layoutInCell="1" allowOverlap="1" wp14:anchorId="16B80016" wp14:editId="2BE80790">
                <wp:simplePos x="0" y="0"/>
                <wp:positionH relativeFrom="column">
                  <wp:posOffset>2511606</wp:posOffset>
                </wp:positionH>
                <wp:positionV relativeFrom="paragraph">
                  <wp:posOffset>5292816</wp:posOffset>
                </wp:positionV>
                <wp:extent cx="948690" cy="634365"/>
                <wp:effectExtent l="15240" t="14605" r="17145" b="27305"/>
                <wp:wrapNone/>
                <wp:docPr id="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63436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6362F04F" w14:textId="77777777" w:rsidR="001D6F9B" w:rsidRPr="0037679F" w:rsidRDefault="001D6F9B" w:rsidP="003C2745">
                            <w:pPr>
                              <w:rPr>
                                <w:bCs/>
                                <w:sz w:val="16"/>
                                <w:szCs w:val="16"/>
                                <w:lang w:val="en-GB"/>
                              </w:rPr>
                            </w:pPr>
                            <w:r w:rsidRPr="0037679F">
                              <w:rPr>
                                <w:bCs/>
                                <w:sz w:val="16"/>
                                <w:szCs w:val="16"/>
                                <w:lang w:val="en-GB"/>
                              </w:rPr>
                              <w:t>Uopšteno loše stanje pravosudne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0016" id="Rectangle 55" o:spid="_x0000_s1038" style="position:absolute;left:0;text-align:left;margin-left:197.75pt;margin-top:416.75pt;width:74.7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" fillcolor="white [3201]" strokecolor="#8dd873 [1945]" strokeweight="1pt">
                <v:fill color2="#b3e5a1 [1305]" focus="100%" type="gradient"/>
                <v:shadow on="t" color="#265317 [1609]" opacity=".5" offset="1pt"/>
                <v:textbox>
                  <w:txbxContent>
                    <w:p w14:paraId="6362F04F" w14:textId="77777777" w:rsidR="001D6F9B" w:rsidRPr="0037679F" w:rsidRDefault="001D6F9B" w:rsidP="003C2745">
                      <w:pPr>
                        <w:rPr>
                          <w:bCs/>
                          <w:sz w:val="16"/>
                          <w:szCs w:val="16"/>
                          <w:lang w:val="en-GB"/>
                        </w:rPr>
                      </w:pPr>
                      <w:r w:rsidRPr="0037679F">
                        <w:rPr>
                          <w:bCs/>
                          <w:sz w:val="16"/>
                          <w:szCs w:val="16"/>
                          <w:lang w:val="en-GB"/>
                        </w:rPr>
                        <w:t>Uopšteno loše stanje pravosudne infrastrukture</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1552" behindDoc="0" locked="0" layoutInCell="1" allowOverlap="1" wp14:anchorId="7F76E24B" wp14:editId="0ED4664A">
                <wp:simplePos x="0" y="0"/>
                <wp:positionH relativeFrom="column">
                  <wp:posOffset>3965121</wp:posOffset>
                </wp:positionH>
                <wp:positionV relativeFrom="paragraph">
                  <wp:posOffset>5178878</wp:posOffset>
                </wp:positionV>
                <wp:extent cx="1143000" cy="742950"/>
                <wp:effectExtent l="0" t="0" r="38100" b="57150"/>
                <wp:wrapNone/>
                <wp:docPr id="5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4295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103C0B6" w14:textId="77777777" w:rsidR="001D6F9B" w:rsidRPr="004472D5" w:rsidRDefault="001D6F9B" w:rsidP="003C2745">
                            <w:pPr>
                              <w:rPr>
                                <w:sz w:val="18"/>
                                <w:szCs w:val="18"/>
                                <w:lang w:val="en-GB"/>
                              </w:rPr>
                            </w:pPr>
                            <w:r w:rsidRPr="0037679F">
                              <w:rPr>
                                <w:sz w:val="18"/>
                                <w:szCs w:val="18"/>
                                <w:lang w:val="en-GB"/>
                              </w:rPr>
                              <w:t>Budžetska ograničenja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E24B" id="Rectangle 58" o:spid="_x0000_s1039" style="position:absolute;left:0;text-align:left;margin-left:312.2pt;margin-top:407.8pt;width:90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" fillcolor="white [3201]" strokecolor="#8dd873 [1945]" strokeweight="1pt">
                <v:fill color2="#b3e5a1 [1305]" focus="100%" type="gradient"/>
                <v:shadow on="t" color="#265317 [1609]" opacity=".5" offset="1pt"/>
                <v:textbox>
                  <w:txbxContent>
                    <w:p w14:paraId="4103C0B6" w14:textId="77777777" w:rsidR="001D6F9B" w:rsidRPr="004472D5" w:rsidRDefault="001D6F9B" w:rsidP="003C2745">
                      <w:pPr>
                        <w:rPr>
                          <w:sz w:val="18"/>
                          <w:szCs w:val="18"/>
                          <w:lang w:val="en-GB"/>
                        </w:rPr>
                      </w:pPr>
                      <w:r w:rsidRPr="0037679F">
                        <w:rPr>
                          <w:sz w:val="18"/>
                          <w:szCs w:val="18"/>
                          <w:lang w:val="en-GB"/>
                        </w:rPr>
                        <w:t>Budžetska ograničenja</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5648" behindDoc="0" locked="0" layoutInCell="1" allowOverlap="1" wp14:anchorId="0564CEEC" wp14:editId="0762E364">
                <wp:simplePos x="0" y="0"/>
                <wp:positionH relativeFrom="column">
                  <wp:posOffset>-509996</wp:posOffset>
                </wp:positionH>
                <wp:positionV relativeFrom="paragraph">
                  <wp:posOffset>5688421</wp:posOffset>
                </wp:positionV>
                <wp:extent cx="952500" cy="464820"/>
                <wp:effectExtent l="0" t="0" r="38100" b="49530"/>
                <wp:wrapNone/>
                <wp:docPr id="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64820"/>
                        </a:xfrm>
                        <a:prstGeom prst="rect">
                          <a:avLst/>
                        </a:prstGeom>
                        <a:solidFill>
                          <a:schemeClr val="tx2">
                            <a:lumMod val="10000"/>
                            <a:lumOff val="9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C923CDF" w14:textId="77777777" w:rsidR="001D6F9B" w:rsidRPr="00CC6A87" w:rsidRDefault="001D6F9B" w:rsidP="003C2745">
                            <w:pPr>
                              <w:jc w:val="center"/>
                              <w:rPr>
                                <w:b/>
                                <w:sz w:val="18"/>
                                <w:szCs w:val="18"/>
                              </w:rPr>
                            </w:pPr>
                            <w:r w:rsidRPr="00CC6A87">
                              <w:rPr>
                                <w:b/>
                                <w:sz w:val="18"/>
                                <w:szCs w:val="18"/>
                              </w:rPr>
                              <w:t>UZROCI PROBLEMA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CEEC" id="Rectangle 62" o:spid="_x0000_s1040" style="position:absolute;left:0;text-align:left;margin-left:-40.15pt;margin-top:447.9pt;width:75pt;height:3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" fillcolor="#dceaf7 [351]" strokecolor="#60caf3 [1943]" strokeweight="1pt">
                <v:shadow on="t" color="#074e69 [1607]" opacity=".5" offset="1pt"/>
                <v:textbox>
                  <w:txbxContent>
                    <w:p w14:paraId="7C923CDF" w14:textId="77777777" w:rsidR="001D6F9B" w:rsidRPr="00CC6A87" w:rsidRDefault="001D6F9B" w:rsidP="003C2745">
                      <w:pPr>
                        <w:jc w:val="center"/>
                        <w:rPr>
                          <w:b/>
                          <w:sz w:val="18"/>
                          <w:szCs w:val="18"/>
                        </w:rPr>
                      </w:pPr>
                      <w:r w:rsidRPr="00CC6A87">
                        <w:rPr>
                          <w:b/>
                          <w:sz w:val="18"/>
                          <w:szCs w:val="18"/>
                        </w:rPr>
                        <w:t>UZROCI PROBLEMA</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9744" behindDoc="0" locked="0" layoutInCell="1" allowOverlap="1" wp14:anchorId="77BA3AE2" wp14:editId="3E71DBD9">
                <wp:simplePos x="0" y="0"/>
                <wp:positionH relativeFrom="column">
                  <wp:posOffset>-414020</wp:posOffset>
                </wp:positionH>
                <wp:positionV relativeFrom="paragraph">
                  <wp:posOffset>3790950</wp:posOffset>
                </wp:positionV>
                <wp:extent cx="965835" cy="485775"/>
                <wp:effectExtent l="0" t="0" r="43815" b="66675"/>
                <wp:wrapNone/>
                <wp:docPr id="5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485775"/>
                        </a:xfrm>
                        <a:prstGeom prst="rect">
                          <a:avLst/>
                        </a:prstGeom>
                        <a:solidFill>
                          <a:schemeClr val="tx2">
                            <a:lumMod val="50000"/>
                            <a:lumOff val="50000"/>
                          </a:schemeClr>
                        </a:soli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14:paraId="6986586A" w14:textId="77777777" w:rsidR="001D6F9B" w:rsidRPr="0099458E" w:rsidRDefault="001D6F9B" w:rsidP="003C2745">
                            <w:pPr>
                              <w:jc w:val="center"/>
                            </w:pPr>
                            <w:r>
                              <w:t>KLJUČNI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3AE2" id="Rectangle 65" o:spid="_x0000_s1041" style="position:absolute;left:0;text-align:left;margin-left:-32.6pt;margin-top:298.5pt;width:76.0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" fillcolor="#4e95d9 [1631]" strokecolor="#0f9ed5 [3207]" strokeweight="1pt">
                <v:shadow on="t" color="#074e69 [1607]" offset="1pt"/>
                <v:textbox>
                  <w:txbxContent>
                    <w:p w14:paraId="6986586A" w14:textId="77777777" w:rsidR="001D6F9B" w:rsidRPr="0099458E" w:rsidRDefault="001D6F9B" w:rsidP="003C2745">
                      <w:pPr>
                        <w:jc w:val="center"/>
                      </w:pPr>
                      <w:r>
                        <w:t>KLJUČNI PROBLEM</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7696" behindDoc="0" locked="0" layoutInCell="1" allowOverlap="1" wp14:anchorId="310BF577" wp14:editId="32D4A3B5">
                <wp:simplePos x="0" y="0"/>
                <wp:positionH relativeFrom="column">
                  <wp:posOffset>-562247</wp:posOffset>
                </wp:positionH>
                <wp:positionV relativeFrom="paragraph">
                  <wp:posOffset>1462950</wp:posOffset>
                </wp:positionV>
                <wp:extent cx="1011555" cy="571500"/>
                <wp:effectExtent l="0" t="0" r="36195" b="57150"/>
                <wp:wrapNone/>
                <wp:docPr id="6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571500"/>
                        </a:xfrm>
                        <a:prstGeom prst="rect">
                          <a:avLst/>
                        </a:prstGeom>
                        <a:solidFill>
                          <a:schemeClr val="tx2">
                            <a:lumMod val="25000"/>
                            <a:lumOff val="75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EBC7443" w14:textId="77777777" w:rsidR="001D6F9B" w:rsidRPr="00CC6A87" w:rsidRDefault="001D6F9B" w:rsidP="003C2745">
                            <w:pPr>
                              <w:jc w:val="center"/>
                              <w:rPr>
                                <w:b/>
                                <w:sz w:val="18"/>
                                <w:szCs w:val="18"/>
                              </w:rPr>
                            </w:pPr>
                            <w:r w:rsidRPr="00CC6A87">
                              <w:rPr>
                                <w:b/>
                                <w:sz w:val="18"/>
                                <w:szCs w:val="18"/>
                              </w:rPr>
                              <w:t>POSLEDICE</w:t>
                            </w:r>
                          </w:p>
                          <w:p w14:paraId="4EC522A1" w14:textId="77777777" w:rsidR="001D6F9B" w:rsidRPr="00CC6A87" w:rsidRDefault="001D6F9B" w:rsidP="003C2745">
                            <w:pPr>
                              <w:jc w:val="center"/>
                              <w:rPr>
                                <w:b/>
                                <w:sz w:val="18"/>
                                <w:szCs w:val="18"/>
                              </w:rPr>
                            </w:pPr>
                            <w:r w:rsidRPr="00CC6A87">
                              <w:rPr>
                                <w:b/>
                                <w:sz w:val="18"/>
                                <w:szCs w:val="18"/>
                              </w:rPr>
                              <w:t>PROBLEMA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BF577" id="Rectangle 63" o:spid="_x0000_s1042" style="position:absolute;left:0;text-align:left;margin-left:-44.25pt;margin-top:115.2pt;width:79.6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" fillcolor="#a7caec [831]" strokecolor="#60caf3 [1943]" strokeweight="1pt">
                <v:shadow on="t" color="#074e69 [1607]" opacity=".5" offset="1pt"/>
                <v:textbox>
                  <w:txbxContent>
                    <w:p w14:paraId="6EBC7443" w14:textId="77777777" w:rsidR="001D6F9B" w:rsidRPr="00CC6A87" w:rsidRDefault="001D6F9B" w:rsidP="003C2745">
                      <w:pPr>
                        <w:jc w:val="center"/>
                        <w:rPr>
                          <w:b/>
                          <w:sz w:val="18"/>
                          <w:szCs w:val="18"/>
                        </w:rPr>
                      </w:pPr>
                      <w:r w:rsidRPr="00CC6A87">
                        <w:rPr>
                          <w:b/>
                          <w:sz w:val="18"/>
                          <w:szCs w:val="18"/>
                        </w:rPr>
                        <w:t>POSLEDICE</w:t>
                      </w:r>
                    </w:p>
                    <w:p w14:paraId="4EC522A1" w14:textId="77777777" w:rsidR="001D6F9B" w:rsidRPr="00CC6A87" w:rsidRDefault="001D6F9B" w:rsidP="003C2745">
                      <w:pPr>
                        <w:jc w:val="center"/>
                        <w:rPr>
                          <w:b/>
                          <w:sz w:val="18"/>
                          <w:szCs w:val="18"/>
                        </w:rPr>
                      </w:pPr>
                      <w:r w:rsidRPr="00CC6A87">
                        <w:rPr>
                          <w:b/>
                          <w:sz w:val="18"/>
                          <w:szCs w:val="18"/>
                        </w:rPr>
                        <w:t>PROBLEMA</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86912" behindDoc="0" locked="0" layoutInCell="1" allowOverlap="1" wp14:anchorId="2299298D" wp14:editId="68DBD50C">
                <wp:simplePos x="0" y="0"/>
                <wp:positionH relativeFrom="column">
                  <wp:posOffset>620486</wp:posOffset>
                </wp:positionH>
                <wp:positionV relativeFrom="paragraph">
                  <wp:posOffset>4746171</wp:posOffset>
                </wp:positionV>
                <wp:extent cx="171450" cy="1839414"/>
                <wp:effectExtent l="0" t="0" r="19050" b="27940"/>
                <wp:wrapNone/>
                <wp:docPr id="68"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839414"/>
                        </a:xfrm>
                        <a:prstGeom prst="leftBrace">
                          <a:avLst>
                            <a:gd name="adj1" fmla="val 145804"/>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F278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4" o:spid="_x0000_s1026" type="#_x0000_t87" style="position:absolute;margin-left:48.85pt;margin-top:373.7pt;width:13.5pt;height:14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" adj="2935"/>
            </w:pict>
          </mc:Fallback>
        </mc:AlternateContent>
      </w:r>
      <w:r w:rsidR="003C2745" w:rsidRPr="0085657D">
        <w:rPr>
          <w:rFonts w:ascii="Arial" w:hAnsi="Arial" w:cs="Arial"/>
          <w:noProof/>
          <w:lang w:val="en-US"/>
        </w:rPr>
        <mc:AlternateContent>
          <mc:Choice Requires="wps">
            <w:drawing>
              <wp:anchor distT="0" distB="0" distL="114300" distR="114300" simplePos="0" relativeHeight="251688960" behindDoc="0" locked="0" layoutInCell="1" allowOverlap="1" wp14:anchorId="54890A7F" wp14:editId="28647B83">
                <wp:simplePos x="0" y="0"/>
                <wp:positionH relativeFrom="column">
                  <wp:posOffset>745944</wp:posOffset>
                </wp:positionH>
                <wp:positionV relativeFrom="paragraph">
                  <wp:posOffset>3821430</wp:posOffset>
                </wp:positionV>
                <wp:extent cx="205740" cy="485775"/>
                <wp:effectExtent l="0" t="0" r="22860" b="28575"/>
                <wp:wrapNone/>
                <wp:docPr id="7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85775"/>
                        </a:xfrm>
                        <a:prstGeom prst="leftBrace">
                          <a:avLst>
                            <a:gd name="adj1" fmla="val 19676"/>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44BD90" id="AutoShape 76" o:spid="_x0000_s1026" type="#_x0000_t87" style="position:absolute;margin-left:58.75pt;margin-top:300.9pt;width:16.2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"/>
            </w:pict>
          </mc:Fallback>
        </mc:AlternateContent>
      </w:r>
      <w:r w:rsidR="003C2745" w:rsidRPr="0085657D">
        <w:rPr>
          <w:rFonts w:ascii="Arial" w:hAnsi="Arial" w:cs="Arial"/>
          <w:noProof/>
          <w:lang w:val="en-US"/>
        </w:rPr>
        <mc:AlternateContent>
          <mc:Choice Requires="wps">
            <w:drawing>
              <wp:anchor distT="0" distB="0" distL="114300" distR="114300" simplePos="0" relativeHeight="251687936" behindDoc="0" locked="0" layoutInCell="1" allowOverlap="1" wp14:anchorId="31E30E1B" wp14:editId="6EA10084">
                <wp:simplePos x="0" y="0"/>
                <wp:positionH relativeFrom="column">
                  <wp:posOffset>533400</wp:posOffset>
                </wp:positionH>
                <wp:positionV relativeFrom="paragraph">
                  <wp:posOffset>424543</wp:posOffset>
                </wp:positionV>
                <wp:extent cx="90805" cy="2428875"/>
                <wp:effectExtent l="0" t="0" r="23495" b="28575"/>
                <wp:wrapNone/>
                <wp:docPr id="6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428875"/>
                        </a:xfrm>
                        <a:prstGeom prst="leftBrace">
                          <a:avLst>
                            <a:gd name="adj1" fmla="val 222902"/>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35A87B" id="AutoShape 75" o:spid="_x0000_s1026" type="#_x0000_t87" style="position:absolute;margin-left:42pt;margin-top:33.45pt;width:7.15pt;height:19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"/>
            </w:pict>
          </mc:Fallback>
        </mc:AlternateContent>
      </w:r>
      <w:r w:rsidR="003C2745" w:rsidRPr="0085657D">
        <w:rPr>
          <w:rFonts w:ascii="Arial" w:hAnsi="Arial" w:cs="Arial"/>
          <w:noProof/>
          <w:lang w:val="en-US"/>
        </w:rPr>
        <w:drawing>
          <wp:inline distT="0" distB="0" distL="0" distR="0" wp14:anchorId="319DB892" wp14:editId="0ABE932E">
            <wp:extent cx="5912653" cy="6585857"/>
            <wp:effectExtent l="0" t="0" r="0" b="5715"/>
            <wp:docPr id="2" name="Picture 4" descr="146,460 Tree Roots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6,460 Tree Roots Stock Photos, Pictures &amp;amp; Royalty-Free Images - iStock"/>
                    <pic:cNvPicPr>
                      <a:picLocks noChangeAspect="1" noChangeArrowheads="1"/>
                    </pic:cNvPicPr>
                  </pic:nvPicPr>
                  <pic:blipFill>
                    <a:blip r:embed="rId16" cstate="print"/>
                    <a:srcRect/>
                    <a:stretch>
                      <a:fillRect/>
                    </a:stretch>
                  </pic:blipFill>
                  <pic:spPr bwMode="auto">
                    <a:xfrm>
                      <a:off x="0" y="0"/>
                      <a:ext cx="5936316" cy="6612214"/>
                    </a:xfrm>
                    <a:prstGeom prst="rect">
                      <a:avLst/>
                    </a:prstGeom>
                    <a:noFill/>
                    <a:ln w="9525">
                      <a:noFill/>
                      <a:miter lim="800000"/>
                      <a:headEnd/>
                      <a:tailEnd/>
                    </a:ln>
                  </pic:spPr>
                </pic:pic>
              </a:graphicData>
            </a:graphic>
          </wp:inline>
        </w:drawing>
      </w:r>
    </w:p>
    <w:p w14:paraId="168B6513" w14:textId="7FACB84D" w:rsidR="003C2745" w:rsidRPr="0085657D" w:rsidRDefault="00046F11" w:rsidP="00D33225">
      <w:pPr>
        <w:rPr>
          <w:rFonts w:ascii="Arial" w:hAnsi="Arial" w:cs="Arial"/>
        </w:rPr>
      </w:pPr>
      <w:r w:rsidRPr="0085657D">
        <w:rPr>
          <w:rFonts w:ascii="Arial" w:hAnsi="Arial" w:cs="Arial"/>
          <w:noProof/>
          <w:lang w:val="en-US"/>
        </w:rPr>
        <mc:AlternateContent>
          <mc:Choice Requires="wps">
            <w:drawing>
              <wp:anchor distT="0" distB="0" distL="114300" distR="114300" simplePos="0" relativeHeight="251672576" behindDoc="0" locked="0" layoutInCell="1" allowOverlap="1" wp14:anchorId="4C2112E4" wp14:editId="4971D642">
                <wp:simplePos x="0" y="0"/>
                <wp:positionH relativeFrom="column">
                  <wp:posOffset>4031311</wp:posOffset>
                </wp:positionH>
                <wp:positionV relativeFrom="paragraph">
                  <wp:posOffset>187932</wp:posOffset>
                </wp:positionV>
                <wp:extent cx="1235710" cy="755374"/>
                <wp:effectExtent l="0" t="0" r="40640" b="64135"/>
                <wp:wrapNone/>
                <wp:docPr id="5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710" cy="755374"/>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34FBF265" w14:textId="77777777" w:rsidR="001D6F9B" w:rsidRPr="006D7395" w:rsidRDefault="001D6F9B" w:rsidP="00471061">
                            <w:pPr>
                              <w:spacing w:after="0"/>
                              <w:rPr>
                                <w:sz w:val="18"/>
                                <w:szCs w:val="18"/>
                                <w:lang w:val="en-GB"/>
                              </w:rPr>
                            </w:pPr>
                            <w:r>
                              <w:rPr>
                                <w:sz w:val="18"/>
                                <w:szCs w:val="18"/>
                              </w:rPr>
                              <w:t>Nepostojanje održivog i sveobuhvatnog sistema obuka u  oblasti prava žrtava.</w:t>
                            </w:r>
                          </w:p>
                          <w:p w14:paraId="408EEC3A" w14:textId="77777777" w:rsidR="001D6F9B" w:rsidRDefault="001D6F9B" w:rsidP="003C2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112E4" id="Rectangle 59" o:spid="_x0000_s1043" style="position:absolute;left:0;text-align:left;margin-left:317.45pt;margin-top:14.8pt;width:97.3pt;height: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" fillcolor="white [3201]" strokecolor="#8dd873 [1945]" strokeweight="1pt">
                <v:fill color2="#b3e5a1 [1305]" focus="100%" type="gradient"/>
                <v:shadow on="t" color="#265317 [1609]" opacity=".5" offset="1pt"/>
                <v:textbox>
                  <w:txbxContent>
                    <w:p w14:paraId="34FBF265" w14:textId="77777777" w:rsidR="001D6F9B" w:rsidRPr="006D7395" w:rsidRDefault="001D6F9B" w:rsidP="00471061">
                      <w:pPr>
                        <w:spacing w:after="0"/>
                        <w:rPr>
                          <w:sz w:val="18"/>
                          <w:szCs w:val="18"/>
                          <w:lang w:val="en-GB"/>
                        </w:rPr>
                      </w:pPr>
                      <w:r>
                        <w:rPr>
                          <w:sz w:val="18"/>
                          <w:szCs w:val="18"/>
                        </w:rPr>
                        <w:t>Nepostojanje održivog i sveobuhvatnog sistema obuka u  oblasti prava žrtava.</w:t>
                      </w:r>
                    </w:p>
                    <w:p w14:paraId="408EEC3A" w14:textId="77777777" w:rsidR="001D6F9B" w:rsidRDefault="001D6F9B" w:rsidP="003C2745"/>
                  </w:txbxContent>
                </v:textbox>
              </v:rect>
            </w:pict>
          </mc:Fallback>
        </mc:AlternateContent>
      </w:r>
      <w:r w:rsidR="00C45575" w:rsidRPr="0085657D">
        <w:rPr>
          <w:rFonts w:ascii="Arial" w:hAnsi="Arial" w:cs="Arial"/>
          <w:noProof/>
          <w:lang w:val="en-US"/>
        </w:rPr>
        <mc:AlternateContent>
          <mc:Choice Requires="wps">
            <w:drawing>
              <wp:anchor distT="0" distB="0" distL="114300" distR="114300" simplePos="0" relativeHeight="251669504" behindDoc="0" locked="0" layoutInCell="1" allowOverlap="1" wp14:anchorId="174A22CF" wp14:editId="417A372F">
                <wp:simplePos x="0" y="0"/>
                <wp:positionH relativeFrom="column">
                  <wp:posOffset>2021967</wp:posOffset>
                </wp:positionH>
                <wp:positionV relativeFrom="paragraph">
                  <wp:posOffset>252603</wp:posOffset>
                </wp:positionV>
                <wp:extent cx="45719" cy="45719"/>
                <wp:effectExtent l="0" t="0" r="31115" b="50165"/>
                <wp:wrapNone/>
                <wp:docPr id="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5719"/>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6A996558" w14:textId="77777777" w:rsidR="001D6F9B" w:rsidRPr="00285C9B" w:rsidRDefault="001D6F9B" w:rsidP="003C27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22CF" id="Rectangle 56" o:spid="_x0000_s1044" style="position:absolute;left:0;text-align:left;margin-left:159.2pt;margin-top:19.9pt;width:3.6pt;height:3.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" fillcolor="white [3201]" strokecolor="#8dd873 [1945]" strokeweight="1pt">
                <v:fill color2="#b3e5a1 [1305]" focus="100%" type="gradient"/>
                <v:shadow on="t" color="#265317 [1609]" opacity=".5" offset="1pt"/>
                <v:textbox>
                  <w:txbxContent>
                    <w:p w14:paraId="6A996558" w14:textId="77777777" w:rsidR="001D6F9B" w:rsidRPr="00285C9B" w:rsidRDefault="001D6F9B" w:rsidP="003C2745">
                      <w:pPr>
                        <w:jc w:val="center"/>
                        <w:rPr>
                          <w:b/>
                          <w:sz w:val="16"/>
                          <w:szCs w:val="16"/>
                        </w:rPr>
                      </w:pPr>
                    </w:p>
                  </w:txbxContent>
                </v:textbox>
              </v:rect>
            </w:pict>
          </mc:Fallback>
        </mc:AlternateContent>
      </w:r>
    </w:p>
    <w:p w14:paraId="7CB1573A" w14:textId="77777777" w:rsidR="003C2745" w:rsidRPr="0085657D" w:rsidRDefault="003C2745" w:rsidP="003C2745">
      <w:pPr>
        <w:rPr>
          <w:rFonts w:ascii="Arial" w:hAnsi="Arial" w:cs="Arial"/>
        </w:rPr>
      </w:pPr>
    </w:p>
    <w:p w14:paraId="3A6C374B" w14:textId="77777777" w:rsidR="001F6CA3" w:rsidRPr="0085657D" w:rsidRDefault="001F6CA3" w:rsidP="001F6CA3">
      <w:pPr>
        <w:rPr>
          <w:rFonts w:ascii="Arial" w:hAnsi="Arial" w:cs="Arial"/>
        </w:rPr>
      </w:pPr>
    </w:p>
    <w:p w14:paraId="64920F63" w14:textId="77777777" w:rsidR="001F6CA3" w:rsidRPr="0085657D" w:rsidRDefault="001F6CA3" w:rsidP="001F6CA3">
      <w:pPr>
        <w:rPr>
          <w:rFonts w:ascii="Arial" w:hAnsi="Arial" w:cs="Arial"/>
        </w:rPr>
      </w:pPr>
    </w:p>
    <w:p w14:paraId="52652C52" w14:textId="20029913" w:rsidR="005414F1" w:rsidRPr="00100A20" w:rsidRDefault="005414F1" w:rsidP="00100A20">
      <w:pPr>
        <w:pStyle w:val="Heading1"/>
        <w:numPr>
          <w:ilvl w:val="0"/>
          <w:numId w:val="5"/>
        </w:numPr>
        <w:rPr>
          <w:rFonts w:ascii="Arial" w:hAnsi="Arial" w:cs="Arial"/>
          <w:sz w:val="22"/>
        </w:rPr>
      </w:pPr>
      <w:bookmarkStart w:id="55" w:name="_Toc208489203"/>
      <w:r w:rsidRPr="00100A20">
        <w:rPr>
          <w:rFonts w:ascii="Arial" w:hAnsi="Arial" w:cs="Arial"/>
          <w:sz w:val="22"/>
        </w:rPr>
        <w:lastRenderedPageBreak/>
        <w:t>Orodnjavanje javnih politika</w:t>
      </w:r>
      <w:bookmarkEnd w:id="55"/>
    </w:p>
    <w:p w14:paraId="0E621A16" w14:textId="77777777" w:rsidR="005414F1" w:rsidRPr="0085657D" w:rsidRDefault="005414F1" w:rsidP="005414F1">
      <w:pPr>
        <w:rPr>
          <w:rFonts w:ascii="Arial" w:hAnsi="Arial" w:cs="Arial"/>
        </w:rPr>
      </w:pPr>
    </w:p>
    <w:p w14:paraId="648F7EBA" w14:textId="77777777" w:rsidR="00617828" w:rsidRPr="0085657D" w:rsidRDefault="00617828" w:rsidP="00617828">
      <w:pPr>
        <w:autoSpaceDE w:val="0"/>
        <w:autoSpaceDN w:val="0"/>
        <w:adjustRightInd w:val="0"/>
        <w:spacing w:after="120"/>
        <w:rPr>
          <w:rFonts w:ascii="Arial" w:hAnsi="Arial" w:cs="Arial"/>
          <w:lang w:eastAsia="en-GB"/>
        </w:rPr>
      </w:pPr>
      <w:r w:rsidRPr="0085657D">
        <w:rPr>
          <w:rFonts w:ascii="Arial" w:hAnsi="Arial" w:cs="Arial"/>
          <w:lang w:eastAsia="en-GB"/>
        </w:rPr>
        <w:t xml:space="preserve">Relevantnost ovog strateškog dokumenta u odnosu na potrebe žena i muškaraca treba posmatrati na </w:t>
      </w:r>
      <w:r w:rsidR="008A1FA4" w:rsidRPr="0085657D">
        <w:rPr>
          <w:rFonts w:ascii="Arial" w:hAnsi="Arial" w:cs="Arial"/>
          <w:lang w:eastAsia="en-GB"/>
        </w:rPr>
        <w:t xml:space="preserve">više </w:t>
      </w:r>
      <w:r w:rsidRPr="0085657D">
        <w:rPr>
          <w:rFonts w:ascii="Arial" w:hAnsi="Arial" w:cs="Arial"/>
          <w:lang w:eastAsia="en-GB"/>
        </w:rPr>
        <w:t>nivoa:</w:t>
      </w:r>
    </w:p>
    <w:p w14:paraId="6FFDA35F" w14:textId="52FBAC11" w:rsidR="00617828" w:rsidRPr="0085657D" w:rsidRDefault="00617828" w:rsidP="00595DE2">
      <w:pPr>
        <w:pStyle w:val="ListParagraph"/>
        <w:numPr>
          <w:ilvl w:val="0"/>
          <w:numId w:val="7"/>
        </w:numPr>
        <w:autoSpaceDE w:val="0"/>
        <w:autoSpaceDN w:val="0"/>
        <w:adjustRightInd w:val="0"/>
        <w:spacing w:after="120" w:line="278" w:lineRule="auto"/>
        <w:ind w:left="714" w:hanging="357"/>
        <w:contextualSpacing w:val="0"/>
        <w:rPr>
          <w:rFonts w:ascii="Arial" w:hAnsi="Arial" w:cs="Arial"/>
          <w:lang w:eastAsia="en-GB"/>
        </w:rPr>
      </w:pPr>
      <w:r w:rsidRPr="0085657D">
        <w:rPr>
          <w:rFonts w:ascii="Arial" w:hAnsi="Arial" w:cs="Arial"/>
        </w:rPr>
        <w:t xml:space="preserve">Najprije, uticaj </w:t>
      </w:r>
      <w:r w:rsidRPr="0085657D">
        <w:rPr>
          <w:rFonts w:ascii="Arial" w:hAnsi="Arial" w:cs="Arial"/>
          <w:b/>
          <w:bCs/>
        </w:rPr>
        <w:t>na potrebe građana i građanki</w:t>
      </w:r>
      <w:r w:rsidRPr="0085657D">
        <w:rPr>
          <w:rFonts w:ascii="Arial" w:hAnsi="Arial" w:cs="Arial"/>
        </w:rPr>
        <w:t xml:space="preserve"> koji treba da uživaju benefite reformi sprovedenih u procesu sprovođenja Strategije, a kroz unapređenje pristupa pravdi i kvaliteta pravde za žrtve. U tom smislu, veliki dio planiranih reformi u podjednakoj mjeri će se podjednako odnositi na žene i muškarce. Izuzetak predstavljaju aktivnosti u okviru realizacije operativnih ciljeva usmjerenih na pristup pravdi za </w:t>
      </w:r>
      <w:r w:rsidR="00AD60D2" w:rsidRPr="0085657D">
        <w:rPr>
          <w:rFonts w:ascii="Arial" w:hAnsi="Arial" w:cs="Arial"/>
        </w:rPr>
        <w:t xml:space="preserve">naročito osjetljive </w:t>
      </w:r>
      <w:r w:rsidRPr="0085657D">
        <w:rPr>
          <w:rFonts w:ascii="Arial" w:hAnsi="Arial" w:cs="Arial"/>
        </w:rPr>
        <w:t xml:space="preserve">žrtve krivičnih djela, koje će omogućiti dodatnu zaštitu i za žene žrtve </w:t>
      </w:r>
      <w:r w:rsidR="00AD60D2" w:rsidRPr="0085657D">
        <w:rPr>
          <w:rFonts w:ascii="Arial" w:hAnsi="Arial" w:cs="Arial"/>
        </w:rPr>
        <w:t xml:space="preserve">rodno zasnovanog i nasilja u porodici, žene žrtve </w:t>
      </w:r>
      <w:r w:rsidRPr="0085657D">
        <w:rPr>
          <w:rFonts w:ascii="Arial" w:hAnsi="Arial" w:cs="Arial"/>
        </w:rPr>
        <w:t xml:space="preserve">ratnih zločina ali i za žene kao članove porodica žrtava. </w:t>
      </w:r>
    </w:p>
    <w:p w14:paraId="707172BD" w14:textId="0CDE1F92" w:rsidR="00AD60D2" w:rsidRPr="0085657D" w:rsidRDefault="008A1FA4" w:rsidP="00EB7754">
      <w:pPr>
        <w:pStyle w:val="ListParagraph"/>
        <w:numPr>
          <w:ilvl w:val="0"/>
          <w:numId w:val="7"/>
        </w:numPr>
        <w:spacing w:after="0" w:line="278" w:lineRule="auto"/>
        <w:ind w:left="714" w:hanging="357"/>
        <w:contextualSpacing w:val="0"/>
        <w:rPr>
          <w:rFonts w:ascii="Arial" w:hAnsi="Arial" w:cs="Arial"/>
        </w:rPr>
      </w:pPr>
      <w:r w:rsidRPr="0085657D">
        <w:rPr>
          <w:rFonts w:ascii="Arial" w:hAnsi="Arial" w:cs="Arial"/>
        </w:rPr>
        <w:t>O</w:t>
      </w:r>
      <w:r w:rsidR="00617828" w:rsidRPr="0085657D">
        <w:rPr>
          <w:rFonts w:ascii="Arial" w:hAnsi="Arial" w:cs="Arial"/>
        </w:rPr>
        <w:t xml:space="preserve">d velikog značaja je i </w:t>
      </w:r>
      <w:r w:rsidR="00617828" w:rsidRPr="0085657D">
        <w:rPr>
          <w:rFonts w:ascii="Arial" w:hAnsi="Arial" w:cs="Arial"/>
          <w:b/>
          <w:bCs/>
        </w:rPr>
        <w:t>generisanje orodnjenih podataka</w:t>
      </w:r>
      <w:r w:rsidR="00617828" w:rsidRPr="0085657D">
        <w:rPr>
          <w:rFonts w:ascii="Arial" w:hAnsi="Arial" w:cs="Arial"/>
        </w:rPr>
        <w:t xml:space="preserve"> o </w:t>
      </w:r>
      <w:r w:rsidR="00AD60D2" w:rsidRPr="0085657D">
        <w:rPr>
          <w:rFonts w:ascii="Arial" w:hAnsi="Arial" w:cs="Arial"/>
        </w:rPr>
        <w:t>žrtvama</w:t>
      </w:r>
      <w:r w:rsidR="00617828" w:rsidRPr="0085657D">
        <w:rPr>
          <w:rFonts w:ascii="Arial" w:hAnsi="Arial" w:cs="Arial"/>
        </w:rPr>
        <w:t>, što je preduslovljeno daljim razvojem IKT sistema</w:t>
      </w:r>
      <w:r w:rsidR="00AD60D2" w:rsidRPr="0085657D">
        <w:rPr>
          <w:rFonts w:ascii="Arial" w:hAnsi="Arial" w:cs="Arial"/>
        </w:rPr>
        <w:t xml:space="preserve"> u MUP-u i pravosuđu</w:t>
      </w:r>
      <w:r w:rsidR="00617828" w:rsidRPr="0085657D">
        <w:rPr>
          <w:rFonts w:ascii="Arial" w:hAnsi="Arial" w:cs="Arial"/>
        </w:rPr>
        <w:t xml:space="preserve">, ali i paralelnim unapređenjem upisnika u </w:t>
      </w:r>
      <w:r w:rsidR="00AD60D2" w:rsidRPr="0085657D">
        <w:rPr>
          <w:rFonts w:ascii="Arial" w:hAnsi="Arial" w:cs="Arial"/>
        </w:rPr>
        <w:t xml:space="preserve">sudstvu i državnom tužilaštvu u </w:t>
      </w:r>
      <w:r w:rsidR="00617828" w:rsidRPr="0085657D">
        <w:rPr>
          <w:rFonts w:ascii="Arial" w:hAnsi="Arial" w:cs="Arial"/>
        </w:rPr>
        <w:t xml:space="preserve">skladu sa zahtjevima relevantnih međunarodnih instrumenata i preporuka ugovornih tijela i specijalnih procedura. </w:t>
      </w:r>
    </w:p>
    <w:p w14:paraId="4B4BA6FC" w14:textId="77777777" w:rsidR="00757CF9" w:rsidRPr="0085657D" w:rsidRDefault="00757CF9" w:rsidP="00757CF9">
      <w:pPr>
        <w:pStyle w:val="Default"/>
        <w:rPr>
          <w:rFonts w:ascii="Arial" w:hAnsi="Arial" w:cs="Arial"/>
          <w:sz w:val="22"/>
          <w:szCs w:val="22"/>
          <w:lang w:val="sr-Latn-ME" w:eastAsia="en-GB"/>
        </w:rPr>
      </w:pPr>
    </w:p>
    <w:p w14:paraId="3051E1CC" w14:textId="3D46B129" w:rsidR="005414F1" w:rsidRPr="0085657D" w:rsidRDefault="005414F1" w:rsidP="005414F1">
      <w:pPr>
        <w:spacing w:after="0"/>
        <w:rPr>
          <w:rFonts w:ascii="Arial" w:hAnsi="Arial" w:cs="Arial"/>
          <w:lang w:eastAsia="en-GB"/>
        </w:rPr>
      </w:pPr>
      <w:r w:rsidRPr="0085657D">
        <w:rPr>
          <w:rFonts w:ascii="Arial" w:hAnsi="Arial" w:cs="Arial"/>
          <w:lang w:eastAsia="en-GB"/>
        </w:rPr>
        <w:t>Imajući to u vidu, ovom Strategijom i pratećim Akcionim planom biće predviđene aktivnosti usmjerene na otklanjanje</w:t>
      </w:r>
      <w:r w:rsidR="00757CF9" w:rsidRPr="0085657D">
        <w:rPr>
          <w:rFonts w:ascii="Arial" w:hAnsi="Arial" w:cs="Arial"/>
          <w:lang w:eastAsia="en-GB"/>
        </w:rPr>
        <w:t xml:space="preserve"> uočenih prepreka</w:t>
      </w:r>
      <w:r w:rsidRPr="0085657D">
        <w:rPr>
          <w:rFonts w:ascii="Arial" w:hAnsi="Arial" w:cs="Arial"/>
          <w:lang w:eastAsia="en-GB"/>
        </w:rPr>
        <w:t xml:space="preserve"> </w:t>
      </w:r>
      <w:r w:rsidR="00757CF9" w:rsidRPr="0085657D">
        <w:rPr>
          <w:rFonts w:ascii="Arial" w:hAnsi="Arial" w:cs="Arial"/>
          <w:lang w:eastAsia="en-GB"/>
        </w:rPr>
        <w:t>i savladavanje izazova.</w:t>
      </w:r>
    </w:p>
    <w:p w14:paraId="50501731" w14:textId="77777777" w:rsidR="005414F1" w:rsidRPr="0085657D" w:rsidRDefault="005414F1" w:rsidP="005414F1">
      <w:pPr>
        <w:rPr>
          <w:rFonts w:ascii="Arial" w:hAnsi="Arial" w:cs="Arial"/>
        </w:rPr>
      </w:pPr>
    </w:p>
    <w:p w14:paraId="2B96829A" w14:textId="77777777" w:rsidR="005414F1" w:rsidRPr="00100A20" w:rsidRDefault="007F2FF8" w:rsidP="00100A20">
      <w:pPr>
        <w:pStyle w:val="Heading1"/>
        <w:rPr>
          <w:rFonts w:ascii="Arial" w:hAnsi="Arial" w:cs="Arial"/>
          <w:sz w:val="22"/>
        </w:rPr>
      </w:pPr>
      <w:bookmarkStart w:id="56" w:name="_Toc208489204"/>
      <w:r w:rsidRPr="00100A20">
        <w:rPr>
          <w:rFonts w:ascii="Arial" w:hAnsi="Arial" w:cs="Arial"/>
          <w:sz w:val="22"/>
        </w:rPr>
        <w:t xml:space="preserve">5. </w:t>
      </w:r>
      <w:r w:rsidR="005414F1" w:rsidRPr="00100A20">
        <w:rPr>
          <w:rFonts w:ascii="Arial" w:hAnsi="Arial" w:cs="Arial"/>
          <w:sz w:val="22"/>
        </w:rPr>
        <w:t>Strateška analiza uticaja na životnu sredinu u fazi definisanja ciljeva</w:t>
      </w:r>
      <w:bookmarkEnd w:id="56"/>
    </w:p>
    <w:p w14:paraId="481D1294" w14:textId="77777777" w:rsidR="008D1577" w:rsidRPr="0085657D" w:rsidRDefault="008D1577" w:rsidP="005D3DBE">
      <w:pPr>
        <w:spacing w:after="0"/>
        <w:rPr>
          <w:rFonts w:ascii="Arial" w:hAnsi="Arial" w:cs="Arial"/>
        </w:rPr>
      </w:pPr>
      <w:r w:rsidRPr="0085657D">
        <w:rPr>
          <w:rFonts w:ascii="Arial" w:hAnsi="Arial" w:cs="Arial"/>
        </w:rPr>
        <w:t>Imajući u vidu predmet Strategije, realizacija nje</w:t>
      </w:r>
      <w:r w:rsidR="00AE681A" w:rsidRPr="0085657D">
        <w:rPr>
          <w:rFonts w:ascii="Arial" w:hAnsi="Arial" w:cs="Arial"/>
        </w:rPr>
        <w:t>nih ciljeva nema uticaja na životnu sredinu.</w:t>
      </w:r>
    </w:p>
    <w:p w14:paraId="1E5EA04B" w14:textId="77777777" w:rsidR="005D3DBE" w:rsidRPr="0085657D" w:rsidRDefault="005D3DBE" w:rsidP="008D1577">
      <w:pPr>
        <w:rPr>
          <w:rFonts w:ascii="Arial" w:hAnsi="Arial" w:cs="Arial"/>
        </w:rPr>
      </w:pPr>
    </w:p>
    <w:p w14:paraId="2F381FA2" w14:textId="77777777" w:rsidR="005414F1" w:rsidRPr="00100A20" w:rsidRDefault="007F2FF8" w:rsidP="00100A20">
      <w:pPr>
        <w:pStyle w:val="Heading1"/>
        <w:rPr>
          <w:rFonts w:ascii="Arial" w:hAnsi="Arial" w:cs="Arial"/>
          <w:sz w:val="22"/>
        </w:rPr>
      </w:pPr>
      <w:bookmarkStart w:id="57" w:name="_Toc208489205"/>
      <w:r w:rsidRPr="00100A20">
        <w:rPr>
          <w:rFonts w:ascii="Arial" w:hAnsi="Arial" w:cs="Arial"/>
          <w:sz w:val="22"/>
        </w:rPr>
        <w:t xml:space="preserve">6. </w:t>
      </w:r>
      <w:r w:rsidR="00EB3472" w:rsidRPr="00100A20">
        <w:rPr>
          <w:rFonts w:ascii="Arial" w:hAnsi="Arial" w:cs="Arial"/>
          <w:sz w:val="22"/>
        </w:rPr>
        <w:t>Vizija, adresati, strateški i operativni ciljevi</w:t>
      </w:r>
      <w:bookmarkEnd w:id="57"/>
      <w:r w:rsidR="00EB3472" w:rsidRPr="00100A20">
        <w:rPr>
          <w:rFonts w:ascii="Arial" w:hAnsi="Arial" w:cs="Arial"/>
          <w:sz w:val="22"/>
        </w:rPr>
        <w:t xml:space="preserve"> </w:t>
      </w:r>
    </w:p>
    <w:p w14:paraId="17226125" w14:textId="5C07564C" w:rsidR="005414F1" w:rsidRPr="0085657D" w:rsidRDefault="005414F1" w:rsidP="00824DFB">
      <w:pPr>
        <w:spacing w:line="276" w:lineRule="auto"/>
        <w:rPr>
          <w:rFonts w:ascii="Arial" w:hAnsi="Arial" w:cs="Arial"/>
        </w:rPr>
      </w:pPr>
      <w:r w:rsidRPr="0085657D">
        <w:rPr>
          <w:rFonts w:ascii="Arial" w:hAnsi="Arial" w:cs="Arial"/>
          <w:b/>
          <w:bCs/>
        </w:rPr>
        <w:t>Vizija Strategije</w:t>
      </w:r>
      <w:r w:rsidRPr="0085657D">
        <w:rPr>
          <w:rFonts w:ascii="Arial" w:hAnsi="Arial" w:cs="Arial"/>
        </w:rPr>
        <w:t xml:space="preserve"> je</w:t>
      </w:r>
      <w:r w:rsidR="008F6AF9" w:rsidRPr="0085657D">
        <w:rPr>
          <w:rFonts w:ascii="Arial" w:hAnsi="Arial" w:cs="Arial"/>
        </w:rPr>
        <w:t xml:space="preserve"> </w:t>
      </w:r>
      <w:r w:rsidR="0088368D" w:rsidRPr="0085657D">
        <w:rPr>
          <w:rFonts w:ascii="Arial" w:hAnsi="Arial" w:cs="Arial"/>
        </w:rPr>
        <w:t xml:space="preserve">pravni i institucionalni sistem u kojem su </w:t>
      </w:r>
      <w:r w:rsidR="00B87919" w:rsidRPr="0085657D">
        <w:rPr>
          <w:rFonts w:ascii="Arial" w:hAnsi="Arial" w:cs="Arial"/>
        </w:rPr>
        <w:t>obe</w:t>
      </w:r>
      <w:r w:rsidR="00824DFB" w:rsidRPr="0085657D">
        <w:rPr>
          <w:rFonts w:ascii="Arial" w:hAnsi="Arial" w:cs="Arial"/>
        </w:rPr>
        <w:t>zb</w:t>
      </w:r>
      <w:r w:rsidR="00046F11">
        <w:rPr>
          <w:rFonts w:ascii="Arial" w:hAnsi="Arial" w:cs="Arial"/>
        </w:rPr>
        <w:t>i</w:t>
      </w:r>
      <w:r w:rsidR="00824DFB" w:rsidRPr="0085657D">
        <w:rPr>
          <w:rFonts w:ascii="Arial" w:hAnsi="Arial" w:cs="Arial"/>
        </w:rPr>
        <w:t>jeđen</w:t>
      </w:r>
      <w:r w:rsidR="00801E88" w:rsidRPr="0085657D">
        <w:rPr>
          <w:rFonts w:ascii="Arial" w:hAnsi="Arial" w:cs="Arial"/>
        </w:rPr>
        <w:t>i pristup pravdi,</w:t>
      </w:r>
      <w:r w:rsidR="00824DFB" w:rsidRPr="0085657D">
        <w:rPr>
          <w:rFonts w:ascii="Arial" w:hAnsi="Arial" w:cs="Arial"/>
        </w:rPr>
        <w:t xml:space="preserve"> </w:t>
      </w:r>
      <w:r w:rsidR="0088368D" w:rsidRPr="0085657D">
        <w:rPr>
          <w:rFonts w:ascii="Arial" w:hAnsi="Arial" w:cs="Arial"/>
        </w:rPr>
        <w:t>podrška i zaštita žrtva</w:t>
      </w:r>
      <w:r w:rsidR="00824DFB" w:rsidRPr="0085657D">
        <w:rPr>
          <w:rFonts w:ascii="Arial" w:hAnsi="Arial" w:cs="Arial"/>
        </w:rPr>
        <w:t>, kao i</w:t>
      </w:r>
      <w:r w:rsidR="0088368D" w:rsidRPr="0085657D">
        <w:rPr>
          <w:rFonts w:ascii="Arial" w:hAnsi="Arial" w:cs="Arial"/>
        </w:rPr>
        <w:t xml:space="preserve"> društv</w:t>
      </w:r>
      <w:r w:rsidR="00824DFB" w:rsidRPr="0085657D">
        <w:rPr>
          <w:rFonts w:ascii="Arial" w:hAnsi="Arial" w:cs="Arial"/>
        </w:rPr>
        <w:t>eni</w:t>
      </w:r>
      <w:r w:rsidR="0088368D" w:rsidRPr="0085657D">
        <w:rPr>
          <w:rFonts w:ascii="Arial" w:hAnsi="Arial" w:cs="Arial"/>
        </w:rPr>
        <w:t xml:space="preserve"> ambijent u kojem su žrtve prepoznate i prema njima se ophodi uz uvažavanje njihove dobrobiti i dostojanstva</w:t>
      </w:r>
      <w:r w:rsidR="00824DFB" w:rsidRPr="0085657D">
        <w:rPr>
          <w:rFonts w:ascii="Arial" w:hAnsi="Arial" w:cs="Arial"/>
        </w:rPr>
        <w:t>.</w:t>
      </w:r>
    </w:p>
    <w:p w14:paraId="1CF5935F" w14:textId="77777777" w:rsidR="005414F1" w:rsidRPr="0085657D" w:rsidRDefault="005414F1" w:rsidP="005414F1">
      <w:pPr>
        <w:spacing w:line="276" w:lineRule="auto"/>
        <w:rPr>
          <w:rFonts w:ascii="Arial" w:hAnsi="Arial" w:cs="Arial"/>
        </w:rPr>
      </w:pPr>
      <w:r w:rsidRPr="0085657D">
        <w:rPr>
          <w:rFonts w:ascii="Arial" w:hAnsi="Arial" w:cs="Arial"/>
          <w:b/>
          <w:bCs/>
        </w:rPr>
        <w:t>Adresati Strategije:</w:t>
      </w:r>
      <w:r w:rsidRPr="0085657D">
        <w:rPr>
          <w:rFonts w:ascii="Arial" w:hAnsi="Arial" w:cs="Arial"/>
        </w:rPr>
        <w:t xml:space="preserve"> </w:t>
      </w:r>
      <w:r w:rsidR="0088368D" w:rsidRPr="0085657D">
        <w:rPr>
          <w:rFonts w:ascii="Arial" w:hAnsi="Arial" w:cs="Arial"/>
        </w:rPr>
        <w:t>Iako su neposredni adresati ove strategije profesionalci u oblasti pravosuđa, policije, socijalne i zdravstvene zaštite i obrazovanja, kao i institucije u ovoj oblasti, očekivani rezultati njenog sprovođenja direktno su usmjereni i na dobrobit žrtava kao naročito ranjive kategorije građana Crne Gore.</w:t>
      </w:r>
    </w:p>
    <w:p w14:paraId="14236F91" w14:textId="77777777" w:rsidR="005414F1" w:rsidRPr="0085657D" w:rsidRDefault="005414F1" w:rsidP="005414F1">
      <w:pPr>
        <w:rPr>
          <w:rFonts w:ascii="Arial" w:hAnsi="Arial" w:cs="Arial"/>
        </w:rPr>
      </w:pPr>
      <w:r w:rsidRPr="0085657D">
        <w:rPr>
          <w:rFonts w:ascii="Arial" w:hAnsi="Arial" w:cs="Arial"/>
          <w:b/>
          <w:bCs/>
        </w:rPr>
        <w:t>Opšti cilj Strategije:</w:t>
      </w:r>
      <w:r w:rsidRPr="0085657D">
        <w:rPr>
          <w:rFonts w:ascii="Arial" w:hAnsi="Arial" w:cs="Arial"/>
        </w:rPr>
        <w:t xml:space="preserve"> </w:t>
      </w:r>
      <w:r w:rsidR="008F6AF9" w:rsidRPr="0085657D">
        <w:rPr>
          <w:rFonts w:ascii="Arial" w:hAnsi="Arial" w:cs="Arial"/>
        </w:rPr>
        <w:t>Obezb</w:t>
      </w:r>
      <w:r w:rsidR="0088368D" w:rsidRPr="0085657D">
        <w:rPr>
          <w:rFonts w:ascii="Arial" w:hAnsi="Arial" w:cs="Arial"/>
        </w:rPr>
        <w:t>jeđivanje</w:t>
      </w:r>
      <w:r w:rsidR="008F6AF9" w:rsidRPr="0085657D">
        <w:rPr>
          <w:rFonts w:ascii="Arial" w:hAnsi="Arial" w:cs="Arial"/>
        </w:rPr>
        <w:t xml:space="preserve"> zaštit</w:t>
      </w:r>
      <w:r w:rsidR="0088368D" w:rsidRPr="0085657D">
        <w:rPr>
          <w:rFonts w:ascii="Arial" w:hAnsi="Arial" w:cs="Arial"/>
        </w:rPr>
        <w:t>e</w:t>
      </w:r>
      <w:r w:rsidR="008F6AF9" w:rsidRPr="0085657D">
        <w:rPr>
          <w:rFonts w:ascii="Arial" w:hAnsi="Arial" w:cs="Arial"/>
        </w:rPr>
        <w:t xml:space="preserve"> prava žrtava u Crnoj Gori u skladu sa relevantnim međunarodnim </w:t>
      </w:r>
      <w:r w:rsidR="0088368D" w:rsidRPr="0085657D">
        <w:rPr>
          <w:rFonts w:ascii="Arial" w:hAnsi="Arial" w:cs="Arial"/>
        </w:rPr>
        <w:t>standardima</w:t>
      </w:r>
      <w:r w:rsidR="008F6AF9" w:rsidRPr="0085657D">
        <w:rPr>
          <w:rFonts w:ascii="Arial" w:hAnsi="Arial" w:cs="Arial"/>
        </w:rPr>
        <w:t>.</w:t>
      </w:r>
    </w:p>
    <w:p w14:paraId="2E7BCF2A" w14:textId="77777777" w:rsidR="005414F1" w:rsidRPr="0085657D" w:rsidRDefault="005414F1" w:rsidP="005414F1">
      <w:pPr>
        <w:rPr>
          <w:rFonts w:ascii="Arial" w:hAnsi="Arial" w:cs="Arial"/>
        </w:rPr>
      </w:pPr>
      <w:r w:rsidRPr="0085657D">
        <w:rPr>
          <w:rFonts w:ascii="Arial" w:hAnsi="Arial" w:cs="Arial"/>
        </w:rPr>
        <w:t>Nadalje, Strategija počiva na</w:t>
      </w:r>
      <w:r w:rsidR="00FF2D2B" w:rsidRPr="0085657D">
        <w:rPr>
          <w:rFonts w:ascii="Arial" w:hAnsi="Arial" w:cs="Arial"/>
        </w:rPr>
        <w:t xml:space="preserve"> </w:t>
      </w:r>
      <w:r w:rsidR="00FF2D2B" w:rsidRPr="0085657D">
        <w:rPr>
          <w:rFonts w:ascii="Arial" w:hAnsi="Arial" w:cs="Arial"/>
          <w:b/>
          <w:bCs/>
        </w:rPr>
        <w:t>pet</w:t>
      </w:r>
      <w:r w:rsidRPr="0085657D">
        <w:rPr>
          <w:rFonts w:ascii="Arial" w:hAnsi="Arial" w:cs="Arial"/>
          <w:b/>
          <w:bCs/>
        </w:rPr>
        <w:t xml:space="preserve"> posebn</w:t>
      </w:r>
      <w:r w:rsidR="00FF2D2B" w:rsidRPr="0085657D">
        <w:rPr>
          <w:rFonts w:ascii="Arial" w:hAnsi="Arial" w:cs="Arial"/>
          <w:b/>
          <w:bCs/>
        </w:rPr>
        <w:t>ih</w:t>
      </w:r>
      <w:r w:rsidRPr="0085657D">
        <w:rPr>
          <w:rFonts w:ascii="Arial" w:hAnsi="Arial" w:cs="Arial"/>
          <w:b/>
          <w:bCs/>
        </w:rPr>
        <w:t xml:space="preserve"> stratešk</w:t>
      </w:r>
      <w:r w:rsidR="00FF2D2B" w:rsidRPr="0085657D">
        <w:rPr>
          <w:rFonts w:ascii="Arial" w:hAnsi="Arial" w:cs="Arial"/>
          <w:b/>
          <w:bCs/>
        </w:rPr>
        <w:t>ih</w:t>
      </w:r>
      <w:r w:rsidRPr="0085657D">
        <w:rPr>
          <w:rFonts w:ascii="Arial" w:hAnsi="Arial" w:cs="Arial"/>
          <w:b/>
          <w:bCs/>
        </w:rPr>
        <w:t xml:space="preserve"> cilj</w:t>
      </w:r>
      <w:r w:rsidR="00FF2D2B" w:rsidRPr="0085657D">
        <w:rPr>
          <w:rFonts w:ascii="Arial" w:hAnsi="Arial" w:cs="Arial"/>
          <w:b/>
          <w:bCs/>
        </w:rPr>
        <w:t>eva</w:t>
      </w:r>
      <w:r w:rsidRPr="0085657D">
        <w:rPr>
          <w:rFonts w:ascii="Arial" w:hAnsi="Arial" w:cs="Arial"/>
        </w:rPr>
        <w:t xml:space="preserve"> koji se oslanjaju na viziju i opšti cilj Strategije.</w:t>
      </w:r>
    </w:p>
    <w:p w14:paraId="5EC74EA8" w14:textId="5A2D6951" w:rsidR="005414F1" w:rsidRDefault="005414F1" w:rsidP="009B4DB3">
      <w:pPr>
        <w:rPr>
          <w:rFonts w:ascii="Arial" w:hAnsi="Arial" w:cs="Arial"/>
        </w:rPr>
      </w:pPr>
      <w:r w:rsidRPr="0085657D">
        <w:rPr>
          <w:rFonts w:ascii="Arial" w:hAnsi="Arial" w:cs="Arial"/>
        </w:rPr>
        <w:t xml:space="preserve">Navedeni strateški ciljevi će se realizovati kroz </w:t>
      </w:r>
      <w:r w:rsidR="00757CF9" w:rsidRPr="0085657D">
        <w:rPr>
          <w:rFonts w:ascii="Arial" w:hAnsi="Arial" w:cs="Arial"/>
          <w:b/>
          <w:bCs/>
          <w:highlight w:val="yellow"/>
        </w:rPr>
        <w:t>xx</w:t>
      </w:r>
      <w:r w:rsidR="00757CF9" w:rsidRPr="0085657D">
        <w:rPr>
          <w:rFonts w:ascii="Arial" w:hAnsi="Arial" w:cs="Arial"/>
          <w:b/>
          <w:bCs/>
        </w:rPr>
        <w:t xml:space="preserve"> </w:t>
      </w:r>
      <w:r w:rsidRPr="0085657D">
        <w:rPr>
          <w:rFonts w:ascii="Arial" w:hAnsi="Arial" w:cs="Arial"/>
          <w:b/>
          <w:bCs/>
        </w:rPr>
        <w:t>operativna cilja</w:t>
      </w:r>
      <w:r w:rsidRPr="0085657D">
        <w:rPr>
          <w:rFonts w:ascii="Arial" w:hAnsi="Arial" w:cs="Arial"/>
        </w:rPr>
        <w:t>, uvažavajući napredak postignut u periodu sprovođenja prethodnog strateškog dokumenta, kao i aktuelne izazove.</w:t>
      </w:r>
    </w:p>
    <w:p w14:paraId="1B2E1D9F" w14:textId="77777777" w:rsidR="00DC22F2" w:rsidRPr="0085657D" w:rsidRDefault="00DC22F2" w:rsidP="009B4DB3">
      <w:pPr>
        <w:rPr>
          <w:rFonts w:ascii="Arial" w:hAnsi="Arial" w:cs="Arial"/>
        </w:rPr>
      </w:pPr>
    </w:p>
    <w:p w14:paraId="1F21590D" w14:textId="77777777" w:rsidR="005414F1" w:rsidRPr="0085657D" w:rsidRDefault="005414F1" w:rsidP="005414F1">
      <w:pPr>
        <w:jc w:val="center"/>
        <w:rPr>
          <w:rFonts w:ascii="Arial" w:hAnsi="Arial" w:cs="Arial"/>
          <w:i/>
          <w:iCs/>
        </w:rPr>
      </w:pPr>
      <w:r w:rsidRPr="0085657D">
        <w:rPr>
          <w:rFonts w:ascii="Arial" w:hAnsi="Arial" w:cs="Arial"/>
          <w:i/>
          <w:iCs/>
        </w:rPr>
        <w:lastRenderedPageBreak/>
        <w:t>Tabela 1: Vizija i strateški ciljevi Strategije</w:t>
      </w:r>
    </w:p>
    <w:p w14:paraId="34395B28" w14:textId="77777777" w:rsidR="001A6C45" w:rsidRDefault="001A6C45" w:rsidP="00A07B1D">
      <w:pPr>
        <w:spacing w:before="240" w:line="276" w:lineRule="auto"/>
        <w:rPr>
          <w:rFonts w:ascii="Arial" w:hAnsi="Arial" w:cs="Arial"/>
        </w:rPr>
      </w:pPr>
    </w:p>
    <w:tbl>
      <w:tblPr>
        <w:tblStyle w:val="TableGrid"/>
        <w:tblW w:w="0" w:type="auto"/>
        <w:tblLook w:val="04A0" w:firstRow="1" w:lastRow="0" w:firstColumn="1" w:lastColumn="0" w:noHBand="0" w:noVBand="1"/>
      </w:tblPr>
      <w:tblGrid>
        <w:gridCol w:w="3116"/>
        <w:gridCol w:w="1559"/>
        <w:gridCol w:w="1558"/>
        <w:gridCol w:w="3117"/>
      </w:tblGrid>
      <w:tr w:rsidR="001A6C45" w:rsidRPr="0037368D" w14:paraId="35C20AAB" w14:textId="77777777" w:rsidTr="00F76631">
        <w:tc>
          <w:tcPr>
            <w:tcW w:w="9350" w:type="dxa"/>
            <w:gridSpan w:val="4"/>
            <w:shd w:val="clear" w:color="auto" w:fill="0F4761" w:themeFill="accent1" w:themeFillShade="BF"/>
          </w:tcPr>
          <w:p w14:paraId="291C1799" w14:textId="77777777" w:rsidR="001A6C45" w:rsidRPr="0037368D" w:rsidRDefault="001A6C45" w:rsidP="00F76631">
            <w:pPr>
              <w:jc w:val="center"/>
              <w:rPr>
                <w:b/>
                <w:bCs/>
              </w:rPr>
            </w:pPr>
            <w:r w:rsidRPr="0037368D">
              <w:rPr>
                <w:b/>
                <w:bCs/>
                <w:color w:val="FFFFFF" w:themeColor="background1"/>
              </w:rPr>
              <w:t>Vizija Strategije</w:t>
            </w:r>
          </w:p>
        </w:tc>
      </w:tr>
      <w:tr w:rsidR="001A6C45" w:rsidRPr="0037368D" w14:paraId="1C0E3055" w14:textId="77777777" w:rsidTr="00F76631">
        <w:tc>
          <w:tcPr>
            <w:tcW w:w="9350" w:type="dxa"/>
            <w:gridSpan w:val="4"/>
          </w:tcPr>
          <w:p w14:paraId="702023E6" w14:textId="77727A36" w:rsidR="001A6C45" w:rsidRPr="0037368D" w:rsidRDefault="001A6C45" w:rsidP="00F76631">
            <w:r w:rsidRPr="0037368D">
              <w:t>Pravni i institucionalni sistem u kojem su obezb</w:t>
            </w:r>
            <w:r w:rsidR="00C676A9">
              <w:t>i</w:t>
            </w:r>
            <w:r w:rsidRPr="0037368D">
              <w:t>jeđeni pristup pravdi, podrška i zaštita žrtva, kao i društveni ambijent u kojem su žrtve prepoznate i prema njima se ophodi uz uvažavanje njihove dobrobiti i dostojanstva.</w:t>
            </w:r>
          </w:p>
        </w:tc>
      </w:tr>
      <w:tr w:rsidR="001A6C45" w:rsidRPr="0037368D" w14:paraId="0E012CE7" w14:textId="77777777" w:rsidTr="00F76631">
        <w:tc>
          <w:tcPr>
            <w:tcW w:w="9350" w:type="dxa"/>
            <w:gridSpan w:val="4"/>
            <w:shd w:val="clear" w:color="auto" w:fill="83CAEB" w:themeFill="accent1" w:themeFillTint="66"/>
          </w:tcPr>
          <w:p w14:paraId="6760F76E" w14:textId="77777777" w:rsidR="001A6C45" w:rsidRPr="0037368D" w:rsidRDefault="001A6C45" w:rsidP="00F76631">
            <w:pPr>
              <w:jc w:val="center"/>
              <w:rPr>
                <w:b/>
                <w:bCs/>
              </w:rPr>
            </w:pPr>
            <w:r w:rsidRPr="0037368D">
              <w:rPr>
                <w:b/>
                <w:bCs/>
              </w:rPr>
              <w:t>Opšti cilj Strategije</w:t>
            </w:r>
          </w:p>
        </w:tc>
      </w:tr>
      <w:tr w:rsidR="001A6C45" w:rsidRPr="0037368D" w14:paraId="312A33D5" w14:textId="77777777" w:rsidTr="00F76631">
        <w:tc>
          <w:tcPr>
            <w:tcW w:w="9350" w:type="dxa"/>
            <w:gridSpan w:val="4"/>
          </w:tcPr>
          <w:p w14:paraId="5E2449A5" w14:textId="77777777" w:rsidR="001A6C45" w:rsidRPr="0037368D" w:rsidRDefault="001A6C45" w:rsidP="00F76631">
            <w:r w:rsidRPr="0037368D">
              <w:t>Obezbjeđivanje zaštite prava žrtava u Crnoj Gori u skladu sa relevantnim međunarodnim standardima.</w:t>
            </w:r>
          </w:p>
        </w:tc>
      </w:tr>
      <w:tr w:rsidR="001A6C45" w:rsidRPr="0037368D" w14:paraId="497AB630" w14:textId="77777777" w:rsidTr="00F76631">
        <w:tc>
          <w:tcPr>
            <w:tcW w:w="3116" w:type="dxa"/>
            <w:shd w:val="clear" w:color="auto" w:fill="DAE9F7" w:themeFill="text2" w:themeFillTint="1A"/>
          </w:tcPr>
          <w:p w14:paraId="3B1333A4" w14:textId="77777777" w:rsidR="001A6C45" w:rsidRPr="0037368D" w:rsidRDefault="001A6C45" w:rsidP="00F76631">
            <w:pPr>
              <w:jc w:val="center"/>
              <w:rPr>
                <w:b/>
                <w:bCs/>
              </w:rPr>
            </w:pPr>
            <w:r w:rsidRPr="0037368D">
              <w:rPr>
                <w:b/>
                <w:bCs/>
              </w:rPr>
              <w:t>Strateški cilj 1</w:t>
            </w:r>
          </w:p>
        </w:tc>
        <w:tc>
          <w:tcPr>
            <w:tcW w:w="3117" w:type="dxa"/>
            <w:gridSpan w:val="2"/>
            <w:shd w:val="clear" w:color="auto" w:fill="DAE9F7" w:themeFill="text2" w:themeFillTint="1A"/>
          </w:tcPr>
          <w:p w14:paraId="6AB0FC6F" w14:textId="77777777" w:rsidR="001A6C45" w:rsidRPr="0037368D" w:rsidRDefault="001A6C45" w:rsidP="00F76631">
            <w:pPr>
              <w:jc w:val="center"/>
              <w:rPr>
                <w:b/>
                <w:bCs/>
              </w:rPr>
            </w:pPr>
            <w:r w:rsidRPr="0037368D">
              <w:rPr>
                <w:b/>
                <w:bCs/>
              </w:rPr>
              <w:t>Strateški cilj 2</w:t>
            </w:r>
          </w:p>
        </w:tc>
        <w:tc>
          <w:tcPr>
            <w:tcW w:w="3117" w:type="dxa"/>
            <w:shd w:val="clear" w:color="auto" w:fill="DAE9F7" w:themeFill="text2" w:themeFillTint="1A"/>
          </w:tcPr>
          <w:p w14:paraId="22D110B5" w14:textId="77777777" w:rsidR="001A6C45" w:rsidRPr="0037368D" w:rsidRDefault="001A6C45" w:rsidP="00F76631">
            <w:pPr>
              <w:jc w:val="center"/>
              <w:rPr>
                <w:b/>
                <w:bCs/>
              </w:rPr>
            </w:pPr>
            <w:r w:rsidRPr="0037368D">
              <w:rPr>
                <w:b/>
                <w:bCs/>
              </w:rPr>
              <w:t>Strateški cilj 3</w:t>
            </w:r>
          </w:p>
        </w:tc>
      </w:tr>
      <w:tr w:rsidR="001A6C45" w:rsidRPr="0037368D" w14:paraId="60DC39F9" w14:textId="77777777" w:rsidTr="00F76631">
        <w:tc>
          <w:tcPr>
            <w:tcW w:w="3116" w:type="dxa"/>
          </w:tcPr>
          <w:p w14:paraId="03AC1F64" w14:textId="77777777" w:rsidR="001A6C45" w:rsidRPr="0037368D" w:rsidRDefault="001A6C45" w:rsidP="00F76631">
            <w:r w:rsidRPr="0037368D">
              <w:t>Usklađivanje normativnog okvira sa relevantnim međunarodnim standardima u oblasti zaštite prava žrtava</w:t>
            </w:r>
          </w:p>
        </w:tc>
        <w:tc>
          <w:tcPr>
            <w:tcW w:w="3117" w:type="dxa"/>
            <w:gridSpan w:val="2"/>
          </w:tcPr>
          <w:p w14:paraId="7D3CEB88" w14:textId="406DE826" w:rsidR="001A6C45" w:rsidRPr="0037368D" w:rsidRDefault="001A6C45" w:rsidP="00F76631">
            <w:r w:rsidRPr="0037368D">
              <w:t>Unapređenje mehanizama za informisanje i podršku žrtvama</w:t>
            </w:r>
            <w:r w:rsidR="00AC7BF5">
              <w:t xml:space="preserve"> u krivičnom postupku</w:t>
            </w:r>
          </w:p>
          <w:p w14:paraId="2524C70E" w14:textId="77777777" w:rsidR="001A6C45" w:rsidRPr="0037368D" w:rsidRDefault="001A6C45" w:rsidP="00F76631">
            <w:pPr>
              <w:jc w:val="center"/>
              <w:rPr>
                <w:b/>
                <w:bCs/>
              </w:rPr>
            </w:pPr>
          </w:p>
        </w:tc>
        <w:tc>
          <w:tcPr>
            <w:tcW w:w="3117" w:type="dxa"/>
          </w:tcPr>
          <w:p w14:paraId="0EF5274D" w14:textId="3DB22162" w:rsidR="001A6C45" w:rsidRPr="0037368D" w:rsidRDefault="001A6C45" w:rsidP="00F76631">
            <w:r w:rsidRPr="0037368D">
              <w:t>Unapređenje</w:t>
            </w:r>
            <w:r w:rsidR="00FB6C1C">
              <w:t xml:space="preserve"> </w:t>
            </w:r>
            <w:r w:rsidRPr="0037368D">
              <w:t>mehanizama procesne zaštite žrtava</w:t>
            </w:r>
          </w:p>
          <w:p w14:paraId="6DF165D3" w14:textId="77777777" w:rsidR="001A6C45" w:rsidRPr="0037368D" w:rsidRDefault="001A6C45" w:rsidP="00F76631">
            <w:pPr>
              <w:jc w:val="center"/>
            </w:pPr>
          </w:p>
        </w:tc>
      </w:tr>
      <w:tr w:rsidR="001A6C45" w:rsidRPr="0037368D" w14:paraId="1999D1B6" w14:textId="77777777" w:rsidTr="00F76631">
        <w:tc>
          <w:tcPr>
            <w:tcW w:w="4675" w:type="dxa"/>
            <w:gridSpan w:val="2"/>
            <w:shd w:val="clear" w:color="auto" w:fill="DAE9F7" w:themeFill="text2" w:themeFillTint="1A"/>
          </w:tcPr>
          <w:p w14:paraId="7BA8FC11" w14:textId="77777777" w:rsidR="001A6C45" w:rsidRPr="0037368D" w:rsidRDefault="001A6C45" w:rsidP="00F76631">
            <w:pPr>
              <w:jc w:val="center"/>
            </w:pPr>
            <w:r w:rsidRPr="0037368D">
              <w:rPr>
                <w:b/>
                <w:bCs/>
              </w:rPr>
              <w:t>Strateški cilj 4</w:t>
            </w:r>
          </w:p>
        </w:tc>
        <w:tc>
          <w:tcPr>
            <w:tcW w:w="4675" w:type="dxa"/>
            <w:gridSpan w:val="2"/>
            <w:shd w:val="clear" w:color="auto" w:fill="DAE9F7" w:themeFill="text2" w:themeFillTint="1A"/>
          </w:tcPr>
          <w:p w14:paraId="1CDB069F" w14:textId="77777777" w:rsidR="001A6C45" w:rsidRPr="0037368D" w:rsidRDefault="001A6C45" w:rsidP="00F76631">
            <w:pPr>
              <w:jc w:val="center"/>
            </w:pPr>
            <w:r w:rsidRPr="0037368D">
              <w:rPr>
                <w:b/>
                <w:bCs/>
              </w:rPr>
              <w:t>Strateški cilj 5</w:t>
            </w:r>
          </w:p>
        </w:tc>
      </w:tr>
      <w:tr w:rsidR="001A6C45" w:rsidRPr="0037368D" w14:paraId="0E537AD9" w14:textId="77777777" w:rsidTr="00F76631">
        <w:tc>
          <w:tcPr>
            <w:tcW w:w="4675" w:type="dxa"/>
            <w:gridSpan w:val="2"/>
          </w:tcPr>
          <w:p w14:paraId="3D0F05B0" w14:textId="75B76F6F" w:rsidR="001A6C45" w:rsidRPr="0037368D" w:rsidRDefault="001A6C45" w:rsidP="00F76631">
            <w:pPr>
              <w:rPr>
                <w:highlight w:val="yellow"/>
              </w:rPr>
            </w:pPr>
            <w:r w:rsidRPr="0037368D">
              <w:t>Unapređenje pristupa pravdi za žrtve</w:t>
            </w:r>
          </w:p>
        </w:tc>
        <w:tc>
          <w:tcPr>
            <w:tcW w:w="4675" w:type="dxa"/>
            <w:gridSpan w:val="2"/>
          </w:tcPr>
          <w:p w14:paraId="045A1139" w14:textId="536FD7EA" w:rsidR="001A6C45" w:rsidRPr="0037368D" w:rsidRDefault="001A6C45" w:rsidP="00F76631">
            <w:r w:rsidRPr="0037368D">
              <w:t>Unapređenje stručnih kapaciteta u oblasti zaštite prava žrtava i podizanje svijesti o pravima žrtava</w:t>
            </w:r>
          </w:p>
        </w:tc>
      </w:tr>
    </w:tbl>
    <w:p w14:paraId="798805B4" w14:textId="307FDC76" w:rsidR="005414F1" w:rsidRPr="0085657D" w:rsidRDefault="005414F1" w:rsidP="00A07B1D">
      <w:pPr>
        <w:spacing w:before="240" w:line="276" w:lineRule="auto"/>
        <w:rPr>
          <w:rFonts w:ascii="Arial" w:hAnsi="Arial" w:cs="Arial"/>
        </w:rPr>
      </w:pPr>
      <w:r w:rsidRPr="0085657D">
        <w:rPr>
          <w:rFonts w:ascii="Arial" w:hAnsi="Arial" w:cs="Arial"/>
        </w:rPr>
        <w:t>Za svaki hijerarhijski nivo ciljeva, definisani su odgovarajući indikatori uspjeha sa početnim i ciljnim vrijednostima na polovini perioda sprovođenja Strategije, kao i u završnoj godini. Konkretnije, za strateške ciljeve se definišu indikatori uticaja (</w:t>
      </w:r>
      <w:r w:rsidRPr="0085657D">
        <w:rPr>
          <w:rFonts w:ascii="Arial" w:hAnsi="Arial" w:cs="Arial"/>
          <w:i/>
          <w:iCs/>
        </w:rPr>
        <w:t>impact indicators</w:t>
      </w:r>
      <w:r w:rsidRPr="0085657D">
        <w:rPr>
          <w:rFonts w:ascii="Arial" w:hAnsi="Arial" w:cs="Arial"/>
        </w:rPr>
        <w:t>), a za operativne ciljeve, indikator učinka (</w:t>
      </w:r>
      <w:r w:rsidRPr="0085657D">
        <w:rPr>
          <w:rFonts w:ascii="Arial" w:hAnsi="Arial" w:cs="Arial"/>
          <w:i/>
          <w:iCs/>
        </w:rPr>
        <w:t>outcome indicators</w:t>
      </w:r>
      <w:r w:rsidRPr="0085657D">
        <w:rPr>
          <w:rFonts w:ascii="Arial" w:hAnsi="Arial" w:cs="Arial"/>
        </w:rPr>
        <w:t>). Dodatno, za konkretne aktivnosti na sprovođenju Strategije definisani su indikatori rezultata (</w:t>
      </w:r>
      <w:r w:rsidRPr="0085657D">
        <w:rPr>
          <w:rFonts w:ascii="Arial" w:hAnsi="Arial" w:cs="Arial"/>
          <w:i/>
          <w:iCs/>
        </w:rPr>
        <w:t>result indicators</w:t>
      </w:r>
      <w:r w:rsidRPr="0085657D">
        <w:rPr>
          <w:rFonts w:ascii="Arial" w:hAnsi="Arial" w:cs="Arial"/>
        </w:rPr>
        <w:t>) u sklopu Akcionog plana.</w:t>
      </w:r>
    </w:p>
    <w:p w14:paraId="7AB1743D" w14:textId="713EC7BD" w:rsidR="00757CF9" w:rsidRDefault="005414F1" w:rsidP="003D3135">
      <w:pPr>
        <w:spacing w:before="240" w:after="0" w:line="276" w:lineRule="auto"/>
        <w:rPr>
          <w:rFonts w:ascii="Arial" w:hAnsi="Arial" w:cs="Arial"/>
        </w:rPr>
      </w:pPr>
      <w:r w:rsidRPr="0085657D">
        <w:rPr>
          <w:rFonts w:ascii="Arial" w:hAnsi="Arial" w:cs="Arial"/>
        </w:rPr>
        <w:t>Dakle, vizija razvoja pravosuđa Crne Gore i strateški ciljevi koji su definisani, daju odgovor na rješenje ključnog problema, dok su uzroci problema pretočeni u operativne ciljeve koji zapravo predstavljaju odgovor na pitanje kroz koje aktivnosti je moguće doći do unapređenja stanja u periodu 202</w:t>
      </w:r>
      <w:r w:rsidR="00757CF9" w:rsidRPr="0085657D">
        <w:rPr>
          <w:rFonts w:ascii="Arial" w:hAnsi="Arial" w:cs="Arial"/>
        </w:rPr>
        <w:t>5</w:t>
      </w:r>
      <w:r w:rsidRPr="0085657D">
        <w:rPr>
          <w:rFonts w:ascii="Arial" w:hAnsi="Arial" w:cs="Arial"/>
        </w:rPr>
        <w:t>-202</w:t>
      </w:r>
      <w:r w:rsidR="005839B9">
        <w:rPr>
          <w:rFonts w:ascii="Arial" w:hAnsi="Arial" w:cs="Arial"/>
        </w:rPr>
        <w:t>9</w:t>
      </w:r>
      <w:r w:rsidRPr="0085657D">
        <w:rPr>
          <w:rFonts w:ascii="Arial" w:hAnsi="Arial" w:cs="Arial"/>
        </w:rPr>
        <w:t>. godine</w:t>
      </w:r>
      <w:r w:rsidR="003D3135">
        <w:rPr>
          <w:rFonts w:ascii="Arial" w:hAnsi="Arial" w:cs="Arial"/>
        </w:rPr>
        <w:t>.</w:t>
      </w:r>
    </w:p>
    <w:p w14:paraId="770C7965" w14:textId="77777777" w:rsidR="003D3135" w:rsidRPr="0085657D" w:rsidRDefault="003D3135" w:rsidP="003D3135">
      <w:pPr>
        <w:spacing w:before="240" w:after="0" w:line="276" w:lineRule="auto"/>
        <w:rPr>
          <w:rFonts w:ascii="Arial" w:hAnsi="Arial" w:cs="Arial"/>
        </w:rPr>
      </w:pPr>
    </w:p>
    <w:p w14:paraId="04C5387B" w14:textId="57753A53" w:rsidR="005414F1" w:rsidRPr="0085657D" w:rsidRDefault="00346B64" w:rsidP="00A70606">
      <w:pPr>
        <w:pStyle w:val="Heading2"/>
        <w:spacing w:before="0" w:after="240"/>
        <w:jc w:val="left"/>
        <w:rPr>
          <w:rFonts w:ascii="Arial" w:hAnsi="Arial" w:cs="Arial"/>
          <w:sz w:val="22"/>
          <w:szCs w:val="22"/>
        </w:rPr>
      </w:pPr>
      <w:bookmarkStart w:id="58" w:name="_Toc208489206"/>
      <w:r w:rsidRPr="0085657D">
        <w:rPr>
          <w:rFonts w:ascii="Arial" w:hAnsi="Arial" w:cs="Arial"/>
          <w:sz w:val="22"/>
          <w:szCs w:val="22"/>
        </w:rPr>
        <w:t>Strateški cilj 1</w:t>
      </w:r>
      <w:r w:rsidR="00AB3E75" w:rsidRPr="0085657D">
        <w:rPr>
          <w:rFonts w:ascii="Arial" w:hAnsi="Arial" w:cs="Arial"/>
          <w:sz w:val="22"/>
          <w:szCs w:val="22"/>
        </w:rPr>
        <w:t>: Usklađivanje normativnog okvira</w:t>
      </w:r>
      <w:r w:rsidR="00107F0E" w:rsidRPr="0085657D">
        <w:rPr>
          <w:rFonts w:ascii="Arial" w:hAnsi="Arial" w:cs="Arial"/>
          <w:sz w:val="22"/>
          <w:szCs w:val="22"/>
        </w:rPr>
        <w:t xml:space="preserve"> </w:t>
      </w:r>
      <w:r w:rsidR="00AB3E75" w:rsidRPr="0085657D">
        <w:rPr>
          <w:rFonts w:ascii="Arial" w:hAnsi="Arial" w:cs="Arial"/>
          <w:sz w:val="22"/>
          <w:szCs w:val="22"/>
        </w:rPr>
        <w:t>sa relevantnim međunarodnim standardima u oblasti zaštite prava žrtava</w:t>
      </w:r>
      <w:bookmarkEnd w:id="58"/>
    </w:p>
    <w:p w14:paraId="1D1484F4" w14:textId="77777777" w:rsidR="005414F1" w:rsidRPr="0085657D" w:rsidRDefault="005414F1" w:rsidP="005414F1">
      <w:pPr>
        <w:rPr>
          <w:rFonts w:ascii="Arial" w:hAnsi="Arial" w:cs="Arial"/>
        </w:rPr>
      </w:pPr>
      <w:r w:rsidRPr="0085657D">
        <w:rPr>
          <w:rFonts w:ascii="Arial" w:hAnsi="Arial" w:cs="Arial"/>
        </w:rPr>
        <w:t>Analizom trenutnog stanja i uočavanjem ključnih problema definisan je strateški cilj 1 kao i set operativnih ciljeva za dostizanje tog strateškog cilja.</w:t>
      </w:r>
    </w:p>
    <w:p w14:paraId="6E5D05C8" w14:textId="0A431C78" w:rsidR="00C47459" w:rsidRDefault="005414F1" w:rsidP="005414F1">
      <w:pPr>
        <w:rPr>
          <w:rFonts w:ascii="Arial" w:hAnsi="Arial" w:cs="Arial"/>
        </w:rPr>
      </w:pPr>
      <w:r w:rsidRPr="0085657D">
        <w:rPr>
          <w:rFonts w:ascii="Arial" w:hAnsi="Arial" w:cs="Arial"/>
        </w:rPr>
        <w:t>Napredak ostvaren u pogledu dostizanja Strateškog cilja 1 biće mjeren putem seta pokazatelja (indikatora) uticaja.</w:t>
      </w:r>
    </w:p>
    <w:p w14:paraId="4FD8F8F6" w14:textId="01C5C117" w:rsidR="00C47459" w:rsidRDefault="00C47459" w:rsidP="005414F1">
      <w:pPr>
        <w:rPr>
          <w:rFonts w:ascii="Arial" w:hAnsi="Arial" w:cs="Arial"/>
        </w:rPr>
      </w:pPr>
    </w:p>
    <w:p w14:paraId="1A8D45F1" w14:textId="38C101B0" w:rsidR="00583077" w:rsidRDefault="00583077" w:rsidP="005414F1">
      <w:pPr>
        <w:rPr>
          <w:rFonts w:ascii="Arial" w:hAnsi="Arial" w:cs="Arial"/>
        </w:rPr>
      </w:pPr>
    </w:p>
    <w:p w14:paraId="5F6A8893" w14:textId="15066A70" w:rsidR="00583077" w:rsidRDefault="00583077" w:rsidP="005414F1">
      <w:pPr>
        <w:rPr>
          <w:rFonts w:ascii="Arial" w:hAnsi="Arial" w:cs="Arial"/>
        </w:rPr>
      </w:pPr>
    </w:p>
    <w:p w14:paraId="322E07E8" w14:textId="2AF2121E" w:rsidR="00583077" w:rsidRDefault="00583077" w:rsidP="005414F1">
      <w:pPr>
        <w:rPr>
          <w:rFonts w:ascii="Arial" w:hAnsi="Arial" w:cs="Arial"/>
        </w:rPr>
      </w:pPr>
    </w:p>
    <w:p w14:paraId="23ADE3A3" w14:textId="6102BCC7" w:rsidR="00583077" w:rsidRDefault="00583077" w:rsidP="005414F1">
      <w:pPr>
        <w:rPr>
          <w:rFonts w:ascii="Arial" w:hAnsi="Arial" w:cs="Arial"/>
        </w:rPr>
      </w:pPr>
    </w:p>
    <w:p w14:paraId="411112F5" w14:textId="77777777" w:rsidR="00583077" w:rsidRPr="0085657D" w:rsidRDefault="00583077" w:rsidP="005414F1">
      <w:pPr>
        <w:rPr>
          <w:rFonts w:ascii="Arial" w:hAnsi="Arial" w:cs="Arial"/>
        </w:rPr>
      </w:pPr>
    </w:p>
    <w:p w14:paraId="424B4C52" w14:textId="77777777" w:rsidR="005414F1" w:rsidRPr="0085657D" w:rsidRDefault="005414F1" w:rsidP="005414F1">
      <w:pPr>
        <w:jc w:val="center"/>
        <w:rPr>
          <w:rFonts w:ascii="Arial" w:hAnsi="Arial" w:cs="Arial"/>
        </w:rPr>
      </w:pPr>
      <w:r w:rsidRPr="0085657D">
        <w:rPr>
          <w:rFonts w:ascii="Arial" w:hAnsi="Arial" w:cs="Arial"/>
          <w:i/>
          <w:iCs/>
        </w:rPr>
        <w:lastRenderedPageBreak/>
        <w:t>Tabela 2: Operativni ciljevi u okviru Strateškog cilja 1</w:t>
      </w:r>
    </w:p>
    <w:tbl>
      <w:tblPr>
        <w:tblStyle w:val="TableGrid"/>
        <w:tblW w:w="5000" w:type="pct"/>
        <w:tblInd w:w="-5" w:type="dxa"/>
        <w:tblLayout w:type="fixed"/>
        <w:tblLook w:val="04A0" w:firstRow="1" w:lastRow="0" w:firstColumn="1" w:lastColumn="0" w:noHBand="0" w:noVBand="1"/>
      </w:tblPr>
      <w:tblGrid>
        <w:gridCol w:w="4203"/>
        <w:gridCol w:w="1541"/>
        <w:gridCol w:w="1541"/>
        <w:gridCol w:w="2055"/>
      </w:tblGrid>
      <w:tr w:rsidR="005414F1" w:rsidRPr="0085657D" w14:paraId="7D6ACB7C" w14:textId="77777777" w:rsidTr="00C47459">
        <w:trPr>
          <w:trHeight w:val="575"/>
        </w:trPr>
        <w:tc>
          <w:tcPr>
            <w:tcW w:w="5000" w:type="pct"/>
            <w:gridSpan w:val="4"/>
            <w:tcBorders>
              <w:top w:val="double" w:sz="4" w:space="0" w:color="auto"/>
              <w:right w:val="double" w:sz="4" w:space="0" w:color="auto"/>
            </w:tcBorders>
            <w:shd w:val="clear" w:color="auto" w:fill="C1E4F5" w:themeFill="accent1" w:themeFillTint="33"/>
          </w:tcPr>
          <w:p w14:paraId="5DBBC399" w14:textId="63CE01A2" w:rsidR="005414F1" w:rsidRPr="0085657D" w:rsidRDefault="005414F1" w:rsidP="00C921B0">
            <w:pPr>
              <w:rPr>
                <w:rFonts w:ascii="Arial" w:hAnsi="Arial" w:cs="Arial"/>
                <w:b/>
                <w:bCs/>
              </w:rPr>
            </w:pPr>
            <w:r w:rsidRPr="0085657D">
              <w:rPr>
                <w:rFonts w:ascii="Arial" w:hAnsi="Arial" w:cs="Arial"/>
                <w:b/>
                <w:bCs/>
              </w:rPr>
              <w:t xml:space="preserve">Strateški cilj 1: </w:t>
            </w:r>
            <w:r w:rsidR="00FD604B" w:rsidRPr="0085657D">
              <w:rPr>
                <w:rFonts w:ascii="Arial" w:hAnsi="Arial" w:cs="Arial"/>
                <w:b/>
                <w:bCs/>
              </w:rPr>
              <w:t>Usklađivanje normativnog okvira sa relevantnim međunarodnim standardima u oblasti zaštite prava žrtava</w:t>
            </w:r>
          </w:p>
          <w:p w14:paraId="074BAE4F" w14:textId="77777777" w:rsidR="005414F1" w:rsidRPr="0085657D" w:rsidRDefault="005414F1" w:rsidP="00C921B0">
            <w:pPr>
              <w:rPr>
                <w:rFonts w:ascii="Arial" w:hAnsi="Arial" w:cs="Arial"/>
              </w:rPr>
            </w:pPr>
          </w:p>
        </w:tc>
      </w:tr>
      <w:tr w:rsidR="005414F1" w:rsidRPr="0085657D" w14:paraId="7AA38B54" w14:textId="77777777" w:rsidTr="00C47459">
        <w:trPr>
          <w:trHeight w:val="575"/>
        </w:trPr>
        <w:tc>
          <w:tcPr>
            <w:tcW w:w="2250" w:type="pct"/>
            <w:tcBorders>
              <w:top w:val="double" w:sz="4" w:space="0" w:color="auto"/>
            </w:tcBorders>
            <w:shd w:val="clear" w:color="auto" w:fill="FAE2D5" w:themeFill="accent2" w:themeFillTint="33"/>
          </w:tcPr>
          <w:p w14:paraId="050D5C7F" w14:textId="77777777" w:rsidR="005414F1" w:rsidRPr="0085657D" w:rsidRDefault="005414F1" w:rsidP="00C921B0">
            <w:pPr>
              <w:rPr>
                <w:rFonts w:ascii="Arial" w:hAnsi="Arial" w:cs="Arial"/>
              </w:rPr>
            </w:pPr>
            <w:r w:rsidRPr="0085657D">
              <w:rPr>
                <w:rFonts w:ascii="Arial" w:hAnsi="Arial" w:cs="Arial"/>
              </w:rPr>
              <w:t>Indikator uticaja</w:t>
            </w:r>
          </w:p>
        </w:tc>
        <w:tc>
          <w:tcPr>
            <w:tcW w:w="825" w:type="pct"/>
            <w:tcBorders>
              <w:top w:val="double" w:sz="4" w:space="0" w:color="auto"/>
            </w:tcBorders>
            <w:shd w:val="clear" w:color="auto" w:fill="FAE2D5" w:themeFill="accent2" w:themeFillTint="33"/>
          </w:tcPr>
          <w:p w14:paraId="6CA21EC5" w14:textId="77777777" w:rsidR="005414F1" w:rsidRPr="0085657D" w:rsidRDefault="005414F1" w:rsidP="00C921B0">
            <w:pPr>
              <w:rPr>
                <w:rFonts w:ascii="Arial" w:hAnsi="Arial" w:cs="Arial"/>
              </w:rPr>
            </w:pPr>
            <w:r w:rsidRPr="0085657D">
              <w:rPr>
                <w:rFonts w:ascii="Arial" w:hAnsi="Arial" w:cs="Arial"/>
              </w:rPr>
              <w:t>Početna vrijednost</w:t>
            </w:r>
          </w:p>
          <w:p w14:paraId="228352F8" w14:textId="77777777" w:rsidR="005414F1" w:rsidRPr="0085657D" w:rsidRDefault="005414F1" w:rsidP="00C921B0">
            <w:pPr>
              <w:rPr>
                <w:rFonts w:ascii="Arial" w:hAnsi="Arial" w:cs="Arial"/>
              </w:rPr>
            </w:pPr>
            <w:r w:rsidRPr="0085657D">
              <w:rPr>
                <w:rFonts w:ascii="Arial" w:hAnsi="Arial" w:cs="Arial"/>
              </w:rPr>
              <w:t>202</w:t>
            </w:r>
            <w:r w:rsidR="00346B64" w:rsidRPr="0085657D">
              <w:rPr>
                <w:rFonts w:ascii="Arial" w:hAnsi="Arial" w:cs="Arial"/>
              </w:rPr>
              <w:t>4</w:t>
            </w:r>
            <w:r w:rsidRPr="0085657D">
              <w:rPr>
                <w:rFonts w:ascii="Arial" w:hAnsi="Arial" w:cs="Arial"/>
              </w:rPr>
              <w:t>.</w:t>
            </w:r>
          </w:p>
        </w:tc>
        <w:tc>
          <w:tcPr>
            <w:tcW w:w="825" w:type="pct"/>
            <w:tcBorders>
              <w:top w:val="double" w:sz="4" w:space="0" w:color="auto"/>
            </w:tcBorders>
            <w:shd w:val="clear" w:color="auto" w:fill="FAE2D5" w:themeFill="accent2" w:themeFillTint="33"/>
          </w:tcPr>
          <w:p w14:paraId="2312C10C" w14:textId="7121A0E7"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100" w:type="pct"/>
            <w:tcBorders>
              <w:top w:val="double" w:sz="4" w:space="0" w:color="auto"/>
              <w:right w:val="double" w:sz="4" w:space="0" w:color="auto"/>
            </w:tcBorders>
            <w:shd w:val="clear" w:color="auto" w:fill="FAE2D5" w:themeFill="accent2" w:themeFillTint="33"/>
          </w:tcPr>
          <w:p w14:paraId="2184B1BE" w14:textId="3226C431"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90DAB" w:rsidRPr="0085657D" w14:paraId="4648EE00" w14:textId="77777777" w:rsidTr="00C47459">
        <w:trPr>
          <w:trHeight w:val="254"/>
        </w:trPr>
        <w:tc>
          <w:tcPr>
            <w:tcW w:w="2250" w:type="pct"/>
            <w:tcBorders>
              <w:top w:val="double" w:sz="4" w:space="0" w:color="auto"/>
              <w:bottom w:val="double" w:sz="4" w:space="0" w:color="auto"/>
            </w:tcBorders>
            <w:shd w:val="clear" w:color="auto" w:fill="FFFFFF" w:themeFill="background1"/>
          </w:tcPr>
          <w:p w14:paraId="6F251664" w14:textId="77777777" w:rsidR="00A90DAB" w:rsidRPr="0085657D" w:rsidRDefault="00A90DAB" w:rsidP="00A90DAB">
            <w:pPr>
              <w:rPr>
                <w:rFonts w:ascii="Arial" w:hAnsi="Arial" w:cs="Arial"/>
              </w:rPr>
            </w:pPr>
            <w:r w:rsidRPr="0085657D">
              <w:rPr>
                <w:rFonts w:ascii="Arial" w:hAnsi="Arial" w:cs="Arial"/>
              </w:rPr>
              <w:t>Propisi u oblasti krivičnog prava usklađeni sa relevantnim međunarodnim standardima u oblasti prava žrtava</w:t>
            </w:r>
          </w:p>
        </w:tc>
        <w:tc>
          <w:tcPr>
            <w:tcW w:w="825" w:type="pct"/>
            <w:tcBorders>
              <w:top w:val="double" w:sz="4" w:space="0" w:color="auto"/>
              <w:bottom w:val="double" w:sz="4" w:space="0" w:color="auto"/>
            </w:tcBorders>
            <w:shd w:val="clear" w:color="auto" w:fill="FFFFFF" w:themeFill="background1"/>
          </w:tcPr>
          <w:p w14:paraId="7CD8E459"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NE</w:t>
            </w:r>
          </w:p>
        </w:tc>
        <w:tc>
          <w:tcPr>
            <w:tcW w:w="825" w:type="pct"/>
            <w:tcBorders>
              <w:top w:val="double" w:sz="4" w:space="0" w:color="auto"/>
              <w:bottom w:val="double" w:sz="4" w:space="0" w:color="auto"/>
            </w:tcBorders>
            <w:shd w:val="clear" w:color="auto" w:fill="FFFFFF" w:themeFill="background1"/>
          </w:tcPr>
          <w:p w14:paraId="27BD2B6F" w14:textId="77777777" w:rsidR="00A90DAB" w:rsidRPr="0085657D" w:rsidRDefault="00A90DAB" w:rsidP="00A90DAB">
            <w:pPr>
              <w:shd w:val="clear" w:color="auto" w:fill="FFFFFF" w:themeFill="background1"/>
              <w:jc w:val="center"/>
              <w:rPr>
                <w:rFonts w:ascii="Arial" w:hAnsi="Arial" w:cs="Arial"/>
                <w:highlight w:val="yellow"/>
              </w:rPr>
            </w:pPr>
            <w:r w:rsidRPr="0085657D">
              <w:rPr>
                <w:rFonts w:ascii="Arial" w:hAnsi="Arial" w:cs="Arial"/>
              </w:rPr>
              <w:t>NE</w:t>
            </w:r>
          </w:p>
        </w:tc>
        <w:tc>
          <w:tcPr>
            <w:tcW w:w="1100" w:type="pct"/>
            <w:tcBorders>
              <w:top w:val="double" w:sz="4" w:space="0" w:color="auto"/>
              <w:bottom w:val="double" w:sz="4" w:space="0" w:color="auto"/>
              <w:right w:val="double" w:sz="4" w:space="0" w:color="auto"/>
            </w:tcBorders>
            <w:shd w:val="clear" w:color="auto" w:fill="FFFFFF" w:themeFill="background1"/>
          </w:tcPr>
          <w:p w14:paraId="1F3819F7"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r>
      <w:tr w:rsidR="00A90DAB" w:rsidRPr="0085657D" w14:paraId="31E8ACBF" w14:textId="77777777" w:rsidTr="00C47459">
        <w:trPr>
          <w:trHeight w:val="254"/>
        </w:trPr>
        <w:tc>
          <w:tcPr>
            <w:tcW w:w="2250" w:type="pct"/>
            <w:tcBorders>
              <w:top w:val="double" w:sz="4" w:space="0" w:color="auto"/>
              <w:bottom w:val="double" w:sz="4" w:space="0" w:color="auto"/>
            </w:tcBorders>
            <w:shd w:val="clear" w:color="auto" w:fill="FFFFFF" w:themeFill="background1"/>
          </w:tcPr>
          <w:p w14:paraId="76DF4499" w14:textId="77777777"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t>Propisi u oblasti građanskog zakonodavstva usklađeni sa relevantnim međunarodnim standardima u oblasti prava žrtava</w:t>
            </w:r>
          </w:p>
        </w:tc>
        <w:tc>
          <w:tcPr>
            <w:tcW w:w="825" w:type="pct"/>
            <w:tcBorders>
              <w:top w:val="double" w:sz="4" w:space="0" w:color="auto"/>
              <w:bottom w:val="double" w:sz="4" w:space="0" w:color="auto"/>
            </w:tcBorders>
            <w:shd w:val="clear" w:color="auto" w:fill="FFFFFF" w:themeFill="background1"/>
          </w:tcPr>
          <w:p w14:paraId="6E57902C"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NE</w:t>
            </w:r>
          </w:p>
        </w:tc>
        <w:tc>
          <w:tcPr>
            <w:tcW w:w="825" w:type="pct"/>
            <w:tcBorders>
              <w:top w:val="double" w:sz="4" w:space="0" w:color="auto"/>
              <w:bottom w:val="double" w:sz="4" w:space="0" w:color="auto"/>
            </w:tcBorders>
            <w:shd w:val="clear" w:color="auto" w:fill="FFFFFF" w:themeFill="background1"/>
          </w:tcPr>
          <w:p w14:paraId="3042EC16" w14:textId="77777777" w:rsidR="00A90DAB" w:rsidRPr="0085657D" w:rsidRDefault="00A90DAB" w:rsidP="00A90DAB">
            <w:pPr>
              <w:shd w:val="clear" w:color="auto" w:fill="FFFFFF" w:themeFill="background1"/>
              <w:jc w:val="center"/>
              <w:rPr>
                <w:rFonts w:ascii="Arial" w:hAnsi="Arial" w:cs="Arial"/>
                <w:highlight w:val="yellow"/>
              </w:rPr>
            </w:pPr>
            <w:r w:rsidRPr="0085657D">
              <w:rPr>
                <w:rFonts w:ascii="Arial" w:hAnsi="Arial" w:cs="Arial"/>
              </w:rPr>
              <w:t>NE</w:t>
            </w:r>
          </w:p>
        </w:tc>
        <w:tc>
          <w:tcPr>
            <w:tcW w:w="1100" w:type="pct"/>
            <w:tcBorders>
              <w:top w:val="double" w:sz="4" w:space="0" w:color="auto"/>
              <w:bottom w:val="double" w:sz="4" w:space="0" w:color="auto"/>
              <w:right w:val="double" w:sz="4" w:space="0" w:color="auto"/>
            </w:tcBorders>
            <w:shd w:val="clear" w:color="auto" w:fill="FFFFFF" w:themeFill="background1"/>
          </w:tcPr>
          <w:p w14:paraId="1267C476"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r>
      <w:tr w:rsidR="00A90DAB" w:rsidRPr="0085657D" w14:paraId="775AC95E" w14:textId="77777777" w:rsidTr="00C47459">
        <w:trPr>
          <w:trHeight w:val="254"/>
        </w:trPr>
        <w:tc>
          <w:tcPr>
            <w:tcW w:w="2250" w:type="pct"/>
            <w:tcBorders>
              <w:top w:val="double" w:sz="4" w:space="0" w:color="auto"/>
              <w:bottom w:val="double" w:sz="4" w:space="0" w:color="auto"/>
            </w:tcBorders>
            <w:shd w:val="clear" w:color="auto" w:fill="FFFFFF" w:themeFill="background1"/>
          </w:tcPr>
          <w:p w14:paraId="4637F8F9" w14:textId="77777777"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t>Propisi u oblasti socijalne zaštite usklađeni sa relevantnim međunarodnim standardima o zaštiti prava žrtava</w:t>
            </w:r>
          </w:p>
        </w:tc>
        <w:tc>
          <w:tcPr>
            <w:tcW w:w="825" w:type="pct"/>
            <w:tcBorders>
              <w:top w:val="double" w:sz="4" w:space="0" w:color="auto"/>
              <w:bottom w:val="double" w:sz="4" w:space="0" w:color="auto"/>
            </w:tcBorders>
            <w:shd w:val="clear" w:color="auto" w:fill="FFFFFF" w:themeFill="background1"/>
          </w:tcPr>
          <w:p w14:paraId="6C573D46"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NE</w:t>
            </w:r>
          </w:p>
        </w:tc>
        <w:tc>
          <w:tcPr>
            <w:tcW w:w="825" w:type="pct"/>
            <w:tcBorders>
              <w:top w:val="double" w:sz="4" w:space="0" w:color="auto"/>
              <w:bottom w:val="double" w:sz="4" w:space="0" w:color="auto"/>
            </w:tcBorders>
            <w:shd w:val="clear" w:color="auto" w:fill="FFFFFF" w:themeFill="background1"/>
          </w:tcPr>
          <w:p w14:paraId="69D697F2"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c>
          <w:tcPr>
            <w:tcW w:w="1100" w:type="pct"/>
            <w:tcBorders>
              <w:top w:val="double" w:sz="4" w:space="0" w:color="auto"/>
              <w:bottom w:val="double" w:sz="4" w:space="0" w:color="auto"/>
              <w:right w:val="double" w:sz="4" w:space="0" w:color="auto"/>
            </w:tcBorders>
            <w:shd w:val="clear" w:color="auto" w:fill="FFFFFF" w:themeFill="background1"/>
          </w:tcPr>
          <w:p w14:paraId="688FFFF2"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r>
      <w:tr w:rsidR="005414F1" w:rsidRPr="00583077" w14:paraId="5FBD2D18" w14:textId="77777777" w:rsidTr="00C47459">
        <w:trPr>
          <w:trHeight w:val="254"/>
        </w:trPr>
        <w:tc>
          <w:tcPr>
            <w:tcW w:w="5000" w:type="pct"/>
            <w:gridSpan w:val="4"/>
            <w:tcBorders>
              <w:top w:val="double" w:sz="4" w:space="0" w:color="auto"/>
              <w:bottom w:val="double" w:sz="4" w:space="0" w:color="auto"/>
              <w:right w:val="double" w:sz="4" w:space="0" w:color="auto"/>
            </w:tcBorders>
            <w:shd w:val="clear" w:color="auto" w:fill="D9F2D0" w:themeFill="accent6" w:themeFillTint="33"/>
          </w:tcPr>
          <w:p w14:paraId="199C6E87" w14:textId="77777777" w:rsidR="005414F1" w:rsidRPr="00583077" w:rsidRDefault="005414F1" w:rsidP="00C921B0">
            <w:pPr>
              <w:rPr>
                <w:rFonts w:ascii="Arial" w:hAnsi="Arial" w:cs="Arial"/>
                <w:b/>
                <w:bCs/>
                <w:u w:val="single"/>
              </w:rPr>
            </w:pPr>
            <w:r w:rsidRPr="00583077">
              <w:rPr>
                <w:rFonts w:ascii="Arial" w:hAnsi="Arial" w:cs="Arial"/>
                <w:b/>
                <w:bCs/>
                <w:u w:val="single"/>
              </w:rPr>
              <w:t>U okviru Strateškog cilja 1 definisani su sljedeći operativni ciljevi:</w:t>
            </w:r>
          </w:p>
          <w:p w14:paraId="2148E665" w14:textId="1D31BEB5" w:rsidR="005414F1" w:rsidRPr="00583077" w:rsidRDefault="005414F1" w:rsidP="00A433CA">
            <w:pPr>
              <w:ind w:left="173"/>
              <w:rPr>
                <w:rFonts w:ascii="Arial" w:hAnsi="Arial" w:cs="Arial"/>
              </w:rPr>
            </w:pPr>
            <w:r w:rsidRPr="00583077">
              <w:rPr>
                <w:rFonts w:ascii="Arial" w:hAnsi="Arial" w:cs="Arial"/>
                <w:b/>
                <w:bCs/>
              </w:rPr>
              <w:t>OC 1.1.</w:t>
            </w:r>
            <w:r w:rsidRPr="00583077">
              <w:rPr>
                <w:rFonts w:ascii="Arial" w:hAnsi="Arial" w:cs="Arial"/>
              </w:rPr>
              <w:t xml:space="preserve">  </w:t>
            </w:r>
            <w:r w:rsidR="00FD604B" w:rsidRPr="00583077">
              <w:rPr>
                <w:rFonts w:ascii="Arial" w:hAnsi="Arial" w:cs="Arial"/>
              </w:rPr>
              <w:t xml:space="preserve">Usklađivanje </w:t>
            </w:r>
            <w:r w:rsidR="00150736" w:rsidRPr="00583077">
              <w:rPr>
                <w:rFonts w:ascii="Arial" w:hAnsi="Arial" w:cs="Arial"/>
              </w:rPr>
              <w:t>normativnog okvira</w:t>
            </w:r>
            <w:r w:rsidR="005839B9" w:rsidRPr="00583077">
              <w:rPr>
                <w:rFonts w:ascii="Arial" w:hAnsi="Arial" w:cs="Arial"/>
              </w:rPr>
              <w:t xml:space="preserve"> u oblasti krivičnog prava</w:t>
            </w:r>
            <w:r w:rsidR="00150736" w:rsidRPr="00583077">
              <w:rPr>
                <w:rFonts w:ascii="Arial" w:hAnsi="Arial" w:cs="Arial"/>
              </w:rPr>
              <w:t xml:space="preserve"> </w:t>
            </w:r>
            <w:r w:rsidR="00FD604B" w:rsidRPr="00583077">
              <w:rPr>
                <w:rFonts w:ascii="Arial" w:hAnsi="Arial" w:cs="Arial"/>
              </w:rPr>
              <w:t>sa relevantnim međunarodnim standardima u oblasti prava žrtava</w:t>
            </w:r>
          </w:p>
          <w:p w14:paraId="04BB70C2" w14:textId="745AAAC2" w:rsidR="005414F1" w:rsidRPr="00583077" w:rsidRDefault="005414F1" w:rsidP="00A433CA">
            <w:pPr>
              <w:ind w:left="173"/>
              <w:rPr>
                <w:rFonts w:ascii="Arial" w:hAnsi="Arial" w:cs="Arial"/>
              </w:rPr>
            </w:pPr>
            <w:r w:rsidRPr="00583077">
              <w:rPr>
                <w:rFonts w:ascii="Arial" w:hAnsi="Arial" w:cs="Arial"/>
                <w:b/>
                <w:bCs/>
              </w:rPr>
              <w:t>OC 1.</w:t>
            </w:r>
            <w:r w:rsidR="009C5658" w:rsidRPr="00583077">
              <w:rPr>
                <w:rFonts w:ascii="Arial" w:hAnsi="Arial" w:cs="Arial"/>
                <w:b/>
                <w:bCs/>
              </w:rPr>
              <w:t>2</w:t>
            </w:r>
            <w:r w:rsidRPr="00583077">
              <w:rPr>
                <w:rFonts w:ascii="Arial" w:hAnsi="Arial" w:cs="Arial"/>
                <w:b/>
                <w:bCs/>
              </w:rPr>
              <w:t>.</w:t>
            </w:r>
            <w:r w:rsidRPr="00583077">
              <w:rPr>
                <w:rFonts w:ascii="Arial" w:hAnsi="Arial" w:cs="Arial"/>
              </w:rPr>
              <w:t xml:space="preserve"> </w:t>
            </w:r>
            <w:r w:rsidR="00A70606" w:rsidRPr="00583077">
              <w:rPr>
                <w:rFonts w:ascii="Arial" w:hAnsi="Arial" w:cs="Arial"/>
              </w:rPr>
              <w:t>Usklađivanje zakonodavstva iz oblasti socijalne zaštite sa relevantnim međunarodnim standardima u oblasti prava žrtava</w:t>
            </w:r>
          </w:p>
          <w:p w14:paraId="119D6A82" w14:textId="77777777" w:rsidR="00D87AA2" w:rsidRPr="00583077" w:rsidRDefault="00D87AA2" w:rsidP="00A433CA">
            <w:pPr>
              <w:ind w:left="173"/>
              <w:rPr>
                <w:rFonts w:ascii="Arial" w:hAnsi="Arial" w:cs="Arial"/>
              </w:rPr>
            </w:pPr>
          </w:p>
          <w:p w14:paraId="5F0BB8CB" w14:textId="77777777" w:rsidR="005414F1" w:rsidRPr="00583077" w:rsidRDefault="005414F1" w:rsidP="00A70606">
            <w:pPr>
              <w:rPr>
                <w:rFonts w:ascii="Arial" w:hAnsi="Arial" w:cs="Arial"/>
              </w:rPr>
            </w:pPr>
          </w:p>
        </w:tc>
      </w:tr>
    </w:tbl>
    <w:p w14:paraId="62183BD8" w14:textId="77777777" w:rsidR="00C47459" w:rsidRPr="00583077" w:rsidRDefault="00C47459" w:rsidP="005414F1">
      <w:pPr>
        <w:rPr>
          <w:rFonts w:ascii="Arial" w:hAnsi="Arial" w:cs="Arial"/>
        </w:rPr>
      </w:pPr>
    </w:p>
    <w:p w14:paraId="1DCE9A82" w14:textId="064097F7" w:rsidR="005414F1" w:rsidRPr="0085657D" w:rsidRDefault="0017623F" w:rsidP="0017623F">
      <w:pPr>
        <w:pStyle w:val="Heading3"/>
        <w:ind w:left="360"/>
        <w:rPr>
          <w:rFonts w:ascii="Arial" w:hAnsi="Arial" w:cs="Arial"/>
          <w:sz w:val="22"/>
          <w:szCs w:val="22"/>
        </w:rPr>
      </w:pPr>
      <w:bookmarkStart w:id="59" w:name="_Toc208489207"/>
      <w:r w:rsidRPr="00583077">
        <w:rPr>
          <w:rFonts w:ascii="Arial" w:hAnsi="Arial" w:cs="Arial"/>
          <w:sz w:val="22"/>
          <w:szCs w:val="22"/>
        </w:rPr>
        <w:t>Operativni cilj 1.1:</w:t>
      </w:r>
      <w:r w:rsidR="005414F1" w:rsidRPr="00583077">
        <w:rPr>
          <w:rFonts w:ascii="Arial" w:hAnsi="Arial" w:cs="Arial"/>
          <w:sz w:val="22"/>
          <w:szCs w:val="22"/>
        </w:rPr>
        <w:t xml:space="preserve"> </w:t>
      </w:r>
      <w:r w:rsidR="00EA13BA" w:rsidRPr="00583077">
        <w:rPr>
          <w:rFonts w:ascii="Arial" w:hAnsi="Arial" w:cs="Arial"/>
          <w:sz w:val="22"/>
          <w:szCs w:val="22"/>
        </w:rPr>
        <w:t xml:space="preserve">Usklađivanje </w:t>
      </w:r>
      <w:r w:rsidR="009C6FB2" w:rsidRPr="00583077">
        <w:rPr>
          <w:rFonts w:ascii="Arial" w:hAnsi="Arial" w:cs="Arial"/>
          <w:sz w:val="22"/>
          <w:szCs w:val="22"/>
        </w:rPr>
        <w:t>normativnog okvira</w:t>
      </w:r>
      <w:r w:rsidR="00EA13BA" w:rsidRPr="00583077">
        <w:rPr>
          <w:rFonts w:ascii="Arial" w:hAnsi="Arial" w:cs="Arial"/>
          <w:sz w:val="22"/>
          <w:szCs w:val="22"/>
        </w:rPr>
        <w:t xml:space="preserve"> sa relevantnim međunarodnim standardima u oblasti prava žrtava</w:t>
      </w:r>
      <w:bookmarkEnd w:id="59"/>
    </w:p>
    <w:p w14:paraId="1A0A2BDF" w14:textId="77777777" w:rsidR="005414F1" w:rsidRPr="0085657D" w:rsidRDefault="005414F1" w:rsidP="00EA13BA">
      <w:pPr>
        <w:ind w:left="360"/>
        <w:rPr>
          <w:rFonts w:ascii="Arial" w:hAnsi="Arial" w:cs="Arial"/>
          <w:i/>
          <w:iCs/>
        </w:rPr>
      </w:pPr>
    </w:p>
    <w:p w14:paraId="1341B7CC" w14:textId="527F62AF" w:rsidR="005414F1" w:rsidRPr="0085657D" w:rsidRDefault="0026498D" w:rsidP="002E7679">
      <w:pPr>
        <w:pStyle w:val="ListParagraph"/>
        <w:spacing w:line="276" w:lineRule="auto"/>
        <w:ind w:left="0"/>
        <w:rPr>
          <w:rFonts w:ascii="Arial" w:hAnsi="Arial" w:cs="Arial"/>
        </w:rPr>
      </w:pPr>
      <w:r w:rsidRPr="0085657D">
        <w:rPr>
          <w:rFonts w:ascii="Arial" w:hAnsi="Arial" w:cs="Arial"/>
        </w:rPr>
        <w:t>Započete još 2022. godine, izmjene Zakonika o krivičnom postupku</w:t>
      </w:r>
      <w:r w:rsidR="002E7679" w:rsidRPr="0085657D">
        <w:rPr>
          <w:rFonts w:ascii="Arial" w:hAnsi="Arial" w:cs="Arial"/>
        </w:rPr>
        <w:t xml:space="preserve"> i </w:t>
      </w:r>
      <w:r w:rsidRPr="0085657D">
        <w:rPr>
          <w:rFonts w:ascii="Arial" w:hAnsi="Arial" w:cs="Arial"/>
        </w:rPr>
        <w:t xml:space="preserve"> Zakona o maloljetnicima </w:t>
      </w:r>
      <w:r w:rsidR="002E7679" w:rsidRPr="0085657D">
        <w:rPr>
          <w:rFonts w:ascii="Arial" w:hAnsi="Arial" w:cs="Arial"/>
        </w:rPr>
        <w:t>treba da rezultiraju potpunim usaglašavanjem</w:t>
      </w:r>
      <w:r w:rsidR="00C45575">
        <w:rPr>
          <w:rFonts w:ascii="Arial" w:hAnsi="Arial" w:cs="Arial"/>
        </w:rPr>
        <w:t>, između ostalog,</w:t>
      </w:r>
      <w:r w:rsidR="002E7679" w:rsidRPr="0085657D">
        <w:rPr>
          <w:rFonts w:ascii="Arial" w:hAnsi="Arial" w:cs="Arial"/>
        </w:rPr>
        <w:t xml:space="preserve"> sa Direktivom o žrtvama</w:t>
      </w:r>
      <w:r w:rsidR="00C45575">
        <w:rPr>
          <w:rFonts w:ascii="Arial" w:hAnsi="Arial" w:cs="Arial"/>
        </w:rPr>
        <w:t xml:space="preserve"> i Lanzarote konvencijom</w:t>
      </w:r>
      <w:r w:rsidR="002E7679" w:rsidRPr="0085657D">
        <w:rPr>
          <w:rFonts w:ascii="Arial" w:hAnsi="Arial" w:cs="Arial"/>
        </w:rPr>
        <w:t xml:space="preserve">. Ipak, pored izmjena pomenutih zakona, potpuno usaglašavanje moguće je postići samo </w:t>
      </w:r>
      <w:r w:rsidR="00892C71" w:rsidRPr="0085657D">
        <w:rPr>
          <w:rFonts w:ascii="Arial" w:hAnsi="Arial" w:cs="Arial"/>
        </w:rPr>
        <w:t>kroz donošenje pratećih podzakonskih akata</w:t>
      </w:r>
      <w:r w:rsidR="00B5779C" w:rsidRPr="0085657D">
        <w:rPr>
          <w:rFonts w:ascii="Arial" w:hAnsi="Arial" w:cs="Arial"/>
        </w:rPr>
        <w:t>, budući da se upravo kroz njih u velikoj mjeri operacionalizuje ostvarivanje ovih prava.</w:t>
      </w:r>
    </w:p>
    <w:p w14:paraId="5B34BFE9" w14:textId="77777777" w:rsidR="00346B64" w:rsidRPr="0085657D" w:rsidRDefault="00346B64" w:rsidP="005414F1">
      <w:pPr>
        <w:pStyle w:val="ListParagraph"/>
        <w:ind w:left="0"/>
        <w:rPr>
          <w:rFonts w:ascii="Arial" w:hAnsi="Arial" w:cs="Arial"/>
        </w:rPr>
      </w:pPr>
    </w:p>
    <w:p w14:paraId="11B32D55" w14:textId="77777777" w:rsidR="005414F1" w:rsidRPr="0085657D" w:rsidRDefault="005414F1" w:rsidP="005414F1">
      <w:pPr>
        <w:pStyle w:val="ListParagraph"/>
        <w:jc w:val="center"/>
        <w:rPr>
          <w:rFonts w:ascii="Arial" w:hAnsi="Arial" w:cs="Arial"/>
        </w:rPr>
      </w:pPr>
      <w:r w:rsidRPr="0085657D">
        <w:rPr>
          <w:rFonts w:ascii="Arial" w:hAnsi="Arial" w:cs="Arial"/>
          <w:i/>
          <w:iCs/>
        </w:rPr>
        <w:t>Tabela 3:</w:t>
      </w:r>
      <w:r w:rsidR="00BF63B7" w:rsidRPr="0085657D">
        <w:rPr>
          <w:rFonts w:ascii="Arial" w:hAnsi="Arial" w:cs="Arial"/>
          <w:i/>
          <w:iCs/>
        </w:rPr>
        <w:t xml:space="preserve"> </w:t>
      </w:r>
      <w:r w:rsidRPr="0085657D">
        <w:rPr>
          <w:rFonts w:ascii="Arial" w:hAnsi="Arial" w:cs="Arial"/>
          <w:i/>
          <w:iCs/>
        </w:rPr>
        <w:t>Indikatori realizacije Operativnog cilja 1.1</w:t>
      </w:r>
    </w:p>
    <w:tbl>
      <w:tblPr>
        <w:tblStyle w:val="TableGrid"/>
        <w:tblW w:w="5000" w:type="pct"/>
        <w:tblInd w:w="-5" w:type="dxa"/>
        <w:tblLayout w:type="fixed"/>
        <w:tblLook w:val="04A0" w:firstRow="1" w:lastRow="0" w:firstColumn="1" w:lastColumn="0" w:noHBand="0" w:noVBand="1"/>
      </w:tblPr>
      <w:tblGrid>
        <w:gridCol w:w="2264"/>
        <w:gridCol w:w="2970"/>
        <w:gridCol w:w="1274"/>
        <w:gridCol w:w="1274"/>
        <w:gridCol w:w="1558"/>
      </w:tblGrid>
      <w:tr w:rsidR="00346B64" w:rsidRPr="0085657D" w14:paraId="1D6A52B4" w14:textId="77777777" w:rsidTr="00C47459">
        <w:trPr>
          <w:trHeight w:val="575"/>
        </w:trPr>
        <w:tc>
          <w:tcPr>
            <w:tcW w:w="1212" w:type="pct"/>
            <w:tcBorders>
              <w:top w:val="double" w:sz="4" w:space="0" w:color="auto"/>
            </w:tcBorders>
            <w:shd w:val="clear" w:color="auto" w:fill="FAE2D5" w:themeFill="accent2" w:themeFillTint="33"/>
          </w:tcPr>
          <w:p w14:paraId="21DEC7A2" w14:textId="77777777" w:rsidR="005414F1" w:rsidRPr="0085657D" w:rsidRDefault="005414F1" w:rsidP="00C921B0">
            <w:pPr>
              <w:rPr>
                <w:rFonts w:ascii="Arial" w:hAnsi="Arial" w:cs="Arial"/>
              </w:rPr>
            </w:pPr>
            <w:r w:rsidRPr="0085657D">
              <w:rPr>
                <w:rFonts w:ascii="Arial" w:hAnsi="Arial" w:cs="Arial"/>
              </w:rPr>
              <w:t xml:space="preserve">Operativni </w:t>
            </w:r>
          </w:p>
          <w:p w14:paraId="7A9D5CB4" w14:textId="77777777" w:rsidR="005414F1" w:rsidRPr="0085657D" w:rsidRDefault="005414F1" w:rsidP="00C921B0">
            <w:pPr>
              <w:rPr>
                <w:rFonts w:ascii="Arial" w:hAnsi="Arial" w:cs="Arial"/>
              </w:rPr>
            </w:pPr>
            <w:r w:rsidRPr="0085657D">
              <w:rPr>
                <w:rFonts w:ascii="Arial" w:hAnsi="Arial" w:cs="Arial"/>
              </w:rPr>
              <w:t>cilj</w:t>
            </w:r>
          </w:p>
        </w:tc>
        <w:tc>
          <w:tcPr>
            <w:tcW w:w="1590" w:type="pct"/>
            <w:tcBorders>
              <w:top w:val="double" w:sz="4" w:space="0" w:color="auto"/>
            </w:tcBorders>
            <w:shd w:val="clear" w:color="auto" w:fill="FAE2D5" w:themeFill="accent2" w:themeFillTint="33"/>
          </w:tcPr>
          <w:p w14:paraId="01FA50D8" w14:textId="77777777" w:rsidR="005414F1" w:rsidRPr="0085657D" w:rsidRDefault="005414F1" w:rsidP="00C921B0">
            <w:pPr>
              <w:rPr>
                <w:rFonts w:ascii="Arial" w:hAnsi="Arial" w:cs="Arial"/>
              </w:rPr>
            </w:pPr>
            <w:r w:rsidRPr="0085657D">
              <w:rPr>
                <w:rFonts w:ascii="Arial" w:hAnsi="Arial" w:cs="Arial"/>
              </w:rPr>
              <w:t>Indikator učinka</w:t>
            </w:r>
          </w:p>
        </w:tc>
        <w:tc>
          <w:tcPr>
            <w:tcW w:w="682" w:type="pct"/>
            <w:tcBorders>
              <w:top w:val="double" w:sz="4" w:space="0" w:color="auto"/>
            </w:tcBorders>
            <w:shd w:val="clear" w:color="auto" w:fill="FAE2D5" w:themeFill="accent2" w:themeFillTint="33"/>
          </w:tcPr>
          <w:p w14:paraId="7AFC0DDC" w14:textId="77777777" w:rsidR="005414F1" w:rsidRPr="0085657D" w:rsidRDefault="005414F1" w:rsidP="00AB3E75">
            <w:pPr>
              <w:jc w:val="center"/>
              <w:rPr>
                <w:rFonts w:ascii="Arial" w:hAnsi="Arial" w:cs="Arial"/>
              </w:rPr>
            </w:pPr>
            <w:r w:rsidRPr="0085657D">
              <w:rPr>
                <w:rFonts w:ascii="Arial" w:hAnsi="Arial" w:cs="Arial"/>
              </w:rPr>
              <w:t>Početna vrijednost</w:t>
            </w:r>
          </w:p>
          <w:p w14:paraId="32ACB540" w14:textId="77777777" w:rsidR="005414F1" w:rsidRPr="0085657D" w:rsidRDefault="005414F1" w:rsidP="00AB3E75">
            <w:pPr>
              <w:jc w:val="center"/>
              <w:rPr>
                <w:rFonts w:ascii="Arial" w:hAnsi="Arial" w:cs="Arial"/>
              </w:rPr>
            </w:pPr>
            <w:r w:rsidRPr="0085657D">
              <w:rPr>
                <w:rFonts w:ascii="Arial" w:hAnsi="Arial" w:cs="Arial"/>
              </w:rPr>
              <w:t>202</w:t>
            </w:r>
            <w:r w:rsidR="00346B64" w:rsidRPr="0085657D">
              <w:rPr>
                <w:rFonts w:ascii="Arial" w:hAnsi="Arial" w:cs="Arial"/>
              </w:rPr>
              <w:t>4</w:t>
            </w:r>
            <w:r w:rsidRPr="0085657D">
              <w:rPr>
                <w:rFonts w:ascii="Arial" w:hAnsi="Arial" w:cs="Arial"/>
              </w:rPr>
              <w:t>.</w:t>
            </w:r>
          </w:p>
        </w:tc>
        <w:tc>
          <w:tcPr>
            <w:tcW w:w="682" w:type="pct"/>
            <w:tcBorders>
              <w:top w:val="double" w:sz="4" w:space="0" w:color="auto"/>
            </w:tcBorders>
            <w:shd w:val="clear" w:color="auto" w:fill="FAE2D5" w:themeFill="accent2" w:themeFillTint="33"/>
          </w:tcPr>
          <w:p w14:paraId="26B21A44" w14:textId="5036F01C" w:rsidR="005414F1" w:rsidRPr="0085657D" w:rsidRDefault="005414F1" w:rsidP="00AB3E75">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835" w:type="pct"/>
            <w:tcBorders>
              <w:top w:val="double" w:sz="4" w:space="0" w:color="auto"/>
              <w:right w:val="double" w:sz="4" w:space="0" w:color="auto"/>
            </w:tcBorders>
            <w:shd w:val="clear" w:color="auto" w:fill="FAE2D5" w:themeFill="accent2" w:themeFillTint="33"/>
          </w:tcPr>
          <w:p w14:paraId="19A65728" w14:textId="66A64D2B" w:rsidR="005414F1" w:rsidRPr="0085657D" w:rsidRDefault="005414F1" w:rsidP="00AB3E75">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90DAB" w:rsidRPr="0085657D" w14:paraId="2ECCAEE0" w14:textId="77777777" w:rsidTr="00C47459">
        <w:trPr>
          <w:trHeight w:val="254"/>
        </w:trPr>
        <w:tc>
          <w:tcPr>
            <w:tcW w:w="1212" w:type="pct"/>
            <w:vMerge w:val="restart"/>
            <w:tcBorders>
              <w:top w:val="double" w:sz="4" w:space="0" w:color="auto"/>
            </w:tcBorders>
            <w:shd w:val="clear" w:color="auto" w:fill="D9F2D0" w:themeFill="accent6" w:themeFillTint="33"/>
          </w:tcPr>
          <w:p w14:paraId="12F38D93" w14:textId="22FD2107" w:rsidR="00A90DAB" w:rsidRPr="009C6FB2" w:rsidRDefault="009C6FB2" w:rsidP="009C6FB2">
            <w:pPr>
              <w:rPr>
                <w:rFonts w:ascii="Arial" w:hAnsi="Arial" w:cs="Arial"/>
              </w:rPr>
            </w:pPr>
            <w:r w:rsidRPr="009C6FB2">
              <w:rPr>
                <w:rFonts w:ascii="Arial" w:hAnsi="Arial" w:cs="Arial"/>
              </w:rPr>
              <w:t xml:space="preserve">1.1 </w:t>
            </w:r>
            <w:r w:rsidR="00A90DAB" w:rsidRPr="009C6FB2">
              <w:rPr>
                <w:rFonts w:ascii="Arial" w:hAnsi="Arial" w:cs="Arial"/>
              </w:rPr>
              <w:t xml:space="preserve">Usklađivanje </w:t>
            </w:r>
            <w:r w:rsidRPr="009C626C">
              <w:rPr>
                <w:rFonts w:ascii="Arial" w:hAnsi="Arial" w:cs="Arial"/>
              </w:rPr>
              <w:t>normativnog okvira</w:t>
            </w:r>
            <w:r w:rsidR="00C45575" w:rsidRPr="009C626C">
              <w:rPr>
                <w:rFonts w:ascii="Arial" w:hAnsi="Arial" w:cs="Arial"/>
              </w:rPr>
              <w:t xml:space="preserve"> u oblasti krivičnog prava</w:t>
            </w:r>
            <w:r w:rsidR="00A90DAB" w:rsidRPr="009C626C">
              <w:rPr>
                <w:rFonts w:ascii="Arial" w:hAnsi="Arial" w:cs="Arial"/>
              </w:rPr>
              <w:t xml:space="preserve"> sa relevantnim</w:t>
            </w:r>
            <w:r w:rsidR="00A90DAB" w:rsidRPr="009C6FB2">
              <w:rPr>
                <w:rFonts w:ascii="Arial" w:hAnsi="Arial" w:cs="Arial"/>
              </w:rPr>
              <w:t xml:space="preserve"> </w:t>
            </w:r>
            <w:r w:rsidR="00A90DAB" w:rsidRPr="009C6FB2">
              <w:rPr>
                <w:rFonts w:ascii="Arial" w:hAnsi="Arial" w:cs="Arial"/>
              </w:rPr>
              <w:lastRenderedPageBreak/>
              <w:t>međunarodnim standardima u oblasti prava žrtava</w:t>
            </w:r>
          </w:p>
          <w:p w14:paraId="248AED23" w14:textId="77777777" w:rsidR="00A90DAB" w:rsidRPr="0085657D" w:rsidRDefault="00A90DAB" w:rsidP="00A90DAB">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00B81C0E" w14:textId="77777777"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lastRenderedPageBreak/>
              <w:t>% krivičnih zakona usklađenih sa relevantnim međunarodnim standardima u oblasti prava žrtava</w:t>
            </w:r>
          </w:p>
        </w:tc>
        <w:tc>
          <w:tcPr>
            <w:tcW w:w="682" w:type="pct"/>
            <w:tcBorders>
              <w:top w:val="double" w:sz="4" w:space="0" w:color="auto"/>
              <w:bottom w:val="double" w:sz="4" w:space="0" w:color="auto"/>
            </w:tcBorders>
            <w:shd w:val="clear" w:color="auto" w:fill="FFFFFF" w:themeFill="background1"/>
          </w:tcPr>
          <w:p w14:paraId="3218EB60"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010A94C0"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70%</w:t>
            </w:r>
          </w:p>
        </w:tc>
        <w:tc>
          <w:tcPr>
            <w:tcW w:w="835" w:type="pct"/>
            <w:tcBorders>
              <w:top w:val="double" w:sz="4" w:space="0" w:color="auto"/>
              <w:bottom w:val="double" w:sz="4" w:space="0" w:color="auto"/>
              <w:right w:val="double" w:sz="4" w:space="0" w:color="auto"/>
            </w:tcBorders>
            <w:shd w:val="clear" w:color="auto" w:fill="FFFFFF" w:themeFill="background1"/>
          </w:tcPr>
          <w:p w14:paraId="0DF944AF"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100%</w:t>
            </w:r>
          </w:p>
        </w:tc>
      </w:tr>
      <w:tr w:rsidR="00A90DAB" w:rsidRPr="0085657D" w14:paraId="297C3D5B" w14:textId="77777777" w:rsidTr="00C47459">
        <w:trPr>
          <w:trHeight w:val="586"/>
        </w:trPr>
        <w:tc>
          <w:tcPr>
            <w:tcW w:w="1212" w:type="pct"/>
            <w:vMerge/>
            <w:shd w:val="clear" w:color="auto" w:fill="FFFFFF" w:themeFill="background1"/>
          </w:tcPr>
          <w:p w14:paraId="7D5DA508" w14:textId="77777777" w:rsidR="00A90DAB" w:rsidRPr="0085657D" w:rsidRDefault="00A90DAB" w:rsidP="00A90DAB">
            <w:pPr>
              <w:shd w:val="clear" w:color="auto" w:fill="FFFFFF" w:themeFill="background1"/>
              <w:spacing w:after="240"/>
              <w:rPr>
                <w:rFonts w:ascii="Arial" w:hAnsi="Arial" w:cs="Arial"/>
              </w:rPr>
            </w:pPr>
          </w:p>
        </w:tc>
        <w:tc>
          <w:tcPr>
            <w:tcW w:w="1590" w:type="pct"/>
            <w:tcBorders>
              <w:top w:val="double" w:sz="4" w:space="0" w:color="auto"/>
              <w:bottom w:val="double" w:sz="4" w:space="0" w:color="auto"/>
            </w:tcBorders>
            <w:shd w:val="clear" w:color="auto" w:fill="FFFFFF" w:themeFill="background1"/>
          </w:tcPr>
          <w:p w14:paraId="0C91260F" w14:textId="77777777"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t>% podzakonskih akata usklađenih sa relevantnim međunarodnim standardima u oblasti prava žrtava</w:t>
            </w:r>
          </w:p>
        </w:tc>
        <w:tc>
          <w:tcPr>
            <w:tcW w:w="682" w:type="pct"/>
            <w:tcBorders>
              <w:top w:val="double" w:sz="4" w:space="0" w:color="auto"/>
              <w:bottom w:val="double" w:sz="4" w:space="0" w:color="auto"/>
            </w:tcBorders>
            <w:shd w:val="clear" w:color="auto" w:fill="FFFFFF" w:themeFill="background1"/>
          </w:tcPr>
          <w:p w14:paraId="376DD48F"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0B8033E4"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10%</w:t>
            </w:r>
          </w:p>
        </w:tc>
        <w:tc>
          <w:tcPr>
            <w:tcW w:w="835" w:type="pct"/>
            <w:tcBorders>
              <w:top w:val="double" w:sz="4" w:space="0" w:color="auto"/>
              <w:bottom w:val="double" w:sz="4" w:space="0" w:color="auto"/>
              <w:right w:val="double" w:sz="4" w:space="0" w:color="auto"/>
            </w:tcBorders>
            <w:shd w:val="clear" w:color="auto" w:fill="FFFFFF" w:themeFill="background1"/>
          </w:tcPr>
          <w:p w14:paraId="50535F4F"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100%</w:t>
            </w:r>
          </w:p>
        </w:tc>
      </w:tr>
    </w:tbl>
    <w:p w14:paraId="50A917DB" w14:textId="6A26C77F" w:rsidR="005414F1" w:rsidRPr="0085657D" w:rsidRDefault="005414F1" w:rsidP="005414F1">
      <w:pPr>
        <w:rPr>
          <w:rFonts w:ascii="Arial" w:hAnsi="Arial" w:cs="Arial"/>
        </w:rPr>
      </w:pPr>
    </w:p>
    <w:p w14:paraId="02051DB4" w14:textId="2D440F7C" w:rsidR="005414F1" w:rsidRDefault="00D42F6B" w:rsidP="0049710D">
      <w:pPr>
        <w:pStyle w:val="Heading3"/>
        <w:rPr>
          <w:rFonts w:ascii="Arial" w:hAnsi="Arial" w:cs="Arial"/>
          <w:sz w:val="22"/>
          <w:szCs w:val="22"/>
        </w:rPr>
      </w:pPr>
      <w:bookmarkStart w:id="60" w:name="_Toc208489208"/>
      <w:r w:rsidRPr="0085657D">
        <w:rPr>
          <w:rFonts w:ascii="Arial" w:hAnsi="Arial" w:cs="Arial"/>
          <w:sz w:val="22"/>
          <w:szCs w:val="22"/>
        </w:rPr>
        <w:t>Operativni cilj 1.2</w:t>
      </w:r>
      <w:r w:rsidR="0049710D" w:rsidRPr="0085657D">
        <w:rPr>
          <w:rFonts w:ascii="Arial" w:hAnsi="Arial" w:cs="Arial"/>
          <w:sz w:val="22"/>
          <w:szCs w:val="22"/>
        </w:rPr>
        <w:t>:</w:t>
      </w:r>
      <w:r w:rsidR="005414F1" w:rsidRPr="0085657D">
        <w:rPr>
          <w:rFonts w:ascii="Arial" w:hAnsi="Arial" w:cs="Arial"/>
          <w:sz w:val="22"/>
          <w:szCs w:val="22"/>
        </w:rPr>
        <w:t xml:space="preserve"> </w:t>
      </w:r>
      <w:r w:rsidR="00C17587" w:rsidRPr="0085657D">
        <w:rPr>
          <w:rFonts w:ascii="Arial" w:hAnsi="Arial" w:cs="Arial"/>
          <w:sz w:val="22"/>
          <w:szCs w:val="22"/>
        </w:rPr>
        <w:t>Usklađivanje zakonodavstva iz oblasti socijalne zaštite sa relevantnim međunarodnim standardima u oblasti prava žrtava</w:t>
      </w:r>
      <w:bookmarkEnd w:id="60"/>
    </w:p>
    <w:p w14:paraId="19514082" w14:textId="77777777" w:rsidR="005414F1" w:rsidRPr="0085657D" w:rsidRDefault="005414F1" w:rsidP="005414F1">
      <w:pPr>
        <w:rPr>
          <w:rFonts w:ascii="Arial" w:hAnsi="Arial" w:cs="Arial"/>
        </w:rPr>
      </w:pPr>
    </w:p>
    <w:p w14:paraId="5D2484F5" w14:textId="48621C6C" w:rsidR="001A0D17" w:rsidRPr="0085657D" w:rsidRDefault="005414F1" w:rsidP="00D91533">
      <w:pPr>
        <w:jc w:val="center"/>
        <w:rPr>
          <w:rFonts w:ascii="Arial" w:hAnsi="Arial" w:cs="Arial"/>
        </w:rPr>
      </w:pPr>
      <w:r w:rsidRPr="0085657D">
        <w:rPr>
          <w:rFonts w:ascii="Arial" w:hAnsi="Arial" w:cs="Arial"/>
          <w:i/>
          <w:iCs/>
        </w:rPr>
        <w:t xml:space="preserve">Tabela </w:t>
      </w:r>
      <w:r w:rsidR="00313C44">
        <w:rPr>
          <w:rFonts w:ascii="Arial" w:hAnsi="Arial" w:cs="Arial"/>
          <w:i/>
          <w:iCs/>
        </w:rPr>
        <w:t>4</w:t>
      </w:r>
      <w:r w:rsidRPr="0085657D">
        <w:rPr>
          <w:rFonts w:ascii="Arial" w:hAnsi="Arial" w:cs="Arial"/>
          <w:i/>
          <w:iCs/>
        </w:rPr>
        <w:t>: Indikatori r</w:t>
      </w:r>
      <w:r w:rsidR="009C6FB2">
        <w:rPr>
          <w:rFonts w:ascii="Arial" w:hAnsi="Arial" w:cs="Arial"/>
          <w:i/>
          <w:iCs/>
        </w:rPr>
        <w:t>ealizacije Operativnog cilja 1.2</w:t>
      </w:r>
    </w:p>
    <w:tbl>
      <w:tblPr>
        <w:tblStyle w:val="TableGrid"/>
        <w:tblW w:w="5000" w:type="pct"/>
        <w:tblInd w:w="-5" w:type="dxa"/>
        <w:tblLayout w:type="fixed"/>
        <w:tblLook w:val="04A0" w:firstRow="1" w:lastRow="0" w:firstColumn="1" w:lastColumn="0" w:noHBand="0" w:noVBand="1"/>
      </w:tblPr>
      <w:tblGrid>
        <w:gridCol w:w="2264"/>
        <w:gridCol w:w="2970"/>
        <w:gridCol w:w="1274"/>
        <w:gridCol w:w="1274"/>
        <w:gridCol w:w="1558"/>
      </w:tblGrid>
      <w:tr w:rsidR="001A0D17" w:rsidRPr="0085657D" w14:paraId="4F833CFA" w14:textId="77777777" w:rsidTr="00C47459">
        <w:trPr>
          <w:trHeight w:val="575"/>
        </w:trPr>
        <w:tc>
          <w:tcPr>
            <w:tcW w:w="1212" w:type="pct"/>
            <w:tcBorders>
              <w:top w:val="double" w:sz="4" w:space="0" w:color="auto"/>
            </w:tcBorders>
            <w:shd w:val="clear" w:color="auto" w:fill="FAE2D5" w:themeFill="accent2" w:themeFillTint="33"/>
          </w:tcPr>
          <w:p w14:paraId="5D0D91A7" w14:textId="77777777" w:rsidR="001A0D17" w:rsidRPr="0085657D" w:rsidRDefault="001A0D17" w:rsidP="00C921B0">
            <w:pPr>
              <w:rPr>
                <w:rFonts w:ascii="Arial" w:hAnsi="Arial" w:cs="Arial"/>
              </w:rPr>
            </w:pPr>
            <w:r w:rsidRPr="0085657D">
              <w:rPr>
                <w:rFonts w:ascii="Arial" w:hAnsi="Arial" w:cs="Arial"/>
              </w:rPr>
              <w:t xml:space="preserve">Operativni </w:t>
            </w:r>
          </w:p>
          <w:p w14:paraId="6C99AE06" w14:textId="77777777" w:rsidR="001A0D17" w:rsidRPr="0085657D" w:rsidRDefault="001A0D17" w:rsidP="00C921B0">
            <w:pPr>
              <w:rPr>
                <w:rFonts w:ascii="Arial" w:hAnsi="Arial" w:cs="Arial"/>
              </w:rPr>
            </w:pPr>
            <w:r w:rsidRPr="0085657D">
              <w:rPr>
                <w:rFonts w:ascii="Arial" w:hAnsi="Arial" w:cs="Arial"/>
              </w:rPr>
              <w:t>cilj</w:t>
            </w:r>
          </w:p>
        </w:tc>
        <w:tc>
          <w:tcPr>
            <w:tcW w:w="1590" w:type="pct"/>
            <w:tcBorders>
              <w:top w:val="double" w:sz="4" w:space="0" w:color="auto"/>
            </w:tcBorders>
            <w:shd w:val="clear" w:color="auto" w:fill="FAE2D5" w:themeFill="accent2" w:themeFillTint="33"/>
          </w:tcPr>
          <w:p w14:paraId="5EB60DC5" w14:textId="77777777" w:rsidR="001A0D17" w:rsidRPr="0085657D" w:rsidRDefault="001A0D17" w:rsidP="00C921B0">
            <w:pPr>
              <w:rPr>
                <w:rFonts w:ascii="Arial" w:hAnsi="Arial" w:cs="Arial"/>
              </w:rPr>
            </w:pPr>
            <w:r w:rsidRPr="0085657D">
              <w:rPr>
                <w:rFonts w:ascii="Arial" w:hAnsi="Arial" w:cs="Arial"/>
              </w:rPr>
              <w:t>Indikator učinka</w:t>
            </w:r>
          </w:p>
        </w:tc>
        <w:tc>
          <w:tcPr>
            <w:tcW w:w="682" w:type="pct"/>
            <w:tcBorders>
              <w:top w:val="double" w:sz="4" w:space="0" w:color="auto"/>
            </w:tcBorders>
            <w:shd w:val="clear" w:color="auto" w:fill="FAE2D5" w:themeFill="accent2" w:themeFillTint="33"/>
          </w:tcPr>
          <w:p w14:paraId="093B267F" w14:textId="77777777" w:rsidR="001A0D17" w:rsidRPr="0085657D" w:rsidRDefault="001A0D17" w:rsidP="00D91533">
            <w:pPr>
              <w:jc w:val="center"/>
              <w:rPr>
                <w:rFonts w:ascii="Arial" w:hAnsi="Arial" w:cs="Arial"/>
              </w:rPr>
            </w:pPr>
            <w:r w:rsidRPr="0085657D">
              <w:rPr>
                <w:rFonts w:ascii="Arial" w:hAnsi="Arial" w:cs="Arial"/>
              </w:rPr>
              <w:t>Početna vrijednost</w:t>
            </w:r>
          </w:p>
          <w:p w14:paraId="3D408724" w14:textId="77777777" w:rsidR="001A0D17" w:rsidRPr="0085657D" w:rsidRDefault="001A0D17" w:rsidP="00D91533">
            <w:pPr>
              <w:jc w:val="center"/>
              <w:rPr>
                <w:rFonts w:ascii="Arial" w:hAnsi="Arial" w:cs="Arial"/>
              </w:rPr>
            </w:pPr>
            <w:r w:rsidRPr="0085657D">
              <w:rPr>
                <w:rFonts w:ascii="Arial" w:hAnsi="Arial" w:cs="Arial"/>
              </w:rPr>
              <w:t>2024.</w:t>
            </w:r>
          </w:p>
        </w:tc>
        <w:tc>
          <w:tcPr>
            <w:tcW w:w="682" w:type="pct"/>
            <w:tcBorders>
              <w:top w:val="double" w:sz="4" w:space="0" w:color="auto"/>
            </w:tcBorders>
            <w:shd w:val="clear" w:color="auto" w:fill="FAE2D5" w:themeFill="accent2" w:themeFillTint="33"/>
          </w:tcPr>
          <w:p w14:paraId="6F8D41F9" w14:textId="14EB5326" w:rsidR="001A0D17" w:rsidRPr="0085657D" w:rsidRDefault="001A0D17" w:rsidP="00D91533">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835" w:type="pct"/>
            <w:tcBorders>
              <w:top w:val="double" w:sz="4" w:space="0" w:color="auto"/>
              <w:right w:val="double" w:sz="4" w:space="0" w:color="auto"/>
            </w:tcBorders>
            <w:shd w:val="clear" w:color="auto" w:fill="FAE2D5" w:themeFill="accent2" w:themeFillTint="33"/>
          </w:tcPr>
          <w:p w14:paraId="1928DBC1" w14:textId="22E19B31" w:rsidR="001A0D17" w:rsidRPr="0085657D" w:rsidRDefault="001A0D17" w:rsidP="00D91533">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90DAB" w:rsidRPr="0085657D" w14:paraId="27F62166" w14:textId="77777777" w:rsidTr="00C47459">
        <w:trPr>
          <w:trHeight w:val="254"/>
        </w:trPr>
        <w:tc>
          <w:tcPr>
            <w:tcW w:w="1212" w:type="pct"/>
            <w:tcBorders>
              <w:top w:val="double" w:sz="4" w:space="0" w:color="auto"/>
            </w:tcBorders>
            <w:shd w:val="clear" w:color="auto" w:fill="D9F2D0" w:themeFill="accent6" w:themeFillTint="33"/>
          </w:tcPr>
          <w:p w14:paraId="07B20772" w14:textId="1876D2D4" w:rsidR="00A90DAB" w:rsidRPr="0085657D" w:rsidRDefault="009C6FB2" w:rsidP="00A90DAB">
            <w:pPr>
              <w:rPr>
                <w:rFonts w:ascii="Arial" w:hAnsi="Arial" w:cs="Arial"/>
              </w:rPr>
            </w:pPr>
            <w:r>
              <w:rPr>
                <w:rFonts w:ascii="Arial" w:hAnsi="Arial" w:cs="Arial"/>
              </w:rPr>
              <w:t xml:space="preserve">1.2. </w:t>
            </w:r>
            <w:r w:rsidRPr="009C6FB2">
              <w:rPr>
                <w:rFonts w:ascii="Arial" w:hAnsi="Arial" w:cs="Arial"/>
              </w:rPr>
              <w:t>Usklađivanje zakonodavstva iz oblasti socijalne zaštite sa relevantnim međunarodnim standardima u oblasti prava žrtava</w:t>
            </w:r>
          </w:p>
        </w:tc>
        <w:tc>
          <w:tcPr>
            <w:tcW w:w="1590" w:type="pct"/>
            <w:tcBorders>
              <w:top w:val="double" w:sz="4" w:space="0" w:color="auto"/>
              <w:bottom w:val="double" w:sz="4" w:space="0" w:color="auto"/>
            </w:tcBorders>
            <w:shd w:val="clear" w:color="auto" w:fill="FFFFFF" w:themeFill="background1"/>
          </w:tcPr>
          <w:p w14:paraId="53D4438E" w14:textId="77777777"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t>Novi zakon o socijalnoj i dječijoj zaštiti usklađen je sa relevantnim međunarodnim standardima u oblasti prava žrtava</w:t>
            </w:r>
          </w:p>
        </w:tc>
        <w:tc>
          <w:tcPr>
            <w:tcW w:w="682" w:type="pct"/>
            <w:tcBorders>
              <w:top w:val="double" w:sz="4" w:space="0" w:color="auto"/>
              <w:bottom w:val="double" w:sz="4" w:space="0" w:color="auto"/>
            </w:tcBorders>
            <w:shd w:val="clear" w:color="auto" w:fill="FFFFFF" w:themeFill="background1"/>
          </w:tcPr>
          <w:p w14:paraId="11307FB2"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0C9F92BA"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c>
          <w:tcPr>
            <w:tcW w:w="835" w:type="pct"/>
            <w:tcBorders>
              <w:top w:val="double" w:sz="4" w:space="0" w:color="auto"/>
              <w:bottom w:val="double" w:sz="4" w:space="0" w:color="auto"/>
              <w:right w:val="double" w:sz="4" w:space="0" w:color="auto"/>
            </w:tcBorders>
            <w:shd w:val="clear" w:color="auto" w:fill="FFFFFF" w:themeFill="background1"/>
          </w:tcPr>
          <w:p w14:paraId="60CCB2D9" w14:textId="7777777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r>
    </w:tbl>
    <w:p w14:paraId="4C21AA47" w14:textId="01A18A09" w:rsidR="005B718D" w:rsidRPr="0085657D" w:rsidRDefault="005B718D">
      <w:pPr>
        <w:spacing w:line="278" w:lineRule="auto"/>
        <w:jc w:val="left"/>
        <w:rPr>
          <w:rFonts w:ascii="Arial" w:eastAsiaTheme="majorEastAsia" w:hAnsi="Arial" w:cs="Arial"/>
          <w:color w:val="0F4761" w:themeColor="accent1" w:themeShade="BF"/>
        </w:rPr>
      </w:pPr>
    </w:p>
    <w:p w14:paraId="6A9373FE" w14:textId="060C8C3E" w:rsidR="001A6C45" w:rsidRPr="008966E4" w:rsidRDefault="00127B59" w:rsidP="001A6C45">
      <w:pPr>
        <w:pStyle w:val="Heading2"/>
        <w:spacing w:after="240"/>
        <w:ind w:left="360"/>
        <w:rPr>
          <w:rFonts w:ascii="Arial" w:hAnsi="Arial" w:cs="Arial"/>
          <w:sz w:val="22"/>
          <w:szCs w:val="22"/>
        </w:rPr>
      </w:pPr>
      <w:bookmarkStart w:id="61" w:name="_Toc208489209"/>
      <w:r w:rsidRPr="008966E4">
        <w:rPr>
          <w:rFonts w:ascii="Arial" w:hAnsi="Arial" w:cs="Arial"/>
          <w:sz w:val="22"/>
          <w:szCs w:val="22"/>
        </w:rPr>
        <w:t xml:space="preserve">Strateški cilj 2: </w:t>
      </w:r>
      <w:r w:rsidR="001A6C45" w:rsidRPr="008966E4">
        <w:rPr>
          <w:rFonts w:ascii="Arial" w:hAnsi="Arial" w:cs="Arial"/>
          <w:sz w:val="22"/>
          <w:szCs w:val="22"/>
        </w:rPr>
        <w:t>Unapređenje mehanizama za informisanje i podršku žrtvama</w:t>
      </w:r>
      <w:bookmarkEnd w:id="61"/>
    </w:p>
    <w:p w14:paraId="689E9F54" w14:textId="77777777" w:rsidR="00F90349" w:rsidRDefault="003D0A5B" w:rsidP="00F90349">
      <w:pPr>
        <w:spacing w:line="276" w:lineRule="auto"/>
        <w:rPr>
          <w:rFonts w:ascii="Arial" w:hAnsi="Arial" w:cs="Arial"/>
        </w:rPr>
      </w:pPr>
      <w:r w:rsidRPr="0085657D">
        <w:rPr>
          <w:rFonts w:ascii="Arial" w:hAnsi="Arial" w:cs="Arial"/>
        </w:rPr>
        <w:t>Budući da je Direktivom 2012/029/EU predviđena sveobuhvatna lista informacija koje žrtva mora dobiti već prilikom prvog kontakta sa organima postup</w:t>
      </w:r>
      <w:r w:rsidR="002F7440" w:rsidRPr="0085657D">
        <w:rPr>
          <w:rFonts w:ascii="Arial" w:hAnsi="Arial" w:cs="Arial"/>
        </w:rPr>
        <w:t>k</w:t>
      </w:r>
      <w:r w:rsidRPr="0085657D">
        <w:rPr>
          <w:rFonts w:ascii="Arial" w:hAnsi="Arial" w:cs="Arial"/>
        </w:rPr>
        <w:t xml:space="preserve">a (što su po pravilu policija i državno tužilaštvo) i mjere podrške koje im moraju biti dostupne, kao i činjenica da će kroz izmjene i dopune </w:t>
      </w:r>
      <w:r w:rsidR="002F7440" w:rsidRPr="0085657D">
        <w:rPr>
          <w:rFonts w:ascii="Arial" w:hAnsi="Arial" w:cs="Arial"/>
        </w:rPr>
        <w:t xml:space="preserve">relevantnih zakona i podzakonskih akata </w:t>
      </w:r>
      <w:r w:rsidR="00F90349" w:rsidRPr="0085657D">
        <w:rPr>
          <w:rFonts w:ascii="Arial" w:hAnsi="Arial" w:cs="Arial"/>
        </w:rPr>
        <w:t>ove obaveze biti ugrađene u nacionalni pravni sistem, neophodno je uspostavljanje održivih institucionalnih mehanizama koji bi omogućili ostvarivanje ovih prava u praksi.</w:t>
      </w:r>
    </w:p>
    <w:p w14:paraId="4A71103C" w14:textId="7F2FFFB1" w:rsidR="00F43245" w:rsidRPr="00985C21" w:rsidRDefault="00F43245" w:rsidP="00F90349">
      <w:pPr>
        <w:spacing w:line="276" w:lineRule="auto"/>
      </w:pPr>
      <w:r w:rsidRPr="0037368D">
        <w:t>Obezb</w:t>
      </w:r>
      <w:r w:rsidR="00D41839">
        <w:t>j</w:t>
      </w:r>
      <w:r w:rsidRPr="0037368D">
        <w:t>eđivanje, s jedne strane održive, primarne podrške žrtvama od strane službi podrške koje bi bile osnovane pri višim sudovima u Crnoj Gori, ali i unapređenje, standardizacija postupanja i kvaliteta, povezivanje i održivo finansiranje službi podrške osnovanih pri organizacijama civilnog društva, preduslov su da bi se žrtvama pružile usluge podrške zasnovane na individualnoj procjeni njihovih potreba.</w:t>
      </w:r>
    </w:p>
    <w:p w14:paraId="2853493C" w14:textId="77777777" w:rsidR="005414F1" w:rsidRPr="0085657D" w:rsidRDefault="00F90349" w:rsidP="00F90349">
      <w:pPr>
        <w:spacing w:line="276" w:lineRule="auto"/>
        <w:rPr>
          <w:rFonts w:ascii="Arial" w:hAnsi="Arial" w:cs="Arial"/>
        </w:rPr>
      </w:pPr>
      <w:r w:rsidRPr="0085657D">
        <w:rPr>
          <w:rFonts w:ascii="Arial" w:hAnsi="Arial" w:cs="Arial"/>
        </w:rPr>
        <w:t>A</w:t>
      </w:r>
      <w:r w:rsidR="005414F1" w:rsidRPr="0085657D">
        <w:rPr>
          <w:rFonts w:ascii="Arial" w:hAnsi="Arial" w:cs="Arial"/>
        </w:rPr>
        <w:t>nalizom trenutnog stanja i uočavanjem ključnih problema definisan je strateški cilj 2, kao i set operativnih ciljeva za dostizanje tog strateškog cilja.</w:t>
      </w:r>
    </w:p>
    <w:p w14:paraId="1E2D55F8" w14:textId="262CA536" w:rsidR="005414F1" w:rsidRDefault="005414F1" w:rsidP="00F90349">
      <w:pPr>
        <w:spacing w:line="276" w:lineRule="auto"/>
        <w:rPr>
          <w:rFonts w:ascii="Arial" w:hAnsi="Arial" w:cs="Arial"/>
        </w:rPr>
      </w:pPr>
      <w:r w:rsidRPr="0085657D">
        <w:rPr>
          <w:rFonts w:ascii="Arial" w:hAnsi="Arial" w:cs="Arial"/>
        </w:rPr>
        <w:t>Napredak ostvaren u pogledu dostizanja Strateškog cilja 2 biće mjeren putem seta pokazatelja (indikatora) uticaja.</w:t>
      </w:r>
    </w:p>
    <w:p w14:paraId="0A0BD3DE" w14:textId="71796078" w:rsidR="000A7BD3" w:rsidRDefault="000A7BD3" w:rsidP="00F90349">
      <w:pPr>
        <w:spacing w:line="276" w:lineRule="auto"/>
        <w:rPr>
          <w:rFonts w:ascii="Arial" w:hAnsi="Arial" w:cs="Arial"/>
        </w:rPr>
      </w:pPr>
    </w:p>
    <w:p w14:paraId="5876CE62" w14:textId="60D869EE" w:rsidR="008966E4" w:rsidRDefault="008966E4" w:rsidP="00F90349">
      <w:pPr>
        <w:spacing w:line="276" w:lineRule="auto"/>
        <w:rPr>
          <w:rFonts w:ascii="Arial" w:hAnsi="Arial" w:cs="Arial"/>
        </w:rPr>
      </w:pPr>
    </w:p>
    <w:p w14:paraId="6964B19D" w14:textId="77777777" w:rsidR="008966E4" w:rsidRPr="0085657D" w:rsidRDefault="008966E4" w:rsidP="00F90349">
      <w:pPr>
        <w:spacing w:line="276" w:lineRule="auto"/>
        <w:rPr>
          <w:rFonts w:ascii="Arial" w:hAnsi="Arial" w:cs="Arial"/>
        </w:rPr>
      </w:pPr>
    </w:p>
    <w:p w14:paraId="4C47D665" w14:textId="5F6401EE" w:rsidR="005414F1" w:rsidRPr="0085657D" w:rsidRDefault="005414F1" w:rsidP="005414F1">
      <w:pPr>
        <w:jc w:val="center"/>
        <w:rPr>
          <w:rFonts w:ascii="Arial" w:hAnsi="Arial" w:cs="Arial"/>
        </w:rPr>
      </w:pPr>
      <w:r w:rsidRPr="0085657D">
        <w:rPr>
          <w:rFonts w:ascii="Arial" w:hAnsi="Arial" w:cs="Arial"/>
          <w:i/>
          <w:iCs/>
        </w:rPr>
        <w:lastRenderedPageBreak/>
        <w:t xml:space="preserve">Tabela </w:t>
      </w:r>
      <w:r w:rsidR="00313C44">
        <w:rPr>
          <w:rFonts w:ascii="Arial" w:hAnsi="Arial" w:cs="Arial"/>
          <w:i/>
          <w:iCs/>
        </w:rPr>
        <w:t>7</w:t>
      </w:r>
      <w:r w:rsidRPr="0085657D">
        <w:rPr>
          <w:rFonts w:ascii="Arial" w:hAnsi="Arial" w:cs="Arial"/>
          <w:i/>
          <w:iCs/>
        </w:rPr>
        <w:t>: Indikatori realizacije Strateškog cilja 2</w:t>
      </w:r>
    </w:p>
    <w:tbl>
      <w:tblPr>
        <w:tblStyle w:val="TableGrid"/>
        <w:tblW w:w="5000" w:type="pct"/>
        <w:tblInd w:w="-5" w:type="dxa"/>
        <w:tblLayout w:type="fixed"/>
        <w:tblLook w:val="04A0" w:firstRow="1" w:lastRow="0" w:firstColumn="1" w:lastColumn="0" w:noHBand="0" w:noVBand="1"/>
      </w:tblPr>
      <w:tblGrid>
        <w:gridCol w:w="4244"/>
        <w:gridCol w:w="1556"/>
        <w:gridCol w:w="1556"/>
        <w:gridCol w:w="1984"/>
      </w:tblGrid>
      <w:tr w:rsidR="005414F1" w:rsidRPr="0085657D" w14:paraId="6397A501"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7AF8CF95" w14:textId="274AF46E" w:rsidR="00D91533" w:rsidRPr="0085657D" w:rsidRDefault="005414F1" w:rsidP="00D91533">
            <w:pPr>
              <w:rPr>
                <w:rFonts w:ascii="Arial" w:hAnsi="Arial" w:cs="Arial"/>
                <w:b/>
                <w:bCs/>
              </w:rPr>
            </w:pPr>
            <w:r w:rsidRPr="0085657D">
              <w:rPr>
                <w:rFonts w:ascii="Arial" w:hAnsi="Arial" w:cs="Arial"/>
                <w:b/>
                <w:bCs/>
              </w:rPr>
              <w:t>Strateški cilj 2:</w:t>
            </w:r>
            <w:r w:rsidR="00D91533" w:rsidRPr="0085657D">
              <w:rPr>
                <w:rFonts w:ascii="Arial" w:hAnsi="Arial" w:cs="Arial"/>
                <w:b/>
                <w:bCs/>
              </w:rPr>
              <w:t xml:space="preserve"> </w:t>
            </w:r>
            <w:r w:rsidR="00AC7BF5" w:rsidRPr="00C01806">
              <w:rPr>
                <w:b/>
                <w:bCs/>
              </w:rPr>
              <w:t>Unapređenje mehanizama za informisanje i podršku žrtvama</w:t>
            </w:r>
            <w:r w:rsidR="00AC7BF5">
              <w:rPr>
                <w:b/>
                <w:bCs/>
              </w:rPr>
              <w:t xml:space="preserve"> u krivičnom postupku</w:t>
            </w:r>
          </w:p>
          <w:p w14:paraId="364080BD" w14:textId="77777777" w:rsidR="005414F1" w:rsidRPr="0085657D" w:rsidRDefault="005414F1" w:rsidP="00C921B0">
            <w:pPr>
              <w:rPr>
                <w:rFonts w:ascii="Arial" w:hAnsi="Arial" w:cs="Arial"/>
              </w:rPr>
            </w:pPr>
          </w:p>
        </w:tc>
      </w:tr>
      <w:tr w:rsidR="005414F1" w:rsidRPr="0085657D" w14:paraId="2C2FD14D" w14:textId="77777777" w:rsidTr="007F5AA4">
        <w:trPr>
          <w:trHeight w:val="575"/>
        </w:trPr>
        <w:tc>
          <w:tcPr>
            <w:tcW w:w="2272" w:type="pct"/>
            <w:tcBorders>
              <w:top w:val="double" w:sz="4" w:space="0" w:color="auto"/>
            </w:tcBorders>
            <w:shd w:val="clear" w:color="auto" w:fill="FAE2D5" w:themeFill="accent2" w:themeFillTint="33"/>
          </w:tcPr>
          <w:p w14:paraId="4BA2091B" w14:textId="77777777" w:rsidR="005414F1" w:rsidRPr="0085657D" w:rsidRDefault="005414F1" w:rsidP="00C921B0">
            <w:pPr>
              <w:rPr>
                <w:rFonts w:ascii="Arial" w:hAnsi="Arial" w:cs="Arial"/>
              </w:rPr>
            </w:pPr>
            <w:r w:rsidRPr="0085657D">
              <w:rPr>
                <w:rFonts w:ascii="Arial" w:hAnsi="Arial" w:cs="Arial"/>
              </w:rPr>
              <w:t>Indikator uticaja</w:t>
            </w:r>
          </w:p>
        </w:tc>
        <w:tc>
          <w:tcPr>
            <w:tcW w:w="833" w:type="pct"/>
            <w:tcBorders>
              <w:top w:val="double" w:sz="4" w:space="0" w:color="auto"/>
            </w:tcBorders>
            <w:shd w:val="clear" w:color="auto" w:fill="FAE2D5" w:themeFill="accent2" w:themeFillTint="33"/>
          </w:tcPr>
          <w:p w14:paraId="2244204F" w14:textId="77777777" w:rsidR="005414F1" w:rsidRPr="0085657D" w:rsidRDefault="005414F1" w:rsidP="00D91533">
            <w:pPr>
              <w:jc w:val="center"/>
              <w:rPr>
                <w:rFonts w:ascii="Arial" w:hAnsi="Arial" w:cs="Arial"/>
              </w:rPr>
            </w:pPr>
            <w:r w:rsidRPr="0085657D">
              <w:rPr>
                <w:rFonts w:ascii="Arial" w:hAnsi="Arial" w:cs="Arial"/>
              </w:rPr>
              <w:t>Početna vrijednost</w:t>
            </w:r>
          </w:p>
          <w:p w14:paraId="2A9845D3" w14:textId="77777777" w:rsidR="005414F1" w:rsidRPr="0085657D" w:rsidRDefault="005414F1" w:rsidP="00D91533">
            <w:pPr>
              <w:jc w:val="center"/>
              <w:rPr>
                <w:rFonts w:ascii="Arial" w:hAnsi="Arial" w:cs="Arial"/>
              </w:rPr>
            </w:pPr>
            <w:r w:rsidRPr="0085657D">
              <w:rPr>
                <w:rFonts w:ascii="Arial" w:hAnsi="Arial" w:cs="Arial"/>
              </w:rPr>
              <w:t>202</w:t>
            </w:r>
            <w:r w:rsidR="00D91533" w:rsidRPr="0085657D">
              <w:rPr>
                <w:rFonts w:ascii="Arial" w:hAnsi="Arial" w:cs="Arial"/>
              </w:rPr>
              <w:t>4</w:t>
            </w:r>
            <w:r w:rsidRPr="0085657D">
              <w:rPr>
                <w:rFonts w:ascii="Arial" w:hAnsi="Arial" w:cs="Arial"/>
              </w:rPr>
              <w:t>.</w:t>
            </w:r>
          </w:p>
        </w:tc>
        <w:tc>
          <w:tcPr>
            <w:tcW w:w="833" w:type="pct"/>
            <w:tcBorders>
              <w:top w:val="double" w:sz="4" w:space="0" w:color="auto"/>
            </w:tcBorders>
            <w:shd w:val="clear" w:color="auto" w:fill="FAE2D5" w:themeFill="accent2" w:themeFillTint="33"/>
          </w:tcPr>
          <w:p w14:paraId="2EBB824D" w14:textId="018FDD7B" w:rsidR="005414F1" w:rsidRPr="0085657D" w:rsidRDefault="005414F1" w:rsidP="00D91533">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062" w:type="pct"/>
            <w:tcBorders>
              <w:top w:val="double" w:sz="4" w:space="0" w:color="auto"/>
              <w:right w:val="double" w:sz="4" w:space="0" w:color="auto"/>
            </w:tcBorders>
            <w:shd w:val="clear" w:color="auto" w:fill="FAE2D5" w:themeFill="accent2" w:themeFillTint="33"/>
          </w:tcPr>
          <w:p w14:paraId="6A8284DC" w14:textId="07307009" w:rsidR="005414F1" w:rsidRPr="0085657D" w:rsidRDefault="005414F1" w:rsidP="00D91533">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5414F1" w:rsidRPr="0085657D" w14:paraId="55E53DDD" w14:textId="77777777" w:rsidTr="007F5AA4">
        <w:trPr>
          <w:trHeight w:val="254"/>
        </w:trPr>
        <w:tc>
          <w:tcPr>
            <w:tcW w:w="2272" w:type="pct"/>
            <w:tcBorders>
              <w:top w:val="double" w:sz="4" w:space="0" w:color="auto"/>
              <w:bottom w:val="double" w:sz="4" w:space="0" w:color="auto"/>
            </w:tcBorders>
            <w:shd w:val="clear" w:color="auto" w:fill="FFFFFF" w:themeFill="background1"/>
          </w:tcPr>
          <w:p w14:paraId="417D4799" w14:textId="77777777" w:rsidR="005414F1" w:rsidRPr="0085657D" w:rsidRDefault="00C012A5" w:rsidP="00C921B0">
            <w:pPr>
              <w:shd w:val="clear" w:color="auto" w:fill="FFFFFF" w:themeFill="background1"/>
              <w:spacing w:after="240"/>
              <w:rPr>
                <w:rFonts w:ascii="Arial" w:hAnsi="Arial" w:cs="Arial"/>
              </w:rPr>
            </w:pPr>
            <w:r w:rsidRPr="0085657D">
              <w:rPr>
                <w:rFonts w:ascii="Arial" w:hAnsi="Arial" w:cs="Arial"/>
              </w:rPr>
              <w:t>Žrtve krivičnih djela u Crnoj Gori već pri prvom kontaktu sa organom postupka dobijaju sve informacije propisane članom 4 Direktive 2012</w:t>
            </w:r>
            <w:r w:rsidR="00E95A1F" w:rsidRPr="0085657D">
              <w:rPr>
                <w:rFonts w:ascii="Arial" w:hAnsi="Arial" w:cs="Arial"/>
              </w:rPr>
              <w:t>/</w:t>
            </w:r>
            <w:r w:rsidRPr="0085657D">
              <w:rPr>
                <w:rFonts w:ascii="Arial" w:hAnsi="Arial" w:cs="Arial"/>
              </w:rPr>
              <w:t>029</w:t>
            </w:r>
            <w:r w:rsidR="00E95A1F" w:rsidRPr="0085657D">
              <w:rPr>
                <w:rFonts w:ascii="Arial" w:hAnsi="Arial" w:cs="Arial"/>
              </w:rPr>
              <w:t>/</w:t>
            </w:r>
            <w:r w:rsidRPr="0085657D">
              <w:rPr>
                <w:rFonts w:ascii="Arial" w:hAnsi="Arial" w:cs="Arial"/>
              </w:rPr>
              <w:t>EU.</w:t>
            </w:r>
          </w:p>
        </w:tc>
        <w:tc>
          <w:tcPr>
            <w:tcW w:w="833" w:type="pct"/>
            <w:tcBorders>
              <w:top w:val="double" w:sz="4" w:space="0" w:color="auto"/>
              <w:bottom w:val="double" w:sz="4" w:space="0" w:color="auto"/>
            </w:tcBorders>
            <w:shd w:val="clear" w:color="auto" w:fill="FFFFFF" w:themeFill="background1"/>
          </w:tcPr>
          <w:p w14:paraId="7E307D23" w14:textId="77777777" w:rsidR="005414F1" w:rsidRPr="0085657D" w:rsidRDefault="00F16D69" w:rsidP="00C921B0">
            <w:pPr>
              <w:shd w:val="clear" w:color="auto" w:fill="FFFFFF" w:themeFill="background1"/>
              <w:jc w:val="center"/>
              <w:rPr>
                <w:rFonts w:ascii="Arial" w:hAnsi="Arial" w:cs="Arial"/>
              </w:rPr>
            </w:pPr>
            <w:r w:rsidRPr="0085657D">
              <w:rPr>
                <w:rFonts w:ascii="Arial" w:hAnsi="Arial" w:cs="Arial"/>
              </w:rPr>
              <w:t>NE</w:t>
            </w:r>
          </w:p>
        </w:tc>
        <w:tc>
          <w:tcPr>
            <w:tcW w:w="833" w:type="pct"/>
            <w:tcBorders>
              <w:top w:val="double" w:sz="4" w:space="0" w:color="auto"/>
              <w:bottom w:val="double" w:sz="4" w:space="0" w:color="auto"/>
            </w:tcBorders>
            <w:shd w:val="clear" w:color="auto" w:fill="FFFFFF" w:themeFill="background1"/>
          </w:tcPr>
          <w:p w14:paraId="253DAFA3" w14:textId="77777777" w:rsidR="005414F1" w:rsidRPr="0085657D" w:rsidRDefault="00F16D69" w:rsidP="00C921B0">
            <w:pPr>
              <w:shd w:val="clear" w:color="auto" w:fill="FFFFFF" w:themeFill="background1"/>
              <w:jc w:val="center"/>
              <w:rPr>
                <w:rFonts w:ascii="Arial" w:hAnsi="Arial" w:cs="Arial"/>
              </w:rPr>
            </w:pPr>
            <w:r w:rsidRPr="0085657D">
              <w:rPr>
                <w:rFonts w:ascii="Arial" w:hAnsi="Arial" w:cs="Arial"/>
              </w:rPr>
              <w:t>DA</w:t>
            </w:r>
          </w:p>
        </w:tc>
        <w:tc>
          <w:tcPr>
            <w:tcW w:w="1062" w:type="pct"/>
            <w:tcBorders>
              <w:top w:val="double" w:sz="4" w:space="0" w:color="auto"/>
              <w:bottom w:val="double" w:sz="4" w:space="0" w:color="auto"/>
              <w:right w:val="double" w:sz="4" w:space="0" w:color="auto"/>
            </w:tcBorders>
            <w:shd w:val="clear" w:color="auto" w:fill="FFFFFF" w:themeFill="background1"/>
          </w:tcPr>
          <w:p w14:paraId="4A87C6DF" w14:textId="77777777" w:rsidR="005414F1" w:rsidRPr="0085657D" w:rsidRDefault="00F16D69" w:rsidP="00C921B0">
            <w:pPr>
              <w:shd w:val="clear" w:color="auto" w:fill="FFFFFF" w:themeFill="background1"/>
              <w:jc w:val="center"/>
              <w:rPr>
                <w:rFonts w:ascii="Arial" w:hAnsi="Arial" w:cs="Arial"/>
              </w:rPr>
            </w:pPr>
            <w:r w:rsidRPr="0085657D">
              <w:rPr>
                <w:rFonts w:ascii="Arial" w:hAnsi="Arial" w:cs="Arial"/>
              </w:rPr>
              <w:t>DA</w:t>
            </w:r>
          </w:p>
        </w:tc>
      </w:tr>
      <w:tr w:rsidR="007F5AA4" w:rsidRPr="0085657D" w14:paraId="30C8A313" w14:textId="77777777" w:rsidTr="007F5AA4">
        <w:trPr>
          <w:trHeight w:val="254"/>
        </w:trPr>
        <w:tc>
          <w:tcPr>
            <w:tcW w:w="2272" w:type="pct"/>
            <w:tcBorders>
              <w:top w:val="double" w:sz="4" w:space="0" w:color="auto"/>
              <w:bottom w:val="double" w:sz="4" w:space="0" w:color="auto"/>
            </w:tcBorders>
            <w:shd w:val="clear" w:color="auto" w:fill="FFFFFF" w:themeFill="background1"/>
          </w:tcPr>
          <w:p w14:paraId="568333DB" w14:textId="7A6DE375" w:rsidR="007F5AA4" w:rsidRPr="0085657D" w:rsidRDefault="007F5AA4" w:rsidP="007F5AA4">
            <w:pPr>
              <w:shd w:val="clear" w:color="auto" w:fill="FFFFFF" w:themeFill="background1"/>
              <w:spacing w:after="240"/>
              <w:rPr>
                <w:rFonts w:ascii="Arial" w:hAnsi="Arial" w:cs="Arial"/>
              </w:rPr>
            </w:pPr>
            <w:r w:rsidRPr="0037368D">
              <w:rPr>
                <w:rFonts w:cstheme="minorHAnsi"/>
              </w:rPr>
              <w:t>Žrtvama krivičnih djela u Crnoj Gori dostupne</w:t>
            </w:r>
            <w:r w:rsidR="00D41839">
              <w:rPr>
                <w:rFonts w:cstheme="minorHAnsi"/>
              </w:rPr>
              <w:t xml:space="preserve"> su</w:t>
            </w:r>
            <w:r w:rsidRPr="0037368D">
              <w:rPr>
                <w:rFonts w:cstheme="minorHAnsi"/>
              </w:rPr>
              <w:t xml:space="preserve"> usluge službi podrške žrtvama.</w:t>
            </w:r>
          </w:p>
        </w:tc>
        <w:tc>
          <w:tcPr>
            <w:tcW w:w="833" w:type="pct"/>
            <w:tcBorders>
              <w:top w:val="double" w:sz="4" w:space="0" w:color="auto"/>
              <w:bottom w:val="double" w:sz="4" w:space="0" w:color="auto"/>
            </w:tcBorders>
            <w:shd w:val="clear" w:color="auto" w:fill="FFFFFF" w:themeFill="background1"/>
          </w:tcPr>
          <w:p w14:paraId="026939F8" w14:textId="64BBF4B1" w:rsidR="007F5AA4" w:rsidRPr="0085657D" w:rsidRDefault="007F5AA4" w:rsidP="007F5AA4">
            <w:pPr>
              <w:shd w:val="clear" w:color="auto" w:fill="FFFFFF" w:themeFill="background1"/>
              <w:jc w:val="center"/>
              <w:rPr>
                <w:rFonts w:ascii="Arial" w:hAnsi="Arial" w:cs="Arial"/>
              </w:rPr>
            </w:pPr>
            <w:r w:rsidRPr="0037368D">
              <w:rPr>
                <w:rFonts w:cstheme="minorHAnsi"/>
              </w:rPr>
              <w:t>NE</w:t>
            </w:r>
          </w:p>
        </w:tc>
        <w:tc>
          <w:tcPr>
            <w:tcW w:w="833" w:type="pct"/>
            <w:tcBorders>
              <w:top w:val="double" w:sz="4" w:space="0" w:color="auto"/>
              <w:bottom w:val="double" w:sz="4" w:space="0" w:color="auto"/>
            </w:tcBorders>
            <w:shd w:val="clear" w:color="auto" w:fill="FFFFFF" w:themeFill="background1"/>
          </w:tcPr>
          <w:p w14:paraId="19E197AB" w14:textId="19A70770" w:rsidR="007F5AA4" w:rsidRPr="0085657D" w:rsidRDefault="007F5AA4" w:rsidP="007F5AA4">
            <w:pPr>
              <w:shd w:val="clear" w:color="auto" w:fill="FFFFFF" w:themeFill="background1"/>
              <w:jc w:val="center"/>
              <w:rPr>
                <w:rFonts w:ascii="Arial" w:hAnsi="Arial" w:cs="Arial"/>
              </w:rPr>
            </w:pPr>
            <w:r w:rsidRPr="0037368D">
              <w:rPr>
                <w:rFonts w:cstheme="minorHAnsi"/>
              </w:rPr>
              <w:t>NE</w:t>
            </w:r>
          </w:p>
        </w:tc>
        <w:tc>
          <w:tcPr>
            <w:tcW w:w="1062" w:type="pct"/>
            <w:tcBorders>
              <w:top w:val="double" w:sz="4" w:space="0" w:color="auto"/>
              <w:bottom w:val="double" w:sz="4" w:space="0" w:color="auto"/>
              <w:right w:val="double" w:sz="4" w:space="0" w:color="auto"/>
            </w:tcBorders>
            <w:shd w:val="clear" w:color="auto" w:fill="FFFFFF" w:themeFill="background1"/>
          </w:tcPr>
          <w:p w14:paraId="7E8433EA" w14:textId="37D5250F" w:rsidR="007F5AA4" w:rsidRPr="0085657D" w:rsidRDefault="007F5AA4" w:rsidP="007F5AA4">
            <w:pPr>
              <w:shd w:val="clear" w:color="auto" w:fill="FFFFFF" w:themeFill="background1"/>
              <w:jc w:val="center"/>
              <w:rPr>
                <w:rFonts w:ascii="Arial" w:hAnsi="Arial" w:cs="Arial"/>
              </w:rPr>
            </w:pPr>
            <w:r w:rsidRPr="0037368D">
              <w:rPr>
                <w:rFonts w:cstheme="minorHAnsi"/>
              </w:rPr>
              <w:t>DA</w:t>
            </w:r>
          </w:p>
        </w:tc>
      </w:tr>
      <w:tr w:rsidR="005414F1" w:rsidRPr="0085657D" w14:paraId="3DE49BEA" w14:textId="77777777" w:rsidTr="000A7BD3">
        <w:trPr>
          <w:trHeight w:val="254"/>
        </w:trPr>
        <w:tc>
          <w:tcPr>
            <w:tcW w:w="5000" w:type="pct"/>
            <w:gridSpan w:val="4"/>
            <w:tcBorders>
              <w:top w:val="double" w:sz="4" w:space="0" w:color="auto"/>
              <w:bottom w:val="double" w:sz="4" w:space="0" w:color="auto"/>
              <w:right w:val="double" w:sz="4" w:space="0" w:color="auto"/>
            </w:tcBorders>
            <w:shd w:val="clear" w:color="auto" w:fill="D9F2D0" w:themeFill="accent6" w:themeFillTint="33"/>
          </w:tcPr>
          <w:p w14:paraId="1C24EE8A" w14:textId="77777777" w:rsidR="005414F1" w:rsidRPr="0085657D" w:rsidRDefault="005414F1" w:rsidP="00742FA8">
            <w:pPr>
              <w:spacing w:after="120"/>
              <w:rPr>
                <w:rFonts w:ascii="Arial" w:hAnsi="Arial" w:cs="Arial"/>
                <w:b/>
                <w:bCs/>
                <w:u w:val="single"/>
              </w:rPr>
            </w:pPr>
            <w:r w:rsidRPr="0085657D">
              <w:rPr>
                <w:rFonts w:ascii="Arial" w:hAnsi="Arial" w:cs="Arial"/>
                <w:b/>
                <w:bCs/>
                <w:u w:val="single"/>
              </w:rPr>
              <w:t>U okviru Strateškog cilja 2 definisani su sljedeći operativni ciljevi:</w:t>
            </w:r>
          </w:p>
          <w:p w14:paraId="4FDFE76B" w14:textId="187B6C74" w:rsidR="005414F1" w:rsidRPr="0085657D" w:rsidRDefault="005414F1" w:rsidP="00C921B0">
            <w:pPr>
              <w:rPr>
                <w:rFonts w:ascii="Arial" w:hAnsi="Arial" w:cs="Arial"/>
              </w:rPr>
            </w:pPr>
            <w:r w:rsidRPr="0085657D">
              <w:rPr>
                <w:rFonts w:ascii="Arial" w:hAnsi="Arial" w:cs="Arial"/>
              </w:rPr>
              <w:t xml:space="preserve">OC 2.1. </w:t>
            </w:r>
            <w:r w:rsidR="00500F94" w:rsidRPr="0085657D">
              <w:rPr>
                <w:rFonts w:ascii="Arial" w:hAnsi="Arial" w:cs="Arial"/>
              </w:rPr>
              <w:t>Unapređenje</w:t>
            </w:r>
            <w:r w:rsidR="008C51C2" w:rsidRPr="0085657D">
              <w:rPr>
                <w:rFonts w:ascii="Arial" w:hAnsi="Arial" w:cs="Arial"/>
              </w:rPr>
              <w:t xml:space="preserve"> mehanizama za informisanje žrtava</w:t>
            </w:r>
            <w:r w:rsidR="00AC7BF5">
              <w:rPr>
                <w:rFonts w:ascii="Arial" w:hAnsi="Arial" w:cs="Arial"/>
              </w:rPr>
              <w:t xml:space="preserve"> u krivičnom postupku</w:t>
            </w:r>
          </w:p>
          <w:p w14:paraId="2BFB6239" w14:textId="77777777" w:rsidR="007F5AA4" w:rsidRPr="0037368D" w:rsidRDefault="007F5AA4" w:rsidP="007F5AA4">
            <w:r w:rsidRPr="0037368D">
              <w:t>OC 2.2. Uspostavljanje službi podrške žrtvama pri višim sudovima</w:t>
            </w:r>
          </w:p>
          <w:p w14:paraId="65F3EAD7" w14:textId="61767B8B" w:rsidR="007F5AA4" w:rsidRPr="0037368D" w:rsidRDefault="007F5AA4" w:rsidP="007F5AA4">
            <w:r w:rsidRPr="0037368D">
              <w:t xml:space="preserve">OC 2.3. </w:t>
            </w:r>
            <w:r w:rsidRPr="003E5C3F">
              <w:t>Unapređenje usluga specijalizovane podrške</w:t>
            </w:r>
            <w:r w:rsidRPr="0037368D" w:rsidDel="0066575C">
              <w:t xml:space="preserve"> </w:t>
            </w:r>
          </w:p>
          <w:p w14:paraId="03786C6F" w14:textId="77777777" w:rsidR="005414F1" w:rsidRPr="0085657D" w:rsidRDefault="005414F1" w:rsidP="005F6C84">
            <w:pPr>
              <w:rPr>
                <w:rFonts w:ascii="Arial" w:hAnsi="Arial" w:cs="Arial"/>
              </w:rPr>
            </w:pPr>
          </w:p>
        </w:tc>
      </w:tr>
    </w:tbl>
    <w:p w14:paraId="063E45B0" w14:textId="77777777" w:rsidR="008C51C2" w:rsidRPr="0085657D" w:rsidRDefault="008C51C2" w:rsidP="005414F1">
      <w:pPr>
        <w:rPr>
          <w:rFonts w:ascii="Arial" w:hAnsi="Arial" w:cs="Arial"/>
        </w:rPr>
      </w:pPr>
    </w:p>
    <w:p w14:paraId="1E043713" w14:textId="6CE3EE81" w:rsidR="005414F1" w:rsidRPr="0085657D" w:rsidRDefault="0049710D" w:rsidP="0049710D">
      <w:pPr>
        <w:pStyle w:val="Heading3"/>
        <w:jc w:val="center"/>
        <w:rPr>
          <w:rFonts w:ascii="Arial" w:hAnsi="Arial" w:cs="Arial"/>
          <w:sz w:val="22"/>
          <w:szCs w:val="22"/>
        </w:rPr>
      </w:pPr>
      <w:bookmarkStart w:id="62" w:name="_Toc208489210"/>
      <w:r w:rsidRPr="0085657D">
        <w:rPr>
          <w:rFonts w:ascii="Arial" w:hAnsi="Arial" w:cs="Arial"/>
          <w:sz w:val="22"/>
          <w:szCs w:val="22"/>
        </w:rPr>
        <w:t xml:space="preserve">Operativni cilj 2.1: </w:t>
      </w:r>
      <w:r w:rsidR="00933B5F" w:rsidRPr="0085657D">
        <w:rPr>
          <w:rFonts w:ascii="Arial" w:hAnsi="Arial" w:cs="Arial"/>
          <w:sz w:val="22"/>
          <w:szCs w:val="22"/>
        </w:rPr>
        <w:t>Unapređenje</w:t>
      </w:r>
      <w:r w:rsidR="00AB3E75" w:rsidRPr="0085657D">
        <w:rPr>
          <w:rFonts w:ascii="Arial" w:hAnsi="Arial" w:cs="Arial"/>
          <w:sz w:val="22"/>
          <w:szCs w:val="22"/>
        </w:rPr>
        <w:t xml:space="preserve"> </w:t>
      </w:r>
      <w:r w:rsidR="00D91533" w:rsidRPr="0085657D">
        <w:rPr>
          <w:rFonts w:ascii="Arial" w:hAnsi="Arial" w:cs="Arial"/>
          <w:sz w:val="22"/>
          <w:szCs w:val="22"/>
        </w:rPr>
        <w:t>mehanizama</w:t>
      </w:r>
      <w:r w:rsidR="00AB3E75" w:rsidRPr="0085657D">
        <w:rPr>
          <w:rFonts w:ascii="Arial" w:hAnsi="Arial" w:cs="Arial"/>
          <w:sz w:val="22"/>
          <w:szCs w:val="22"/>
        </w:rPr>
        <w:t xml:space="preserve"> </w:t>
      </w:r>
      <w:r w:rsidR="00D91533" w:rsidRPr="0085657D">
        <w:rPr>
          <w:rFonts w:ascii="Arial" w:hAnsi="Arial" w:cs="Arial"/>
          <w:sz w:val="22"/>
          <w:szCs w:val="22"/>
        </w:rPr>
        <w:t>za</w:t>
      </w:r>
      <w:r w:rsidR="00AB3E75" w:rsidRPr="0085657D">
        <w:rPr>
          <w:rFonts w:ascii="Arial" w:hAnsi="Arial" w:cs="Arial"/>
          <w:sz w:val="22"/>
          <w:szCs w:val="22"/>
        </w:rPr>
        <w:t xml:space="preserve"> informisanje</w:t>
      </w:r>
      <w:r w:rsidR="00D91533" w:rsidRPr="0085657D">
        <w:rPr>
          <w:rFonts w:ascii="Arial" w:hAnsi="Arial" w:cs="Arial"/>
          <w:sz w:val="22"/>
          <w:szCs w:val="22"/>
        </w:rPr>
        <w:t xml:space="preserve"> žrtava</w:t>
      </w:r>
      <w:r w:rsidR="00AC7BF5">
        <w:rPr>
          <w:rFonts w:ascii="Arial" w:hAnsi="Arial" w:cs="Arial"/>
          <w:sz w:val="22"/>
          <w:szCs w:val="22"/>
        </w:rPr>
        <w:t xml:space="preserve"> u krivičnom postupku</w:t>
      </w:r>
      <w:bookmarkEnd w:id="62"/>
    </w:p>
    <w:p w14:paraId="22C187FB" w14:textId="77777777" w:rsidR="00AB3E75" w:rsidRPr="0085657D" w:rsidRDefault="00AB3E75" w:rsidP="008B4AA4">
      <w:pPr>
        <w:pStyle w:val="Default"/>
        <w:spacing w:after="240"/>
        <w:jc w:val="both"/>
        <w:rPr>
          <w:rFonts w:ascii="Arial" w:hAnsi="Arial" w:cs="Arial"/>
          <w:sz w:val="22"/>
          <w:szCs w:val="22"/>
          <w:lang w:val="sr-Latn-ME"/>
        </w:rPr>
      </w:pPr>
      <w:r w:rsidRPr="0085657D">
        <w:rPr>
          <w:rFonts w:ascii="Arial" w:hAnsi="Arial" w:cs="Arial"/>
          <w:sz w:val="22"/>
          <w:szCs w:val="22"/>
          <w:lang w:val="sr-Latn-ME"/>
        </w:rPr>
        <w:t xml:space="preserve">Izmjenama i dopunama </w:t>
      </w:r>
      <w:r w:rsidR="008B4AA4" w:rsidRPr="0085657D">
        <w:rPr>
          <w:rFonts w:ascii="Arial" w:hAnsi="Arial" w:cs="Arial"/>
          <w:sz w:val="22"/>
          <w:szCs w:val="22"/>
          <w:lang w:val="sr-Latn-ME"/>
        </w:rPr>
        <w:t>krivičnog zakonodavstva</w:t>
      </w:r>
      <w:r w:rsidRPr="0085657D">
        <w:rPr>
          <w:rFonts w:ascii="Arial" w:hAnsi="Arial" w:cs="Arial"/>
          <w:sz w:val="22"/>
          <w:szCs w:val="22"/>
          <w:lang w:val="sr-Latn-ME"/>
        </w:rPr>
        <w:t xml:space="preserve"> ova obaveza </w:t>
      </w:r>
      <w:r w:rsidR="008B4AA4" w:rsidRPr="0085657D">
        <w:rPr>
          <w:rFonts w:ascii="Arial" w:hAnsi="Arial" w:cs="Arial"/>
          <w:sz w:val="22"/>
          <w:szCs w:val="22"/>
          <w:lang w:val="sr-Latn-ME"/>
        </w:rPr>
        <w:t>pružanja žrtvama sveobuhvatnih informacija počev od prvog kontakta sa organom postupka biće</w:t>
      </w:r>
      <w:r w:rsidRPr="0085657D">
        <w:rPr>
          <w:rFonts w:ascii="Arial" w:hAnsi="Arial" w:cs="Arial"/>
          <w:sz w:val="22"/>
          <w:szCs w:val="22"/>
          <w:lang w:val="sr-Latn-ME"/>
        </w:rPr>
        <w:t xml:space="preserve"> uspješno inkorporirana u normativni okvir, ali je za njenu adekvatnu realizaciju u praksi neophodno uspostaviti mrežu </w:t>
      </w:r>
      <w:r w:rsidR="00A63BEB" w:rsidRPr="0085657D">
        <w:rPr>
          <w:rFonts w:ascii="Arial" w:hAnsi="Arial" w:cs="Arial"/>
          <w:sz w:val="22"/>
          <w:szCs w:val="22"/>
          <w:lang w:val="sr-Latn-ME"/>
        </w:rPr>
        <w:t>stručnih službi</w:t>
      </w:r>
      <w:r w:rsidRPr="0085657D">
        <w:rPr>
          <w:rFonts w:ascii="Arial" w:hAnsi="Arial" w:cs="Arial"/>
          <w:sz w:val="22"/>
          <w:szCs w:val="22"/>
          <w:lang w:val="sr-Latn-ME"/>
        </w:rPr>
        <w:t xml:space="preserve"> za</w:t>
      </w:r>
      <w:r w:rsidR="00A63BEB" w:rsidRPr="0085657D">
        <w:rPr>
          <w:rFonts w:ascii="Arial" w:hAnsi="Arial" w:cs="Arial"/>
          <w:sz w:val="22"/>
          <w:szCs w:val="22"/>
          <w:lang w:val="sr-Latn-ME"/>
        </w:rPr>
        <w:t xml:space="preserve"> podršku žrtvama u čijoj je nadležnosti i</w:t>
      </w:r>
      <w:r w:rsidRPr="0085657D">
        <w:rPr>
          <w:rFonts w:ascii="Arial" w:hAnsi="Arial" w:cs="Arial"/>
          <w:sz w:val="22"/>
          <w:szCs w:val="22"/>
          <w:lang w:val="sr-Latn-ME"/>
        </w:rPr>
        <w:t xml:space="preserve"> informisanje žrtava</w:t>
      </w:r>
      <w:r w:rsidR="008B4AA4" w:rsidRPr="0085657D">
        <w:rPr>
          <w:rFonts w:ascii="Arial" w:hAnsi="Arial" w:cs="Arial"/>
          <w:sz w:val="22"/>
          <w:szCs w:val="22"/>
          <w:lang w:val="sr-Latn-ME"/>
        </w:rPr>
        <w:t>. Po pravilu, ovaj prvi kontakt se ostvaruje sa policijom i/ili državnim tužilaštvom.</w:t>
      </w:r>
    </w:p>
    <w:p w14:paraId="758A64DF" w14:textId="7EF96CA7" w:rsidR="005414F1" w:rsidRPr="0085657D" w:rsidRDefault="008B4AA4" w:rsidP="008B4AA4">
      <w:pPr>
        <w:pStyle w:val="Default"/>
        <w:spacing w:after="240"/>
        <w:jc w:val="both"/>
        <w:rPr>
          <w:rFonts w:ascii="Arial" w:hAnsi="Arial" w:cs="Arial"/>
          <w:sz w:val="22"/>
          <w:szCs w:val="22"/>
          <w:lang w:val="sr-Latn-ME"/>
        </w:rPr>
      </w:pPr>
      <w:r w:rsidRPr="0085657D">
        <w:rPr>
          <w:rFonts w:ascii="Arial" w:hAnsi="Arial" w:cs="Arial"/>
          <w:sz w:val="22"/>
          <w:szCs w:val="22"/>
          <w:lang w:val="sr-Latn-ME"/>
        </w:rPr>
        <w:t xml:space="preserve">U tom smislu, u periodu koji predstoji, </w:t>
      </w:r>
      <w:r w:rsidR="00E017FB" w:rsidRPr="0085657D">
        <w:rPr>
          <w:rFonts w:ascii="Arial" w:hAnsi="Arial" w:cs="Arial"/>
          <w:sz w:val="22"/>
          <w:szCs w:val="22"/>
          <w:lang w:val="sr-Latn-ME"/>
        </w:rPr>
        <w:t xml:space="preserve">obučiti lica </w:t>
      </w:r>
      <w:r w:rsidR="00C03181" w:rsidRPr="0085657D">
        <w:rPr>
          <w:rFonts w:ascii="Arial" w:hAnsi="Arial" w:cs="Arial"/>
          <w:sz w:val="22"/>
          <w:szCs w:val="22"/>
          <w:lang w:val="sr-Latn-ME"/>
        </w:rPr>
        <w:t>koja dolaze u kontakt sa žrtvama</w:t>
      </w:r>
      <w:r w:rsidRPr="0085657D">
        <w:rPr>
          <w:rFonts w:ascii="Arial" w:hAnsi="Arial" w:cs="Arial"/>
          <w:sz w:val="22"/>
          <w:szCs w:val="22"/>
          <w:lang w:val="sr-Latn-ME"/>
        </w:rPr>
        <w:t>, čime bi se obezb</w:t>
      </w:r>
      <w:r w:rsidR="00D41839">
        <w:rPr>
          <w:rFonts w:ascii="Arial" w:hAnsi="Arial" w:cs="Arial"/>
          <w:sz w:val="22"/>
          <w:szCs w:val="22"/>
          <w:lang w:val="sr-Latn-ME"/>
        </w:rPr>
        <w:t>ij</w:t>
      </w:r>
      <w:r w:rsidRPr="0085657D">
        <w:rPr>
          <w:rFonts w:ascii="Arial" w:hAnsi="Arial" w:cs="Arial"/>
          <w:sz w:val="22"/>
          <w:szCs w:val="22"/>
          <w:lang w:val="sr-Latn-ME"/>
        </w:rPr>
        <w:t>edilo njihovo stručno i uniformno postupanje.</w:t>
      </w:r>
    </w:p>
    <w:p w14:paraId="594CC428" w14:textId="419ACF61" w:rsidR="005414F1" w:rsidRPr="0085657D" w:rsidRDefault="005414F1" w:rsidP="005414F1">
      <w:pPr>
        <w:jc w:val="center"/>
        <w:rPr>
          <w:rFonts w:ascii="Arial" w:hAnsi="Arial" w:cs="Arial"/>
        </w:rPr>
      </w:pPr>
      <w:r w:rsidRPr="0085657D">
        <w:rPr>
          <w:rFonts w:ascii="Arial" w:hAnsi="Arial" w:cs="Arial"/>
          <w:i/>
          <w:iCs/>
        </w:rPr>
        <w:t xml:space="preserve">Tabela </w:t>
      </w:r>
      <w:r w:rsidR="007957AF">
        <w:rPr>
          <w:rFonts w:ascii="Arial" w:hAnsi="Arial" w:cs="Arial"/>
          <w:i/>
          <w:iCs/>
        </w:rPr>
        <w:t>8</w:t>
      </w:r>
      <w:r w:rsidRPr="0085657D">
        <w:rPr>
          <w:rFonts w:ascii="Arial" w:hAnsi="Arial" w:cs="Arial"/>
          <w:i/>
          <w:iCs/>
        </w:rPr>
        <w:t>: Indikatori realizacije Operativnog cilja 2.1</w:t>
      </w:r>
    </w:p>
    <w:tbl>
      <w:tblPr>
        <w:tblStyle w:val="TableGrid"/>
        <w:tblW w:w="5059" w:type="pct"/>
        <w:tblInd w:w="-5" w:type="dxa"/>
        <w:tblLayout w:type="fixed"/>
        <w:tblLook w:val="04A0" w:firstRow="1" w:lastRow="0" w:firstColumn="1" w:lastColumn="0" w:noHBand="0" w:noVBand="1"/>
      </w:tblPr>
      <w:tblGrid>
        <w:gridCol w:w="1824"/>
        <w:gridCol w:w="3362"/>
        <w:gridCol w:w="1259"/>
        <w:gridCol w:w="1261"/>
        <w:gridCol w:w="1744"/>
      </w:tblGrid>
      <w:tr w:rsidR="00502E0A" w:rsidRPr="0085657D" w14:paraId="4396C4AD" w14:textId="77777777" w:rsidTr="000A7BD3">
        <w:trPr>
          <w:trHeight w:val="575"/>
        </w:trPr>
        <w:tc>
          <w:tcPr>
            <w:tcW w:w="965" w:type="pct"/>
            <w:tcBorders>
              <w:top w:val="double" w:sz="4" w:space="0" w:color="auto"/>
            </w:tcBorders>
            <w:shd w:val="clear" w:color="auto" w:fill="FAE2D5" w:themeFill="accent2" w:themeFillTint="33"/>
          </w:tcPr>
          <w:p w14:paraId="710E2A30" w14:textId="77777777" w:rsidR="005414F1" w:rsidRPr="0085657D" w:rsidRDefault="005414F1" w:rsidP="00C921B0">
            <w:pPr>
              <w:rPr>
                <w:rFonts w:ascii="Arial" w:hAnsi="Arial" w:cs="Arial"/>
              </w:rPr>
            </w:pPr>
            <w:r w:rsidRPr="0085657D">
              <w:rPr>
                <w:rFonts w:ascii="Arial" w:hAnsi="Arial" w:cs="Arial"/>
              </w:rPr>
              <w:t xml:space="preserve">Operativni </w:t>
            </w:r>
          </w:p>
          <w:p w14:paraId="477576B6" w14:textId="77777777" w:rsidR="005414F1" w:rsidRPr="0085657D" w:rsidRDefault="005414F1" w:rsidP="00C921B0">
            <w:pPr>
              <w:rPr>
                <w:rFonts w:ascii="Arial" w:hAnsi="Arial" w:cs="Arial"/>
              </w:rPr>
            </w:pPr>
            <w:r w:rsidRPr="0085657D">
              <w:rPr>
                <w:rFonts w:ascii="Arial" w:hAnsi="Arial" w:cs="Arial"/>
              </w:rPr>
              <w:t>ciljevi</w:t>
            </w:r>
          </w:p>
        </w:tc>
        <w:tc>
          <w:tcPr>
            <w:tcW w:w="1779" w:type="pct"/>
            <w:tcBorders>
              <w:top w:val="double" w:sz="4" w:space="0" w:color="auto"/>
            </w:tcBorders>
            <w:shd w:val="clear" w:color="auto" w:fill="FAE2D5" w:themeFill="accent2" w:themeFillTint="33"/>
          </w:tcPr>
          <w:p w14:paraId="005806F4" w14:textId="77777777" w:rsidR="005414F1" w:rsidRPr="0085657D" w:rsidRDefault="005414F1" w:rsidP="00C921B0">
            <w:pPr>
              <w:rPr>
                <w:rFonts w:ascii="Arial" w:hAnsi="Arial" w:cs="Arial"/>
              </w:rPr>
            </w:pPr>
            <w:r w:rsidRPr="0085657D">
              <w:rPr>
                <w:rFonts w:ascii="Arial" w:hAnsi="Arial" w:cs="Arial"/>
              </w:rPr>
              <w:t>Indikator učinka</w:t>
            </w:r>
          </w:p>
        </w:tc>
        <w:tc>
          <w:tcPr>
            <w:tcW w:w="666" w:type="pct"/>
            <w:tcBorders>
              <w:top w:val="double" w:sz="4" w:space="0" w:color="auto"/>
            </w:tcBorders>
            <w:shd w:val="clear" w:color="auto" w:fill="FAE2D5" w:themeFill="accent2" w:themeFillTint="33"/>
          </w:tcPr>
          <w:p w14:paraId="4C0F6228" w14:textId="77777777" w:rsidR="005414F1" w:rsidRPr="0085657D" w:rsidRDefault="005414F1" w:rsidP="00C921B0">
            <w:pPr>
              <w:rPr>
                <w:rFonts w:ascii="Arial" w:hAnsi="Arial" w:cs="Arial"/>
              </w:rPr>
            </w:pPr>
            <w:r w:rsidRPr="0085657D">
              <w:rPr>
                <w:rFonts w:ascii="Arial" w:hAnsi="Arial" w:cs="Arial"/>
              </w:rPr>
              <w:t>Početna vrijednost</w:t>
            </w:r>
          </w:p>
          <w:p w14:paraId="0535761F" w14:textId="77777777" w:rsidR="005414F1" w:rsidRPr="0085657D" w:rsidRDefault="005414F1" w:rsidP="00C921B0">
            <w:pPr>
              <w:rPr>
                <w:rFonts w:ascii="Arial" w:hAnsi="Arial" w:cs="Arial"/>
              </w:rPr>
            </w:pPr>
            <w:r w:rsidRPr="0085657D">
              <w:rPr>
                <w:rFonts w:ascii="Arial" w:hAnsi="Arial" w:cs="Arial"/>
              </w:rPr>
              <w:t>202</w:t>
            </w:r>
            <w:r w:rsidR="00502E0A" w:rsidRPr="0085657D">
              <w:rPr>
                <w:rFonts w:ascii="Arial" w:hAnsi="Arial" w:cs="Arial"/>
              </w:rPr>
              <w:t>4</w:t>
            </w:r>
            <w:r w:rsidRPr="0085657D">
              <w:rPr>
                <w:rFonts w:ascii="Arial" w:hAnsi="Arial" w:cs="Arial"/>
              </w:rPr>
              <w:t>.</w:t>
            </w:r>
          </w:p>
        </w:tc>
        <w:tc>
          <w:tcPr>
            <w:tcW w:w="667" w:type="pct"/>
            <w:tcBorders>
              <w:top w:val="double" w:sz="4" w:space="0" w:color="auto"/>
            </w:tcBorders>
            <w:shd w:val="clear" w:color="auto" w:fill="FAE2D5" w:themeFill="accent2" w:themeFillTint="33"/>
          </w:tcPr>
          <w:p w14:paraId="6F01401A" w14:textId="5C14B68A"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923" w:type="pct"/>
            <w:tcBorders>
              <w:top w:val="double" w:sz="4" w:space="0" w:color="auto"/>
              <w:right w:val="double" w:sz="4" w:space="0" w:color="auto"/>
            </w:tcBorders>
            <w:shd w:val="clear" w:color="auto" w:fill="FAE2D5" w:themeFill="accent2" w:themeFillTint="33"/>
          </w:tcPr>
          <w:p w14:paraId="1E05122B" w14:textId="21ABB8DB"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19217B" w:rsidRPr="0085657D" w14:paraId="62BF80EB" w14:textId="77777777" w:rsidTr="000A7BD3">
        <w:trPr>
          <w:trHeight w:val="254"/>
        </w:trPr>
        <w:tc>
          <w:tcPr>
            <w:tcW w:w="965" w:type="pct"/>
            <w:vMerge w:val="restart"/>
            <w:tcBorders>
              <w:top w:val="double" w:sz="4" w:space="0" w:color="auto"/>
            </w:tcBorders>
            <w:shd w:val="clear" w:color="auto" w:fill="D9F2D0" w:themeFill="accent6" w:themeFillTint="33"/>
          </w:tcPr>
          <w:p w14:paraId="0A03FE83" w14:textId="77777777" w:rsidR="0019217B" w:rsidRPr="0085657D" w:rsidRDefault="0019217B" w:rsidP="0019217B">
            <w:pPr>
              <w:pStyle w:val="ListParagraph"/>
              <w:numPr>
                <w:ilvl w:val="1"/>
                <w:numId w:val="8"/>
              </w:numPr>
              <w:rPr>
                <w:rFonts w:ascii="Arial" w:hAnsi="Arial" w:cs="Arial"/>
              </w:rPr>
            </w:pPr>
          </w:p>
          <w:p w14:paraId="56479D03" w14:textId="22BD2784" w:rsidR="0019217B" w:rsidRPr="0085657D" w:rsidRDefault="00663170" w:rsidP="0019217B">
            <w:pPr>
              <w:rPr>
                <w:rFonts w:ascii="Arial" w:hAnsi="Arial" w:cs="Arial"/>
              </w:rPr>
            </w:pPr>
            <w:r>
              <w:rPr>
                <w:rFonts w:ascii="Arial" w:hAnsi="Arial" w:cs="Arial"/>
              </w:rPr>
              <w:t>Unapr</w:t>
            </w:r>
            <w:r w:rsidR="0019217B" w:rsidRPr="0085657D">
              <w:rPr>
                <w:rFonts w:ascii="Arial" w:hAnsi="Arial" w:cs="Arial"/>
              </w:rPr>
              <w:t>eđenje mehanizama za informisanje žrtava</w:t>
            </w:r>
            <w:r w:rsidR="00AC7BF5">
              <w:rPr>
                <w:rFonts w:ascii="Arial" w:hAnsi="Arial" w:cs="Arial"/>
              </w:rPr>
              <w:t xml:space="preserve"> u krivičnom postupku</w:t>
            </w:r>
          </w:p>
        </w:tc>
        <w:tc>
          <w:tcPr>
            <w:tcW w:w="1779" w:type="pct"/>
            <w:tcBorders>
              <w:top w:val="double" w:sz="4" w:space="0" w:color="auto"/>
              <w:bottom w:val="double" w:sz="4" w:space="0" w:color="auto"/>
            </w:tcBorders>
            <w:shd w:val="clear" w:color="auto" w:fill="FFFFFF" w:themeFill="background1"/>
          </w:tcPr>
          <w:p w14:paraId="145F697D" w14:textId="77777777" w:rsidR="0019217B" w:rsidRPr="0085657D" w:rsidRDefault="0019217B" w:rsidP="0019217B">
            <w:pPr>
              <w:rPr>
                <w:rFonts w:ascii="Arial" w:hAnsi="Arial" w:cs="Arial"/>
              </w:rPr>
            </w:pPr>
            <w:r w:rsidRPr="0085657D">
              <w:rPr>
                <w:rFonts w:ascii="Arial" w:hAnsi="Arial" w:cs="Arial"/>
              </w:rPr>
              <w:t>%</w:t>
            </w:r>
            <w:r w:rsidR="0045555E" w:rsidRPr="0085657D">
              <w:rPr>
                <w:rFonts w:ascii="Arial" w:hAnsi="Arial" w:cs="Arial"/>
              </w:rPr>
              <w:t xml:space="preserve"> </w:t>
            </w:r>
            <w:r w:rsidR="008D5805" w:rsidRPr="0085657D">
              <w:rPr>
                <w:rFonts w:ascii="Arial" w:hAnsi="Arial" w:cs="Arial"/>
              </w:rPr>
              <w:t>policijskih službenika</w:t>
            </w:r>
            <w:r w:rsidR="0045555E" w:rsidRPr="0085657D">
              <w:rPr>
                <w:rFonts w:ascii="Arial" w:hAnsi="Arial" w:cs="Arial"/>
              </w:rPr>
              <w:t xml:space="preserve"> koj</w:t>
            </w:r>
            <w:r w:rsidR="008D5805" w:rsidRPr="0085657D">
              <w:rPr>
                <w:rFonts w:ascii="Arial" w:hAnsi="Arial" w:cs="Arial"/>
              </w:rPr>
              <w:t>i</w:t>
            </w:r>
            <w:r w:rsidR="0045555E" w:rsidRPr="0085657D">
              <w:rPr>
                <w:rFonts w:ascii="Arial" w:hAnsi="Arial" w:cs="Arial"/>
              </w:rPr>
              <w:t xml:space="preserve"> dolaze u kontakt sa žrtvama u UP</w:t>
            </w:r>
            <w:r w:rsidR="001E7488" w:rsidRPr="0085657D">
              <w:rPr>
                <w:rFonts w:ascii="Arial" w:hAnsi="Arial" w:cs="Arial"/>
              </w:rPr>
              <w:t>,</w:t>
            </w:r>
            <w:r w:rsidRPr="0085657D">
              <w:rPr>
                <w:rFonts w:ascii="Arial" w:hAnsi="Arial" w:cs="Arial"/>
              </w:rPr>
              <w:t xml:space="preserve"> </w:t>
            </w:r>
            <w:r w:rsidR="0045555E" w:rsidRPr="0085657D">
              <w:rPr>
                <w:rFonts w:ascii="Arial" w:hAnsi="Arial" w:cs="Arial"/>
              </w:rPr>
              <w:t>koj</w:t>
            </w:r>
            <w:r w:rsidR="008D5805" w:rsidRPr="0085657D">
              <w:rPr>
                <w:rFonts w:ascii="Arial" w:hAnsi="Arial" w:cs="Arial"/>
              </w:rPr>
              <w:t>i</w:t>
            </w:r>
            <w:r w:rsidR="0045555E" w:rsidRPr="0085657D">
              <w:rPr>
                <w:rFonts w:ascii="Arial" w:hAnsi="Arial" w:cs="Arial"/>
              </w:rPr>
              <w:t xml:space="preserve"> su obučen</w:t>
            </w:r>
            <w:r w:rsidR="008D5805" w:rsidRPr="0085657D">
              <w:rPr>
                <w:rFonts w:ascii="Arial" w:hAnsi="Arial" w:cs="Arial"/>
              </w:rPr>
              <w:t>i</w:t>
            </w:r>
            <w:r w:rsidR="0045555E" w:rsidRPr="0085657D">
              <w:rPr>
                <w:rFonts w:ascii="Arial" w:hAnsi="Arial" w:cs="Arial"/>
              </w:rPr>
              <w:t xml:space="preserve"> za njihovo informisanje</w:t>
            </w:r>
          </w:p>
          <w:p w14:paraId="2B5E9B61" w14:textId="77777777" w:rsidR="0019217B" w:rsidRPr="0085657D" w:rsidRDefault="0019217B" w:rsidP="0019217B">
            <w:pPr>
              <w:shd w:val="clear" w:color="auto" w:fill="FFFFFF" w:themeFill="background1"/>
              <w:spacing w:after="240"/>
              <w:rPr>
                <w:rFonts w:ascii="Arial" w:hAnsi="Arial" w:cs="Arial"/>
              </w:rPr>
            </w:pPr>
          </w:p>
        </w:tc>
        <w:tc>
          <w:tcPr>
            <w:tcW w:w="666" w:type="pct"/>
            <w:tcBorders>
              <w:top w:val="double" w:sz="4" w:space="0" w:color="auto"/>
              <w:bottom w:val="double" w:sz="4" w:space="0" w:color="auto"/>
            </w:tcBorders>
            <w:shd w:val="clear" w:color="auto" w:fill="FFFFFF" w:themeFill="background1"/>
          </w:tcPr>
          <w:p w14:paraId="677BB034"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p>
        </w:tc>
        <w:tc>
          <w:tcPr>
            <w:tcW w:w="667" w:type="pct"/>
            <w:tcBorders>
              <w:top w:val="double" w:sz="4" w:space="0" w:color="auto"/>
              <w:bottom w:val="double" w:sz="4" w:space="0" w:color="auto"/>
            </w:tcBorders>
            <w:shd w:val="clear" w:color="auto" w:fill="FFFFFF" w:themeFill="background1"/>
          </w:tcPr>
          <w:p w14:paraId="0F239E2D" w14:textId="53DF728A" w:rsidR="0019217B" w:rsidRPr="0085657D" w:rsidRDefault="005839B9" w:rsidP="0019217B">
            <w:pPr>
              <w:shd w:val="clear" w:color="auto" w:fill="FFFFFF" w:themeFill="background1"/>
              <w:jc w:val="center"/>
              <w:rPr>
                <w:rFonts w:ascii="Arial" w:hAnsi="Arial" w:cs="Arial"/>
              </w:rPr>
            </w:pPr>
            <w:r>
              <w:rPr>
                <w:rFonts w:ascii="Arial" w:hAnsi="Arial" w:cs="Arial"/>
              </w:rPr>
              <w:t>20%</w:t>
            </w:r>
          </w:p>
        </w:tc>
        <w:tc>
          <w:tcPr>
            <w:tcW w:w="923" w:type="pct"/>
            <w:tcBorders>
              <w:top w:val="double" w:sz="4" w:space="0" w:color="auto"/>
              <w:bottom w:val="double" w:sz="4" w:space="0" w:color="auto"/>
              <w:right w:val="double" w:sz="4" w:space="0" w:color="auto"/>
            </w:tcBorders>
            <w:shd w:val="clear" w:color="auto" w:fill="FFFFFF" w:themeFill="background1"/>
          </w:tcPr>
          <w:p w14:paraId="6477CB4F"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r>
      <w:tr w:rsidR="0019217B" w:rsidRPr="0085657D" w14:paraId="6C4A5FA0" w14:textId="77777777" w:rsidTr="000A7BD3">
        <w:trPr>
          <w:trHeight w:val="254"/>
        </w:trPr>
        <w:tc>
          <w:tcPr>
            <w:tcW w:w="965" w:type="pct"/>
            <w:vMerge/>
            <w:shd w:val="clear" w:color="auto" w:fill="D9F2D0" w:themeFill="accent6" w:themeFillTint="33"/>
          </w:tcPr>
          <w:p w14:paraId="67C1B4CD" w14:textId="77777777" w:rsidR="0019217B" w:rsidRPr="0085657D" w:rsidRDefault="0019217B" w:rsidP="0019217B">
            <w:pPr>
              <w:pStyle w:val="ListParagraph"/>
              <w:numPr>
                <w:ilvl w:val="1"/>
                <w:numId w:val="8"/>
              </w:numPr>
              <w:rPr>
                <w:rFonts w:ascii="Arial" w:hAnsi="Arial" w:cs="Arial"/>
              </w:rPr>
            </w:pPr>
          </w:p>
        </w:tc>
        <w:tc>
          <w:tcPr>
            <w:tcW w:w="1779" w:type="pct"/>
            <w:tcBorders>
              <w:top w:val="double" w:sz="4" w:space="0" w:color="auto"/>
              <w:bottom w:val="double" w:sz="4" w:space="0" w:color="auto"/>
            </w:tcBorders>
            <w:shd w:val="clear" w:color="auto" w:fill="FFFFFF" w:themeFill="background1"/>
          </w:tcPr>
          <w:p w14:paraId="0D41F8DD" w14:textId="77777777" w:rsidR="00C755CE" w:rsidRPr="0085657D" w:rsidRDefault="00C755CE" w:rsidP="00C755CE">
            <w:pPr>
              <w:rPr>
                <w:rFonts w:ascii="Arial" w:hAnsi="Arial" w:cs="Arial"/>
              </w:rPr>
            </w:pPr>
            <w:r w:rsidRPr="0085657D">
              <w:rPr>
                <w:rFonts w:ascii="Arial" w:hAnsi="Arial" w:cs="Arial"/>
              </w:rPr>
              <w:t xml:space="preserve">% </w:t>
            </w:r>
            <w:r w:rsidR="00BF014C" w:rsidRPr="0085657D">
              <w:rPr>
                <w:rFonts w:ascii="Arial" w:hAnsi="Arial" w:cs="Arial"/>
              </w:rPr>
              <w:t>lica</w:t>
            </w:r>
            <w:r w:rsidRPr="0085657D">
              <w:rPr>
                <w:rFonts w:ascii="Arial" w:hAnsi="Arial" w:cs="Arial"/>
              </w:rPr>
              <w:t xml:space="preserve"> koj</w:t>
            </w:r>
            <w:r w:rsidR="00BF014C" w:rsidRPr="0085657D">
              <w:rPr>
                <w:rFonts w:ascii="Arial" w:hAnsi="Arial" w:cs="Arial"/>
              </w:rPr>
              <w:t>a</w:t>
            </w:r>
            <w:r w:rsidRPr="0085657D">
              <w:rPr>
                <w:rFonts w:ascii="Arial" w:hAnsi="Arial" w:cs="Arial"/>
              </w:rPr>
              <w:t xml:space="preserve"> dolaze u kontakt sa žrtvama u državnim tužilaštvima</w:t>
            </w:r>
            <w:r w:rsidR="001E7488" w:rsidRPr="0085657D">
              <w:rPr>
                <w:rFonts w:ascii="Arial" w:hAnsi="Arial" w:cs="Arial"/>
              </w:rPr>
              <w:t>,</w:t>
            </w:r>
            <w:r w:rsidRPr="0085657D">
              <w:rPr>
                <w:rFonts w:ascii="Arial" w:hAnsi="Arial" w:cs="Arial"/>
              </w:rPr>
              <w:t xml:space="preserve"> koj</w:t>
            </w:r>
            <w:r w:rsidR="00BF014C" w:rsidRPr="0085657D">
              <w:rPr>
                <w:rFonts w:ascii="Arial" w:hAnsi="Arial" w:cs="Arial"/>
              </w:rPr>
              <w:t>a</w:t>
            </w:r>
            <w:r w:rsidRPr="0085657D">
              <w:rPr>
                <w:rFonts w:ascii="Arial" w:hAnsi="Arial" w:cs="Arial"/>
              </w:rPr>
              <w:t xml:space="preserve"> su obučen</w:t>
            </w:r>
            <w:r w:rsidR="00BF014C" w:rsidRPr="0085657D">
              <w:rPr>
                <w:rFonts w:ascii="Arial" w:hAnsi="Arial" w:cs="Arial"/>
              </w:rPr>
              <w:t>a</w:t>
            </w:r>
            <w:r w:rsidRPr="0085657D">
              <w:rPr>
                <w:rFonts w:ascii="Arial" w:hAnsi="Arial" w:cs="Arial"/>
              </w:rPr>
              <w:t xml:space="preserve"> za njihovo informisanje</w:t>
            </w:r>
          </w:p>
          <w:p w14:paraId="36F4E857" w14:textId="77777777" w:rsidR="0019217B" w:rsidRPr="0085657D" w:rsidRDefault="0019217B" w:rsidP="0019217B">
            <w:pPr>
              <w:rPr>
                <w:rFonts w:ascii="Arial" w:hAnsi="Arial" w:cs="Arial"/>
              </w:rPr>
            </w:pPr>
          </w:p>
        </w:tc>
        <w:tc>
          <w:tcPr>
            <w:tcW w:w="666" w:type="pct"/>
            <w:tcBorders>
              <w:top w:val="double" w:sz="4" w:space="0" w:color="auto"/>
              <w:bottom w:val="double" w:sz="4" w:space="0" w:color="auto"/>
            </w:tcBorders>
            <w:shd w:val="clear" w:color="auto" w:fill="FFFFFF" w:themeFill="background1"/>
          </w:tcPr>
          <w:p w14:paraId="6C8211F7"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p>
        </w:tc>
        <w:tc>
          <w:tcPr>
            <w:tcW w:w="667" w:type="pct"/>
            <w:tcBorders>
              <w:top w:val="double" w:sz="4" w:space="0" w:color="auto"/>
              <w:bottom w:val="double" w:sz="4" w:space="0" w:color="auto"/>
            </w:tcBorders>
            <w:shd w:val="clear" w:color="auto" w:fill="FFFFFF" w:themeFill="background1"/>
          </w:tcPr>
          <w:p w14:paraId="54F8320E"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c>
          <w:tcPr>
            <w:tcW w:w="923" w:type="pct"/>
            <w:tcBorders>
              <w:top w:val="double" w:sz="4" w:space="0" w:color="auto"/>
              <w:bottom w:val="double" w:sz="4" w:space="0" w:color="auto"/>
              <w:right w:val="double" w:sz="4" w:space="0" w:color="auto"/>
            </w:tcBorders>
            <w:shd w:val="clear" w:color="auto" w:fill="FFFFFF" w:themeFill="background1"/>
          </w:tcPr>
          <w:p w14:paraId="50A530B5"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r>
      <w:tr w:rsidR="0019217B" w:rsidRPr="0085657D" w14:paraId="26830287" w14:textId="77777777" w:rsidTr="000A7BD3">
        <w:trPr>
          <w:trHeight w:val="254"/>
        </w:trPr>
        <w:tc>
          <w:tcPr>
            <w:tcW w:w="965" w:type="pct"/>
            <w:vMerge/>
            <w:shd w:val="clear" w:color="auto" w:fill="D9F2D0" w:themeFill="accent6" w:themeFillTint="33"/>
          </w:tcPr>
          <w:p w14:paraId="7C436F16" w14:textId="77777777" w:rsidR="0019217B" w:rsidRPr="0085657D" w:rsidRDefault="0019217B" w:rsidP="0019217B">
            <w:pPr>
              <w:pStyle w:val="ListParagraph"/>
              <w:numPr>
                <w:ilvl w:val="1"/>
                <w:numId w:val="8"/>
              </w:numPr>
              <w:rPr>
                <w:rFonts w:ascii="Arial" w:hAnsi="Arial" w:cs="Arial"/>
              </w:rPr>
            </w:pPr>
          </w:p>
        </w:tc>
        <w:tc>
          <w:tcPr>
            <w:tcW w:w="1779" w:type="pct"/>
            <w:tcBorders>
              <w:top w:val="double" w:sz="4" w:space="0" w:color="auto"/>
              <w:bottom w:val="double" w:sz="4" w:space="0" w:color="auto"/>
            </w:tcBorders>
            <w:shd w:val="clear" w:color="auto" w:fill="FFFFFF" w:themeFill="background1"/>
          </w:tcPr>
          <w:p w14:paraId="4209A9D6" w14:textId="06D8A1BC" w:rsidR="00BF014C" w:rsidRPr="0085657D" w:rsidRDefault="00BF014C" w:rsidP="00BF014C">
            <w:pPr>
              <w:rPr>
                <w:rFonts w:ascii="Arial" w:hAnsi="Arial" w:cs="Arial"/>
              </w:rPr>
            </w:pPr>
            <w:r w:rsidRPr="0085657D">
              <w:rPr>
                <w:rFonts w:ascii="Arial" w:hAnsi="Arial" w:cs="Arial"/>
              </w:rPr>
              <w:t>% lica koja dolaze u kontakt sa žrtvama u sudovima, koja su obučen</w:t>
            </w:r>
            <w:r w:rsidR="00D41839">
              <w:rPr>
                <w:rFonts w:ascii="Arial" w:hAnsi="Arial" w:cs="Arial"/>
              </w:rPr>
              <w:t>a</w:t>
            </w:r>
            <w:r w:rsidRPr="0085657D">
              <w:rPr>
                <w:rFonts w:ascii="Arial" w:hAnsi="Arial" w:cs="Arial"/>
              </w:rPr>
              <w:t xml:space="preserve"> za njihovo informisanje</w:t>
            </w:r>
          </w:p>
          <w:p w14:paraId="07C5408D" w14:textId="77777777" w:rsidR="0019217B" w:rsidRPr="0085657D" w:rsidRDefault="0019217B" w:rsidP="0019217B">
            <w:pPr>
              <w:rPr>
                <w:rFonts w:ascii="Arial" w:hAnsi="Arial" w:cs="Arial"/>
              </w:rPr>
            </w:pPr>
          </w:p>
        </w:tc>
        <w:tc>
          <w:tcPr>
            <w:tcW w:w="666" w:type="pct"/>
            <w:tcBorders>
              <w:top w:val="double" w:sz="4" w:space="0" w:color="auto"/>
              <w:bottom w:val="double" w:sz="4" w:space="0" w:color="auto"/>
            </w:tcBorders>
            <w:shd w:val="clear" w:color="auto" w:fill="FFFFFF" w:themeFill="background1"/>
          </w:tcPr>
          <w:p w14:paraId="354A117A"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p>
        </w:tc>
        <w:tc>
          <w:tcPr>
            <w:tcW w:w="667" w:type="pct"/>
            <w:tcBorders>
              <w:top w:val="double" w:sz="4" w:space="0" w:color="auto"/>
              <w:bottom w:val="double" w:sz="4" w:space="0" w:color="auto"/>
            </w:tcBorders>
            <w:shd w:val="clear" w:color="auto" w:fill="FFFFFF" w:themeFill="background1"/>
          </w:tcPr>
          <w:p w14:paraId="758D4E42"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c>
          <w:tcPr>
            <w:tcW w:w="923" w:type="pct"/>
            <w:tcBorders>
              <w:top w:val="double" w:sz="4" w:space="0" w:color="auto"/>
              <w:bottom w:val="double" w:sz="4" w:space="0" w:color="auto"/>
              <w:right w:val="double" w:sz="4" w:space="0" w:color="auto"/>
            </w:tcBorders>
            <w:shd w:val="clear" w:color="auto" w:fill="FFFFFF" w:themeFill="background1"/>
          </w:tcPr>
          <w:p w14:paraId="49002B1E"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r>
      <w:tr w:rsidR="0019217B" w:rsidRPr="0085657D" w14:paraId="64C3DFF1" w14:textId="77777777" w:rsidTr="000A7BD3">
        <w:trPr>
          <w:trHeight w:val="254"/>
        </w:trPr>
        <w:tc>
          <w:tcPr>
            <w:tcW w:w="965" w:type="pct"/>
            <w:vMerge/>
            <w:shd w:val="clear" w:color="auto" w:fill="D9F2D0" w:themeFill="accent6" w:themeFillTint="33"/>
          </w:tcPr>
          <w:p w14:paraId="0B04CCB6" w14:textId="77777777" w:rsidR="0019217B" w:rsidRPr="0085657D" w:rsidRDefault="0019217B" w:rsidP="0019217B">
            <w:pPr>
              <w:pStyle w:val="ListParagraph"/>
              <w:numPr>
                <w:ilvl w:val="1"/>
                <w:numId w:val="8"/>
              </w:numPr>
              <w:rPr>
                <w:rFonts w:ascii="Arial" w:hAnsi="Arial" w:cs="Arial"/>
              </w:rPr>
            </w:pPr>
          </w:p>
        </w:tc>
        <w:tc>
          <w:tcPr>
            <w:tcW w:w="1779" w:type="pct"/>
            <w:tcBorders>
              <w:top w:val="double" w:sz="4" w:space="0" w:color="auto"/>
              <w:bottom w:val="double" w:sz="4" w:space="0" w:color="auto"/>
            </w:tcBorders>
            <w:shd w:val="clear" w:color="auto" w:fill="FFFFFF" w:themeFill="background1"/>
          </w:tcPr>
          <w:p w14:paraId="522E2986" w14:textId="4F8BF48F" w:rsidR="0019217B" w:rsidRPr="0085657D" w:rsidRDefault="0019217B" w:rsidP="0019217B">
            <w:pPr>
              <w:rPr>
                <w:rFonts w:ascii="Arial" w:hAnsi="Arial" w:cs="Arial"/>
              </w:rPr>
            </w:pPr>
            <w:r w:rsidRPr="0085657D">
              <w:rPr>
                <w:rFonts w:ascii="Arial" w:hAnsi="Arial" w:cs="Arial"/>
              </w:rPr>
              <w:t>Razvijene uniformne Smjernice za informisanje žrtava prilikom prvog kontakta sa organom postupka.</w:t>
            </w:r>
          </w:p>
        </w:tc>
        <w:tc>
          <w:tcPr>
            <w:tcW w:w="666" w:type="pct"/>
            <w:tcBorders>
              <w:top w:val="double" w:sz="4" w:space="0" w:color="auto"/>
              <w:bottom w:val="double" w:sz="4" w:space="0" w:color="auto"/>
            </w:tcBorders>
            <w:shd w:val="clear" w:color="auto" w:fill="FFFFFF" w:themeFill="background1"/>
          </w:tcPr>
          <w:p w14:paraId="4FFBD77D" w14:textId="4731FEF8" w:rsidR="0019217B" w:rsidRPr="0085657D" w:rsidRDefault="005839B9" w:rsidP="0019217B">
            <w:pPr>
              <w:shd w:val="clear" w:color="auto" w:fill="FFFFFF" w:themeFill="background1"/>
              <w:jc w:val="center"/>
              <w:rPr>
                <w:rFonts w:ascii="Arial" w:hAnsi="Arial" w:cs="Arial"/>
              </w:rPr>
            </w:pPr>
            <w:r>
              <w:rPr>
                <w:rFonts w:ascii="Arial" w:hAnsi="Arial" w:cs="Arial"/>
              </w:rPr>
              <w:t>NE</w:t>
            </w:r>
          </w:p>
        </w:tc>
        <w:tc>
          <w:tcPr>
            <w:tcW w:w="667" w:type="pct"/>
            <w:tcBorders>
              <w:top w:val="double" w:sz="4" w:space="0" w:color="auto"/>
              <w:bottom w:val="double" w:sz="4" w:space="0" w:color="auto"/>
            </w:tcBorders>
            <w:shd w:val="clear" w:color="auto" w:fill="FFFFFF" w:themeFill="background1"/>
          </w:tcPr>
          <w:p w14:paraId="0B86C023"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DA</w:t>
            </w:r>
          </w:p>
        </w:tc>
        <w:tc>
          <w:tcPr>
            <w:tcW w:w="923" w:type="pct"/>
            <w:tcBorders>
              <w:top w:val="double" w:sz="4" w:space="0" w:color="auto"/>
              <w:bottom w:val="double" w:sz="4" w:space="0" w:color="auto"/>
              <w:right w:val="double" w:sz="4" w:space="0" w:color="auto"/>
            </w:tcBorders>
            <w:shd w:val="clear" w:color="auto" w:fill="FFFFFF" w:themeFill="background1"/>
          </w:tcPr>
          <w:p w14:paraId="4B85BD81" w14:textId="77777777" w:rsidR="0019217B" w:rsidRPr="0085657D" w:rsidRDefault="0019217B" w:rsidP="0019217B">
            <w:pPr>
              <w:shd w:val="clear" w:color="auto" w:fill="FFFFFF" w:themeFill="background1"/>
              <w:jc w:val="center"/>
              <w:rPr>
                <w:rFonts w:ascii="Arial" w:hAnsi="Arial" w:cs="Arial"/>
              </w:rPr>
            </w:pPr>
            <w:r w:rsidRPr="0085657D">
              <w:rPr>
                <w:rFonts w:ascii="Arial" w:hAnsi="Arial" w:cs="Arial"/>
              </w:rPr>
              <w:t>DA</w:t>
            </w:r>
          </w:p>
        </w:tc>
      </w:tr>
      <w:tr w:rsidR="005B2296" w:rsidRPr="0085657D" w14:paraId="5F171D42" w14:textId="77777777" w:rsidTr="000A7BD3">
        <w:trPr>
          <w:trHeight w:val="254"/>
        </w:trPr>
        <w:tc>
          <w:tcPr>
            <w:tcW w:w="965" w:type="pct"/>
            <w:tcBorders>
              <w:bottom w:val="double" w:sz="4" w:space="0" w:color="auto"/>
            </w:tcBorders>
            <w:shd w:val="clear" w:color="auto" w:fill="D9F2D0" w:themeFill="accent6" w:themeFillTint="33"/>
          </w:tcPr>
          <w:p w14:paraId="01E4F976" w14:textId="77777777" w:rsidR="005B2296" w:rsidRPr="0085657D" w:rsidRDefault="005B2296" w:rsidP="005B2296">
            <w:pPr>
              <w:pStyle w:val="ListParagraph"/>
              <w:rPr>
                <w:rFonts w:ascii="Arial" w:hAnsi="Arial" w:cs="Arial"/>
              </w:rPr>
            </w:pPr>
          </w:p>
        </w:tc>
        <w:tc>
          <w:tcPr>
            <w:tcW w:w="1779" w:type="pct"/>
            <w:tcBorders>
              <w:top w:val="double" w:sz="4" w:space="0" w:color="auto"/>
              <w:bottom w:val="double" w:sz="4" w:space="0" w:color="auto"/>
            </w:tcBorders>
            <w:shd w:val="clear" w:color="auto" w:fill="FFFFFF" w:themeFill="background1"/>
          </w:tcPr>
          <w:p w14:paraId="4842E80D" w14:textId="27EE19BE" w:rsidR="005B2296" w:rsidRPr="0085657D" w:rsidRDefault="005B2296" w:rsidP="0019217B">
            <w:pPr>
              <w:rPr>
                <w:rFonts w:ascii="Arial" w:hAnsi="Arial" w:cs="Arial"/>
              </w:rPr>
            </w:pPr>
            <w:r w:rsidRPr="0085657D">
              <w:rPr>
                <w:rFonts w:ascii="Arial" w:eastAsiaTheme="minorHAnsi" w:hAnsi="Arial" w:cs="Arial"/>
                <w:lang w:eastAsia="en-US"/>
              </w:rPr>
              <w:t xml:space="preserve">Primjenjuju se </w:t>
            </w:r>
            <w:r w:rsidRPr="0085657D">
              <w:rPr>
                <w:rFonts w:ascii="Arial" w:hAnsi="Arial" w:cs="Arial"/>
              </w:rPr>
              <w:t>uniformne Smjernice za informisanje žrtava prilikom prvog kontakta sa organom postupka.</w:t>
            </w:r>
          </w:p>
        </w:tc>
        <w:tc>
          <w:tcPr>
            <w:tcW w:w="666" w:type="pct"/>
            <w:tcBorders>
              <w:top w:val="double" w:sz="4" w:space="0" w:color="auto"/>
              <w:bottom w:val="double" w:sz="4" w:space="0" w:color="auto"/>
            </w:tcBorders>
            <w:shd w:val="clear" w:color="auto" w:fill="FFFFFF" w:themeFill="background1"/>
          </w:tcPr>
          <w:p w14:paraId="49CD1FCE" w14:textId="640F54F2" w:rsidR="005B2296" w:rsidRPr="0085657D" w:rsidRDefault="005839B9" w:rsidP="0019217B">
            <w:pPr>
              <w:shd w:val="clear" w:color="auto" w:fill="FFFFFF" w:themeFill="background1"/>
              <w:jc w:val="center"/>
              <w:rPr>
                <w:rFonts w:ascii="Arial" w:hAnsi="Arial" w:cs="Arial"/>
              </w:rPr>
            </w:pPr>
            <w:r>
              <w:rPr>
                <w:rFonts w:ascii="Arial" w:hAnsi="Arial" w:cs="Arial"/>
              </w:rPr>
              <w:t>NE</w:t>
            </w:r>
          </w:p>
        </w:tc>
        <w:tc>
          <w:tcPr>
            <w:tcW w:w="667" w:type="pct"/>
            <w:tcBorders>
              <w:top w:val="double" w:sz="4" w:space="0" w:color="auto"/>
              <w:bottom w:val="double" w:sz="4" w:space="0" w:color="auto"/>
            </w:tcBorders>
            <w:shd w:val="clear" w:color="auto" w:fill="FFFFFF" w:themeFill="background1"/>
          </w:tcPr>
          <w:p w14:paraId="5D49ED96" w14:textId="61DBB0CC" w:rsidR="005B2296" w:rsidRPr="0085657D" w:rsidRDefault="005B2296" w:rsidP="0019217B">
            <w:pPr>
              <w:shd w:val="clear" w:color="auto" w:fill="FFFFFF" w:themeFill="background1"/>
              <w:jc w:val="center"/>
              <w:rPr>
                <w:rFonts w:ascii="Arial" w:hAnsi="Arial" w:cs="Arial"/>
              </w:rPr>
            </w:pPr>
            <w:r w:rsidRPr="0085657D">
              <w:rPr>
                <w:rFonts w:ascii="Arial" w:hAnsi="Arial" w:cs="Arial"/>
              </w:rPr>
              <w:t>DA</w:t>
            </w:r>
          </w:p>
        </w:tc>
        <w:tc>
          <w:tcPr>
            <w:tcW w:w="923" w:type="pct"/>
            <w:tcBorders>
              <w:top w:val="double" w:sz="4" w:space="0" w:color="auto"/>
              <w:bottom w:val="double" w:sz="4" w:space="0" w:color="auto"/>
              <w:right w:val="double" w:sz="4" w:space="0" w:color="auto"/>
            </w:tcBorders>
            <w:shd w:val="clear" w:color="auto" w:fill="FFFFFF" w:themeFill="background1"/>
          </w:tcPr>
          <w:p w14:paraId="782C85D4" w14:textId="00881B36" w:rsidR="005B2296" w:rsidRPr="0085657D" w:rsidRDefault="005B2296" w:rsidP="0019217B">
            <w:pPr>
              <w:shd w:val="clear" w:color="auto" w:fill="FFFFFF" w:themeFill="background1"/>
              <w:jc w:val="center"/>
              <w:rPr>
                <w:rFonts w:ascii="Arial" w:hAnsi="Arial" w:cs="Arial"/>
              </w:rPr>
            </w:pPr>
            <w:r w:rsidRPr="0085657D">
              <w:rPr>
                <w:rFonts w:ascii="Arial" w:hAnsi="Arial" w:cs="Arial"/>
              </w:rPr>
              <w:t>DA</w:t>
            </w:r>
          </w:p>
        </w:tc>
      </w:tr>
    </w:tbl>
    <w:p w14:paraId="0C38DCE0" w14:textId="77777777" w:rsidR="000A7BD3" w:rsidRPr="0085657D" w:rsidRDefault="000A7BD3" w:rsidP="005F6C84">
      <w:pPr>
        <w:rPr>
          <w:rFonts w:ascii="Arial" w:hAnsi="Arial" w:cs="Arial"/>
        </w:rPr>
      </w:pPr>
      <w:bookmarkStart w:id="63" w:name="_Hlk196477560"/>
    </w:p>
    <w:p w14:paraId="0851F100" w14:textId="417938B6" w:rsidR="005F6C84" w:rsidRPr="0085657D" w:rsidRDefault="005F6C84" w:rsidP="005F6C84">
      <w:pPr>
        <w:keepNext/>
        <w:keepLines/>
        <w:spacing w:before="160" w:after="240"/>
        <w:ind w:left="360"/>
        <w:jc w:val="left"/>
        <w:outlineLvl w:val="2"/>
        <w:rPr>
          <w:rFonts w:ascii="Arial" w:eastAsiaTheme="majorEastAsia" w:hAnsi="Arial" w:cs="Arial"/>
          <w:color w:val="0F4761" w:themeColor="accent1" w:themeShade="BF"/>
        </w:rPr>
      </w:pPr>
      <w:bookmarkStart w:id="64" w:name="_Toc208489211"/>
      <w:r w:rsidRPr="0085657D">
        <w:rPr>
          <w:rFonts w:ascii="Arial" w:eastAsiaTheme="majorEastAsia" w:hAnsi="Arial" w:cs="Arial"/>
          <w:color w:val="0F4761" w:themeColor="accent1" w:themeShade="BF"/>
        </w:rPr>
        <w:t xml:space="preserve">Operativni cilj </w:t>
      </w:r>
      <w:r w:rsidR="00D10440">
        <w:rPr>
          <w:rFonts w:ascii="Arial" w:eastAsiaTheme="majorEastAsia" w:hAnsi="Arial" w:cs="Arial"/>
          <w:color w:val="0F4761" w:themeColor="accent1" w:themeShade="BF"/>
        </w:rPr>
        <w:t>2.2.</w:t>
      </w:r>
      <w:r w:rsidRPr="0085657D">
        <w:rPr>
          <w:rFonts w:ascii="Arial" w:eastAsiaTheme="majorEastAsia" w:hAnsi="Arial" w:cs="Arial"/>
          <w:color w:val="0F4761" w:themeColor="accent1" w:themeShade="BF"/>
        </w:rPr>
        <w:t>: Uspostavljanje službi podrške žrtvama pri višim tužilaštvima i sudovima</w:t>
      </w:r>
      <w:bookmarkEnd w:id="64"/>
    </w:p>
    <w:p w14:paraId="4A973935" w14:textId="77777777" w:rsidR="005F6C84" w:rsidRPr="0085657D" w:rsidRDefault="005F6C84" w:rsidP="005F6C84">
      <w:pPr>
        <w:spacing w:line="276" w:lineRule="auto"/>
        <w:rPr>
          <w:rFonts w:ascii="Arial" w:hAnsi="Arial" w:cs="Arial"/>
        </w:rPr>
      </w:pPr>
      <w:r w:rsidRPr="0085657D">
        <w:rPr>
          <w:rFonts w:ascii="Arial" w:hAnsi="Arial" w:cs="Arial"/>
        </w:rPr>
        <w:t xml:space="preserve">Individualne karakteristike žrtve, vrsta, težina ali i okolnosti izvršenja krivičnog djela, rezultiraju u značajnim razlikama u pogledu potreba žrtava u kontekstu podrške i pomoći. U tom smislu, ključnu ulogu, nakon pružanja blagovremenih i sveobuhvatnih informacija žrtvama, počev od prvog kontakta žrtve sa organom postupka, igra individualna procjena potreba žrtve koju bi trebalo da sprovode službe podrške žrtvama pri višim tužilaštvima i sudovima. </w:t>
      </w:r>
    </w:p>
    <w:p w14:paraId="267A868A" w14:textId="56CF42E6" w:rsidR="005F6C84" w:rsidRPr="0085657D" w:rsidRDefault="005F6C84" w:rsidP="005F6C84">
      <w:pPr>
        <w:spacing w:line="276" w:lineRule="auto"/>
        <w:rPr>
          <w:rFonts w:ascii="Arial" w:hAnsi="Arial" w:cs="Arial"/>
        </w:rPr>
      </w:pPr>
      <w:r w:rsidRPr="0085657D">
        <w:rPr>
          <w:rFonts w:ascii="Arial" w:hAnsi="Arial" w:cs="Arial"/>
        </w:rPr>
        <w:t>Pored toga, u okviru ovih službi, potrebno je razviti efikasan mehanizam upućivanja</w:t>
      </w:r>
      <w:r w:rsidR="00D41839">
        <w:rPr>
          <w:rFonts w:ascii="Arial" w:hAnsi="Arial" w:cs="Arial"/>
        </w:rPr>
        <w:t>,</w:t>
      </w:r>
      <w:r w:rsidRPr="0085657D">
        <w:rPr>
          <w:rFonts w:ascii="Arial" w:hAnsi="Arial" w:cs="Arial"/>
        </w:rPr>
        <w:t xml:space="preserve"> ukoliko individualna procjena pokaže potrebu za tim, specijalizovane službe koje pružaju specifične vrste podrške (npr. psihološka podrška, porodično savjetovanje, itd).</w:t>
      </w:r>
    </w:p>
    <w:p w14:paraId="45881F45" w14:textId="68464938" w:rsidR="005F6C84" w:rsidRPr="0085657D" w:rsidRDefault="005F6C84" w:rsidP="005F6C84">
      <w:pPr>
        <w:spacing w:line="276" w:lineRule="auto"/>
        <w:rPr>
          <w:rFonts w:ascii="Arial" w:hAnsi="Arial" w:cs="Arial"/>
        </w:rPr>
      </w:pPr>
      <w:r w:rsidRPr="0085657D">
        <w:rPr>
          <w:rFonts w:ascii="Arial" w:hAnsi="Arial" w:cs="Arial"/>
        </w:rPr>
        <w:t>Uloga ovih službi ogleda se i u upućivanju žrtvi u tok i moguće ishode postupka, osnaživanje žrtve tokom postupka i obezb</w:t>
      </w:r>
      <w:r w:rsidR="00D41839">
        <w:rPr>
          <w:rFonts w:ascii="Arial" w:hAnsi="Arial" w:cs="Arial"/>
        </w:rPr>
        <w:t>j</w:t>
      </w:r>
      <w:r w:rsidRPr="0085657D">
        <w:rPr>
          <w:rFonts w:ascii="Arial" w:hAnsi="Arial" w:cs="Arial"/>
        </w:rPr>
        <w:t>eđivanju preduslova za njeno fizičko distanciranje od okrivljenog prije, tokom i neposredno nakon davanja iskaza, odnosno održavanja ročišta.</w:t>
      </w:r>
    </w:p>
    <w:p w14:paraId="12246A51" w14:textId="196E613C" w:rsidR="005F6C84" w:rsidRPr="0085657D" w:rsidRDefault="005F6C84" w:rsidP="005F6C84">
      <w:pPr>
        <w:spacing w:line="276" w:lineRule="auto"/>
        <w:rPr>
          <w:rFonts w:ascii="Arial" w:hAnsi="Arial" w:cs="Arial"/>
        </w:rPr>
      </w:pPr>
      <w:r w:rsidRPr="0085657D">
        <w:rPr>
          <w:rFonts w:ascii="Arial" w:hAnsi="Arial" w:cs="Arial"/>
        </w:rPr>
        <w:t>Važna uloga koju bi ove službe trebalo da imaju, ogleda se i u prikupljanju i obradi statističkih podataka koji bi trebalo da pomognu u konstantnom unapređenju mjera usmjerenih na zaštitu prava žrtava.</w:t>
      </w:r>
    </w:p>
    <w:p w14:paraId="1A0F6D82" w14:textId="6B73D71D" w:rsidR="005F6C84" w:rsidRPr="0085657D" w:rsidRDefault="005F6C84" w:rsidP="005F6C84">
      <w:pPr>
        <w:spacing w:line="276" w:lineRule="auto"/>
        <w:rPr>
          <w:rFonts w:ascii="Arial" w:hAnsi="Arial" w:cs="Arial"/>
        </w:rPr>
      </w:pPr>
      <w:r w:rsidRPr="0085657D">
        <w:rPr>
          <w:rFonts w:ascii="Arial" w:hAnsi="Arial" w:cs="Arial"/>
        </w:rPr>
        <w:t>Imajući u vidu ovako važnu i složenu ulogu službi, za njihov efikasan rad važno je obezb</w:t>
      </w:r>
      <w:r w:rsidR="00D41839">
        <w:rPr>
          <w:rFonts w:ascii="Arial" w:hAnsi="Arial" w:cs="Arial"/>
        </w:rPr>
        <w:t>i</w:t>
      </w:r>
      <w:r w:rsidRPr="0085657D">
        <w:rPr>
          <w:rFonts w:ascii="Arial" w:hAnsi="Arial" w:cs="Arial"/>
        </w:rPr>
        <w:t>jediti adekvatne ljudske i infrastrukturne resurse, uključujući posebno obučene zaposlene, prikladno adaptirane/projektovane prostorije, informacioni sistem i informatičku opremu.</w:t>
      </w:r>
    </w:p>
    <w:p w14:paraId="5CE8E406" w14:textId="1A59F565" w:rsidR="005F6C84" w:rsidRPr="0085657D" w:rsidRDefault="005F6C84" w:rsidP="005F6C84">
      <w:pPr>
        <w:jc w:val="center"/>
        <w:rPr>
          <w:rFonts w:ascii="Arial" w:hAnsi="Arial" w:cs="Arial"/>
        </w:rPr>
      </w:pPr>
      <w:r w:rsidRPr="0085657D">
        <w:rPr>
          <w:rFonts w:ascii="Arial" w:hAnsi="Arial" w:cs="Arial"/>
          <w:i/>
          <w:iCs/>
        </w:rPr>
        <w:t xml:space="preserve">Tabela </w:t>
      </w:r>
      <w:r w:rsidR="00D10440">
        <w:rPr>
          <w:rFonts w:ascii="Arial" w:hAnsi="Arial" w:cs="Arial"/>
          <w:i/>
          <w:iCs/>
        </w:rPr>
        <w:t>9</w:t>
      </w:r>
      <w:r w:rsidRPr="0085657D">
        <w:rPr>
          <w:rFonts w:ascii="Arial" w:hAnsi="Arial" w:cs="Arial"/>
          <w:i/>
          <w:iCs/>
        </w:rPr>
        <w:t>: Indikatori realizacije Operativnog cilja 3.1.</w:t>
      </w:r>
    </w:p>
    <w:tbl>
      <w:tblPr>
        <w:tblStyle w:val="TableGrid"/>
        <w:tblW w:w="5000" w:type="pct"/>
        <w:tblInd w:w="-5" w:type="dxa"/>
        <w:tblLayout w:type="fixed"/>
        <w:tblLook w:val="04A0" w:firstRow="1" w:lastRow="0" w:firstColumn="1" w:lastColumn="0" w:noHBand="0" w:noVBand="1"/>
      </w:tblPr>
      <w:tblGrid>
        <w:gridCol w:w="1842"/>
        <w:gridCol w:w="3394"/>
        <w:gridCol w:w="1272"/>
        <w:gridCol w:w="1274"/>
        <w:gridCol w:w="1558"/>
      </w:tblGrid>
      <w:tr w:rsidR="005F6C84" w:rsidRPr="0085657D" w14:paraId="4A02F6AF" w14:textId="77777777" w:rsidTr="000A7BD3">
        <w:trPr>
          <w:trHeight w:val="575"/>
        </w:trPr>
        <w:tc>
          <w:tcPr>
            <w:tcW w:w="986" w:type="pct"/>
            <w:tcBorders>
              <w:top w:val="double" w:sz="4" w:space="0" w:color="auto"/>
            </w:tcBorders>
            <w:shd w:val="clear" w:color="auto" w:fill="FAE2D5" w:themeFill="accent2" w:themeFillTint="33"/>
          </w:tcPr>
          <w:p w14:paraId="6D80A52D"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 xml:space="preserve">Operativni </w:t>
            </w:r>
          </w:p>
          <w:p w14:paraId="7B4D97DF"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ciljevi</w:t>
            </w:r>
          </w:p>
        </w:tc>
        <w:tc>
          <w:tcPr>
            <w:tcW w:w="1817" w:type="pct"/>
            <w:tcBorders>
              <w:top w:val="double" w:sz="4" w:space="0" w:color="auto"/>
            </w:tcBorders>
            <w:shd w:val="clear" w:color="auto" w:fill="FAE2D5" w:themeFill="accent2" w:themeFillTint="33"/>
          </w:tcPr>
          <w:p w14:paraId="6AC82ED6"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681" w:type="pct"/>
            <w:tcBorders>
              <w:top w:val="double" w:sz="4" w:space="0" w:color="auto"/>
            </w:tcBorders>
            <w:shd w:val="clear" w:color="auto" w:fill="FAE2D5" w:themeFill="accent2" w:themeFillTint="33"/>
          </w:tcPr>
          <w:p w14:paraId="1CB9A614" w14:textId="77777777"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Početna vrijednost</w:t>
            </w:r>
          </w:p>
          <w:p w14:paraId="19251B1E" w14:textId="77777777"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2024.</w:t>
            </w:r>
          </w:p>
        </w:tc>
        <w:tc>
          <w:tcPr>
            <w:tcW w:w="682" w:type="pct"/>
            <w:tcBorders>
              <w:top w:val="double" w:sz="4" w:space="0" w:color="auto"/>
            </w:tcBorders>
            <w:shd w:val="clear" w:color="auto" w:fill="FAE2D5" w:themeFill="accent2" w:themeFillTint="33"/>
          </w:tcPr>
          <w:p w14:paraId="3F8E1D2C" w14:textId="0827F238"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835" w:type="pct"/>
            <w:tcBorders>
              <w:top w:val="double" w:sz="4" w:space="0" w:color="auto"/>
              <w:right w:val="double" w:sz="4" w:space="0" w:color="auto"/>
            </w:tcBorders>
            <w:shd w:val="clear" w:color="auto" w:fill="FAE2D5" w:themeFill="accent2" w:themeFillTint="33"/>
          </w:tcPr>
          <w:p w14:paraId="4A020191" w14:textId="7F840F9A"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19217B" w:rsidRPr="0085657D" w14:paraId="033103AC" w14:textId="77777777" w:rsidTr="000A7BD3">
        <w:trPr>
          <w:trHeight w:val="254"/>
        </w:trPr>
        <w:tc>
          <w:tcPr>
            <w:tcW w:w="986" w:type="pct"/>
            <w:vMerge w:val="restart"/>
            <w:tcBorders>
              <w:top w:val="double" w:sz="4" w:space="0" w:color="auto"/>
            </w:tcBorders>
            <w:shd w:val="clear" w:color="auto" w:fill="D9F2D0" w:themeFill="accent6" w:themeFillTint="33"/>
          </w:tcPr>
          <w:p w14:paraId="6EBE7DB3" w14:textId="08578F2B" w:rsidR="0019217B" w:rsidRPr="0085657D" w:rsidRDefault="006143DD" w:rsidP="0019217B">
            <w:pPr>
              <w:spacing w:after="160"/>
              <w:ind w:left="360"/>
              <w:rPr>
                <w:rFonts w:ascii="Arial" w:eastAsiaTheme="minorHAnsi" w:hAnsi="Arial" w:cs="Arial"/>
                <w:lang w:eastAsia="en-US"/>
              </w:rPr>
            </w:pPr>
            <w:bookmarkStart w:id="65" w:name="_Hlk196832642"/>
            <w:r>
              <w:rPr>
                <w:rFonts w:ascii="Arial" w:eastAsiaTheme="minorHAnsi" w:hAnsi="Arial" w:cs="Arial"/>
                <w:lang w:eastAsia="en-US"/>
              </w:rPr>
              <w:t>2.2</w:t>
            </w:r>
            <w:r w:rsidR="0019217B" w:rsidRPr="0085657D">
              <w:rPr>
                <w:rFonts w:ascii="Arial" w:eastAsiaTheme="minorHAnsi" w:hAnsi="Arial" w:cs="Arial"/>
                <w:lang w:eastAsia="en-US"/>
              </w:rPr>
              <w:t>.</w:t>
            </w:r>
          </w:p>
          <w:p w14:paraId="1CE92BF9" w14:textId="77777777" w:rsidR="0019217B" w:rsidRPr="0085657D" w:rsidRDefault="0019217B" w:rsidP="0019217B">
            <w:pPr>
              <w:spacing w:after="160"/>
              <w:rPr>
                <w:rFonts w:ascii="Arial" w:eastAsiaTheme="minorHAnsi" w:hAnsi="Arial" w:cs="Arial"/>
                <w:lang w:eastAsia="en-US"/>
              </w:rPr>
            </w:pPr>
            <w:r w:rsidRPr="0085657D">
              <w:rPr>
                <w:rFonts w:ascii="Arial" w:eastAsiaTheme="minorHAnsi" w:hAnsi="Arial" w:cs="Arial"/>
                <w:lang w:eastAsia="en-US"/>
              </w:rPr>
              <w:t xml:space="preserve">Uspostavljanje službi podrške </w:t>
            </w:r>
            <w:r w:rsidRPr="0085657D">
              <w:rPr>
                <w:rFonts w:ascii="Arial" w:eastAsiaTheme="minorHAnsi" w:hAnsi="Arial" w:cs="Arial"/>
                <w:lang w:eastAsia="en-US"/>
              </w:rPr>
              <w:lastRenderedPageBreak/>
              <w:t>žrtvama pri višim tužilaštvima i sudovima</w:t>
            </w:r>
          </w:p>
        </w:tc>
        <w:tc>
          <w:tcPr>
            <w:tcW w:w="1817" w:type="pct"/>
            <w:tcBorders>
              <w:top w:val="double" w:sz="4" w:space="0" w:color="auto"/>
              <w:bottom w:val="double" w:sz="4" w:space="0" w:color="auto"/>
            </w:tcBorders>
            <w:shd w:val="clear" w:color="auto" w:fill="FFFFFF" w:themeFill="background1"/>
          </w:tcPr>
          <w:p w14:paraId="3848B152" w14:textId="77777777" w:rsidR="0019217B" w:rsidRPr="0085657D" w:rsidRDefault="0019217B" w:rsidP="0019217B">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lastRenderedPageBreak/>
              <w:t>% viših sudova u kojima su uspostavljene službe podrške žrtvama</w:t>
            </w:r>
          </w:p>
        </w:tc>
        <w:tc>
          <w:tcPr>
            <w:tcW w:w="681" w:type="pct"/>
            <w:tcBorders>
              <w:top w:val="double" w:sz="4" w:space="0" w:color="auto"/>
              <w:bottom w:val="double" w:sz="4" w:space="0" w:color="auto"/>
            </w:tcBorders>
            <w:shd w:val="clear" w:color="auto" w:fill="FFFFFF" w:themeFill="background1"/>
          </w:tcPr>
          <w:p w14:paraId="57C763AA"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17475889"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835" w:type="pct"/>
            <w:tcBorders>
              <w:top w:val="double" w:sz="4" w:space="0" w:color="auto"/>
              <w:bottom w:val="double" w:sz="4" w:space="0" w:color="auto"/>
              <w:right w:val="double" w:sz="4" w:space="0" w:color="auto"/>
            </w:tcBorders>
            <w:shd w:val="clear" w:color="auto" w:fill="FFFFFF" w:themeFill="background1"/>
          </w:tcPr>
          <w:p w14:paraId="271C4933"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100%</w:t>
            </w:r>
          </w:p>
        </w:tc>
      </w:tr>
      <w:bookmarkEnd w:id="65"/>
      <w:tr w:rsidR="0019217B" w:rsidRPr="0085657D" w14:paraId="14697E63" w14:textId="77777777" w:rsidTr="000A7BD3">
        <w:trPr>
          <w:trHeight w:val="254"/>
        </w:trPr>
        <w:tc>
          <w:tcPr>
            <w:tcW w:w="986" w:type="pct"/>
            <w:vMerge/>
            <w:tcBorders>
              <w:top w:val="double" w:sz="4" w:space="0" w:color="auto"/>
            </w:tcBorders>
            <w:shd w:val="clear" w:color="auto" w:fill="D9F2D0" w:themeFill="accent6" w:themeFillTint="33"/>
          </w:tcPr>
          <w:p w14:paraId="0A667E4E" w14:textId="77777777" w:rsidR="0019217B" w:rsidRPr="0085657D" w:rsidRDefault="0019217B" w:rsidP="0019217B">
            <w:pPr>
              <w:ind w:left="360"/>
              <w:rPr>
                <w:rFonts w:ascii="Arial" w:hAnsi="Arial" w:cs="Arial"/>
              </w:rPr>
            </w:pPr>
          </w:p>
        </w:tc>
        <w:tc>
          <w:tcPr>
            <w:tcW w:w="1817" w:type="pct"/>
            <w:tcBorders>
              <w:top w:val="double" w:sz="4" w:space="0" w:color="auto"/>
              <w:bottom w:val="double" w:sz="4" w:space="0" w:color="auto"/>
            </w:tcBorders>
            <w:shd w:val="clear" w:color="auto" w:fill="FFFFFF" w:themeFill="background1"/>
          </w:tcPr>
          <w:p w14:paraId="19083F3F" w14:textId="77777777" w:rsidR="0019217B" w:rsidRPr="0085657D" w:rsidRDefault="0019217B" w:rsidP="0019217B">
            <w:pPr>
              <w:shd w:val="clear" w:color="auto" w:fill="FFFFFF" w:themeFill="background1"/>
              <w:spacing w:after="240"/>
              <w:rPr>
                <w:rFonts w:ascii="Arial" w:hAnsi="Arial" w:cs="Arial"/>
              </w:rPr>
            </w:pPr>
            <w:r w:rsidRPr="0085657D">
              <w:rPr>
                <w:rFonts w:ascii="Arial" w:hAnsi="Arial" w:cs="Arial"/>
              </w:rPr>
              <w:t>% viših tužilaštava u kojima su uspostavljene službe podrške žrtvama</w:t>
            </w:r>
          </w:p>
        </w:tc>
        <w:tc>
          <w:tcPr>
            <w:tcW w:w="681" w:type="pct"/>
            <w:tcBorders>
              <w:top w:val="double" w:sz="4" w:space="0" w:color="auto"/>
              <w:bottom w:val="double" w:sz="4" w:space="0" w:color="auto"/>
            </w:tcBorders>
            <w:shd w:val="clear" w:color="auto" w:fill="FFFFFF" w:themeFill="background1"/>
          </w:tcPr>
          <w:p w14:paraId="6C6F143D" w14:textId="50188D42"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r w:rsidR="00C45575">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7C685A3C" w14:textId="218A4405"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r w:rsidR="00C45575">
              <w:rPr>
                <w:rFonts w:ascii="Arial" w:hAnsi="Arial" w:cs="Arial"/>
              </w:rPr>
              <w:t>%</w:t>
            </w:r>
          </w:p>
        </w:tc>
        <w:tc>
          <w:tcPr>
            <w:tcW w:w="835" w:type="pct"/>
            <w:tcBorders>
              <w:top w:val="double" w:sz="4" w:space="0" w:color="auto"/>
              <w:bottom w:val="double" w:sz="4" w:space="0" w:color="auto"/>
              <w:right w:val="double" w:sz="4" w:space="0" w:color="auto"/>
            </w:tcBorders>
            <w:shd w:val="clear" w:color="auto" w:fill="FFFFFF" w:themeFill="background1"/>
          </w:tcPr>
          <w:p w14:paraId="4A5AB1F2" w14:textId="221C20CA" w:rsidR="0019217B" w:rsidRPr="0085657D" w:rsidRDefault="00C45575" w:rsidP="0019217B">
            <w:pPr>
              <w:shd w:val="clear" w:color="auto" w:fill="FFFFFF" w:themeFill="background1"/>
              <w:jc w:val="center"/>
              <w:rPr>
                <w:rFonts w:ascii="Arial" w:hAnsi="Arial" w:cs="Arial"/>
              </w:rPr>
            </w:pPr>
            <w:r>
              <w:rPr>
                <w:rFonts w:ascii="Arial" w:hAnsi="Arial" w:cs="Arial"/>
              </w:rPr>
              <w:t>100%</w:t>
            </w:r>
          </w:p>
        </w:tc>
      </w:tr>
      <w:tr w:rsidR="0019217B" w:rsidRPr="0085657D" w14:paraId="66E9CCCE" w14:textId="77777777" w:rsidTr="000A7BD3">
        <w:trPr>
          <w:trHeight w:val="254"/>
        </w:trPr>
        <w:tc>
          <w:tcPr>
            <w:tcW w:w="986" w:type="pct"/>
            <w:vMerge/>
            <w:shd w:val="clear" w:color="auto" w:fill="D9F2D0" w:themeFill="accent6" w:themeFillTint="33"/>
          </w:tcPr>
          <w:p w14:paraId="2E225DE7" w14:textId="77777777" w:rsidR="0019217B" w:rsidRPr="0085657D" w:rsidRDefault="0019217B" w:rsidP="0019217B">
            <w:pPr>
              <w:spacing w:after="160"/>
              <w:ind w:left="314"/>
              <w:contextualSpacing/>
              <w:rPr>
                <w:rFonts w:ascii="Arial" w:eastAsiaTheme="minorHAnsi" w:hAnsi="Arial" w:cs="Arial"/>
                <w:lang w:eastAsia="en-US"/>
              </w:rPr>
            </w:pPr>
          </w:p>
        </w:tc>
        <w:tc>
          <w:tcPr>
            <w:tcW w:w="1817" w:type="pct"/>
            <w:tcBorders>
              <w:top w:val="double" w:sz="4" w:space="0" w:color="auto"/>
              <w:bottom w:val="double" w:sz="4" w:space="0" w:color="auto"/>
            </w:tcBorders>
            <w:shd w:val="clear" w:color="auto" w:fill="FFFFFF" w:themeFill="background1"/>
          </w:tcPr>
          <w:p w14:paraId="77793AC2" w14:textId="77777777" w:rsidR="0019217B" w:rsidRPr="0085657D" w:rsidRDefault="0019217B" w:rsidP="0019217B">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Broj novoangažovanih profesionalaca u službama podrške žrtvama osnovanim pri višim sudovima.</w:t>
            </w:r>
          </w:p>
        </w:tc>
        <w:tc>
          <w:tcPr>
            <w:tcW w:w="681" w:type="pct"/>
            <w:tcBorders>
              <w:top w:val="double" w:sz="4" w:space="0" w:color="auto"/>
              <w:bottom w:val="double" w:sz="4" w:space="0" w:color="auto"/>
            </w:tcBorders>
            <w:shd w:val="clear" w:color="auto" w:fill="FFFFFF" w:themeFill="background1"/>
          </w:tcPr>
          <w:p w14:paraId="00D02E80" w14:textId="2C22B9C1"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4D948817" w14:textId="4B3CE8D2"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835" w:type="pct"/>
            <w:tcBorders>
              <w:top w:val="double" w:sz="4" w:space="0" w:color="auto"/>
              <w:bottom w:val="double" w:sz="4" w:space="0" w:color="auto"/>
              <w:right w:val="double" w:sz="4" w:space="0" w:color="auto"/>
            </w:tcBorders>
            <w:shd w:val="clear" w:color="auto" w:fill="FFFFFF" w:themeFill="background1"/>
          </w:tcPr>
          <w:p w14:paraId="5635BEE9" w14:textId="7ABC939B" w:rsidR="0019217B" w:rsidRPr="0085657D" w:rsidRDefault="00C45575" w:rsidP="0019217B">
            <w:pPr>
              <w:shd w:val="clear" w:color="auto" w:fill="FFFFFF" w:themeFill="background1"/>
              <w:spacing w:after="160"/>
              <w:jc w:val="center"/>
              <w:rPr>
                <w:rFonts w:ascii="Arial" w:eastAsiaTheme="minorHAnsi" w:hAnsi="Arial" w:cs="Arial"/>
                <w:lang w:eastAsia="en-US"/>
              </w:rPr>
            </w:pPr>
            <w:r>
              <w:rPr>
                <w:rFonts w:ascii="Arial" w:hAnsi="Arial" w:cs="Arial"/>
              </w:rPr>
              <w:t>2</w:t>
            </w:r>
          </w:p>
        </w:tc>
      </w:tr>
    </w:tbl>
    <w:p w14:paraId="16ECE6D9" w14:textId="77777777" w:rsidR="005F6C84" w:rsidRPr="0085657D" w:rsidRDefault="005F6C84" w:rsidP="005F6C84">
      <w:pPr>
        <w:rPr>
          <w:rFonts w:ascii="Arial" w:hAnsi="Arial" w:cs="Arial"/>
        </w:rPr>
      </w:pPr>
    </w:p>
    <w:p w14:paraId="1960C64F" w14:textId="4872A879" w:rsidR="005F6C84" w:rsidRPr="0085657D" w:rsidRDefault="005F6C84" w:rsidP="005F6C84">
      <w:pPr>
        <w:keepNext/>
        <w:keepLines/>
        <w:spacing w:after="240"/>
        <w:outlineLvl w:val="2"/>
        <w:rPr>
          <w:rFonts w:ascii="Arial" w:eastAsiaTheme="majorEastAsia" w:hAnsi="Arial" w:cs="Arial"/>
          <w:color w:val="0F4761" w:themeColor="accent1" w:themeShade="BF"/>
        </w:rPr>
      </w:pPr>
      <w:bookmarkStart w:id="66" w:name="_Toc208489212"/>
      <w:r w:rsidRPr="0085657D">
        <w:rPr>
          <w:rFonts w:ascii="Arial" w:eastAsiaTheme="majorEastAsia" w:hAnsi="Arial" w:cs="Arial"/>
          <w:color w:val="0F4761" w:themeColor="accent1" w:themeShade="BF"/>
        </w:rPr>
        <w:t xml:space="preserve">Operativni cilj </w:t>
      </w:r>
      <w:r w:rsidR="006143DD">
        <w:rPr>
          <w:rFonts w:ascii="Arial" w:eastAsiaTheme="majorEastAsia" w:hAnsi="Arial" w:cs="Arial"/>
          <w:color w:val="0F4761" w:themeColor="accent1" w:themeShade="BF"/>
        </w:rPr>
        <w:t>2</w:t>
      </w:r>
      <w:r w:rsidRPr="0085657D">
        <w:rPr>
          <w:rFonts w:ascii="Arial" w:eastAsiaTheme="majorEastAsia" w:hAnsi="Arial" w:cs="Arial"/>
          <w:color w:val="0F4761" w:themeColor="accent1" w:themeShade="BF"/>
        </w:rPr>
        <w:t>.</w:t>
      </w:r>
      <w:r w:rsidR="006143DD">
        <w:rPr>
          <w:rFonts w:ascii="Arial" w:eastAsiaTheme="majorEastAsia" w:hAnsi="Arial" w:cs="Arial"/>
          <w:color w:val="0F4761" w:themeColor="accent1" w:themeShade="BF"/>
        </w:rPr>
        <w:t>3</w:t>
      </w:r>
      <w:r w:rsidRPr="0085657D">
        <w:rPr>
          <w:rFonts w:ascii="Arial" w:eastAsiaTheme="majorEastAsia" w:hAnsi="Arial" w:cs="Arial"/>
          <w:color w:val="0F4761" w:themeColor="accent1" w:themeShade="BF"/>
        </w:rPr>
        <w:t xml:space="preserve">: Uspostavljanje </w:t>
      </w:r>
      <w:r w:rsidR="0019217B" w:rsidRPr="0085657D">
        <w:rPr>
          <w:rFonts w:ascii="Arial" w:eastAsiaTheme="majorEastAsia" w:hAnsi="Arial" w:cs="Arial"/>
          <w:color w:val="0F4761" w:themeColor="accent1" w:themeShade="BF"/>
        </w:rPr>
        <w:t>i unapređenje usluga specijalizovane podrške</w:t>
      </w:r>
      <w:r w:rsidRPr="0085657D">
        <w:rPr>
          <w:rFonts w:ascii="Arial" w:eastAsiaTheme="majorEastAsia" w:hAnsi="Arial" w:cs="Arial"/>
          <w:color w:val="0F4761" w:themeColor="accent1" w:themeShade="BF"/>
        </w:rPr>
        <w:t xml:space="preserve"> </w:t>
      </w:r>
      <w:r w:rsidR="007600A4">
        <w:rPr>
          <w:rFonts w:ascii="Arial" w:eastAsiaTheme="majorEastAsia" w:hAnsi="Arial" w:cs="Arial"/>
          <w:color w:val="0F4761" w:themeColor="accent1" w:themeShade="BF"/>
        </w:rPr>
        <w:t>žrtvama</w:t>
      </w:r>
      <w:bookmarkEnd w:id="66"/>
    </w:p>
    <w:p w14:paraId="30A4965F" w14:textId="77777777" w:rsidR="005F6C84" w:rsidRPr="0085657D" w:rsidRDefault="005F6C84" w:rsidP="005F6C84">
      <w:pPr>
        <w:spacing w:line="276" w:lineRule="auto"/>
        <w:rPr>
          <w:rFonts w:ascii="Arial" w:hAnsi="Arial" w:cs="Arial"/>
        </w:rPr>
      </w:pPr>
      <w:r w:rsidRPr="0085657D">
        <w:rPr>
          <w:rFonts w:ascii="Arial" w:hAnsi="Arial" w:cs="Arial"/>
        </w:rPr>
        <w:t xml:space="preserve">Kako je predviđeno i samom Direktivom 2012/029/EU, od službi podrške pri sudovima se ne može očekivati da pruže sve vrste podrške koja bi žrtvama mogla biti potrebna na osnovu rezultata individualne procjene potreba. </w:t>
      </w:r>
    </w:p>
    <w:p w14:paraId="352993E7" w14:textId="77777777" w:rsidR="0019217B" w:rsidRPr="0085657D" w:rsidRDefault="0019217B" w:rsidP="0019217B">
      <w:pPr>
        <w:spacing w:line="276" w:lineRule="auto"/>
        <w:rPr>
          <w:rFonts w:ascii="Arial" w:hAnsi="Arial" w:cs="Arial"/>
        </w:rPr>
      </w:pPr>
      <w:r w:rsidRPr="0085657D">
        <w:rPr>
          <w:rFonts w:ascii="Arial" w:hAnsi="Arial" w:cs="Arial"/>
        </w:rPr>
        <w:t xml:space="preserve">U tom smislu, neophodno je uspostaviti mehanizam upućivanja žrtava iz službi primarne podrške pri višim sudovima, u službe koje pružaju specijalizovanu podršku, a čiji su programi licencirani u okviru sistema socijalne zaštite, odnosno dostupni u sistemu zdravstvene zaštite. Da bi žrtva bila upućena u takvu službu, neophodno je da službe osnovane pri višim sudovima imaju pristup bazi dostupnih službi specijalizovane podrške. </w:t>
      </w:r>
    </w:p>
    <w:p w14:paraId="171BD325" w14:textId="71B5F94E" w:rsidR="005F6C84" w:rsidRPr="0085657D" w:rsidRDefault="005F6C84" w:rsidP="005F6C84">
      <w:pPr>
        <w:jc w:val="center"/>
        <w:rPr>
          <w:rFonts w:ascii="Arial" w:hAnsi="Arial" w:cs="Arial"/>
        </w:rPr>
      </w:pPr>
      <w:r w:rsidRPr="0085657D">
        <w:rPr>
          <w:rFonts w:ascii="Arial" w:hAnsi="Arial" w:cs="Arial"/>
          <w:i/>
          <w:iCs/>
        </w:rPr>
        <w:t>Tabela 1</w:t>
      </w:r>
      <w:r w:rsidR="00D10440">
        <w:rPr>
          <w:rFonts w:ascii="Arial" w:hAnsi="Arial" w:cs="Arial"/>
          <w:i/>
          <w:iCs/>
        </w:rPr>
        <w:t>0</w:t>
      </w:r>
      <w:r w:rsidRPr="0085657D">
        <w:rPr>
          <w:rFonts w:ascii="Arial" w:hAnsi="Arial" w:cs="Arial"/>
          <w:i/>
          <w:iCs/>
        </w:rPr>
        <w:t>: Indikatori realizacije Operativnog cilja 3.2</w:t>
      </w:r>
    </w:p>
    <w:tbl>
      <w:tblPr>
        <w:tblStyle w:val="TableGrid"/>
        <w:tblW w:w="5000" w:type="pct"/>
        <w:tblInd w:w="-5" w:type="dxa"/>
        <w:tblLayout w:type="fixed"/>
        <w:tblLook w:val="04A0" w:firstRow="1" w:lastRow="0" w:firstColumn="1" w:lastColumn="0" w:noHBand="0" w:noVBand="1"/>
      </w:tblPr>
      <w:tblGrid>
        <w:gridCol w:w="1823"/>
        <w:gridCol w:w="3362"/>
        <w:gridCol w:w="1259"/>
        <w:gridCol w:w="1261"/>
        <w:gridCol w:w="1635"/>
      </w:tblGrid>
      <w:tr w:rsidR="005F6C84" w:rsidRPr="0085657D" w14:paraId="29B869C5" w14:textId="77777777" w:rsidTr="000A7BD3">
        <w:trPr>
          <w:trHeight w:val="575"/>
        </w:trPr>
        <w:tc>
          <w:tcPr>
            <w:tcW w:w="976" w:type="pct"/>
            <w:tcBorders>
              <w:top w:val="double" w:sz="4" w:space="0" w:color="auto"/>
            </w:tcBorders>
            <w:shd w:val="clear" w:color="auto" w:fill="FAE2D5" w:themeFill="accent2" w:themeFillTint="33"/>
          </w:tcPr>
          <w:p w14:paraId="217FFE32"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 xml:space="preserve">Operativni </w:t>
            </w:r>
          </w:p>
          <w:p w14:paraId="46479024"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ciljevi</w:t>
            </w:r>
          </w:p>
        </w:tc>
        <w:tc>
          <w:tcPr>
            <w:tcW w:w="1800" w:type="pct"/>
            <w:tcBorders>
              <w:top w:val="double" w:sz="4" w:space="0" w:color="auto"/>
            </w:tcBorders>
            <w:shd w:val="clear" w:color="auto" w:fill="FAE2D5" w:themeFill="accent2" w:themeFillTint="33"/>
          </w:tcPr>
          <w:p w14:paraId="427195F6"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674" w:type="pct"/>
            <w:tcBorders>
              <w:top w:val="double" w:sz="4" w:space="0" w:color="auto"/>
            </w:tcBorders>
            <w:shd w:val="clear" w:color="auto" w:fill="FAE2D5" w:themeFill="accent2" w:themeFillTint="33"/>
          </w:tcPr>
          <w:p w14:paraId="1A92D2E4"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0DB1241C" w14:textId="77777777"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2024.</w:t>
            </w:r>
          </w:p>
        </w:tc>
        <w:tc>
          <w:tcPr>
            <w:tcW w:w="675" w:type="pct"/>
            <w:tcBorders>
              <w:top w:val="double" w:sz="4" w:space="0" w:color="auto"/>
            </w:tcBorders>
            <w:shd w:val="clear" w:color="auto" w:fill="FAE2D5" w:themeFill="accent2" w:themeFillTint="33"/>
          </w:tcPr>
          <w:p w14:paraId="5FC31140" w14:textId="6D2A0CE2"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875" w:type="pct"/>
            <w:tcBorders>
              <w:top w:val="double" w:sz="4" w:space="0" w:color="auto"/>
              <w:right w:val="double" w:sz="4" w:space="0" w:color="auto"/>
            </w:tcBorders>
            <w:shd w:val="clear" w:color="auto" w:fill="FAE2D5" w:themeFill="accent2" w:themeFillTint="33"/>
          </w:tcPr>
          <w:p w14:paraId="59799E3D" w14:textId="013D3B82"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19217B" w:rsidRPr="0085657D" w14:paraId="5FDD52A3" w14:textId="77777777" w:rsidTr="000A7BD3">
        <w:trPr>
          <w:trHeight w:val="254"/>
        </w:trPr>
        <w:tc>
          <w:tcPr>
            <w:tcW w:w="976" w:type="pct"/>
            <w:vMerge w:val="restart"/>
            <w:tcBorders>
              <w:top w:val="double" w:sz="4" w:space="0" w:color="auto"/>
            </w:tcBorders>
            <w:shd w:val="clear" w:color="auto" w:fill="D9F2D0" w:themeFill="accent6" w:themeFillTint="33"/>
          </w:tcPr>
          <w:p w14:paraId="22BE7BB7" w14:textId="6D8E683C" w:rsidR="0019217B" w:rsidRPr="0085657D" w:rsidRDefault="00D10440" w:rsidP="0019217B">
            <w:pPr>
              <w:ind w:left="360"/>
              <w:rPr>
                <w:rFonts w:ascii="Arial" w:hAnsi="Arial" w:cs="Arial"/>
              </w:rPr>
            </w:pPr>
            <w:r>
              <w:rPr>
                <w:rFonts w:ascii="Arial" w:hAnsi="Arial" w:cs="Arial"/>
              </w:rPr>
              <w:t>2</w:t>
            </w:r>
            <w:r w:rsidR="0019217B" w:rsidRPr="0085657D">
              <w:rPr>
                <w:rFonts w:ascii="Arial" w:hAnsi="Arial" w:cs="Arial"/>
              </w:rPr>
              <w:t>.</w:t>
            </w:r>
            <w:r>
              <w:rPr>
                <w:rFonts w:ascii="Arial" w:hAnsi="Arial" w:cs="Arial"/>
              </w:rPr>
              <w:t>3</w:t>
            </w:r>
            <w:r w:rsidR="0019217B" w:rsidRPr="0085657D">
              <w:rPr>
                <w:rFonts w:ascii="Arial" w:hAnsi="Arial" w:cs="Arial"/>
              </w:rPr>
              <w:t>.</w:t>
            </w:r>
          </w:p>
          <w:p w14:paraId="009CEA76" w14:textId="08069C05" w:rsidR="0019217B" w:rsidRPr="0085657D" w:rsidRDefault="0019217B" w:rsidP="0019217B">
            <w:pPr>
              <w:spacing w:after="160"/>
              <w:rPr>
                <w:rFonts w:ascii="Arial" w:eastAsiaTheme="minorHAnsi" w:hAnsi="Arial" w:cs="Arial"/>
                <w:lang w:eastAsia="en-US"/>
              </w:rPr>
            </w:pPr>
            <w:r w:rsidRPr="0085657D">
              <w:rPr>
                <w:rFonts w:ascii="Arial" w:hAnsi="Arial" w:cs="Arial"/>
                <w:b/>
                <w:bCs/>
              </w:rPr>
              <w:t xml:space="preserve"> </w:t>
            </w:r>
            <w:r w:rsidRPr="0085657D">
              <w:rPr>
                <w:rFonts w:ascii="Arial" w:hAnsi="Arial" w:cs="Arial"/>
              </w:rPr>
              <w:t>Unapređenje usluga specijalizovane podrške</w:t>
            </w:r>
          </w:p>
        </w:tc>
        <w:tc>
          <w:tcPr>
            <w:tcW w:w="1800" w:type="pct"/>
            <w:tcBorders>
              <w:top w:val="double" w:sz="4" w:space="0" w:color="auto"/>
              <w:bottom w:val="double" w:sz="4" w:space="0" w:color="auto"/>
            </w:tcBorders>
            <w:shd w:val="clear" w:color="auto" w:fill="FFFFFF" w:themeFill="background1"/>
          </w:tcPr>
          <w:p w14:paraId="1EDB4F37" w14:textId="56105158" w:rsidR="0019217B" w:rsidRPr="0085657D" w:rsidRDefault="0019217B" w:rsidP="0019217B">
            <w:pPr>
              <w:shd w:val="clear" w:color="auto" w:fill="FFFFFF" w:themeFill="background1"/>
              <w:spacing w:after="240"/>
              <w:rPr>
                <w:rFonts w:ascii="Arial" w:eastAsiaTheme="minorHAnsi" w:hAnsi="Arial" w:cs="Arial"/>
                <w:lang w:eastAsia="en-US"/>
              </w:rPr>
            </w:pPr>
            <w:r w:rsidRPr="0085657D">
              <w:rPr>
                <w:rFonts w:ascii="Arial" w:hAnsi="Arial" w:cs="Arial"/>
              </w:rPr>
              <w:t>Povećanje broja licenciranih pruža</w:t>
            </w:r>
            <w:r w:rsidR="00247F17" w:rsidRPr="0085657D">
              <w:rPr>
                <w:rFonts w:ascii="Arial" w:hAnsi="Arial" w:cs="Arial"/>
              </w:rPr>
              <w:t>la</w:t>
            </w:r>
            <w:r w:rsidRPr="0085657D">
              <w:rPr>
                <w:rFonts w:ascii="Arial" w:hAnsi="Arial" w:cs="Arial"/>
              </w:rPr>
              <w:t>ca usluga socijalne zaštite</w:t>
            </w:r>
            <w:r w:rsidR="00247F17" w:rsidRPr="0085657D">
              <w:rPr>
                <w:rFonts w:ascii="Arial" w:hAnsi="Arial" w:cs="Arial"/>
              </w:rPr>
              <w:t xml:space="preserve"> žrtava</w:t>
            </w:r>
          </w:p>
        </w:tc>
        <w:tc>
          <w:tcPr>
            <w:tcW w:w="674" w:type="pct"/>
            <w:tcBorders>
              <w:top w:val="double" w:sz="4" w:space="0" w:color="auto"/>
              <w:bottom w:val="double" w:sz="4" w:space="0" w:color="auto"/>
            </w:tcBorders>
            <w:shd w:val="clear" w:color="auto" w:fill="FFFFFF" w:themeFill="background1"/>
          </w:tcPr>
          <w:p w14:paraId="5E7ABA1C"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 xml:space="preserve">NE </w:t>
            </w:r>
          </w:p>
        </w:tc>
        <w:tc>
          <w:tcPr>
            <w:tcW w:w="675" w:type="pct"/>
            <w:tcBorders>
              <w:top w:val="double" w:sz="4" w:space="0" w:color="auto"/>
              <w:bottom w:val="double" w:sz="4" w:space="0" w:color="auto"/>
            </w:tcBorders>
            <w:shd w:val="clear" w:color="auto" w:fill="FFFFFF" w:themeFill="background1"/>
          </w:tcPr>
          <w:p w14:paraId="2542B44E"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DA</w:t>
            </w:r>
          </w:p>
        </w:tc>
        <w:tc>
          <w:tcPr>
            <w:tcW w:w="875" w:type="pct"/>
            <w:tcBorders>
              <w:top w:val="double" w:sz="4" w:space="0" w:color="auto"/>
              <w:bottom w:val="double" w:sz="4" w:space="0" w:color="auto"/>
              <w:right w:val="double" w:sz="4" w:space="0" w:color="auto"/>
            </w:tcBorders>
            <w:shd w:val="clear" w:color="auto" w:fill="FFFFFF" w:themeFill="background1"/>
          </w:tcPr>
          <w:p w14:paraId="0B0BD454"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DA</w:t>
            </w:r>
          </w:p>
        </w:tc>
      </w:tr>
      <w:tr w:rsidR="0019217B" w:rsidRPr="0085657D" w14:paraId="13CA8FA1" w14:textId="77777777" w:rsidTr="000A7BD3">
        <w:trPr>
          <w:trHeight w:val="254"/>
        </w:trPr>
        <w:tc>
          <w:tcPr>
            <w:tcW w:w="976" w:type="pct"/>
            <w:vMerge/>
            <w:shd w:val="clear" w:color="auto" w:fill="D9F2D0" w:themeFill="accent6" w:themeFillTint="33"/>
          </w:tcPr>
          <w:p w14:paraId="48B812ED" w14:textId="77777777" w:rsidR="0019217B" w:rsidRPr="0085657D" w:rsidRDefault="0019217B" w:rsidP="0019217B">
            <w:pPr>
              <w:spacing w:after="160"/>
              <w:ind w:left="314"/>
              <w:contextualSpacing/>
              <w:rPr>
                <w:rFonts w:ascii="Arial" w:eastAsiaTheme="minorHAnsi" w:hAnsi="Arial" w:cs="Arial"/>
                <w:lang w:eastAsia="en-US"/>
              </w:rPr>
            </w:pPr>
          </w:p>
        </w:tc>
        <w:tc>
          <w:tcPr>
            <w:tcW w:w="1800" w:type="pct"/>
            <w:tcBorders>
              <w:top w:val="double" w:sz="4" w:space="0" w:color="auto"/>
              <w:bottom w:val="double" w:sz="4" w:space="0" w:color="auto"/>
            </w:tcBorders>
            <w:shd w:val="clear" w:color="auto" w:fill="FFFFFF" w:themeFill="background1"/>
          </w:tcPr>
          <w:p w14:paraId="58BAF486" w14:textId="75994CBE" w:rsidR="0019217B" w:rsidRPr="0085657D" w:rsidRDefault="0019217B" w:rsidP="0019217B">
            <w:pPr>
              <w:shd w:val="clear" w:color="auto" w:fill="FFFFFF" w:themeFill="background1"/>
              <w:spacing w:after="240"/>
              <w:rPr>
                <w:rFonts w:ascii="Arial" w:eastAsiaTheme="minorHAnsi" w:hAnsi="Arial" w:cs="Arial"/>
                <w:lang w:eastAsia="en-US"/>
              </w:rPr>
            </w:pPr>
            <w:r w:rsidRPr="008966E4">
              <w:rPr>
                <w:rFonts w:ascii="Arial" w:hAnsi="Arial" w:cs="Arial"/>
              </w:rPr>
              <w:t xml:space="preserve">Službe podrške žrtvama osnovane pri višim sudovima </w:t>
            </w:r>
            <w:r w:rsidR="00877003" w:rsidRPr="008966E4">
              <w:rPr>
                <w:rFonts w:ascii="Arial" w:hAnsi="Arial" w:cs="Arial"/>
              </w:rPr>
              <w:t>i</w:t>
            </w:r>
            <w:r w:rsidR="00877003" w:rsidRPr="0085657D">
              <w:rPr>
                <w:rFonts w:ascii="Arial" w:hAnsi="Arial" w:cs="Arial"/>
              </w:rPr>
              <w:t xml:space="preserve"> </w:t>
            </w:r>
            <w:r w:rsidR="004B2B07" w:rsidRPr="0085657D">
              <w:rPr>
                <w:rFonts w:ascii="Arial" w:hAnsi="Arial" w:cs="Arial"/>
              </w:rPr>
              <w:t xml:space="preserve">višim </w:t>
            </w:r>
            <w:r w:rsidR="00877003" w:rsidRPr="0085657D">
              <w:rPr>
                <w:rFonts w:ascii="Arial" w:hAnsi="Arial" w:cs="Arial"/>
              </w:rPr>
              <w:t xml:space="preserve">tužilaštvima </w:t>
            </w:r>
            <w:r w:rsidRPr="0085657D">
              <w:rPr>
                <w:rFonts w:ascii="Arial" w:hAnsi="Arial" w:cs="Arial"/>
              </w:rPr>
              <w:t xml:space="preserve">upućuju žrtve na licencirane pružaoce usluga </w:t>
            </w:r>
            <w:r w:rsidRPr="008966E4">
              <w:rPr>
                <w:rFonts w:ascii="Arial" w:hAnsi="Arial" w:cs="Arial"/>
              </w:rPr>
              <w:t>socijalne zaštite</w:t>
            </w:r>
            <w:r w:rsidR="00A563A8" w:rsidRPr="008966E4">
              <w:rPr>
                <w:rFonts w:ascii="Arial" w:hAnsi="Arial" w:cs="Arial"/>
              </w:rPr>
              <w:t>.</w:t>
            </w:r>
          </w:p>
        </w:tc>
        <w:tc>
          <w:tcPr>
            <w:tcW w:w="674" w:type="pct"/>
            <w:tcBorders>
              <w:top w:val="double" w:sz="4" w:space="0" w:color="auto"/>
              <w:bottom w:val="double" w:sz="4" w:space="0" w:color="auto"/>
            </w:tcBorders>
            <w:shd w:val="clear" w:color="auto" w:fill="FFFFFF" w:themeFill="background1"/>
          </w:tcPr>
          <w:p w14:paraId="17439E23"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NE</w:t>
            </w:r>
          </w:p>
        </w:tc>
        <w:tc>
          <w:tcPr>
            <w:tcW w:w="675" w:type="pct"/>
            <w:tcBorders>
              <w:top w:val="double" w:sz="4" w:space="0" w:color="auto"/>
              <w:bottom w:val="double" w:sz="4" w:space="0" w:color="auto"/>
            </w:tcBorders>
            <w:shd w:val="clear" w:color="auto" w:fill="FFFFFF" w:themeFill="background1"/>
          </w:tcPr>
          <w:p w14:paraId="181655F2"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NE</w:t>
            </w:r>
          </w:p>
        </w:tc>
        <w:tc>
          <w:tcPr>
            <w:tcW w:w="875" w:type="pct"/>
            <w:tcBorders>
              <w:top w:val="double" w:sz="4" w:space="0" w:color="auto"/>
              <w:bottom w:val="double" w:sz="4" w:space="0" w:color="auto"/>
              <w:right w:val="double" w:sz="4" w:space="0" w:color="auto"/>
            </w:tcBorders>
            <w:shd w:val="clear" w:color="auto" w:fill="FFFFFF" w:themeFill="background1"/>
          </w:tcPr>
          <w:p w14:paraId="2BEBE55B" w14:textId="7777777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DA</w:t>
            </w:r>
          </w:p>
        </w:tc>
      </w:tr>
    </w:tbl>
    <w:p w14:paraId="5CF4D679" w14:textId="77777777" w:rsidR="005F6C84" w:rsidRPr="0085657D" w:rsidRDefault="005F6C84" w:rsidP="005F6C84">
      <w:pPr>
        <w:autoSpaceDE w:val="0"/>
        <w:autoSpaceDN w:val="0"/>
        <w:adjustRightInd w:val="0"/>
        <w:spacing w:after="0"/>
        <w:rPr>
          <w:rFonts w:ascii="Arial" w:hAnsi="Arial" w:cs="Arial"/>
          <w:color w:val="000000"/>
          <w14:ligatures w14:val="standardContextual"/>
        </w:rPr>
      </w:pPr>
    </w:p>
    <w:p w14:paraId="37D4C8A2" w14:textId="77777777" w:rsidR="006A4BDA" w:rsidRPr="0085657D" w:rsidRDefault="006A4BDA" w:rsidP="005F6C84">
      <w:pPr>
        <w:pStyle w:val="Heading2"/>
        <w:spacing w:after="240"/>
        <w:ind w:left="360"/>
        <w:rPr>
          <w:rFonts w:ascii="Arial" w:hAnsi="Arial" w:cs="Arial"/>
          <w:sz w:val="22"/>
          <w:szCs w:val="22"/>
        </w:rPr>
      </w:pPr>
      <w:r w:rsidRPr="0085657D">
        <w:rPr>
          <w:rFonts w:ascii="Arial" w:hAnsi="Arial" w:cs="Arial"/>
          <w:sz w:val="22"/>
          <w:szCs w:val="22"/>
        </w:rPr>
        <w:br w:type="page"/>
      </w:r>
    </w:p>
    <w:p w14:paraId="7921BF2C" w14:textId="15220B1D" w:rsidR="006A4BDA" w:rsidRPr="0085657D" w:rsidRDefault="006A4BDA" w:rsidP="00192FBD">
      <w:pPr>
        <w:pStyle w:val="Heading2"/>
        <w:spacing w:after="240"/>
        <w:ind w:left="360"/>
        <w:rPr>
          <w:rFonts w:ascii="Arial" w:hAnsi="Arial" w:cs="Arial"/>
          <w:sz w:val="22"/>
          <w:szCs w:val="22"/>
        </w:rPr>
      </w:pPr>
      <w:bookmarkStart w:id="67" w:name="_Toc208489213"/>
      <w:r w:rsidRPr="0085657D">
        <w:rPr>
          <w:rFonts w:ascii="Arial" w:hAnsi="Arial" w:cs="Arial"/>
          <w:sz w:val="22"/>
          <w:szCs w:val="22"/>
        </w:rPr>
        <w:lastRenderedPageBreak/>
        <w:t xml:space="preserve">Strateški cilj </w:t>
      </w:r>
      <w:r w:rsidR="00EB173D">
        <w:rPr>
          <w:rFonts w:ascii="Arial" w:hAnsi="Arial" w:cs="Arial"/>
          <w:sz w:val="22"/>
          <w:szCs w:val="22"/>
        </w:rPr>
        <w:t>3</w:t>
      </w:r>
      <w:r w:rsidRPr="0085657D">
        <w:rPr>
          <w:rFonts w:ascii="Arial" w:hAnsi="Arial" w:cs="Arial"/>
          <w:sz w:val="22"/>
          <w:szCs w:val="22"/>
        </w:rPr>
        <w:t>: Unapređenje pristupa pravdi za žrtve</w:t>
      </w:r>
      <w:bookmarkEnd w:id="67"/>
    </w:p>
    <w:p w14:paraId="1EAFF066" w14:textId="7FDBD5B5" w:rsidR="006A4BDA" w:rsidRPr="0085657D" w:rsidRDefault="006A4BDA" w:rsidP="006A4BDA">
      <w:pPr>
        <w:spacing w:line="276" w:lineRule="auto"/>
        <w:rPr>
          <w:rFonts w:ascii="Arial" w:hAnsi="Arial" w:cs="Arial"/>
        </w:rPr>
      </w:pPr>
      <w:r w:rsidRPr="0085657D">
        <w:rPr>
          <w:rFonts w:ascii="Arial" w:hAnsi="Arial" w:cs="Arial"/>
        </w:rPr>
        <w:t>Kada je riječ u unapređenju pristupa pravdi za žrtva, u predstojećem periodu fokus reformskih mjera trebalo bi da bude, prije svega, na unapređenju ostvarivanja prava žrtava na kompenzaciju u krivičnom postupku, um</w:t>
      </w:r>
      <w:r w:rsidR="005F6C84" w:rsidRPr="0085657D">
        <w:rPr>
          <w:rFonts w:ascii="Arial" w:hAnsi="Arial" w:cs="Arial"/>
        </w:rPr>
        <w:t>j</w:t>
      </w:r>
      <w:r w:rsidRPr="0085657D">
        <w:rPr>
          <w:rFonts w:ascii="Arial" w:hAnsi="Arial" w:cs="Arial"/>
        </w:rPr>
        <w:t>esto upućivanja žrtava da ovo pravo ostvare u novom, parničnom postupku.</w:t>
      </w:r>
    </w:p>
    <w:p w14:paraId="5EA644CE" w14:textId="2FA288D3" w:rsidR="006A4BDA" w:rsidRPr="0085657D" w:rsidRDefault="006A4BDA" w:rsidP="006A4BDA">
      <w:pPr>
        <w:spacing w:line="276" w:lineRule="auto"/>
        <w:rPr>
          <w:rFonts w:ascii="Arial" w:hAnsi="Arial" w:cs="Arial"/>
        </w:rPr>
      </w:pPr>
      <w:r w:rsidRPr="0085657D">
        <w:rPr>
          <w:rFonts w:ascii="Arial" w:hAnsi="Arial" w:cs="Arial"/>
        </w:rPr>
        <w:t>Pored prava na kompenzaciju, neophodno je raditi na daljem unapređenju sistema besplatne pravne pomoći, da bi što veći procenat žrtava kojima je potreban punomoćnik, a nemaju sredstava da angažuju advokata, imalo pristup pravnoj pomoći u ostvarivanju prava.</w:t>
      </w:r>
    </w:p>
    <w:p w14:paraId="2BAA852E" w14:textId="56111533" w:rsidR="006A4BDA" w:rsidRPr="0085657D" w:rsidRDefault="006A4BDA" w:rsidP="006A4BDA">
      <w:pPr>
        <w:spacing w:line="276" w:lineRule="auto"/>
        <w:rPr>
          <w:rFonts w:ascii="Arial" w:hAnsi="Arial" w:cs="Arial"/>
        </w:rPr>
      </w:pPr>
      <w:r w:rsidRPr="0085657D">
        <w:rPr>
          <w:rFonts w:ascii="Arial" w:hAnsi="Arial" w:cs="Arial"/>
        </w:rPr>
        <w:t xml:space="preserve">Analizom trenutnog stanja i uočavanjem ključnih problema definisan je strateški cilj </w:t>
      </w:r>
      <w:r w:rsidR="00A50A7D">
        <w:rPr>
          <w:rFonts w:ascii="Arial" w:hAnsi="Arial" w:cs="Arial"/>
        </w:rPr>
        <w:t>3</w:t>
      </w:r>
      <w:r w:rsidRPr="0085657D">
        <w:rPr>
          <w:rFonts w:ascii="Arial" w:hAnsi="Arial" w:cs="Arial"/>
        </w:rPr>
        <w:t>, kao i set operativnih ciljeva za dostizanje tog strateškog cilja.</w:t>
      </w:r>
    </w:p>
    <w:p w14:paraId="47C3F03B" w14:textId="6867322C" w:rsidR="006A4BDA" w:rsidRPr="0085657D" w:rsidRDefault="006A4BDA" w:rsidP="006A4BDA">
      <w:pPr>
        <w:spacing w:line="276" w:lineRule="auto"/>
        <w:rPr>
          <w:rFonts w:ascii="Arial" w:hAnsi="Arial" w:cs="Arial"/>
        </w:rPr>
      </w:pPr>
      <w:r w:rsidRPr="0085657D">
        <w:rPr>
          <w:rFonts w:ascii="Arial" w:hAnsi="Arial" w:cs="Arial"/>
        </w:rPr>
        <w:t xml:space="preserve">Napredak ostvaren u pogledu dostizanja Strateškog cilja </w:t>
      </w:r>
      <w:r w:rsidR="00A50A7D">
        <w:rPr>
          <w:rFonts w:ascii="Arial" w:hAnsi="Arial" w:cs="Arial"/>
        </w:rPr>
        <w:t>3</w:t>
      </w:r>
      <w:r w:rsidRPr="0085657D">
        <w:rPr>
          <w:rFonts w:ascii="Arial" w:hAnsi="Arial" w:cs="Arial"/>
        </w:rPr>
        <w:t xml:space="preserve"> biće mjeren putem seta pokazatelja (indikatora) uticaja.</w:t>
      </w:r>
    </w:p>
    <w:p w14:paraId="42E3DBF4" w14:textId="4D20663C" w:rsidR="006A4BDA" w:rsidRPr="0085657D" w:rsidRDefault="006A4BDA" w:rsidP="006A4BDA">
      <w:pPr>
        <w:jc w:val="center"/>
        <w:rPr>
          <w:rFonts w:ascii="Arial" w:hAnsi="Arial" w:cs="Arial"/>
        </w:rPr>
      </w:pPr>
      <w:r w:rsidRPr="0085657D">
        <w:rPr>
          <w:rFonts w:ascii="Arial" w:hAnsi="Arial" w:cs="Arial"/>
          <w:i/>
          <w:iCs/>
        </w:rPr>
        <w:t>Tabela 1</w:t>
      </w:r>
      <w:r w:rsidR="00EB173D">
        <w:rPr>
          <w:rFonts w:ascii="Arial" w:hAnsi="Arial" w:cs="Arial"/>
          <w:i/>
          <w:iCs/>
        </w:rPr>
        <w:t>1</w:t>
      </w:r>
      <w:r w:rsidRPr="0085657D">
        <w:rPr>
          <w:rFonts w:ascii="Arial" w:hAnsi="Arial" w:cs="Arial"/>
          <w:i/>
          <w:iCs/>
        </w:rPr>
        <w:t xml:space="preserve">: Indikatori realizacije Strateškog cilja </w:t>
      </w:r>
      <w:r w:rsidR="00EB173D">
        <w:rPr>
          <w:rFonts w:ascii="Arial" w:hAnsi="Arial" w:cs="Arial"/>
          <w:i/>
          <w:iCs/>
        </w:rPr>
        <w:t>3</w:t>
      </w:r>
    </w:p>
    <w:tbl>
      <w:tblPr>
        <w:tblStyle w:val="TableGrid"/>
        <w:tblW w:w="5000" w:type="pct"/>
        <w:tblInd w:w="-5" w:type="dxa"/>
        <w:tblLayout w:type="fixed"/>
        <w:tblLook w:val="04A0" w:firstRow="1" w:lastRow="0" w:firstColumn="1" w:lastColumn="0" w:noHBand="0" w:noVBand="1"/>
      </w:tblPr>
      <w:tblGrid>
        <w:gridCol w:w="4207"/>
        <w:gridCol w:w="1541"/>
        <w:gridCol w:w="1541"/>
        <w:gridCol w:w="2051"/>
      </w:tblGrid>
      <w:tr w:rsidR="006A4BDA" w:rsidRPr="0085657D" w14:paraId="37271392"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3A79F549" w14:textId="6EFEEB54" w:rsidR="006A4BDA" w:rsidRPr="0085657D" w:rsidRDefault="006A4BDA" w:rsidP="006A4BDA">
            <w:pPr>
              <w:spacing w:after="160"/>
              <w:rPr>
                <w:rFonts w:ascii="Arial" w:eastAsiaTheme="minorHAnsi" w:hAnsi="Arial" w:cs="Arial"/>
                <w:b/>
                <w:bCs/>
                <w:lang w:eastAsia="en-US"/>
              </w:rPr>
            </w:pPr>
            <w:r w:rsidRPr="0085657D">
              <w:rPr>
                <w:rFonts w:ascii="Arial" w:eastAsiaTheme="minorHAnsi" w:hAnsi="Arial" w:cs="Arial"/>
                <w:b/>
                <w:bCs/>
                <w:lang w:eastAsia="en-US"/>
              </w:rPr>
              <w:t xml:space="preserve">Strateški cilj </w:t>
            </w:r>
            <w:r w:rsidR="00EB173D">
              <w:rPr>
                <w:rFonts w:ascii="Arial" w:eastAsiaTheme="minorHAnsi" w:hAnsi="Arial" w:cs="Arial"/>
                <w:b/>
                <w:bCs/>
                <w:lang w:eastAsia="en-US"/>
              </w:rPr>
              <w:t>3</w:t>
            </w:r>
            <w:r w:rsidRPr="0085657D">
              <w:rPr>
                <w:rFonts w:ascii="Arial" w:eastAsiaTheme="minorHAnsi" w:hAnsi="Arial" w:cs="Arial"/>
                <w:b/>
                <w:bCs/>
                <w:lang w:eastAsia="en-US"/>
              </w:rPr>
              <w:t>: Unapređenje pristupa pravdi za žrtve</w:t>
            </w:r>
          </w:p>
          <w:p w14:paraId="73C3BC98" w14:textId="77777777" w:rsidR="006A4BDA" w:rsidRPr="0085657D" w:rsidRDefault="006A4BDA" w:rsidP="006A4BDA">
            <w:pPr>
              <w:spacing w:after="160"/>
              <w:rPr>
                <w:rFonts w:ascii="Arial" w:eastAsiaTheme="minorHAnsi" w:hAnsi="Arial" w:cs="Arial"/>
                <w:lang w:eastAsia="en-US"/>
              </w:rPr>
            </w:pPr>
          </w:p>
        </w:tc>
      </w:tr>
      <w:tr w:rsidR="006A4BDA" w:rsidRPr="0085657D" w14:paraId="2260BAC5" w14:textId="77777777" w:rsidTr="000A7BD3">
        <w:trPr>
          <w:trHeight w:val="575"/>
        </w:trPr>
        <w:tc>
          <w:tcPr>
            <w:tcW w:w="2252" w:type="pct"/>
            <w:tcBorders>
              <w:top w:val="double" w:sz="4" w:space="0" w:color="auto"/>
            </w:tcBorders>
            <w:shd w:val="clear" w:color="auto" w:fill="FAE2D5" w:themeFill="accent2" w:themeFillTint="33"/>
          </w:tcPr>
          <w:p w14:paraId="7126A7B8"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Indikator uticaja</w:t>
            </w:r>
          </w:p>
        </w:tc>
        <w:tc>
          <w:tcPr>
            <w:tcW w:w="825" w:type="pct"/>
            <w:tcBorders>
              <w:top w:val="double" w:sz="4" w:space="0" w:color="auto"/>
            </w:tcBorders>
            <w:shd w:val="clear" w:color="auto" w:fill="FAE2D5" w:themeFill="accent2" w:themeFillTint="33"/>
          </w:tcPr>
          <w:p w14:paraId="72FD3C52" w14:textId="77777777"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Početna vrijednost</w:t>
            </w:r>
          </w:p>
          <w:p w14:paraId="78000701" w14:textId="77777777"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2024.</w:t>
            </w:r>
          </w:p>
        </w:tc>
        <w:tc>
          <w:tcPr>
            <w:tcW w:w="825" w:type="pct"/>
            <w:tcBorders>
              <w:top w:val="double" w:sz="4" w:space="0" w:color="auto"/>
            </w:tcBorders>
            <w:shd w:val="clear" w:color="auto" w:fill="FAE2D5" w:themeFill="accent2" w:themeFillTint="33"/>
          </w:tcPr>
          <w:p w14:paraId="34199CE3" w14:textId="4496E60F"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1098" w:type="pct"/>
            <w:tcBorders>
              <w:top w:val="double" w:sz="4" w:space="0" w:color="auto"/>
              <w:right w:val="double" w:sz="4" w:space="0" w:color="auto"/>
            </w:tcBorders>
            <w:shd w:val="clear" w:color="auto" w:fill="FAE2D5" w:themeFill="accent2" w:themeFillTint="33"/>
          </w:tcPr>
          <w:p w14:paraId="55A47D1E" w14:textId="6C04A0B1"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6A4BDA" w:rsidRPr="0085657D" w14:paraId="1D88AEA0" w14:textId="77777777" w:rsidTr="000A7BD3">
        <w:trPr>
          <w:trHeight w:val="254"/>
        </w:trPr>
        <w:tc>
          <w:tcPr>
            <w:tcW w:w="2252" w:type="pct"/>
            <w:tcBorders>
              <w:top w:val="double" w:sz="4" w:space="0" w:color="auto"/>
              <w:bottom w:val="double" w:sz="4" w:space="0" w:color="auto"/>
            </w:tcBorders>
            <w:shd w:val="clear" w:color="auto" w:fill="FFFFFF" w:themeFill="background1"/>
          </w:tcPr>
          <w:p w14:paraId="73E9ED5B" w14:textId="4B0D86B1"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žrtava koje imovinsko</w:t>
            </w:r>
            <w:r w:rsidR="00D41839">
              <w:rPr>
                <w:rFonts w:ascii="Arial" w:eastAsiaTheme="minorHAnsi" w:hAnsi="Arial" w:cs="Arial"/>
                <w:lang w:eastAsia="en-US"/>
              </w:rPr>
              <w:t>-</w:t>
            </w:r>
            <w:r w:rsidRPr="0085657D">
              <w:rPr>
                <w:rFonts w:ascii="Arial" w:eastAsiaTheme="minorHAnsi" w:hAnsi="Arial" w:cs="Arial"/>
                <w:lang w:eastAsia="en-US"/>
              </w:rPr>
              <w:t>pravni zahtjev ostvaruju u krivičnom postupku</w:t>
            </w:r>
          </w:p>
        </w:tc>
        <w:tc>
          <w:tcPr>
            <w:tcW w:w="825" w:type="pct"/>
            <w:tcBorders>
              <w:top w:val="double" w:sz="4" w:space="0" w:color="auto"/>
              <w:bottom w:val="double" w:sz="4" w:space="0" w:color="auto"/>
            </w:tcBorders>
            <w:shd w:val="clear" w:color="auto" w:fill="FFFFFF" w:themeFill="background1"/>
          </w:tcPr>
          <w:p w14:paraId="7043BB6F"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w:t>
            </w:r>
          </w:p>
        </w:tc>
        <w:tc>
          <w:tcPr>
            <w:tcW w:w="825" w:type="pct"/>
            <w:tcBorders>
              <w:top w:val="double" w:sz="4" w:space="0" w:color="auto"/>
              <w:bottom w:val="double" w:sz="4" w:space="0" w:color="auto"/>
            </w:tcBorders>
            <w:shd w:val="clear" w:color="auto" w:fill="FFFFFF" w:themeFill="background1"/>
          </w:tcPr>
          <w:p w14:paraId="717A896E"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w:t>
            </w:r>
          </w:p>
        </w:tc>
        <w:tc>
          <w:tcPr>
            <w:tcW w:w="1098" w:type="pct"/>
            <w:tcBorders>
              <w:top w:val="double" w:sz="4" w:space="0" w:color="auto"/>
              <w:bottom w:val="double" w:sz="4" w:space="0" w:color="auto"/>
              <w:right w:val="double" w:sz="4" w:space="0" w:color="auto"/>
            </w:tcBorders>
            <w:shd w:val="clear" w:color="auto" w:fill="FFFFFF" w:themeFill="background1"/>
          </w:tcPr>
          <w:p w14:paraId="04F747C3"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8%</w:t>
            </w:r>
          </w:p>
        </w:tc>
      </w:tr>
      <w:tr w:rsidR="006A4BDA" w:rsidRPr="0085657D" w14:paraId="3ED8598D" w14:textId="77777777" w:rsidTr="000A7BD3">
        <w:trPr>
          <w:trHeight w:val="254"/>
        </w:trPr>
        <w:tc>
          <w:tcPr>
            <w:tcW w:w="2252" w:type="pct"/>
            <w:tcBorders>
              <w:top w:val="double" w:sz="4" w:space="0" w:color="auto"/>
              <w:bottom w:val="double" w:sz="4" w:space="0" w:color="auto"/>
            </w:tcBorders>
            <w:shd w:val="clear" w:color="auto" w:fill="FFFFFF" w:themeFill="background1"/>
          </w:tcPr>
          <w:p w14:paraId="26CCAD3E" w14:textId="77777777" w:rsidR="006A4BDA" w:rsidRPr="00D41839" w:rsidDel="00B32F07" w:rsidRDefault="0079755E" w:rsidP="006A4BDA">
            <w:pPr>
              <w:shd w:val="clear" w:color="auto" w:fill="FFFFFF" w:themeFill="background1"/>
              <w:spacing w:after="240"/>
              <w:rPr>
                <w:rFonts w:ascii="Arial" w:eastAsiaTheme="minorHAnsi" w:hAnsi="Arial" w:cs="Arial"/>
                <w:lang w:eastAsia="en-US"/>
              </w:rPr>
            </w:pPr>
            <w:r w:rsidRPr="00D41839">
              <w:rPr>
                <w:rFonts w:ascii="Arial" w:eastAsiaTheme="minorHAnsi" w:hAnsi="Arial" w:cs="Arial"/>
                <w:lang w:eastAsia="en-US"/>
              </w:rPr>
              <w:t>I</w:t>
            </w:r>
            <w:r w:rsidR="006A4BDA" w:rsidRPr="00D41839">
              <w:rPr>
                <w:rFonts w:ascii="Arial" w:eastAsiaTheme="minorHAnsi" w:hAnsi="Arial" w:cs="Arial"/>
                <w:lang w:eastAsia="en-US"/>
              </w:rPr>
              <w:t xml:space="preserve">nformacije o pravima žrtava dostupne </w:t>
            </w:r>
            <w:r w:rsidRPr="00D41839">
              <w:rPr>
                <w:rFonts w:ascii="Arial" w:eastAsiaTheme="minorHAnsi" w:hAnsi="Arial" w:cs="Arial"/>
                <w:lang w:eastAsia="en-US"/>
              </w:rPr>
              <w:t xml:space="preserve">na jeziku i na način koji žrtva razumije </w:t>
            </w:r>
          </w:p>
        </w:tc>
        <w:tc>
          <w:tcPr>
            <w:tcW w:w="825" w:type="pct"/>
            <w:tcBorders>
              <w:top w:val="double" w:sz="4" w:space="0" w:color="auto"/>
              <w:bottom w:val="double" w:sz="4" w:space="0" w:color="auto"/>
            </w:tcBorders>
            <w:shd w:val="clear" w:color="auto" w:fill="FFFFFF" w:themeFill="background1"/>
          </w:tcPr>
          <w:p w14:paraId="151EDB0C" w14:textId="77777777" w:rsidR="006A4BDA" w:rsidRPr="0085657D" w:rsidRDefault="006A4BDA" w:rsidP="006A4BDA">
            <w:pPr>
              <w:shd w:val="clear" w:color="auto" w:fill="FFFFFF" w:themeFill="background1"/>
              <w:spacing w:after="160"/>
              <w:jc w:val="center"/>
              <w:rPr>
                <w:rFonts w:ascii="Arial" w:eastAsiaTheme="minorHAnsi" w:hAnsi="Arial" w:cs="Arial"/>
                <w:highlight w:val="yellow"/>
                <w:lang w:eastAsia="en-US"/>
              </w:rPr>
            </w:pPr>
            <w:r w:rsidRPr="0085657D">
              <w:rPr>
                <w:rFonts w:ascii="Arial" w:eastAsiaTheme="minorHAnsi" w:hAnsi="Arial" w:cs="Arial"/>
                <w:lang w:eastAsia="en-US"/>
              </w:rPr>
              <w:t xml:space="preserve">NE </w:t>
            </w:r>
          </w:p>
        </w:tc>
        <w:tc>
          <w:tcPr>
            <w:tcW w:w="825" w:type="pct"/>
            <w:tcBorders>
              <w:top w:val="double" w:sz="4" w:space="0" w:color="auto"/>
              <w:bottom w:val="double" w:sz="4" w:space="0" w:color="auto"/>
            </w:tcBorders>
            <w:shd w:val="clear" w:color="auto" w:fill="FFFFFF" w:themeFill="background1"/>
          </w:tcPr>
          <w:p w14:paraId="5BC625B0" w14:textId="77777777" w:rsidR="006A4BDA" w:rsidRPr="0085657D" w:rsidRDefault="006A4BDA" w:rsidP="006A4BDA">
            <w:pPr>
              <w:shd w:val="clear" w:color="auto" w:fill="FFFFFF" w:themeFill="background1"/>
              <w:spacing w:after="160"/>
              <w:jc w:val="center"/>
              <w:rPr>
                <w:rFonts w:ascii="Arial" w:eastAsiaTheme="minorHAnsi" w:hAnsi="Arial" w:cs="Arial"/>
                <w:highlight w:val="yellow"/>
                <w:lang w:eastAsia="en-US"/>
              </w:rPr>
            </w:pPr>
            <w:r w:rsidRPr="00D41839">
              <w:rPr>
                <w:rFonts w:ascii="Arial" w:eastAsiaTheme="minorHAnsi" w:hAnsi="Arial" w:cs="Arial"/>
                <w:lang w:eastAsia="en-US"/>
              </w:rPr>
              <w:t>DA</w:t>
            </w:r>
          </w:p>
        </w:tc>
        <w:tc>
          <w:tcPr>
            <w:tcW w:w="1098" w:type="pct"/>
            <w:tcBorders>
              <w:top w:val="double" w:sz="4" w:space="0" w:color="auto"/>
              <w:bottom w:val="double" w:sz="4" w:space="0" w:color="auto"/>
              <w:right w:val="double" w:sz="4" w:space="0" w:color="auto"/>
            </w:tcBorders>
            <w:shd w:val="clear" w:color="auto" w:fill="FFFFFF" w:themeFill="background1"/>
          </w:tcPr>
          <w:p w14:paraId="5BA0B1F8" w14:textId="77777777" w:rsidR="006A4BDA" w:rsidRPr="0085657D" w:rsidRDefault="006A4BDA" w:rsidP="006A4BDA">
            <w:pPr>
              <w:shd w:val="clear" w:color="auto" w:fill="FFFFFF" w:themeFill="background1"/>
              <w:spacing w:after="160"/>
              <w:jc w:val="center"/>
              <w:rPr>
                <w:rFonts w:ascii="Arial" w:eastAsiaTheme="minorHAnsi" w:hAnsi="Arial" w:cs="Arial"/>
                <w:highlight w:val="yellow"/>
                <w:lang w:eastAsia="en-US"/>
              </w:rPr>
            </w:pPr>
            <w:r w:rsidRPr="0085657D">
              <w:rPr>
                <w:rFonts w:ascii="Arial" w:eastAsiaTheme="minorHAnsi" w:hAnsi="Arial" w:cs="Arial"/>
                <w:lang w:eastAsia="en-US"/>
              </w:rPr>
              <w:t>DA</w:t>
            </w:r>
          </w:p>
        </w:tc>
      </w:tr>
      <w:tr w:rsidR="006A4BDA" w:rsidRPr="0085657D" w14:paraId="1E735474" w14:textId="77777777" w:rsidTr="000A7BD3">
        <w:trPr>
          <w:trHeight w:val="254"/>
        </w:trPr>
        <w:tc>
          <w:tcPr>
            <w:tcW w:w="5000" w:type="pct"/>
            <w:gridSpan w:val="4"/>
            <w:tcBorders>
              <w:top w:val="double" w:sz="4" w:space="0" w:color="auto"/>
              <w:bottom w:val="double" w:sz="4" w:space="0" w:color="auto"/>
              <w:right w:val="double" w:sz="4" w:space="0" w:color="auto"/>
            </w:tcBorders>
            <w:shd w:val="clear" w:color="auto" w:fill="D9F2D0" w:themeFill="accent6" w:themeFillTint="33"/>
          </w:tcPr>
          <w:p w14:paraId="0CF043A1" w14:textId="08959EF0" w:rsidR="006A4BDA" w:rsidRPr="00D41839" w:rsidRDefault="006A4BDA" w:rsidP="006A4BDA">
            <w:pPr>
              <w:spacing w:after="160"/>
              <w:rPr>
                <w:rFonts w:ascii="Arial" w:eastAsiaTheme="minorHAnsi" w:hAnsi="Arial" w:cs="Arial"/>
                <w:b/>
                <w:bCs/>
                <w:u w:val="single"/>
                <w:lang w:eastAsia="en-US"/>
              </w:rPr>
            </w:pPr>
            <w:r w:rsidRPr="00D41839">
              <w:rPr>
                <w:rFonts w:ascii="Arial" w:eastAsiaTheme="minorHAnsi" w:hAnsi="Arial" w:cs="Arial"/>
                <w:b/>
                <w:bCs/>
                <w:u w:val="single"/>
                <w:lang w:eastAsia="en-US"/>
              </w:rPr>
              <w:t xml:space="preserve">U okviru Strateškog cilja </w:t>
            </w:r>
            <w:r w:rsidR="00EB173D" w:rsidRPr="00D41839">
              <w:rPr>
                <w:rFonts w:ascii="Arial" w:eastAsiaTheme="minorHAnsi" w:hAnsi="Arial" w:cs="Arial"/>
                <w:b/>
                <w:bCs/>
                <w:u w:val="single"/>
                <w:lang w:eastAsia="en-US"/>
              </w:rPr>
              <w:t>3</w:t>
            </w:r>
            <w:r w:rsidRPr="00D41839">
              <w:rPr>
                <w:rFonts w:ascii="Arial" w:eastAsiaTheme="minorHAnsi" w:hAnsi="Arial" w:cs="Arial"/>
                <w:b/>
                <w:bCs/>
                <w:u w:val="single"/>
                <w:lang w:eastAsia="en-US"/>
              </w:rPr>
              <w:t xml:space="preserve"> definisani su sljedeći operativni ciljevi:</w:t>
            </w:r>
          </w:p>
          <w:p w14:paraId="785F1CF3" w14:textId="6EFF21BF" w:rsidR="006A4BDA" w:rsidRPr="00D41839" w:rsidRDefault="006A4BDA" w:rsidP="006A4BDA">
            <w:pPr>
              <w:spacing w:after="160"/>
              <w:rPr>
                <w:rFonts w:ascii="Arial" w:eastAsiaTheme="minorHAnsi" w:hAnsi="Arial" w:cs="Arial"/>
                <w:lang w:eastAsia="en-US"/>
              </w:rPr>
            </w:pPr>
            <w:r w:rsidRPr="00D41839">
              <w:rPr>
                <w:rFonts w:ascii="Arial" w:eastAsiaTheme="minorHAnsi" w:hAnsi="Arial" w:cs="Arial"/>
                <w:b/>
                <w:bCs/>
                <w:lang w:eastAsia="en-US"/>
              </w:rPr>
              <w:t xml:space="preserve">OC </w:t>
            </w:r>
            <w:r w:rsidR="00EB173D" w:rsidRPr="00D41839">
              <w:rPr>
                <w:rFonts w:ascii="Arial" w:eastAsiaTheme="minorHAnsi" w:hAnsi="Arial" w:cs="Arial"/>
                <w:b/>
                <w:bCs/>
                <w:lang w:eastAsia="en-US"/>
              </w:rPr>
              <w:t>3</w:t>
            </w:r>
            <w:r w:rsidRPr="00D41839">
              <w:rPr>
                <w:rFonts w:ascii="Arial" w:eastAsiaTheme="minorHAnsi" w:hAnsi="Arial" w:cs="Arial"/>
                <w:b/>
                <w:bCs/>
                <w:lang w:eastAsia="en-US"/>
              </w:rPr>
              <w:t>.1.</w:t>
            </w:r>
            <w:r w:rsidRPr="00D41839">
              <w:rPr>
                <w:rFonts w:ascii="Arial" w:eastAsiaTheme="minorHAnsi" w:hAnsi="Arial" w:cs="Arial"/>
                <w:lang w:eastAsia="en-US"/>
              </w:rPr>
              <w:t xml:space="preserve"> Unapređenje prava na besplatnu pravnu pomoć za žrtve</w:t>
            </w:r>
          </w:p>
          <w:p w14:paraId="73E68F95" w14:textId="4CBE7DF1" w:rsidR="006A4BDA" w:rsidRPr="00D41839" w:rsidRDefault="006A4BDA" w:rsidP="006A4BDA">
            <w:pPr>
              <w:spacing w:after="160"/>
              <w:rPr>
                <w:rFonts w:ascii="Arial" w:eastAsiaTheme="minorHAnsi" w:hAnsi="Arial" w:cs="Arial"/>
                <w:lang w:eastAsia="en-US"/>
              </w:rPr>
            </w:pPr>
            <w:r w:rsidRPr="00D41839">
              <w:rPr>
                <w:rFonts w:ascii="Arial" w:eastAsiaTheme="minorHAnsi" w:hAnsi="Arial" w:cs="Arial"/>
                <w:b/>
                <w:bCs/>
                <w:lang w:eastAsia="en-US"/>
              </w:rPr>
              <w:t xml:space="preserve">OC </w:t>
            </w:r>
            <w:r w:rsidR="00EB173D" w:rsidRPr="00D41839">
              <w:rPr>
                <w:rFonts w:ascii="Arial" w:eastAsiaTheme="minorHAnsi" w:hAnsi="Arial" w:cs="Arial"/>
                <w:b/>
                <w:bCs/>
                <w:lang w:eastAsia="en-US"/>
              </w:rPr>
              <w:t>3</w:t>
            </w:r>
            <w:r w:rsidRPr="00D41839">
              <w:rPr>
                <w:rFonts w:ascii="Arial" w:eastAsiaTheme="minorHAnsi" w:hAnsi="Arial" w:cs="Arial"/>
                <w:b/>
                <w:bCs/>
                <w:lang w:eastAsia="en-US"/>
              </w:rPr>
              <w:t>.2.</w:t>
            </w:r>
            <w:r w:rsidRPr="00D41839">
              <w:rPr>
                <w:rFonts w:ascii="Arial" w:eastAsiaTheme="minorHAnsi" w:hAnsi="Arial" w:cs="Arial"/>
                <w:lang w:eastAsia="en-US"/>
              </w:rPr>
              <w:t xml:space="preserve"> Unapređenje mehanizama usmjerenih na ostvarivanje prava na kompenzaciju u krivičnom postupku</w:t>
            </w:r>
          </w:p>
          <w:p w14:paraId="6F1F4A53" w14:textId="42F27392" w:rsidR="006A4BDA" w:rsidRPr="00D41839" w:rsidRDefault="006A4BDA" w:rsidP="005F6C84">
            <w:pPr>
              <w:spacing w:after="160"/>
              <w:rPr>
                <w:rFonts w:ascii="Arial" w:eastAsiaTheme="minorHAnsi" w:hAnsi="Arial" w:cs="Arial"/>
                <w:lang w:eastAsia="en-US"/>
              </w:rPr>
            </w:pPr>
            <w:r w:rsidRPr="00D41839">
              <w:rPr>
                <w:rFonts w:ascii="Arial" w:eastAsiaTheme="minorHAnsi" w:hAnsi="Arial" w:cs="Arial"/>
                <w:b/>
                <w:bCs/>
                <w:lang w:eastAsia="en-US"/>
              </w:rPr>
              <w:t xml:space="preserve">OC </w:t>
            </w:r>
            <w:r w:rsidR="00EB173D" w:rsidRPr="00D41839">
              <w:rPr>
                <w:rFonts w:ascii="Arial" w:eastAsiaTheme="minorHAnsi" w:hAnsi="Arial" w:cs="Arial"/>
                <w:b/>
                <w:bCs/>
                <w:lang w:eastAsia="en-US"/>
              </w:rPr>
              <w:t>3</w:t>
            </w:r>
            <w:r w:rsidRPr="00D41839">
              <w:rPr>
                <w:rFonts w:ascii="Arial" w:eastAsiaTheme="minorHAnsi" w:hAnsi="Arial" w:cs="Arial"/>
                <w:b/>
                <w:bCs/>
                <w:lang w:eastAsia="en-US"/>
              </w:rPr>
              <w:t>.3.</w:t>
            </w:r>
            <w:r w:rsidRPr="00D41839">
              <w:rPr>
                <w:rFonts w:ascii="Arial" w:eastAsiaTheme="minorHAnsi" w:hAnsi="Arial" w:cs="Arial"/>
                <w:lang w:eastAsia="en-US"/>
              </w:rPr>
              <w:t xml:space="preserve"> Unapređenje p</w:t>
            </w:r>
            <w:r w:rsidRPr="00D41839">
              <w:rPr>
                <w:rFonts w:ascii="Arial" w:eastAsiaTheme="minorHAnsi" w:hAnsi="Arial" w:cs="Arial"/>
                <w:lang w:val="fr-FR" w:eastAsia="en-US"/>
              </w:rPr>
              <w:t>rava</w:t>
            </w:r>
            <w:r w:rsidRPr="00D41839">
              <w:rPr>
                <w:rFonts w:ascii="Arial" w:eastAsiaTheme="minorHAnsi" w:hAnsi="Arial" w:cs="Arial"/>
                <w:lang w:eastAsia="en-US"/>
              </w:rPr>
              <w:t xml:space="preserve"> </w:t>
            </w:r>
            <w:r w:rsidRPr="00D41839">
              <w:rPr>
                <w:rFonts w:ascii="Arial" w:eastAsiaTheme="minorHAnsi" w:hAnsi="Arial" w:cs="Arial"/>
                <w:lang w:val="fr-FR" w:eastAsia="en-US"/>
              </w:rPr>
              <w:t>na</w:t>
            </w:r>
            <w:r w:rsidRPr="00D41839">
              <w:rPr>
                <w:rFonts w:ascii="Arial" w:eastAsiaTheme="minorHAnsi" w:hAnsi="Arial" w:cs="Arial"/>
                <w:lang w:eastAsia="en-US"/>
              </w:rPr>
              <w:t xml:space="preserve"> </w:t>
            </w:r>
            <w:r w:rsidRPr="00D41839">
              <w:rPr>
                <w:rFonts w:ascii="Arial" w:eastAsiaTheme="minorHAnsi" w:hAnsi="Arial" w:cs="Arial"/>
                <w:lang w:val="fr-FR" w:eastAsia="en-US"/>
              </w:rPr>
              <w:t>upotrebu</w:t>
            </w:r>
            <w:r w:rsidRPr="00D41839">
              <w:rPr>
                <w:rFonts w:ascii="Arial" w:eastAsiaTheme="minorHAnsi" w:hAnsi="Arial" w:cs="Arial"/>
                <w:lang w:eastAsia="en-US"/>
              </w:rPr>
              <w:t xml:space="preserve"> </w:t>
            </w:r>
            <w:r w:rsidRPr="00D41839">
              <w:rPr>
                <w:rFonts w:ascii="Arial" w:eastAsiaTheme="minorHAnsi" w:hAnsi="Arial" w:cs="Arial"/>
                <w:lang w:val="fr-FR" w:eastAsia="en-US"/>
              </w:rPr>
              <w:t>jezika</w:t>
            </w:r>
            <w:r w:rsidR="008866D0" w:rsidRPr="00D41839">
              <w:t xml:space="preserve"> </w:t>
            </w:r>
            <w:r w:rsidR="008866D0" w:rsidRPr="00D41839">
              <w:rPr>
                <w:rFonts w:ascii="Arial" w:eastAsiaTheme="minorHAnsi" w:hAnsi="Arial" w:cs="Arial"/>
                <w:lang w:val="fr-FR" w:eastAsia="en-US"/>
              </w:rPr>
              <w:t>za</w:t>
            </w:r>
            <w:r w:rsidR="008866D0" w:rsidRPr="00D41839">
              <w:rPr>
                <w:rFonts w:ascii="Arial" w:eastAsiaTheme="minorHAnsi" w:hAnsi="Arial" w:cs="Arial"/>
                <w:lang w:eastAsia="en-US"/>
              </w:rPr>
              <w:t xml:space="preserve"> ž</w:t>
            </w:r>
            <w:r w:rsidR="008866D0" w:rsidRPr="00D41839">
              <w:rPr>
                <w:rFonts w:ascii="Arial" w:eastAsiaTheme="minorHAnsi" w:hAnsi="Arial" w:cs="Arial"/>
                <w:lang w:val="fr-FR" w:eastAsia="en-US"/>
              </w:rPr>
              <w:t>rtve</w:t>
            </w:r>
            <w:r w:rsidR="008866D0" w:rsidRPr="00D41839">
              <w:rPr>
                <w:rFonts w:ascii="Arial" w:eastAsiaTheme="minorHAnsi" w:hAnsi="Arial" w:cs="Arial"/>
                <w:lang w:eastAsia="en-US"/>
              </w:rPr>
              <w:t xml:space="preserve"> </w:t>
            </w:r>
            <w:r w:rsidRPr="00D41839">
              <w:rPr>
                <w:rFonts w:ascii="Arial" w:eastAsiaTheme="minorHAnsi" w:hAnsi="Arial" w:cs="Arial"/>
                <w:lang w:val="fr-FR" w:eastAsia="en-US"/>
              </w:rPr>
              <w:t>u</w:t>
            </w:r>
            <w:r w:rsidRPr="00D41839">
              <w:rPr>
                <w:rFonts w:ascii="Arial" w:eastAsiaTheme="minorHAnsi" w:hAnsi="Arial" w:cs="Arial"/>
                <w:lang w:eastAsia="en-US"/>
              </w:rPr>
              <w:t xml:space="preserve"> </w:t>
            </w:r>
            <w:r w:rsidRPr="00D41839">
              <w:rPr>
                <w:rFonts w:ascii="Arial" w:eastAsiaTheme="minorHAnsi" w:hAnsi="Arial" w:cs="Arial"/>
                <w:lang w:val="fr-FR" w:eastAsia="en-US"/>
              </w:rPr>
              <w:t>krivi</w:t>
            </w:r>
            <w:r w:rsidRPr="00D41839">
              <w:rPr>
                <w:rFonts w:ascii="Arial" w:eastAsiaTheme="minorHAnsi" w:hAnsi="Arial" w:cs="Arial"/>
                <w:lang w:eastAsia="en-US"/>
              </w:rPr>
              <w:t>č</w:t>
            </w:r>
            <w:r w:rsidRPr="00D41839">
              <w:rPr>
                <w:rFonts w:ascii="Arial" w:eastAsiaTheme="minorHAnsi" w:hAnsi="Arial" w:cs="Arial"/>
                <w:lang w:val="fr-FR" w:eastAsia="en-US"/>
              </w:rPr>
              <w:t>nom</w:t>
            </w:r>
            <w:r w:rsidRPr="00D41839">
              <w:rPr>
                <w:rFonts w:ascii="Arial" w:eastAsiaTheme="minorHAnsi" w:hAnsi="Arial" w:cs="Arial"/>
                <w:lang w:eastAsia="en-US"/>
              </w:rPr>
              <w:t xml:space="preserve"> </w:t>
            </w:r>
            <w:r w:rsidRPr="00D41839">
              <w:rPr>
                <w:rFonts w:ascii="Arial" w:eastAsiaTheme="minorHAnsi" w:hAnsi="Arial" w:cs="Arial"/>
                <w:lang w:val="fr-FR" w:eastAsia="en-US"/>
              </w:rPr>
              <w:t>postupku</w:t>
            </w:r>
          </w:p>
        </w:tc>
      </w:tr>
    </w:tbl>
    <w:p w14:paraId="497BBB2F" w14:textId="260A9ECC" w:rsidR="006A4BDA" w:rsidRDefault="006A4BDA" w:rsidP="006A4BDA">
      <w:pPr>
        <w:rPr>
          <w:rFonts w:ascii="Arial" w:hAnsi="Arial" w:cs="Arial"/>
          <w:highlight w:val="yellow"/>
        </w:rPr>
      </w:pPr>
    </w:p>
    <w:p w14:paraId="007AC5AA" w14:textId="77777777" w:rsidR="000A7BD3" w:rsidRPr="0085657D" w:rsidRDefault="000A7BD3" w:rsidP="006A4BDA">
      <w:pPr>
        <w:rPr>
          <w:rFonts w:ascii="Arial" w:hAnsi="Arial" w:cs="Arial"/>
          <w:highlight w:val="yellow"/>
        </w:rPr>
      </w:pPr>
    </w:p>
    <w:p w14:paraId="2AC8DA22" w14:textId="3CC7DA9C" w:rsidR="006A4BDA" w:rsidRPr="0085657D" w:rsidRDefault="006A4BDA" w:rsidP="006A4BDA">
      <w:pPr>
        <w:keepNext/>
        <w:keepLines/>
        <w:spacing w:after="240"/>
        <w:outlineLvl w:val="2"/>
        <w:rPr>
          <w:rFonts w:ascii="Arial" w:eastAsiaTheme="majorEastAsia" w:hAnsi="Arial" w:cs="Arial"/>
          <w:color w:val="0F4761" w:themeColor="accent1" w:themeShade="BF"/>
        </w:rPr>
      </w:pPr>
      <w:bookmarkStart w:id="68" w:name="_Toc208489214"/>
      <w:r w:rsidRPr="0085657D">
        <w:rPr>
          <w:rFonts w:ascii="Arial" w:eastAsiaTheme="majorEastAsia" w:hAnsi="Arial" w:cs="Arial"/>
          <w:color w:val="0F4761" w:themeColor="accent1" w:themeShade="BF"/>
        </w:rPr>
        <w:t>Operativni cilj 4</w:t>
      </w:r>
      <w:r w:rsidR="00EB173D">
        <w:rPr>
          <w:rFonts w:ascii="Arial" w:eastAsiaTheme="majorEastAsia" w:hAnsi="Arial" w:cs="Arial"/>
          <w:color w:val="0F4761" w:themeColor="accent1" w:themeShade="BF"/>
        </w:rPr>
        <w:t>3</w:t>
      </w:r>
      <w:r w:rsidRPr="0085657D">
        <w:rPr>
          <w:rFonts w:ascii="Arial" w:eastAsiaTheme="majorEastAsia" w:hAnsi="Arial" w:cs="Arial"/>
          <w:color w:val="0F4761" w:themeColor="accent1" w:themeShade="BF"/>
        </w:rPr>
        <w:t>.1: Unapređenje prava na besplatnu pravnu pomoć za žrtve</w:t>
      </w:r>
      <w:bookmarkEnd w:id="68"/>
    </w:p>
    <w:p w14:paraId="76651EF1" w14:textId="00745ED0" w:rsidR="006A4BDA" w:rsidRPr="0085657D" w:rsidRDefault="006A4BDA" w:rsidP="006A4BDA">
      <w:pPr>
        <w:spacing w:line="276" w:lineRule="auto"/>
        <w:rPr>
          <w:rFonts w:ascii="Arial" w:hAnsi="Arial" w:cs="Arial"/>
        </w:rPr>
      </w:pPr>
      <w:r w:rsidRPr="0085657D">
        <w:rPr>
          <w:rFonts w:ascii="Arial" w:hAnsi="Arial" w:cs="Arial"/>
        </w:rPr>
        <w:t>Kao što je ranije konstatovano, nedavnim izmjenama i dopunama Zakona o besplatnoj pravnoj pomoći proširen je krug žrtava koje mogu ostvariti pravo na besplatnu pravnu pomoć</w:t>
      </w:r>
      <w:r w:rsidR="0079755E" w:rsidRPr="0085657D">
        <w:rPr>
          <w:rFonts w:ascii="Arial" w:hAnsi="Arial" w:cs="Arial"/>
        </w:rPr>
        <w:t xml:space="preserve"> ne</w:t>
      </w:r>
      <w:r w:rsidR="00D41839">
        <w:rPr>
          <w:rFonts w:ascii="Arial" w:hAnsi="Arial" w:cs="Arial"/>
        </w:rPr>
        <w:t>za</w:t>
      </w:r>
      <w:r w:rsidR="0079755E" w:rsidRPr="0085657D">
        <w:rPr>
          <w:rFonts w:ascii="Arial" w:hAnsi="Arial" w:cs="Arial"/>
        </w:rPr>
        <w:t>visno od njihovog materijalnog statusa</w:t>
      </w:r>
      <w:r w:rsidRPr="0085657D">
        <w:rPr>
          <w:rFonts w:ascii="Arial" w:hAnsi="Arial" w:cs="Arial"/>
        </w:rPr>
        <w:t>. Ipak, ovo i dalje ne znači da u ovoj oblasti ne postoje izazovi za žrtve.</w:t>
      </w:r>
    </w:p>
    <w:p w14:paraId="20610687" w14:textId="6135C0D3" w:rsidR="006A4BDA" w:rsidRPr="0085657D" w:rsidRDefault="006A4BDA" w:rsidP="006A4BDA">
      <w:pPr>
        <w:spacing w:line="276" w:lineRule="auto"/>
        <w:rPr>
          <w:rFonts w:ascii="Arial" w:hAnsi="Arial" w:cs="Arial"/>
        </w:rPr>
      </w:pPr>
      <w:r w:rsidRPr="0085657D">
        <w:rPr>
          <w:rFonts w:ascii="Arial" w:hAnsi="Arial" w:cs="Arial"/>
        </w:rPr>
        <w:lastRenderedPageBreak/>
        <w:t xml:space="preserve">Imajući ovo u vidu, u predstojećem periodu fokus reformskih aktivnosti trebalo bi da bude na podizanju svijesti žrtava </w:t>
      </w:r>
      <w:r w:rsidR="0079755E" w:rsidRPr="0085657D">
        <w:rPr>
          <w:rFonts w:ascii="Arial" w:hAnsi="Arial" w:cs="Arial"/>
        </w:rPr>
        <w:t>d</w:t>
      </w:r>
      <w:r w:rsidRPr="0085657D">
        <w:rPr>
          <w:rFonts w:ascii="Arial" w:hAnsi="Arial" w:cs="Arial"/>
        </w:rPr>
        <w:t xml:space="preserve">a </w:t>
      </w:r>
      <w:r w:rsidR="00F84674" w:rsidRPr="0085657D">
        <w:rPr>
          <w:rFonts w:ascii="Arial" w:hAnsi="Arial" w:cs="Arial"/>
        </w:rPr>
        <w:t>imaju pravo na besplatnu pravnu pomoć</w:t>
      </w:r>
      <w:r w:rsidRPr="0085657D">
        <w:rPr>
          <w:rFonts w:ascii="Arial" w:hAnsi="Arial" w:cs="Arial"/>
        </w:rPr>
        <w:t xml:space="preserve"> </w:t>
      </w:r>
      <w:r w:rsidR="00F84674" w:rsidRPr="0085657D">
        <w:rPr>
          <w:rFonts w:ascii="Arial" w:hAnsi="Arial" w:cs="Arial"/>
        </w:rPr>
        <w:t>i</w:t>
      </w:r>
      <w:r w:rsidR="0079755E" w:rsidRPr="0085657D">
        <w:rPr>
          <w:rFonts w:ascii="Arial" w:hAnsi="Arial" w:cs="Arial"/>
        </w:rPr>
        <w:t xml:space="preserve"> na koji način to svoje pravo da ostvare</w:t>
      </w:r>
      <w:r w:rsidRPr="0085657D">
        <w:rPr>
          <w:rFonts w:ascii="Arial" w:hAnsi="Arial" w:cs="Arial"/>
        </w:rPr>
        <w:t xml:space="preserve">. Istovremeno, potrebno je </w:t>
      </w:r>
      <w:r w:rsidR="0079755E" w:rsidRPr="0085657D">
        <w:rPr>
          <w:rFonts w:ascii="Arial" w:hAnsi="Arial" w:cs="Arial"/>
        </w:rPr>
        <w:t xml:space="preserve">raditi na specijalizaciji </w:t>
      </w:r>
      <w:r w:rsidRPr="0085657D">
        <w:rPr>
          <w:rFonts w:ascii="Arial" w:hAnsi="Arial" w:cs="Arial"/>
        </w:rPr>
        <w:t>advokata koji pružaju besplatnu pravnu pomoć</w:t>
      </w:r>
      <w:r w:rsidR="0079755E" w:rsidRPr="0085657D">
        <w:rPr>
          <w:rFonts w:ascii="Arial" w:hAnsi="Arial" w:cs="Arial"/>
        </w:rPr>
        <w:t xml:space="preserve"> određenim kategorijama žrtava</w:t>
      </w:r>
      <w:r w:rsidRPr="0085657D">
        <w:rPr>
          <w:rFonts w:ascii="Arial" w:hAnsi="Arial" w:cs="Arial"/>
        </w:rPr>
        <w:t>, čime bi se obezb</w:t>
      </w:r>
      <w:r w:rsidR="00D41839">
        <w:rPr>
          <w:rFonts w:ascii="Arial" w:hAnsi="Arial" w:cs="Arial"/>
        </w:rPr>
        <w:t>ij</w:t>
      </w:r>
      <w:r w:rsidRPr="0085657D">
        <w:rPr>
          <w:rFonts w:ascii="Arial" w:hAnsi="Arial" w:cs="Arial"/>
        </w:rPr>
        <w:t>edila njihova senzibilizacija za potrebe žrtava koje zastupaju</w:t>
      </w:r>
      <w:r w:rsidR="0079755E" w:rsidRPr="0085657D">
        <w:rPr>
          <w:rFonts w:ascii="Arial" w:hAnsi="Arial" w:cs="Arial"/>
        </w:rPr>
        <w:t xml:space="preserve"> i unaprijedio kvalitet pružene pravne pomoći</w:t>
      </w:r>
      <w:r w:rsidRPr="0085657D">
        <w:rPr>
          <w:rFonts w:ascii="Arial" w:hAnsi="Arial" w:cs="Arial"/>
        </w:rPr>
        <w:t>.</w:t>
      </w:r>
    </w:p>
    <w:p w14:paraId="45443000" w14:textId="7C51F365" w:rsidR="006A4BDA" w:rsidRPr="0085657D" w:rsidRDefault="006A4BDA" w:rsidP="006A4BDA">
      <w:pPr>
        <w:jc w:val="center"/>
        <w:rPr>
          <w:rFonts w:ascii="Arial" w:hAnsi="Arial" w:cs="Arial"/>
        </w:rPr>
      </w:pPr>
      <w:r w:rsidRPr="0085657D">
        <w:rPr>
          <w:rFonts w:ascii="Arial" w:hAnsi="Arial" w:cs="Arial"/>
          <w:i/>
          <w:iCs/>
        </w:rPr>
        <w:t>Tabela 1</w:t>
      </w:r>
      <w:r w:rsidR="00EB173D">
        <w:rPr>
          <w:rFonts w:ascii="Arial" w:hAnsi="Arial" w:cs="Arial"/>
          <w:i/>
          <w:iCs/>
        </w:rPr>
        <w:t>2</w:t>
      </w:r>
      <w:r w:rsidRPr="0085657D">
        <w:rPr>
          <w:rFonts w:ascii="Arial" w:hAnsi="Arial" w:cs="Arial"/>
          <w:i/>
          <w:iCs/>
        </w:rPr>
        <w:t xml:space="preserve">: Indikatori realizacije Operativnog cilja </w:t>
      </w:r>
      <w:r w:rsidR="00EB173D">
        <w:rPr>
          <w:rFonts w:ascii="Arial" w:hAnsi="Arial" w:cs="Arial"/>
          <w:i/>
          <w:iCs/>
        </w:rPr>
        <w:t>3</w:t>
      </w:r>
      <w:r w:rsidRPr="0085657D">
        <w:rPr>
          <w:rFonts w:ascii="Arial" w:hAnsi="Arial" w:cs="Arial"/>
          <w:i/>
          <w:iCs/>
        </w:rPr>
        <w:t>.1.</w:t>
      </w:r>
    </w:p>
    <w:tbl>
      <w:tblPr>
        <w:tblStyle w:val="TableGrid"/>
        <w:tblW w:w="5011" w:type="pct"/>
        <w:tblInd w:w="85" w:type="dxa"/>
        <w:tblLayout w:type="fixed"/>
        <w:tblLook w:val="04A0" w:firstRow="1" w:lastRow="0" w:firstColumn="1" w:lastColumn="0" w:noHBand="0" w:noVBand="1"/>
      </w:tblPr>
      <w:tblGrid>
        <w:gridCol w:w="2035"/>
        <w:gridCol w:w="3254"/>
        <w:gridCol w:w="1415"/>
        <w:gridCol w:w="1275"/>
        <w:gridCol w:w="1382"/>
      </w:tblGrid>
      <w:tr w:rsidR="006A4BDA" w:rsidRPr="0085657D" w14:paraId="3CD39FB5" w14:textId="77777777" w:rsidTr="00E9112A">
        <w:trPr>
          <w:trHeight w:val="575"/>
        </w:trPr>
        <w:tc>
          <w:tcPr>
            <w:tcW w:w="1087" w:type="pct"/>
            <w:tcBorders>
              <w:top w:val="double" w:sz="4" w:space="0" w:color="auto"/>
            </w:tcBorders>
            <w:shd w:val="clear" w:color="auto" w:fill="FAE2D5" w:themeFill="accent2" w:themeFillTint="33"/>
          </w:tcPr>
          <w:p w14:paraId="63F24A5D"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 xml:space="preserve">Operativni </w:t>
            </w:r>
          </w:p>
          <w:p w14:paraId="611BADDF"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w:t>
            </w:r>
          </w:p>
        </w:tc>
        <w:tc>
          <w:tcPr>
            <w:tcW w:w="1738" w:type="pct"/>
            <w:tcBorders>
              <w:top w:val="double" w:sz="4" w:space="0" w:color="auto"/>
            </w:tcBorders>
            <w:shd w:val="clear" w:color="auto" w:fill="FAE2D5" w:themeFill="accent2" w:themeFillTint="33"/>
          </w:tcPr>
          <w:p w14:paraId="7DEA26EA"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6" w:type="pct"/>
            <w:tcBorders>
              <w:top w:val="double" w:sz="4" w:space="0" w:color="auto"/>
            </w:tcBorders>
            <w:shd w:val="clear" w:color="auto" w:fill="FAE2D5" w:themeFill="accent2" w:themeFillTint="33"/>
          </w:tcPr>
          <w:p w14:paraId="1AE3D639"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319DFBE2"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2024.</w:t>
            </w:r>
          </w:p>
        </w:tc>
        <w:tc>
          <w:tcPr>
            <w:tcW w:w="681" w:type="pct"/>
            <w:tcBorders>
              <w:top w:val="double" w:sz="4" w:space="0" w:color="auto"/>
            </w:tcBorders>
            <w:shd w:val="clear" w:color="auto" w:fill="FAE2D5" w:themeFill="accent2" w:themeFillTint="33"/>
          </w:tcPr>
          <w:p w14:paraId="14D4E944" w14:textId="6EF37175"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738" w:type="pct"/>
            <w:tcBorders>
              <w:top w:val="double" w:sz="4" w:space="0" w:color="auto"/>
              <w:right w:val="double" w:sz="4" w:space="0" w:color="auto"/>
            </w:tcBorders>
            <w:shd w:val="clear" w:color="auto" w:fill="FAE2D5" w:themeFill="accent2" w:themeFillTint="33"/>
          </w:tcPr>
          <w:p w14:paraId="47059937" w14:textId="0C549ACE"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5839B9" w:rsidRPr="0085657D" w14:paraId="64EAF33D" w14:textId="77777777" w:rsidTr="00E9112A">
        <w:trPr>
          <w:trHeight w:val="866"/>
        </w:trPr>
        <w:tc>
          <w:tcPr>
            <w:tcW w:w="1087" w:type="pct"/>
            <w:vMerge w:val="restart"/>
            <w:tcBorders>
              <w:top w:val="double" w:sz="4" w:space="0" w:color="auto"/>
            </w:tcBorders>
            <w:shd w:val="clear" w:color="auto" w:fill="D9F2D0" w:themeFill="accent6" w:themeFillTint="33"/>
          </w:tcPr>
          <w:p w14:paraId="1DA2BC98" w14:textId="24C389B5" w:rsidR="005839B9" w:rsidRPr="0085657D" w:rsidRDefault="00EB173D" w:rsidP="006A4BDA">
            <w:pPr>
              <w:spacing w:after="160"/>
              <w:rPr>
                <w:rFonts w:ascii="Arial" w:eastAsiaTheme="minorHAnsi" w:hAnsi="Arial" w:cs="Arial"/>
                <w:lang w:eastAsia="en-US"/>
              </w:rPr>
            </w:pPr>
            <w:r>
              <w:rPr>
                <w:rFonts w:ascii="Arial" w:eastAsiaTheme="minorHAnsi" w:hAnsi="Arial" w:cs="Arial"/>
                <w:lang w:eastAsia="en-US"/>
              </w:rPr>
              <w:t>3</w:t>
            </w:r>
            <w:r w:rsidR="005839B9" w:rsidRPr="0085657D">
              <w:rPr>
                <w:rFonts w:ascii="Arial" w:eastAsiaTheme="minorHAnsi" w:hAnsi="Arial" w:cs="Arial"/>
                <w:lang w:eastAsia="en-US"/>
              </w:rPr>
              <w:t>.1.</w:t>
            </w:r>
          </w:p>
          <w:p w14:paraId="0729E4E5" w14:textId="3932C97A" w:rsidR="005839B9" w:rsidRPr="0085657D" w:rsidRDefault="005839B9" w:rsidP="006A4BDA">
            <w:pPr>
              <w:spacing w:after="160"/>
              <w:rPr>
                <w:rFonts w:ascii="Arial" w:eastAsiaTheme="minorHAnsi" w:hAnsi="Arial" w:cs="Arial"/>
                <w:lang w:eastAsia="en-US"/>
              </w:rPr>
            </w:pPr>
            <w:r>
              <w:rPr>
                <w:rFonts w:ascii="Arial" w:eastAsiaTheme="minorHAnsi" w:hAnsi="Arial" w:cs="Arial"/>
                <w:lang w:eastAsia="en-US"/>
              </w:rPr>
              <w:t>Unapr</w:t>
            </w:r>
            <w:r w:rsidRPr="0085657D">
              <w:rPr>
                <w:rFonts w:ascii="Arial" w:eastAsiaTheme="minorHAnsi" w:hAnsi="Arial" w:cs="Arial"/>
                <w:lang w:eastAsia="en-US"/>
              </w:rPr>
              <w:t>eđenje prava na besplatnu pravnu pomoć za žrtve</w:t>
            </w:r>
          </w:p>
        </w:tc>
        <w:tc>
          <w:tcPr>
            <w:tcW w:w="1738" w:type="pct"/>
            <w:tcBorders>
              <w:top w:val="double" w:sz="4" w:space="0" w:color="auto"/>
            </w:tcBorders>
            <w:shd w:val="clear" w:color="auto" w:fill="FFFFFF" w:themeFill="background1"/>
          </w:tcPr>
          <w:p w14:paraId="6D3ED837" w14:textId="248AC766" w:rsidR="005839B9" w:rsidRPr="008966E4" w:rsidRDefault="008966E4" w:rsidP="006A4BDA">
            <w:pPr>
              <w:shd w:val="clear" w:color="auto" w:fill="FFFFFF" w:themeFill="background1"/>
              <w:spacing w:after="240"/>
              <w:rPr>
                <w:rFonts w:ascii="Arial" w:eastAsiaTheme="minorHAnsi" w:hAnsi="Arial" w:cs="Arial"/>
                <w:lang w:eastAsia="en-US"/>
              </w:rPr>
            </w:pPr>
            <w:r w:rsidRPr="008966E4">
              <w:rPr>
                <w:rFonts w:ascii="Arial" w:eastAsiaTheme="minorHAnsi" w:hAnsi="Arial" w:cs="Arial"/>
                <w:lang w:eastAsia="en-US"/>
              </w:rPr>
              <w:t>Broj advokata koji su sertifikovani za pružanje besplatne pravne pomoći žrtvama u skladu sa izmjenama i dopunama Zakona o besplatnoj pravnoj pomoći.</w:t>
            </w:r>
          </w:p>
        </w:tc>
        <w:tc>
          <w:tcPr>
            <w:tcW w:w="756" w:type="pct"/>
            <w:tcBorders>
              <w:top w:val="double" w:sz="4" w:space="0" w:color="auto"/>
            </w:tcBorders>
            <w:shd w:val="clear" w:color="auto" w:fill="FFFFFF" w:themeFill="background1"/>
          </w:tcPr>
          <w:p w14:paraId="1EF9AA92" w14:textId="136D36DA" w:rsidR="005839B9" w:rsidRPr="008966E4" w:rsidRDefault="008966E4" w:rsidP="00985C21">
            <w:pPr>
              <w:shd w:val="clear" w:color="auto" w:fill="FFFFFF" w:themeFill="background1"/>
              <w:spacing w:after="160"/>
              <w:rPr>
                <w:rFonts w:ascii="Arial" w:eastAsiaTheme="minorHAnsi" w:hAnsi="Arial" w:cs="Arial"/>
                <w:lang w:eastAsia="en-US"/>
              </w:rPr>
            </w:pPr>
            <w:r w:rsidRPr="008966E4">
              <w:rPr>
                <w:rFonts w:ascii="Arial" w:eastAsiaTheme="minorHAnsi" w:hAnsi="Arial" w:cs="Arial"/>
                <w:lang w:eastAsia="en-US"/>
              </w:rPr>
              <w:t>0</w:t>
            </w:r>
          </w:p>
        </w:tc>
        <w:tc>
          <w:tcPr>
            <w:tcW w:w="681" w:type="pct"/>
            <w:tcBorders>
              <w:top w:val="double" w:sz="4" w:space="0" w:color="auto"/>
            </w:tcBorders>
            <w:shd w:val="clear" w:color="auto" w:fill="FFFFFF" w:themeFill="background1"/>
          </w:tcPr>
          <w:p w14:paraId="6B116ECA" w14:textId="21E2B08C" w:rsidR="005839B9" w:rsidRPr="008966E4" w:rsidRDefault="008966E4" w:rsidP="00985C21">
            <w:pPr>
              <w:shd w:val="clear" w:color="auto" w:fill="FFFFFF" w:themeFill="background1"/>
              <w:spacing w:after="160"/>
              <w:rPr>
                <w:rFonts w:ascii="Arial" w:eastAsiaTheme="minorHAnsi" w:hAnsi="Arial" w:cs="Arial"/>
                <w:lang w:eastAsia="en-US"/>
              </w:rPr>
            </w:pPr>
            <w:r w:rsidRPr="008966E4">
              <w:rPr>
                <w:rFonts w:ascii="Arial" w:eastAsiaTheme="minorHAnsi" w:hAnsi="Arial" w:cs="Arial"/>
                <w:lang w:eastAsia="en-US"/>
              </w:rPr>
              <w:t>60</w:t>
            </w:r>
          </w:p>
        </w:tc>
        <w:tc>
          <w:tcPr>
            <w:tcW w:w="738" w:type="pct"/>
            <w:tcBorders>
              <w:top w:val="double" w:sz="4" w:space="0" w:color="auto"/>
              <w:right w:val="double" w:sz="4" w:space="0" w:color="auto"/>
            </w:tcBorders>
            <w:shd w:val="clear" w:color="auto" w:fill="FFFFFF" w:themeFill="background1"/>
          </w:tcPr>
          <w:p w14:paraId="16D42DBA" w14:textId="6FD18B9A" w:rsidR="005839B9" w:rsidRPr="008966E4" w:rsidRDefault="008966E4" w:rsidP="006A4BDA">
            <w:pPr>
              <w:shd w:val="clear" w:color="auto" w:fill="FFFFFF" w:themeFill="background1"/>
              <w:spacing w:after="160"/>
              <w:jc w:val="center"/>
              <w:rPr>
                <w:rFonts w:ascii="Arial" w:eastAsiaTheme="minorHAnsi" w:hAnsi="Arial" w:cs="Arial"/>
                <w:lang w:eastAsia="en-US"/>
              </w:rPr>
            </w:pPr>
            <w:r w:rsidRPr="008966E4">
              <w:rPr>
                <w:rFonts w:ascii="Arial" w:eastAsiaTheme="minorHAnsi" w:hAnsi="Arial" w:cs="Arial"/>
                <w:lang w:eastAsia="en-US"/>
              </w:rPr>
              <w:t>100</w:t>
            </w:r>
          </w:p>
        </w:tc>
      </w:tr>
      <w:tr w:rsidR="005839B9" w:rsidRPr="0085657D" w14:paraId="4091E43F" w14:textId="77777777" w:rsidTr="00E9112A">
        <w:trPr>
          <w:trHeight w:val="254"/>
        </w:trPr>
        <w:tc>
          <w:tcPr>
            <w:tcW w:w="1087" w:type="pct"/>
            <w:vMerge/>
            <w:shd w:val="clear" w:color="auto" w:fill="D9F2D0" w:themeFill="accent6" w:themeFillTint="33"/>
          </w:tcPr>
          <w:p w14:paraId="24824D9E" w14:textId="77777777" w:rsidR="005839B9" w:rsidRPr="0085657D" w:rsidRDefault="005839B9" w:rsidP="00035D12">
            <w:pPr>
              <w:spacing w:after="160"/>
              <w:rPr>
                <w:rFonts w:ascii="Arial" w:eastAsiaTheme="minorHAnsi" w:hAnsi="Arial" w:cs="Arial"/>
                <w:lang w:eastAsia="en-US"/>
              </w:rPr>
            </w:pPr>
          </w:p>
        </w:tc>
        <w:tc>
          <w:tcPr>
            <w:tcW w:w="1738" w:type="pct"/>
            <w:tcBorders>
              <w:top w:val="double" w:sz="4" w:space="0" w:color="auto"/>
              <w:bottom w:val="double" w:sz="4" w:space="0" w:color="auto"/>
            </w:tcBorders>
            <w:shd w:val="clear" w:color="auto" w:fill="FFFFFF" w:themeFill="background1"/>
          </w:tcPr>
          <w:p w14:paraId="35E873CD" w14:textId="1414F52B" w:rsidR="005839B9" w:rsidRPr="0085657D" w:rsidRDefault="008966E4" w:rsidP="00035D12">
            <w:pPr>
              <w:shd w:val="clear" w:color="auto" w:fill="FFFFFF" w:themeFill="background1"/>
              <w:spacing w:after="240"/>
              <w:rPr>
                <w:rFonts w:ascii="Arial" w:eastAsiaTheme="minorHAnsi" w:hAnsi="Arial" w:cs="Arial"/>
                <w:lang w:eastAsia="en-US"/>
              </w:rPr>
            </w:pPr>
            <w:r w:rsidRPr="0085657D">
              <w:rPr>
                <w:rFonts w:ascii="Arial" w:hAnsi="Arial" w:cs="Arial"/>
              </w:rPr>
              <w:t>% uspješno okončanih postupaka u korist žrtve u kojima je pružena besplatna pravna pomoć</w:t>
            </w:r>
          </w:p>
        </w:tc>
        <w:tc>
          <w:tcPr>
            <w:tcW w:w="756" w:type="pct"/>
            <w:tcBorders>
              <w:top w:val="double" w:sz="4" w:space="0" w:color="auto"/>
              <w:bottom w:val="double" w:sz="4" w:space="0" w:color="auto"/>
            </w:tcBorders>
            <w:shd w:val="clear" w:color="auto" w:fill="FFFFFF" w:themeFill="background1"/>
          </w:tcPr>
          <w:p w14:paraId="31AF4B4D" w14:textId="77777777" w:rsidR="005839B9" w:rsidRPr="0085657D" w:rsidRDefault="005839B9" w:rsidP="00035D12">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681" w:type="pct"/>
            <w:tcBorders>
              <w:top w:val="double" w:sz="4" w:space="0" w:color="auto"/>
              <w:bottom w:val="double" w:sz="4" w:space="0" w:color="auto"/>
            </w:tcBorders>
            <w:shd w:val="clear" w:color="auto" w:fill="FFFFFF" w:themeFill="background1"/>
          </w:tcPr>
          <w:p w14:paraId="2CE89BEB" w14:textId="2B0EFF04" w:rsidR="005839B9" w:rsidRPr="0085657D" w:rsidRDefault="008966E4" w:rsidP="00035D12">
            <w:pPr>
              <w:shd w:val="clear" w:color="auto" w:fill="FFFFFF" w:themeFill="background1"/>
              <w:spacing w:after="160"/>
              <w:jc w:val="center"/>
              <w:rPr>
                <w:rFonts w:ascii="Arial" w:eastAsiaTheme="minorHAnsi" w:hAnsi="Arial" w:cs="Arial"/>
                <w:lang w:eastAsia="en-US"/>
              </w:rPr>
            </w:pPr>
            <w:r w:rsidRPr="008966E4">
              <w:rPr>
                <w:rFonts w:ascii="Arial" w:hAnsi="Arial" w:cs="Arial"/>
              </w:rPr>
              <w:t>20</w:t>
            </w:r>
          </w:p>
        </w:tc>
        <w:tc>
          <w:tcPr>
            <w:tcW w:w="738" w:type="pct"/>
            <w:tcBorders>
              <w:top w:val="double" w:sz="4" w:space="0" w:color="auto"/>
              <w:bottom w:val="double" w:sz="4" w:space="0" w:color="auto"/>
              <w:right w:val="double" w:sz="4" w:space="0" w:color="auto"/>
            </w:tcBorders>
            <w:shd w:val="clear" w:color="auto" w:fill="FFFFFF" w:themeFill="background1"/>
          </w:tcPr>
          <w:p w14:paraId="72B26321" w14:textId="36396011" w:rsidR="005839B9" w:rsidRPr="0085657D" w:rsidRDefault="008966E4" w:rsidP="00035D12">
            <w:pPr>
              <w:shd w:val="clear" w:color="auto" w:fill="FFFFFF" w:themeFill="background1"/>
              <w:spacing w:after="160"/>
              <w:jc w:val="center"/>
              <w:rPr>
                <w:rFonts w:ascii="Arial" w:eastAsiaTheme="minorHAnsi" w:hAnsi="Arial" w:cs="Arial"/>
                <w:lang w:eastAsia="en-US"/>
              </w:rPr>
            </w:pPr>
            <w:r w:rsidRPr="00454CC5">
              <w:rPr>
                <w:rFonts w:ascii="Arial" w:hAnsi="Arial" w:cs="Arial"/>
              </w:rPr>
              <w:t>50</w:t>
            </w:r>
          </w:p>
        </w:tc>
      </w:tr>
      <w:tr w:rsidR="008966E4" w:rsidRPr="0085657D" w14:paraId="470C56BE" w14:textId="77777777" w:rsidTr="00E9112A">
        <w:trPr>
          <w:gridAfter w:val="4"/>
          <w:wAfter w:w="3913" w:type="pct"/>
          <w:trHeight w:val="254"/>
        </w:trPr>
        <w:tc>
          <w:tcPr>
            <w:tcW w:w="1087" w:type="pct"/>
            <w:vMerge/>
            <w:tcBorders>
              <w:bottom w:val="double" w:sz="4" w:space="0" w:color="auto"/>
            </w:tcBorders>
            <w:shd w:val="clear" w:color="auto" w:fill="D9F2D0" w:themeFill="accent6" w:themeFillTint="33"/>
          </w:tcPr>
          <w:p w14:paraId="37EE1715" w14:textId="77777777" w:rsidR="008966E4" w:rsidRPr="0085657D" w:rsidRDefault="008966E4" w:rsidP="00035D12">
            <w:pPr>
              <w:rPr>
                <w:rFonts w:ascii="Arial" w:hAnsi="Arial" w:cs="Arial"/>
              </w:rPr>
            </w:pPr>
          </w:p>
        </w:tc>
      </w:tr>
    </w:tbl>
    <w:p w14:paraId="2AB53282" w14:textId="77777777" w:rsidR="006A4BDA" w:rsidRPr="0085657D" w:rsidRDefault="006A4BDA" w:rsidP="006A4BDA">
      <w:pPr>
        <w:rPr>
          <w:rFonts w:ascii="Arial" w:hAnsi="Arial" w:cs="Arial"/>
        </w:rPr>
      </w:pPr>
    </w:p>
    <w:p w14:paraId="5ADBE412" w14:textId="56FB5F16" w:rsidR="008866D0" w:rsidRPr="0085657D" w:rsidRDefault="006A4BDA" w:rsidP="006A4BDA">
      <w:pPr>
        <w:keepNext/>
        <w:keepLines/>
        <w:spacing w:after="240"/>
        <w:outlineLvl w:val="2"/>
        <w:rPr>
          <w:rFonts w:ascii="Arial" w:eastAsiaTheme="majorEastAsia" w:hAnsi="Arial" w:cs="Arial"/>
          <w:color w:val="0F4761" w:themeColor="accent1" w:themeShade="BF"/>
        </w:rPr>
      </w:pPr>
      <w:bookmarkStart w:id="69" w:name="_Toc208489215"/>
      <w:r w:rsidRPr="0085657D">
        <w:rPr>
          <w:rFonts w:ascii="Arial" w:eastAsiaTheme="majorEastAsia" w:hAnsi="Arial" w:cs="Arial"/>
          <w:color w:val="0F4761" w:themeColor="accent1" w:themeShade="BF"/>
        </w:rPr>
        <w:t xml:space="preserve">Operativni cilj </w:t>
      </w:r>
      <w:r w:rsidR="00EB173D">
        <w:rPr>
          <w:rFonts w:ascii="Arial" w:eastAsiaTheme="majorEastAsia" w:hAnsi="Arial" w:cs="Arial"/>
          <w:color w:val="0F4761" w:themeColor="accent1" w:themeShade="BF"/>
        </w:rPr>
        <w:t>3</w:t>
      </w:r>
      <w:r w:rsidRPr="0085657D">
        <w:rPr>
          <w:rFonts w:ascii="Arial" w:eastAsiaTheme="majorEastAsia" w:hAnsi="Arial" w:cs="Arial"/>
          <w:color w:val="0F4761" w:themeColor="accent1" w:themeShade="BF"/>
        </w:rPr>
        <w:t>.2: Unapređenje mehanizama usmjerenih na ostvarivanje prava na kompenzaciju u krivičnom postupku</w:t>
      </w:r>
      <w:bookmarkEnd w:id="69"/>
    </w:p>
    <w:p w14:paraId="5D8C4D01" w14:textId="1C4A2521" w:rsidR="006A4BDA" w:rsidRPr="0085657D" w:rsidRDefault="006A4BDA" w:rsidP="006A4BDA">
      <w:pPr>
        <w:spacing w:line="276" w:lineRule="auto"/>
        <w:rPr>
          <w:rFonts w:ascii="Arial" w:hAnsi="Arial" w:cs="Arial"/>
        </w:rPr>
      </w:pPr>
      <w:r w:rsidRPr="0085657D">
        <w:rPr>
          <w:rFonts w:ascii="Arial" w:hAnsi="Arial" w:cs="Arial"/>
        </w:rPr>
        <w:t>Uprkos činjenici da odredbe Zakonika o krivičnom postupku omogućavaju da se o imovinsko</w:t>
      </w:r>
      <w:r w:rsidR="00D41839">
        <w:rPr>
          <w:rFonts w:ascii="Arial" w:hAnsi="Arial" w:cs="Arial"/>
        </w:rPr>
        <w:t>-</w:t>
      </w:r>
      <w:r w:rsidRPr="0085657D">
        <w:rPr>
          <w:rFonts w:ascii="Arial" w:hAnsi="Arial" w:cs="Arial"/>
        </w:rPr>
        <w:t xml:space="preserve">pravnom zahtjevu donese odluka u krivičnom postupku, kako je ranije pojašnjeno, višedecenijska praksa drugačijeg postupanja stvorila je, kako </w:t>
      </w:r>
      <w:r w:rsidR="004408FA">
        <w:rPr>
          <w:rFonts w:ascii="Arial" w:hAnsi="Arial" w:cs="Arial"/>
        </w:rPr>
        <w:t>k</w:t>
      </w:r>
      <w:r w:rsidRPr="0085657D">
        <w:rPr>
          <w:rFonts w:ascii="Arial" w:hAnsi="Arial" w:cs="Arial"/>
        </w:rPr>
        <w:t>od žrtava, tako i kod profesionalaca u pravosuđu, privid nepostojanja mogućnosti da se o imovinsko</w:t>
      </w:r>
      <w:r w:rsidR="00D41839">
        <w:rPr>
          <w:rFonts w:ascii="Arial" w:hAnsi="Arial" w:cs="Arial"/>
        </w:rPr>
        <w:t>-</w:t>
      </w:r>
      <w:r w:rsidRPr="0085657D">
        <w:rPr>
          <w:rFonts w:ascii="Arial" w:hAnsi="Arial" w:cs="Arial"/>
        </w:rPr>
        <w:t>pravnom zahtjevu odluči u krivičnom postupku.</w:t>
      </w:r>
    </w:p>
    <w:p w14:paraId="6A72FC7F" w14:textId="006D956B" w:rsidR="006A4BDA" w:rsidRPr="0085657D" w:rsidRDefault="006A4BDA" w:rsidP="006A4BDA">
      <w:pPr>
        <w:spacing w:line="276" w:lineRule="auto"/>
        <w:rPr>
          <w:rFonts w:ascii="Arial" w:hAnsi="Arial" w:cs="Arial"/>
        </w:rPr>
      </w:pPr>
      <w:r w:rsidRPr="0085657D">
        <w:rPr>
          <w:rFonts w:ascii="Arial" w:hAnsi="Arial" w:cs="Arial"/>
        </w:rPr>
        <w:t>Imajući ovo na umu, a polazeći od uspješnih uporednih praksi, u predstojećem periodu trebalo bi izraditi Smjernice za odlučivanje o imovinsko</w:t>
      </w:r>
      <w:r w:rsidR="00D41839">
        <w:rPr>
          <w:rFonts w:ascii="Arial" w:hAnsi="Arial" w:cs="Arial"/>
        </w:rPr>
        <w:t>-</w:t>
      </w:r>
      <w:r w:rsidRPr="0085657D">
        <w:rPr>
          <w:rFonts w:ascii="Arial" w:hAnsi="Arial" w:cs="Arial"/>
        </w:rPr>
        <w:t>pravnom zahtjevu koje sadrže primjere dobre prakse, a koje bi sudijama</w:t>
      </w:r>
      <w:r w:rsidR="0079755E" w:rsidRPr="0085657D">
        <w:rPr>
          <w:rFonts w:ascii="Arial" w:hAnsi="Arial" w:cs="Arial"/>
        </w:rPr>
        <w:t xml:space="preserve"> </w:t>
      </w:r>
      <w:r w:rsidRPr="0085657D">
        <w:rPr>
          <w:rFonts w:ascii="Arial" w:hAnsi="Arial" w:cs="Arial"/>
        </w:rPr>
        <w:t>koj</w:t>
      </w:r>
      <w:r w:rsidR="0079755E" w:rsidRPr="0085657D">
        <w:rPr>
          <w:rFonts w:ascii="Arial" w:hAnsi="Arial" w:cs="Arial"/>
        </w:rPr>
        <w:t>e</w:t>
      </w:r>
      <w:r w:rsidRPr="0085657D">
        <w:rPr>
          <w:rFonts w:ascii="Arial" w:hAnsi="Arial" w:cs="Arial"/>
        </w:rPr>
        <w:t xml:space="preserve"> postupaju u krivičnoj materiji značajno olakšale donošenje odluke o imovinsko</w:t>
      </w:r>
      <w:r w:rsidR="00D41839">
        <w:rPr>
          <w:rFonts w:ascii="Arial" w:hAnsi="Arial" w:cs="Arial"/>
        </w:rPr>
        <w:t>-</w:t>
      </w:r>
      <w:r w:rsidRPr="0085657D">
        <w:rPr>
          <w:rFonts w:ascii="Arial" w:hAnsi="Arial" w:cs="Arial"/>
        </w:rPr>
        <w:t>pravnom zahtjevu.</w:t>
      </w:r>
    </w:p>
    <w:p w14:paraId="584D8BDF" w14:textId="3E086173" w:rsidR="006A4BDA" w:rsidRPr="0085657D" w:rsidRDefault="006A4BDA" w:rsidP="006A4BDA">
      <w:pPr>
        <w:spacing w:line="276" w:lineRule="auto"/>
        <w:rPr>
          <w:rFonts w:ascii="Arial" w:hAnsi="Arial" w:cs="Arial"/>
        </w:rPr>
      </w:pPr>
      <w:r w:rsidRPr="0085657D">
        <w:rPr>
          <w:rFonts w:ascii="Arial" w:hAnsi="Arial" w:cs="Arial"/>
        </w:rPr>
        <w:t>Važan korak trebalo bi da bude i obezbjeđivanje podrške žrtvama u procesu isticanja i opr</w:t>
      </w:r>
      <w:r w:rsidR="004408FA">
        <w:rPr>
          <w:rFonts w:ascii="Arial" w:hAnsi="Arial" w:cs="Arial"/>
        </w:rPr>
        <w:t>ed</w:t>
      </w:r>
      <w:r w:rsidRPr="0085657D">
        <w:rPr>
          <w:rFonts w:ascii="Arial" w:hAnsi="Arial" w:cs="Arial"/>
        </w:rPr>
        <w:t>jeljivanja imovinsko</w:t>
      </w:r>
      <w:r w:rsidR="00D41839">
        <w:rPr>
          <w:rFonts w:ascii="Arial" w:hAnsi="Arial" w:cs="Arial"/>
        </w:rPr>
        <w:t>-</w:t>
      </w:r>
      <w:r w:rsidRPr="0085657D">
        <w:rPr>
          <w:rFonts w:ascii="Arial" w:hAnsi="Arial" w:cs="Arial"/>
        </w:rPr>
        <w:t>pravnog zahtjeva uz pomoć standardizovanih obrazaca razvijenih za te svrhe.</w:t>
      </w:r>
    </w:p>
    <w:p w14:paraId="7D85EC93" w14:textId="77777777" w:rsidR="00E9112A" w:rsidRDefault="006A4BDA" w:rsidP="006A4BDA">
      <w:pPr>
        <w:spacing w:line="276" w:lineRule="auto"/>
        <w:rPr>
          <w:rFonts w:ascii="Arial" w:hAnsi="Arial" w:cs="Arial"/>
        </w:rPr>
      </w:pPr>
      <w:r w:rsidRPr="0085657D">
        <w:rPr>
          <w:rFonts w:ascii="Arial" w:hAnsi="Arial" w:cs="Arial"/>
        </w:rPr>
        <w:t>Pored toga, potrebno je uložiti značajne napore u organizaciju i sprovođenje obuka sudija koje postupaju u krivičnoj materiji, ali i državnih tužilaca, budući da mogućnost sudije da odluči o imovinsko</w:t>
      </w:r>
      <w:r w:rsidR="00D41839">
        <w:rPr>
          <w:rFonts w:ascii="Arial" w:hAnsi="Arial" w:cs="Arial"/>
        </w:rPr>
        <w:t>-</w:t>
      </w:r>
      <w:r w:rsidRPr="0085657D">
        <w:rPr>
          <w:rFonts w:ascii="Arial" w:hAnsi="Arial" w:cs="Arial"/>
        </w:rPr>
        <w:t>pravnom zahtjevu u velikoj mjeri zavisi od vještine državnog tužioca da već tokom istrage sprovedu neophodne dokazne radnje koje bi omogućile donošenje odluke o imovinsko</w:t>
      </w:r>
      <w:r w:rsidR="00D41839">
        <w:rPr>
          <w:rFonts w:ascii="Arial" w:hAnsi="Arial" w:cs="Arial"/>
        </w:rPr>
        <w:t>-</w:t>
      </w:r>
      <w:r w:rsidRPr="0085657D">
        <w:rPr>
          <w:rFonts w:ascii="Arial" w:hAnsi="Arial" w:cs="Arial"/>
        </w:rPr>
        <w:t>pravnom zahtjevu bez značajnog odugovlačenja krivičnog postupka.</w:t>
      </w:r>
    </w:p>
    <w:p w14:paraId="2416828A" w14:textId="11B590EF" w:rsidR="006A4BDA" w:rsidRPr="0085657D" w:rsidRDefault="006A4BDA" w:rsidP="006A4BDA">
      <w:pPr>
        <w:spacing w:line="276" w:lineRule="auto"/>
        <w:rPr>
          <w:rFonts w:ascii="Arial" w:hAnsi="Arial" w:cs="Arial"/>
        </w:rPr>
      </w:pPr>
      <w:r w:rsidRPr="0085657D">
        <w:rPr>
          <w:rFonts w:ascii="Arial" w:hAnsi="Arial" w:cs="Arial"/>
        </w:rPr>
        <w:lastRenderedPageBreak/>
        <w:t>Osim toga, obuke na temu ostvarivanja imovinsko</w:t>
      </w:r>
      <w:r w:rsidR="00D41839">
        <w:rPr>
          <w:rFonts w:ascii="Arial" w:hAnsi="Arial" w:cs="Arial"/>
        </w:rPr>
        <w:t>-</w:t>
      </w:r>
      <w:r w:rsidRPr="0085657D">
        <w:rPr>
          <w:rFonts w:ascii="Arial" w:hAnsi="Arial" w:cs="Arial"/>
        </w:rPr>
        <w:t>pravnog zahtjeva su od velikog značaja i za advokate koji postupaju kao punomoćnici oštećenog, budući da blagovremeno i adekvatno opr</w:t>
      </w:r>
      <w:r w:rsidR="00D41839">
        <w:rPr>
          <w:rFonts w:ascii="Arial" w:hAnsi="Arial" w:cs="Arial"/>
        </w:rPr>
        <w:t>j</w:t>
      </w:r>
      <w:r w:rsidRPr="0085657D">
        <w:rPr>
          <w:rFonts w:ascii="Arial" w:hAnsi="Arial" w:cs="Arial"/>
        </w:rPr>
        <w:t>edeljivanje imovinsko</w:t>
      </w:r>
      <w:r w:rsidR="00D41839">
        <w:rPr>
          <w:rFonts w:ascii="Arial" w:hAnsi="Arial" w:cs="Arial"/>
        </w:rPr>
        <w:t>-</w:t>
      </w:r>
      <w:r w:rsidRPr="0085657D">
        <w:rPr>
          <w:rFonts w:ascii="Arial" w:hAnsi="Arial" w:cs="Arial"/>
        </w:rPr>
        <w:t>pravnog zahtjeva predstavlja prvi preduslov za donošenje odluke o njemu već u krivičnom postupku.</w:t>
      </w:r>
    </w:p>
    <w:p w14:paraId="0E9AB264" w14:textId="186D3504" w:rsidR="006A4BDA" w:rsidRPr="0085657D" w:rsidRDefault="006A4BDA" w:rsidP="006A4BDA">
      <w:pPr>
        <w:jc w:val="center"/>
        <w:rPr>
          <w:rFonts w:ascii="Arial" w:hAnsi="Arial" w:cs="Arial"/>
        </w:rPr>
      </w:pPr>
      <w:r w:rsidRPr="0085657D">
        <w:rPr>
          <w:rFonts w:ascii="Arial" w:hAnsi="Arial" w:cs="Arial"/>
          <w:i/>
          <w:iCs/>
        </w:rPr>
        <w:t>Tabela 1</w:t>
      </w:r>
      <w:r w:rsidR="00EB173D">
        <w:rPr>
          <w:rFonts w:ascii="Arial" w:hAnsi="Arial" w:cs="Arial"/>
          <w:i/>
          <w:iCs/>
        </w:rPr>
        <w:t>4</w:t>
      </w:r>
      <w:r w:rsidRPr="0085657D">
        <w:rPr>
          <w:rFonts w:ascii="Arial" w:hAnsi="Arial" w:cs="Arial"/>
          <w:i/>
          <w:iCs/>
        </w:rPr>
        <w:t xml:space="preserve">: Indikatori realizacije Operativnog cilja </w:t>
      </w:r>
      <w:r w:rsidR="00EB173D">
        <w:rPr>
          <w:rFonts w:ascii="Arial" w:hAnsi="Arial" w:cs="Arial"/>
          <w:i/>
          <w:iCs/>
        </w:rPr>
        <w:t>3</w:t>
      </w:r>
      <w:r w:rsidRPr="0085657D">
        <w:rPr>
          <w:rFonts w:ascii="Arial" w:hAnsi="Arial" w:cs="Arial"/>
          <w:i/>
          <w:iCs/>
        </w:rPr>
        <w:t>.2.</w:t>
      </w:r>
    </w:p>
    <w:tbl>
      <w:tblPr>
        <w:tblStyle w:val="TableGrid"/>
        <w:tblW w:w="5000" w:type="pct"/>
        <w:tblInd w:w="-5" w:type="dxa"/>
        <w:tblLayout w:type="fixed"/>
        <w:tblLook w:val="04A0" w:firstRow="1" w:lastRow="0" w:firstColumn="1" w:lastColumn="0" w:noHBand="0" w:noVBand="1"/>
      </w:tblPr>
      <w:tblGrid>
        <w:gridCol w:w="2104"/>
        <w:gridCol w:w="3221"/>
        <w:gridCol w:w="1402"/>
        <w:gridCol w:w="1261"/>
        <w:gridCol w:w="1352"/>
      </w:tblGrid>
      <w:tr w:rsidR="006A4BDA" w:rsidRPr="0085657D" w14:paraId="7DD6F049" w14:textId="77777777" w:rsidTr="000A7BD3">
        <w:trPr>
          <w:trHeight w:val="575"/>
        </w:trPr>
        <w:tc>
          <w:tcPr>
            <w:tcW w:w="1126" w:type="pct"/>
            <w:tcBorders>
              <w:top w:val="double" w:sz="4" w:space="0" w:color="auto"/>
            </w:tcBorders>
            <w:shd w:val="clear" w:color="auto" w:fill="FAE2D5" w:themeFill="accent2" w:themeFillTint="33"/>
          </w:tcPr>
          <w:p w14:paraId="5FBA5A07"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 xml:space="preserve">Operativni </w:t>
            </w:r>
          </w:p>
          <w:p w14:paraId="0B1CA520"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w:t>
            </w:r>
          </w:p>
        </w:tc>
        <w:tc>
          <w:tcPr>
            <w:tcW w:w="1724" w:type="pct"/>
            <w:tcBorders>
              <w:top w:val="double" w:sz="4" w:space="0" w:color="auto"/>
            </w:tcBorders>
            <w:shd w:val="clear" w:color="auto" w:fill="FAE2D5" w:themeFill="accent2" w:themeFillTint="33"/>
          </w:tcPr>
          <w:p w14:paraId="64F76349"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0" w:type="pct"/>
            <w:tcBorders>
              <w:top w:val="double" w:sz="4" w:space="0" w:color="auto"/>
            </w:tcBorders>
            <w:shd w:val="clear" w:color="auto" w:fill="FAE2D5" w:themeFill="accent2" w:themeFillTint="33"/>
          </w:tcPr>
          <w:p w14:paraId="01A8DD3C"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463C07FC"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2024.</w:t>
            </w:r>
          </w:p>
        </w:tc>
        <w:tc>
          <w:tcPr>
            <w:tcW w:w="675" w:type="pct"/>
            <w:tcBorders>
              <w:top w:val="double" w:sz="4" w:space="0" w:color="auto"/>
            </w:tcBorders>
            <w:shd w:val="clear" w:color="auto" w:fill="FAE2D5" w:themeFill="accent2" w:themeFillTint="33"/>
          </w:tcPr>
          <w:p w14:paraId="080B2971" w14:textId="3097A78E"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724" w:type="pct"/>
            <w:tcBorders>
              <w:top w:val="double" w:sz="4" w:space="0" w:color="auto"/>
              <w:right w:val="double" w:sz="4" w:space="0" w:color="auto"/>
            </w:tcBorders>
            <w:shd w:val="clear" w:color="auto" w:fill="FAE2D5" w:themeFill="accent2" w:themeFillTint="33"/>
          </w:tcPr>
          <w:p w14:paraId="2F41794B" w14:textId="4503C8E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6A4BDA" w:rsidRPr="0085657D" w14:paraId="1AFD9DA6" w14:textId="77777777" w:rsidTr="000A7BD3">
        <w:trPr>
          <w:trHeight w:val="866"/>
        </w:trPr>
        <w:tc>
          <w:tcPr>
            <w:tcW w:w="1126" w:type="pct"/>
            <w:vMerge w:val="restart"/>
            <w:tcBorders>
              <w:top w:val="double" w:sz="4" w:space="0" w:color="auto"/>
            </w:tcBorders>
            <w:shd w:val="clear" w:color="auto" w:fill="D9F2D0" w:themeFill="accent6" w:themeFillTint="33"/>
          </w:tcPr>
          <w:p w14:paraId="39CD09A5" w14:textId="3D3F2959" w:rsidR="006A4BDA" w:rsidRPr="0085657D" w:rsidRDefault="00EB173D" w:rsidP="006A4BDA">
            <w:pPr>
              <w:spacing w:after="160"/>
              <w:rPr>
                <w:rFonts w:ascii="Arial" w:eastAsiaTheme="minorHAnsi" w:hAnsi="Arial" w:cs="Arial"/>
                <w:lang w:eastAsia="en-US"/>
              </w:rPr>
            </w:pPr>
            <w:r>
              <w:rPr>
                <w:rFonts w:ascii="Arial" w:eastAsiaTheme="minorHAnsi" w:hAnsi="Arial" w:cs="Arial"/>
                <w:lang w:eastAsia="en-US"/>
              </w:rPr>
              <w:t>3</w:t>
            </w:r>
            <w:r w:rsidR="006A4BDA" w:rsidRPr="0085657D">
              <w:rPr>
                <w:rFonts w:ascii="Arial" w:eastAsiaTheme="minorHAnsi" w:hAnsi="Arial" w:cs="Arial"/>
                <w:lang w:eastAsia="en-US"/>
              </w:rPr>
              <w:t>.2.</w:t>
            </w:r>
          </w:p>
          <w:p w14:paraId="09F7D2CA" w14:textId="3837A23C"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Unapređenje mehanizama usmjerenih na ostvarivanje prava na kompenzaciju u krivičnom postupku</w:t>
            </w:r>
          </w:p>
        </w:tc>
        <w:tc>
          <w:tcPr>
            <w:tcW w:w="1724" w:type="pct"/>
            <w:tcBorders>
              <w:top w:val="double" w:sz="4" w:space="0" w:color="auto"/>
            </w:tcBorders>
            <w:shd w:val="clear" w:color="auto" w:fill="FFFFFF" w:themeFill="background1"/>
          </w:tcPr>
          <w:p w14:paraId="035E4CAE" w14:textId="3D72DDB2"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Sudije koje odlučuju o imovinsko</w:t>
            </w:r>
            <w:r w:rsidR="00D41839">
              <w:rPr>
                <w:rFonts w:ascii="Arial" w:eastAsiaTheme="minorHAnsi" w:hAnsi="Arial" w:cs="Arial"/>
                <w:lang w:eastAsia="en-US"/>
              </w:rPr>
              <w:t>-</w:t>
            </w:r>
            <w:r w:rsidRPr="0085657D">
              <w:rPr>
                <w:rFonts w:ascii="Arial" w:eastAsiaTheme="minorHAnsi" w:hAnsi="Arial" w:cs="Arial"/>
                <w:lang w:eastAsia="en-US"/>
              </w:rPr>
              <w:t>pravnim zahtjevima u krivičnom postupku koriste i Smjernice za odlučivanje o imovinsko</w:t>
            </w:r>
            <w:r w:rsidR="00D41839">
              <w:rPr>
                <w:rFonts w:ascii="Arial" w:eastAsiaTheme="minorHAnsi" w:hAnsi="Arial" w:cs="Arial"/>
                <w:lang w:eastAsia="en-US"/>
              </w:rPr>
              <w:t>-</w:t>
            </w:r>
            <w:r w:rsidRPr="0085657D">
              <w:rPr>
                <w:rFonts w:ascii="Arial" w:eastAsiaTheme="minorHAnsi" w:hAnsi="Arial" w:cs="Arial"/>
                <w:lang w:eastAsia="en-US"/>
              </w:rPr>
              <w:t>pravnom zahtjevu koje sadrže primjere dobre prakse</w:t>
            </w:r>
          </w:p>
        </w:tc>
        <w:tc>
          <w:tcPr>
            <w:tcW w:w="750" w:type="pct"/>
            <w:tcBorders>
              <w:top w:val="double" w:sz="4" w:space="0" w:color="auto"/>
            </w:tcBorders>
            <w:shd w:val="clear" w:color="auto" w:fill="FFFFFF" w:themeFill="background1"/>
          </w:tcPr>
          <w:p w14:paraId="53B052A7"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675" w:type="pct"/>
            <w:tcBorders>
              <w:top w:val="double" w:sz="4" w:space="0" w:color="auto"/>
            </w:tcBorders>
            <w:shd w:val="clear" w:color="auto" w:fill="FFFFFF" w:themeFill="background1"/>
          </w:tcPr>
          <w:p w14:paraId="2E5FA749"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724" w:type="pct"/>
            <w:tcBorders>
              <w:top w:val="double" w:sz="4" w:space="0" w:color="auto"/>
              <w:right w:val="double" w:sz="4" w:space="0" w:color="auto"/>
            </w:tcBorders>
            <w:shd w:val="clear" w:color="auto" w:fill="FFFFFF" w:themeFill="background1"/>
          </w:tcPr>
          <w:p w14:paraId="26A17476"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6A4BDA" w:rsidRPr="0085657D" w14:paraId="3DAA16F3" w14:textId="77777777" w:rsidTr="000A7BD3">
        <w:trPr>
          <w:trHeight w:val="866"/>
        </w:trPr>
        <w:tc>
          <w:tcPr>
            <w:tcW w:w="1126" w:type="pct"/>
            <w:vMerge/>
            <w:tcBorders>
              <w:top w:val="double" w:sz="4" w:space="0" w:color="auto"/>
            </w:tcBorders>
            <w:shd w:val="clear" w:color="auto" w:fill="D9F2D0" w:themeFill="accent6" w:themeFillTint="33"/>
          </w:tcPr>
          <w:p w14:paraId="0E95A76C" w14:textId="77777777" w:rsidR="006A4BDA" w:rsidRPr="0085657D" w:rsidRDefault="006A4BDA" w:rsidP="006A4BDA">
            <w:pPr>
              <w:spacing w:after="160"/>
              <w:rPr>
                <w:rFonts w:ascii="Arial" w:eastAsiaTheme="minorHAnsi" w:hAnsi="Arial" w:cs="Arial"/>
                <w:lang w:eastAsia="en-US"/>
              </w:rPr>
            </w:pPr>
          </w:p>
        </w:tc>
        <w:tc>
          <w:tcPr>
            <w:tcW w:w="1724" w:type="pct"/>
            <w:tcBorders>
              <w:top w:val="double" w:sz="4" w:space="0" w:color="auto"/>
            </w:tcBorders>
            <w:shd w:val="clear" w:color="auto" w:fill="FFFFFF" w:themeFill="background1"/>
          </w:tcPr>
          <w:p w14:paraId="1E44A3F7" w14:textId="6D120ACA"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Žrtvama obezb</w:t>
            </w:r>
            <w:r w:rsidR="008866D0">
              <w:rPr>
                <w:rFonts w:ascii="Arial" w:eastAsiaTheme="minorHAnsi" w:hAnsi="Arial" w:cs="Arial"/>
                <w:lang w:eastAsia="en-US"/>
              </w:rPr>
              <w:t>i</w:t>
            </w:r>
            <w:r w:rsidR="0079755E" w:rsidRPr="0085657D">
              <w:rPr>
                <w:rFonts w:ascii="Arial" w:eastAsiaTheme="minorHAnsi" w:hAnsi="Arial" w:cs="Arial"/>
                <w:lang w:eastAsia="en-US"/>
              </w:rPr>
              <w:t>j</w:t>
            </w:r>
            <w:r w:rsidRPr="0085657D">
              <w:rPr>
                <w:rFonts w:ascii="Arial" w:eastAsiaTheme="minorHAnsi" w:hAnsi="Arial" w:cs="Arial"/>
                <w:lang w:eastAsia="en-US"/>
              </w:rPr>
              <w:t>eđena pomoć u isticanju i opredjeljivanju imovinsko</w:t>
            </w:r>
            <w:r w:rsidR="00BC321B">
              <w:rPr>
                <w:rFonts w:ascii="Arial" w:eastAsiaTheme="minorHAnsi" w:hAnsi="Arial" w:cs="Arial"/>
                <w:lang w:eastAsia="en-US"/>
              </w:rPr>
              <w:t>-</w:t>
            </w:r>
            <w:r w:rsidRPr="0085657D">
              <w:rPr>
                <w:rFonts w:ascii="Arial" w:eastAsiaTheme="minorHAnsi" w:hAnsi="Arial" w:cs="Arial"/>
                <w:lang w:eastAsia="en-US"/>
              </w:rPr>
              <w:t>pravnog zahtjeva korišćenjem standardizovanih obrazaca.</w:t>
            </w:r>
          </w:p>
        </w:tc>
        <w:tc>
          <w:tcPr>
            <w:tcW w:w="750" w:type="pct"/>
            <w:tcBorders>
              <w:top w:val="double" w:sz="4" w:space="0" w:color="auto"/>
            </w:tcBorders>
            <w:shd w:val="clear" w:color="auto" w:fill="FFFFFF" w:themeFill="background1"/>
          </w:tcPr>
          <w:p w14:paraId="4A530A61"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75" w:type="pct"/>
            <w:tcBorders>
              <w:top w:val="double" w:sz="4" w:space="0" w:color="auto"/>
            </w:tcBorders>
            <w:shd w:val="clear" w:color="auto" w:fill="FFFFFF" w:themeFill="background1"/>
          </w:tcPr>
          <w:p w14:paraId="6EC2084C"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724" w:type="pct"/>
            <w:tcBorders>
              <w:top w:val="double" w:sz="4" w:space="0" w:color="auto"/>
              <w:right w:val="double" w:sz="4" w:space="0" w:color="auto"/>
            </w:tcBorders>
            <w:shd w:val="clear" w:color="auto" w:fill="FFFFFF" w:themeFill="background1"/>
          </w:tcPr>
          <w:p w14:paraId="24C53C61"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6A4BDA" w:rsidRPr="0085657D" w14:paraId="0CFC2F78" w14:textId="77777777" w:rsidTr="000A7BD3">
        <w:trPr>
          <w:trHeight w:val="254"/>
        </w:trPr>
        <w:tc>
          <w:tcPr>
            <w:tcW w:w="1126" w:type="pct"/>
            <w:vMerge/>
            <w:shd w:val="clear" w:color="auto" w:fill="D9F2D0" w:themeFill="accent6" w:themeFillTint="33"/>
          </w:tcPr>
          <w:p w14:paraId="413F4D95" w14:textId="77777777" w:rsidR="006A4BDA" w:rsidRPr="0085657D" w:rsidRDefault="006A4BDA" w:rsidP="006A4BDA">
            <w:pPr>
              <w:spacing w:after="160"/>
              <w:rPr>
                <w:rFonts w:ascii="Arial" w:eastAsiaTheme="minorHAnsi" w:hAnsi="Arial" w:cs="Arial"/>
                <w:lang w:eastAsia="en-US"/>
              </w:rPr>
            </w:pPr>
          </w:p>
        </w:tc>
        <w:tc>
          <w:tcPr>
            <w:tcW w:w="1724" w:type="pct"/>
            <w:tcBorders>
              <w:top w:val="double" w:sz="4" w:space="0" w:color="auto"/>
              <w:bottom w:val="double" w:sz="4" w:space="0" w:color="auto"/>
            </w:tcBorders>
            <w:shd w:val="clear" w:color="auto" w:fill="FFFFFF" w:themeFill="background1"/>
          </w:tcPr>
          <w:p w14:paraId="349016C9" w14:textId="6834C6EA"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Ukupan broj sudija koje su završile obuke za primjenu Smjernice za odlučivanje o imovinsko</w:t>
            </w:r>
            <w:r w:rsidR="00BC321B">
              <w:rPr>
                <w:rFonts w:ascii="Arial" w:eastAsiaTheme="minorHAnsi" w:hAnsi="Arial" w:cs="Arial"/>
                <w:lang w:eastAsia="en-US"/>
              </w:rPr>
              <w:t>-</w:t>
            </w:r>
            <w:r w:rsidRPr="0085657D">
              <w:rPr>
                <w:rFonts w:ascii="Arial" w:eastAsiaTheme="minorHAnsi" w:hAnsi="Arial" w:cs="Arial"/>
                <w:lang w:eastAsia="en-US"/>
              </w:rPr>
              <w:t xml:space="preserve">pravnom zahtjevu </w:t>
            </w:r>
          </w:p>
        </w:tc>
        <w:tc>
          <w:tcPr>
            <w:tcW w:w="750" w:type="pct"/>
            <w:tcBorders>
              <w:top w:val="double" w:sz="4" w:space="0" w:color="auto"/>
              <w:bottom w:val="double" w:sz="4" w:space="0" w:color="auto"/>
            </w:tcBorders>
            <w:shd w:val="clear" w:color="auto" w:fill="FFFFFF" w:themeFill="background1"/>
          </w:tcPr>
          <w:p w14:paraId="16C6E5B4"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0</w:t>
            </w:r>
          </w:p>
        </w:tc>
        <w:tc>
          <w:tcPr>
            <w:tcW w:w="675" w:type="pct"/>
            <w:tcBorders>
              <w:top w:val="double" w:sz="4" w:space="0" w:color="auto"/>
              <w:bottom w:val="double" w:sz="4" w:space="0" w:color="auto"/>
            </w:tcBorders>
            <w:shd w:val="clear" w:color="auto" w:fill="FFFFFF" w:themeFill="background1"/>
          </w:tcPr>
          <w:p w14:paraId="6766E535"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0</w:t>
            </w:r>
          </w:p>
        </w:tc>
        <w:tc>
          <w:tcPr>
            <w:tcW w:w="724" w:type="pct"/>
            <w:tcBorders>
              <w:top w:val="double" w:sz="4" w:space="0" w:color="auto"/>
              <w:bottom w:val="double" w:sz="4" w:space="0" w:color="auto"/>
              <w:right w:val="double" w:sz="4" w:space="0" w:color="auto"/>
            </w:tcBorders>
            <w:shd w:val="clear" w:color="auto" w:fill="FFFFFF" w:themeFill="background1"/>
          </w:tcPr>
          <w:p w14:paraId="717412A5"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50</w:t>
            </w:r>
          </w:p>
        </w:tc>
      </w:tr>
      <w:tr w:rsidR="006A4BDA" w:rsidRPr="0085657D" w14:paraId="4F5D21E5" w14:textId="77777777" w:rsidTr="000A7BD3">
        <w:trPr>
          <w:trHeight w:val="254"/>
        </w:trPr>
        <w:tc>
          <w:tcPr>
            <w:tcW w:w="1126" w:type="pct"/>
            <w:vMerge/>
            <w:tcBorders>
              <w:bottom w:val="double" w:sz="4" w:space="0" w:color="auto"/>
            </w:tcBorders>
            <w:shd w:val="clear" w:color="auto" w:fill="D9F2D0" w:themeFill="accent6" w:themeFillTint="33"/>
          </w:tcPr>
          <w:p w14:paraId="41B5B4E2" w14:textId="77777777" w:rsidR="006A4BDA" w:rsidRPr="0085657D" w:rsidRDefault="006A4BDA" w:rsidP="006A4BDA">
            <w:pPr>
              <w:spacing w:after="160"/>
              <w:rPr>
                <w:rFonts w:ascii="Arial" w:eastAsiaTheme="minorHAnsi" w:hAnsi="Arial" w:cs="Arial"/>
                <w:lang w:eastAsia="en-US"/>
              </w:rPr>
            </w:pPr>
          </w:p>
        </w:tc>
        <w:tc>
          <w:tcPr>
            <w:tcW w:w="1724" w:type="pct"/>
            <w:tcBorders>
              <w:top w:val="double" w:sz="4" w:space="0" w:color="auto"/>
              <w:bottom w:val="double" w:sz="4" w:space="0" w:color="auto"/>
            </w:tcBorders>
            <w:shd w:val="clear" w:color="auto" w:fill="FFFFFF" w:themeFill="background1"/>
          </w:tcPr>
          <w:p w14:paraId="72E914F8" w14:textId="4BBFEFA0"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xml:space="preserve">Ukupan broj advokata </w:t>
            </w:r>
            <w:r w:rsidR="00B47B0C" w:rsidRPr="0085657D">
              <w:rPr>
                <w:rFonts w:ascii="Arial" w:eastAsiaTheme="minorHAnsi" w:hAnsi="Arial" w:cs="Arial"/>
                <w:lang w:eastAsia="en-US"/>
              </w:rPr>
              <w:t xml:space="preserve">i državnih tužilaca </w:t>
            </w:r>
            <w:r w:rsidRPr="0085657D">
              <w:rPr>
                <w:rFonts w:ascii="Arial" w:eastAsiaTheme="minorHAnsi" w:hAnsi="Arial" w:cs="Arial"/>
                <w:lang w:eastAsia="en-US"/>
              </w:rPr>
              <w:t>koji su završili obuke na temu</w:t>
            </w:r>
            <w:r w:rsidR="00710BD1" w:rsidRPr="0085657D">
              <w:rPr>
                <w:rFonts w:ascii="Arial" w:eastAsiaTheme="minorHAnsi" w:hAnsi="Arial" w:cs="Arial"/>
                <w:lang w:eastAsia="en-US"/>
              </w:rPr>
              <w:t xml:space="preserve"> ostvarivanja</w:t>
            </w:r>
            <w:r w:rsidRPr="0085657D">
              <w:rPr>
                <w:rFonts w:ascii="Arial" w:eastAsiaTheme="minorHAnsi" w:hAnsi="Arial" w:cs="Arial"/>
                <w:lang w:eastAsia="en-US"/>
              </w:rPr>
              <w:t xml:space="preserve"> imovinsko</w:t>
            </w:r>
            <w:r w:rsidR="00BC321B">
              <w:rPr>
                <w:rFonts w:ascii="Arial" w:eastAsiaTheme="minorHAnsi" w:hAnsi="Arial" w:cs="Arial"/>
                <w:lang w:eastAsia="en-US"/>
              </w:rPr>
              <w:t>-</w:t>
            </w:r>
            <w:r w:rsidRPr="0085657D">
              <w:rPr>
                <w:rFonts w:ascii="Arial" w:eastAsiaTheme="minorHAnsi" w:hAnsi="Arial" w:cs="Arial"/>
                <w:lang w:eastAsia="en-US"/>
              </w:rPr>
              <w:t xml:space="preserve">pravnog zahtjeva </w:t>
            </w:r>
            <w:r w:rsidR="00710BD1" w:rsidRPr="0085657D">
              <w:rPr>
                <w:rFonts w:ascii="Arial" w:eastAsiaTheme="minorHAnsi" w:hAnsi="Arial" w:cs="Arial"/>
                <w:lang w:eastAsia="en-US"/>
              </w:rPr>
              <w:t>u krivičnom postupku</w:t>
            </w:r>
          </w:p>
        </w:tc>
        <w:tc>
          <w:tcPr>
            <w:tcW w:w="750" w:type="pct"/>
            <w:tcBorders>
              <w:top w:val="double" w:sz="4" w:space="0" w:color="auto"/>
              <w:bottom w:val="double" w:sz="4" w:space="0" w:color="auto"/>
            </w:tcBorders>
            <w:shd w:val="clear" w:color="auto" w:fill="FFFFFF" w:themeFill="background1"/>
          </w:tcPr>
          <w:p w14:paraId="72D66A3F"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0</w:t>
            </w:r>
          </w:p>
        </w:tc>
        <w:tc>
          <w:tcPr>
            <w:tcW w:w="675" w:type="pct"/>
            <w:tcBorders>
              <w:top w:val="double" w:sz="4" w:space="0" w:color="auto"/>
              <w:bottom w:val="double" w:sz="4" w:space="0" w:color="auto"/>
            </w:tcBorders>
            <w:shd w:val="clear" w:color="auto" w:fill="FFFFFF" w:themeFill="background1"/>
          </w:tcPr>
          <w:p w14:paraId="26B6F257"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0</w:t>
            </w:r>
          </w:p>
        </w:tc>
        <w:tc>
          <w:tcPr>
            <w:tcW w:w="724" w:type="pct"/>
            <w:tcBorders>
              <w:top w:val="double" w:sz="4" w:space="0" w:color="auto"/>
              <w:bottom w:val="double" w:sz="4" w:space="0" w:color="auto"/>
              <w:right w:val="double" w:sz="4" w:space="0" w:color="auto"/>
            </w:tcBorders>
            <w:shd w:val="clear" w:color="auto" w:fill="FFFFFF" w:themeFill="background1"/>
          </w:tcPr>
          <w:p w14:paraId="537BCC65"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50</w:t>
            </w:r>
          </w:p>
        </w:tc>
      </w:tr>
    </w:tbl>
    <w:p w14:paraId="42EA3AEA" w14:textId="77777777" w:rsidR="006A4BDA" w:rsidRPr="0085657D" w:rsidRDefault="006A4BDA" w:rsidP="006A4BDA">
      <w:pPr>
        <w:rPr>
          <w:rFonts w:ascii="Arial" w:hAnsi="Arial" w:cs="Arial"/>
        </w:rPr>
      </w:pPr>
    </w:p>
    <w:p w14:paraId="2EE2EBFD" w14:textId="77777777" w:rsidR="006A4BDA" w:rsidRPr="0085657D" w:rsidRDefault="006A4BDA" w:rsidP="006A4BDA">
      <w:pPr>
        <w:rPr>
          <w:rFonts w:ascii="Arial" w:hAnsi="Arial" w:cs="Arial"/>
        </w:rPr>
      </w:pPr>
    </w:p>
    <w:p w14:paraId="52841F9A" w14:textId="3B221698" w:rsidR="006A4BDA" w:rsidRPr="0085657D" w:rsidRDefault="006A4BDA" w:rsidP="006A4BDA">
      <w:pPr>
        <w:keepNext/>
        <w:keepLines/>
        <w:spacing w:after="240"/>
        <w:outlineLvl w:val="2"/>
        <w:rPr>
          <w:rFonts w:ascii="Arial" w:eastAsiaTheme="majorEastAsia" w:hAnsi="Arial" w:cs="Arial"/>
          <w:color w:val="0F4761" w:themeColor="accent1" w:themeShade="BF"/>
        </w:rPr>
      </w:pPr>
      <w:bookmarkStart w:id="70" w:name="_Toc208489216"/>
      <w:r w:rsidRPr="0085657D">
        <w:rPr>
          <w:rFonts w:ascii="Arial" w:eastAsiaTheme="majorEastAsia" w:hAnsi="Arial" w:cs="Arial"/>
          <w:color w:val="0F4761" w:themeColor="accent1" w:themeShade="BF"/>
        </w:rPr>
        <w:t xml:space="preserve">Operativni cilj </w:t>
      </w:r>
      <w:r w:rsidR="00EB173D">
        <w:rPr>
          <w:rFonts w:ascii="Arial" w:eastAsiaTheme="majorEastAsia" w:hAnsi="Arial" w:cs="Arial"/>
          <w:color w:val="0F4761" w:themeColor="accent1" w:themeShade="BF"/>
        </w:rPr>
        <w:t>3</w:t>
      </w:r>
      <w:r w:rsidRPr="0085657D">
        <w:rPr>
          <w:rFonts w:ascii="Arial" w:eastAsiaTheme="majorEastAsia" w:hAnsi="Arial" w:cs="Arial"/>
          <w:color w:val="0F4761" w:themeColor="accent1" w:themeShade="BF"/>
        </w:rPr>
        <w:t>.3: Unapređenje prava na upotrebu jezika za žrtve u krivičnom postupku</w:t>
      </w:r>
      <w:bookmarkEnd w:id="70"/>
    </w:p>
    <w:p w14:paraId="31BD36DB" w14:textId="77777777" w:rsidR="006A4BDA" w:rsidRPr="0085657D" w:rsidRDefault="006A4BDA" w:rsidP="006A4BDA">
      <w:pPr>
        <w:rPr>
          <w:rFonts w:ascii="Arial" w:hAnsi="Arial" w:cs="Arial"/>
        </w:rPr>
      </w:pPr>
      <w:r w:rsidRPr="0085657D">
        <w:rPr>
          <w:rFonts w:ascii="Arial" w:hAnsi="Arial" w:cs="Arial"/>
        </w:rPr>
        <w:t>Standardizacija pristupa informisanju žrtava u skladu sa relevantnim odredbama Direktive 2012/029/EU, već od prvog kontakta sa organom postupka, predstavlja jedan od ključnih prioriteta u predstojećem periodu.</w:t>
      </w:r>
    </w:p>
    <w:p w14:paraId="42EE3637" w14:textId="300A39D0" w:rsidR="006A4BDA" w:rsidRPr="0085657D" w:rsidRDefault="006A4BDA" w:rsidP="006A4BDA">
      <w:pPr>
        <w:rPr>
          <w:rFonts w:ascii="Arial" w:hAnsi="Arial" w:cs="Arial"/>
        </w:rPr>
      </w:pPr>
      <w:r w:rsidRPr="0085657D">
        <w:rPr>
          <w:rFonts w:ascii="Arial" w:hAnsi="Arial" w:cs="Arial"/>
        </w:rPr>
        <w:t>Kao što je ranije navedeno, sprovedenom analizom je prepoznato da je u predstojećem periodu  za prevazilaženje identifikovanih problema u pogledu realizacije prava na upotrebu jezika, potrebno razvijanje preciznih kriterijuma/smjernica za procjenu da li pojedinac zaht</w:t>
      </w:r>
      <w:r w:rsidR="001C2236">
        <w:rPr>
          <w:rFonts w:ascii="Arial" w:hAnsi="Arial" w:cs="Arial"/>
        </w:rPr>
        <w:t>i</w:t>
      </w:r>
      <w:r w:rsidRPr="0085657D">
        <w:rPr>
          <w:rFonts w:ascii="Arial" w:hAnsi="Arial" w:cs="Arial"/>
        </w:rPr>
        <w:t>jeva podršku prevodioca i koje dokumente treba prevesti, ali i uvođenje obuka i statističkog praćenja angažovanje pojedinačnih tumača.</w:t>
      </w:r>
    </w:p>
    <w:p w14:paraId="47A2C0D5" w14:textId="44468458" w:rsidR="006A4BDA" w:rsidRPr="0085657D" w:rsidRDefault="006A4BDA" w:rsidP="006A4BDA">
      <w:pPr>
        <w:jc w:val="center"/>
        <w:rPr>
          <w:rFonts w:ascii="Arial" w:hAnsi="Arial" w:cs="Arial"/>
        </w:rPr>
      </w:pPr>
      <w:r w:rsidRPr="0085657D">
        <w:rPr>
          <w:rFonts w:ascii="Arial" w:hAnsi="Arial" w:cs="Arial"/>
          <w:i/>
          <w:iCs/>
        </w:rPr>
        <w:lastRenderedPageBreak/>
        <w:t xml:space="preserve">Tabela </w:t>
      </w:r>
      <w:r w:rsidR="00DC486C" w:rsidRPr="0085657D">
        <w:rPr>
          <w:rFonts w:ascii="Arial" w:hAnsi="Arial" w:cs="Arial"/>
          <w:i/>
          <w:iCs/>
        </w:rPr>
        <w:t>1</w:t>
      </w:r>
      <w:r w:rsidR="00EB173D">
        <w:rPr>
          <w:rFonts w:ascii="Arial" w:hAnsi="Arial" w:cs="Arial"/>
          <w:i/>
          <w:iCs/>
        </w:rPr>
        <w:t>4</w:t>
      </w:r>
      <w:r w:rsidRPr="0085657D">
        <w:rPr>
          <w:rFonts w:ascii="Arial" w:hAnsi="Arial" w:cs="Arial"/>
          <w:i/>
          <w:iCs/>
        </w:rPr>
        <w:t xml:space="preserve">: Indikatori realizacije Operativnog cilja </w:t>
      </w:r>
      <w:r w:rsidR="00EB173D">
        <w:rPr>
          <w:rFonts w:ascii="Arial" w:hAnsi="Arial" w:cs="Arial"/>
          <w:i/>
          <w:iCs/>
        </w:rPr>
        <w:t>3</w:t>
      </w:r>
      <w:r w:rsidRPr="0085657D">
        <w:rPr>
          <w:rFonts w:ascii="Arial" w:hAnsi="Arial" w:cs="Arial"/>
          <w:i/>
          <w:iCs/>
        </w:rPr>
        <w:t>.3.</w:t>
      </w:r>
    </w:p>
    <w:tbl>
      <w:tblPr>
        <w:tblStyle w:val="TableGrid"/>
        <w:tblW w:w="5000" w:type="pct"/>
        <w:tblInd w:w="-5" w:type="dxa"/>
        <w:tblLayout w:type="fixed"/>
        <w:tblLook w:val="04A0" w:firstRow="1" w:lastRow="0" w:firstColumn="1" w:lastColumn="0" w:noHBand="0" w:noVBand="1"/>
      </w:tblPr>
      <w:tblGrid>
        <w:gridCol w:w="2125"/>
        <w:gridCol w:w="3253"/>
        <w:gridCol w:w="1414"/>
        <w:gridCol w:w="1274"/>
        <w:gridCol w:w="1274"/>
      </w:tblGrid>
      <w:tr w:rsidR="006A4BDA" w:rsidRPr="0085657D" w14:paraId="6CBAE22E" w14:textId="77777777" w:rsidTr="003263A6">
        <w:trPr>
          <w:trHeight w:val="575"/>
        </w:trPr>
        <w:tc>
          <w:tcPr>
            <w:tcW w:w="1137" w:type="pct"/>
            <w:tcBorders>
              <w:top w:val="double" w:sz="4" w:space="0" w:color="auto"/>
            </w:tcBorders>
            <w:shd w:val="clear" w:color="auto" w:fill="FAE2D5" w:themeFill="accent2" w:themeFillTint="33"/>
          </w:tcPr>
          <w:p w14:paraId="49CC97F3"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 xml:space="preserve">Operativni </w:t>
            </w:r>
          </w:p>
          <w:p w14:paraId="48EE26AF"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w:t>
            </w:r>
          </w:p>
        </w:tc>
        <w:tc>
          <w:tcPr>
            <w:tcW w:w="1741" w:type="pct"/>
            <w:tcBorders>
              <w:top w:val="double" w:sz="4" w:space="0" w:color="auto"/>
            </w:tcBorders>
            <w:shd w:val="clear" w:color="auto" w:fill="FAE2D5" w:themeFill="accent2" w:themeFillTint="33"/>
          </w:tcPr>
          <w:p w14:paraId="734EE681"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7" w:type="pct"/>
            <w:tcBorders>
              <w:top w:val="double" w:sz="4" w:space="0" w:color="auto"/>
            </w:tcBorders>
            <w:shd w:val="clear" w:color="auto" w:fill="FAE2D5" w:themeFill="accent2" w:themeFillTint="33"/>
          </w:tcPr>
          <w:p w14:paraId="34EDE863"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25F8EBD1" w14:textId="77777777"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2024.</w:t>
            </w:r>
          </w:p>
        </w:tc>
        <w:tc>
          <w:tcPr>
            <w:tcW w:w="682" w:type="pct"/>
            <w:tcBorders>
              <w:top w:val="double" w:sz="4" w:space="0" w:color="auto"/>
            </w:tcBorders>
            <w:shd w:val="clear" w:color="auto" w:fill="FAE2D5" w:themeFill="accent2" w:themeFillTint="33"/>
          </w:tcPr>
          <w:p w14:paraId="597B8033" w14:textId="604FF94F"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682" w:type="pct"/>
            <w:tcBorders>
              <w:top w:val="double" w:sz="4" w:space="0" w:color="auto"/>
              <w:right w:val="double" w:sz="4" w:space="0" w:color="auto"/>
            </w:tcBorders>
            <w:shd w:val="clear" w:color="auto" w:fill="FAE2D5" w:themeFill="accent2" w:themeFillTint="33"/>
          </w:tcPr>
          <w:p w14:paraId="71F2051B" w14:textId="771C47A1"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6A4BDA" w:rsidRPr="0085657D" w14:paraId="1A44D0F2" w14:textId="77777777" w:rsidTr="003263A6">
        <w:trPr>
          <w:trHeight w:val="2120"/>
        </w:trPr>
        <w:tc>
          <w:tcPr>
            <w:tcW w:w="1137" w:type="pct"/>
            <w:vMerge w:val="restart"/>
            <w:tcBorders>
              <w:top w:val="double" w:sz="4" w:space="0" w:color="auto"/>
            </w:tcBorders>
            <w:shd w:val="clear" w:color="auto" w:fill="D9F2D0" w:themeFill="accent6" w:themeFillTint="33"/>
          </w:tcPr>
          <w:p w14:paraId="5883E4D6" w14:textId="12F4D5F7" w:rsidR="006A4BDA" w:rsidRPr="0085657D" w:rsidRDefault="00EB173D" w:rsidP="006A4BDA">
            <w:pPr>
              <w:spacing w:after="160"/>
              <w:rPr>
                <w:rFonts w:ascii="Arial" w:eastAsiaTheme="minorHAnsi" w:hAnsi="Arial" w:cs="Arial"/>
                <w:lang w:eastAsia="en-US"/>
              </w:rPr>
            </w:pPr>
            <w:r>
              <w:rPr>
                <w:rFonts w:ascii="Arial" w:eastAsiaTheme="minorHAnsi" w:hAnsi="Arial" w:cs="Arial"/>
                <w:lang w:eastAsia="en-US"/>
              </w:rPr>
              <w:t>3</w:t>
            </w:r>
            <w:r w:rsidR="006A4BDA" w:rsidRPr="0085657D">
              <w:rPr>
                <w:rFonts w:ascii="Arial" w:eastAsiaTheme="minorHAnsi" w:hAnsi="Arial" w:cs="Arial"/>
                <w:lang w:eastAsia="en-US"/>
              </w:rPr>
              <w:t>.3.</w:t>
            </w:r>
          </w:p>
          <w:p w14:paraId="56EED5C2" w14:textId="5C6E47AF" w:rsidR="006A4BDA" w:rsidRPr="0085657D" w:rsidRDefault="00A90E07" w:rsidP="006A4BDA">
            <w:pPr>
              <w:spacing w:after="160"/>
              <w:rPr>
                <w:rFonts w:ascii="Arial" w:eastAsiaTheme="minorHAnsi" w:hAnsi="Arial" w:cs="Arial"/>
                <w:lang w:eastAsia="en-US"/>
              </w:rPr>
            </w:pPr>
            <w:r>
              <w:rPr>
                <w:rFonts w:ascii="Arial" w:eastAsiaTheme="minorHAnsi" w:hAnsi="Arial" w:cs="Arial"/>
                <w:lang w:eastAsia="en-US"/>
              </w:rPr>
              <w:t>Unapr</w:t>
            </w:r>
            <w:r w:rsidR="006A4BDA" w:rsidRPr="0085657D">
              <w:rPr>
                <w:rFonts w:ascii="Arial" w:eastAsiaTheme="minorHAnsi" w:hAnsi="Arial" w:cs="Arial"/>
                <w:lang w:eastAsia="en-US"/>
              </w:rPr>
              <w:t>eđenje p</w:t>
            </w:r>
            <w:r w:rsidR="006A4BDA" w:rsidRPr="0085657D">
              <w:rPr>
                <w:rFonts w:ascii="Arial" w:eastAsiaTheme="minorHAnsi" w:hAnsi="Arial" w:cs="Arial"/>
                <w:lang w:val="fr-FR" w:eastAsia="en-US"/>
              </w:rPr>
              <w:t>rava</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na</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upotrebu</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jezika</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u</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krivi</w:t>
            </w:r>
            <w:r w:rsidR="006A4BDA" w:rsidRPr="0085657D">
              <w:rPr>
                <w:rFonts w:ascii="Arial" w:eastAsiaTheme="minorHAnsi" w:hAnsi="Arial" w:cs="Arial"/>
                <w:lang w:eastAsia="en-US"/>
              </w:rPr>
              <w:t>č</w:t>
            </w:r>
            <w:r w:rsidR="006A4BDA" w:rsidRPr="0085657D">
              <w:rPr>
                <w:rFonts w:ascii="Arial" w:eastAsiaTheme="minorHAnsi" w:hAnsi="Arial" w:cs="Arial"/>
                <w:lang w:val="fr-FR" w:eastAsia="en-US"/>
              </w:rPr>
              <w:t>nom</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postupku</w:t>
            </w:r>
          </w:p>
        </w:tc>
        <w:tc>
          <w:tcPr>
            <w:tcW w:w="1741" w:type="pct"/>
            <w:tcBorders>
              <w:top w:val="double" w:sz="4" w:space="0" w:color="auto"/>
            </w:tcBorders>
            <w:shd w:val="clear" w:color="auto" w:fill="FFFFFF" w:themeFill="background1"/>
          </w:tcPr>
          <w:p w14:paraId="238B6286" w14:textId="77777777"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xml:space="preserve">Procjena potreba za podrškom prevodioca, odnosno tumača žrtvama obezbjeđuje se primjenom </w:t>
            </w:r>
          </w:p>
          <w:p w14:paraId="428F1D88" w14:textId="77777777" w:rsidR="000D576E" w:rsidRPr="0085657D" w:rsidRDefault="000D576E" w:rsidP="00985C21">
            <w:pPr>
              <w:shd w:val="clear" w:color="auto" w:fill="FFFFFF" w:themeFill="background1"/>
              <w:spacing w:after="240"/>
              <w:jc w:val="left"/>
              <w:rPr>
                <w:rFonts w:ascii="Arial" w:eastAsiaTheme="minorHAnsi" w:hAnsi="Arial" w:cs="Arial"/>
                <w:lang w:eastAsia="en-US"/>
              </w:rPr>
            </w:pPr>
          </w:p>
        </w:tc>
        <w:tc>
          <w:tcPr>
            <w:tcW w:w="757" w:type="pct"/>
            <w:tcBorders>
              <w:top w:val="double" w:sz="4" w:space="0" w:color="auto"/>
            </w:tcBorders>
            <w:shd w:val="clear" w:color="auto" w:fill="FFFFFF" w:themeFill="background1"/>
          </w:tcPr>
          <w:p w14:paraId="076CAF92"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82" w:type="pct"/>
            <w:tcBorders>
              <w:top w:val="double" w:sz="4" w:space="0" w:color="auto"/>
            </w:tcBorders>
            <w:shd w:val="clear" w:color="auto" w:fill="FFFFFF" w:themeFill="background1"/>
          </w:tcPr>
          <w:p w14:paraId="6F981A40"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DA</w:t>
            </w:r>
          </w:p>
        </w:tc>
        <w:tc>
          <w:tcPr>
            <w:tcW w:w="682" w:type="pct"/>
            <w:tcBorders>
              <w:top w:val="double" w:sz="4" w:space="0" w:color="auto"/>
              <w:right w:val="double" w:sz="4" w:space="0" w:color="auto"/>
            </w:tcBorders>
            <w:shd w:val="clear" w:color="auto" w:fill="FFFFFF" w:themeFill="background1"/>
          </w:tcPr>
          <w:p w14:paraId="3933FB84"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6A4BDA" w:rsidRPr="0085657D" w14:paraId="59D0DC61" w14:textId="77777777" w:rsidTr="003263A6">
        <w:trPr>
          <w:trHeight w:val="254"/>
        </w:trPr>
        <w:tc>
          <w:tcPr>
            <w:tcW w:w="1137" w:type="pct"/>
            <w:vMerge/>
            <w:shd w:val="clear" w:color="auto" w:fill="D9F2D0" w:themeFill="accent6" w:themeFillTint="33"/>
          </w:tcPr>
          <w:p w14:paraId="5D108D28" w14:textId="77777777" w:rsidR="006A4BDA" w:rsidRPr="0085657D" w:rsidRDefault="006A4BDA" w:rsidP="006A4BDA">
            <w:pPr>
              <w:spacing w:after="160"/>
              <w:rPr>
                <w:rFonts w:ascii="Arial" w:eastAsiaTheme="minorHAnsi" w:hAnsi="Arial" w:cs="Arial"/>
                <w:lang w:eastAsia="en-US"/>
              </w:rPr>
            </w:pPr>
          </w:p>
        </w:tc>
        <w:tc>
          <w:tcPr>
            <w:tcW w:w="1741" w:type="pct"/>
            <w:tcBorders>
              <w:top w:val="double" w:sz="4" w:space="0" w:color="auto"/>
              <w:bottom w:val="double" w:sz="4" w:space="0" w:color="auto"/>
            </w:tcBorders>
            <w:shd w:val="clear" w:color="auto" w:fill="FFFFFF" w:themeFill="background1"/>
          </w:tcPr>
          <w:p w14:paraId="5F042F0A" w14:textId="77777777"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xml:space="preserve">% sudija i tužilaca koji su prošli obuku za primjenu Smjernica za procjenu potreba u pogledu prevođenja, odnosno tumačenja (na godišnjem nivou). </w:t>
            </w:r>
          </w:p>
        </w:tc>
        <w:tc>
          <w:tcPr>
            <w:tcW w:w="757" w:type="pct"/>
            <w:tcBorders>
              <w:top w:val="double" w:sz="4" w:space="0" w:color="auto"/>
              <w:bottom w:val="double" w:sz="4" w:space="0" w:color="auto"/>
            </w:tcBorders>
            <w:shd w:val="clear" w:color="auto" w:fill="FFFFFF" w:themeFill="background1"/>
          </w:tcPr>
          <w:p w14:paraId="3E8D87F9"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0%</w:t>
            </w:r>
          </w:p>
        </w:tc>
        <w:tc>
          <w:tcPr>
            <w:tcW w:w="682" w:type="pct"/>
            <w:tcBorders>
              <w:top w:val="double" w:sz="4" w:space="0" w:color="auto"/>
              <w:bottom w:val="double" w:sz="4" w:space="0" w:color="auto"/>
            </w:tcBorders>
            <w:shd w:val="clear" w:color="auto" w:fill="FFFFFF" w:themeFill="background1"/>
          </w:tcPr>
          <w:p w14:paraId="56A6202A"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5%</w:t>
            </w:r>
          </w:p>
        </w:tc>
        <w:tc>
          <w:tcPr>
            <w:tcW w:w="682" w:type="pct"/>
            <w:tcBorders>
              <w:top w:val="double" w:sz="4" w:space="0" w:color="auto"/>
              <w:bottom w:val="double" w:sz="4" w:space="0" w:color="auto"/>
              <w:right w:val="double" w:sz="4" w:space="0" w:color="auto"/>
            </w:tcBorders>
            <w:shd w:val="clear" w:color="auto" w:fill="FFFFFF" w:themeFill="background1"/>
          </w:tcPr>
          <w:p w14:paraId="3E2CDAC0"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50%</w:t>
            </w:r>
          </w:p>
        </w:tc>
      </w:tr>
      <w:tr w:rsidR="006A4BDA" w:rsidRPr="0085657D" w14:paraId="0EA1463D" w14:textId="77777777" w:rsidTr="003263A6">
        <w:trPr>
          <w:trHeight w:val="254"/>
        </w:trPr>
        <w:tc>
          <w:tcPr>
            <w:tcW w:w="1137" w:type="pct"/>
            <w:vMerge/>
            <w:tcBorders>
              <w:bottom w:val="double" w:sz="4" w:space="0" w:color="auto"/>
            </w:tcBorders>
            <w:shd w:val="clear" w:color="auto" w:fill="D9F2D0" w:themeFill="accent6" w:themeFillTint="33"/>
          </w:tcPr>
          <w:p w14:paraId="3CA34CE8" w14:textId="77777777" w:rsidR="006A4BDA" w:rsidRPr="0085657D" w:rsidRDefault="006A4BDA" w:rsidP="006A4BDA">
            <w:pPr>
              <w:spacing w:after="160"/>
              <w:rPr>
                <w:rFonts w:ascii="Arial" w:eastAsiaTheme="minorHAnsi" w:hAnsi="Arial" w:cs="Arial"/>
                <w:lang w:eastAsia="en-US"/>
              </w:rPr>
            </w:pPr>
          </w:p>
        </w:tc>
        <w:tc>
          <w:tcPr>
            <w:tcW w:w="1741" w:type="pct"/>
            <w:tcBorders>
              <w:top w:val="double" w:sz="4" w:space="0" w:color="auto"/>
              <w:bottom w:val="double" w:sz="4" w:space="0" w:color="auto"/>
            </w:tcBorders>
            <w:shd w:val="clear" w:color="auto" w:fill="FFFFFF" w:themeFill="background1"/>
          </w:tcPr>
          <w:p w14:paraId="5FCA27B0" w14:textId="77777777"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Uspostavljen sistem statističkog praćenja</w:t>
            </w:r>
            <w:r w:rsidR="00E4427E" w:rsidRPr="0085657D">
              <w:rPr>
                <w:rFonts w:ascii="Arial" w:eastAsiaTheme="minorHAnsi" w:hAnsi="Arial" w:cs="Arial"/>
                <w:lang w:eastAsia="en-US"/>
              </w:rPr>
              <w:t xml:space="preserve"> potrebe za prevođenjem i </w:t>
            </w:r>
            <w:r w:rsidRPr="0085657D">
              <w:rPr>
                <w:rFonts w:ascii="Arial" w:eastAsiaTheme="minorHAnsi" w:hAnsi="Arial" w:cs="Arial"/>
                <w:lang w:eastAsia="en-US"/>
              </w:rPr>
              <w:t>angažovanja pojedinačnih tumača.</w:t>
            </w:r>
          </w:p>
        </w:tc>
        <w:tc>
          <w:tcPr>
            <w:tcW w:w="757" w:type="pct"/>
            <w:tcBorders>
              <w:top w:val="double" w:sz="4" w:space="0" w:color="auto"/>
              <w:bottom w:val="double" w:sz="4" w:space="0" w:color="auto"/>
            </w:tcBorders>
            <w:shd w:val="clear" w:color="auto" w:fill="FFFFFF" w:themeFill="background1"/>
          </w:tcPr>
          <w:p w14:paraId="696168BF"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82" w:type="pct"/>
            <w:tcBorders>
              <w:top w:val="double" w:sz="4" w:space="0" w:color="auto"/>
              <w:bottom w:val="double" w:sz="4" w:space="0" w:color="auto"/>
            </w:tcBorders>
            <w:shd w:val="clear" w:color="auto" w:fill="FFFFFF" w:themeFill="background1"/>
          </w:tcPr>
          <w:p w14:paraId="58FC511C" w14:textId="77777777"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82" w:type="pct"/>
            <w:tcBorders>
              <w:top w:val="double" w:sz="4" w:space="0" w:color="auto"/>
              <w:bottom w:val="double" w:sz="4" w:space="0" w:color="auto"/>
              <w:right w:val="double" w:sz="4" w:space="0" w:color="auto"/>
            </w:tcBorders>
            <w:shd w:val="clear" w:color="auto" w:fill="FFFFFF" w:themeFill="background1"/>
          </w:tcPr>
          <w:p w14:paraId="62C08453"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bl>
    <w:p w14:paraId="02E657DF" w14:textId="612EF279" w:rsidR="006A4BDA" w:rsidRPr="0085657D" w:rsidRDefault="006A4BDA">
      <w:pPr>
        <w:spacing w:line="278" w:lineRule="auto"/>
        <w:jc w:val="left"/>
        <w:rPr>
          <w:rFonts w:ascii="Arial" w:eastAsiaTheme="majorEastAsia" w:hAnsi="Arial" w:cs="Arial"/>
          <w:color w:val="0F4761" w:themeColor="accent1" w:themeShade="BF"/>
        </w:rPr>
      </w:pPr>
      <w:bookmarkStart w:id="71" w:name="_Hlk196477614"/>
    </w:p>
    <w:p w14:paraId="59C5A7CE" w14:textId="24E24EA9" w:rsidR="005414F1" w:rsidRPr="0085657D" w:rsidRDefault="007176FB" w:rsidP="00192FBD">
      <w:pPr>
        <w:pStyle w:val="Heading2"/>
        <w:spacing w:after="240"/>
        <w:ind w:left="360"/>
        <w:rPr>
          <w:rFonts w:ascii="Arial" w:hAnsi="Arial" w:cs="Arial"/>
          <w:sz w:val="22"/>
          <w:szCs w:val="22"/>
        </w:rPr>
      </w:pPr>
      <w:bookmarkStart w:id="72" w:name="_Toc208489217"/>
      <w:r w:rsidRPr="00E9112A">
        <w:rPr>
          <w:rFonts w:ascii="Arial" w:hAnsi="Arial" w:cs="Arial"/>
          <w:sz w:val="22"/>
          <w:szCs w:val="22"/>
        </w:rPr>
        <w:t xml:space="preserve">Strateški cilj </w:t>
      </w:r>
      <w:bookmarkEnd w:id="63"/>
      <w:r w:rsidR="00A50A7D" w:rsidRPr="00E9112A">
        <w:rPr>
          <w:rFonts w:ascii="Arial" w:hAnsi="Arial" w:cs="Arial"/>
          <w:sz w:val="22"/>
          <w:szCs w:val="22"/>
        </w:rPr>
        <w:t>4</w:t>
      </w:r>
      <w:r w:rsidRPr="00E9112A">
        <w:rPr>
          <w:rFonts w:ascii="Arial" w:hAnsi="Arial" w:cs="Arial"/>
          <w:sz w:val="22"/>
          <w:szCs w:val="22"/>
        </w:rPr>
        <w:t xml:space="preserve">: </w:t>
      </w:r>
      <w:bookmarkEnd w:id="71"/>
      <w:r w:rsidR="006A4BDA" w:rsidRPr="00E9112A">
        <w:rPr>
          <w:rFonts w:ascii="Arial" w:hAnsi="Arial" w:cs="Arial"/>
          <w:sz w:val="22"/>
          <w:szCs w:val="22"/>
        </w:rPr>
        <w:t>Unapređenje mehanizama za jačanje procesne zaštite</w:t>
      </w:r>
      <w:r w:rsidR="00EB173D" w:rsidRPr="00E9112A">
        <w:rPr>
          <w:rFonts w:ascii="Arial" w:hAnsi="Arial" w:cs="Arial"/>
          <w:sz w:val="22"/>
          <w:szCs w:val="22"/>
        </w:rPr>
        <w:t xml:space="preserve"> žrtava</w:t>
      </w:r>
      <w:bookmarkEnd w:id="72"/>
      <w:r w:rsidR="006A4BDA" w:rsidRPr="00E9112A">
        <w:rPr>
          <w:rFonts w:ascii="Arial" w:hAnsi="Arial" w:cs="Arial"/>
          <w:sz w:val="22"/>
          <w:szCs w:val="22"/>
        </w:rPr>
        <w:t xml:space="preserve"> </w:t>
      </w:r>
    </w:p>
    <w:p w14:paraId="0EC3609C" w14:textId="77777777" w:rsidR="001305DF" w:rsidRPr="0085657D" w:rsidRDefault="00EB3FA6" w:rsidP="00601BFC">
      <w:pPr>
        <w:spacing w:line="276" w:lineRule="auto"/>
        <w:rPr>
          <w:rFonts w:ascii="Arial" w:hAnsi="Arial" w:cs="Arial"/>
        </w:rPr>
      </w:pPr>
      <w:r w:rsidRPr="0085657D">
        <w:rPr>
          <w:rFonts w:ascii="Arial" w:hAnsi="Arial" w:cs="Arial"/>
        </w:rPr>
        <w:t xml:space="preserve">Ponovni susret sa okrivljenim, ali i sam kontakt sa organima postupka, naročito u slučaju ponovljenih svjedočenja ili neprimjerenog načina ispitivanja, značajno </w:t>
      </w:r>
      <w:r w:rsidR="001305DF" w:rsidRPr="0085657D">
        <w:rPr>
          <w:rFonts w:ascii="Arial" w:hAnsi="Arial" w:cs="Arial"/>
        </w:rPr>
        <w:t>povećavaju</w:t>
      </w:r>
      <w:r w:rsidRPr="0085657D">
        <w:rPr>
          <w:rFonts w:ascii="Arial" w:hAnsi="Arial" w:cs="Arial"/>
        </w:rPr>
        <w:t xml:space="preserve"> rizik </w:t>
      </w:r>
      <w:r w:rsidR="001305DF" w:rsidRPr="0085657D">
        <w:rPr>
          <w:rFonts w:ascii="Arial" w:hAnsi="Arial" w:cs="Arial"/>
        </w:rPr>
        <w:t>od sekundarne viktimizacije. Ovo posebno važi za naročito osjetljive kategorije žrtava, poput djece, žrtava seksualnog, porodičnog ili rodno zasnovanog nasilja, žrtava trgovine ljudima, ratnih zločina, zločina iz mržnje i sl.</w:t>
      </w:r>
    </w:p>
    <w:p w14:paraId="785DF1D2" w14:textId="77777777" w:rsidR="001305DF" w:rsidRPr="0085657D" w:rsidRDefault="001305DF" w:rsidP="00601BFC">
      <w:pPr>
        <w:spacing w:line="276" w:lineRule="auto"/>
        <w:rPr>
          <w:rFonts w:ascii="Arial" w:hAnsi="Arial" w:cs="Arial"/>
        </w:rPr>
      </w:pPr>
      <w:r w:rsidRPr="0085657D">
        <w:rPr>
          <w:rFonts w:ascii="Arial" w:hAnsi="Arial" w:cs="Arial"/>
        </w:rPr>
        <w:t xml:space="preserve">Imajući ovo u vidu, u periodu koji predstoji, neophodno je unaprijediti procedure, </w:t>
      </w:r>
      <w:r w:rsidR="00F81A47" w:rsidRPr="0085657D">
        <w:rPr>
          <w:rFonts w:ascii="Arial" w:hAnsi="Arial" w:cs="Arial"/>
        </w:rPr>
        <w:t>stručne kapacitete, tehničke i infrastrukturne preduslove za sprovođenje mjera zaštite</w:t>
      </w:r>
      <w:r w:rsidR="00D94075" w:rsidRPr="0085657D">
        <w:rPr>
          <w:rFonts w:ascii="Arial" w:hAnsi="Arial" w:cs="Arial"/>
        </w:rPr>
        <w:t>.</w:t>
      </w:r>
    </w:p>
    <w:p w14:paraId="47130B7C" w14:textId="77777777" w:rsidR="005414F1" w:rsidRPr="0085657D" w:rsidRDefault="005414F1" w:rsidP="00601BFC">
      <w:pPr>
        <w:spacing w:line="276" w:lineRule="auto"/>
        <w:rPr>
          <w:rFonts w:ascii="Arial" w:hAnsi="Arial" w:cs="Arial"/>
        </w:rPr>
      </w:pPr>
      <w:r w:rsidRPr="0085657D">
        <w:rPr>
          <w:rFonts w:ascii="Arial" w:hAnsi="Arial" w:cs="Arial"/>
        </w:rPr>
        <w:t xml:space="preserve">Analizom trenutnog stanja i uočavanjem ključnih problema definisan je strateški cilj </w:t>
      </w:r>
      <w:r w:rsidR="00DC486C" w:rsidRPr="0085657D">
        <w:rPr>
          <w:rFonts w:ascii="Arial" w:hAnsi="Arial" w:cs="Arial"/>
        </w:rPr>
        <w:t>5</w:t>
      </w:r>
      <w:r w:rsidRPr="0085657D">
        <w:rPr>
          <w:rFonts w:ascii="Arial" w:hAnsi="Arial" w:cs="Arial"/>
        </w:rPr>
        <w:t>, kao i set operativnih ciljeva za dostizanje tog strateškog cilja.</w:t>
      </w:r>
    </w:p>
    <w:p w14:paraId="40AC7A2D" w14:textId="15D1B5BF" w:rsidR="005414F1" w:rsidRDefault="005414F1" w:rsidP="00601BFC">
      <w:pPr>
        <w:spacing w:line="276" w:lineRule="auto"/>
        <w:rPr>
          <w:rFonts w:ascii="Arial" w:hAnsi="Arial" w:cs="Arial"/>
        </w:rPr>
      </w:pPr>
      <w:r w:rsidRPr="0085657D">
        <w:rPr>
          <w:rFonts w:ascii="Arial" w:hAnsi="Arial" w:cs="Arial"/>
        </w:rPr>
        <w:t xml:space="preserve">Napredak ostvaren u pogledu dostizanja Strateškog cilja </w:t>
      </w:r>
      <w:r w:rsidR="00A50A7D">
        <w:rPr>
          <w:rFonts w:ascii="Arial" w:hAnsi="Arial" w:cs="Arial"/>
        </w:rPr>
        <w:t>4</w:t>
      </w:r>
      <w:r w:rsidRPr="0085657D">
        <w:rPr>
          <w:rFonts w:ascii="Arial" w:hAnsi="Arial" w:cs="Arial"/>
        </w:rPr>
        <w:t xml:space="preserve"> biće mjeren putem seta pokazatelja (indikatora) uticaja.</w:t>
      </w:r>
    </w:p>
    <w:p w14:paraId="29361B0F" w14:textId="5B855A61" w:rsidR="00E9112A" w:rsidRDefault="00E9112A" w:rsidP="00601BFC">
      <w:pPr>
        <w:spacing w:line="276" w:lineRule="auto"/>
        <w:rPr>
          <w:rFonts w:ascii="Arial" w:hAnsi="Arial" w:cs="Arial"/>
        </w:rPr>
      </w:pPr>
    </w:p>
    <w:p w14:paraId="25E9348D" w14:textId="7E91BB9E" w:rsidR="00E9112A" w:rsidRDefault="00E9112A" w:rsidP="00601BFC">
      <w:pPr>
        <w:spacing w:line="276" w:lineRule="auto"/>
        <w:rPr>
          <w:rFonts w:ascii="Arial" w:hAnsi="Arial" w:cs="Arial"/>
        </w:rPr>
      </w:pPr>
    </w:p>
    <w:p w14:paraId="37D797A8" w14:textId="77777777" w:rsidR="00E9112A" w:rsidRPr="0085657D" w:rsidRDefault="00E9112A" w:rsidP="00601BFC">
      <w:pPr>
        <w:spacing w:line="276" w:lineRule="auto"/>
        <w:rPr>
          <w:rFonts w:ascii="Arial" w:hAnsi="Arial" w:cs="Arial"/>
        </w:rPr>
      </w:pPr>
    </w:p>
    <w:p w14:paraId="33D7D9EE" w14:textId="1770D7C0" w:rsidR="005414F1" w:rsidRPr="0085657D" w:rsidRDefault="005414F1" w:rsidP="005414F1">
      <w:pPr>
        <w:jc w:val="center"/>
        <w:rPr>
          <w:rFonts w:ascii="Arial" w:hAnsi="Arial" w:cs="Arial"/>
        </w:rPr>
      </w:pPr>
      <w:r w:rsidRPr="0085657D">
        <w:rPr>
          <w:rFonts w:ascii="Arial" w:hAnsi="Arial" w:cs="Arial"/>
          <w:i/>
          <w:iCs/>
        </w:rPr>
        <w:lastRenderedPageBreak/>
        <w:t xml:space="preserve">Tabela </w:t>
      </w:r>
      <w:r w:rsidR="00601BFC" w:rsidRPr="0085657D">
        <w:rPr>
          <w:rFonts w:ascii="Arial" w:hAnsi="Arial" w:cs="Arial"/>
          <w:i/>
          <w:iCs/>
        </w:rPr>
        <w:t>1</w:t>
      </w:r>
      <w:r w:rsidR="00A50A7D">
        <w:rPr>
          <w:rFonts w:ascii="Arial" w:hAnsi="Arial" w:cs="Arial"/>
          <w:i/>
          <w:iCs/>
        </w:rPr>
        <w:t>5</w:t>
      </w:r>
      <w:r w:rsidRPr="0085657D">
        <w:rPr>
          <w:rFonts w:ascii="Arial" w:hAnsi="Arial" w:cs="Arial"/>
          <w:i/>
          <w:iCs/>
        </w:rPr>
        <w:t xml:space="preserve">: Indikatori realizacije Strateškog cilja </w:t>
      </w:r>
      <w:r w:rsidR="00A50A7D">
        <w:rPr>
          <w:rFonts w:ascii="Arial" w:hAnsi="Arial" w:cs="Arial"/>
          <w:i/>
          <w:iCs/>
        </w:rPr>
        <w:t>4</w:t>
      </w:r>
    </w:p>
    <w:tbl>
      <w:tblPr>
        <w:tblStyle w:val="TableGrid"/>
        <w:tblW w:w="5000" w:type="pct"/>
        <w:tblInd w:w="-5" w:type="dxa"/>
        <w:tblLayout w:type="fixed"/>
        <w:tblLook w:val="04A0" w:firstRow="1" w:lastRow="0" w:firstColumn="1" w:lastColumn="0" w:noHBand="0" w:noVBand="1"/>
      </w:tblPr>
      <w:tblGrid>
        <w:gridCol w:w="4244"/>
        <w:gridCol w:w="1556"/>
        <w:gridCol w:w="1556"/>
        <w:gridCol w:w="1984"/>
      </w:tblGrid>
      <w:tr w:rsidR="005414F1" w:rsidRPr="0085657D" w14:paraId="22611A4A"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7AD0412B" w14:textId="5F11A89B" w:rsidR="005414F1" w:rsidRPr="0085657D" w:rsidRDefault="00331B10" w:rsidP="00C921B0">
            <w:pPr>
              <w:rPr>
                <w:rFonts w:ascii="Arial" w:hAnsi="Arial" w:cs="Arial"/>
              </w:rPr>
            </w:pPr>
            <w:r>
              <w:rPr>
                <w:rFonts w:ascii="Arial" w:hAnsi="Arial" w:cs="Arial"/>
                <w:b/>
                <w:bCs/>
              </w:rPr>
              <w:t xml:space="preserve">Strateški cilj </w:t>
            </w:r>
            <w:r w:rsidR="00A50A7D">
              <w:rPr>
                <w:rFonts w:ascii="Arial" w:hAnsi="Arial" w:cs="Arial"/>
                <w:b/>
                <w:bCs/>
              </w:rPr>
              <w:t>4</w:t>
            </w:r>
            <w:r w:rsidR="005414F1" w:rsidRPr="0085657D">
              <w:rPr>
                <w:rFonts w:ascii="Arial" w:hAnsi="Arial" w:cs="Arial"/>
                <w:b/>
                <w:bCs/>
              </w:rPr>
              <w:t xml:space="preserve">: </w:t>
            </w:r>
            <w:r w:rsidRPr="00331B10">
              <w:rPr>
                <w:rFonts w:ascii="Arial" w:hAnsi="Arial" w:cs="Arial"/>
                <w:b/>
                <w:bCs/>
              </w:rPr>
              <w:t>Unapređenje mehanizama za jačanje procesne zaštite sa ciljem sprečavanja sekundarne viktimizacije žrtve</w:t>
            </w:r>
          </w:p>
        </w:tc>
      </w:tr>
      <w:tr w:rsidR="005414F1" w:rsidRPr="0085657D" w14:paraId="08CFBEEC" w14:textId="77777777" w:rsidTr="000A7BD3">
        <w:trPr>
          <w:trHeight w:val="575"/>
        </w:trPr>
        <w:tc>
          <w:tcPr>
            <w:tcW w:w="2272" w:type="pct"/>
            <w:tcBorders>
              <w:top w:val="double" w:sz="4" w:space="0" w:color="auto"/>
            </w:tcBorders>
            <w:shd w:val="clear" w:color="auto" w:fill="FAE2D5" w:themeFill="accent2" w:themeFillTint="33"/>
          </w:tcPr>
          <w:p w14:paraId="023A528B" w14:textId="77777777" w:rsidR="005414F1" w:rsidRPr="0085657D" w:rsidRDefault="005414F1" w:rsidP="00C921B0">
            <w:pPr>
              <w:rPr>
                <w:rFonts w:ascii="Arial" w:hAnsi="Arial" w:cs="Arial"/>
              </w:rPr>
            </w:pPr>
            <w:r w:rsidRPr="0085657D">
              <w:rPr>
                <w:rFonts w:ascii="Arial" w:hAnsi="Arial" w:cs="Arial"/>
              </w:rPr>
              <w:t>Indikator uticaja</w:t>
            </w:r>
          </w:p>
        </w:tc>
        <w:tc>
          <w:tcPr>
            <w:tcW w:w="833" w:type="pct"/>
            <w:tcBorders>
              <w:top w:val="double" w:sz="4" w:space="0" w:color="auto"/>
            </w:tcBorders>
            <w:shd w:val="clear" w:color="auto" w:fill="FAE2D5" w:themeFill="accent2" w:themeFillTint="33"/>
          </w:tcPr>
          <w:p w14:paraId="127D40D1" w14:textId="77777777" w:rsidR="005414F1" w:rsidRPr="0085657D" w:rsidRDefault="005414F1" w:rsidP="00C921B0">
            <w:pPr>
              <w:rPr>
                <w:rFonts w:ascii="Arial" w:hAnsi="Arial" w:cs="Arial"/>
              </w:rPr>
            </w:pPr>
            <w:r w:rsidRPr="0085657D">
              <w:rPr>
                <w:rFonts w:ascii="Arial" w:hAnsi="Arial" w:cs="Arial"/>
              </w:rPr>
              <w:t>Početna vrijednost</w:t>
            </w:r>
          </w:p>
          <w:p w14:paraId="6A2C4CBF" w14:textId="77777777" w:rsidR="005414F1" w:rsidRPr="0085657D" w:rsidRDefault="005414F1" w:rsidP="00C921B0">
            <w:pPr>
              <w:rPr>
                <w:rFonts w:ascii="Arial" w:hAnsi="Arial" w:cs="Arial"/>
              </w:rPr>
            </w:pPr>
            <w:r w:rsidRPr="0085657D">
              <w:rPr>
                <w:rFonts w:ascii="Arial" w:hAnsi="Arial" w:cs="Arial"/>
              </w:rPr>
              <w:t>202</w:t>
            </w:r>
            <w:r w:rsidR="00F542D3" w:rsidRPr="0085657D">
              <w:rPr>
                <w:rFonts w:ascii="Arial" w:hAnsi="Arial" w:cs="Arial"/>
              </w:rPr>
              <w:t>4</w:t>
            </w:r>
            <w:r w:rsidRPr="0085657D">
              <w:rPr>
                <w:rFonts w:ascii="Arial" w:hAnsi="Arial" w:cs="Arial"/>
              </w:rPr>
              <w:t>.</w:t>
            </w:r>
          </w:p>
        </w:tc>
        <w:tc>
          <w:tcPr>
            <w:tcW w:w="833" w:type="pct"/>
            <w:tcBorders>
              <w:top w:val="double" w:sz="4" w:space="0" w:color="auto"/>
            </w:tcBorders>
            <w:shd w:val="clear" w:color="auto" w:fill="FAE2D5" w:themeFill="accent2" w:themeFillTint="33"/>
          </w:tcPr>
          <w:p w14:paraId="40891C6B" w14:textId="437E2391"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062" w:type="pct"/>
            <w:tcBorders>
              <w:top w:val="double" w:sz="4" w:space="0" w:color="auto"/>
              <w:right w:val="double" w:sz="4" w:space="0" w:color="auto"/>
            </w:tcBorders>
            <w:shd w:val="clear" w:color="auto" w:fill="FAE2D5" w:themeFill="accent2" w:themeFillTint="33"/>
          </w:tcPr>
          <w:p w14:paraId="67141753" w14:textId="592742AC"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5414F1" w:rsidRPr="0085657D" w14:paraId="7F9CA9C7" w14:textId="77777777" w:rsidTr="000A7BD3">
        <w:trPr>
          <w:trHeight w:val="254"/>
        </w:trPr>
        <w:tc>
          <w:tcPr>
            <w:tcW w:w="2272" w:type="pct"/>
            <w:tcBorders>
              <w:top w:val="double" w:sz="4" w:space="0" w:color="auto"/>
              <w:bottom w:val="double" w:sz="4" w:space="0" w:color="auto"/>
            </w:tcBorders>
            <w:shd w:val="clear" w:color="auto" w:fill="FFFFFF" w:themeFill="background1"/>
          </w:tcPr>
          <w:p w14:paraId="24DC0933" w14:textId="77777777" w:rsidR="005414F1" w:rsidRPr="0085657D" w:rsidRDefault="00D94075" w:rsidP="00C921B0">
            <w:pPr>
              <w:shd w:val="clear" w:color="auto" w:fill="FFFFFF" w:themeFill="background1"/>
              <w:spacing w:after="240"/>
              <w:rPr>
                <w:rFonts w:ascii="Arial" w:hAnsi="Arial" w:cs="Arial"/>
              </w:rPr>
            </w:pPr>
            <w:r w:rsidRPr="0085657D">
              <w:rPr>
                <w:rFonts w:ascii="Arial" w:hAnsi="Arial" w:cs="Arial"/>
              </w:rPr>
              <w:t>Definisane procedure procesne zaštite žrtava u skladu sa relevantnim međunarodnim standardima.</w:t>
            </w:r>
          </w:p>
        </w:tc>
        <w:tc>
          <w:tcPr>
            <w:tcW w:w="833" w:type="pct"/>
            <w:tcBorders>
              <w:top w:val="double" w:sz="4" w:space="0" w:color="auto"/>
              <w:bottom w:val="double" w:sz="4" w:space="0" w:color="auto"/>
            </w:tcBorders>
            <w:shd w:val="clear" w:color="auto" w:fill="FFFFFF" w:themeFill="background1"/>
          </w:tcPr>
          <w:p w14:paraId="2859BC7A" w14:textId="77777777" w:rsidR="005414F1" w:rsidRPr="0085657D" w:rsidRDefault="00D94075" w:rsidP="00C921B0">
            <w:pPr>
              <w:shd w:val="clear" w:color="auto" w:fill="FFFFFF" w:themeFill="background1"/>
              <w:jc w:val="center"/>
              <w:rPr>
                <w:rFonts w:ascii="Arial" w:hAnsi="Arial" w:cs="Arial"/>
              </w:rPr>
            </w:pPr>
            <w:r w:rsidRPr="0085657D">
              <w:rPr>
                <w:rFonts w:ascii="Arial" w:hAnsi="Arial" w:cs="Arial"/>
              </w:rPr>
              <w:t>NE</w:t>
            </w:r>
          </w:p>
        </w:tc>
        <w:tc>
          <w:tcPr>
            <w:tcW w:w="833" w:type="pct"/>
            <w:tcBorders>
              <w:top w:val="double" w:sz="4" w:space="0" w:color="auto"/>
              <w:bottom w:val="double" w:sz="4" w:space="0" w:color="auto"/>
            </w:tcBorders>
            <w:shd w:val="clear" w:color="auto" w:fill="FFFFFF" w:themeFill="background1"/>
          </w:tcPr>
          <w:p w14:paraId="15A04AB9" w14:textId="77777777" w:rsidR="005414F1" w:rsidRPr="0085657D" w:rsidRDefault="00D94075" w:rsidP="00C921B0">
            <w:pPr>
              <w:shd w:val="clear" w:color="auto" w:fill="FFFFFF" w:themeFill="background1"/>
              <w:jc w:val="center"/>
              <w:rPr>
                <w:rFonts w:ascii="Arial" w:hAnsi="Arial" w:cs="Arial"/>
              </w:rPr>
            </w:pPr>
            <w:r w:rsidRPr="0085657D">
              <w:rPr>
                <w:rFonts w:ascii="Arial" w:hAnsi="Arial" w:cs="Arial"/>
              </w:rPr>
              <w:t>DA</w:t>
            </w:r>
          </w:p>
        </w:tc>
        <w:tc>
          <w:tcPr>
            <w:tcW w:w="1062" w:type="pct"/>
            <w:tcBorders>
              <w:top w:val="double" w:sz="4" w:space="0" w:color="auto"/>
              <w:bottom w:val="double" w:sz="4" w:space="0" w:color="auto"/>
              <w:right w:val="double" w:sz="4" w:space="0" w:color="auto"/>
            </w:tcBorders>
            <w:shd w:val="clear" w:color="auto" w:fill="FFFFFF" w:themeFill="background1"/>
          </w:tcPr>
          <w:p w14:paraId="415F49BD" w14:textId="77777777" w:rsidR="005414F1" w:rsidRPr="0085657D" w:rsidRDefault="00D94075" w:rsidP="00C921B0">
            <w:pPr>
              <w:shd w:val="clear" w:color="auto" w:fill="FFFFFF" w:themeFill="background1"/>
              <w:jc w:val="center"/>
              <w:rPr>
                <w:rFonts w:ascii="Arial" w:hAnsi="Arial" w:cs="Arial"/>
              </w:rPr>
            </w:pPr>
            <w:r w:rsidRPr="0085657D">
              <w:rPr>
                <w:rFonts w:ascii="Arial" w:hAnsi="Arial" w:cs="Arial"/>
              </w:rPr>
              <w:t>DA</w:t>
            </w:r>
          </w:p>
        </w:tc>
      </w:tr>
      <w:tr w:rsidR="00D94075" w:rsidRPr="0085657D" w14:paraId="1AEDAD59" w14:textId="77777777" w:rsidTr="000A7BD3">
        <w:trPr>
          <w:trHeight w:val="254"/>
        </w:trPr>
        <w:tc>
          <w:tcPr>
            <w:tcW w:w="2272" w:type="pct"/>
            <w:tcBorders>
              <w:top w:val="double" w:sz="4" w:space="0" w:color="auto"/>
              <w:bottom w:val="double" w:sz="4" w:space="0" w:color="auto"/>
            </w:tcBorders>
            <w:shd w:val="clear" w:color="auto" w:fill="FFFFFF" w:themeFill="background1"/>
          </w:tcPr>
          <w:p w14:paraId="382A3A7E" w14:textId="77777777" w:rsidR="00D94075" w:rsidRPr="0085657D" w:rsidRDefault="00D94075" w:rsidP="00D94075">
            <w:pPr>
              <w:shd w:val="clear" w:color="auto" w:fill="FFFFFF" w:themeFill="background1"/>
              <w:spacing w:after="240"/>
              <w:rPr>
                <w:rFonts w:ascii="Arial" w:hAnsi="Arial" w:cs="Arial"/>
              </w:rPr>
            </w:pPr>
            <w:r w:rsidRPr="0085657D">
              <w:rPr>
                <w:rFonts w:ascii="Arial" w:hAnsi="Arial" w:cs="Arial"/>
              </w:rPr>
              <w:t>Unaprijeđeni tehnički preduslovi za ispitivanje svjedoka posredstvom tehničkih sredstava za prenos slike i zvuka.</w:t>
            </w:r>
          </w:p>
        </w:tc>
        <w:tc>
          <w:tcPr>
            <w:tcW w:w="833" w:type="pct"/>
            <w:tcBorders>
              <w:top w:val="double" w:sz="4" w:space="0" w:color="auto"/>
              <w:bottom w:val="double" w:sz="4" w:space="0" w:color="auto"/>
            </w:tcBorders>
            <w:shd w:val="clear" w:color="auto" w:fill="FFFFFF" w:themeFill="background1"/>
          </w:tcPr>
          <w:p w14:paraId="4712CFB6" w14:textId="77777777" w:rsidR="00D94075" w:rsidRPr="0085657D" w:rsidRDefault="00D94075" w:rsidP="00D94075">
            <w:pPr>
              <w:shd w:val="clear" w:color="auto" w:fill="FFFFFF" w:themeFill="background1"/>
              <w:jc w:val="center"/>
              <w:rPr>
                <w:rFonts w:ascii="Arial" w:hAnsi="Arial" w:cs="Arial"/>
              </w:rPr>
            </w:pPr>
            <w:r w:rsidRPr="0085657D">
              <w:rPr>
                <w:rFonts w:ascii="Arial" w:hAnsi="Arial" w:cs="Arial"/>
              </w:rPr>
              <w:t>NE</w:t>
            </w:r>
          </w:p>
        </w:tc>
        <w:tc>
          <w:tcPr>
            <w:tcW w:w="833" w:type="pct"/>
            <w:tcBorders>
              <w:top w:val="double" w:sz="4" w:space="0" w:color="auto"/>
              <w:bottom w:val="double" w:sz="4" w:space="0" w:color="auto"/>
            </w:tcBorders>
            <w:shd w:val="clear" w:color="auto" w:fill="FFFFFF" w:themeFill="background1"/>
          </w:tcPr>
          <w:p w14:paraId="37B74E16" w14:textId="77777777" w:rsidR="00D94075" w:rsidRPr="0085657D" w:rsidRDefault="00D94075" w:rsidP="00D94075">
            <w:pPr>
              <w:shd w:val="clear" w:color="auto" w:fill="FFFFFF" w:themeFill="background1"/>
              <w:jc w:val="center"/>
              <w:rPr>
                <w:rFonts w:ascii="Arial" w:hAnsi="Arial" w:cs="Arial"/>
              </w:rPr>
            </w:pPr>
            <w:r w:rsidRPr="0085657D">
              <w:rPr>
                <w:rFonts w:ascii="Arial" w:hAnsi="Arial" w:cs="Arial"/>
              </w:rPr>
              <w:t>DA</w:t>
            </w:r>
          </w:p>
        </w:tc>
        <w:tc>
          <w:tcPr>
            <w:tcW w:w="1062" w:type="pct"/>
            <w:tcBorders>
              <w:top w:val="double" w:sz="4" w:space="0" w:color="auto"/>
              <w:bottom w:val="double" w:sz="4" w:space="0" w:color="auto"/>
              <w:right w:val="double" w:sz="4" w:space="0" w:color="auto"/>
            </w:tcBorders>
            <w:shd w:val="clear" w:color="auto" w:fill="FFFFFF" w:themeFill="background1"/>
          </w:tcPr>
          <w:p w14:paraId="0E3B7B16" w14:textId="77777777" w:rsidR="00D94075" w:rsidRPr="0085657D" w:rsidRDefault="00D94075" w:rsidP="00D94075">
            <w:pPr>
              <w:shd w:val="clear" w:color="auto" w:fill="FFFFFF" w:themeFill="background1"/>
              <w:jc w:val="center"/>
              <w:rPr>
                <w:rFonts w:ascii="Arial" w:hAnsi="Arial" w:cs="Arial"/>
              </w:rPr>
            </w:pPr>
            <w:r w:rsidRPr="0085657D">
              <w:rPr>
                <w:rFonts w:ascii="Arial" w:hAnsi="Arial" w:cs="Arial"/>
              </w:rPr>
              <w:t>DA</w:t>
            </w:r>
          </w:p>
        </w:tc>
      </w:tr>
      <w:tr w:rsidR="00D94075" w:rsidRPr="0085657D" w14:paraId="2718B9F8" w14:textId="77777777" w:rsidTr="000A7BD3">
        <w:trPr>
          <w:trHeight w:val="254"/>
        </w:trPr>
        <w:tc>
          <w:tcPr>
            <w:tcW w:w="2272" w:type="pct"/>
            <w:tcBorders>
              <w:top w:val="double" w:sz="4" w:space="0" w:color="auto"/>
              <w:bottom w:val="double" w:sz="4" w:space="0" w:color="auto"/>
            </w:tcBorders>
            <w:shd w:val="clear" w:color="auto" w:fill="FFFFFF" w:themeFill="background1"/>
          </w:tcPr>
          <w:p w14:paraId="2B1FE535" w14:textId="77777777" w:rsidR="00D94075" w:rsidRPr="0085657D" w:rsidRDefault="00D94075" w:rsidP="00D94075">
            <w:pPr>
              <w:shd w:val="clear" w:color="auto" w:fill="FFFFFF" w:themeFill="background1"/>
              <w:spacing w:after="240"/>
              <w:rPr>
                <w:rFonts w:ascii="Arial" w:hAnsi="Arial" w:cs="Arial"/>
              </w:rPr>
            </w:pPr>
            <w:r w:rsidRPr="0085657D">
              <w:rPr>
                <w:rFonts w:ascii="Arial" w:hAnsi="Arial" w:cs="Arial"/>
              </w:rPr>
              <w:t xml:space="preserve">Unaprijeđeni infrastrukturni preduslovi za </w:t>
            </w:r>
            <w:r w:rsidR="00933B5F" w:rsidRPr="0085657D">
              <w:rPr>
                <w:rFonts w:ascii="Arial" w:hAnsi="Arial" w:cs="Arial"/>
              </w:rPr>
              <w:t>izbjegavanje</w:t>
            </w:r>
            <w:r w:rsidRPr="0085657D">
              <w:rPr>
                <w:rFonts w:ascii="Arial" w:hAnsi="Arial" w:cs="Arial"/>
              </w:rPr>
              <w:t xml:space="preserve"> direktnih susreta žrtve i okrivljenog. </w:t>
            </w:r>
          </w:p>
        </w:tc>
        <w:tc>
          <w:tcPr>
            <w:tcW w:w="833" w:type="pct"/>
            <w:tcBorders>
              <w:top w:val="double" w:sz="4" w:space="0" w:color="auto"/>
              <w:bottom w:val="double" w:sz="4" w:space="0" w:color="auto"/>
            </w:tcBorders>
            <w:shd w:val="clear" w:color="auto" w:fill="FFFFFF" w:themeFill="background1"/>
          </w:tcPr>
          <w:p w14:paraId="01A8ECBD" w14:textId="77777777" w:rsidR="00D94075" w:rsidRPr="0085657D" w:rsidRDefault="00D94075" w:rsidP="00D94075">
            <w:pPr>
              <w:shd w:val="clear" w:color="auto" w:fill="FFFFFF" w:themeFill="background1"/>
              <w:jc w:val="center"/>
              <w:rPr>
                <w:rFonts w:ascii="Arial" w:hAnsi="Arial" w:cs="Arial"/>
              </w:rPr>
            </w:pPr>
            <w:r w:rsidRPr="0085657D">
              <w:rPr>
                <w:rFonts w:ascii="Arial" w:hAnsi="Arial" w:cs="Arial"/>
              </w:rPr>
              <w:t>NE</w:t>
            </w:r>
          </w:p>
        </w:tc>
        <w:tc>
          <w:tcPr>
            <w:tcW w:w="833" w:type="pct"/>
            <w:tcBorders>
              <w:top w:val="double" w:sz="4" w:space="0" w:color="auto"/>
              <w:bottom w:val="double" w:sz="4" w:space="0" w:color="auto"/>
            </w:tcBorders>
            <w:shd w:val="clear" w:color="auto" w:fill="FFFFFF" w:themeFill="background1"/>
          </w:tcPr>
          <w:p w14:paraId="488EB0E7" w14:textId="77777777" w:rsidR="00D94075" w:rsidRPr="0085657D" w:rsidRDefault="00D94075" w:rsidP="00D94075">
            <w:pPr>
              <w:shd w:val="clear" w:color="auto" w:fill="FFFFFF" w:themeFill="background1"/>
              <w:jc w:val="center"/>
              <w:rPr>
                <w:rFonts w:ascii="Arial" w:hAnsi="Arial" w:cs="Arial"/>
              </w:rPr>
            </w:pPr>
            <w:r w:rsidRPr="0085657D">
              <w:rPr>
                <w:rFonts w:ascii="Arial" w:hAnsi="Arial" w:cs="Arial"/>
              </w:rPr>
              <w:t>NE</w:t>
            </w:r>
          </w:p>
        </w:tc>
        <w:tc>
          <w:tcPr>
            <w:tcW w:w="1062" w:type="pct"/>
            <w:tcBorders>
              <w:top w:val="double" w:sz="4" w:space="0" w:color="auto"/>
              <w:bottom w:val="double" w:sz="4" w:space="0" w:color="auto"/>
              <w:right w:val="double" w:sz="4" w:space="0" w:color="auto"/>
            </w:tcBorders>
            <w:shd w:val="clear" w:color="auto" w:fill="FFFFFF" w:themeFill="background1"/>
          </w:tcPr>
          <w:p w14:paraId="25256822" w14:textId="77777777" w:rsidR="00D94075" w:rsidRPr="0085657D" w:rsidRDefault="00D94075" w:rsidP="00D94075">
            <w:pPr>
              <w:shd w:val="clear" w:color="auto" w:fill="FFFFFF" w:themeFill="background1"/>
              <w:jc w:val="center"/>
              <w:rPr>
                <w:rFonts w:ascii="Arial" w:hAnsi="Arial" w:cs="Arial"/>
              </w:rPr>
            </w:pPr>
            <w:r w:rsidRPr="0085657D">
              <w:rPr>
                <w:rFonts w:ascii="Arial" w:hAnsi="Arial" w:cs="Arial"/>
              </w:rPr>
              <w:t>DA</w:t>
            </w:r>
          </w:p>
        </w:tc>
      </w:tr>
      <w:tr w:rsidR="005414F1" w:rsidRPr="0085657D" w14:paraId="4DFF3A65" w14:textId="77777777" w:rsidTr="000A7BD3">
        <w:trPr>
          <w:trHeight w:val="254"/>
        </w:trPr>
        <w:tc>
          <w:tcPr>
            <w:tcW w:w="5000" w:type="pct"/>
            <w:gridSpan w:val="4"/>
            <w:tcBorders>
              <w:top w:val="double" w:sz="4" w:space="0" w:color="auto"/>
              <w:bottom w:val="double" w:sz="4" w:space="0" w:color="auto"/>
              <w:right w:val="double" w:sz="4" w:space="0" w:color="auto"/>
            </w:tcBorders>
            <w:shd w:val="clear" w:color="auto" w:fill="D9F2D0" w:themeFill="accent6" w:themeFillTint="33"/>
          </w:tcPr>
          <w:p w14:paraId="7AA31BDB" w14:textId="5235A7E2" w:rsidR="005414F1" w:rsidRPr="0085657D" w:rsidRDefault="005414F1" w:rsidP="00C921B0">
            <w:pPr>
              <w:rPr>
                <w:rFonts w:ascii="Arial" w:hAnsi="Arial" w:cs="Arial"/>
                <w:b/>
                <w:bCs/>
                <w:u w:val="single"/>
              </w:rPr>
            </w:pPr>
            <w:r w:rsidRPr="0085657D">
              <w:rPr>
                <w:rFonts w:ascii="Arial" w:hAnsi="Arial" w:cs="Arial"/>
                <w:b/>
                <w:bCs/>
                <w:u w:val="single"/>
              </w:rPr>
              <w:t xml:space="preserve">U okviru Strateškog cilja </w:t>
            </w:r>
            <w:r w:rsidR="00A50A7D">
              <w:rPr>
                <w:rFonts w:ascii="Arial" w:hAnsi="Arial" w:cs="Arial"/>
                <w:b/>
                <w:bCs/>
                <w:u w:val="single"/>
              </w:rPr>
              <w:t>4</w:t>
            </w:r>
            <w:r w:rsidRPr="0085657D">
              <w:rPr>
                <w:rFonts w:ascii="Arial" w:hAnsi="Arial" w:cs="Arial"/>
                <w:b/>
                <w:bCs/>
                <w:u w:val="single"/>
              </w:rPr>
              <w:t xml:space="preserve"> definisani su sljedeći operativni ciljevi:</w:t>
            </w:r>
          </w:p>
          <w:p w14:paraId="5E70ACAC" w14:textId="77777777" w:rsidR="005414F1" w:rsidRPr="0085657D" w:rsidRDefault="005414F1" w:rsidP="00C921B0">
            <w:pPr>
              <w:rPr>
                <w:rFonts w:ascii="Arial" w:hAnsi="Arial" w:cs="Arial"/>
                <w:b/>
                <w:bCs/>
                <w:u w:val="single"/>
              </w:rPr>
            </w:pPr>
          </w:p>
          <w:p w14:paraId="239D361A" w14:textId="572CCBEE" w:rsidR="005414F1" w:rsidRPr="0085657D" w:rsidRDefault="005414F1" w:rsidP="00C921B0">
            <w:pPr>
              <w:rPr>
                <w:rFonts w:ascii="Arial" w:hAnsi="Arial" w:cs="Arial"/>
              </w:rPr>
            </w:pPr>
            <w:r w:rsidRPr="0085657D">
              <w:rPr>
                <w:rFonts w:ascii="Arial" w:hAnsi="Arial" w:cs="Arial"/>
              </w:rPr>
              <w:t xml:space="preserve">OC </w:t>
            </w:r>
            <w:r w:rsidR="00A50A7D">
              <w:rPr>
                <w:rFonts w:ascii="Arial" w:hAnsi="Arial" w:cs="Arial"/>
              </w:rPr>
              <w:t>4</w:t>
            </w:r>
            <w:r w:rsidRPr="0085657D">
              <w:rPr>
                <w:rFonts w:ascii="Arial" w:hAnsi="Arial" w:cs="Arial"/>
              </w:rPr>
              <w:t xml:space="preserve">.1. </w:t>
            </w:r>
            <w:r w:rsidR="00346A35">
              <w:rPr>
                <w:rFonts w:ascii="Arial" w:hAnsi="Arial" w:cs="Arial"/>
              </w:rPr>
              <w:t xml:space="preserve">   </w:t>
            </w:r>
            <w:r w:rsidR="00933B5F" w:rsidRPr="0085657D">
              <w:rPr>
                <w:rFonts w:ascii="Arial" w:hAnsi="Arial" w:cs="Arial"/>
              </w:rPr>
              <w:t>Unapređenje</w:t>
            </w:r>
            <w:r w:rsidR="002A4A24" w:rsidRPr="0085657D">
              <w:rPr>
                <w:rFonts w:ascii="Arial" w:hAnsi="Arial" w:cs="Arial"/>
              </w:rPr>
              <w:t xml:space="preserve"> upotrebe </w:t>
            </w:r>
            <w:r w:rsidR="00221A73" w:rsidRPr="0085657D">
              <w:rPr>
                <w:rFonts w:ascii="Arial" w:hAnsi="Arial" w:cs="Arial"/>
              </w:rPr>
              <w:t>audio-vizuelne tehnike</w:t>
            </w:r>
            <w:r w:rsidR="002A4A24" w:rsidRPr="0085657D">
              <w:rPr>
                <w:rFonts w:ascii="Arial" w:hAnsi="Arial" w:cs="Arial"/>
              </w:rPr>
              <w:t xml:space="preserve"> u svrhu zaštite žrtava</w:t>
            </w:r>
          </w:p>
          <w:p w14:paraId="61314156" w14:textId="2F8FDD41" w:rsidR="005414F1" w:rsidRPr="0085657D" w:rsidRDefault="00035D12" w:rsidP="00C921B0">
            <w:pPr>
              <w:rPr>
                <w:rFonts w:ascii="Arial" w:hAnsi="Arial" w:cs="Arial"/>
              </w:rPr>
            </w:pPr>
            <w:r w:rsidRPr="0085657D">
              <w:rPr>
                <w:rFonts w:ascii="Arial" w:hAnsi="Arial" w:cs="Arial"/>
              </w:rPr>
              <w:t xml:space="preserve">OC </w:t>
            </w:r>
            <w:r w:rsidR="00A50A7D">
              <w:rPr>
                <w:rFonts w:ascii="Arial" w:hAnsi="Arial" w:cs="Arial"/>
              </w:rPr>
              <w:t>4</w:t>
            </w:r>
            <w:r w:rsidR="005414F1" w:rsidRPr="0085657D">
              <w:rPr>
                <w:rFonts w:ascii="Arial" w:hAnsi="Arial" w:cs="Arial"/>
              </w:rPr>
              <w:t>.2.</w:t>
            </w:r>
            <w:r w:rsidR="00F23B90">
              <w:rPr>
                <w:rFonts w:ascii="Arial" w:hAnsi="Arial" w:cs="Arial"/>
              </w:rPr>
              <w:t xml:space="preserve"> </w:t>
            </w:r>
            <w:r w:rsidR="00933B5F" w:rsidRPr="0085657D">
              <w:rPr>
                <w:rFonts w:ascii="Arial" w:hAnsi="Arial" w:cs="Arial"/>
              </w:rPr>
              <w:t>Unapređenje</w:t>
            </w:r>
            <w:r w:rsidR="002A4A24" w:rsidRPr="0085657D">
              <w:rPr>
                <w:rFonts w:ascii="Arial" w:hAnsi="Arial" w:cs="Arial"/>
              </w:rPr>
              <w:t xml:space="preserve"> mjera </w:t>
            </w:r>
            <w:r w:rsidR="00AB557A">
              <w:rPr>
                <w:rFonts w:ascii="Arial" w:hAnsi="Arial" w:cs="Arial"/>
              </w:rPr>
              <w:t xml:space="preserve">procesne discipline </w:t>
            </w:r>
            <w:r w:rsidR="002A4A24" w:rsidRPr="0085657D">
              <w:rPr>
                <w:rFonts w:ascii="Arial" w:hAnsi="Arial" w:cs="Arial"/>
              </w:rPr>
              <w:t xml:space="preserve">usmjerenih na smanjenje sekundarne viktimizacije žrtava </w:t>
            </w:r>
          </w:p>
          <w:p w14:paraId="39A45B6E" w14:textId="1E9CA6A0" w:rsidR="005414F1" w:rsidRPr="0085657D" w:rsidRDefault="005414F1" w:rsidP="00C921B0">
            <w:pPr>
              <w:rPr>
                <w:rFonts w:ascii="Arial" w:hAnsi="Arial" w:cs="Arial"/>
              </w:rPr>
            </w:pPr>
            <w:r w:rsidRPr="0085657D">
              <w:rPr>
                <w:rFonts w:ascii="Arial" w:hAnsi="Arial" w:cs="Arial"/>
              </w:rPr>
              <w:t xml:space="preserve">OC </w:t>
            </w:r>
            <w:r w:rsidR="00A50A7D">
              <w:rPr>
                <w:rFonts w:ascii="Arial" w:hAnsi="Arial" w:cs="Arial"/>
              </w:rPr>
              <w:t>4</w:t>
            </w:r>
            <w:r w:rsidRPr="0085657D">
              <w:rPr>
                <w:rFonts w:ascii="Arial" w:hAnsi="Arial" w:cs="Arial"/>
              </w:rPr>
              <w:t xml:space="preserve">.3. </w:t>
            </w:r>
            <w:r w:rsidR="00346A35">
              <w:rPr>
                <w:rFonts w:ascii="Arial" w:hAnsi="Arial" w:cs="Arial"/>
              </w:rPr>
              <w:t xml:space="preserve">   </w:t>
            </w:r>
            <w:r w:rsidR="00933B5F" w:rsidRPr="0085657D">
              <w:rPr>
                <w:rFonts w:ascii="Arial" w:hAnsi="Arial" w:cs="Arial"/>
              </w:rPr>
              <w:t>Unapređenje</w:t>
            </w:r>
            <w:r w:rsidR="002A4A24" w:rsidRPr="0085657D">
              <w:rPr>
                <w:rFonts w:ascii="Arial" w:hAnsi="Arial" w:cs="Arial"/>
              </w:rPr>
              <w:t xml:space="preserve"> pravosudne infrastrukture kao mehanizam zaštite žrtava</w:t>
            </w:r>
          </w:p>
          <w:p w14:paraId="715466F8" w14:textId="77777777" w:rsidR="005414F1" w:rsidRPr="0085657D" w:rsidRDefault="005414F1" w:rsidP="00C921B0">
            <w:pPr>
              <w:rPr>
                <w:rFonts w:ascii="Arial" w:hAnsi="Arial" w:cs="Arial"/>
              </w:rPr>
            </w:pPr>
          </w:p>
        </w:tc>
      </w:tr>
    </w:tbl>
    <w:p w14:paraId="537009BC" w14:textId="77777777" w:rsidR="00192FBD" w:rsidRPr="0085657D" w:rsidRDefault="00192FBD" w:rsidP="005414F1">
      <w:pPr>
        <w:rPr>
          <w:rFonts w:ascii="Arial" w:hAnsi="Arial" w:cs="Arial"/>
        </w:rPr>
      </w:pPr>
    </w:p>
    <w:p w14:paraId="0C32515C" w14:textId="3ACCB6FD" w:rsidR="005414F1" w:rsidRPr="0085657D" w:rsidRDefault="0049710D" w:rsidP="00C9528D">
      <w:pPr>
        <w:pStyle w:val="Heading3"/>
        <w:spacing w:before="0" w:after="240"/>
        <w:ind w:left="357"/>
        <w:rPr>
          <w:rFonts w:ascii="Arial" w:hAnsi="Arial" w:cs="Arial"/>
          <w:sz w:val="22"/>
          <w:szCs w:val="22"/>
        </w:rPr>
      </w:pPr>
      <w:bookmarkStart w:id="73" w:name="_Toc208489218"/>
      <w:r w:rsidRPr="0085657D">
        <w:rPr>
          <w:rFonts w:ascii="Arial" w:hAnsi="Arial" w:cs="Arial"/>
          <w:sz w:val="22"/>
          <w:szCs w:val="22"/>
        </w:rPr>
        <w:t xml:space="preserve">Operativni cilj </w:t>
      </w:r>
      <w:r w:rsidR="00A50A7D">
        <w:rPr>
          <w:rFonts w:ascii="Arial" w:hAnsi="Arial" w:cs="Arial"/>
          <w:sz w:val="22"/>
          <w:szCs w:val="22"/>
        </w:rPr>
        <w:t>4</w:t>
      </w:r>
      <w:r w:rsidR="00192FBD" w:rsidRPr="0085657D">
        <w:rPr>
          <w:rFonts w:ascii="Arial" w:hAnsi="Arial" w:cs="Arial"/>
          <w:sz w:val="22"/>
          <w:szCs w:val="22"/>
        </w:rPr>
        <w:t>.1</w:t>
      </w:r>
      <w:r w:rsidRPr="0085657D">
        <w:rPr>
          <w:rFonts w:ascii="Arial" w:hAnsi="Arial" w:cs="Arial"/>
          <w:sz w:val="22"/>
          <w:szCs w:val="22"/>
        </w:rPr>
        <w:t>:</w:t>
      </w:r>
      <w:r w:rsidR="00192FBD" w:rsidRPr="0085657D">
        <w:rPr>
          <w:rFonts w:ascii="Arial" w:hAnsi="Arial" w:cs="Arial"/>
          <w:sz w:val="22"/>
          <w:szCs w:val="22"/>
        </w:rPr>
        <w:t xml:space="preserve"> </w:t>
      </w:r>
      <w:r w:rsidR="00933B5F" w:rsidRPr="0085657D">
        <w:rPr>
          <w:rFonts w:ascii="Arial" w:hAnsi="Arial" w:cs="Arial"/>
          <w:sz w:val="22"/>
          <w:szCs w:val="22"/>
        </w:rPr>
        <w:t>Unapređenje</w:t>
      </w:r>
      <w:r w:rsidR="00192FBD" w:rsidRPr="0085657D">
        <w:rPr>
          <w:rFonts w:ascii="Arial" w:hAnsi="Arial" w:cs="Arial"/>
          <w:sz w:val="22"/>
          <w:szCs w:val="22"/>
        </w:rPr>
        <w:t xml:space="preserve"> upotrebe </w:t>
      </w:r>
      <w:r w:rsidR="0091163A" w:rsidRPr="0085657D">
        <w:rPr>
          <w:rFonts w:ascii="Arial" w:hAnsi="Arial" w:cs="Arial"/>
          <w:sz w:val="22"/>
          <w:szCs w:val="22"/>
        </w:rPr>
        <w:t xml:space="preserve">audio-vizuelne tehnike </w:t>
      </w:r>
      <w:r w:rsidR="00192FBD" w:rsidRPr="0085657D">
        <w:rPr>
          <w:rFonts w:ascii="Arial" w:hAnsi="Arial" w:cs="Arial"/>
          <w:sz w:val="22"/>
          <w:szCs w:val="22"/>
        </w:rPr>
        <w:t>u svrhu zaštite žrtava</w:t>
      </w:r>
      <w:bookmarkEnd w:id="73"/>
    </w:p>
    <w:p w14:paraId="0167E4A8" w14:textId="77777777" w:rsidR="005414F1" w:rsidRPr="0085657D" w:rsidRDefault="001824CD" w:rsidP="00500F94">
      <w:pPr>
        <w:spacing w:line="276" w:lineRule="auto"/>
        <w:rPr>
          <w:rFonts w:ascii="Arial" w:hAnsi="Arial" w:cs="Arial"/>
        </w:rPr>
      </w:pPr>
      <w:r w:rsidRPr="0085657D">
        <w:rPr>
          <w:rFonts w:ascii="Arial" w:hAnsi="Arial" w:cs="Arial"/>
        </w:rPr>
        <w:t xml:space="preserve">Ispitivanje žrtve u procesnom  svojstvu svjedoka bez fizičkog prisustva u sudnici jedna je od mjera zaštite koja je, gotovo u svim dokumentima koji predstavljaju izvore relevantnih standarda u oblasti prava žrtava prepoznata kao vrlo djelotvorna. </w:t>
      </w:r>
    </w:p>
    <w:p w14:paraId="09BBB748" w14:textId="64E1DA3A" w:rsidR="005414F1" w:rsidRDefault="001824CD" w:rsidP="00500F94">
      <w:pPr>
        <w:spacing w:line="276" w:lineRule="auto"/>
        <w:rPr>
          <w:rFonts w:ascii="Arial" w:hAnsi="Arial" w:cs="Arial"/>
        </w:rPr>
      </w:pPr>
      <w:r w:rsidRPr="0085657D">
        <w:rPr>
          <w:rFonts w:ascii="Arial" w:hAnsi="Arial" w:cs="Arial"/>
        </w:rPr>
        <w:t xml:space="preserve">Fizičko distanciranje žrtve od okrivljenog i organa postupka i njeno virtuelno učešće u postupku putem </w:t>
      </w:r>
      <w:r w:rsidR="00221A73" w:rsidRPr="0085657D">
        <w:rPr>
          <w:rFonts w:ascii="Arial" w:hAnsi="Arial" w:cs="Arial"/>
        </w:rPr>
        <w:t>audio-vizuelne tehnike</w:t>
      </w:r>
      <w:r w:rsidR="00FF020C" w:rsidRPr="0085657D">
        <w:rPr>
          <w:rFonts w:ascii="Arial" w:hAnsi="Arial" w:cs="Arial"/>
        </w:rPr>
        <w:t xml:space="preserve">, u praksi se može primjenjivati u nekoliko modela, svjedočenjem žrtve iz posebne prostorije koja se nalazi u istoj zgradi u kojoj se održava ročište, iz prostorija u kojima žrtva stanuje, iz prostorija centra za socijalni rad i sl. Svaki od pomenutih modaliteta </w:t>
      </w:r>
      <w:r w:rsidR="00111EF3" w:rsidRPr="0085657D">
        <w:rPr>
          <w:rFonts w:ascii="Arial" w:hAnsi="Arial" w:cs="Arial"/>
        </w:rPr>
        <w:t>podrazumijeva</w:t>
      </w:r>
      <w:r w:rsidR="00FF020C" w:rsidRPr="0085657D">
        <w:rPr>
          <w:rFonts w:ascii="Arial" w:hAnsi="Arial" w:cs="Arial"/>
        </w:rPr>
        <w:t xml:space="preserve"> da</w:t>
      </w:r>
      <w:r w:rsidR="00111EF3" w:rsidRPr="0085657D">
        <w:rPr>
          <w:rFonts w:ascii="Arial" w:hAnsi="Arial" w:cs="Arial"/>
        </w:rPr>
        <w:t xml:space="preserve"> sud, odnosno državno tužilaštvo pred kojim se vodi postupak bude opremljeno adekvatnom opremom koja garantuje stabilnu i bezbjednu vezu tokom svjedočenja, i po potrebi, snimanje iskaza.</w:t>
      </w:r>
    </w:p>
    <w:p w14:paraId="477DC6E0" w14:textId="3F43571E" w:rsidR="00E9112A" w:rsidRDefault="00E9112A" w:rsidP="00500F94">
      <w:pPr>
        <w:spacing w:line="276" w:lineRule="auto"/>
        <w:rPr>
          <w:rFonts w:ascii="Arial" w:hAnsi="Arial" w:cs="Arial"/>
        </w:rPr>
      </w:pPr>
    </w:p>
    <w:p w14:paraId="1571E847" w14:textId="4DE89F1E" w:rsidR="00E9112A" w:rsidRDefault="00E9112A" w:rsidP="00500F94">
      <w:pPr>
        <w:spacing w:line="276" w:lineRule="auto"/>
        <w:rPr>
          <w:rFonts w:ascii="Arial" w:hAnsi="Arial" w:cs="Arial"/>
        </w:rPr>
      </w:pPr>
    </w:p>
    <w:p w14:paraId="702D2BFF" w14:textId="0FFDB746" w:rsidR="00E9112A" w:rsidRDefault="00E9112A" w:rsidP="00500F94">
      <w:pPr>
        <w:spacing w:line="276" w:lineRule="auto"/>
        <w:rPr>
          <w:rFonts w:ascii="Arial" w:hAnsi="Arial" w:cs="Arial"/>
        </w:rPr>
      </w:pPr>
    </w:p>
    <w:p w14:paraId="136C9F9F" w14:textId="77777777" w:rsidR="00E9112A" w:rsidRPr="0085657D" w:rsidRDefault="00E9112A" w:rsidP="00500F94">
      <w:pPr>
        <w:spacing w:line="276" w:lineRule="auto"/>
        <w:rPr>
          <w:rFonts w:ascii="Arial" w:hAnsi="Arial" w:cs="Arial"/>
        </w:rPr>
      </w:pPr>
    </w:p>
    <w:p w14:paraId="01730C1E" w14:textId="3320531C" w:rsidR="005414F1" w:rsidRPr="0085657D" w:rsidRDefault="005414F1" w:rsidP="005414F1">
      <w:pPr>
        <w:jc w:val="center"/>
        <w:rPr>
          <w:rFonts w:ascii="Arial" w:hAnsi="Arial" w:cs="Arial"/>
        </w:rPr>
      </w:pPr>
      <w:r w:rsidRPr="0085657D">
        <w:rPr>
          <w:rFonts w:ascii="Arial" w:hAnsi="Arial" w:cs="Arial"/>
          <w:i/>
          <w:iCs/>
        </w:rPr>
        <w:lastRenderedPageBreak/>
        <w:t xml:space="preserve">Tabela </w:t>
      </w:r>
      <w:r w:rsidR="00601BFC" w:rsidRPr="0085657D">
        <w:rPr>
          <w:rFonts w:ascii="Arial" w:hAnsi="Arial" w:cs="Arial"/>
          <w:i/>
          <w:iCs/>
        </w:rPr>
        <w:t>1</w:t>
      </w:r>
      <w:r w:rsidR="00A50A7D">
        <w:rPr>
          <w:rFonts w:ascii="Arial" w:hAnsi="Arial" w:cs="Arial"/>
          <w:i/>
          <w:iCs/>
        </w:rPr>
        <w:t>6</w:t>
      </w:r>
      <w:r w:rsidRPr="0085657D">
        <w:rPr>
          <w:rFonts w:ascii="Arial" w:hAnsi="Arial" w:cs="Arial"/>
          <w:i/>
          <w:iCs/>
        </w:rPr>
        <w:t xml:space="preserve">: Indikatori realizacije Operativnog cilja </w:t>
      </w:r>
      <w:r w:rsidR="00A50A7D">
        <w:rPr>
          <w:rFonts w:ascii="Arial" w:hAnsi="Arial" w:cs="Arial"/>
          <w:i/>
          <w:iCs/>
        </w:rPr>
        <w:t>4</w:t>
      </w:r>
      <w:r w:rsidRPr="0085657D">
        <w:rPr>
          <w:rFonts w:ascii="Arial" w:hAnsi="Arial" w:cs="Arial"/>
          <w:i/>
          <w:iCs/>
        </w:rPr>
        <w:t>.1.</w:t>
      </w:r>
    </w:p>
    <w:tbl>
      <w:tblPr>
        <w:tblStyle w:val="TableGrid"/>
        <w:tblW w:w="5059" w:type="pct"/>
        <w:tblInd w:w="-5" w:type="dxa"/>
        <w:tblLayout w:type="fixed"/>
        <w:tblLook w:val="04A0" w:firstRow="1" w:lastRow="0" w:firstColumn="1" w:lastColumn="0" w:noHBand="0" w:noVBand="1"/>
      </w:tblPr>
      <w:tblGrid>
        <w:gridCol w:w="2125"/>
        <w:gridCol w:w="3254"/>
        <w:gridCol w:w="1414"/>
        <w:gridCol w:w="1274"/>
        <w:gridCol w:w="1383"/>
      </w:tblGrid>
      <w:tr w:rsidR="005414F1" w:rsidRPr="0085657D" w14:paraId="51048394" w14:textId="77777777" w:rsidTr="000A7BD3">
        <w:trPr>
          <w:trHeight w:val="575"/>
        </w:trPr>
        <w:tc>
          <w:tcPr>
            <w:tcW w:w="1124" w:type="pct"/>
            <w:tcBorders>
              <w:top w:val="double" w:sz="4" w:space="0" w:color="auto"/>
            </w:tcBorders>
            <w:shd w:val="clear" w:color="auto" w:fill="FAE2D5" w:themeFill="accent2" w:themeFillTint="33"/>
          </w:tcPr>
          <w:p w14:paraId="35A49A67" w14:textId="77777777" w:rsidR="005414F1" w:rsidRPr="0085657D" w:rsidRDefault="005414F1" w:rsidP="00C921B0">
            <w:pPr>
              <w:rPr>
                <w:rFonts w:ascii="Arial" w:hAnsi="Arial" w:cs="Arial"/>
              </w:rPr>
            </w:pPr>
            <w:r w:rsidRPr="0085657D">
              <w:rPr>
                <w:rFonts w:ascii="Arial" w:hAnsi="Arial" w:cs="Arial"/>
              </w:rPr>
              <w:t xml:space="preserve">Operativni </w:t>
            </w:r>
          </w:p>
          <w:p w14:paraId="06C425CC" w14:textId="77777777" w:rsidR="005414F1" w:rsidRPr="0085657D" w:rsidRDefault="005414F1" w:rsidP="00C921B0">
            <w:pPr>
              <w:rPr>
                <w:rFonts w:ascii="Arial" w:hAnsi="Arial" w:cs="Arial"/>
              </w:rPr>
            </w:pPr>
            <w:r w:rsidRPr="0085657D">
              <w:rPr>
                <w:rFonts w:ascii="Arial" w:hAnsi="Arial" w:cs="Arial"/>
              </w:rPr>
              <w:t>cilj</w:t>
            </w:r>
          </w:p>
        </w:tc>
        <w:tc>
          <w:tcPr>
            <w:tcW w:w="1721" w:type="pct"/>
            <w:tcBorders>
              <w:top w:val="double" w:sz="4" w:space="0" w:color="auto"/>
            </w:tcBorders>
            <w:shd w:val="clear" w:color="auto" w:fill="FAE2D5" w:themeFill="accent2" w:themeFillTint="33"/>
          </w:tcPr>
          <w:p w14:paraId="2DEAA534" w14:textId="77777777" w:rsidR="005414F1" w:rsidRPr="0085657D" w:rsidRDefault="005414F1" w:rsidP="00C921B0">
            <w:pPr>
              <w:rPr>
                <w:rFonts w:ascii="Arial" w:hAnsi="Arial" w:cs="Arial"/>
              </w:rPr>
            </w:pPr>
            <w:r w:rsidRPr="0085657D">
              <w:rPr>
                <w:rFonts w:ascii="Arial" w:hAnsi="Arial" w:cs="Arial"/>
              </w:rPr>
              <w:t>Indikator učinka</w:t>
            </w:r>
          </w:p>
        </w:tc>
        <w:tc>
          <w:tcPr>
            <w:tcW w:w="748" w:type="pct"/>
            <w:tcBorders>
              <w:top w:val="double" w:sz="4" w:space="0" w:color="auto"/>
            </w:tcBorders>
            <w:shd w:val="clear" w:color="auto" w:fill="FAE2D5" w:themeFill="accent2" w:themeFillTint="33"/>
          </w:tcPr>
          <w:p w14:paraId="1DD0882C" w14:textId="77777777" w:rsidR="005414F1" w:rsidRPr="0085657D" w:rsidRDefault="005414F1" w:rsidP="00C921B0">
            <w:pPr>
              <w:rPr>
                <w:rFonts w:ascii="Arial" w:hAnsi="Arial" w:cs="Arial"/>
              </w:rPr>
            </w:pPr>
            <w:r w:rsidRPr="0085657D">
              <w:rPr>
                <w:rFonts w:ascii="Arial" w:hAnsi="Arial" w:cs="Arial"/>
              </w:rPr>
              <w:t>Početna vrijednost</w:t>
            </w:r>
          </w:p>
          <w:p w14:paraId="6404B003" w14:textId="77777777" w:rsidR="005414F1" w:rsidRPr="0085657D" w:rsidRDefault="005414F1" w:rsidP="00C921B0">
            <w:pPr>
              <w:rPr>
                <w:rFonts w:ascii="Arial" w:hAnsi="Arial" w:cs="Arial"/>
              </w:rPr>
            </w:pPr>
            <w:r w:rsidRPr="0085657D">
              <w:rPr>
                <w:rFonts w:ascii="Arial" w:hAnsi="Arial" w:cs="Arial"/>
              </w:rPr>
              <w:t>202</w:t>
            </w:r>
            <w:r w:rsidR="00F542D3" w:rsidRPr="0085657D">
              <w:rPr>
                <w:rFonts w:ascii="Arial" w:hAnsi="Arial" w:cs="Arial"/>
              </w:rPr>
              <w:t>4</w:t>
            </w:r>
            <w:r w:rsidRPr="0085657D">
              <w:rPr>
                <w:rFonts w:ascii="Arial" w:hAnsi="Arial" w:cs="Arial"/>
              </w:rPr>
              <w:t>.</w:t>
            </w:r>
          </w:p>
        </w:tc>
        <w:tc>
          <w:tcPr>
            <w:tcW w:w="674" w:type="pct"/>
            <w:tcBorders>
              <w:top w:val="double" w:sz="4" w:space="0" w:color="auto"/>
            </w:tcBorders>
            <w:shd w:val="clear" w:color="auto" w:fill="FAE2D5" w:themeFill="accent2" w:themeFillTint="33"/>
          </w:tcPr>
          <w:p w14:paraId="22E14D7D" w14:textId="7A213136"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732" w:type="pct"/>
            <w:tcBorders>
              <w:top w:val="double" w:sz="4" w:space="0" w:color="auto"/>
              <w:right w:val="double" w:sz="4" w:space="0" w:color="auto"/>
            </w:tcBorders>
            <w:shd w:val="clear" w:color="auto" w:fill="FAE2D5" w:themeFill="accent2" w:themeFillTint="33"/>
          </w:tcPr>
          <w:p w14:paraId="38668B8D" w14:textId="6669CEDD"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035D12" w:rsidRPr="0085657D" w14:paraId="1E7F08E3" w14:textId="77777777" w:rsidTr="000A7BD3">
        <w:trPr>
          <w:trHeight w:val="866"/>
        </w:trPr>
        <w:tc>
          <w:tcPr>
            <w:tcW w:w="1124" w:type="pct"/>
            <w:vMerge w:val="restart"/>
            <w:tcBorders>
              <w:top w:val="double" w:sz="4" w:space="0" w:color="auto"/>
            </w:tcBorders>
            <w:shd w:val="clear" w:color="auto" w:fill="D9F2D0" w:themeFill="accent6" w:themeFillTint="33"/>
          </w:tcPr>
          <w:p w14:paraId="35389910" w14:textId="0431E402" w:rsidR="00035D12" w:rsidRPr="0085657D" w:rsidRDefault="00A50A7D" w:rsidP="00035D12">
            <w:pPr>
              <w:rPr>
                <w:rFonts w:ascii="Arial" w:hAnsi="Arial" w:cs="Arial"/>
              </w:rPr>
            </w:pPr>
            <w:r>
              <w:rPr>
                <w:rFonts w:ascii="Arial" w:hAnsi="Arial" w:cs="Arial"/>
              </w:rPr>
              <w:t>4</w:t>
            </w:r>
            <w:r w:rsidR="00035D12" w:rsidRPr="0085657D">
              <w:rPr>
                <w:rFonts w:ascii="Arial" w:hAnsi="Arial" w:cs="Arial"/>
              </w:rPr>
              <w:t>.1.</w:t>
            </w:r>
          </w:p>
          <w:p w14:paraId="68ABE7A9" w14:textId="68C5704B" w:rsidR="00035D12" w:rsidRPr="0085657D" w:rsidRDefault="00227D89" w:rsidP="00035D12">
            <w:pPr>
              <w:rPr>
                <w:rFonts w:ascii="Arial" w:hAnsi="Arial" w:cs="Arial"/>
              </w:rPr>
            </w:pPr>
            <w:r w:rsidRPr="00227D89">
              <w:rPr>
                <w:rFonts w:ascii="Arial" w:hAnsi="Arial" w:cs="Arial"/>
              </w:rPr>
              <w:t xml:space="preserve">Unapređenje upotrebe audio-vizuelne tehnike u svrhu zaštite žrtava </w:t>
            </w:r>
          </w:p>
        </w:tc>
        <w:tc>
          <w:tcPr>
            <w:tcW w:w="1721" w:type="pct"/>
            <w:tcBorders>
              <w:top w:val="double" w:sz="4" w:space="0" w:color="auto"/>
            </w:tcBorders>
            <w:shd w:val="clear" w:color="auto" w:fill="FFFFFF" w:themeFill="background1"/>
          </w:tcPr>
          <w:p w14:paraId="25E33DA0" w14:textId="2DE05E35"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Broj zgrada u kojima su smješteni sudovi</w:t>
            </w:r>
            <w:r w:rsidR="00164251">
              <w:rPr>
                <w:rFonts w:ascii="Arial" w:hAnsi="Arial" w:cs="Arial"/>
              </w:rPr>
              <w:t xml:space="preserve"> i državna tužilaštva</w:t>
            </w:r>
            <w:r w:rsidRPr="0085657D">
              <w:rPr>
                <w:rFonts w:ascii="Arial" w:hAnsi="Arial" w:cs="Arial"/>
              </w:rPr>
              <w:t xml:space="preserve"> a koji posjeduju opremu sa saslušanje putem sistema audiovizuelne tehnike.</w:t>
            </w:r>
          </w:p>
        </w:tc>
        <w:tc>
          <w:tcPr>
            <w:tcW w:w="748" w:type="pct"/>
            <w:tcBorders>
              <w:top w:val="double" w:sz="4" w:space="0" w:color="auto"/>
            </w:tcBorders>
            <w:shd w:val="clear" w:color="auto" w:fill="FFFFFF" w:themeFill="background1"/>
          </w:tcPr>
          <w:p w14:paraId="19BFE6F0" w14:textId="0904CD8A" w:rsidR="00035D12" w:rsidRPr="0085657D" w:rsidRDefault="005839B9" w:rsidP="00035D12">
            <w:pPr>
              <w:shd w:val="clear" w:color="auto" w:fill="FFFFFF" w:themeFill="background1"/>
              <w:jc w:val="center"/>
              <w:rPr>
                <w:rFonts w:ascii="Arial" w:hAnsi="Arial" w:cs="Arial"/>
              </w:rPr>
            </w:pPr>
            <w:r>
              <w:rPr>
                <w:rFonts w:ascii="Arial" w:hAnsi="Arial" w:cs="Arial"/>
              </w:rPr>
              <w:t>6</w:t>
            </w:r>
            <w:r w:rsidR="00164251" w:rsidRPr="0085657D">
              <w:rPr>
                <w:rStyle w:val="FootnoteReference"/>
                <w:rFonts w:ascii="Arial" w:hAnsi="Arial" w:cs="Arial"/>
              </w:rPr>
              <w:t xml:space="preserve"> </w:t>
            </w:r>
            <w:r w:rsidR="00164251" w:rsidRPr="0085657D">
              <w:rPr>
                <w:rStyle w:val="FootnoteReference"/>
                <w:rFonts w:ascii="Arial" w:hAnsi="Arial" w:cs="Arial"/>
              </w:rPr>
              <w:footnoteReference w:id="74"/>
            </w:r>
          </w:p>
        </w:tc>
        <w:tc>
          <w:tcPr>
            <w:tcW w:w="674" w:type="pct"/>
            <w:tcBorders>
              <w:top w:val="double" w:sz="4" w:space="0" w:color="auto"/>
            </w:tcBorders>
            <w:shd w:val="clear" w:color="auto" w:fill="FFFFFF" w:themeFill="background1"/>
          </w:tcPr>
          <w:p w14:paraId="720B476C" w14:textId="184DCC13" w:rsidR="00035D12" w:rsidRPr="0085657D" w:rsidRDefault="00164251" w:rsidP="00035D12">
            <w:pPr>
              <w:shd w:val="clear" w:color="auto" w:fill="FFFFFF" w:themeFill="background1"/>
              <w:jc w:val="center"/>
              <w:rPr>
                <w:rFonts w:ascii="Arial" w:hAnsi="Arial" w:cs="Arial"/>
              </w:rPr>
            </w:pPr>
            <w:r>
              <w:rPr>
                <w:rFonts w:ascii="Arial" w:hAnsi="Arial" w:cs="Arial"/>
              </w:rPr>
              <w:t>7</w:t>
            </w:r>
          </w:p>
        </w:tc>
        <w:tc>
          <w:tcPr>
            <w:tcW w:w="732" w:type="pct"/>
            <w:tcBorders>
              <w:top w:val="double" w:sz="4" w:space="0" w:color="auto"/>
              <w:right w:val="double" w:sz="4" w:space="0" w:color="auto"/>
            </w:tcBorders>
            <w:shd w:val="clear" w:color="auto" w:fill="FFFFFF" w:themeFill="background1"/>
          </w:tcPr>
          <w:p w14:paraId="35BFE9F4" w14:textId="7A621E91" w:rsidR="00035D12" w:rsidRPr="0085657D" w:rsidRDefault="00164251" w:rsidP="00035D12">
            <w:pPr>
              <w:shd w:val="clear" w:color="auto" w:fill="FFFFFF" w:themeFill="background1"/>
              <w:jc w:val="center"/>
              <w:rPr>
                <w:rFonts w:ascii="Arial" w:hAnsi="Arial" w:cs="Arial"/>
              </w:rPr>
            </w:pPr>
            <w:r>
              <w:rPr>
                <w:rFonts w:ascii="Arial" w:hAnsi="Arial" w:cs="Arial"/>
              </w:rPr>
              <w:t>8</w:t>
            </w:r>
          </w:p>
        </w:tc>
      </w:tr>
      <w:tr w:rsidR="00035D12" w:rsidRPr="0085657D" w14:paraId="22946DAB" w14:textId="77777777" w:rsidTr="000A7BD3">
        <w:trPr>
          <w:trHeight w:val="254"/>
        </w:trPr>
        <w:tc>
          <w:tcPr>
            <w:tcW w:w="1124" w:type="pct"/>
            <w:vMerge/>
            <w:tcBorders>
              <w:bottom w:val="double" w:sz="4" w:space="0" w:color="auto"/>
            </w:tcBorders>
            <w:shd w:val="clear" w:color="auto" w:fill="D9F2D0" w:themeFill="accent6" w:themeFillTint="33"/>
          </w:tcPr>
          <w:p w14:paraId="0A84BEBD" w14:textId="77777777" w:rsidR="00035D12" w:rsidRPr="0085657D" w:rsidRDefault="00035D12" w:rsidP="00035D12">
            <w:pPr>
              <w:rPr>
                <w:rFonts w:ascii="Arial" w:hAnsi="Arial" w:cs="Arial"/>
              </w:rPr>
            </w:pPr>
          </w:p>
        </w:tc>
        <w:tc>
          <w:tcPr>
            <w:tcW w:w="1721" w:type="pct"/>
            <w:tcBorders>
              <w:top w:val="double" w:sz="4" w:space="0" w:color="auto"/>
              <w:bottom w:val="double" w:sz="4" w:space="0" w:color="auto"/>
            </w:tcBorders>
            <w:shd w:val="clear" w:color="auto" w:fill="FFFFFF" w:themeFill="background1"/>
          </w:tcPr>
          <w:p w14:paraId="21961D12" w14:textId="0678366C" w:rsidR="00035D12" w:rsidRPr="0085657D" w:rsidRDefault="00035D12" w:rsidP="00035D12">
            <w:pPr>
              <w:shd w:val="clear" w:color="auto" w:fill="FFFFFF" w:themeFill="background1"/>
              <w:spacing w:after="240"/>
              <w:rPr>
                <w:rFonts w:ascii="Arial" w:hAnsi="Arial" w:cs="Arial"/>
              </w:rPr>
            </w:pPr>
          </w:p>
        </w:tc>
        <w:tc>
          <w:tcPr>
            <w:tcW w:w="748" w:type="pct"/>
            <w:tcBorders>
              <w:top w:val="double" w:sz="4" w:space="0" w:color="auto"/>
              <w:bottom w:val="double" w:sz="4" w:space="0" w:color="auto"/>
            </w:tcBorders>
            <w:shd w:val="clear" w:color="auto" w:fill="FFFFFF" w:themeFill="background1"/>
          </w:tcPr>
          <w:p w14:paraId="16E60F29" w14:textId="5BF13D9B" w:rsidR="00035D12" w:rsidRPr="0085657D" w:rsidRDefault="00035D12" w:rsidP="00035D12">
            <w:pPr>
              <w:shd w:val="clear" w:color="auto" w:fill="FFFFFF" w:themeFill="background1"/>
              <w:jc w:val="center"/>
              <w:rPr>
                <w:rFonts w:ascii="Arial" w:hAnsi="Arial" w:cs="Arial"/>
              </w:rPr>
            </w:pPr>
          </w:p>
        </w:tc>
        <w:tc>
          <w:tcPr>
            <w:tcW w:w="674" w:type="pct"/>
            <w:tcBorders>
              <w:top w:val="double" w:sz="4" w:space="0" w:color="auto"/>
              <w:bottom w:val="double" w:sz="4" w:space="0" w:color="auto"/>
            </w:tcBorders>
            <w:shd w:val="clear" w:color="auto" w:fill="FFFFFF" w:themeFill="background1"/>
          </w:tcPr>
          <w:p w14:paraId="12E066A6" w14:textId="50D55CB1" w:rsidR="00035D12" w:rsidRPr="0085657D" w:rsidRDefault="00035D12" w:rsidP="00985C21">
            <w:pPr>
              <w:shd w:val="clear" w:color="auto" w:fill="FFFFFF" w:themeFill="background1"/>
              <w:rPr>
                <w:rFonts w:ascii="Arial" w:hAnsi="Arial" w:cs="Arial"/>
              </w:rPr>
            </w:pPr>
          </w:p>
        </w:tc>
        <w:tc>
          <w:tcPr>
            <w:tcW w:w="732" w:type="pct"/>
            <w:tcBorders>
              <w:top w:val="double" w:sz="4" w:space="0" w:color="auto"/>
              <w:bottom w:val="double" w:sz="4" w:space="0" w:color="auto"/>
              <w:right w:val="double" w:sz="4" w:space="0" w:color="auto"/>
            </w:tcBorders>
            <w:shd w:val="clear" w:color="auto" w:fill="FFFFFF" w:themeFill="background1"/>
          </w:tcPr>
          <w:p w14:paraId="45CE9E1C" w14:textId="2451D608" w:rsidR="00035D12" w:rsidRPr="0085657D" w:rsidRDefault="00035D12" w:rsidP="00035D12">
            <w:pPr>
              <w:shd w:val="clear" w:color="auto" w:fill="FFFFFF" w:themeFill="background1"/>
              <w:jc w:val="center"/>
              <w:rPr>
                <w:rFonts w:ascii="Arial" w:hAnsi="Arial" w:cs="Arial"/>
              </w:rPr>
            </w:pPr>
          </w:p>
        </w:tc>
      </w:tr>
    </w:tbl>
    <w:p w14:paraId="333FF644" w14:textId="77777777" w:rsidR="005414F1" w:rsidRPr="0085657D" w:rsidRDefault="005414F1" w:rsidP="005414F1">
      <w:pPr>
        <w:rPr>
          <w:rFonts w:ascii="Arial" w:hAnsi="Arial" w:cs="Arial"/>
        </w:rPr>
      </w:pPr>
    </w:p>
    <w:p w14:paraId="37D74A92" w14:textId="1847B325" w:rsidR="002A4A24" w:rsidRPr="00E9112A" w:rsidRDefault="0049710D" w:rsidP="00227D89">
      <w:pPr>
        <w:pStyle w:val="Heading3"/>
        <w:ind w:left="360"/>
        <w:rPr>
          <w:rFonts w:ascii="Arial" w:hAnsi="Arial" w:cs="Arial"/>
          <w:sz w:val="22"/>
          <w:szCs w:val="22"/>
        </w:rPr>
      </w:pPr>
      <w:bookmarkStart w:id="74" w:name="_Toc208489219"/>
      <w:r w:rsidRPr="00E9112A">
        <w:rPr>
          <w:rFonts w:ascii="Arial" w:hAnsi="Arial" w:cs="Arial"/>
          <w:sz w:val="22"/>
          <w:szCs w:val="22"/>
        </w:rPr>
        <w:t xml:space="preserve">Operativni cilj </w:t>
      </w:r>
      <w:r w:rsidR="00A50A7D" w:rsidRPr="00E9112A">
        <w:rPr>
          <w:rFonts w:ascii="Arial" w:hAnsi="Arial" w:cs="Arial"/>
          <w:sz w:val="22"/>
          <w:szCs w:val="22"/>
        </w:rPr>
        <w:t>4</w:t>
      </w:r>
      <w:r w:rsidR="00192FBD" w:rsidRPr="00E9112A">
        <w:rPr>
          <w:rFonts w:ascii="Arial" w:hAnsi="Arial" w:cs="Arial"/>
          <w:sz w:val="22"/>
          <w:szCs w:val="22"/>
        </w:rPr>
        <w:t>.</w:t>
      </w:r>
      <w:r w:rsidRPr="00E9112A">
        <w:rPr>
          <w:rFonts w:ascii="Arial" w:hAnsi="Arial" w:cs="Arial"/>
          <w:sz w:val="22"/>
          <w:szCs w:val="22"/>
        </w:rPr>
        <w:t>2:</w:t>
      </w:r>
      <w:r w:rsidR="00192FBD" w:rsidRPr="00E9112A">
        <w:rPr>
          <w:rFonts w:ascii="Arial" w:hAnsi="Arial" w:cs="Arial"/>
          <w:sz w:val="22"/>
          <w:szCs w:val="22"/>
        </w:rPr>
        <w:t xml:space="preserve"> </w:t>
      </w:r>
      <w:r w:rsidR="00AB557A" w:rsidRPr="00E9112A">
        <w:rPr>
          <w:rFonts w:ascii="Arial" w:hAnsi="Arial" w:cs="Arial"/>
          <w:sz w:val="22"/>
          <w:szCs w:val="22"/>
        </w:rPr>
        <w:t>Unapređenje mjera procesne disciplin</w:t>
      </w:r>
      <w:r w:rsidR="007600A4" w:rsidRPr="00E9112A">
        <w:rPr>
          <w:rFonts w:ascii="Arial" w:hAnsi="Arial" w:cs="Arial"/>
          <w:sz w:val="22"/>
          <w:szCs w:val="22"/>
        </w:rPr>
        <w:t>e</w:t>
      </w:r>
      <w:r w:rsidR="00AB557A" w:rsidRPr="00E9112A">
        <w:rPr>
          <w:rFonts w:ascii="Arial" w:hAnsi="Arial" w:cs="Arial"/>
          <w:sz w:val="22"/>
          <w:szCs w:val="22"/>
        </w:rPr>
        <w:t xml:space="preserve"> usmjerenih na smanjenje sekundarne viktimizacije žrtava</w:t>
      </w:r>
      <w:bookmarkEnd w:id="74"/>
      <w:r w:rsidR="00AB557A" w:rsidRPr="00E9112A" w:rsidDel="00AB557A">
        <w:rPr>
          <w:rFonts w:ascii="Arial" w:hAnsi="Arial" w:cs="Arial"/>
          <w:sz w:val="22"/>
          <w:szCs w:val="22"/>
        </w:rPr>
        <w:t xml:space="preserve"> </w:t>
      </w:r>
    </w:p>
    <w:p w14:paraId="5954A1E6" w14:textId="28DFE4E7" w:rsidR="002A4A24" w:rsidRPr="0085657D" w:rsidRDefault="002A4A24" w:rsidP="002A4A24">
      <w:pPr>
        <w:rPr>
          <w:rFonts w:ascii="Arial" w:hAnsi="Arial" w:cs="Arial"/>
        </w:rPr>
      </w:pPr>
    </w:p>
    <w:p w14:paraId="75B87A4D" w14:textId="0F4B8800" w:rsidR="000A7BD3" w:rsidRPr="0085657D" w:rsidRDefault="008E5E23" w:rsidP="008E5E23">
      <w:pPr>
        <w:spacing w:line="276" w:lineRule="auto"/>
        <w:rPr>
          <w:rFonts w:ascii="Arial" w:hAnsi="Arial" w:cs="Arial"/>
        </w:rPr>
      </w:pPr>
      <w:r w:rsidRPr="0085657D">
        <w:rPr>
          <w:rFonts w:ascii="Arial" w:hAnsi="Arial" w:cs="Arial"/>
        </w:rPr>
        <w:t xml:space="preserve">Nestručan, neadekvatan i/ili zlonamjeran pristup ispitivanju žrtve lako može rezultirati sekundarnoj viktimizaciji i dodatnoj traumatizaciji. Uloga sudije, odnosno predsjednika vijeća u tom smislu je od velikog značaja, budući da je u poziciji da spriječi postavljanje određenih pitanja, pritiske, prijetnje i/ili zastrašivanje žrtve tokom ispitivanja. </w:t>
      </w:r>
    </w:p>
    <w:p w14:paraId="3E628D35" w14:textId="2FDCE383" w:rsidR="005C019C" w:rsidRPr="0085657D" w:rsidRDefault="008E5E23" w:rsidP="008E5E23">
      <w:pPr>
        <w:spacing w:line="276" w:lineRule="auto"/>
        <w:rPr>
          <w:rFonts w:ascii="Arial" w:hAnsi="Arial" w:cs="Arial"/>
        </w:rPr>
      </w:pPr>
      <w:r w:rsidRPr="0085657D">
        <w:rPr>
          <w:rFonts w:ascii="Arial" w:hAnsi="Arial" w:cs="Arial"/>
        </w:rPr>
        <w:t xml:space="preserve">Pored mjera koje utiču na tok ispitivanja, sudija odnosno predsjednik </w:t>
      </w:r>
      <w:r w:rsidR="00D14E06" w:rsidRPr="0085657D">
        <w:rPr>
          <w:rFonts w:ascii="Arial" w:hAnsi="Arial" w:cs="Arial"/>
        </w:rPr>
        <w:t>treba da obezb</w:t>
      </w:r>
      <w:r w:rsidR="004408FA">
        <w:rPr>
          <w:rFonts w:ascii="Arial" w:hAnsi="Arial" w:cs="Arial"/>
        </w:rPr>
        <w:t>ij</w:t>
      </w:r>
      <w:r w:rsidR="00D14E06" w:rsidRPr="0085657D">
        <w:rPr>
          <w:rFonts w:ascii="Arial" w:hAnsi="Arial" w:cs="Arial"/>
        </w:rPr>
        <w:t xml:space="preserve">edi zaštitu privatnosti i dostojanstva žrtve kroz </w:t>
      </w:r>
      <w:r w:rsidR="007B2BC1" w:rsidRPr="0085657D">
        <w:rPr>
          <w:rFonts w:ascii="Arial" w:hAnsi="Arial" w:cs="Arial"/>
        </w:rPr>
        <w:t xml:space="preserve">doslijedno </w:t>
      </w:r>
      <w:r w:rsidR="00D14E06" w:rsidRPr="0085657D">
        <w:rPr>
          <w:rFonts w:ascii="Arial" w:hAnsi="Arial" w:cs="Arial"/>
        </w:rPr>
        <w:t xml:space="preserve">poštovanje </w:t>
      </w:r>
      <w:r w:rsidR="007B2BC1" w:rsidRPr="0085657D">
        <w:rPr>
          <w:rFonts w:ascii="Arial" w:hAnsi="Arial" w:cs="Arial"/>
        </w:rPr>
        <w:t xml:space="preserve">načela javnosti postupka, odnosno isključenja iste. Ovo posebno u kontekstu štetnog domino efekta koji se nerijetko postiže kada „curenje“ informacija iz postupka dalje rezultira njihovim objavljivanjem na medijskim portalima i društvenim mrežama, ostavljajući time teške i trajne posljedice </w:t>
      </w:r>
      <w:r w:rsidR="005C019C" w:rsidRPr="0085657D">
        <w:rPr>
          <w:rFonts w:ascii="Arial" w:hAnsi="Arial" w:cs="Arial"/>
        </w:rPr>
        <w:t>po žrtve, otežavajući im proces rehabilitacije.</w:t>
      </w:r>
    </w:p>
    <w:p w14:paraId="65D01194" w14:textId="77777777" w:rsidR="008E5E23" w:rsidRPr="0085657D" w:rsidRDefault="005C019C" w:rsidP="008E5E23">
      <w:pPr>
        <w:spacing w:line="276" w:lineRule="auto"/>
        <w:rPr>
          <w:rFonts w:ascii="Arial" w:hAnsi="Arial" w:cs="Arial"/>
        </w:rPr>
      </w:pPr>
      <w:r w:rsidRPr="0085657D">
        <w:rPr>
          <w:rFonts w:ascii="Arial" w:hAnsi="Arial" w:cs="Arial"/>
        </w:rPr>
        <w:t>Imajući sve navedeno u vidu, neophodno je u predstojećem periodu definisati metodologiju monitoringa primjene zaštitnih mjera</w:t>
      </w:r>
      <w:r w:rsidR="0098493F" w:rsidRPr="0085657D">
        <w:rPr>
          <w:rFonts w:ascii="Arial" w:hAnsi="Arial" w:cs="Arial"/>
        </w:rPr>
        <w:t>, uključujući primjenu disciplinskih mjera u slučaju ugrožavanja ili kršenja prava žrtava</w:t>
      </w:r>
      <w:r w:rsidR="0097190C" w:rsidRPr="0085657D">
        <w:rPr>
          <w:rFonts w:ascii="Arial" w:hAnsi="Arial" w:cs="Arial"/>
        </w:rPr>
        <w:t>; kontinuirano pratiti poštovanje tih prava i primjenu mjera pred sudovima u Crnoj Gori, ali i definisati i sprovoditi korektivne mjere.</w:t>
      </w:r>
    </w:p>
    <w:p w14:paraId="7A3F471C" w14:textId="5A9B7CCE" w:rsidR="002A4A24" w:rsidRPr="0085657D" w:rsidRDefault="002A4A24" w:rsidP="002A4A24">
      <w:pPr>
        <w:jc w:val="center"/>
        <w:rPr>
          <w:rFonts w:ascii="Arial" w:hAnsi="Arial" w:cs="Arial"/>
        </w:rPr>
      </w:pPr>
      <w:r w:rsidRPr="0085657D">
        <w:rPr>
          <w:rFonts w:ascii="Arial" w:hAnsi="Arial" w:cs="Arial"/>
          <w:i/>
          <w:iCs/>
        </w:rPr>
        <w:t xml:space="preserve">Tabela </w:t>
      </w:r>
      <w:r w:rsidR="00227D89">
        <w:rPr>
          <w:rFonts w:ascii="Arial" w:hAnsi="Arial" w:cs="Arial"/>
          <w:i/>
          <w:iCs/>
        </w:rPr>
        <w:t>1</w:t>
      </w:r>
      <w:r w:rsidR="00366AE8">
        <w:rPr>
          <w:rFonts w:ascii="Arial" w:hAnsi="Arial" w:cs="Arial"/>
          <w:i/>
          <w:iCs/>
        </w:rPr>
        <w:t>7</w:t>
      </w:r>
      <w:r w:rsidRPr="0085657D">
        <w:rPr>
          <w:rFonts w:ascii="Arial" w:hAnsi="Arial" w:cs="Arial"/>
          <w:i/>
          <w:iCs/>
        </w:rPr>
        <w:t xml:space="preserve">: Indikatori realizacije Operativnog cilja </w:t>
      </w:r>
      <w:r w:rsidR="00366AE8">
        <w:rPr>
          <w:rFonts w:ascii="Arial" w:hAnsi="Arial" w:cs="Arial"/>
          <w:i/>
          <w:iCs/>
        </w:rPr>
        <w:t>4</w:t>
      </w:r>
      <w:r w:rsidRPr="0085657D">
        <w:rPr>
          <w:rFonts w:ascii="Arial" w:hAnsi="Arial" w:cs="Arial"/>
          <w:i/>
          <w:iCs/>
        </w:rPr>
        <w:t>.</w:t>
      </w:r>
      <w:r w:rsidR="00C76B74" w:rsidRPr="0085657D">
        <w:rPr>
          <w:rFonts w:ascii="Arial" w:hAnsi="Arial" w:cs="Arial"/>
          <w:i/>
          <w:iCs/>
        </w:rPr>
        <w:t>2</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125"/>
        <w:gridCol w:w="3253"/>
        <w:gridCol w:w="1414"/>
        <w:gridCol w:w="1274"/>
        <w:gridCol w:w="1274"/>
      </w:tblGrid>
      <w:tr w:rsidR="002A4A24" w:rsidRPr="0085657D" w14:paraId="2FC9F9FF" w14:textId="77777777" w:rsidTr="001E77A4">
        <w:trPr>
          <w:trHeight w:val="575"/>
        </w:trPr>
        <w:tc>
          <w:tcPr>
            <w:tcW w:w="1137" w:type="pct"/>
            <w:tcBorders>
              <w:top w:val="double" w:sz="4" w:space="0" w:color="auto"/>
            </w:tcBorders>
            <w:shd w:val="clear" w:color="auto" w:fill="FAE2D5" w:themeFill="accent2" w:themeFillTint="33"/>
          </w:tcPr>
          <w:p w14:paraId="6897F009" w14:textId="77777777" w:rsidR="002A4A24" w:rsidRPr="0085657D" w:rsidRDefault="002A4A24" w:rsidP="00C921B0">
            <w:pPr>
              <w:rPr>
                <w:rFonts w:ascii="Arial" w:hAnsi="Arial" w:cs="Arial"/>
              </w:rPr>
            </w:pPr>
            <w:r w:rsidRPr="0085657D">
              <w:rPr>
                <w:rFonts w:ascii="Arial" w:hAnsi="Arial" w:cs="Arial"/>
              </w:rPr>
              <w:t xml:space="preserve">Operativni </w:t>
            </w:r>
          </w:p>
          <w:p w14:paraId="27E074A5" w14:textId="77777777" w:rsidR="002A4A24" w:rsidRPr="0085657D" w:rsidRDefault="002A4A24" w:rsidP="00C921B0">
            <w:pPr>
              <w:rPr>
                <w:rFonts w:ascii="Arial" w:hAnsi="Arial" w:cs="Arial"/>
              </w:rPr>
            </w:pPr>
            <w:r w:rsidRPr="0085657D">
              <w:rPr>
                <w:rFonts w:ascii="Arial" w:hAnsi="Arial" w:cs="Arial"/>
              </w:rPr>
              <w:t>cilj</w:t>
            </w:r>
          </w:p>
        </w:tc>
        <w:tc>
          <w:tcPr>
            <w:tcW w:w="1741" w:type="pct"/>
            <w:tcBorders>
              <w:top w:val="double" w:sz="4" w:space="0" w:color="auto"/>
            </w:tcBorders>
            <w:shd w:val="clear" w:color="auto" w:fill="FAE2D5" w:themeFill="accent2" w:themeFillTint="33"/>
          </w:tcPr>
          <w:p w14:paraId="68E79C94" w14:textId="77777777" w:rsidR="002A4A24" w:rsidRPr="0085657D" w:rsidRDefault="002A4A24" w:rsidP="00C921B0">
            <w:pPr>
              <w:rPr>
                <w:rFonts w:ascii="Arial" w:hAnsi="Arial" w:cs="Arial"/>
              </w:rPr>
            </w:pPr>
            <w:r w:rsidRPr="0085657D">
              <w:rPr>
                <w:rFonts w:ascii="Arial" w:hAnsi="Arial" w:cs="Arial"/>
              </w:rPr>
              <w:t>Indikator učinka</w:t>
            </w:r>
          </w:p>
        </w:tc>
        <w:tc>
          <w:tcPr>
            <w:tcW w:w="757" w:type="pct"/>
            <w:tcBorders>
              <w:top w:val="double" w:sz="4" w:space="0" w:color="auto"/>
            </w:tcBorders>
            <w:shd w:val="clear" w:color="auto" w:fill="FAE2D5" w:themeFill="accent2" w:themeFillTint="33"/>
          </w:tcPr>
          <w:p w14:paraId="186ED447" w14:textId="77777777" w:rsidR="002A4A24" w:rsidRPr="0085657D" w:rsidRDefault="002A4A24" w:rsidP="00C921B0">
            <w:pPr>
              <w:rPr>
                <w:rFonts w:ascii="Arial" w:hAnsi="Arial" w:cs="Arial"/>
              </w:rPr>
            </w:pPr>
            <w:r w:rsidRPr="0085657D">
              <w:rPr>
                <w:rFonts w:ascii="Arial" w:hAnsi="Arial" w:cs="Arial"/>
              </w:rPr>
              <w:t>Početna vrijednost</w:t>
            </w:r>
          </w:p>
          <w:p w14:paraId="6ED25A98" w14:textId="77777777" w:rsidR="002A4A24" w:rsidRPr="0085657D" w:rsidRDefault="002A4A24" w:rsidP="00C921B0">
            <w:pPr>
              <w:rPr>
                <w:rFonts w:ascii="Arial" w:hAnsi="Arial" w:cs="Arial"/>
              </w:rPr>
            </w:pPr>
            <w:r w:rsidRPr="0085657D">
              <w:rPr>
                <w:rFonts w:ascii="Arial" w:hAnsi="Arial" w:cs="Arial"/>
              </w:rPr>
              <w:t>2024.</w:t>
            </w:r>
          </w:p>
        </w:tc>
        <w:tc>
          <w:tcPr>
            <w:tcW w:w="682" w:type="pct"/>
            <w:tcBorders>
              <w:top w:val="double" w:sz="4" w:space="0" w:color="auto"/>
            </w:tcBorders>
            <w:shd w:val="clear" w:color="auto" w:fill="FAE2D5" w:themeFill="accent2" w:themeFillTint="33"/>
          </w:tcPr>
          <w:p w14:paraId="16EA58E8" w14:textId="1A0FC820" w:rsidR="002A4A24" w:rsidRPr="0085657D" w:rsidRDefault="002A4A24"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82" w:type="pct"/>
            <w:tcBorders>
              <w:top w:val="double" w:sz="4" w:space="0" w:color="auto"/>
              <w:right w:val="double" w:sz="4" w:space="0" w:color="auto"/>
            </w:tcBorders>
            <w:shd w:val="clear" w:color="auto" w:fill="FAE2D5" w:themeFill="accent2" w:themeFillTint="33"/>
          </w:tcPr>
          <w:p w14:paraId="37616E1C" w14:textId="6A7D2C91" w:rsidR="002A4A24" w:rsidRPr="0085657D" w:rsidRDefault="002A4A24"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2A4A24" w:rsidRPr="0085657D" w14:paraId="4D14751E" w14:textId="77777777" w:rsidTr="001E77A4">
        <w:trPr>
          <w:trHeight w:val="866"/>
        </w:trPr>
        <w:tc>
          <w:tcPr>
            <w:tcW w:w="1137" w:type="pct"/>
            <w:tcBorders>
              <w:top w:val="double" w:sz="4" w:space="0" w:color="auto"/>
            </w:tcBorders>
            <w:shd w:val="clear" w:color="auto" w:fill="D9F2D0" w:themeFill="accent6" w:themeFillTint="33"/>
          </w:tcPr>
          <w:p w14:paraId="72886C99" w14:textId="5F23B8AD" w:rsidR="002A4A24" w:rsidRPr="0085657D" w:rsidRDefault="00366AE8" w:rsidP="00C921B0">
            <w:pPr>
              <w:rPr>
                <w:rFonts w:ascii="Arial" w:hAnsi="Arial" w:cs="Arial"/>
              </w:rPr>
            </w:pPr>
            <w:r>
              <w:rPr>
                <w:rFonts w:ascii="Arial" w:hAnsi="Arial" w:cs="Arial"/>
              </w:rPr>
              <w:t>4</w:t>
            </w:r>
            <w:r w:rsidR="002A4A24" w:rsidRPr="0085657D">
              <w:rPr>
                <w:rFonts w:ascii="Arial" w:hAnsi="Arial" w:cs="Arial"/>
              </w:rPr>
              <w:t>.</w:t>
            </w:r>
            <w:r w:rsidR="00C76B74" w:rsidRPr="0085657D">
              <w:rPr>
                <w:rFonts w:ascii="Arial" w:hAnsi="Arial" w:cs="Arial"/>
              </w:rPr>
              <w:t>2</w:t>
            </w:r>
            <w:r w:rsidR="002A4A24" w:rsidRPr="0085657D">
              <w:rPr>
                <w:rFonts w:ascii="Arial" w:hAnsi="Arial" w:cs="Arial"/>
              </w:rPr>
              <w:t>.</w:t>
            </w:r>
          </w:p>
          <w:p w14:paraId="76BB15ED" w14:textId="4D475AD9" w:rsidR="002A4A24" w:rsidRPr="0085657D" w:rsidRDefault="00933B5F" w:rsidP="00C921B0">
            <w:pPr>
              <w:rPr>
                <w:rFonts w:ascii="Arial" w:hAnsi="Arial" w:cs="Arial"/>
              </w:rPr>
            </w:pPr>
            <w:r w:rsidRPr="0085657D">
              <w:rPr>
                <w:rFonts w:ascii="Arial" w:hAnsi="Arial" w:cs="Arial"/>
              </w:rPr>
              <w:t>Unapređenje</w:t>
            </w:r>
            <w:r w:rsidR="00C76B74" w:rsidRPr="0085657D">
              <w:rPr>
                <w:rFonts w:ascii="Arial" w:hAnsi="Arial" w:cs="Arial"/>
              </w:rPr>
              <w:t xml:space="preserve"> mjera </w:t>
            </w:r>
            <w:r w:rsidR="00C76B74" w:rsidRPr="00985C21">
              <w:rPr>
                <w:rFonts w:ascii="Arial" w:hAnsi="Arial" w:cs="Arial"/>
              </w:rPr>
              <w:t>procesne disciplin</w:t>
            </w:r>
            <w:r w:rsidR="001C2236">
              <w:rPr>
                <w:rFonts w:ascii="Arial" w:hAnsi="Arial" w:cs="Arial"/>
              </w:rPr>
              <w:t>e</w:t>
            </w:r>
            <w:r w:rsidR="00C76B74" w:rsidRPr="0085657D">
              <w:rPr>
                <w:rFonts w:ascii="Arial" w:hAnsi="Arial" w:cs="Arial"/>
              </w:rPr>
              <w:t xml:space="preserve"> usmjerenih na </w:t>
            </w:r>
            <w:r w:rsidR="00C76B74" w:rsidRPr="0085657D">
              <w:rPr>
                <w:rFonts w:ascii="Arial" w:hAnsi="Arial" w:cs="Arial"/>
              </w:rPr>
              <w:lastRenderedPageBreak/>
              <w:t>smanjenje sekundarne viktimizacije žrtava</w:t>
            </w:r>
          </w:p>
        </w:tc>
        <w:tc>
          <w:tcPr>
            <w:tcW w:w="1741" w:type="pct"/>
            <w:tcBorders>
              <w:top w:val="double" w:sz="4" w:space="0" w:color="auto"/>
            </w:tcBorders>
            <w:shd w:val="clear" w:color="auto" w:fill="FFFFFF" w:themeFill="background1"/>
          </w:tcPr>
          <w:p w14:paraId="0245181E" w14:textId="18C2E352" w:rsidR="002A4A24" w:rsidRPr="0085657D" w:rsidRDefault="00D55BA4" w:rsidP="00C921B0">
            <w:pPr>
              <w:shd w:val="clear" w:color="auto" w:fill="FFFFFF" w:themeFill="background1"/>
              <w:spacing w:after="240"/>
              <w:rPr>
                <w:rFonts w:ascii="Arial" w:hAnsi="Arial" w:cs="Arial"/>
              </w:rPr>
            </w:pPr>
            <w:r w:rsidRPr="0085657D">
              <w:rPr>
                <w:rFonts w:ascii="Arial" w:hAnsi="Arial" w:cs="Arial"/>
              </w:rPr>
              <w:lastRenderedPageBreak/>
              <w:t xml:space="preserve">Primjena mjera </w:t>
            </w:r>
            <w:r w:rsidRPr="00985C21">
              <w:rPr>
                <w:rFonts w:ascii="Arial" w:hAnsi="Arial" w:cs="Arial"/>
              </w:rPr>
              <w:t>procesne discipline</w:t>
            </w:r>
            <w:r w:rsidRPr="0085657D">
              <w:rPr>
                <w:rFonts w:ascii="Arial" w:hAnsi="Arial" w:cs="Arial"/>
              </w:rPr>
              <w:t xml:space="preserve"> sa ciljem </w:t>
            </w:r>
            <w:r w:rsidR="00516541" w:rsidRPr="0085657D">
              <w:rPr>
                <w:rFonts w:ascii="Arial" w:hAnsi="Arial" w:cs="Arial"/>
              </w:rPr>
              <w:t>sprečavanja</w:t>
            </w:r>
            <w:r w:rsidRPr="0085657D">
              <w:rPr>
                <w:rFonts w:ascii="Arial" w:hAnsi="Arial" w:cs="Arial"/>
              </w:rPr>
              <w:t xml:space="preserve"> sekundarne viktimizacije je predmet kontinuiranog </w:t>
            </w:r>
            <w:r w:rsidRPr="0085657D">
              <w:rPr>
                <w:rFonts w:ascii="Arial" w:hAnsi="Arial" w:cs="Arial"/>
              </w:rPr>
              <w:lastRenderedPageBreak/>
              <w:t>monitoringa u skladu sa standardizovanom metodologijom</w:t>
            </w:r>
            <w:r w:rsidR="00D71101" w:rsidRPr="0085657D">
              <w:rPr>
                <w:rFonts w:ascii="Arial" w:hAnsi="Arial" w:cs="Arial"/>
              </w:rPr>
              <w:t xml:space="preserve"> koja podrazumijeva uočavanje problema i definisanje korektivnih mjera.</w:t>
            </w:r>
          </w:p>
        </w:tc>
        <w:tc>
          <w:tcPr>
            <w:tcW w:w="757" w:type="pct"/>
            <w:tcBorders>
              <w:top w:val="double" w:sz="4" w:space="0" w:color="auto"/>
            </w:tcBorders>
            <w:shd w:val="clear" w:color="auto" w:fill="FFFFFF" w:themeFill="background1"/>
          </w:tcPr>
          <w:p w14:paraId="2FBAE37B" w14:textId="77777777" w:rsidR="002A4A24" w:rsidRPr="0085657D" w:rsidRDefault="00D55BA4" w:rsidP="00C921B0">
            <w:pPr>
              <w:shd w:val="clear" w:color="auto" w:fill="FFFFFF" w:themeFill="background1"/>
              <w:jc w:val="center"/>
              <w:rPr>
                <w:rFonts w:ascii="Arial" w:hAnsi="Arial" w:cs="Arial"/>
              </w:rPr>
            </w:pPr>
            <w:r w:rsidRPr="0085657D">
              <w:rPr>
                <w:rFonts w:ascii="Arial" w:hAnsi="Arial" w:cs="Arial"/>
              </w:rPr>
              <w:lastRenderedPageBreak/>
              <w:t>NE</w:t>
            </w:r>
          </w:p>
        </w:tc>
        <w:tc>
          <w:tcPr>
            <w:tcW w:w="682" w:type="pct"/>
            <w:tcBorders>
              <w:top w:val="double" w:sz="4" w:space="0" w:color="auto"/>
            </w:tcBorders>
            <w:shd w:val="clear" w:color="auto" w:fill="FFFFFF" w:themeFill="background1"/>
          </w:tcPr>
          <w:p w14:paraId="2FB5C273" w14:textId="77777777" w:rsidR="002A4A24" w:rsidRPr="0085657D" w:rsidRDefault="00D55BA4" w:rsidP="00C921B0">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right w:val="double" w:sz="4" w:space="0" w:color="auto"/>
            </w:tcBorders>
            <w:shd w:val="clear" w:color="auto" w:fill="FFFFFF" w:themeFill="background1"/>
          </w:tcPr>
          <w:p w14:paraId="6AF17B4F" w14:textId="77777777" w:rsidR="002A4A24" w:rsidRPr="0085657D" w:rsidRDefault="00D55BA4" w:rsidP="00C921B0">
            <w:pPr>
              <w:shd w:val="clear" w:color="auto" w:fill="FFFFFF" w:themeFill="background1"/>
              <w:jc w:val="center"/>
              <w:rPr>
                <w:rFonts w:ascii="Arial" w:hAnsi="Arial" w:cs="Arial"/>
              </w:rPr>
            </w:pPr>
            <w:r w:rsidRPr="0085657D">
              <w:rPr>
                <w:rFonts w:ascii="Arial" w:hAnsi="Arial" w:cs="Arial"/>
              </w:rPr>
              <w:t>DA</w:t>
            </w:r>
          </w:p>
        </w:tc>
      </w:tr>
    </w:tbl>
    <w:p w14:paraId="24DDDDA3" w14:textId="77777777" w:rsidR="002A4A24" w:rsidRPr="0085657D" w:rsidRDefault="002A4A24" w:rsidP="00D55BA4">
      <w:pPr>
        <w:rPr>
          <w:rFonts w:ascii="Arial" w:hAnsi="Arial" w:cs="Arial"/>
        </w:rPr>
      </w:pPr>
    </w:p>
    <w:p w14:paraId="7C896580" w14:textId="7870A44E" w:rsidR="001E77A4" w:rsidRPr="001E77A4" w:rsidRDefault="0049710D" w:rsidP="001E77A4">
      <w:pPr>
        <w:pStyle w:val="Heading3"/>
        <w:spacing w:after="240"/>
        <w:ind w:left="360"/>
        <w:rPr>
          <w:rFonts w:ascii="Arial" w:hAnsi="Arial" w:cs="Arial"/>
          <w:sz w:val="22"/>
          <w:szCs w:val="22"/>
          <w14:ligatures w14:val="standardContextual"/>
        </w:rPr>
      </w:pPr>
      <w:bookmarkStart w:id="75" w:name="_Toc208489220"/>
      <w:r w:rsidRPr="0085657D">
        <w:rPr>
          <w:rFonts w:ascii="Arial" w:hAnsi="Arial" w:cs="Arial"/>
          <w:sz w:val="22"/>
          <w:szCs w:val="22"/>
        </w:rPr>
        <w:t xml:space="preserve">Operativni cilj </w:t>
      </w:r>
      <w:r w:rsidR="00366AE8">
        <w:rPr>
          <w:rFonts w:ascii="Arial" w:hAnsi="Arial" w:cs="Arial"/>
          <w:sz w:val="22"/>
          <w:szCs w:val="22"/>
        </w:rPr>
        <w:t>4</w:t>
      </w:r>
      <w:r w:rsidR="002A4A24" w:rsidRPr="0085657D">
        <w:rPr>
          <w:rFonts w:ascii="Arial" w:hAnsi="Arial" w:cs="Arial"/>
          <w:sz w:val="22"/>
          <w:szCs w:val="22"/>
        </w:rPr>
        <w:t>.3</w:t>
      </w:r>
      <w:r w:rsidRPr="0085657D">
        <w:rPr>
          <w:rFonts w:ascii="Arial" w:hAnsi="Arial" w:cs="Arial"/>
          <w:sz w:val="22"/>
          <w:szCs w:val="22"/>
        </w:rPr>
        <w:t>:</w:t>
      </w:r>
      <w:r w:rsidR="002A4A24" w:rsidRPr="0085657D">
        <w:rPr>
          <w:rFonts w:ascii="Arial" w:hAnsi="Arial" w:cs="Arial"/>
          <w:sz w:val="22"/>
          <w:szCs w:val="22"/>
        </w:rPr>
        <w:t xml:space="preserve"> </w:t>
      </w:r>
      <w:r w:rsidR="00933B5F" w:rsidRPr="0085657D">
        <w:rPr>
          <w:rFonts w:ascii="Arial" w:hAnsi="Arial" w:cs="Arial"/>
          <w:sz w:val="22"/>
          <w:szCs w:val="22"/>
        </w:rPr>
        <w:t>Unapređenje</w:t>
      </w:r>
      <w:r w:rsidR="005414F1" w:rsidRPr="0085657D">
        <w:rPr>
          <w:rFonts w:ascii="Arial" w:hAnsi="Arial" w:cs="Arial"/>
          <w:sz w:val="22"/>
          <w:szCs w:val="22"/>
          <w14:ligatures w14:val="standardContextual"/>
        </w:rPr>
        <w:t xml:space="preserve"> </w:t>
      </w:r>
      <w:r w:rsidR="00192FBD" w:rsidRPr="0085657D">
        <w:rPr>
          <w:rFonts w:ascii="Arial" w:hAnsi="Arial" w:cs="Arial"/>
          <w:sz w:val="22"/>
          <w:szCs w:val="22"/>
          <w14:ligatures w14:val="standardContextual"/>
        </w:rPr>
        <w:t>pravosudne infrastrukture kao mehan</w:t>
      </w:r>
      <w:r w:rsidR="00127B59" w:rsidRPr="0085657D">
        <w:rPr>
          <w:rFonts w:ascii="Arial" w:hAnsi="Arial" w:cs="Arial"/>
          <w:sz w:val="22"/>
          <w:szCs w:val="22"/>
          <w14:ligatures w14:val="standardContextual"/>
        </w:rPr>
        <w:t>i</w:t>
      </w:r>
      <w:r w:rsidR="00192FBD" w:rsidRPr="0085657D">
        <w:rPr>
          <w:rFonts w:ascii="Arial" w:hAnsi="Arial" w:cs="Arial"/>
          <w:sz w:val="22"/>
          <w:szCs w:val="22"/>
          <w14:ligatures w14:val="standardContextual"/>
        </w:rPr>
        <w:t>zam zaštite žrtava</w:t>
      </w:r>
      <w:bookmarkEnd w:id="75"/>
    </w:p>
    <w:p w14:paraId="1D158D96" w14:textId="704D1CC1" w:rsidR="00192FBD" w:rsidRPr="0085657D" w:rsidRDefault="00192FBD" w:rsidP="00192FBD">
      <w:pPr>
        <w:rPr>
          <w:rFonts w:ascii="Arial" w:hAnsi="Arial" w:cs="Arial"/>
        </w:rPr>
      </w:pPr>
      <w:r w:rsidRPr="0085657D">
        <w:rPr>
          <w:rFonts w:ascii="Arial" w:hAnsi="Arial" w:cs="Arial"/>
        </w:rPr>
        <w:t>Proces usaglašavanja sa relevantnim standardima u oblasti prava žrtava, a prvenstveno sa Direktivom 2012</w:t>
      </w:r>
      <w:r w:rsidR="00E95A1F" w:rsidRPr="0085657D">
        <w:rPr>
          <w:rFonts w:ascii="Arial" w:hAnsi="Arial" w:cs="Arial"/>
        </w:rPr>
        <w:t>/</w:t>
      </w:r>
      <w:r w:rsidRPr="0085657D">
        <w:rPr>
          <w:rFonts w:ascii="Arial" w:hAnsi="Arial" w:cs="Arial"/>
        </w:rPr>
        <w:t>029</w:t>
      </w:r>
      <w:r w:rsidR="00E95A1F" w:rsidRPr="0085657D">
        <w:rPr>
          <w:rFonts w:ascii="Arial" w:hAnsi="Arial" w:cs="Arial"/>
        </w:rPr>
        <w:t>/</w:t>
      </w:r>
      <w:r w:rsidRPr="0085657D">
        <w:rPr>
          <w:rFonts w:ascii="Arial" w:hAnsi="Arial" w:cs="Arial"/>
        </w:rPr>
        <w:t xml:space="preserve">EU zahtijeva opsežne intervencije u pogledu unapređenja infrastrukturnih preduslova efektivnog pristupa pravdi za žrtve krivičnih djela. </w:t>
      </w:r>
    </w:p>
    <w:p w14:paraId="5EE56EE9" w14:textId="77777777" w:rsidR="00192FBD" w:rsidRPr="0085657D" w:rsidRDefault="00192FBD" w:rsidP="00192FBD">
      <w:pPr>
        <w:rPr>
          <w:rFonts w:ascii="Arial" w:hAnsi="Arial" w:cs="Arial"/>
        </w:rPr>
      </w:pPr>
      <w:r w:rsidRPr="0085657D">
        <w:rPr>
          <w:rFonts w:ascii="Arial" w:hAnsi="Arial" w:cs="Arial"/>
        </w:rPr>
        <w:t xml:space="preserve">U tom smislu, neophodno je uvesti standardizaciju pristupa, kako rekonstrukciji postojećih, tako i izgradnji novih objekata pravosudne infrastrukture, čime bi se omogućilo da svaki od objekata, nakon završetka rekonstrukcije, odnosno izgradnje, ispunjava minimalne standarde neophodne za zaštitu žrtava tokom krivičnog postupka. </w:t>
      </w:r>
    </w:p>
    <w:p w14:paraId="22DCBC0F" w14:textId="4138DC8D" w:rsidR="00192FBD" w:rsidRDefault="00192FBD" w:rsidP="00192FBD">
      <w:pPr>
        <w:rPr>
          <w:rFonts w:ascii="Arial" w:hAnsi="Arial" w:cs="Arial"/>
        </w:rPr>
      </w:pPr>
      <w:r w:rsidRPr="0085657D">
        <w:rPr>
          <w:rFonts w:ascii="Arial" w:hAnsi="Arial" w:cs="Arial"/>
        </w:rPr>
        <w:t xml:space="preserve">Ovdje prvenstveno mislimo na odvojene ulaze za žrtve i okrivljene, odnosno tzv. bezbjedne koridore za pristup žrtava sudnici, odnosno prostoriji za </w:t>
      </w:r>
      <w:r w:rsidR="00D71101" w:rsidRPr="0085657D">
        <w:rPr>
          <w:rFonts w:ascii="Arial" w:hAnsi="Arial" w:cs="Arial"/>
        </w:rPr>
        <w:t>ispitivanje</w:t>
      </w:r>
      <w:r w:rsidRPr="0085657D">
        <w:rPr>
          <w:rFonts w:ascii="Arial" w:hAnsi="Arial" w:cs="Arial"/>
        </w:rPr>
        <w:t xml:space="preserve"> bez kontakta sa okrivljenim,</w:t>
      </w:r>
      <w:r w:rsidR="00D71101" w:rsidRPr="0085657D">
        <w:rPr>
          <w:rFonts w:ascii="Arial" w:hAnsi="Arial" w:cs="Arial"/>
        </w:rPr>
        <w:t xml:space="preserve"> odnosno prostorija u kojima bi žrtva mogla sačekati ispitivanje, ali i</w:t>
      </w:r>
      <w:r w:rsidRPr="0085657D">
        <w:rPr>
          <w:rFonts w:ascii="Arial" w:hAnsi="Arial" w:cs="Arial"/>
        </w:rPr>
        <w:t xml:space="preserve"> prostorija za smještaj službi za podršku i/ili informisanje žrtava.</w:t>
      </w:r>
    </w:p>
    <w:p w14:paraId="025A80DE" w14:textId="77777777" w:rsidR="000A7BD3" w:rsidRPr="0085657D" w:rsidRDefault="000A7BD3" w:rsidP="00192FBD">
      <w:pPr>
        <w:rPr>
          <w:rFonts w:ascii="Arial" w:hAnsi="Arial" w:cs="Arial"/>
        </w:rPr>
      </w:pPr>
    </w:p>
    <w:p w14:paraId="09275602" w14:textId="2EC8341E" w:rsidR="005414F1" w:rsidRPr="0085657D" w:rsidRDefault="005414F1" w:rsidP="005414F1">
      <w:pPr>
        <w:jc w:val="center"/>
        <w:rPr>
          <w:rFonts w:ascii="Arial" w:hAnsi="Arial" w:cs="Arial"/>
        </w:rPr>
      </w:pPr>
      <w:r w:rsidRPr="0085657D">
        <w:rPr>
          <w:rFonts w:ascii="Arial" w:hAnsi="Arial" w:cs="Arial"/>
          <w:i/>
          <w:iCs/>
        </w:rPr>
        <w:t xml:space="preserve">Tabela </w:t>
      </w:r>
      <w:r w:rsidR="00366AE8">
        <w:rPr>
          <w:rFonts w:ascii="Arial" w:hAnsi="Arial" w:cs="Arial"/>
          <w:i/>
          <w:iCs/>
        </w:rPr>
        <w:t>19</w:t>
      </w:r>
      <w:r w:rsidRPr="0085657D">
        <w:rPr>
          <w:rFonts w:ascii="Arial" w:hAnsi="Arial" w:cs="Arial"/>
          <w:i/>
          <w:iCs/>
        </w:rPr>
        <w:t xml:space="preserve">: Indikatori realizacije Operativnog cilja </w:t>
      </w:r>
      <w:r w:rsidR="001426F1">
        <w:rPr>
          <w:rFonts w:ascii="Arial" w:hAnsi="Arial" w:cs="Arial"/>
          <w:i/>
          <w:iCs/>
        </w:rPr>
        <w:t>4</w:t>
      </w:r>
      <w:r w:rsidRPr="0085657D">
        <w:rPr>
          <w:rFonts w:ascii="Arial" w:hAnsi="Arial" w:cs="Arial"/>
          <w:i/>
          <w:iCs/>
        </w:rPr>
        <w:t>.</w:t>
      </w:r>
      <w:r w:rsidR="00601BFC" w:rsidRPr="0085657D">
        <w:rPr>
          <w:rFonts w:ascii="Arial" w:hAnsi="Arial" w:cs="Arial"/>
          <w:i/>
          <w:iCs/>
        </w:rPr>
        <w:t>3</w:t>
      </w:r>
      <w:r w:rsidRPr="0085657D">
        <w:rPr>
          <w:rFonts w:ascii="Arial" w:hAnsi="Arial" w:cs="Arial"/>
          <w:i/>
          <w:iCs/>
        </w:rPr>
        <w:t>.</w:t>
      </w:r>
    </w:p>
    <w:tbl>
      <w:tblPr>
        <w:tblStyle w:val="TableGrid"/>
        <w:tblW w:w="5059" w:type="pct"/>
        <w:tblInd w:w="-5" w:type="dxa"/>
        <w:tblLayout w:type="fixed"/>
        <w:tblLook w:val="04A0" w:firstRow="1" w:lastRow="0" w:firstColumn="1" w:lastColumn="0" w:noHBand="0" w:noVBand="1"/>
      </w:tblPr>
      <w:tblGrid>
        <w:gridCol w:w="2548"/>
        <w:gridCol w:w="2971"/>
        <w:gridCol w:w="1274"/>
        <w:gridCol w:w="1274"/>
        <w:gridCol w:w="1383"/>
      </w:tblGrid>
      <w:tr w:rsidR="005414F1" w:rsidRPr="0085657D" w14:paraId="2FFAC935" w14:textId="77777777" w:rsidTr="005839B9">
        <w:trPr>
          <w:trHeight w:val="254"/>
        </w:trPr>
        <w:tc>
          <w:tcPr>
            <w:tcW w:w="1348" w:type="pct"/>
            <w:tcBorders>
              <w:top w:val="double" w:sz="4" w:space="0" w:color="auto"/>
            </w:tcBorders>
            <w:shd w:val="clear" w:color="auto" w:fill="FAE2D5" w:themeFill="accent2" w:themeFillTint="33"/>
          </w:tcPr>
          <w:p w14:paraId="451B33F0" w14:textId="77777777" w:rsidR="005414F1" w:rsidRPr="0085657D" w:rsidRDefault="005414F1" w:rsidP="00C921B0">
            <w:pPr>
              <w:rPr>
                <w:rFonts w:ascii="Arial" w:hAnsi="Arial" w:cs="Arial"/>
              </w:rPr>
            </w:pPr>
            <w:r w:rsidRPr="0085657D">
              <w:rPr>
                <w:rFonts w:ascii="Arial" w:hAnsi="Arial" w:cs="Arial"/>
              </w:rPr>
              <w:t xml:space="preserve">Operativni </w:t>
            </w:r>
          </w:p>
          <w:p w14:paraId="3FA45448" w14:textId="77777777" w:rsidR="005414F1" w:rsidRPr="0085657D" w:rsidRDefault="005414F1" w:rsidP="00C921B0">
            <w:pPr>
              <w:rPr>
                <w:rFonts w:ascii="Arial" w:hAnsi="Arial" w:cs="Arial"/>
              </w:rPr>
            </w:pPr>
            <w:r w:rsidRPr="0085657D">
              <w:rPr>
                <w:rFonts w:ascii="Arial" w:hAnsi="Arial" w:cs="Arial"/>
              </w:rPr>
              <w:t>cilj</w:t>
            </w:r>
          </w:p>
        </w:tc>
        <w:tc>
          <w:tcPr>
            <w:tcW w:w="1572" w:type="pct"/>
            <w:tcBorders>
              <w:top w:val="double" w:sz="4" w:space="0" w:color="auto"/>
              <w:bottom w:val="double" w:sz="4" w:space="0" w:color="auto"/>
            </w:tcBorders>
            <w:shd w:val="clear" w:color="auto" w:fill="FAE2D5" w:themeFill="accent2" w:themeFillTint="33"/>
          </w:tcPr>
          <w:p w14:paraId="1E421CAF" w14:textId="77777777" w:rsidR="005414F1" w:rsidRPr="0085657D" w:rsidRDefault="005414F1" w:rsidP="00C921B0">
            <w:pPr>
              <w:rPr>
                <w:rFonts w:ascii="Arial" w:hAnsi="Arial" w:cs="Arial"/>
              </w:rPr>
            </w:pPr>
            <w:r w:rsidRPr="0085657D">
              <w:rPr>
                <w:rFonts w:ascii="Arial" w:hAnsi="Arial" w:cs="Arial"/>
              </w:rPr>
              <w:t>Indikator učinka</w:t>
            </w:r>
          </w:p>
        </w:tc>
        <w:tc>
          <w:tcPr>
            <w:tcW w:w="674" w:type="pct"/>
            <w:tcBorders>
              <w:top w:val="double" w:sz="4" w:space="0" w:color="auto"/>
              <w:bottom w:val="double" w:sz="4" w:space="0" w:color="auto"/>
            </w:tcBorders>
            <w:shd w:val="clear" w:color="auto" w:fill="FAE2D5" w:themeFill="accent2" w:themeFillTint="33"/>
          </w:tcPr>
          <w:p w14:paraId="695326D6" w14:textId="77777777" w:rsidR="005414F1" w:rsidRPr="0085657D" w:rsidRDefault="005414F1" w:rsidP="00C921B0">
            <w:pPr>
              <w:rPr>
                <w:rFonts w:ascii="Arial" w:hAnsi="Arial" w:cs="Arial"/>
              </w:rPr>
            </w:pPr>
            <w:r w:rsidRPr="0085657D">
              <w:rPr>
                <w:rFonts w:ascii="Arial" w:hAnsi="Arial" w:cs="Arial"/>
              </w:rPr>
              <w:t>Početna vrijednost</w:t>
            </w:r>
          </w:p>
          <w:p w14:paraId="3605C199" w14:textId="77777777" w:rsidR="005414F1" w:rsidRPr="0085657D" w:rsidRDefault="005414F1" w:rsidP="00C921B0">
            <w:pPr>
              <w:rPr>
                <w:rFonts w:ascii="Arial" w:hAnsi="Arial" w:cs="Arial"/>
              </w:rPr>
            </w:pPr>
            <w:r w:rsidRPr="0085657D">
              <w:rPr>
                <w:rFonts w:ascii="Arial" w:hAnsi="Arial" w:cs="Arial"/>
              </w:rPr>
              <w:t>202</w:t>
            </w:r>
            <w:r w:rsidR="00192FBD" w:rsidRPr="0085657D">
              <w:rPr>
                <w:rFonts w:ascii="Arial" w:hAnsi="Arial" w:cs="Arial"/>
              </w:rPr>
              <w:t>4</w:t>
            </w:r>
            <w:r w:rsidRPr="0085657D">
              <w:rPr>
                <w:rFonts w:ascii="Arial" w:hAnsi="Arial" w:cs="Arial"/>
              </w:rPr>
              <w:t>.</w:t>
            </w:r>
          </w:p>
        </w:tc>
        <w:tc>
          <w:tcPr>
            <w:tcW w:w="674" w:type="pct"/>
            <w:tcBorders>
              <w:top w:val="double" w:sz="4" w:space="0" w:color="auto"/>
              <w:bottom w:val="double" w:sz="4" w:space="0" w:color="auto"/>
            </w:tcBorders>
            <w:shd w:val="clear" w:color="auto" w:fill="FAE2D5" w:themeFill="accent2" w:themeFillTint="33"/>
          </w:tcPr>
          <w:p w14:paraId="15E0ECF7" w14:textId="77777777" w:rsidR="005414F1" w:rsidRPr="0085657D" w:rsidRDefault="005414F1" w:rsidP="00C921B0">
            <w:pPr>
              <w:rPr>
                <w:rFonts w:ascii="Arial" w:hAnsi="Arial" w:cs="Arial"/>
              </w:rPr>
            </w:pPr>
            <w:r w:rsidRPr="0085657D">
              <w:rPr>
                <w:rFonts w:ascii="Arial" w:hAnsi="Arial" w:cs="Arial"/>
              </w:rPr>
              <w:t>Prelazna vrijednost 202</w:t>
            </w:r>
            <w:r w:rsidR="00192FBD" w:rsidRPr="0085657D">
              <w:rPr>
                <w:rFonts w:ascii="Arial" w:hAnsi="Arial" w:cs="Arial"/>
              </w:rPr>
              <w:t>6</w:t>
            </w:r>
            <w:r w:rsidRPr="0085657D">
              <w:rPr>
                <w:rFonts w:ascii="Arial" w:hAnsi="Arial" w:cs="Arial"/>
              </w:rPr>
              <w:t>.</w:t>
            </w:r>
          </w:p>
        </w:tc>
        <w:tc>
          <w:tcPr>
            <w:tcW w:w="732" w:type="pct"/>
            <w:tcBorders>
              <w:top w:val="double" w:sz="4" w:space="0" w:color="auto"/>
              <w:bottom w:val="double" w:sz="4" w:space="0" w:color="auto"/>
              <w:right w:val="double" w:sz="4" w:space="0" w:color="auto"/>
            </w:tcBorders>
            <w:shd w:val="clear" w:color="auto" w:fill="FAE2D5" w:themeFill="accent2" w:themeFillTint="33"/>
          </w:tcPr>
          <w:p w14:paraId="70EF8629" w14:textId="51842EF3"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035D12" w:rsidRPr="0085657D" w14:paraId="62C0DA42" w14:textId="77777777" w:rsidTr="005839B9">
        <w:trPr>
          <w:trHeight w:val="254"/>
        </w:trPr>
        <w:tc>
          <w:tcPr>
            <w:tcW w:w="1348" w:type="pct"/>
            <w:tcBorders>
              <w:top w:val="double" w:sz="4" w:space="0" w:color="auto"/>
            </w:tcBorders>
            <w:shd w:val="clear" w:color="auto" w:fill="D9F2D0" w:themeFill="accent6" w:themeFillTint="33"/>
          </w:tcPr>
          <w:p w14:paraId="4305C8E6" w14:textId="570A0820" w:rsidR="00035D12" w:rsidRPr="0085657D" w:rsidRDefault="001426F1" w:rsidP="00035D12">
            <w:pPr>
              <w:rPr>
                <w:rFonts w:ascii="Arial" w:hAnsi="Arial" w:cs="Arial"/>
              </w:rPr>
            </w:pPr>
            <w:r>
              <w:rPr>
                <w:rFonts w:ascii="Arial" w:hAnsi="Arial" w:cs="Arial"/>
              </w:rPr>
              <w:t>4</w:t>
            </w:r>
            <w:r w:rsidR="00035D12" w:rsidRPr="0085657D">
              <w:rPr>
                <w:rFonts w:ascii="Arial" w:hAnsi="Arial" w:cs="Arial"/>
              </w:rPr>
              <w:t xml:space="preserve">.3. </w:t>
            </w:r>
          </w:p>
          <w:p w14:paraId="4FF906CE" w14:textId="1E58CC8C" w:rsidR="00035D12" w:rsidRPr="0085657D" w:rsidRDefault="00035D12" w:rsidP="00035D12">
            <w:pPr>
              <w:rPr>
                <w:rFonts w:ascii="Arial" w:hAnsi="Arial" w:cs="Arial"/>
              </w:rPr>
            </w:pPr>
            <w:r w:rsidRPr="0085657D">
              <w:rPr>
                <w:rFonts w:ascii="Arial" w:hAnsi="Arial" w:cs="Arial"/>
              </w:rPr>
              <w:t>Unapređenje pravosudne infrastrukture kao mehanizam zaštite žrtava</w:t>
            </w:r>
          </w:p>
          <w:p w14:paraId="1F86F237" w14:textId="77777777" w:rsidR="00035D12" w:rsidRPr="0085657D" w:rsidRDefault="00035D12" w:rsidP="00035D12">
            <w:pPr>
              <w:rPr>
                <w:rFonts w:ascii="Arial" w:hAnsi="Arial" w:cs="Arial"/>
              </w:rPr>
            </w:pPr>
          </w:p>
        </w:tc>
        <w:tc>
          <w:tcPr>
            <w:tcW w:w="1572" w:type="pct"/>
            <w:tcBorders>
              <w:top w:val="double" w:sz="4" w:space="0" w:color="auto"/>
              <w:bottom w:val="double" w:sz="4" w:space="0" w:color="auto"/>
            </w:tcBorders>
            <w:shd w:val="clear" w:color="auto" w:fill="FFFFFF" w:themeFill="background1"/>
          </w:tcPr>
          <w:p w14:paraId="1706F89B" w14:textId="36E6AA63"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Broj zgrada</w:t>
            </w:r>
            <w:r w:rsidR="005839B9">
              <w:rPr>
                <w:rFonts w:ascii="Arial" w:hAnsi="Arial" w:cs="Arial"/>
              </w:rPr>
              <w:t xml:space="preserve"> sudova i tužilaštava</w:t>
            </w:r>
            <w:r w:rsidRPr="0085657D">
              <w:rPr>
                <w:rFonts w:ascii="Arial" w:hAnsi="Arial" w:cs="Arial"/>
              </w:rPr>
              <w:t xml:space="preserve"> koje imaju posebne prostorije za smještaj i ispitivanje žrtava.</w:t>
            </w:r>
          </w:p>
        </w:tc>
        <w:tc>
          <w:tcPr>
            <w:tcW w:w="674" w:type="pct"/>
            <w:tcBorders>
              <w:top w:val="double" w:sz="4" w:space="0" w:color="auto"/>
              <w:bottom w:val="double" w:sz="4" w:space="0" w:color="auto"/>
            </w:tcBorders>
            <w:shd w:val="clear" w:color="auto" w:fill="FFFFFF" w:themeFill="background1"/>
          </w:tcPr>
          <w:p w14:paraId="017C16DF" w14:textId="4A236DFB" w:rsidR="00035D12" w:rsidRPr="0085657D" w:rsidRDefault="005839B9" w:rsidP="00035D12">
            <w:pPr>
              <w:suppressAutoHyphens/>
              <w:spacing w:after="120"/>
              <w:jc w:val="center"/>
              <w:rPr>
                <w:rFonts w:ascii="Arial" w:hAnsi="Arial" w:cs="Arial"/>
              </w:rPr>
            </w:pPr>
            <w:r>
              <w:rPr>
                <w:rFonts w:ascii="Arial" w:hAnsi="Arial" w:cs="Arial"/>
              </w:rPr>
              <w:t>6</w:t>
            </w:r>
          </w:p>
        </w:tc>
        <w:tc>
          <w:tcPr>
            <w:tcW w:w="674" w:type="pct"/>
            <w:tcBorders>
              <w:top w:val="double" w:sz="4" w:space="0" w:color="auto"/>
              <w:bottom w:val="double" w:sz="4" w:space="0" w:color="auto"/>
            </w:tcBorders>
            <w:shd w:val="clear" w:color="auto" w:fill="FFFFFF" w:themeFill="background1"/>
          </w:tcPr>
          <w:p w14:paraId="10862435" w14:textId="4C3F241A" w:rsidR="00035D12" w:rsidRPr="0085657D" w:rsidRDefault="005839B9" w:rsidP="00035D12">
            <w:pPr>
              <w:shd w:val="clear" w:color="auto" w:fill="FFFFFF" w:themeFill="background1"/>
              <w:jc w:val="center"/>
              <w:rPr>
                <w:rFonts w:ascii="Arial" w:hAnsi="Arial" w:cs="Arial"/>
              </w:rPr>
            </w:pPr>
            <w:r>
              <w:rPr>
                <w:rFonts w:ascii="Arial" w:hAnsi="Arial" w:cs="Arial"/>
              </w:rPr>
              <w:t>6</w:t>
            </w:r>
          </w:p>
        </w:tc>
        <w:tc>
          <w:tcPr>
            <w:tcW w:w="732" w:type="pct"/>
            <w:tcBorders>
              <w:top w:val="double" w:sz="4" w:space="0" w:color="auto"/>
              <w:bottom w:val="double" w:sz="4" w:space="0" w:color="auto"/>
              <w:right w:val="double" w:sz="4" w:space="0" w:color="auto"/>
            </w:tcBorders>
            <w:shd w:val="clear" w:color="auto" w:fill="FFFFFF" w:themeFill="background1"/>
          </w:tcPr>
          <w:p w14:paraId="0527CBC4" w14:textId="2D58E532" w:rsidR="00035D12" w:rsidRPr="0085657D" w:rsidRDefault="005839B9" w:rsidP="00035D12">
            <w:pPr>
              <w:shd w:val="clear" w:color="auto" w:fill="FFFFFF" w:themeFill="background1"/>
              <w:jc w:val="center"/>
              <w:rPr>
                <w:rFonts w:ascii="Arial" w:hAnsi="Arial" w:cs="Arial"/>
              </w:rPr>
            </w:pPr>
            <w:r>
              <w:rPr>
                <w:rFonts w:ascii="Arial" w:hAnsi="Arial" w:cs="Arial"/>
              </w:rPr>
              <w:t>8</w:t>
            </w:r>
          </w:p>
        </w:tc>
      </w:tr>
    </w:tbl>
    <w:p w14:paraId="1514D189" w14:textId="3D63DADE" w:rsidR="00114ACE" w:rsidRPr="0085657D" w:rsidRDefault="00114ACE">
      <w:pPr>
        <w:spacing w:line="278" w:lineRule="auto"/>
        <w:jc w:val="left"/>
        <w:rPr>
          <w:rFonts w:ascii="Arial" w:eastAsiaTheme="majorEastAsia" w:hAnsi="Arial" w:cs="Arial"/>
          <w:color w:val="0F4761" w:themeColor="accent1" w:themeShade="BF"/>
        </w:rPr>
      </w:pPr>
    </w:p>
    <w:p w14:paraId="5AB7374E" w14:textId="465D6A48" w:rsidR="00192FBD" w:rsidRPr="0085657D" w:rsidRDefault="007176FB" w:rsidP="00192FBD">
      <w:pPr>
        <w:pStyle w:val="Heading2"/>
        <w:rPr>
          <w:rFonts w:ascii="Arial" w:hAnsi="Arial" w:cs="Arial"/>
          <w:sz w:val="22"/>
          <w:szCs w:val="22"/>
          <w:highlight w:val="yellow"/>
        </w:rPr>
      </w:pPr>
      <w:bookmarkStart w:id="76" w:name="_Toc208489221"/>
      <w:r w:rsidRPr="0085657D">
        <w:rPr>
          <w:rFonts w:ascii="Arial" w:hAnsi="Arial" w:cs="Arial"/>
          <w:sz w:val="22"/>
          <w:szCs w:val="22"/>
        </w:rPr>
        <w:t xml:space="preserve">Strateški cilj </w:t>
      </w:r>
      <w:r w:rsidR="001426F1">
        <w:rPr>
          <w:rFonts w:ascii="Arial" w:hAnsi="Arial" w:cs="Arial"/>
          <w:sz w:val="22"/>
          <w:szCs w:val="22"/>
        </w:rPr>
        <w:t>5</w:t>
      </w:r>
      <w:r w:rsidRPr="0085657D">
        <w:rPr>
          <w:rFonts w:ascii="Arial" w:hAnsi="Arial" w:cs="Arial"/>
          <w:sz w:val="22"/>
          <w:szCs w:val="22"/>
        </w:rPr>
        <w:t xml:space="preserve">: </w:t>
      </w:r>
      <w:r w:rsidR="006C49A0" w:rsidRPr="0085657D">
        <w:rPr>
          <w:rFonts w:ascii="Arial" w:hAnsi="Arial" w:cs="Arial"/>
          <w:sz w:val="22"/>
          <w:szCs w:val="22"/>
        </w:rPr>
        <w:t>Jačanje stručnih kapaciteta i podizanje svijesti u oblasti zaštite prava žrtava</w:t>
      </w:r>
      <w:bookmarkEnd w:id="76"/>
    </w:p>
    <w:p w14:paraId="41D19090" w14:textId="77777777" w:rsidR="005414F1" w:rsidRPr="0085657D" w:rsidRDefault="005414F1" w:rsidP="005414F1">
      <w:pPr>
        <w:rPr>
          <w:rFonts w:ascii="Arial" w:hAnsi="Arial" w:cs="Arial"/>
        </w:rPr>
      </w:pPr>
    </w:p>
    <w:p w14:paraId="4A130D5E" w14:textId="77777777" w:rsidR="00E9112A" w:rsidRDefault="000C41AB" w:rsidP="000C41AB">
      <w:pPr>
        <w:spacing w:line="276" w:lineRule="auto"/>
        <w:rPr>
          <w:rFonts w:ascii="Arial" w:hAnsi="Arial" w:cs="Arial"/>
        </w:rPr>
      </w:pPr>
      <w:r w:rsidRPr="0085657D">
        <w:rPr>
          <w:rFonts w:ascii="Arial" w:hAnsi="Arial" w:cs="Arial"/>
        </w:rPr>
        <w:t>Kao što je ranije napomenuto, ključni preduslov ostvarivanja prava žrtava je njihovo blagovremeno i adekvatno informisanje o pravima koja im pripadaju. Pored informisanja u kontekstu krivičnog postupka, odnosno počev od prvog kontakta sa organom postupka (o čemu je bilo riječi u okviru Strateškog cilja 2</w:t>
      </w:r>
      <w:r w:rsidR="006C49A0" w:rsidRPr="0085657D">
        <w:rPr>
          <w:rFonts w:ascii="Arial" w:hAnsi="Arial" w:cs="Arial"/>
        </w:rPr>
        <w:t>)</w:t>
      </w:r>
      <w:r w:rsidRPr="0085657D">
        <w:rPr>
          <w:rFonts w:ascii="Arial" w:hAnsi="Arial" w:cs="Arial"/>
        </w:rPr>
        <w:t>, dostupnost informacija o pravima žrtava treba posmatrati značajno šire, kako u kontekstu postojanja centralizovanih info servisa, tako i u pogledu kontinuiranog unapređenja znanja i vještina svih onih profesionalaca koji dolaze u kontakt sa žrtvama i/ili utiču na ostvarivanje njihovih prava.</w:t>
      </w:r>
      <w:r w:rsidR="003D780A" w:rsidRPr="0085657D">
        <w:rPr>
          <w:rFonts w:ascii="Arial" w:hAnsi="Arial" w:cs="Arial"/>
        </w:rPr>
        <w:t xml:space="preserve"> </w:t>
      </w:r>
    </w:p>
    <w:p w14:paraId="1FA3CD5D" w14:textId="304E6204" w:rsidR="000C41AB" w:rsidRPr="0085657D" w:rsidRDefault="003D780A" w:rsidP="000C41AB">
      <w:pPr>
        <w:spacing w:line="276" w:lineRule="auto"/>
        <w:rPr>
          <w:rFonts w:ascii="Arial" w:hAnsi="Arial" w:cs="Arial"/>
        </w:rPr>
      </w:pPr>
      <w:r w:rsidRPr="0085657D">
        <w:rPr>
          <w:rFonts w:ascii="Arial" w:hAnsi="Arial" w:cs="Arial"/>
        </w:rPr>
        <w:lastRenderedPageBreak/>
        <w:t xml:space="preserve">Pored toga, kako za same žrtve, tako </w:t>
      </w:r>
      <w:r w:rsidR="00D64A86" w:rsidRPr="0085657D">
        <w:rPr>
          <w:rFonts w:ascii="Arial" w:hAnsi="Arial" w:cs="Arial"/>
        </w:rPr>
        <w:t xml:space="preserve">i </w:t>
      </w:r>
      <w:r w:rsidRPr="0085657D">
        <w:rPr>
          <w:rFonts w:ascii="Arial" w:hAnsi="Arial" w:cs="Arial"/>
        </w:rPr>
        <w:t>za profesionalce ali i opštu javnost</w:t>
      </w:r>
      <w:r w:rsidR="00D64A86" w:rsidRPr="0085657D">
        <w:rPr>
          <w:rFonts w:ascii="Arial" w:hAnsi="Arial" w:cs="Arial"/>
        </w:rPr>
        <w:t xml:space="preserve">, od značaja je i dostupnost informacija o reformskim procesima usmjerenim na </w:t>
      </w:r>
      <w:r w:rsidR="00500F94" w:rsidRPr="0085657D">
        <w:rPr>
          <w:rFonts w:ascii="Arial" w:hAnsi="Arial" w:cs="Arial"/>
        </w:rPr>
        <w:t>unapređenje</w:t>
      </w:r>
      <w:r w:rsidR="00D64A86" w:rsidRPr="0085657D">
        <w:rPr>
          <w:rFonts w:ascii="Arial" w:hAnsi="Arial" w:cs="Arial"/>
        </w:rPr>
        <w:t xml:space="preserve"> položaja žrtva.</w:t>
      </w:r>
    </w:p>
    <w:p w14:paraId="6A0A3596" w14:textId="77777777" w:rsidR="000C41AB" w:rsidRPr="0085657D" w:rsidRDefault="003D780A" w:rsidP="00AB3E75">
      <w:pPr>
        <w:rPr>
          <w:rFonts w:ascii="Arial" w:hAnsi="Arial" w:cs="Arial"/>
        </w:rPr>
      </w:pPr>
      <w:r w:rsidRPr="0085657D">
        <w:rPr>
          <w:rFonts w:ascii="Arial" w:hAnsi="Arial" w:cs="Arial"/>
        </w:rPr>
        <w:t xml:space="preserve">Analizom trenutnog stanja i uočavanjem ključnih problema definisan je strateški cilj </w:t>
      </w:r>
      <w:r w:rsidR="006C49A0" w:rsidRPr="0085657D">
        <w:rPr>
          <w:rFonts w:ascii="Arial" w:hAnsi="Arial" w:cs="Arial"/>
        </w:rPr>
        <w:t>6</w:t>
      </w:r>
      <w:r w:rsidRPr="0085657D">
        <w:rPr>
          <w:rFonts w:ascii="Arial" w:hAnsi="Arial" w:cs="Arial"/>
        </w:rPr>
        <w:t>, kao i set operativnih ciljeva za dostizanje tog strateškog cilja.</w:t>
      </w:r>
    </w:p>
    <w:p w14:paraId="24B69C4D" w14:textId="5DEADE94" w:rsidR="00192FBD" w:rsidRPr="0085657D" w:rsidRDefault="00AB3E75" w:rsidP="00D64A86">
      <w:pPr>
        <w:spacing w:after="240"/>
        <w:rPr>
          <w:rFonts w:ascii="Arial" w:hAnsi="Arial" w:cs="Arial"/>
        </w:rPr>
      </w:pPr>
      <w:r w:rsidRPr="0085657D">
        <w:rPr>
          <w:rFonts w:ascii="Arial" w:hAnsi="Arial" w:cs="Arial"/>
        </w:rPr>
        <w:t xml:space="preserve">Napredak ostvaren u pogledu dostizanja Strateškog cilja </w:t>
      </w:r>
      <w:r w:rsidR="001426F1">
        <w:rPr>
          <w:rFonts w:ascii="Arial" w:hAnsi="Arial" w:cs="Arial"/>
        </w:rPr>
        <w:t>5</w:t>
      </w:r>
      <w:r w:rsidRPr="0085657D">
        <w:rPr>
          <w:rFonts w:ascii="Arial" w:hAnsi="Arial" w:cs="Arial"/>
        </w:rPr>
        <w:t xml:space="preserve"> biće mjeren putem seta pokazatelja (indikatora) uticaja.</w:t>
      </w:r>
    </w:p>
    <w:p w14:paraId="0C970387" w14:textId="70A5D46D" w:rsidR="00AB3E75" w:rsidRPr="0085657D" w:rsidRDefault="00AB3E75" w:rsidP="00AB3E75">
      <w:pPr>
        <w:jc w:val="center"/>
        <w:rPr>
          <w:rFonts w:ascii="Arial" w:hAnsi="Arial" w:cs="Arial"/>
        </w:rPr>
      </w:pPr>
      <w:r w:rsidRPr="0085657D">
        <w:rPr>
          <w:rFonts w:ascii="Arial" w:hAnsi="Arial" w:cs="Arial"/>
          <w:i/>
          <w:iCs/>
        </w:rPr>
        <w:t>Tabela 2</w:t>
      </w:r>
      <w:r w:rsidR="001426F1">
        <w:rPr>
          <w:rFonts w:ascii="Arial" w:hAnsi="Arial" w:cs="Arial"/>
          <w:i/>
          <w:iCs/>
        </w:rPr>
        <w:t>0</w:t>
      </w:r>
      <w:r w:rsidRPr="0085657D">
        <w:rPr>
          <w:rFonts w:ascii="Arial" w:hAnsi="Arial" w:cs="Arial"/>
          <w:i/>
          <w:iCs/>
        </w:rPr>
        <w:t xml:space="preserve">: Indikatori realizacije Strateškog cilja </w:t>
      </w:r>
      <w:r w:rsidR="001426F1">
        <w:rPr>
          <w:rFonts w:ascii="Arial" w:hAnsi="Arial" w:cs="Arial"/>
          <w:i/>
          <w:iCs/>
        </w:rPr>
        <w:t>5</w:t>
      </w:r>
    </w:p>
    <w:tbl>
      <w:tblPr>
        <w:tblStyle w:val="TableGrid"/>
        <w:tblW w:w="5000" w:type="pct"/>
        <w:tblInd w:w="-5" w:type="dxa"/>
        <w:tblLayout w:type="fixed"/>
        <w:tblLook w:val="04A0" w:firstRow="1" w:lastRow="0" w:firstColumn="1" w:lastColumn="0" w:noHBand="0" w:noVBand="1"/>
      </w:tblPr>
      <w:tblGrid>
        <w:gridCol w:w="4203"/>
        <w:gridCol w:w="1541"/>
        <w:gridCol w:w="1541"/>
        <w:gridCol w:w="2055"/>
      </w:tblGrid>
      <w:tr w:rsidR="00AB3E75" w:rsidRPr="0085657D" w14:paraId="4507A969"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186F0572" w14:textId="24D33C94" w:rsidR="00AB3E75" w:rsidRPr="0085657D" w:rsidRDefault="00AB3E75" w:rsidP="00C921B0">
            <w:pPr>
              <w:rPr>
                <w:rFonts w:ascii="Arial" w:hAnsi="Arial" w:cs="Arial"/>
                <w:b/>
                <w:bCs/>
              </w:rPr>
            </w:pPr>
            <w:r w:rsidRPr="0085657D">
              <w:rPr>
                <w:rFonts w:ascii="Arial" w:hAnsi="Arial" w:cs="Arial"/>
                <w:b/>
                <w:bCs/>
              </w:rPr>
              <w:t xml:space="preserve">Strateški cilj </w:t>
            </w:r>
            <w:r w:rsidR="00AB557A">
              <w:rPr>
                <w:rFonts w:ascii="Arial" w:hAnsi="Arial" w:cs="Arial"/>
                <w:b/>
                <w:bCs/>
              </w:rPr>
              <w:t>5</w:t>
            </w:r>
            <w:r w:rsidRPr="0085657D">
              <w:rPr>
                <w:rFonts w:ascii="Arial" w:hAnsi="Arial" w:cs="Arial"/>
                <w:b/>
                <w:bCs/>
              </w:rPr>
              <w:t xml:space="preserve">: </w:t>
            </w:r>
            <w:bookmarkStart w:id="77" w:name="_Hlk196836237"/>
            <w:r w:rsidR="006C49A0" w:rsidRPr="0085657D">
              <w:rPr>
                <w:rFonts w:ascii="Arial" w:hAnsi="Arial" w:cs="Arial"/>
                <w:b/>
                <w:bCs/>
              </w:rPr>
              <w:t>Jačanje</w:t>
            </w:r>
            <w:r w:rsidR="007176FB" w:rsidRPr="0085657D">
              <w:rPr>
                <w:rFonts w:ascii="Arial" w:hAnsi="Arial" w:cs="Arial"/>
                <w:b/>
                <w:bCs/>
              </w:rPr>
              <w:t xml:space="preserve"> stručnih kapaciteta </w:t>
            </w:r>
            <w:r w:rsidR="006C49A0" w:rsidRPr="0085657D">
              <w:rPr>
                <w:rFonts w:ascii="Arial" w:hAnsi="Arial" w:cs="Arial"/>
                <w:b/>
                <w:bCs/>
              </w:rPr>
              <w:t xml:space="preserve">i podizanje svijesti </w:t>
            </w:r>
            <w:r w:rsidR="007176FB" w:rsidRPr="0085657D">
              <w:rPr>
                <w:rFonts w:ascii="Arial" w:hAnsi="Arial" w:cs="Arial"/>
                <w:b/>
                <w:bCs/>
              </w:rPr>
              <w:t xml:space="preserve">u oblasti zaštite prava žrtava </w:t>
            </w:r>
          </w:p>
          <w:bookmarkEnd w:id="77"/>
          <w:p w14:paraId="7630B11D" w14:textId="77777777" w:rsidR="00AB3E75" w:rsidRPr="0085657D" w:rsidRDefault="00AB3E75" w:rsidP="00C921B0">
            <w:pPr>
              <w:rPr>
                <w:rFonts w:ascii="Arial" w:hAnsi="Arial" w:cs="Arial"/>
              </w:rPr>
            </w:pPr>
          </w:p>
        </w:tc>
      </w:tr>
      <w:tr w:rsidR="00AB3E75" w:rsidRPr="0085657D" w14:paraId="66658F45" w14:textId="77777777" w:rsidTr="000A7BD3">
        <w:trPr>
          <w:trHeight w:val="575"/>
        </w:trPr>
        <w:tc>
          <w:tcPr>
            <w:tcW w:w="2250" w:type="pct"/>
            <w:tcBorders>
              <w:top w:val="double" w:sz="4" w:space="0" w:color="auto"/>
            </w:tcBorders>
            <w:shd w:val="clear" w:color="auto" w:fill="FAE2D5" w:themeFill="accent2" w:themeFillTint="33"/>
          </w:tcPr>
          <w:p w14:paraId="51FAEEFF" w14:textId="77777777" w:rsidR="00AB3E75" w:rsidRPr="0085657D" w:rsidRDefault="00AB3E75" w:rsidP="00C921B0">
            <w:pPr>
              <w:rPr>
                <w:rFonts w:ascii="Arial" w:hAnsi="Arial" w:cs="Arial"/>
              </w:rPr>
            </w:pPr>
            <w:r w:rsidRPr="0085657D">
              <w:rPr>
                <w:rFonts w:ascii="Arial" w:hAnsi="Arial" w:cs="Arial"/>
              </w:rPr>
              <w:t>Indikator uticaja</w:t>
            </w:r>
          </w:p>
        </w:tc>
        <w:tc>
          <w:tcPr>
            <w:tcW w:w="825" w:type="pct"/>
            <w:tcBorders>
              <w:top w:val="double" w:sz="4" w:space="0" w:color="auto"/>
            </w:tcBorders>
            <w:shd w:val="clear" w:color="auto" w:fill="FAE2D5" w:themeFill="accent2" w:themeFillTint="33"/>
          </w:tcPr>
          <w:p w14:paraId="22AF7BEA" w14:textId="77777777" w:rsidR="00AB3E75" w:rsidRPr="0085657D" w:rsidRDefault="00AB3E75" w:rsidP="00C921B0">
            <w:pPr>
              <w:rPr>
                <w:rFonts w:ascii="Arial" w:hAnsi="Arial" w:cs="Arial"/>
              </w:rPr>
            </w:pPr>
            <w:r w:rsidRPr="0085657D">
              <w:rPr>
                <w:rFonts w:ascii="Arial" w:hAnsi="Arial" w:cs="Arial"/>
              </w:rPr>
              <w:t>Početna vrijednost</w:t>
            </w:r>
          </w:p>
          <w:p w14:paraId="41317A3A" w14:textId="77777777" w:rsidR="00AB3E75" w:rsidRPr="0085657D" w:rsidRDefault="00AB3E75" w:rsidP="00C921B0">
            <w:pPr>
              <w:rPr>
                <w:rFonts w:ascii="Arial" w:hAnsi="Arial" w:cs="Arial"/>
              </w:rPr>
            </w:pPr>
            <w:r w:rsidRPr="0085657D">
              <w:rPr>
                <w:rFonts w:ascii="Arial" w:hAnsi="Arial" w:cs="Arial"/>
              </w:rPr>
              <w:t>2024.</w:t>
            </w:r>
          </w:p>
        </w:tc>
        <w:tc>
          <w:tcPr>
            <w:tcW w:w="825" w:type="pct"/>
            <w:tcBorders>
              <w:top w:val="double" w:sz="4" w:space="0" w:color="auto"/>
            </w:tcBorders>
            <w:shd w:val="clear" w:color="auto" w:fill="FAE2D5" w:themeFill="accent2" w:themeFillTint="33"/>
          </w:tcPr>
          <w:p w14:paraId="222AE215" w14:textId="56C7D1A8" w:rsidR="00AB3E75" w:rsidRPr="0085657D" w:rsidRDefault="00AB3E75"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100" w:type="pct"/>
            <w:tcBorders>
              <w:top w:val="double" w:sz="4" w:space="0" w:color="auto"/>
              <w:right w:val="double" w:sz="4" w:space="0" w:color="auto"/>
            </w:tcBorders>
            <w:shd w:val="clear" w:color="auto" w:fill="FAE2D5" w:themeFill="accent2" w:themeFillTint="33"/>
          </w:tcPr>
          <w:p w14:paraId="622FFF64" w14:textId="4AC2F658" w:rsidR="00AB3E75" w:rsidRPr="0085657D" w:rsidRDefault="00AB3E75"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225853" w:rsidRPr="0085657D" w14:paraId="625CAF15" w14:textId="77777777" w:rsidTr="000A7BD3">
        <w:trPr>
          <w:trHeight w:val="254"/>
        </w:trPr>
        <w:tc>
          <w:tcPr>
            <w:tcW w:w="2250" w:type="pct"/>
            <w:tcBorders>
              <w:top w:val="double" w:sz="4" w:space="0" w:color="auto"/>
              <w:bottom w:val="double" w:sz="4" w:space="0" w:color="auto"/>
            </w:tcBorders>
            <w:shd w:val="clear" w:color="auto" w:fill="FFFFFF" w:themeFill="background1"/>
          </w:tcPr>
          <w:p w14:paraId="61363224" w14:textId="77777777" w:rsidR="00225853" w:rsidRPr="0085657D" w:rsidRDefault="00225853" w:rsidP="00225853">
            <w:pPr>
              <w:shd w:val="clear" w:color="auto" w:fill="FFFFFF" w:themeFill="background1"/>
              <w:spacing w:after="240"/>
              <w:rPr>
                <w:rFonts w:ascii="Arial" w:hAnsi="Arial" w:cs="Arial"/>
              </w:rPr>
            </w:pPr>
            <w:r w:rsidRPr="0085657D">
              <w:rPr>
                <w:rFonts w:ascii="Arial" w:hAnsi="Arial" w:cs="Arial"/>
              </w:rPr>
              <w:t>Unaprijeđena znanja sudija, tužilaca, pripadnika policije, advokata i novinara o pravima žrtava</w:t>
            </w:r>
            <w:r w:rsidR="00284227" w:rsidRPr="0085657D">
              <w:rPr>
                <w:rFonts w:ascii="Arial" w:hAnsi="Arial" w:cs="Arial"/>
              </w:rPr>
              <w:t>, sa fokusom na zaštiti posebno osjetljivih žrtava</w:t>
            </w:r>
            <w:r w:rsidRPr="0085657D">
              <w:rPr>
                <w:rFonts w:ascii="Arial" w:hAnsi="Arial" w:cs="Arial"/>
              </w:rPr>
              <w:t>.</w:t>
            </w:r>
          </w:p>
        </w:tc>
        <w:tc>
          <w:tcPr>
            <w:tcW w:w="825" w:type="pct"/>
            <w:tcBorders>
              <w:top w:val="double" w:sz="4" w:space="0" w:color="auto"/>
              <w:bottom w:val="double" w:sz="4" w:space="0" w:color="auto"/>
            </w:tcBorders>
            <w:shd w:val="clear" w:color="auto" w:fill="FFFFFF" w:themeFill="background1"/>
          </w:tcPr>
          <w:p w14:paraId="772E7461" w14:textId="77777777" w:rsidR="00225853" w:rsidRPr="0085657D" w:rsidRDefault="00225853" w:rsidP="00225853">
            <w:pPr>
              <w:shd w:val="clear" w:color="auto" w:fill="FFFFFF" w:themeFill="background1"/>
              <w:jc w:val="center"/>
              <w:rPr>
                <w:rFonts w:ascii="Arial" w:hAnsi="Arial" w:cs="Arial"/>
              </w:rPr>
            </w:pPr>
            <w:r w:rsidRPr="0085657D">
              <w:rPr>
                <w:rFonts w:ascii="Arial" w:hAnsi="Arial" w:cs="Arial"/>
              </w:rPr>
              <w:t>NE</w:t>
            </w:r>
          </w:p>
        </w:tc>
        <w:tc>
          <w:tcPr>
            <w:tcW w:w="825" w:type="pct"/>
            <w:tcBorders>
              <w:top w:val="double" w:sz="4" w:space="0" w:color="auto"/>
              <w:bottom w:val="double" w:sz="4" w:space="0" w:color="auto"/>
            </w:tcBorders>
            <w:shd w:val="clear" w:color="auto" w:fill="FFFFFF" w:themeFill="background1"/>
          </w:tcPr>
          <w:p w14:paraId="4C339D41" w14:textId="77777777" w:rsidR="00225853" w:rsidRPr="0085657D" w:rsidRDefault="00225853" w:rsidP="00225853">
            <w:pPr>
              <w:shd w:val="clear" w:color="auto" w:fill="FFFFFF" w:themeFill="background1"/>
              <w:jc w:val="center"/>
              <w:rPr>
                <w:rFonts w:ascii="Arial" w:hAnsi="Arial" w:cs="Arial"/>
              </w:rPr>
            </w:pPr>
            <w:r w:rsidRPr="0085657D">
              <w:rPr>
                <w:rFonts w:ascii="Arial" w:hAnsi="Arial" w:cs="Arial"/>
              </w:rPr>
              <w:t>DA</w:t>
            </w:r>
          </w:p>
        </w:tc>
        <w:tc>
          <w:tcPr>
            <w:tcW w:w="1100" w:type="pct"/>
            <w:tcBorders>
              <w:top w:val="double" w:sz="4" w:space="0" w:color="auto"/>
              <w:bottom w:val="double" w:sz="4" w:space="0" w:color="auto"/>
              <w:right w:val="double" w:sz="4" w:space="0" w:color="auto"/>
            </w:tcBorders>
            <w:shd w:val="clear" w:color="auto" w:fill="FFFFFF" w:themeFill="background1"/>
          </w:tcPr>
          <w:p w14:paraId="7324B5BB" w14:textId="77777777" w:rsidR="00225853" w:rsidRPr="0085657D" w:rsidRDefault="00225853" w:rsidP="00225853">
            <w:pPr>
              <w:shd w:val="clear" w:color="auto" w:fill="FFFFFF" w:themeFill="background1"/>
              <w:jc w:val="center"/>
              <w:rPr>
                <w:rFonts w:ascii="Arial" w:hAnsi="Arial" w:cs="Arial"/>
              </w:rPr>
            </w:pPr>
            <w:r w:rsidRPr="0085657D">
              <w:rPr>
                <w:rFonts w:ascii="Arial" w:hAnsi="Arial" w:cs="Arial"/>
              </w:rPr>
              <w:t>DA</w:t>
            </w:r>
          </w:p>
        </w:tc>
      </w:tr>
      <w:tr w:rsidR="004F5CE5" w:rsidRPr="0085657D" w14:paraId="114FCE2E" w14:textId="77777777" w:rsidTr="000A7BD3">
        <w:trPr>
          <w:trHeight w:val="735"/>
        </w:trPr>
        <w:tc>
          <w:tcPr>
            <w:tcW w:w="2250" w:type="pct"/>
            <w:tcBorders>
              <w:top w:val="double" w:sz="4" w:space="0" w:color="auto"/>
              <w:bottom w:val="single" w:sz="4" w:space="0" w:color="auto"/>
            </w:tcBorders>
            <w:shd w:val="clear" w:color="auto" w:fill="FFFFFF" w:themeFill="background1"/>
          </w:tcPr>
          <w:p w14:paraId="18B5A50E" w14:textId="77777777" w:rsidR="007253EF" w:rsidRPr="0085657D" w:rsidRDefault="00225853" w:rsidP="00C921B0">
            <w:pPr>
              <w:shd w:val="clear" w:color="auto" w:fill="FFFFFF" w:themeFill="background1"/>
              <w:spacing w:after="240"/>
              <w:rPr>
                <w:rFonts w:ascii="Arial" w:hAnsi="Arial" w:cs="Arial"/>
              </w:rPr>
            </w:pPr>
            <w:r w:rsidRPr="0085657D">
              <w:rPr>
                <w:rFonts w:ascii="Arial" w:hAnsi="Arial" w:cs="Arial"/>
              </w:rPr>
              <w:t>Unapređen</w:t>
            </w:r>
            <w:r w:rsidR="00284227" w:rsidRPr="0085657D">
              <w:rPr>
                <w:rFonts w:ascii="Arial" w:hAnsi="Arial" w:cs="Arial"/>
              </w:rPr>
              <w:t>e</w:t>
            </w:r>
            <w:r w:rsidRPr="0085657D">
              <w:rPr>
                <w:rFonts w:ascii="Arial" w:hAnsi="Arial" w:cs="Arial"/>
              </w:rPr>
              <w:t xml:space="preserve"> prakse medijskog izvještavanja o žrtvama krivičnih djela</w:t>
            </w:r>
          </w:p>
        </w:tc>
        <w:tc>
          <w:tcPr>
            <w:tcW w:w="825" w:type="pct"/>
            <w:tcBorders>
              <w:top w:val="double" w:sz="4" w:space="0" w:color="auto"/>
              <w:bottom w:val="single" w:sz="4" w:space="0" w:color="auto"/>
            </w:tcBorders>
            <w:shd w:val="clear" w:color="auto" w:fill="FFFFFF" w:themeFill="background1"/>
          </w:tcPr>
          <w:p w14:paraId="0B89B732" w14:textId="77777777" w:rsidR="004F5CE5" w:rsidRPr="0085657D" w:rsidRDefault="00225853" w:rsidP="00C921B0">
            <w:pPr>
              <w:shd w:val="clear" w:color="auto" w:fill="FFFFFF" w:themeFill="background1"/>
              <w:jc w:val="center"/>
              <w:rPr>
                <w:rFonts w:ascii="Arial" w:hAnsi="Arial" w:cs="Arial"/>
              </w:rPr>
            </w:pPr>
            <w:r w:rsidRPr="0085657D">
              <w:rPr>
                <w:rFonts w:ascii="Arial" w:hAnsi="Arial" w:cs="Arial"/>
              </w:rPr>
              <w:t>NE</w:t>
            </w:r>
          </w:p>
        </w:tc>
        <w:tc>
          <w:tcPr>
            <w:tcW w:w="825" w:type="pct"/>
            <w:tcBorders>
              <w:top w:val="double" w:sz="4" w:space="0" w:color="auto"/>
              <w:bottom w:val="single" w:sz="4" w:space="0" w:color="auto"/>
            </w:tcBorders>
            <w:shd w:val="clear" w:color="auto" w:fill="FFFFFF" w:themeFill="background1"/>
          </w:tcPr>
          <w:p w14:paraId="3D45B9FA" w14:textId="77777777" w:rsidR="004F5CE5" w:rsidRPr="0085657D" w:rsidRDefault="00225853" w:rsidP="00C921B0">
            <w:pPr>
              <w:shd w:val="clear" w:color="auto" w:fill="FFFFFF" w:themeFill="background1"/>
              <w:jc w:val="center"/>
              <w:rPr>
                <w:rFonts w:ascii="Arial" w:hAnsi="Arial" w:cs="Arial"/>
              </w:rPr>
            </w:pPr>
            <w:r w:rsidRPr="0085657D">
              <w:rPr>
                <w:rFonts w:ascii="Arial" w:hAnsi="Arial" w:cs="Arial"/>
              </w:rPr>
              <w:t>NE</w:t>
            </w:r>
          </w:p>
        </w:tc>
        <w:tc>
          <w:tcPr>
            <w:tcW w:w="1100" w:type="pct"/>
            <w:tcBorders>
              <w:top w:val="double" w:sz="4" w:space="0" w:color="auto"/>
              <w:bottom w:val="single" w:sz="4" w:space="0" w:color="auto"/>
              <w:right w:val="double" w:sz="4" w:space="0" w:color="auto"/>
            </w:tcBorders>
            <w:shd w:val="clear" w:color="auto" w:fill="FFFFFF" w:themeFill="background1"/>
          </w:tcPr>
          <w:p w14:paraId="36FC8A3B" w14:textId="77777777" w:rsidR="004F5CE5" w:rsidRPr="0085657D" w:rsidRDefault="00225853" w:rsidP="00C921B0">
            <w:pPr>
              <w:shd w:val="clear" w:color="auto" w:fill="FFFFFF" w:themeFill="background1"/>
              <w:jc w:val="center"/>
              <w:rPr>
                <w:rFonts w:ascii="Arial" w:hAnsi="Arial" w:cs="Arial"/>
              </w:rPr>
            </w:pPr>
            <w:r w:rsidRPr="0085657D">
              <w:rPr>
                <w:rFonts w:ascii="Arial" w:hAnsi="Arial" w:cs="Arial"/>
              </w:rPr>
              <w:t>DA</w:t>
            </w:r>
          </w:p>
        </w:tc>
      </w:tr>
      <w:tr w:rsidR="007253EF" w:rsidRPr="0085657D" w14:paraId="27D42F2C" w14:textId="77777777" w:rsidTr="000A7BD3">
        <w:trPr>
          <w:trHeight w:val="536"/>
        </w:trPr>
        <w:tc>
          <w:tcPr>
            <w:tcW w:w="2250" w:type="pct"/>
            <w:tcBorders>
              <w:top w:val="single" w:sz="4" w:space="0" w:color="auto"/>
              <w:bottom w:val="double" w:sz="4" w:space="0" w:color="auto"/>
            </w:tcBorders>
            <w:shd w:val="clear" w:color="auto" w:fill="FFFFFF" w:themeFill="background1"/>
          </w:tcPr>
          <w:p w14:paraId="3DA57EE5" w14:textId="77777777" w:rsidR="007253EF" w:rsidRPr="0085657D" w:rsidRDefault="007253EF" w:rsidP="00F333F5">
            <w:pPr>
              <w:shd w:val="clear" w:color="auto" w:fill="FFFFFF" w:themeFill="background1"/>
              <w:spacing w:after="240"/>
              <w:rPr>
                <w:rFonts w:ascii="Arial" w:hAnsi="Arial" w:cs="Arial"/>
              </w:rPr>
            </w:pPr>
            <w:r w:rsidRPr="0085657D">
              <w:rPr>
                <w:rFonts w:ascii="Arial" w:hAnsi="Arial" w:cs="Arial"/>
              </w:rPr>
              <w:t xml:space="preserve">Unaprijeđena znanja vještaka i </w:t>
            </w:r>
            <w:r w:rsidR="00F333F5" w:rsidRPr="0085657D">
              <w:rPr>
                <w:rFonts w:ascii="Arial" w:hAnsi="Arial" w:cs="Arial"/>
              </w:rPr>
              <w:t>tumača</w:t>
            </w:r>
            <w:r w:rsidRPr="0085657D">
              <w:rPr>
                <w:rFonts w:ascii="Arial" w:hAnsi="Arial" w:cs="Arial"/>
              </w:rPr>
              <w:t xml:space="preserve"> o pravima žrtava, sa fokusom na zaštiti posebno osjetljivih žrtava</w:t>
            </w:r>
          </w:p>
        </w:tc>
        <w:tc>
          <w:tcPr>
            <w:tcW w:w="825" w:type="pct"/>
            <w:tcBorders>
              <w:top w:val="single" w:sz="4" w:space="0" w:color="auto"/>
              <w:bottom w:val="double" w:sz="4" w:space="0" w:color="auto"/>
            </w:tcBorders>
            <w:shd w:val="clear" w:color="auto" w:fill="FFFFFF" w:themeFill="background1"/>
          </w:tcPr>
          <w:p w14:paraId="1101FC46" w14:textId="77777777" w:rsidR="007253EF" w:rsidRPr="0085657D" w:rsidRDefault="00594466" w:rsidP="00C921B0">
            <w:pPr>
              <w:shd w:val="clear" w:color="auto" w:fill="FFFFFF" w:themeFill="background1"/>
              <w:jc w:val="center"/>
              <w:rPr>
                <w:rFonts w:ascii="Arial" w:hAnsi="Arial" w:cs="Arial"/>
              </w:rPr>
            </w:pPr>
            <w:r w:rsidRPr="0085657D">
              <w:rPr>
                <w:rFonts w:ascii="Arial" w:hAnsi="Arial" w:cs="Arial"/>
              </w:rPr>
              <w:t>NE</w:t>
            </w:r>
          </w:p>
        </w:tc>
        <w:tc>
          <w:tcPr>
            <w:tcW w:w="825" w:type="pct"/>
            <w:tcBorders>
              <w:top w:val="single" w:sz="4" w:space="0" w:color="auto"/>
              <w:bottom w:val="double" w:sz="4" w:space="0" w:color="auto"/>
            </w:tcBorders>
            <w:shd w:val="clear" w:color="auto" w:fill="FFFFFF" w:themeFill="background1"/>
          </w:tcPr>
          <w:p w14:paraId="1437BE2F" w14:textId="77777777" w:rsidR="007253EF" w:rsidRPr="0085657D" w:rsidRDefault="00594466" w:rsidP="00C921B0">
            <w:pPr>
              <w:shd w:val="clear" w:color="auto" w:fill="FFFFFF" w:themeFill="background1"/>
              <w:jc w:val="center"/>
              <w:rPr>
                <w:rFonts w:ascii="Arial" w:hAnsi="Arial" w:cs="Arial"/>
              </w:rPr>
            </w:pPr>
            <w:r w:rsidRPr="0085657D">
              <w:rPr>
                <w:rFonts w:ascii="Arial" w:hAnsi="Arial" w:cs="Arial"/>
              </w:rPr>
              <w:t>NE</w:t>
            </w:r>
          </w:p>
        </w:tc>
        <w:tc>
          <w:tcPr>
            <w:tcW w:w="1100" w:type="pct"/>
            <w:tcBorders>
              <w:top w:val="single" w:sz="4" w:space="0" w:color="auto"/>
              <w:bottom w:val="double" w:sz="4" w:space="0" w:color="auto"/>
              <w:right w:val="double" w:sz="4" w:space="0" w:color="auto"/>
            </w:tcBorders>
            <w:shd w:val="clear" w:color="auto" w:fill="FFFFFF" w:themeFill="background1"/>
          </w:tcPr>
          <w:p w14:paraId="3987BFC1" w14:textId="77777777" w:rsidR="007253EF" w:rsidRPr="0085657D" w:rsidRDefault="00594466" w:rsidP="00C921B0">
            <w:pPr>
              <w:shd w:val="clear" w:color="auto" w:fill="FFFFFF" w:themeFill="background1"/>
              <w:jc w:val="center"/>
              <w:rPr>
                <w:rFonts w:ascii="Arial" w:hAnsi="Arial" w:cs="Arial"/>
              </w:rPr>
            </w:pPr>
            <w:r w:rsidRPr="0085657D">
              <w:rPr>
                <w:rFonts w:ascii="Arial" w:hAnsi="Arial" w:cs="Arial"/>
              </w:rPr>
              <w:t>DA</w:t>
            </w:r>
          </w:p>
        </w:tc>
      </w:tr>
      <w:tr w:rsidR="00AB3E75" w:rsidRPr="0085657D" w14:paraId="2BF8E719" w14:textId="77777777" w:rsidTr="000A7BD3">
        <w:trPr>
          <w:trHeight w:val="254"/>
        </w:trPr>
        <w:tc>
          <w:tcPr>
            <w:tcW w:w="5000" w:type="pct"/>
            <w:gridSpan w:val="4"/>
            <w:tcBorders>
              <w:top w:val="double" w:sz="4" w:space="0" w:color="auto"/>
              <w:bottom w:val="double" w:sz="4" w:space="0" w:color="auto"/>
              <w:right w:val="double" w:sz="4" w:space="0" w:color="auto"/>
            </w:tcBorders>
            <w:shd w:val="clear" w:color="auto" w:fill="D9F2D0" w:themeFill="accent6" w:themeFillTint="33"/>
          </w:tcPr>
          <w:p w14:paraId="12227F95" w14:textId="34715F6B" w:rsidR="00AB3E75" w:rsidRPr="0085657D" w:rsidRDefault="00AB3E75" w:rsidP="00C921B0">
            <w:pPr>
              <w:rPr>
                <w:rFonts w:ascii="Arial" w:hAnsi="Arial" w:cs="Arial"/>
                <w:b/>
                <w:bCs/>
                <w:u w:val="single"/>
              </w:rPr>
            </w:pPr>
            <w:r w:rsidRPr="0085657D">
              <w:rPr>
                <w:rFonts w:ascii="Arial" w:hAnsi="Arial" w:cs="Arial"/>
                <w:b/>
                <w:bCs/>
                <w:u w:val="single"/>
              </w:rPr>
              <w:t xml:space="preserve">U okviru Strateškog cilja </w:t>
            </w:r>
            <w:r w:rsidR="00AB557A">
              <w:rPr>
                <w:rFonts w:ascii="Arial" w:hAnsi="Arial" w:cs="Arial"/>
                <w:b/>
                <w:bCs/>
                <w:u w:val="single"/>
              </w:rPr>
              <w:t>5</w:t>
            </w:r>
            <w:r w:rsidRPr="0085657D">
              <w:rPr>
                <w:rFonts w:ascii="Arial" w:hAnsi="Arial" w:cs="Arial"/>
                <w:b/>
                <w:bCs/>
                <w:u w:val="single"/>
              </w:rPr>
              <w:t xml:space="preserve"> definisani su sljedeći operativni ciljevi:</w:t>
            </w:r>
          </w:p>
          <w:p w14:paraId="50852D60" w14:textId="77777777" w:rsidR="00AB3E75" w:rsidRPr="0085657D" w:rsidRDefault="00AB3E75" w:rsidP="00C921B0">
            <w:pPr>
              <w:rPr>
                <w:rFonts w:ascii="Arial" w:hAnsi="Arial" w:cs="Arial"/>
                <w:b/>
                <w:bCs/>
                <w:u w:val="single"/>
              </w:rPr>
            </w:pPr>
          </w:p>
          <w:p w14:paraId="3239061C" w14:textId="56157719" w:rsidR="00552525" w:rsidRDefault="00552525" w:rsidP="001426F1">
            <w:pPr>
              <w:rPr>
                <w:rFonts w:ascii="Arial" w:hAnsi="Arial" w:cs="Arial"/>
                <w14:ligatures w14:val="standardContextual"/>
              </w:rPr>
            </w:pPr>
          </w:p>
          <w:p w14:paraId="38FC4933" w14:textId="6C4A99A1" w:rsidR="001426F1" w:rsidRPr="0037368D" w:rsidRDefault="001426F1" w:rsidP="001426F1">
            <w:r w:rsidRPr="0037368D">
              <w:rPr>
                <w:b/>
                <w:bCs/>
              </w:rPr>
              <w:t>OC 5.1.</w:t>
            </w:r>
            <w:r w:rsidRPr="0037368D">
              <w:t xml:space="preserve"> Unapređenje dostupnosti informacija o pravima žrtava</w:t>
            </w:r>
          </w:p>
          <w:p w14:paraId="4190EE16" w14:textId="7AAB89DD" w:rsidR="001426F1" w:rsidRPr="0037368D" w:rsidRDefault="001426F1" w:rsidP="001426F1">
            <w:r w:rsidRPr="0037368D">
              <w:rPr>
                <w:b/>
                <w:bCs/>
              </w:rPr>
              <w:t>OC 5.2.</w:t>
            </w:r>
            <w:r w:rsidRPr="0037368D">
              <w:t xml:space="preserve"> Unapređenje znanja </w:t>
            </w:r>
            <w:r w:rsidRPr="0037368D">
              <w:rPr>
                <w:rFonts w:cstheme="minorHAnsi"/>
              </w:rPr>
              <w:t>sudija, tužilaca, pripadnika policije, advokata i novinara o pravima žrtava</w:t>
            </w:r>
          </w:p>
          <w:p w14:paraId="700AA38C" w14:textId="73BC713C" w:rsidR="001426F1" w:rsidRPr="0037368D" w:rsidRDefault="001426F1" w:rsidP="001426F1">
            <w:r w:rsidRPr="0037368D">
              <w:rPr>
                <w:b/>
                <w:bCs/>
              </w:rPr>
              <w:t>OC 5.3.</w:t>
            </w:r>
            <w:r w:rsidRPr="0037368D">
              <w:t xml:space="preserve"> </w:t>
            </w:r>
            <w:r w:rsidRPr="0037368D">
              <w:rPr>
                <w:rFonts w:cstheme="minorHAnsi"/>
              </w:rPr>
              <w:t>Unaprijeđen</w:t>
            </w:r>
            <w:r>
              <w:rPr>
                <w:rFonts w:cstheme="minorHAnsi"/>
              </w:rPr>
              <w:t>i kapaciteti za medijsko</w:t>
            </w:r>
            <w:r w:rsidRPr="0037368D">
              <w:rPr>
                <w:rFonts w:cstheme="minorHAnsi"/>
              </w:rPr>
              <w:t xml:space="preserve"> izvještavanj</w:t>
            </w:r>
            <w:r>
              <w:rPr>
                <w:rFonts w:cstheme="minorHAnsi"/>
              </w:rPr>
              <w:t>e</w:t>
            </w:r>
            <w:r w:rsidRPr="0037368D">
              <w:rPr>
                <w:rFonts w:cstheme="minorHAnsi"/>
              </w:rPr>
              <w:t xml:space="preserve"> o žrtvama krivičnih djela</w:t>
            </w:r>
          </w:p>
          <w:p w14:paraId="63311EBA" w14:textId="39DCF0BE" w:rsidR="001426F1" w:rsidRPr="0037368D" w:rsidRDefault="001426F1" w:rsidP="001426F1">
            <w:r w:rsidRPr="0037368D">
              <w:rPr>
                <w:b/>
                <w:bCs/>
              </w:rPr>
              <w:t>OC 5.4.</w:t>
            </w:r>
            <w:r w:rsidRPr="0037368D">
              <w:t xml:space="preserve"> Unapređenje sistema prikupljanja i obrade statističkih podataka o žrtvama</w:t>
            </w:r>
          </w:p>
          <w:p w14:paraId="6E74C2EC" w14:textId="6C0C8C14" w:rsidR="001426F1" w:rsidRPr="0037368D" w:rsidRDefault="001426F1" w:rsidP="001426F1">
            <w:r w:rsidRPr="0037368D">
              <w:rPr>
                <w:b/>
                <w:bCs/>
              </w:rPr>
              <w:t>OC 5.5.</w:t>
            </w:r>
            <w:r w:rsidRPr="0037368D">
              <w:t xml:space="preserve"> Unapređenje</w:t>
            </w:r>
            <w:r w:rsidRPr="0037368D">
              <w:rPr>
                <w14:ligatures w14:val="standardContextual"/>
              </w:rPr>
              <w:t xml:space="preserve"> transparentnosti reformskih procesa u oblasti zaštite prava žrtava</w:t>
            </w:r>
          </w:p>
          <w:p w14:paraId="7D90DAA1" w14:textId="77777777" w:rsidR="001426F1" w:rsidRPr="0085657D" w:rsidRDefault="001426F1" w:rsidP="00C921B0">
            <w:pPr>
              <w:rPr>
                <w:rFonts w:ascii="Arial" w:hAnsi="Arial" w:cs="Arial"/>
              </w:rPr>
            </w:pPr>
          </w:p>
          <w:p w14:paraId="7B0FE609" w14:textId="77777777" w:rsidR="00AB3E75" w:rsidRPr="0085657D" w:rsidRDefault="00AB3E75" w:rsidP="00C921B0">
            <w:pPr>
              <w:rPr>
                <w:rFonts w:ascii="Arial" w:hAnsi="Arial" w:cs="Arial"/>
              </w:rPr>
            </w:pPr>
          </w:p>
        </w:tc>
      </w:tr>
    </w:tbl>
    <w:p w14:paraId="06C67F6E" w14:textId="77777777" w:rsidR="00AB3E75" w:rsidRPr="0085657D" w:rsidRDefault="00AB3E75" w:rsidP="00AB3E75">
      <w:pPr>
        <w:rPr>
          <w:rFonts w:ascii="Arial" w:hAnsi="Arial" w:cs="Arial"/>
          <w:highlight w:val="yellow"/>
        </w:rPr>
      </w:pPr>
    </w:p>
    <w:p w14:paraId="3B0FAD58" w14:textId="4374CCC0" w:rsidR="007F5AA4" w:rsidRPr="0085657D" w:rsidRDefault="007F5AA4" w:rsidP="007F5AA4">
      <w:pPr>
        <w:keepNext/>
        <w:keepLines/>
        <w:spacing w:after="240" w:line="276" w:lineRule="auto"/>
        <w:ind w:left="357"/>
        <w:jc w:val="center"/>
        <w:outlineLvl w:val="2"/>
        <w:rPr>
          <w:rFonts w:ascii="Arial" w:eastAsiaTheme="majorEastAsia" w:hAnsi="Arial" w:cs="Arial"/>
          <w:color w:val="0F4761" w:themeColor="accent1" w:themeShade="BF"/>
        </w:rPr>
      </w:pPr>
      <w:bookmarkStart w:id="78" w:name="_Toc208489222"/>
      <w:r>
        <w:rPr>
          <w:rFonts w:ascii="Arial" w:eastAsiaTheme="majorEastAsia" w:hAnsi="Arial" w:cs="Arial"/>
          <w:color w:val="0F4761" w:themeColor="accent1" w:themeShade="BF"/>
        </w:rPr>
        <w:t xml:space="preserve">Operativni cilj </w:t>
      </w:r>
      <w:r w:rsidR="001426F1">
        <w:rPr>
          <w:rFonts w:ascii="Arial" w:eastAsiaTheme="majorEastAsia" w:hAnsi="Arial" w:cs="Arial"/>
          <w:color w:val="0F4761" w:themeColor="accent1" w:themeShade="BF"/>
        </w:rPr>
        <w:t>5</w:t>
      </w:r>
      <w:r>
        <w:rPr>
          <w:rFonts w:ascii="Arial" w:eastAsiaTheme="majorEastAsia" w:hAnsi="Arial" w:cs="Arial"/>
          <w:color w:val="0F4761" w:themeColor="accent1" w:themeShade="BF"/>
        </w:rPr>
        <w:t>.</w:t>
      </w:r>
      <w:r w:rsidR="001426F1">
        <w:rPr>
          <w:rFonts w:ascii="Arial" w:eastAsiaTheme="majorEastAsia" w:hAnsi="Arial" w:cs="Arial"/>
          <w:color w:val="0F4761" w:themeColor="accent1" w:themeShade="BF"/>
        </w:rPr>
        <w:t>1</w:t>
      </w:r>
      <w:r>
        <w:rPr>
          <w:rFonts w:ascii="Arial" w:eastAsiaTheme="majorEastAsia" w:hAnsi="Arial" w:cs="Arial"/>
          <w:color w:val="0F4761" w:themeColor="accent1" w:themeShade="BF"/>
        </w:rPr>
        <w:t>: Unapr</w:t>
      </w:r>
      <w:r w:rsidRPr="0085657D">
        <w:rPr>
          <w:rFonts w:ascii="Arial" w:eastAsiaTheme="majorEastAsia" w:hAnsi="Arial" w:cs="Arial"/>
          <w:color w:val="0F4761" w:themeColor="accent1" w:themeShade="BF"/>
        </w:rPr>
        <w:t>eđenje dostupnosti informacija o pravima žrtava</w:t>
      </w:r>
      <w:bookmarkEnd w:id="78"/>
    </w:p>
    <w:p w14:paraId="6379E055" w14:textId="57F4A7CA" w:rsidR="007F5AA4" w:rsidRDefault="007F5AA4" w:rsidP="007F5AA4">
      <w:pPr>
        <w:spacing w:line="276" w:lineRule="auto"/>
        <w:rPr>
          <w:rFonts w:ascii="Arial" w:hAnsi="Arial" w:cs="Arial"/>
        </w:rPr>
      </w:pPr>
      <w:r w:rsidRPr="0085657D">
        <w:rPr>
          <w:rFonts w:ascii="Arial" w:hAnsi="Arial" w:cs="Arial"/>
        </w:rPr>
        <w:t>Ograničena dostupnost informacija žrtvama o procedurama prijavljivanja krivičnog djela, pravima koja im pripadaju u slučaju da prijave izvršenje krivičnog djela, uključujući mogućnost aktivnog učešća u postupku, ali i dostupne mehanizme podrške, zaštite i kompenzacije, nerijetko odvraća žrtve od prijavljivanja krivičnog djela.</w:t>
      </w:r>
    </w:p>
    <w:p w14:paraId="5FD5C5A6" w14:textId="77777777" w:rsidR="00E9112A" w:rsidRPr="0085657D" w:rsidRDefault="00E9112A" w:rsidP="007F5AA4">
      <w:pPr>
        <w:spacing w:line="276" w:lineRule="auto"/>
        <w:rPr>
          <w:rFonts w:ascii="Arial" w:hAnsi="Arial" w:cs="Arial"/>
        </w:rPr>
      </w:pPr>
    </w:p>
    <w:p w14:paraId="55A01523" w14:textId="77777777" w:rsidR="007F5AA4" w:rsidRPr="0085657D" w:rsidRDefault="007F5AA4" w:rsidP="007F5AA4">
      <w:pPr>
        <w:spacing w:line="276" w:lineRule="auto"/>
        <w:rPr>
          <w:rFonts w:ascii="Arial" w:hAnsi="Arial" w:cs="Arial"/>
        </w:rPr>
      </w:pPr>
      <w:r w:rsidRPr="0085657D">
        <w:rPr>
          <w:rFonts w:ascii="Arial" w:hAnsi="Arial" w:cs="Arial"/>
        </w:rPr>
        <w:lastRenderedPageBreak/>
        <w:t>Polazeći od ove činjenice, ali i imajući u vidi da razlike među socijalnim kontekstima viktimizacije postoji potreba za diversifikacijom modela informisanja žrtava, uključujući konvencionalne modele (informativne brošure, SOS telefonske linije, štampane i elektronske medije), ali i kroz upotrebu digitalnih tehnologija, odnosno putem informativnih internet stranica i društvenih mreža.</w:t>
      </w:r>
    </w:p>
    <w:p w14:paraId="7957CE02" w14:textId="47AFD75D" w:rsidR="007F5AA4" w:rsidRPr="0085657D" w:rsidRDefault="007F5AA4" w:rsidP="007F5AA4">
      <w:pPr>
        <w:jc w:val="center"/>
        <w:rPr>
          <w:rFonts w:ascii="Arial" w:hAnsi="Arial" w:cs="Arial"/>
        </w:rPr>
      </w:pPr>
      <w:r>
        <w:rPr>
          <w:rFonts w:ascii="Arial" w:hAnsi="Arial" w:cs="Arial"/>
          <w:i/>
          <w:iCs/>
        </w:rPr>
        <w:t xml:space="preserve">Tabela </w:t>
      </w:r>
      <w:r w:rsidR="001426F1">
        <w:rPr>
          <w:rFonts w:ascii="Arial" w:hAnsi="Arial" w:cs="Arial"/>
          <w:i/>
          <w:iCs/>
        </w:rPr>
        <w:t>21</w:t>
      </w:r>
      <w:r w:rsidRPr="0085657D">
        <w:rPr>
          <w:rFonts w:ascii="Arial" w:hAnsi="Arial" w:cs="Arial"/>
          <w:i/>
          <w:iCs/>
        </w:rPr>
        <w:t xml:space="preserve">: Indikatori realizacije Operativnog cilja </w:t>
      </w:r>
      <w:r w:rsidR="001426F1">
        <w:rPr>
          <w:rFonts w:ascii="Arial" w:hAnsi="Arial" w:cs="Arial"/>
          <w:i/>
          <w:iCs/>
        </w:rPr>
        <w:t>5.1</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104"/>
        <w:gridCol w:w="3221"/>
        <w:gridCol w:w="1402"/>
        <w:gridCol w:w="1261"/>
        <w:gridCol w:w="1352"/>
      </w:tblGrid>
      <w:tr w:rsidR="007F5AA4" w:rsidRPr="0085657D" w14:paraId="6D4A15B0" w14:textId="77777777" w:rsidTr="00F76631">
        <w:trPr>
          <w:trHeight w:val="575"/>
        </w:trPr>
        <w:tc>
          <w:tcPr>
            <w:tcW w:w="1126" w:type="pct"/>
            <w:tcBorders>
              <w:top w:val="double" w:sz="4" w:space="0" w:color="auto"/>
            </w:tcBorders>
            <w:shd w:val="clear" w:color="auto" w:fill="FAE2D5" w:themeFill="accent2" w:themeFillTint="33"/>
          </w:tcPr>
          <w:p w14:paraId="38870AF4" w14:textId="7777777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 xml:space="preserve">Operativni </w:t>
            </w:r>
          </w:p>
          <w:p w14:paraId="2FBBFF98" w14:textId="7777777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cilj</w:t>
            </w:r>
          </w:p>
        </w:tc>
        <w:tc>
          <w:tcPr>
            <w:tcW w:w="1724" w:type="pct"/>
            <w:tcBorders>
              <w:top w:val="double" w:sz="4" w:space="0" w:color="auto"/>
            </w:tcBorders>
            <w:shd w:val="clear" w:color="auto" w:fill="FAE2D5" w:themeFill="accent2" w:themeFillTint="33"/>
          </w:tcPr>
          <w:p w14:paraId="5A493299" w14:textId="7777777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0" w:type="pct"/>
            <w:tcBorders>
              <w:top w:val="double" w:sz="4" w:space="0" w:color="auto"/>
            </w:tcBorders>
            <w:shd w:val="clear" w:color="auto" w:fill="FAE2D5" w:themeFill="accent2" w:themeFillTint="33"/>
          </w:tcPr>
          <w:p w14:paraId="45270341" w14:textId="7777777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04B4AF21" w14:textId="7777777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2024.</w:t>
            </w:r>
          </w:p>
        </w:tc>
        <w:tc>
          <w:tcPr>
            <w:tcW w:w="675" w:type="pct"/>
            <w:tcBorders>
              <w:top w:val="double" w:sz="4" w:space="0" w:color="auto"/>
            </w:tcBorders>
            <w:shd w:val="clear" w:color="auto" w:fill="FAE2D5" w:themeFill="accent2" w:themeFillTint="33"/>
          </w:tcPr>
          <w:p w14:paraId="22AF48A7" w14:textId="77777777" w:rsidR="007F5AA4" w:rsidRPr="00E9112A" w:rsidRDefault="007F5AA4" w:rsidP="00F76631">
            <w:pPr>
              <w:spacing w:after="160"/>
              <w:rPr>
                <w:rFonts w:ascii="Arial" w:eastAsiaTheme="minorHAnsi" w:hAnsi="Arial" w:cs="Arial"/>
                <w:lang w:eastAsia="en-US"/>
              </w:rPr>
            </w:pPr>
            <w:r w:rsidRPr="00E9112A">
              <w:rPr>
                <w:rFonts w:ascii="Arial" w:eastAsiaTheme="minorHAnsi" w:hAnsi="Arial" w:cs="Arial"/>
                <w:lang w:eastAsia="en-US"/>
              </w:rPr>
              <w:t>Prelazna vrijednost 2027.</w:t>
            </w:r>
          </w:p>
        </w:tc>
        <w:tc>
          <w:tcPr>
            <w:tcW w:w="724" w:type="pct"/>
            <w:tcBorders>
              <w:top w:val="double" w:sz="4" w:space="0" w:color="auto"/>
              <w:right w:val="double" w:sz="4" w:space="0" w:color="auto"/>
            </w:tcBorders>
            <w:shd w:val="clear" w:color="auto" w:fill="FAE2D5" w:themeFill="accent2" w:themeFillTint="33"/>
          </w:tcPr>
          <w:p w14:paraId="3982E2F8" w14:textId="7777777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Ciljana vrijednost 202</w:t>
            </w:r>
            <w:r>
              <w:rPr>
                <w:rFonts w:ascii="Arial" w:eastAsiaTheme="minorHAnsi" w:hAnsi="Arial" w:cs="Arial"/>
                <w:lang w:eastAsia="en-US"/>
              </w:rPr>
              <w:t>9</w:t>
            </w:r>
            <w:r w:rsidRPr="0085657D">
              <w:rPr>
                <w:rFonts w:ascii="Arial" w:eastAsiaTheme="minorHAnsi" w:hAnsi="Arial" w:cs="Arial"/>
                <w:lang w:eastAsia="en-US"/>
              </w:rPr>
              <w:t>.</w:t>
            </w:r>
          </w:p>
        </w:tc>
      </w:tr>
      <w:tr w:rsidR="007F5AA4" w:rsidRPr="0085657D" w14:paraId="2F8D244D" w14:textId="77777777" w:rsidTr="00F76631">
        <w:trPr>
          <w:trHeight w:val="866"/>
        </w:trPr>
        <w:tc>
          <w:tcPr>
            <w:tcW w:w="1126" w:type="pct"/>
            <w:vMerge w:val="restart"/>
            <w:tcBorders>
              <w:top w:val="double" w:sz="4" w:space="0" w:color="auto"/>
            </w:tcBorders>
            <w:shd w:val="clear" w:color="auto" w:fill="D9F2D0" w:themeFill="accent6" w:themeFillTint="33"/>
          </w:tcPr>
          <w:p w14:paraId="4E2EF9B9" w14:textId="1D2CBFA8" w:rsidR="007F5AA4" w:rsidRPr="0085657D" w:rsidRDefault="001426F1" w:rsidP="00F76631">
            <w:pPr>
              <w:spacing w:after="160"/>
              <w:rPr>
                <w:rFonts w:ascii="Arial" w:eastAsiaTheme="minorHAnsi" w:hAnsi="Arial" w:cs="Arial"/>
                <w:lang w:eastAsia="en-US"/>
              </w:rPr>
            </w:pPr>
            <w:r>
              <w:rPr>
                <w:rFonts w:ascii="Arial" w:eastAsiaTheme="minorHAnsi" w:hAnsi="Arial" w:cs="Arial"/>
                <w:lang w:eastAsia="en-US"/>
              </w:rPr>
              <w:t>5.1.</w:t>
            </w:r>
          </w:p>
          <w:p w14:paraId="7B2F008D" w14:textId="77777777" w:rsidR="007F5AA4" w:rsidRPr="0085657D" w:rsidRDefault="007F5AA4" w:rsidP="00F76631">
            <w:pPr>
              <w:spacing w:after="160"/>
              <w:rPr>
                <w:rFonts w:ascii="Arial" w:eastAsiaTheme="minorHAnsi" w:hAnsi="Arial" w:cs="Arial"/>
                <w:lang w:eastAsia="en-US"/>
              </w:rPr>
            </w:pPr>
            <w:r>
              <w:rPr>
                <w:rFonts w:ascii="Arial" w:eastAsiaTheme="minorHAnsi" w:hAnsi="Arial" w:cs="Arial"/>
                <w:lang w:eastAsia="en-US"/>
              </w:rPr>
              <w:t>Unapr</w:t>
            </w:r>
            <w:r w:rsidRPr="0085657D">
              <w:rPr>
                <w:rFonts w:ascii="Arial" w:eastAsiaTheme="minorHAnsi" w:hAnsi="Arial" w:cs="Arial"/>
                <w:lang w:eastAsia="en-US"/>
              </w:rPr>
              <w:t>eđenje dostupnosti informacija o pravima žrtava</w:t>
            </w:r>
          </w:p>
          <w:p w14:paraId="553512F6" w14:textId="77777777" w:rsidR="007F5AA4" w:rsidRPr="0085657D" w:rsidRDefault="007F5AA4" w:rsidP="00F76631">
            <w:pPr>
              <w:spacing w:after="160"/>
              <w:rPr>
                <w:rFonts w:ascii="Arial" w:eastAsiaTheme="minorHAnsi" w:hAnsi="Arial" w:cs="Arial"/>
                <w:lang w:eastAsia="en-US"/>
              </w:rPr>
            </w:pPr>
          </w:p>
        </w:tc>
        <w:tc>
          <w:tcPr>
            <w:tcW w:w="1724" w:type="pct"/>
            <w:tcBorders>
              <w:top w:val="double" w:sz="4" w:space="0" w:color="auto"/>
            </w:tcBorders>
            <w:shd w:val="clear" w:color="auto" w:fill="FFFFFF" w:themeFill="background1"/>
          </w:tcPr>
          <w:p w14:paraId="70255D60" w14:textId="77777777" w:rsidR="007F5AA4" w:rsidRPr="0085657D" w:rsidRDefault="007F5AA4" w:rsidP="00F76631">
            <w:pPr>
              <w:rPr>
                <w:rFonts w:ascii="Arial" w:eastAsia="Segoe UI" w:hAnsi="Arial" w:cs="Arial"/>
              </w:rPr>
            </w:pPr>
            <w:r w:rsidRPr="0085657D">
              <w:rPr>
                <w:rFonts w:ascii="Arial" w:eastAsia="Segoe UI" w:hAnsi="Arial" w:cs="Arial"/>
              </w:rPr>
              <w:t>Web sajtovi Ministarstva pravde, sudova, državnih tužilaštava, Ministarstva unutrašnjih poslova i Ministarstva socijalnog staranja, brige o porodici i demografije kao i specijalizovane internet stranice posvećene pravima žrtava kontinuirano se ažuriraju</w:t>
            </w:r>
          </w:p>
          <w:p w14:paraId="647C2F4C" w14:textId="77777777" w:rsidR="007F5AA4" w:rsidRPr="0085657D" w:rsidRDefault="007F5AA4" w:rsidP="00F76631">
            <w:pPr>
              <w:shd w:val="clear" w:color="auto" w:fill="FFFFFF" w:themeFill="background1"/>
              <w:spacing w:after="240"/>
              <w:rPr>
                <w:rFonts w:ascii="Arial" w:eastAsiaTheme="minorHAnsi" w:hAnsi="Arial" w:cs="Arial"/>
                <w:lang w:eastAsia="en-US"/>
              </w:rPr>
            </w:pPr>
          </w:p>
        </w:tc>
        <w:tc>
          <w:tcPr>
            <w:tcW w:w="750" w:type="pct"/>
            <w:tcBorders>
              <w:top w:val="double" w:sz="4" w:space="0" w:color="auto"/>
            </w:tcBorders>
            <w:shd w:val="clear" w:color="auto" w:fill="FFFFFF" w:themeFill="background1"/>
          </w:tcPr>
          <w:p w14:paraId="0B2F6788" w14:textId="77777777"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675" w:type="pct"/>
            <w:tcBorders>
              <w:top w:val="double" w:sz="4" w:space="0" w:color="auto"/>
            </w:tcBorders>
            <w:shd w:val="clear" w:color="auto" w:fill="FFFFFF" w:themeFill="background1"/>
          </w:tcPr>
          <w:p w14:paraId="34A3759E" w14:textId="77777777" w:rsidR="007F5AA4" w:rsidRPr="00E9112A" w:rsidRDefault="007F5AA4" w:rsidP="00F76631">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DA</w:t>
            </w:r>
          </w:p>
        </w:tc>
        <w:tc>
          <w:tcPr>
            <w:tcW w:w="724" w:type="pct"/>
            <w:tcBorders>
              <w:top w:val="double" w:sz="4" w:space="0" w:color="auto"/>
              <w:right w:val="double" w:sz="4" w:space="0" w:color="auto"/>
            </w:tcBorders>
            <w:shd w:val="clear" w:color="auto" w:fill="FFFFFF" w:themeFill="background1"/>
          </w:tcPr>
          <w:p w14:paraId="7DE4047D" w14:textId="77777777"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7F5AA4" w:rsidRPr="0085657D" w14:paraId="34E65125" w14:textId="77777777" w:rsidTr="00F76631">
        <w:trPr>
          <w:trHeight w:val="254"/>
        </w:trPr>
        <w:tc>
          <w:tcPr>
            <w:tcW w:w="1126" w:type="pct"/>
            <w:vMerge/>
            <w:tcBorders>
              <w:bottom w:val="double" w:sz="4" w:space="0" w:color="auto"/>
            </w:tcBorders>
            <w:shd w:val="clear" w:color="auto" w:fill="D9F2D0" w:themeFill="accent6" w:themeFillTint="33"/>
          </w:tcPr>
          <w:p w14:paraId="54B65F3C" w14:textId="77777777" w:rsidR="007F5AA4" w:rsidRPr="0085657D" w:rsidRDefault="007F5AA4" w:rsidP="00F76631">
            <w:pPr>
              <w:spacing w:after="160"/>
              <w:rPr>
                <w:rFonts w:ascii="Arial" w:eastAsiaTheme="minorHAnsi" w:hAnsi="Arial" w:cs="Arial"/>
                <w:lang w:eastAsia="en-US"/>
              </w:rPr>
            </w:pPr>
          </w:p>
        </w:tc>
        <w:tc>
          <w:tcPr>
            <w:tcW w:w="1724" w:type="pct"/>
            <w:tcBorders>
              <w:top w:val="double" w:sz="4" w:space="0" w:color="auto"/>
              <w:bottom w:val="double" w:sz="4" w:space="0" w:color="auto"/>
            </w:tcBorders>
            <w:shd w:val="clear" w:color="auto" w:fill="FFFFFF" w:themeFill="background1"/>
          </w:tcPr>
          <w:p w14:paraId="737062A7" w14:textId="77777777" w:rsidR="007F5AA4" w:rsidRPr="0085657D" w:rsidRDefault="007F5AA4" w:rsidP="00F76631">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Informacije o pravima žrtava dostupne u specijalizovanim višejezičnim brošurama čiji se tiraži redovno doštampavaju uz periodično unapređenje sadržaja.</w:t>
            </w:r>
          </w:p>
        </w:tc>
        <w:tc>
          <w:tcPr>
            <w:tcW w:w="750" w:type="pct"/>
            <w:tcBorders>
              <w:top w:val="double" w:sz="4" w:space="0" w:color="auto"/>
              <w:bottom w:val="double" w:sz="4" w:space="0" w:color="auto"/>
            </w:tcBorders>
            <w:shd w:val="clear" w:color="auto" w:fill="FFFFFF" w:themeFill="background1"/>
          </w:tcPr>
          <w:p w14:paraId="3985830D" w14:textId="77777777"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675" w:type="pct"/>
            <w:tcBorders>
              <w:top w:val="double" w:sz="4" w:space="0" w:color="auto"/>
              <w:bottom w:val="double" w:sz="4" w:space="0" w:color="auto"/>
            </w:tcBorders>
            <w:shd w:val="clear" w:color="auto" w:fill="FFFFFF" w:themeFill="background1"/>
          </w:tcPr>
          <w:p w14:paraId="5201503B" w14:textId="77777777"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c>
          <w:tcPr>
            <w:tcW w:w="724" w:type="pct"/>
            <w:tcBorders>
              <w:top w:val="double" w:sz="4" w:space="0" w:color="auto"/>
              <w:bottom w:val="double" w:sz="4" w:space="0" w:color="auto"/>
              <w:right w:val="double" w:sz="4" w:space="0" w:color="auto"/>
            </w:tcBorders>
            <w:shd w:val="clear" w:color="auto" w:fill="FFFFFF" w:themeFill="background1"/>
          </w:tcPr>
          <w:p w14:paraId="176FBE5A" w14:textId="77777777"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bl>
    <w:p w14:paraId="02C3D91A" w14:textId="77777777" w:rsidR="007F5AA4" w:rsidRPr="0085657D" w:rsidRDefault="007F5AA4" w:rsidP="007F5AA4">
      <w:pPr>
        <w:spacing w:after="0"/>
        <w:rPr>
          <w:rFonts w:ascii="Arial" w:hAnsi="Arial" w:cs="Arial"/>
        </w:rPr>
      </w:pPr>
    </w:p>
    <w:p w14:paraId="08134E2B" w14:textId="77777777" w:rsidR="00B718E7" w:rsidRPr="0085657D" w:rsidRDefault="00B718E7" w:rsidP="00AB3E75">
      <w:pPr>
        <w:rPr>
          <w:rFonts w:ascii="Arial" w:hAnsi="Arial" w:cs="Arial"/>
          <w:highlight w:val="yellow"/>
        </w:rPr>
      </w:pPr>
    </w:p>
    <w:p w14:paraId="67AA8BBB" w14:textId="2311CD27" w:rsidR="00AB3E75" w:rsidRPr="0085657D" w:rsidRDefault="003D0A5B" w:rsidP="00B754C8">
      <w:pPr>
        <w:pStyle w:val="Heading3"/>
        <w:spacing w:after="240"/>
        <w:ind w:left="360"/>
        <w:rPr>
          <w:rFonts w:ascii="Arial" w:hAnsi="Arial" w:cs="Arial"/>
          <w:sz w:val="22"/>
          <w:szCs w:val="22"/>
        </w:rPr>
      </w:pPr>
      <w:bookmarkStart w:id="79" w:name="_Toc208489223"/>
      <w:r w:rsidRPr="0085657D">
        <w:rPr>
          <w:rFonts w:ascii="Arial" w:hAnsi="Arial" w:cs="Arial"/>
          <w:sz w:val="22"/>
          <w:szCs w:val="22"/>
          <w14:ligatures w14:val="standardContextual"/>
        </w:rPr>
        <w:t xml:space="preserve">Operativni cilj </w:t>
      </w:r>
      <w:r w:rsidR="001426F1">
        <w:rPr>
          <w:rFonts w:ascii="Arial" w:hAnsi="Arial" w:cs="Arial"/>
          <w:sz w:val="22"/>
          <w:szCs w:val="22"/>
          <w14:ligatures w14:val="standardContextual"/>
        </w:rPr>
        <w:t>5</w:t>
      </w:r>
      <w:r w:rsidR="00AB3E75" w:rsidRPr="0085657D">
        <w:rPr>
          <w:rFonts w:ascii="Arial" w:hAnsi="Arial" w:cs="Arial"/>
          <w:sz w:val="22"/>
          <w:szCs w:val="22"/>
          <w14:ligatures w14:val="standardContextual"/>
        </w:rPr>
        <w:t>.</w:t>
      </w:r>
      <w:r w:rsidR="001426F1">
        <w:rPr>
          <w:rFonts w:ascii="Arial" w:hAnsi="Arial" w:cs="Arial"/>
          <w:sz w:val="22"/>
          <w:szCs w:val="22"/>
          <w14:ligatures w14:val="standardContextual"/>
        </w:rPr>
        <w:t>2</w:t>
      </w:r>
      <w:r w:rsidRPr="0085657D">
        <w:rPr>
          <w:rFonts w:ascii="Arial" w:hAnsi="Arial" w:cs="Arial"/>
          <w:sz w:val="22"/>
          <w:szCs w:val="22"/>
          <w14:ligatures w14:val="standardContextual"/>
        </w:rPr>
        <w:t>:</w:t>
      </w:r>
      <w:r w:rsidR="00AB3E75" w:rsidRPr="0085657D">
        <w:rPr>
          <w:rFonts w:ascii="Arial" w:hAnsi="Arial" w:cs="Arial"/>
          <w:sz w:val="22"/>
          <w:szCs w:val="22"/>
          <w14:ligatures w14:val="standardContextual"/>
        </w:rPr>
        <w:t xml:space="preserve"> </w:t>
      </w:r>
      <w:r w:rsidR="00500F94" w:rsidRPr="0085657D">
        <w:rPr>
          <w:rFonts w:ascii="Arial" w:hAnsi="Arial" w:cs="Arial"/>
          <w:sz w:val="22"/>
          <w:szCs w:val="22"/>
        </w:rPr>
        <w:t>Unapređenje</w:t>
      </w:r>
      <w:r w:rsidR="00C06324" w:rsidRPr="0085657D">
        <w:rPr>
          <w:rFonts w:ascii="Arial" w:hAnsi="Arial" w:cs="Arial"/>
          <w:sz w:val="22"/>
          <w:szCs w:val="22"/>
        </w:rPr>
        <w:t xml:space="preserve"> znanja sudija, tužilaca, pripadnika policije, advokata i novinara o pravima žrtava</w:t>
      </w:r>
      <w:bookmarkEnd w:id="79"/>
    </w:p>
    <w:p w14:paraId="14BF630C" w14:textId="34539814" w:rsidR="005B3319" w:rsidRPr="0085657D" w:rsidRDefault="00C6236E" w:rsidP="005B3319">
      <w:pPr>
        <w:spacing w:line="276" w:lineRule="auto"/>
        <w:rPr>
          <w:rFonts w:ascii="Arial" w:hAnsi="Arial" w:cs="Arial"/>
        </w:rPr>
      </w:pPr>
      <w:r w:rsidRPr="0085657D">
        <w:rPr>
          <w:rFonts w:ascii="Arial" w:hAnsi="Arial" w:cs="Arial"/>
        </w:rPr>
        <w:t>Ozbiljnost psiho</w:t>
      </w:r>
      <w:r w:rsidR="00227D26">
        <w:rPr>
          <w:rFonts w:ascii="Arial" w:hAnsi="Arial" w:cs="Arial"/>
        </w:rPr>
        <w:t>-</w:t>
      </w:r>
      <w:r w:rsidRPr="0085657D">
        <w:rPr>
          <w:rFonts w:ascii="Arial" w:hAnsi="Arial" w:cs="Arial"/>
        </w:rPr>
        <w:t xml:space="preserve">fizičkih posljedica koje viktimizacija ostavlja na žrtve zahtijeva </w:t>
      </w:r>
      <w:r w:rsidR="00B82897" w:rsidRPr="0085657D">
        <w:rPr>
          <w:rFonts w:ascii="Arial" w:hAnsi="Arial" w:cs="Arial"/>
        </w:rPr>
        <w:t>specifičnu senzibilizaciju profesionalaca u različitim oblastima koji dolaze u kontakt sa žrtvom. U tom smislu, neophodno je razvijanje programa obuke i</w:t>
      </w:r>
      <w:r w:rsidR="000C41AB" w:rsidRPr="0085657D">
        <w:rPr>
          <w:rFonts w:ascii="Arial" w:hAnsi="Arial" w:cs="Arial"/>
        </w:rPr>
        <w:t xml:space="preserve"> kontinuirano </w:t>
      </w:r>
      <w:r w:rsidR="00500F94" w:rsidRPr="0085657D">
        <w:rPr>
          <w:rFonts w:ascii="Arial" w:hAnsi="Arial" w:cs="Arial"/>
        </w:rPr>
        <w:t>unapređenje</w:t>
      </w:r>
      <w:r w:rsidR="000C41AB" w:rsidRPr="0085657D">
        <w:rPr>
          <w:rFonts w:ascii="Arial" w:hAnsi="Arial" w:cs="Arial"/>
        </w:rPr>
        <w:t xml:space="preserve"> znanja i vještina pripadnika policije, sudija, tužilaca</w:t>
      </w:r>
      <w:r w:rsidR="005B3319" w:rsidRPr="0085657D">
        <w:rPr>
          <w:rFonts w:ascii="Arial" w:hAnsi="Arial" w:cs="Arial"/>
        </w:rPr>
        <w:t xml:space="preserve"> i </w:t>
      </w:r>
      <w:r w:rsidR="000C41AB" w:rsidRPr="0085657D">
        <w:rPr>
          <w:rFonts w:ascii="Arial" w:hAnsi="Arial" w:cs="Arial"/>
        </w:rPr>
        <w:t xml:space="preserve">advokata, </w:t>
      </w:r>
      <w:r w:rsidR="00951507" w:rsidRPr="0085657D">
        <w:rPr>
          <w:rFonts w:ascii="Arial" w:hAnsi="Arial" w:cs="Arial"/>
        </w:rPr>
        <w:t xml:space="preserve">ali i </w:t>
      </w:r>
      <w:r w:rsidR="000C41AB" w:rsidRPr="0085657D">
        <w:rPr>
          <w:rFonts w:ascii="Arial" w:hAnsi="Arial" w:cs="Arial"/>
        </w:rPr>
        <w:t>novinara</w:t>
      </w:r>
      <w:r w:rsidR="00951507" w:rsidRPr="0085657D">
        <w:rPr>
          <w:rFonts w:ascii="Arial" w:hAnsi="Arial" w:cs="Arial"/>
        </w:rPr>
        <w:t>,</w:t>
      </w:r>
      <w:r w:rsidR="000C41AB" w:rsidRPr="0085657D">
        <w:rPr>
          <w:rFonts w:ascii="Arial" w:hAnsi="Arial" w:cs="Arial"/>
        </w:rPr>
        <w:t xml:space="preserve"> zdravstvenih radnika</w:t>
      </w:r>
      <w:r w:rsidR="00951507" w:rsidRPr="0085657D">
        <w:rPr>
          <w:rFonts w:ascii="Arial" w:hAnsi="Arial" w:cs="Arial"/>
        </w:rPr>
        <w:t xml:space="preserve"> i školskih psihologa. </w:t>
      </w:r>
    </w:p>
    <w:p w14:paraId="0D477C3C" w14:textId="270C6645" w:rsidR="005B3319" w:rsidRDefault="005B3319" w:rsidP="005B3319">
      <w:pPr>
        <w:spacing w:line="276" w:lineRule="auto"/>
        <w:rPr>
          <w:rFonts w:ascii="Arial" w:hAnsi="Arial" w:cs="Arial"/>
        </w:rPr>
      </w:pPr>
      <w:r w:rsidRPr="0085657D">
        <w:rPr>
          <w:rFonts w:ascii="Arial" w:hAnsi="Arial" w:cs="Arial"/>
        </w:rPr>
        <w:t>Na ovaj način bi se smanjili rizici sekundarne viktimizacije u kontaktu sa institucijama, ali i kroz medijsko izvještavanje o krivičnom djelu i/ili krivičnom postupku koji se vodi u vezi sa tim krivičnim djelom.</w:t>
      </w:r>
    </w:p>
    <w:p w14:paraId="21BC2D4D" w14:textId="4B229A58" w:rsidR="00E9112A" w:rsidRDefault="00E9112A" w:rsidP="005B3319">
      <w:pPr>
        <w:spacing w:line="276" w:lineRule="auto"/>
        <w:rPr>
          <w:rFonts w:ascii="Arial" w:hAnsi="Arial" w:cs="Arial"/>
        </w:rPr>
      </w:pPr>
    </w:p>
    <w:p w14:paraId="098804BA" w14:textId="422A167B" w:rsidR="00E9112A" w:rsidRDefault="00E9112A" w:rsidP="005B3319">
      <w:pPr>
        <w:spacing w:line="276" w:lineRule="auto"/>
        <w:rPr>
          <w:rFonts w:ascii="Arial" w:hAnsi="Arial" w:cs="Arial"/>
        </w:rPr>
      </w:pPr>
    </w:p>
    <w:p w14:paraId="63AD4E63" w14:textId="77777777" w:rsidR="00E9112A" w:rsidRPr="0085657D" w:rsidRDefault="00E9112A" w:rsidP="005B3319">
      <w:pPr>
        <w:spacing w:line="276" w:lineRule="auto"/>
        <w:rPr>
          <w:rFonts w:ascii="Arial" w:hAnsi="Arial" w:cs="Arial"/>
        </w:rPr>
      </w:pPr>
    </w:p>
    <w:p w14:paraId="0A75B81B" w14:textId="202702EC" w:rsidR="00AB3E75" w:rsidRPr="0085657D" w:rsidRDefault="00AB3E75" w:rsidP="00AB3E75">
      <w:pPr>
        <w:jc w:val="center"/>
        <w:rPr>
          <w:rFonts w:ascii="Arial" w:hAnsi="Arial" w:cs="Arial"/>
        </w:rPr>
      </w:pPr>
      <w:r w:rsidRPr="0085657D">
        <w:rPr>
          <w:rFonts w:ascii="Arial" w:hAnsi="Arial" w:cs="Arial"/>
          <w:i/>
          <w:iCs/>
        </w:rPr>
        <w:lastRenderedPageBreak/>
        <w:t>Tabela 2</w:t>
      </w:r>
      <w:r w:rsidR="003A4390">
        <w:rPr>
          <w:rFonts w:ascii="Arial" w:hAnsi="Arial" w:cs="Arial"/>
          <w:i/>
          <w:iCs/>
        </w:rPr>
        <w:t>2</w:t>
      </w:r>
      <w:r w:rsidRPr="0085657D">
        <w:rPr>
          <w:rFonts w:ascii="Arial" w:hAnsi="Arial" w:cs="Arial"/>
          <w:i/>
          <w:iCs/>
        </w:rPr>
        <w:t xml:space="preserve">: Indikatori realizacije Operativnog cilja </w:t>
      </w:r>
      <w:r w:rsidR="001426F1">
        <w:rPr>
          <w:rFonts w:ascii="Arial" w:hAnsi="Arial" w:cs="Arial"/>
          <w:i/>
          <w:iCs/>
        </w:rPr>
        <w:t>5</w:t>
      </w:r>
      <w:r w:rsidRPr="0085657D">
        <w:rPr>
          <w:rFonts w:ascii="Arial" w:hAnsi="Arial" w:cs="Arial"/>
          <w:i/>
          <w:iCs/>
        </w:rPr>
        <w:t>.</w:t>
      </w:r>
      <w:r w:rsidR="001426F1">
        <w:rPr>
          <w:rFonts w:ascii="Arial" w:hAnsi="Arial" w:cs="Arial"/>
          <w:i/>
          <w:iCs/>
        </w:rPr>
        <w:t>2</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548"/>
        <w:gridCol w:w="2970"/>
        <w:gridCol w:w="1274"/>
        <w:gridCol w:w="1274"/>
        <w:gridCol w:w="1274"/>
      </w:tblGrid>
      <w:tr w:rsidR="007176FB" w:rsidRPr="0085657D" w14:paraId="16B44D8C" w14:textId="77777777" w:rsidTr="003A4390">
        <w:trPr>
          <w:trHeight w:val="254"/>
        </w:trPr>
        <w:tc>
          <w:tcPr>
            <w:tcW w:w="1364" w:type="pct"/>
            <w:tcBorders>
              <w:top w:val="double" w:sz="4" w:space="0" w:color="auto"/>
            </w:tcBorders>
            <w:shd w:val="clear" w:color="auto" w:fill="FAE2D5" w:themeFill="accent2" w:themeFillTint="33"/>
          </w:tcPr>
          <w:p w14:paraId="6124A106" w14:textId="77777777" w:rsidR="00AB3E75" w:rsidRPr="0085657D" w:rsidRDefault="00AB3E75" w:rsidP="00C921B0">
            <w:pPr>
              <w:rPr>
                <w:rFonts w:ascii="Arial" w:hAnsi="Arial" w:cs="Arial"/>
              </w:rPr>
            </w:pPr>
            <w:r w:rsidRPr="0085657D">
              <w:rPr>
                <w:rFonts w:ascii="Arial" w:hAnsi="Arial" w:cs="Arial"/>
              </w:rPr>
              <w:t xml:space="preserve">Operativni </w:t>
            </w:r>
          </w:p>
          <w:p w14:paraId="55424C61" w14:textId="77777777" w:rsidR="00AB3E75" w:rsidRPr="0085657D" w:rsidRDefault="00AB3E75" w:rsidP="00C921B0">
            <w:pPr>
              <w:rPr>
                <w:rFonts w:ascii="Arial" w:hAnsi="Arial" w:cs="Arial"/>
              </w:rPr>
            </w:pPr>
            <w:r w:rsidRPr="0085657D">
              <w:rPr>
                <w:rFonts w:ascii="Arial" w:hAnsi="Arial" w:cs="Arial"/>
              </w:rPr>
              <w:t>cilj</w:t>
            </w:r>
          </w:p>
        </w:tc>
        <w:tc>
          <w:tcPr>
            <w:tcW w:w="1590" w:type="pct"/>
            <w:tcBorders>
              <w:top w:val="double" w:sz="4" w:space="0" w:color="auto"/>
              <w:bottom w:val="double" w:sz="4" w:space="0" w:color="auto"/>
            </w:tcBorders>
            <w:shd w:val="clear" w:color="auto" w:fill="FAE2D5" w:themeFill="accent2" w:themeFillTint="33"/>
          </w:tcPr>
          <w:p w14:paraId="6B78FFF9" w14:textId="77777777" w:rsidR="00AB3E75" w:rsidRPr="0085657D" w:rsidRDefault="00AB3E75" w:rsidP="00C921B0">
            <w:pPr>
              <w:rPr>
                <w:rFonts w:ascii="Arial" w:hAnsi="Arial" w:cs="Arial"/>
              </w:rPr>
            </w:pPr>
            <w:r w:rsidRPr="0085657D">
              <w:rPr>
                <w:rFonts w:ascii="Arial" w:hAnsi="Arial" w:cs="Arial"/>
              </w:rPr>
              <w:t>Indikator učinka</w:t>
            </w:r>
          </w:p>
        </w:tc>
        <w:tc>
          <w:tcPr>
            <w:tcW w:w="682" w:type="pct"/>
            <w:tcBorders>
              <w:top w:val="double" w:sz="4" w:space="0" w:color="auto"/>
              <w:bottom w:val="double" w:sz="4" w:space="0" w:color="auto"/>
            </w:tcBorders>
            <w:shd w:val="clear" w:color="auto" w:fill="FAE2D5" w:themeFill="accent2" w:themeFillTint="33"/>
          </w:tcPr>
          <w:p w14:paraId="1C00F263" w14:textId="77777777" w:rsidR="00AB3E75" w:rsidRPr="0085657D" w:rsidRDefault="00AB3E75" w:rsidP="00C921B0">
            <w:pPr>
              <w:rPr>
                <w:rFonts w:ascii="Arial" w:hAnsi="Arial" w:cs="Arial"/>
              </w:rPr>
            </w:pPr>
            <w:r w:rsidRPr="0085657D">
              <w:rPr>
                <w:rFonts w:ascii="Arial" w:hAnsi="Arial" w:cs="Arial"/>
              </w:rPr>
              <w:t>Početna vrijednost</w:t>
            </w:r>
          </w:p>
          <w:p w14:paraId="6B5F8E6A" w14:textId="77777777" w:rsidR="00AB3E75" w:rsidRPr="0085657D" w:rsidRDefault="00AB3E75" w:rsidP="00C921B0">
            <w:pPr>
              <w:rPr>
                <w:rFonts w:ascii="Arial" w:hAnsi="Arial" w:cs="Arial"/>
              </w:rPr>
            </w:pPr>
            <w:r w:rsidRPr="0085657D">
              <w:rPr>
                <w:rFonts w:ascii="Arial" w:hAnsi="Arial" w:cs="Arial"/>
              </w:rPr>
              <w:t>202</w:t>
            </w:r>
            <w:r w:rsidR="007176FB" w:rsidRPr="0085657D">
              <w:rPr>
                <w:rFonts w:ascii="Arial" w:hAnsi="Arial" w:cs="Arial"/>
              </w:rPr>
              <w:t>4</w:t>
            </w:r>
            <w:r w:rsidRPr="0085657D">
              <w:rPr>
                <w:rFonts w:ascii="Arial" w:hAnsi="Arial" w:cs="Arial"/>
              </w:rPr>
              <w:t>.</w:t>
            </w:r>
          </w:p>
        </w:tc>
        <w:tc>
          <w:tcPr>
            <w:tcW w:w="682" w:type="pct"/>
            <w:tcBorders>
              <w:top w:val="double" w:sz="4" w:space="0" w:color="auto"/>
              <w:bottom w:val="double" w:sz="4" w:space="0" w:color="auto"/>
            </w:tcBorders>
            <w:shd w:val="clear" w:color="auto" w:fill="FAE2D5" w:themeFill="accent2" w:themeFillTint="33"/>
          </w:tcPr>
          <w:p w14:paraId="4BE7592A" w14:textId="13A7E6F0" w:rsidR="00AB3E75" w:rsidRPr="0085657D" w:rsidRDefault="00AB3E75"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82" w:type="pct"/>
            <w:tcBorders>
              <w:top w:val="double" w:sz="4" w:space="0" w:color="auto"/>
              <w:bottom w:val="double" w:sz="4" w:space="0" w:color="auto"/>
              <w:right w:val="double" w:sz="4" w:space="0" w:color="auto"/>
            </w:tcBorders>
            <w:shd w:val="clear" w:color="auto" w:fill="FAE2D5" w:themeFill="accent2" w:themeFillTint="33"/>
          </w:tcPr>
          <w:p w14:paraId="05548664" w14:textId="2B533871" w:rsidR="00AB3E75" w:rsidRPr="0085657D" w:rsidRDefault="00AB3E75"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035D12" w:rsidRPr="0085657D" w14:paraId="4C7EC8ED" w14:textId="77777777" w:rsidTr="003A4390">
        <w:trPr>
          <w:trHeight w:val="254"/>
        </w:trPr>
        <w:tc>
          <w:tcPr>
            <w:tcW w:w="1364" w:type="pct"/>
            <w:vMerge w:val="restart"/>
            <w:tcBorders>
              <w:top w:val="double" w:sz="4" w:space="0" w:color="auto"/>
            </w:tcBorders>
            <w:shd w:val="clear" w:color="auto" w:fill="D9F2D0" w:themeFill="accent6" w:themeFillTint="33"/>
          </w:tcPr>
          <w:p w14:paraId="1E0FB593" w14:textId="32A903D2" w:rsidR="00035D12" w:rsidRPr="0085657D" w:rsidRDefault="001426F1" w:rsidP="00035D12">
            <w:pPr>
              <w:rPr>
                <w:rFonts w:ascii="Arial" w:hAnsi="Arial" w:cs="Arial"/>
              </w:rPr>
            </w:pPr>
            <w:r>
              <w:rPr>
                <w:rFonts w:ascii="Arial" w:hAnsi="Arial" w:cs="Arial"/>
              </w:rPr>
              <w:t>5.2.</w:t>
            </w:r>
            <w:r w:rsidR="00035D12" w:rsidRPr="0085657D">
              <w:rPr>
                <w:rFonts w:ascii="Arial" w:hAnsi="Arial" w:cs="Arial"/>
              </w:rPr>
              <w:t xml:space="preserve"> </w:t>
            </w:r>
          </w:p>
          <w:p w14:paraId="5BB58757" w14:textId="3979A81A" w:rsidR="00035D12" w:rsidRPr="0085657D" w:rsidRDefault="003A4390" w:rsidP="00035D12">
            <w:pPr>
              <w:rPr>
                <w:rFonts w:ascii="Arial" w:hAnsi="Arial" w:cs="Arial"/>
              </w:rPr>
            </w:pPr>
            <w:r>
              <w:rPr>
                <w:rFonts w:ascii="Arial" w:hAnsi="Arial" w:cs="Arial"/>
              </w:rPr>
              <w:t>Unapr</w:t>
            </w:r>
            <w:r w:rsidR="00035D12" w:rsidRPr="0085657D">
              <w:rPr>
                <w:rFonts w:ascii="Arial" w:hAnsi="Arial" w:cs="Arial"/>
              </w:rPr>
              <w:t>eđenje znanja sudija, tužilaca, pripadnika policije, advokata i novinara o pravima žrtava</w:t>
            </w:r>
          </w:p>
          <w:p w14:paraId="5E16049F" w14:textId="77777777" w:rsidR="00035D12" w:rsidRPr="0085657D" w:rsidRDefault="00035D12" w:rsidP="00035D12">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0DBC36CF" w14:textId="77777777"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 xml:space="preserve">Utvrđene potrebe za obukama i </w:t>
            </w:r>
            <w:r w:rsidRPr="0085657D">
              <w:rPr>
                <w:rFonts w:ascii="Arial" w:hAnsi="Arial" w:cs="Arial"/>
                <w:lang w:val="en-US"/>
              </w:rPr>
              <w:t>izra</w:t>
            </w:r>
            <w:r w:rsidRPr="0085657D">
              <w:rPr>
                <w:rFonts w:ascii="Arial" w:hAnsi="Arial" w:cs="Arial"/>
              </w:rPr>
              <w:t>đ</w:t>
            </w:r>
            <w:r w:rsidRPr="0085657D">
              <w:rPr>
                <w:rFonts w:ascii="Arial" w:hAnsi="Arial" w:cs="Arial"/>
                <w:lang w:val="en-US"/>
              </w:rPr>
              <w:t>eni</w:t>
            </w:r>
            <w:r w:rsidRPr="0085657D">
              <w:rPr>
                <w:rFonts w:ascii="Arial" w:hAnsi="Arial" w:cs="Arial"/>
              </w:rPr>
              <w:t xml:space="preserve"> </w:t>
            </w:r>
            <w:r w:rsidRPr="0085657D">
              <w:rPr>
                <w:rFonts w:ascii="Arial" w:hAnsi="Arial" w:cs="Arial"/>
                <w:lang w:val="en-US"/>
              </w:rPr>
              <w:t>setovi</w:t>
            </w:r>
            <w:r w:rsidRPr="0085657D">
              <w:rPr>
                <w:rFonts w:ascii="Arial" w:hAnsi="Arial" w:cs="Arial"/>
              </w:rPr>
              <w:t xml:space="preserve"> </w:t>
            </w:r>
            <w:r w:rsidRPr="0085657D">
              <w:rPr>
                <w:rFonts w:ascii="Arial" w:hAnsi="Arial" w:cs="Arial"/>
                <w:lang w:val="en-US"/>
              </w:rPr>
              <w:t>edukativnih</w:t>
            </w:r>
            <w:r w:rsidRPr="0085657D">
              <w:rPr>
                <w:rFonts w:ascii="Arial" w:hAnsi="Arial" w:cs="Arial"/>
              </w:rPr>
              <w:t xml:space="preserve"> alata na temu prava žrtava u pravosuđu</w:t>
            </w:r>
          </w:p>
        </w:tc>
        <w:tc>
          <w:tcPr>
            <w:tcW w:w="682" w:type="pct"/>
            <w:tcBorders>
              <w:top w:val="double" w:sz="4" w:space="0" w:color="auto"/>
              <w:bottom w:val="double" w:sz="4" w:space="0" w:color="auto"/>
            </w:tcBorders>
            <w:shd w:val="clear" w:color="auto" w:fill="FFFFFF" w:themeFill="background1"/>
          </w:tcPr>
          <w:p w14:paraId="088F5E06"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7F16AFD8"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2464DCFE"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r>
      <w:tr w:rsidR="00035D12" w:rsidRPr="0085657D" w14:paraId="4B6A385C" w14:textId="77777777" w:rsidTr="003A4390">
        <w:trPr>
          <w:trHeight w:val="254"/>
        </w:trPr>
        <w:tc>
          <w:tcPr>
            <w:tcW w:w="1364" w:type="pct"/>
            <w:vMerge/>
            <w:shd w:val="clear" w:color="auto" w:fill="D9F2D0" w:themeFill="accent6" w:themeFillTint="33"/>
          </w:tcPr>
          <w:p w14:paraId="36EEFEF8" w14:textId="77777777" w:rsidR="00035D12" w:rsidRPr="0085657D" w:rsidRDefault="00035D12" w:rsidP="00035D12">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09B845E4" w14:textId="77777777" w:rsidR="00035D12" w:rsidRPr="0085657D" w:rsidRDefault="00035D12" w:rsidP="00035D12">
            <w:pPr>
              <w:rPr>
                <w:rFonts w:ascii="Arial" w:hAnsi="Arial" w:cs="Arial"/>
              </w:rPr>
            </w:pPr>
            <w:r w:rsidRPr="0085657D">
              <w:rPr>
                <w:rFonts w:ascii="Arial" w:hAnsi="Arial" w:cs="Arial"/>
              </w:rPr>
              <w:t xml:space="preserve">Utvrđene potrebe za obukama i </w:t>
            </w:r>
            <w:r w:rsidRPr="0085657D">
              <w:rPr>
                <w:rFonts w:ascii="Arial" w:hAnsi="Arial" w:cs="Arial"/>
                <w:lang w:val="en-US"/>
              </w:rPr>
              <w:t>izra</w:t>
            </w:r>
            <w:r w:rsidRPr="0085657D">
              <w:rPr>
                <w:rFonts w:ascii="Arial" w:hAnsi="Arial" w:cs="Arial"/>
              </w:rPr>
              <w:t>đ</w:t>
            </w:r>
            <w:r w:rsidRPr="0085657D">
              <w:rPr>
                <w:rFonts w:ascii="Arial" w:hAnsi="Arial" w:cs="Arial"/>
                <w:lang w:val="en-US"/>
              </w:rPr>
              <w:t>eni</w:t>
            </w:r>
            <w:r w:rsidRPr="0085657D">
              <w:rPr>
                <w:rFonts w:ascii="Arial" w:hAnsi="Arial" w:cs="Arial"/>
              </w:rPr>
              <w:t xml:space="preserve"> </w:t>
            </w:r>
            <w:r w:rsidRPr="0085657D">
              <w:rPr>
                <w:rFonts w:ascii="Arial" w:hAnsi="Arial" w:cs="Arial"/>
                <w:lang w:val="en-US"/>
              </w:rPr>
              <w:t>setovi</w:t>
            </w:r>
            <w:r w:rsidRPr="0085657D">
              <w:rPr>
                <w:rFonts w:ascii="Arial" w:hAnsi="Arial" w:cs="Arial"/>
              </w:rPr>
              <w:t xml:space="preserve"> </w:t>
            </w:r>
            <w:r w:rsidRPr="0085657D">
              <w:rPr>
                <w:rFonts w:ascii="Arial" w:hAnsi="Arial" w:cs="Arial"/>
                <w:lang w:val="en-US"/>
              </w:rPr>
              <w:t>edukativnih</w:t>
            </w:r>
            <w:r w:rsidRPr="0085657D">
              <w:rPr>
                <w:rFonts w:ascii="Arial" w:hAnsi="Arial" w:cs="Arial"/>
              </w:rPr>
              <w:t xml:space="preserve"> alata na temu prava žrtava u policiji</w:t>
            </w:r>
          </w:p>
          <w:p w14:paraId="7D5DEE7A" w14:textId="77777777" w:rsidR="00035D12" w:rsidRPr="0085657D" w:rsidRDefault="00035D12" w:rsidP="00035D12">
            <w:pPr>
              <w:shd w:val="clear" w:color="auto" w:fill="FFFFFF" w:themeFill="background1"/>
              <w:spacing w:after="240"/>
              <w:rPr>
                <w:rFonts w:ascii="Arial" w:hAnsi="Arial" w:cs="Arial"/>
              </w:rPr>
            </w:pPr>
          </w:p>
        </w:tc>
        <w:tc>
          <w:tcPr>
            <w:tcW w:w="682" w:type="pct"/>
            <w:tcBorders>
              <w:top w:val="double" w:sz="4" w:space="0" w:color="auto"/>
              <w:bottom w:val="double" w:sz="4" w:space="0" w:color="auto"/>
            </w:tcBorders>
            <w:shd w:val="clear" w:color="auto" w:fill="FFFFFF" w:themeFill="background1"/>
          </w:tcPr>
          <w:p w14:paraId="1792B66F"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726D7A64"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6CFD45C3"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r>
      <w:tr w:rsidR="00035D12" w:rsidRPr="0085657D" w14:paraId="725951C6" w14:textId="77777777" w:rsidTr="003A4390">
        <w:trPr>
          <w:trHeight w:val="254"/>
        </w:trPr>
        <w:tc>
          <w:tcPr>
            <w:tcW w:w="1364" w:type="pct"/>
            <w:vMerge/>
            <w:shd w:val="clear" w:color="auto" w:fill="D9F2D0" w:themeFill="accent6" w:themeFillTint="33"/>
          </w:tcPr>
          <w:p w14:paraId="4500F844" w14:textId="77777777" w:rsidR="00035D12" w:rsidRPr="0085657D" w:rsidRDefault="00035D12" w:rsidP="00035D12">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5141102F" w14:textId="77777777"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 xml:space="preserve">Utvrđene potrebe za obukama i </w:t>
            </w:r>
            <w:r w:rsidRPr="0085657D">
              <w:rPr>
                <w:rFonts w:ascii="Arial" w:hAnsi="Arial" w:cs="Arial"/>
                <w:lang w:val="en-US"/>
              </w:rPr>
              <w:t>izra</w:t>
            </w:r>
            <w:r w:rsidRPr="0085657D">
              <w:rPr>
                <w:rFonts w:ascii="Arial" w:hAnsi="Arial" w:cs="Arial"/>
              </w:rPr>
              <w:t>đ</w:t>
            </w:r>
            <w:r w:rsidRPr="0085657D">
              <w:rPr>
                <w:rFonts w:ascii="Arial" w:hAnsi="Arial" w:cs="Arial"/>
                <w:lang w:val="en-US"/>
              </w:rPr>
              <w:t>eni</w:t>
            </w:r>
            <w:r w:rsidRPr="0085657D">
              <w:rPr>
                <w:rFonts w:ascii="Arial" w:hAnsi="Arial" w:cs="Arial"/>
              </w:rPr>
              <w:t xml:space="preserve"> </w:t>
            </w:r>
            <w:r w:rsidRPr="0085657D">
              <w:rPr>
                <w:rFonts w:ascii="Arial" w:hAnsi="Arial" w:cs="Arial"/>
                <w:lang w:val="en-US"/>
              </w:rPr>
              <w:t>setovi</w:t>
            </w:r>
            <w:r w:rsidRPr="0085657D">
              <w:rPr>
                <w:rFonts w:ascii="Arial" w:hAnsi="Arial" w:cs="Arial"/>
              </w:rPr>
              <w:t xml:space="preserve"> </w:t>
            </w:r>
            <w:r w:rsidRPr="0085657D">
              <w:rPr>
                <w:rFonts w:ascii="Arial" w:hAnsi="Arial" w:cs="Arial"/>
                <w:lang w:val="en-US"/>
              </w:rPr>
              <w:t>edukativnih</w:t>
            </w:r>
            <w:r w:rsidRPr="0085657D">
              <w:rPr>
                <w:rFonts w:ascii="Arial" w:hAnsi="Arial" w:cs="Arial"/>
              </w:rPr>
              <w:t xml:space="preserve"> alata na temu prava žrtava u medijima</w:t>
            </w:r>
          </w:p>
        </w:tc>
        <w:tc>
          <w:tcPr>
            <w:tcW w:w="682" w:type="pct"/>
            <w:tcBorders>
              <w:top w:val="double" w:sz="4" w:space="0" w:color="auto"/>
              <w:bottom w:val="double" w:sz="4" w:space="0" w:color="auto"/>
            </w:tcBorders>
            <w:shd w:val="clear" w:color="auto" w:fill="FFFFFF" w:themeFill="background1"/>
          </w:tcPr>
          <w:p w14:paraId="4816BFDA"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2BCAF3CD"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23F7BEA4" w14:textId="7777777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r>
    </w:tbl>
    <w:p w14:paraId="729B720D" w14:textId="77777777" w:rsidR="00E52732" w:rsidRPr="0085657D" w:rsidRDefault="00E52732" w:rsidP="00AB3E75">
      <w:pPr>
        <w:rPr>
          <w:rFonts w:ascii="Arial" w:hAnsi="Arial" w:cs="Arial"/>
        </w:rPr>
      </w:pPr>
    </w:p>
    <w:p w14:paraId="50734985" w14:textId="416F7161" w:rsidR="009A76AF" w:rsidRDefault="000F409D" w:rsidP="00E15C11">
      <w:pPr>
        <w:pStyle w:val="Heading2"/>
        <w:spacing w:before="0" w:after="240"/>
        <w:rPr>
          <w:rStyle w:val="Heading3Char"/>
          <w:rFonts w:ascii="Arial" w:hAnsi="Arial" w:cs="Arial"/>
          <w:sz w:val="22"/>
          <w:szCs w:val="22"/>
        </w:rPr>
      </w:pPr>
      <w:bookmarkStart w:id="80" w:name="_Toc208489224"/>
      <w:r w:rsidRPr="0085657D">
        <w:rPr>
          <w:rStyle w:val="Heading3Char"/>
          <w:rFonts w:ascii="Arial" w:hAnsi="Arial" w:cs="Arial"/>
          <w:sz w:val="22"/>
          <w:szCs w:val="22"/>
        </w:rPr>
        <w:t xml:space="preserve">Operativni cilj </w:t>
      </w:r>
      <w:r w:rsidR="001426F1">
        <w:rPr>
          <w:rStyle w:val="Heading3Char"/>
          <w:rFonts w:ascii="Arial" w:hAnsi="Arial" w:cs="Arial"/>
          <w:sz w:val="22"/>
          <w:szCs w:val="22"/>
        </w:rPr>
        <w:t>5.3</w:t>
      </w:r>
      <w:r w:rsidRPr="0085657D">
        <w:rPr>
          <w:rStyle w:val="Heading3Char"/>
          <w:rFonts w:ascii="Arial" w:hAnsi="Arial" w:cs="Arial"/>
          <w:sz w:val="22"/>
          <w:szCs w:val="22"/>
        </w:rPr>
        <w:t>:</w:t>
      </w:r>
      <w:r w:rsidR="00DF4882" w:rsidRPr="0085657D">
        <w:rPr>
          <w:rFonts w:ascii="Arial" w:hAnsi="Arial" w:cs="Arial"/>
          <w:sz w:val="22"/>
          <w:szCs w:val="22"/>
        </w:rPr>
        <w:t xml:space="preserve"> </w:t>
      </w:r>
      <w:r w:rsidR="003A4390" w:rsidRPr="003A4390">
        <w:rPr>
          <w:rStyle w:val="Heading3Char"/>
          <w:rFonts w:ascii="Arial" w:hAnsi="Arial" w:cs="Arial"/>
          <w:sz w:val="22"/>
          <w:szCs w:val="22"/>
        </w:rPr>
        <w:t>Unapređ</w:t>
      </w:r>
      <w:r w:rsidR="007600A4">
        <w:rPr>
          <w:rStyle w:val="Heading3Char"/>
          <w:rFonts w:ascii="Arial" w:hAnsi="Arial" w:cs="Arial"/>
          <w:sz w:val="22"/>
          <w:szCs w:val="22"/>
        </w:rPr>
        <w:t>enje</w:t>
      </w:r>
      <w:r w:rsidR="003A4390" w:rsidRPr="003A4390">
        <w:rPr>
          <w:rStyle w:val="Heading3Char"/>
          <w:rFonts w:ascii="Arial" w:hAnsi="Arial" w:cs="Arial"/>
          <w:sz w:val="22"/>
          <w:szCs w:val="22"/>
        </w:rPr>
        <w:t xml:space="preserve"> kapacitet</w:t>
      </w:r>
      <w:r w:rsidR="007600A4">
        <w:rPr>
          <w:rStyle w:val="Heading3Char"/>
          <w:rFonts w:ascii="Arial" w:hAnsi="Arial" w:cs="Arial"/>
          <w:sz w:val="22"/>
          <w:szCs w:val="22"/>
        </w:rPr>
        <w:t>a</w:t>
      </w:r>
      <w:r w:rsidR="003A4390" w:rsidRPr="003A4390">
        <w:rPr>
          <w:rStyle w:val="Heading3Char"/>
          <w:rFonts w:ascii="Arial" w:hAnsi="Arial" w:cs="Arial"/>
          <w:sz w:val="22"/>
          <w:szCs w:val="22"/>
        </w:rPr>
        <w:t xml:space="preserve"> za medijsko izvještavanje o žrtvama krivičnih djela</w:t>
      </w:r>
      <w:bookmarkEnd w:id="80"/>
    </w:p>
    <w:p w14:paraId="71D84343" w14:textId="3866BA0D" w:rsidR="00951525" w:rsidRPr="0085657D" w:rsidRDefault="00500F94" w:rsidP="00E15C11">
      <w:pPr>
        <w:spacing w:line="276" w:lineRule="auto"/>
        <w:rPr>
          <w:rFonts w:ascii="Arial" w:hAnsi="Arial" w:cs="Arial"/>
        </w:rPr>
      </w:pPr>
      <w:r w:rsidRPr="0085657D">
        <w:rPr>
          <w:rFonts w:ascii="Arial" w:hAnsi="Arial" w:cs="Arial"/>
        </w:rPr>
        <w:t>Unapređenje</w:t>
      </w:r>
      <w:r w:rsidR="00E15C11" w:rsidRPr="0085657D">
        <w:rPr>
          <w:rFonts w:ascii="Arial" w:hAnsi="Arial" w:cs="Arial"/>
        </w:rPr>
        <w:t xml:space="preserve"> normativnog okvira u oblasti medija, </w:t>
      </w:r>
      <w:r w:rsidR="00951525" w:rsidRPr="0085657D">
        <w:rPr>
          <w:rFonts w:ascii="Arial" w:hAnsi="Arial" w:cs="Arial"/>
        </w:rPr>
        <w:t xml:space="preserve">kao i </w:t>
      </w:r>
      <w:r w:rsidRPr="0085657D">
        <w:rPr>
          <w:rFonts w:ascii="Arial" w:hAnsi="Arial" w:cs="Arial"/>
        </w:rPr>
        <w:t>unapređenje</w:t>
      </w:r>
      <w:r w:rsidR="00951525" w:rsidRPr="0085657D">
        <w:rPr>
          <w:rFonts w:ascii="Arial" w:hAnsi="Arial" w:cs="Arial"/>
        </w:rPr>
        <w:t xml:space="preserve"> znanja i vještina novinara </w:t>
      </w:r>
      <w:r w:rsidR="00E15C11" w:rsidRPr="0085657D">
        <w:rPr>
          <w:rFonts w:ascii="Arial" w:hAnsi="Arial" w:cs="Arial"/>
        </w:rPr>
        <w:t>sam</w:t>
      </w:r>
      <w:r w:rsidR="00951525" w:rsidRPr="0085657D">
        <w:rPr>
          <w:rFonts w:ascii="Arial" w:hAnsi="Arial" w:cs="Arial"/>
        </w:rPr>
        <w:t>i</w:t>
      </w:r>
      <w:r w:rsidR="00E15C11" w:rsidRPr="0085657D">
        <w:rPr>
          <w:rFonts w:ascii="Arial" w:hAnsi="Arial" w:cs="Arial"/>
        </w:rPr>
        <w:t xml:space="preserve"> po sebi predstavlja</w:t>
      </w:r>
      <w:r w:rsidR="00951525" w:rsidRPr="0085657D">
        <w:rPr>
          <w:rFonts w:ascii="Arial" w:hAnsi="Arial" w:cs="Arial"/>
        </w:rPr>
        <w:t>ju</w:t>
      </w:r>
      <w:r w:rsidR="00E15C11" w:rsidRPr="0085657D">
        <w:rPr>
          <w:rFonts w:ascii="Arial" w:hAnsi="Arial" w:cs="Arial"/>
        </w:rPr>
        <w:t xml:space="preserve"> samo početni korak u unapređenju </w:t>
      </w:r>
      <w:r w:rsidR="00B12286" w:rsidRPr="0085657D">
        <w:rPr>
          <w:rFonts w:ascii="Arial" w:hAnsi="Arial" w:cs="Arial"/>
        </w:rPr>
        <w:t>medijskog tretmana žrtava</w:t>
      </w:r>
      <w:r w:rsidR="00951525" w:rsidRPr="0085657D">
        <w:rPr>
          <w:rFonts w:ascii="Arial" w:hAnsi="Arial" w:cs="Arial"/>
        </w:rPr>
        <w:t xml:space="preserve">. </w:t>
      </w:r>
    </w:p>
    <w:p w14:paraId="10995A47" w14:textId="77777777" w:rsidR="001E5EDF" w:rsidRPr="0085657D" w:rsidRDefault="00951525" w:rsidP="00E15C11">
      <w:pPr>
        <w:spacing w:line="276" w:lineRule="auto"/>
        <w:rPr>
          <w:rFonts w:ascii="Arial" w:hAnsi="Arial" w:cs="Arial"/>
        </w:rPr>
      </w:pPr>
      <w:r w:rsidRPr="0085657D">
        <w:rPr>
          <w:rFonts w:ascii="Arial" w:hAnsi="Arial" w:cs="Arial"/>
        </w:rPr>
        <w:t xml:space="preserve">Vidljive rezultate moguće je postići samo kroz učestalije i fokusiranije izvještavanje o pravima žrtava i mehanizmima zaštite tih prava, ali i kroz </w:t>
      </w:r>
      <w:r w:rsidR="00B718E7" w:rsidRPr="0085657D">
        <w:rPr>
          <w:rFonts w:ascii="Arial" w:hAnsi="Arial" w:cs="Arial"/>
        </w:rPr>
        <w:t>efektivniju kontrolu medijskih sadržaja kroz kontinuirani monitoring, efektivnije mehanizme odgovornosti i preduzimanje korektivnih mjera u slučaju neadekvatnog izvještavanja.</w:t>
      </w:r>
    </w:p>
    <w:p w14:paraId="66290FDC" w14:textId="6B023EC3" w:rsidR="009A76AF" w:rsidRPr="0085657D" w:rsidRDefault="009A76AF" w:rsidP="009A76AF">
      <w:pPr>
        <w:jc w:val="center"/>
        <w:rPr>
          <w:rFonts w:ascii="Arial" w:hAnsi="Arial" w:cs="Arial"/>
        </w:rPr>
      </w:pPr>
      <w:r w:rsidRPr="0085657D">
        <w:rPr>
          <w:rFonts w:ascii="Arial" w:hAnsi="Arial" w:cs="Arial"/>
          <w:i/>
          <w:iCs/>
        </w:rPr>
        <w:t>Tabela 2</w:t>
      </w:r>
      <w:r w:rsidR="003A4390">
        <w:rPr>
          <w:rFonts w:ascii="Arial" w:hAnsi="Arial" w:cs="Arial"/>
          <w:i/>
          <w:iCs/>
        </w:rPr>
        <w:t>3</w:t>
      </w:r>
      <w:r w:rsidRPr="0085657D">
        <w:rPr>
          <w:rFonts w:ascii="Arial" w:hAnsi="Arial" w:cs="Arial"/>
          <w:i/>
          <w:iCs/>
        </w:rPr>
        <w:t xml:space="preserve">: Indikatori realizacije Operativnog cilja </w:t>
      </w:r>
      <w:r w:rsidR="00552525">
        <w:rPr>
          <w:rFonts w:ascii="Arial" w:hAnsi="Arial" w:cs="Arial"/>
          <w:i/>
          <w:iCs/>
        </w:rPr>
        <w:t>5.3</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548"/>
        <w:gridCol w:w="2970"/>
        <w:gridCol w:w="1274"/>
        <w:gridCol w:w="1274"/>
        <w:gridCol w:w="1274"/>
      </w:tblGrid>
      <w:tr w:rsidR="009A76AF" w:rsidRPr="0085657D" w14:paraId="4197CF07" w14:textId="77777777" w:rsidTr="003A4390">
        <w:trPr>
          <w:trHeight w:val="254"/>
        </w:trPr>
        <w:tc>
          <w:tcPr>
            <w:tcW w:w="1364" w:type="pct"/>
            <w:tcBorders>
              <w:top w:val="double" w:sz="4" w:space="0" w:color="auto"/>
            </w:tcBorders>
            <w:shd w:val="clear" w:color="auto" w:fill="FAE2D5" w:themeFill="accent2" w:themeFillTint="33"/>
          </w:tcPr>
          <w:p w14:paraId="5052625B" w14:textId="77777777" w:rsidR="009A76AF" w:rsidRPr="0085657D" w:rsidRDefault="009A76AF" w:rsidP="00C921B0">
            <w:pPr>
              <w:rPr>
                <w:rFonts w:ascii="Arial" w:hAnsi="Arial" w:cs="Arial"/>
              </w:rPr>
            </w:pPr>
            <w:r w:rsidRPr="0085657D">
              <w:rPr>
                <w:rFonts w:ascii="Arial" w:hAnsi="Arial" w:cs="Arial"/>
              </w:rPr>
              <w:t xml:space="preserve">Operativni </w:t>
            </w:r>
          </w:p>
          <w:p w14:paraId="03942B6F" w14:textId="77777777" w:rsidR="009A76AF" w:rsidRPr="0085657D" w:rsidRDefault="009A76AF" w:rsidP="00C921B0">
            <w:pPr>
              <w:rPr>
                <w:rFonts w:ascii="Arial" w:hAnsi="Arial" w:cs="Arial"/>
              </w:rPr>
            </w:pPr>
            <w:r w:rsidRPr="0085657D">
              <w:rPr>
                <w:rFonts w:ascii="Arial" w:hAnsi="Arial" w:cs="Arial"/>
              </w:rPr>
              <w:t>cilj</w:t>
            </w:r>
          </w:p>
        </w:tc>
        <w:tc>
          <w:tcPr>
            <w:tcW w:w="1590" w:type="pct"/>
            <w:tcBorders>
              <w:top w:val="double" w:sz="4" w:space="0" w:color="auto"/>
              <w:bottom w:val="double" w:sz="4" w:space="0" w:color="auto"/>
            </w:tcBorders>
            <w:shd w:val="clear" w:color="auto" w:fill="FAE2D5" w:themeFill="accent2" w:themeFillTint="33"/>
          </w:tcPr>
          <w:p w14:paraId="6652E3CA" w14:textId="77777777" w:rsidR="009A76AF" w:rsidRPr="0085657D" w:rsidRDefault="009A76AF" w:rsidP="00C921B0">
            <w:pPr>
              <w:rPr>
                <w:rFonts w:ascii="Arial" w:hAnsi="Arial" w:cs="Arial"/>
              </w:rPr>
            </w:pPr>
            <w:r w:rsidRPr="0085657D">
              <w:rPr>
                <w:rFonts w:ascii="Arial" w:hAnsi="Arial" w:cs="Arial"/>
              </w:rPr>
              <w:t>Indikator učinka</w:t>
            </w:r>
          </w:p>
        </w:tc>
        <w:tc>
          <w:tcPr>
            <w:tcW w:w="682" w:type="pct"/>
            <w:tcBorders>
              <w:top w:val="double" w:sz="4" w:space="0" w:color="auto"/>
              <w:bottom w:val="double" w:sz="4" w:space="0" w:color="auto"/>
            </w:tcBorders>
            <w:shd w:val="clear" w:color="auto" w:fill="FAE2D5" w:themeFill="accent2" w:themeFillTint="33"/>
          </w:tcPr>
          <w:p w14:paraId="14F9AB81" w14:textId="77777777" w:rsidR="009A76AF" w:rsidRPr="0085657D" w:rsidRDefault="009A76AF" w:rsidP="00C921B0">
            <w:pPr>
              <w:rPr>
                <w:rFonts w:ascii="Arial" w:hAnsi="Arial" w:cs="Arial"/>
              </w:rPr>
            </w:pPr>
            <w:r w:rsidRPr="0085657D">
              <w:rPr>
                <w:rFonts w:ascii="Arial" w:hAnsi="Arial" w:cs="Arial"/>
              </w:rPr>
              <w:t>Početna vrijednost</w:t>
            </w:r>
          </w:p>
          <w:p w14:paraId="493535A6" w14:textId="77777777" w:rsidR="009A76AF" w:rsidRPr="0085657D" w:rsidRDefault="009A76AF" w:rsidP="00C921B0">
            <w:pPr>
              <w:rPr>
                <w:rFonts w:ascii="Arial" w:hAnsi="Arial" w:cs="Arial"/>
              </w:rPr>
            </w:pPr>
            <w:r w:rsidRPr="0085657D">
              <w:rPr>
                <w:rFonts w:ascii="Arial" w:hAnsi="Arial" w:cs="Arial"/>
              </w:rPr>
              <w:t>2024.</w:t>
            </w:r>
          </w:p>
        </w:tc>
        <w:tc>
          <w:tcPr>
            <w:tcW w:w="682" w:type="pct"/>
            <w:tcBorders>
              <w:top w:val="double" w:sz="4" w:space="0" w:color="auto"/>
              <w:bottom w:val="double" w:sz="4" w:space="0" w:color="auto"/>
            </w:tcBorders>
            <w:shd w:val="clear" w:color="auto" w:fill="FAE2D5" w:themeFill="accent2" w:themeFillTint="33"/>
          </w:tcPr>
          <w:p w14:paraId="19580D94" w14:textId="502EBAB2" w:rsidR="009A76AF" w:rsidRPr="0085657D" w:rsidRDefault="009A76AF"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82" w:type="pct"/>
            <w:tcBorders>
              <w:top w:val="double" w:sz="4" w:space="0" w:color="auto"/>
              <w:bottom w:val="double" w:sz="4" w:space="0" w:color="auto"/>
              <w:right w:val="double" w:sz="4" w:space="0" w:color="auto"/>
            </w:tcBorders>
            <w:shd w:val="clear" w:color="auto" w:fill="FAE2D5" w:themeFill="accent2" w:themeFillTint="33"/>
          </w:tcPr>
          <w:p w14:paraId="620DAC4C" w14:textId="2BBD223F" w:rsidR="009A76AF" w:rsidRPr="0085657D" w:rsidRDefault="009A76AF"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9A76AF" w:rsidRPr="0085657D" w14:paraId="49D3366E" w14:textId="77777777" w:rsidTr="003A4390">
        <w:trPr>
          <w:trHeight w:val="254"/>
        </w:trPr>
        <w:tc>
          <w:tcPr>
            <w:tcW w:w="1364" w:type="pct"/>
            <w:vMerge w:val="restart"/>
            <w:tcBorders>
              <w:top w:val="double" w:sz="4" w:space="0" w:color="auto"/>
            </w:tcBorders>
            <w:shd w:val="clear" w:color="auto" w:fill="D9F2D0" w:themeFill="accent6" w:themeFillTint="33"/>
          </w:tcPr>
          <w:p w14:paraId="77EE1D33" w14:textId="5717387A" w:rsidR="009A76AF" w:rsidRPr="0085657D" w:rsidRDefault="00552525" w:rsidP="00C921B0">
            <w:pPr>
              <w:rPr>
                <w:rFonts w:ascii="Arial" w:hAnsi="Arial" w:cs="Arial"/>
              </w:rPr>
            </w:pPr>
            <w:r>
              <w:rPr>
                <w:rFonts w:ascii="Arial" w:hAnsi="Arial" w:cs="Arial"/>
              </w:rPr>
              <w:t>5.3</w:t>
            </w:r>
            <w:r w:rsidR="009A76AF" w:rsidRPr="0085657D">
              <w:rPr>
                <w:rFonts w:ascii="Arial" w:hAnsi="Arial" w:cs="Arial"/>
              </w:rPr>
              <w:t xml:space="preserve">. </w:t>
            </w:r>
          </w:p>
          <w:p w14:paraId="1AA8ED52" w14:textId="24E42D1C" w:rsidR="009A76AF" w:rsidRPr="0085657D" w:rsidRDefault="003A4390" w:rsidP="00C921B0">
            <w:pPr>
              <w:rPr>
                <w:rFonts w:ascii="Arial" w:hAnsi="Arial" w:cs="Arial"/>
              </w:rPr>
            </w:pPr>
            <w:r w:rsidRPr="003A4390">
              <w:rPr>
                <w:rFonts w:ascii="Arial" w:hAnsi="Arial" w:cs="Arial"/>
              </w:rPr>
              <w:t xml:space="preserve">Unaprijeđeni kapaciteti za medijsko izvještavanje o žrtvama krivičnih djela </w:t>
            </w:r>
          </w:p>
        </w:tc>
        <w:tc>
          <w:tcPr>
            <w:tcW w:w="1590" w:type="pct"/>
            <w:tcBorders>
              <w:top w:val="double" w:sz="4" w:space="0" w:color="auto"/>
              <w:bottom w:val="double" w:sz="4" w:space="0" w:color="auto"/>
            </w:tcBorders>
            <w:shd w:val="clear" w:color="auto" w:fill="FFFFFF" w:themeFill="background1"/>
          </w:tcPr>
          <w:p w14:paraId="5DA524B9" w14:textId="77777777" w:rsidR="009A76AF" w:rsidRPr="0085657D" w:rsidRDefault="00601BFC" w:rsidP="00C921B0">
            <w:pPr>
              <w:shd w:val="clear" w:color="auto" w:fill="FFFFFF" w:themeFill="background1"/>
              <w:spacing w:after="240"/>
              <w:rPr>
                <w:rFonts w:ascii="Arial" w:hAnsi="Arial" w:cs="Arial"/>
              </w:rPr>
            </w:pPr>
            <w:r w:rsidRPr="0085657D">
              <w:rPr>
                <w:rFonts w:ascii="Arial" w:hAnsi="Arial" w:cs="Arial"/>
              </w:rPr>
              <w:t>Uspostavljen monitoring medijskog izvještavanja o žrtvama</w:t>
            </w:r>
          </w:p>
        </w:tc>
        <w:tc>
          <w:tcPr>
            <w:tcW w:w="682" w:type="pct"/>
            <w:tcBorders>
              <w:top w:val="double" w:sz="4" w:space="0" w:color="auto"/>
              <w:bottom w:val="double" w:sz="4" w:space="0" w:color="auto"/>
            </w:tcBorders>
            <w:shd w:val="clear" w:color="auto" w:fill="FFFFFF" w:themeFill="background1"/>
          </w:tcPr>
          <w:p w14:paraId="237EC76B" w14:textId="77777777" w:rsidR="009A76AF" w:rsidRPr="0085657D" w:rsidRDefault="00601BFC" w:rsidP="00C921B0">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51B51129" w14:textId="77777777" w:rsidR="009A76AF" w:rsidRPr="0085657D" w:rsidRDefault="004A107E" w:rsidP="00C921B0">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2A604210" w14:textId="77777777" w:rsidR="009A76AF" w:rsidRPr="0085657D" w:rsidRDefault="00601BFC" w:rsidP="00601BFC">
            <w:pPr>
              <w:shd w:val="clear" w:color="auto" w:fill="FFFFFF" w:themeFill="background1"/>
              <w:jc w:val="center"/>
              <w:rPr>
                <w:rFonts w:ascii="Arial" w:hAnsi="Arial" w:cs="Arial"/>
              </w:rPr>
            </w:pPr>
            <w:r w:rsidRPr="0085657D">
              <w:rPr>
                <w:rFonts w:ascii="Arial" w:hAnsi="Arial" w:cs="Arial"/>
              </w:rPr>
              <w:t>DA</w:t>
            </w:r>
          </w:p>
        </w:tc>
      </w:tr>
      <w:tr w:rsidR="009A76AF" w:rsidRPr="0085657D" w14:paraId="49D87CCE" w14:textId="77777777" w:rsidTr="003A4390">
        <w:trPr>
          <w:trHeight w:val="254"/>
        </w:trPr>
        <w:tc>
          <w:tcPr>
            <w:tcW w:w="1364" w:type="pct"/>
            <w:vMerge/>
            <w:shd w:val="clear" w:color="auto" w:fill="D9F2D0" w:themeFill="accent6" w:themeFillTint="33"/>
          </w:tcPr>
          <w:p w14:paraId="46DBF2E7" w14:textId="77777777" w:rsidR="009A76AF" w:rsidRPr="0085657D" w:rsidRDefault="009A76AF" w:rsidP="00C921B0">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7F0252B1" w14:textId="77777777" w:rsidR="009A76AF" w:rsidRPr="0085657D" w:rsidRDefault="00601BFC" w:rsidP="00C921B0">
            <w:pPr>
              <w:shd w:val="clear" w:color="auto" w:fill="FFFFFF" w:themeFill="background1"/>
              <w:spacing w:after="240"/>
              <w:rPr>
                <w:rFonts w:ascii="Arial" w:hAnsi="Arial" w:cs="Arial"/>
              </w:rPr>
            </w:pPr>
            <w:r w:rsidRPr="0085657D">
              <w:rPr>
                <w:rFonts w:ascii="Arial" w:hAnsi="Arial" w:cs="Arial"/>
              </w:rPr>
              <w:t>Broj novinara koji su prošli obuke na temu izvještavanja o žrtvama</w:t>
            </w:r>
          </w:p>
        </w:tc>
        <w:tc>
          <w:tcPr>
            <w:tcW w:w="682" w:type="pct"/>
            <w:tcBorders>
              <w:top w:val="double" w:sz="4" w:space="0" w:color="auto"/>
              <w:bottom w:val="double" w:sz="4" w:space="0" w:color="auto"/>
            </w:tcBorders>
            <w:shd w:val="clear" w:color="auto" w:fill="FFFFFF" w:themeFill="background1"/>
          </w:tcPr>
          <w:p w14:paraId="172B5B25" w14:textId="77777777" w:rsidR="009A76AF" w:rsidRPr="0085657D" w:rsidRDefault="00601BFC" w:rsidP="00C921B0">
            <w:pPr>
              <w:shd w:val="clear" w:color="auto" w:fill="FFFFFF" w:themeFill="background1"/>
              <w:jc w:val="center"/>
              <w:rPr>
                <w:rFonts w:ascii="Arial" w:hAnsi="Arial" w:cs="Arial"/>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7554643E" w14:textId="77777777" w:rsidR="009A76AF" w:rsidRPr="0085657D" w:rsidRDefault="00601BFC" w:rsidP="00C921B0">
            <w:pPr>
              <w:shd w:val="clear" w:color="auto" w:fill="FFFFFF" w:themeFill="background1"/>
              <w:jc w:val="center"/>
              <w:rPr>
                <w:rFonts w:ascii="Arial" w:hAnsi="Arial" w:cs="Arial"/>
              </w:rPr>
            </w:pPr>
            <w:r w:rsidRPr="0085657D">
              <w:rPr>
                <w:rFonts w:ascii="Arial" w:hAnsi="Arial" w:cs="Arial"/>
              </w:rPr>
              <w:t>15</w:t>
            </w:r>
          </w:p>
        </w:tc>
        <w:tc>
          <w:tcPr>
            <w:tcW w:w="682" w:type="pct"/>
            <w:tcBorders>
              <w:top w:val="double" w:sz="4" w:space="0" w:color="auto"/>
              <w:bottom w:val="double" w:sz="4" w:space="0" w:color="auto"/>
              <w:right w:val="double" w:sz="4" w:space="0" w:color="auto"/>
            </w:tcBorders>
            <w:shd w:val="clear" w:color="auto" w:fill="FFFFFF" w:themeFill="background1"/>
          </w:tcPr>
          <w:p w14:paraId="41969B81" w14:textId="77777777" w:rsidR="009A76AF" w:rsidRPr="0085657D" w:rsidRDefault="00601BFC" w:rsidP="00601BFC">
            <w:pPr>
              <w:shd w:val="clear" w:color="auto" w:fill="FFFFFF" w:themeFill="background1"/>
              <w:jc w:val="center"/>
              <w:rPr>
                <w:rFonts w:ascii="Arial" w:hAnsi="Arial" w:cs="Arial"/>
              </w:rPr>
            </w:pPr>
            <w:r w:rsidRPr="0085657D">
              <w:rPr>
                <w:rFonts w:ascii="Arial" w:hAnsi="Arial" w:cs="Arial"/>
              </w:rPr>
              <w:t>30</w:t>
            </w:r>
          </w:p>
        </w:tc>
      </w:tr>
    </w:tbl>
    <w:p w14:paraId="1138B59E" w14:textId="77777777" w:rsidR="009A76AF" w:rsidRPr="0085657D" w:rsidRDefault="009A76AF" w:rsidP="009A76AF">
      <w:pPr>
        <w:rPr>
          <w:rFonts w:ascii="Arial" w:hAnsi="Arial" w:cs="Arial"/>
        </w:rPr>
      </w:pPr>
    </w:p>
    <w:p w14:paraId="479C2C84" w14:textId="77777777" w:rsidR="001F6CA3" w:rsidRPr="0085657D" w:rsidRDefault="001F6CA3" w:rsidP="009A76AF">
      <w:pPr>
        <w:rPr>
          <w:rFonts w:ascii="Arial" w:hAnsi="Arial" w:cs="Arial"/>
        </w:rPr>
      </w:pPr>
    </w:p>
    <w:p w14:paraId="4D648DAF" w14:textId="1CC1D0ED" w:rsidR="00192FBD" w:rsidRPr="0085657D" w:rsidRDefault="000F409D" w:rsidP="00147B21">
      <w:pPr>
        <w:pStyle w:val="Heading2"/>
        <w:spacing w:after="240"/>
        <w:rPr>
          <w:rFonts w:ascii="Arial" w:hAnsi="Arial" w:cs="Arial"/>
          <w:sz w:val="22"/>
          <w:szCs w:val="22"/>
          <w:highlight w:val="yellow"/>
        </w:rPr>
      </w:pPr>
      <w:bookmarkStart w:id="81" w:name="_Toc208489225"/>
      <w:r w:rsidRPr="0085657D">
        <w:rPr>
          <w:rStyle w:val="Heading3Char"/>
          <w:rFonts w:ascii="Arial" w:hAnsi="Arial" w:cs="Arial"/>
          <w:sz w:val="22"/>
          <w:szCs w:val="22"/>
        </w:rPr>
        <w:lastRenderedPageBreak/>
        <w:t xml:space="preserve">Operativni cilj </w:t>
      </w:r>
      <w:r w:rsidR="00552525">
        <w:rPr>
          <w:rStyle w:val="Heading3Char"/>
          <w:rFonts w:ascii="Arial" w:hAnsi="Arial" w:cs="Arial"/>
          <w:sz w:val="22"/>
          <w:szCs w:val="22"/>
        </w:rPr>
        <w:t>5.4.</w:t>
      </w:r>
      <w:r w:rsidRPr="0085657D">
        <w:rPr>
          <w:rStyle w:val="Heading3Char"/>
          <w:rFonts w:ascii="Arial" w:hAnsi="Arial" w:cs="Arial"/>
          <w:sz w:val="22"/>
          <w:szCs w:val="22"/>
        </w:rPr>
        <w:t>:</w:t>
      </w:r>
      <w:r w:rsidR="009A76AF" w:rsidRPr="0085657D">
        <w:rPr>
          <w:rStyle w:val="Heading3Char"/>
          <w:rFonts w:ascii="Arial" w:hAnsi="Arial" w:cs="Arial"/>
          <w:sz w:val="22"/>
          <w:szCs w:val="22"/>
        </w:rPr>
        <w:t xml:space="preserve"> </w:t>
      </w:r>
      <w:r w:rsidR="004A107E" w:rsidRPr="0085657D">
        <w:rPr>
          <w:rStyle w:val="Heading3Char"/>
          <w:rFonts w:ascii="Arial" w:hAnsi="Arial" w:cs="Arial"/>
          <w:sz w:val="22"/>
          <w:szCs w:val="22"/>
        </w:rPr>
        <w:t>Unapređenje</w:t>
      </w:r>
      <w:r w:rsidR="00DF4882" w:rsidRPr="0085657D">
        <w:rPr>
          <w:rStyle w:val="Heading3Char"/>
          <w:rFonts w:ascii="Arial" w:hAnsi="Arial" w:cs="Arial"/>
          <w:sz w:val="22"/>
          <w:szCs w:val="22"/>
        </w:rPr>
        <w:t xml:space="preserve"> sistema prikupljanja i obrade </w:t>
      </w:r>
      <w:r w:rsidR="0005145F" w:rsidRPr="0085657D">
        <w:rPr>
          <w:rStyle w:val="Heading3Char"/>
          <w:rFonts w:ascii="Arial" w:hAnsi="Arial" w:cs="Arial"/>
          <w:sz w:val="22"/>
          <w:szCs w:val="22"/>
        </w:rPr>
        <w:t xml:space="preserve">statističkih </w:t>
      </w:r>
      <w:r w:rsidR="00DF4882" w:rsidRPr="0085657D">
        <w:rPr>
          <w:rStyle w:val="Heading3Char"/>
          <w:rFonts w:ascii="Arial" w:hAnsi="Arial" w:cs="Arial"/>
          <w:sz w:val="22"/>
          <w:szCs w:val="22"/>
        </w:rPr>
        <w:t>podataka o žrtvama</w:t>
      </w:r>
      <w:bookmarkEnd w:id="81"/>
    </w:p>
    <w:p w14:paraId="259C423A" w14:textId="77777777" w:rsidR="00192FBD" w:rsidRPr="0085657D" w:rsidRDefault="00147B21" w:rsidP="00192FBD">
      <w:pPr>
        <w:rPr>
          <w:rFonts w:ascii="Arial" w:hAnsi="Arial" w:cs="Arial"/>
        </w:rPr>
      </w:pPr>
      <w:r w:rsidRPr="0085657D">
        <w:rPr>
          <w:rFonts w:ascii="Arial" w:hAnsi="Arial" w:cs="Arial"/>
        </w:rPr>
        <w:t>Sveobuhvatni i detaljni statistički podaci o viktimizaciji, žrtvama i njihovom položaju u krivičnom postupku predstavljaju ključni preduslov za kreiranje, primjenu i praćenje efikasnosti mjera zaštite i podrške žrtvama.</w:t>
      </w:r>
    </w:p>
    <w:p w14:paraId="76A561C4" w14:textId="3CED237F" w:rsidR="00192FBD" w:rsidRPr="0085657D" w:rsidRDefault="00192FBD" w:rsidP="00192FBD">
      <w:pPr>
        <w:jc w:val="center"/>
        <w:rPr>
          <w:rFonts w:ascii="Arial" w:hAnsi="Arial" w:cs="Arial"/>
        </w:rPr>
      </w:pPr>
      <w:r w:rsidRPr="0085657D">
        <w:rPr>
          <w:rFonts w:ascii="Arial" w:hAnsi="Arial" w:cs="Arial"/>
          <w:i/>
          <w:iCs/>
        </w:rPr>
        <w:t>Tabela 2</w:t>
      </w:r>
      <w:r w:rsidR="003A4390">
        <w:rPr>
          <w:rFonts w:ascii="Arial" w:hAnsi="Arial" w:cs="Arial"/>
          <w:i/>
          <w:iCs/>
        </w:rPr>
        <w:t>4</w:t>
      </w:r>
      <w:r w:rsidRPr="0085657D">
        <w:rPr>
          <w:rFonts w:ascii="Arial" w:hAnsi="Arial" w:cs="Arial"/>
          <w:i/>
          <w:iCs/>
        </w:rPr>
        <w:t xml:space="preserve">: Indikatori realizacije Operativnog cilja </w:t>
      </w:r>
      <w:r w:rsidR="00552525">
        <w:rPr>
          <w:rFonts w:ascii="Arial" w:hAnsi="Arial" w:cs="Arial"/>
          <w:i/>
          <w:iCs/>
        </w:rPr>
        <w:t>5.4</w:t>
      </w:r>
      <w:r w:rsidRPr="0085657D">
        <w:rPr>
          <w:rFonts w:ascii="Arial" w:hAnsi="Arial" w:cs="Arial"/>
          <w:i/>
          <w:iCs/>
        </w:rPr>
        <w:t>.</w:t>
      </w:r>
    </w:p>
    <w:tbl>
      <w:tblPr>
        <w:tblStyle w:val="TableGrid"/>
        <w:tblW w:w="5000" w:type="pct"/>
        <w:tblLook w:val="04A0" w:firstRow="1" w:lastRow="0" w:firstColumn="1" w:lastColumn="0" w:noHBand="0" w:noVBand="1"/>
      </w:tblPr>
      <w:tblGrid>
        <w:gridCol w:w="1658"/>
        <w:gridCol w:w="3078"/>
        <w:gridCol w:w="1535"/>
        <w:gridCol w:w="1535"/>
        <w:gridCol w:w="1534"/>
      </w:tblGrid>
      <w:tr w:rsidR="00826A58" w:rsidRPr="0085657D" w14:paraId="792CB3EE" w14:textId="77777777" w:rsidTr="00707636">
        <w:trPr>
          <w:trHeight w:val="575"/>
        </w:trPr>
        <w:tc>
          <w:tcPr>
            <w:tcW w:w="887" w:type="pct"/>
            <w:tcBorders>
              <w:top w:val="double" w:sz="4" w:space="0" w:color="auto"/>
            </w:tcBorders>
            <w:shd w:val="clear" w:color="auto" w:fill="FAE2D5" w:themeFill="accent2" w:themeFillTint="33"/>
          </w:tcPr>
          <w:p w14:paraId="41A48CF8" w14:textId="77777777" w:rsidR="00826A58" w:rsidRPr="0085657D" w:rsidRDefault="00826A58" w:rsidP="00C921B0">
            <w:pPr>
              <w:rPr>
                <w:rFonts w:ascii="Arial" w:hAnsi="Arial" w:cs="Arial"/>
              </w:rPr>
            </w:pPr>
            <w:r w:rsidRPr="0085657D">
              <w:rPr>
                <w:rFonts w:ascii="Arial" w:hAnsi="Arial" w:cs="Arial"/>
              </w:rPr>
              <w:t xml:space="preserve">Operativni </w:t>
            </w:r>
          </w:p>
          <w:p w14:paraId="60C0EE2B" w14:textId="77777777" w:rsidR="00826A58" w:rsidRPr="0085657D" w:rsidRDefault="00826A58" w:rsidP="00C921B0">
            <w:pPr>
              <w:rPr>
                <w:rFonts w:ascii="Arial" w:hAnsi="Arial" w:cs="Arial"/>
              </w:rPr>
            </w:pPr>
            <w:r w:rsidRPr="0085657D">
              <w:rPr>
                <w:rFonts w:ascii="Arial" w:hAnsi="Arial" w:cs="Arial"/>
              </w:rPr>
              <w:t>cilj</w:t>
            </w:r>
          </w:p>
        </w:tc>
        <w:tc>
          <w:tcPr>
            <w:tcW w:w="1648" w:type="pct"/>
            <w:tcBorders>
              <w:top w:val="double" w:sz="4" w:space="0" w:color="auto"/>
            </w:tcBorders>
            <w:shd w:val="clear" w:color="auto" w:fill="FAE2D5" w:themeFill="accent2" w:themeFillTint="33"/>
          </w:tcPr>
          <w:p w14:paraId="647DCCEC" w14:textId="77777777" w:rsidR="00826A58" w:rsidRPr="0085657D" w:rsidRDefault="00826A58" w:rsidP="00C921B0">
            <w:pPr>
              <w:rPr>
                <w:rFonts w:ascii="Arial" w:hAnsi="Arial" w:cs="Arial"/>
              </w:rPr>
            </w:pPr>
            <w:r w:rsidRPr="0085657D">
              <w:rPr>
                <w:rFonts w:ascii="Arial" w:hAnsi="Arial" w:cs="Arial"/>
              </w:rPr>
              <w:t>Indikator učinka</w:t>
            </w:r>
          </w:p>
        </w:tc>
        <w:tc>
          <w:tcPr>
            <w:tcW w:w="822" w:type="pct"/>
            <w:tcBorders>
              <w:top w:val="double" w:sz="4" w:space="0" w:color="auto"/>
            </w:tcBorders>
            <w:shd w:val="clear" w:color="auto" w:fill="FAE2D5" w:themeFill="accent2" w:themeFillTint="33"/>
          </w:tcPr>
          <w:p w14:paraId="492B69C0" w14:textId="77777777" w:rsidR="00826A58" w:rsidRPr="0085657D" w:rsidRDefault="00826A58" w:rsidP="00050E2A">
            <w:pPr>
              <w:jc w:val="center"/>
              <w:rPr>
                <w:rFonts w:ascii="Arial" w:hAnsi="Arial" w:cs="Arial"/>
              </w:rPr>
            </w:pPr>
            <w:r w:rsidRPr="0085657D">
              <w:rPr>
                <w:rFonts w:ascii="Arial" w:hAnsi="Arial" w:cs="Arial"/>
              </w:rPr>
              <w:t>Početna vrijednost</w:t>
            </w:r>
          </w:p>
          <w:p w14:paraId="2184D9CC" w14:textId="77777777" w:rsidR="00826A58" w:rsidRPr="0085657D" w:rsidRDefault="00826A58" w:rsidP="00050E2A">
            <w:pPr>
              <w:jc w:val="center"/>
              <w:rPr>
                <w:rFonts w:ascii="Arial" w:hAnsi="Arial" w:cs="Arial"/>
              </w:rPr>
            </w:pPr>
            <w:r w:rsidRPr="0085657D">
              <w:rPr>
                <w:rFonts w:ascii="Arial" w:hAnsi="Arial" w:cs="Arial"/>
              </w:rPr>
              <w:t>2024.</w:t>
            </w:r>
          </w:p>
        </w:tc>
        <w:tc>
          <w:tcPr>
            <w:tcW w:w="822" w:type="pct"/>
            <w:tcBorders>
              <w:top w:val="double" w:sz="4" w:space="0" w:color="auto"/>
            </w:tcBorders>
            <w:shd w:val="clear" w:color="auto" w:fill="FAE2D5" w:themeFill="accent2" w:themeFillTint="33"/>
          </w:tcPr>
          <w:p w14:paraId="00A421EF" w14:textId="70778C16" w:rsidR="00826A58" w:rsidRPr="0085657D" w:rsidRDefault="00826A58" w:rsidP="00050E2A">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822" w:type="pct"/>
            <w:tcBorders>
              <w:top w:val="double" w:sz="4" w:space="0" w:color="auto"/>
              <w:right w:val="double" w:sz="4" w:space="0" w:color="auto"/>
            </w:tcBorders>
            <w:shd w:val="clear" w:color="auto" w:fill="FAE2D5" w:themeFill="accent2" w:themeFillTint="33"/>
          </w:tcPr>
          <w:p w14:paraId="33B6717E" w14:textId="354616BD" w:rsidR="00826A58" w:rsidRPr="0085657D" w:rsidRDefault="00826A58" w:rsidP="00050E2A">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707636" w:rsidRPr="0085657D" w14:paraId="5AE9F0FA" w14:textId="77777777" w:rsidTr="00707636">
        <w:trPr>
          <w:trHeight w:val="866"/>
        </w:trPr>
        <w:tc>
          <w:tcPr>
            <w:tcW w:w="887" w:type="pct"/>
            <w:vMerge w:val="restart"/>
            <w:tcBorders>
              <w:top w:val="double" w:sz="4" w:space="0" w:color="auto"/>
            </w:tcBorders>
            <w:shd w:val="clear" w:color="auto" w:fill="D9F2D0" w:themeFill="accent6" w:themeFillTint="33"/>
          </w:tcPr>
          <w:p w14:paraId="42FFAFE7" w14:textId="5CE3161E" w:rsidR="00707636" w:rsidRPr="0085657D" w:rsidRDefault="00552525" w:rsidP="00707636">
            <w:pPr>
              <w:rPr>
                <w:rFonts w:ascii="Arial" w:hAnsi="Arial" w:cs="Arial"/>
              </w:rPr>
            </w:pPr>
            <w:r>
              <w:rPr>
                <w:rFonts w:ascii="Arial" w:hAnsi="Arial" w:cs="Arial"/>
              </w:rPr>
              <w:t>5.4</w:t>
            </w:r>
            <w:r w:rsidR="00707636" w:rsidRPr="0085657D">
              <w:rPr>
                <w:rFonts w:ascii="Arial" w:hAnsi="Arial" w:cs="Arial"/>
              </w:rPr>
              <w:t>.</w:t>
            </w:r>
          </w:p>
          <w:p w14:paraId="660C0B81" w14:textId="77777777" w:rsidR="00707636" w:rsidRPr="0085657D" w:rsidRDefault="00707636" w:rsidP="00707636">
            <w:pPr>
              <w:rPr>
                <w:rFonts w:ascii="Arial" w:hAnsi="Arial" w:cs="Arial"/>
              </w:rPr>
            </w:pPr>
            <w:r w:rsidRPr="0085657D">
              <w:rPr>
                <w:rFonts w:ascii="Arial" w:hAnsi="Arial" w:cs="Arial"/>
              </w:rPr>
              <w:t>Unapređenje sistema prikupljanja i obrade statističkih podataka o žrtvama</w:t>
            </w:r>
          </w:p>
          <w:p w14:paraId="772244DA" w14:textId="77777777" w:rsidR="00707636" w:rsidRPr="0085657D" w:rsidRDefault="00707636" w:rsidP="00707636">
            <w:pPr>
              <w:rPr>
                <w:rFonts w:ascii="Arial" w:hAnsi="Arial" w:cs="Arial"/>
              </w:rPr>
            </w:pPr>
          </w:p>
        </w:tc>
        <w:tc>
          <w:tcPr>
            <w:tcW w:w="1648" w:type="pct"/>
            <w:tcBorders>
              <w:top w:val="double" w:sz="4" w:space="0" w:color="auto"/>
            </w:tcBorders>
            <w:shd w:val="clear" w:color="auto" w:fill="FFFFFF" w:themeFill="background1"/>
          </w:tcPr>
          <w:p w14:paraId="78B85C19" w14:textId="77777777" w:rsidR="00707636" w:rsidRPr="0085657D" w:rsidRDefault="00707636" w:rsidP="00707636">
            <w:pPr>
              <w:shd w:val="clear" w:color="auto" w:fill="FFFFFF" w:themeFill="background1"/>
              <w:spacing w:after="240"/>
              <w:rPr>
                <w:rFonts w:ascii="Arial" w:hAnsi="Arial" w:cs="Arial"/>
              </w:rPr>
            </w:pPr>
            <w:r w:rsidRPr="0085657D">
              <w:rPr>
                <w:rFonts w:ascii="Arial" w:hAnsi="Arial" w:cs="Arial"/>
              </w:rPr>
              <w:t>Normativni okvir omogućava prikupljanje i obradu adekvatnih  statističkih parametara i obradu podataka o žrtvama pravosuđu.</w:t>
            </w:r>
          </w:p>
        </w:tc>
        <w:tc>
          <w:tcPr>
            <w:tcW w:w="822" w:type="pct"/>
            <w:tcBorders>
              <w:top w:val="double" w:sz="4" w:space="0" w:color="auto"/>
            </w:tcBorders>
            <w:shd w:val="clear" w:color="auto" w:fill="FFFFFF" w:themeFill="background1"/>
          </w:tcPr>
          <w:p w14:paraId="53B2237E" w14:textId="77777777" w:rsidR="00707636" w:rsidRPr="0085657D" w:rsidRDefault="00707636" w:rsidP="00707636">
            <w:pPr>
              <w:shd w:val="clear" w:color="auto" w:fill="FFFFFF" w:themeFill="background1"/>
              <w:jc w:val="center"/>
              <w:rPr>
                <w:rFonts w:ascii="Arial" w:hAnsi="Arial" w:cs="Arial"/>
              </w:rPr>
            </w:pPr>
            <w:r w:rsidRPr="0085657D">
              <w:rPr>
                <w:rFonts w:ascii="Arial" w:hAnsi="Arial" w:cs="Arial"/>
              </w:rPr>
              <w:t>NE</w:t>
            </w:r>
          </w:p>
        </w:tc>
        <w:tc>
          <w:tcPr>
            <w:tcW w:w="822" w:type="pct"/>
            <w:tcBorders>
              <w:top w:val="double" w:sz="4" w:space="0" w:color="auto"/>
            </w:tcBorders>
            <w:shd w:val="clear" w:color="auto" w:fill="FFFFFF" w:themeFill="background1"/>
          </w:tcPr>
          <w:p w14:paraId="74086EB7" w14:textId="77777777" w:rsidR="00707636" w:rsidRPr="0085657D" w:rsidRDefault="00707636" w:rsidP="00707636">
            <w:pPr>
              <w:shd w:val="clear" w:color="auto" w:fill="FFFFFF" w:themeFill="background1"/>
              <w:jc w:val="center"/>
              <w:rPr>
                <w:rFonts w:ascii="Arial" w:hAnsi="Arial" w:cs="Arial"/>
              </w:rPr>
            </w:pPr>
            <w:r w:rsidRPr="0085657D">
              <w:rPr>
                <w:rFonts w:ascii="Arial" w:hAnsi="Arial" w:cs="Arial"/>
              </w:rPr>
              <w:t>DA</w:t>
            </w:r>
          </w:p>
        </w:tc>
        <w:tc>
          <w:tcPr>
            <w:tcW w:w="822" w:type="pct"/>
            <w:tcBorders>
              <w:top w:val="double" w:sz="4" w:space="0" w:color="auto"/>
              <w:right w:val="double" w:sz="4" w:space="0" w:color="auto"/>
            </w:tcBorders>
            <w:shd w:val="clear" w:color="auto" w:fill="FFFFFF" w:themeFill="background1"/>
          </w:tcPr>
          <w:p w14:paraId="028C4970" w14:textId="77777777" w:rsidR="00707636" w:rsidRPr="0085657D" w:rsidRDefault="00707636" w:rsidP="00707636">
            <w:pPr>
              <w:shd w:val="clear" w:color="auto" w:fill="FFFFFF" w:themeFill="background1"/>
              <w:jc w:val="center"/>
              <w:rPr>
                <w:rFonts w:ascii="Arial" w:hAnsi="Arial" w:cs="Arial"/>
              </w:rPr>
            </w:pPr>
            <w:r w:rsidRPr="0085657D">
              <w:rPr>
                <w:rFonts w:ascii="Arial" w:hAnsi="Arial" w:cs="Arial"/>
              </w:rPr>
              <w:t>DA</w:t>
            </w:r>
          </w:p>
        </w:tc>
      </w:tr>
      <w:tr w:rsidR="00707636" w:rsidRPr="0085657D" w14:paraId="59D16A44" w14:textId="77777777" w:rsidTr="00707636">
        <w:trPr>
          <w:trHeight w:val="254"/>
        </w:trPr>
        <w:tc>
          <w:tcPr>
            <w:tcW w:w="887" w:type="pct"/>
            <w:vMerge/>
            <w:tcBorders>
              <w:bottom w:val="double" w:sz="4" w:space="0" w:color="auto"/>
            </w:tcBorders>
            <w:shd w:val="clear" w:color="auto" w:fill="D9F2D0" w:themeFill="accent6" w:themeFillTint="33"/>
          </w:tcPr>
          <w:p w14:paraId="5BCE95DD" w14:textId="77777777" w:rsidR="00707636" w:rsidRPr="0085657D" w:rsidRDefault="00707636" w:rsidP="00707636">
            <w:pPr>
              <w:rPr>
                <w:rFonts w:ascii="Arial" w:hAnsi="Arial" w:cs="Arial"/>
              </w:rPr>
            </w:pPr>
          </w:p>
        </w:tc>
        <w:tc>
          <w:tcPr>
            <w:tcW w:w="1648" w:type="pct"/>
            <w:tcBorders>
              <w:top w:val="double" w:sz="4" w:space="0" w:color="auto"/>
              <w:bottom w:val="double" w:sz="4" w:space="0" w:color="auto"/>
            </w:tcBorders>
            <w:shd w:val="clear" w:color="auto" w:fill="FFFFFF" w:themeFill="background1"/>
          </w:tcPr>
          <w:p w14:paraId="1F583779" w14:textId="51DAC8BD" w:rsidR="00707636" w:rsidRPr="0085657D" w:rsidRDefault="00707636" w:rsidP="00707636">
            <w:pPr>
              <w:shd w:val="clear" w:color="auto" w:fill="FFFFFF" w:themeFill="background1"/>
              <w:spacing w:after="240"/>
              <w:rPr>
                <w:rFonts w:ascii="Arial" w:hAnsi="Arial" w:cs="Arial"/>
              </w:rPr>
            </w:pPr>
            <w:r w:rsidRPr="0085657D">
              <w:rPr>
                <w:rFonts w:ascii="Arial" w:hAnsi="Arial" w:cs="Arial"/>
              </w:rPr>
              <w:t>Te</w:t>
            </w:r>
            <w:r w:rsidR="002D1076">
              <w:rPr>
                <w:rFonts w:ascii="Arial" w:hAnsi="Arial" w:cs="Arial"/>
              </w:rPr>
              <w:t>h</w:t>
            </w:r>
            <w:r w:rsidRPr="0085657D">
              <w:rPr>
                <w:rFonts w:ascii="Arial" w:hAnsi="Arial" w:cs="Arial"/>
              </w:rPr>
              <w:t xml:space="preserve">nički preduslovi informacionog sistema u pravosuđu omogućavaju prikupljanje i obradu adekvatnih  statističkih parametara i obradu podataka o žrtvama </w:t>
            </w:r>
          </w:p>
        </w:tc>
        <w:tc>
          <w:tcPr>
            <w:tcW w:w="822" w:type="pct"/>
            <w:tcBorders>
              <w:top w:val="double" w:sz="4" w:space="0" w:color="auto"/>
              <w:bottom w:val="double" w:sz="4" w:space="0" w:color="auto"/>
            </w:tcBorders>
            <w:shd w:val="clear" w:color="auto" w:fill="FFFFFF" w:themeFill="background1"/>
          </w:tcPr>
          <w:p w14:paraId="1654DDEC" w14:textId="77777777" w:rsidR="00707636" w:rsidRPr="0085657D" w:rsidRDefault="00707636" w:rsidP="00707636">
            <w:pPr>
              <w:shd w:val="clear" w:color="auto" w:fill="FFFFFF" w:themeFill="background1"/>
              <w:jc w:val="center"/>
              <w:rPr>
                <w:rFonts w:ascii="Arial" w:hAnsi="Arial" w:cs="Arial"/>
              </w:rPr>
            </w:pPr>
            <w:r w:rsidRPr="0085657D">
              <w:rPr>
                <w:rFonts w:ascii="Arial" w:hAnsi="Arial" w:cs="Arial"/>
              </w:rPr>
              <w:t>NE</w:t>
            </w:r>
          </w:p>
        </w:tc>
        <w:tc>
          <w:tcPr>
            <w:tcW w:w="822" w:type="pct"/>
            <w:tcBorders>
              <w:top w:val="double" w:sz="4" w:space="0" w:color="auto"/>
              <w:bottom w:val="double" w:sz="4" w:space="0" w:color="auto"/>
            </w:tcBorders>
            <w:shd w:val="clear" w:color="auto" w:fill="FFFFFF" w:themeFill="background1"/>
          </w:tcPr>
          <w:p w14:paraId="50D26CB7" w14:textId="77777777" w:rsidR="00707636" w:rsidRPr="0085657D" w:rsidRDefault="00707636" w:rsidP="00707636">
            <w:pPr>
              <w:shd w:val="clear" w:color="auto" w:fill="FFFFFF" w:themeFill="background1"/>
              <w:jc w:val="center"/>
              <w:rPr>
                <w:rFonts w:ascii="Arial" w:hAnsi="Arial" w:cs="Arial"/>
              </w:rPr>
            </w:pPr>
            <w:r w:rsidRPr="0085657D">
              <w:rPr>
                <w:rFonts w:ascii="Arial" w:hAnsi="Arial" w:cs="Arial"/>
              </w:rPr>
              <w:t>NE</w:t>
            </w:r>
          </w:p>
        </w:tc>
        <w:tc>
          <w:tcPr>
            <w:tcW w:w="822" w:type="pct"/>
            <w:tcBorders>
              <w:top w:val="double" w:sz="4" w:space="0" w:color="auto"/>
              <w:bottom w:val="double" w:sz="4" w:space="0" w:color="auto"/>
              <w:right w:val="double" w:sz="4" w:space="0" w:color="auto"/>
            </w:tcBorders>
            <w:shd w:val="clear" w:color="auto" w:fill="FFFFFF" w:themeFill="background1"/>
          </w:tcPr>
          <w:p w14:paraId="33A19B59" w14:textId="77777777" w:rsidR="00707636" w:rsidRPr="0085657D" w:rsidRDefault="00707636" w:rsidP="00707636">
            <w:pPr>
              <w:shd w:val="clear" w:color="auto" w:fill="FFFFFF" w:themeFill="background1"/>
              <w:jc w:val="center"/>
              <w:rPr>
                <w:rFonts w:ascii="Arial" w:hAnsi="Arial" w:cs="Arial"/>
              </w:rPr>
            </w:pPr>
            <w:r w:rsidRPr="0085657D">
              <w:rPr>
                <w:rFonts w:ascii="Arial" w:hAnsi="Arial" w:cs="Arial"/>
              </w:rPr>
              <w:t>DA</w:t>
            </w:r>
          </w:p>
        </w:tc>
      </w:tr>
    </w:tbl>
    <w:p w14:paraId="51E690BD" w14:textId="77777777" w:rsidR="00192FBD" w:rsidRPr="0085657D" w:rsidRDefault="00192FBD" w:rsidP="00192FBD">
      <w:pPr>
        <w:rPr>
          <w:rFonts w:ascii="Arial" w:hAnsi="Arial" w:cs="Arial"/>
        </w:rPr>
      </w:pPr>
    </w:p>
    <w:p w14:paraId="154B7AEE" w14:textId="77777777" w:rsidR="00AB3E75" w:rsidRPr="0085657D" w:rsidRDefault="00AB3E75" w:rsidP="00AB3E75">
      <w:pPr>
        <w:rPr>
          <w:rFonts w:ascii="Arial" w:hAnsi="Arial" w:cs="Arial"/>
        </w:rPr>
      </w:pPr>
    </w:p>
    <w:p w14:paraId="0BB7AEE4" w14:textId="263BD8F3" w:rsidR="00AB3E75" w:rsidRPr="0085657D" w:rsidRDefault="000F409D" w:rsidP="00B754C8">
      <w:pPr>
        <w:pStyle w:val="Heading3"/>
        <w:ind w:left="360"/>
        <w:rPr>
          <w:rFonts w:ascii="Arial" w:hAnsi="Arial" w:cs="Arial"/>
          <w:sz w:val="22"/>
          <w:szCs w:val="22"/>
          <w14:ligatures w14:val="standardContextual"/>
        </w:rPr>
      </w:pPr>
      <w:bookmarkStart w:id="82" w:name="_Toc208489226"/>
      <w:r w:rsidRPr="0085657D">
        <w:rPr>
          <w:rFonts w:ascii="Arial" w:hAnsi="Arial" w:cs="Arial"/>
          <w:sz w:val="22"/>
          <w:szCs w:val="22"/>
        </w:rPr>
        <w:t xml:space="preserve">Operativni cilj </w:t>
      </w:r>
      <w:r w:rsidR="00552525">
        <w:rPr>
          <w:rFonts w:ascii="Arial" w:hAnsi="Arial" w:cs="Arial"/>
          <w:sz w:val="22"/>
          <w:szCs w:val="22"/>
        </w:rPr>
        <w:t>5.5:</w:t>
      </w:r>
      <w:r w:rsidR="00E3775C" w:rsidRPr="0085657D">
        <w:rPr>
          <w:rFonts w:ascii="Arial" w:hAnsi="Arial" w:cs="Arial"/>
          <w:sz w:val="22"/>
          <w:szCs w:val="22"/>
        </w:rPr>
        <w:t xml:space="preserve">. </w:t>
      </w:r>
      <w:r w:rsidR="00500F94" w:rsidRPr="0085657D">
        <w:rPr>
          <w:rFonts w:ascii="Arial" w:hAnsi="Arial" w:cs="Arial"/>
          <w:sz w:val="22"/>
          <w:szCs w:val="22"/>
        </w:rPr>
        <w:t>Unapr</w:t>
      </w:r>
      <w:r w:rsidR="004E7EDA">
        <w:rPr>
          <w:rFonts w:ascii="Arial" w:hAnsi="Arial" w:cs="Arial"/>
          <w:sz w:val="22"/>
          <w:szCs w:val="22"/>
        </w:rPr>
        <w:t>e</w:t>
      </w:r>
      <w:r w:rsidR="00500F94" w:rsidRPr="0085657D">
        <w:rPr>
          <w:rFonts w:ascii="Arial" w:hAnsi="Arial" w:cs="Arial"/>
          <w:sz w:val="22"/>
          <w:szCs w:val="22"/>
        </w:rPr>
        <w:t>đenje</w:t>
      </w:r>
      <w:r w:rsidR="00AB3E75" w:rsidRPr="0085657D">
        <w:rPr>
          <w:rFonts w:ascii="Arial" w:hAnsi="Arial" w:cs="Arial"/>
          <w:sz w:val="22"/>
          <w:szCs w:val="22"/>
          <w14:ligatures w14:val="standardContextual"/>
        </w:rPr>
        <w:t xml:space="preserve"> transparentnosti </w:t>
      </w:r>
      <w:r w:rsidR="00192FBD" w:rsidRPr="0085657D">
        <w:rPr>
          <w:rFonts w:ascii="Arial" w:hAnsi="Arial" w:cs="Arial"/>
          <w:sz w:val="22"/>
          <w:szCs w:val="22"/>
          <w14:ligatures w14:val="standardContextual"/>
        </w:rPr>
        <w:t>reformskih procesa u oblasti zaštite prava žrtava</w:t>
      </w:r>
      <w:bookmarkEnd w:id="82"/>
    </w:p>
    <w:p w14:paraId="122815D8" w14:textId="440FA3BB" w:rsidR="00AB3E75" w:rsidRPr="0085657D" w:rsidRDefault="00AB3E75" w:rsidP="000A6030">
      <w:pPr>
        <w:spacing w:line="276" w:lineRule="auto"/>
        <w:rPr>
          <w:rFonts w:ascii="Arial" w:hAnsi="Arial" w:cs="Arial"/>
        </w:rPr>
      </w:pPr>
      <w:r w:rsidRPr="0085657D">
        <w:rPr>
          <w:rFonts w:ascii="Arial" w:hAnsi="Arial" w:cs="Arial"/>
        </w:rPr>
        <w:t xml:space="preserve">Pitanje unapređenja transparentnosti </w:t>
      </w:r>
      <w:r w:rsidR="001B4DAD" w:rsidRPr="0085657D">
        <w:rPr>
          <w:rFonts w:ascii="Arial" w:hAnsi="Arial" w:cs="Arial"/>
        </w:rPr>
        <w:t xml:space="preserve"> reformskih procesa u oblasti zaštite prava žrtava</w:t>
      </w:r>
      <w:r w:rsidRPr="0085657D">
        <w:rPr>
          <w:rFonts w:ascii="Arial" w:hAnsi="Arial" w:cs="Arial"/>
        </w:rPr>
        <w:t xml:space="preserve"> potrebno je u budućnosti tretirati na nekoliko paralelnih </w:t>
      </w:r>
      <w:r w:rsidR="001B4DAD" w:rsidRPr="0085657D">
        <w:rPr>
          <w:rFonts w:ascii="Arial" w:hAnsi="Arial" w:cs="Arial"/>
        </w:rPr>
        <w:t>kolosjeka</w:t>
      </w:r>
      <w:r w:rsidRPr="0085657D">
        <w:rPr>
          <w:rFonts w:ascii="Arial" w:hAnsi="Arial" w:cs="Arial"/>
        </w:rPr>
        <w:t xml:space="preserve"> i to:</w:t>
      </w:r>
    </w:p>
    <w:p w14:paraId="26DAC873" w14:textId="77777777" w:rsidR="00AB3E75" w:rsidRPr="0085657D" w:rsidRDefault="00AB3E75" w:rsidP="000A6030">
      <w:pPr>
        <w:pStyle w:val="ListParagraph"/>
        <w:numPr>
          <w:ilvl w:val="0"/>
          <w:numId w:val="2"/>
        </w:numPr>
        <w:spacing w:line="276" w:lineRule="auto"/>
        <w:rPr>
          <w:rFonts w:ascii="Arial" w:hAnsi="Arial" w:cs="Arial"/>
        </w:rPr>
      </w:pPr>
      <w:r w:rsidRPr="0085657D">
        <w:rPr>
          <w:rFonts w:ascii="Arial" w:hAnsi="Arial" w:cs="Arial"/>
        </w:rPr>
        <w:t xml:space="preserve">Kroz </w:t>
      </w:r>
      <w:r w:rsidR="001B4DAD" w:rsidRPr="0085657D">
        <w:rPr>
          <w:rFonts w:ascii="Arial" w:hAnsi="Arial" w:cs="Arial"/>
        </w:rPr>
        <w:t>redovno sačinjavanje i objavljivanje izvještaja o sprovođenju Strategije;</w:t>
      </w:r>
    </w:p>
    <w:p w14:paraId="3248BA78" w14:textId="77777777" w:rsidR="000A6030" w:rsidRPr="0085657D" w:rsidRDefault="001B4DAD" w:rsidP="000A6030">
      <w:pPr>
        <w:pStyle w:val="ListParagraph"/>
        <w:numPr>
          <w:ilvl w:val="0"/>
          <w:numId w:val="2"/>
        </w:numPr>
        <w:spacing w:line="276" w:lineRule="auto"/>
        <w:rPr>
          <w:rFonts w:ascii="Arial" w:hAnsi="Arial" w:cs="Arial"/>
        </w:rPr>
      </w:pPr>
      <w:r w:rsidRPr="0085657D">
        <w:rPr>
          <w:rFonts w:ascii="Arial" w:hAnsi="Arial" w:cs="Arial"/>
        </w:rPr>
        <w:t>Putem organizacije sastanaka, diskusija, okruglih stolova i konferencija</w:t>
      </w:r>
      <w:r w:rsidR="000A6030" w:rsidRPr="0085657D">
        <w:rPr>
          <w:rFonts w:ascii="Arial" w:hAnsi="Arial" w:cs="Arial"/>
        </w:rPr>
        <w:t xml:space="preserve"> uz učešće predstavnika institucija, OCD i akademske zajednice</w:t>
      </w:r>
      <w:r w:rsidRPr="0085657D">
        <w:rPr>
          <w:rFonts w:ascii="Arial" w:hAnsi="Arial" w:cs="Arial"/>
        </w:rPr>
        <w:t xml:space="preserve"> na kojima se diskutovalo o aktuelnim izazovima zaštite prava žrtava</w:t>
      </w:r>
      <w:r w:rsidR="000A6030" w:rsidRPr="0085657D">
        <w:rPr>
          <w:rFonts w:ascii="Arial" w:hAnsi="Arial" w:cs="Arial"/>
        </w:rPr>
        <w:t>.</w:t>
      </w:r>
    </w:p>
    <w:p w14:paraId="2B266D81" w14:textId="636C2069" w:rsidR="00AB3E75" w:rsidRPr="0085657D" w:rsidRDefault="00AB3E75" w:rsidP="00AB3E75">
      <w:pPr>
        <w:jc w:val="center"/>
        <w:rPr>
          <w:rFonts w:ascii="Arial" w:hAnsi="Arial" w:cs="Arial"/>
        </w:rPr>
      </w:pPr>
      <w:r w:rsidRPr="0085657D">
        <w:rPr>
          <w:rFonts w:ascii="Arial" w:hAnsi="Arial" w:cs="Arial"/>
          <w:i/>
          <w:iCs/>
        </w:rPr>
        <w:t>Tabela 2</w:t>
      </w:r>
      <w:r w:rsidR="002D1076">
        <w:rPr>
          <w:rFonts w:ascii="Arial" w:hAnsi="Arial" w:cs="Arial"/>
          <w:i/>
          <w:iCs/>
        </w:rPr>
        <w:t>5</w:t>
      </w:r>
      <w:r w:rsidRPr="0085657D">
        <w:rPr>
          <w:rFonts w:ascii="Arial" w:hAnsi="Arial" w:cs="Arial"/>
          <w:i/>
          <w:iCs/>
        </w:rPr>
        <w:t xml:space="preserve">: Indikatori realizacije Operativnog cilja </w:t>
      </w:r>
      <w:r w:rsidR="00552525">
        <w:rPr>
          <w:rFonts w:ascii="Arial" w:hAnsi="Arial" w:cs="Arial"/>
          <w:i/>
          <w:iCs/>
        </w:rPr>
        <w:t>5.5.</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407"/>
        <w:gridCol w:w="3253"/>
        <w:gridCol w:w="1274"/>
        <w:gridCol w:w="1276"/>
        <w:gridCol w:w="1130"/>
      </w:tblGrid>
      <w:tr w:rsidR="00AB3E75" w:rsidRPr="0085657D" w14:paraId="13861E90" w14:textId="77777777" w:rsidTr="002D1076">
        <w:trPr>
          <w:trHeight w:val="575"/>
        </w:trPr>
        <w:tc>
          <w:tcPr>
            <w:tcW w:w="1288" w:type="pct"/>
            <w:tcBorders>
              <w:top w:val="double" w:sz="4" w:space="0" w:color="auto"/>
            </w:tcBorders>
            <w:shd w:val="clear" w:color="auto" w:fill="FAE2D5" w:themeFill="accent2" w:themeFillTint="33"/>
          </w:tcPr>
          <w:p w14:paraId="7C43B484" w14:textId="77777777" w:rsidR="00AB3E75" w:rsidRPr="0085657D" w:rsidRDefault="00AB3E75" w:rsidP="00C921B0">
            <w:pPr>
              <w:rPr>
                <w:rFonts w:ascii="Arial" w:hAnsi="Arial" w:cs="Arial"/>
              </w:rPr>
            </w:pPr>
            <w:r w:rsidRPr="0085657D">
              <w:rPr>
                <w:rFonts w:ascii="Arial" w:hAnsi="Arial" w:cs="Arial"/>
              </w:rPr>
              <w:t xml:space="preserve">Operativni </w:t>
            </w:r>
          </w:p>
          <w:p w14:paraId="4C71372B" w14:textId="77777777" w:rsidR="00AB3E75" w:rsidRPr="0085657D" w:rsidRDefault="00AB3E75" w:rsidP="00C921B0">
            <w:pPr>
              <w:rPr>
                <w:rFonts w:ascii="Arial" w:hAnsi="Arial" w:cs="Arial"/>
              </w:rPr>
            </w:pPr>
            <w:r w:rsidRPr="0085657D">
              <w:rPr>
                <w:rFonts w:ascii="Arial" w:hAnsi="Arial" w:cs="Arial"/>
              </w:rPr>
              <w:t>cilj</w:t>
            </w:r>
          </w:p>
        </w:tc>
        <w:tc>
          <w:tcPr>
            <w:tcW w:w="1741" w:type="pct"/>
            <w:tcBorders>
              <w:top w:val="double" w:sz="4" w:space="0" w:color="auto"/>
            </w:tcBorders>
            <w:shd w:val="clear" w:color="auto" w:fill="FAE2D5" w:themeFill="accent2" w:themeFillTint="33"/>
          </w:tcPr>
          <w:p w14:paraId="2E5E5958" w14:textId="77777777" w:rsidR="00AB3E75" w:rsidRPr="0085657D" w:rsidRDefault="00AB3E75" w:rsidP="00C921B0">
            <w:pPr>
              <w:rPr>
                <w:rFonts w:ascii="Arial" w:hAnsi="Arial" w:cs="Arial"/>
              </w:rPr>
            </w:pPr>
            <w:r w:rsidRPr="0085657D">
              <w:rPr>
                <w:rFonts w:ascii="Arial" w:hAnsi="Arial" w:cs="Arial"/>
              </w:rPr>
              <w:t>Indikator učinka</w:t>
            </w:r>
          </w:p>
        </w:tc>
        <w:tc>
          <w:tcPr>
            <w:tcW w:w="682" w:type="pct"/>
            <w:tcBorders>
              <w:top w:val="double" w:sz="4" w:space="0" w:color="auto"/>
            </w:tcBorders>
            <w:shd w:val="clear" w:color="auto" w:fill="FAE2D5" w:themeFill="accent2" w:themeFillTint="33"/>
          </w:tcPr>
          <w:p w14:paraId="74964DF2" w14:textId="77777777" w:rsidR="00AB3E75" w:rsidRPr="0085657D" w:rsidRDefault="00AB3E75" w:rsidP="00C921B0">
            <w:pPr>
              <w:rPr>
                <w:rFonts w:ascii="Arial" w:hAnsi="Arial" w:cs="Arial"/>
              </w:rPr>
            </w:pPr>
            <w:r w:rsidRPr="0085657D">
              <w:rPr>
                <w:rFonts w:ascii="Arial" w:hAnsi="Arial" w:cs="Arial"/>
              </w:rPr>
              <w:t>Početna vrijednost</w:t>
            </w:r>
          </w:p>
          <w:p w14:paraId="453939F8" w14:textId="77777777" w:rsidR="00AB3E75" w:rsidRPr="0085657D" w:rsidRDefault="00AB3E75" w:rsidP="00C921B0">
            <w:pPr>
              <w:rPr>
                <w:rFonts w:ascii="Arial" w:hAnsi="Arial" w:cs="Arial"/>
              </w:rPr>
            </w:pPr>
            <w:r w:rsidRPr="0085657D">
              <w:rPr>
                <w:rFonts w:ascii="Arial" w:hAnsi="Arial" w:cs="Arial"/>
              </w:rPr>
              <w:t>202</w:t>
            </w:r>
            <w:r w:rsidR="00434AB1" w:rsidRPr="0085657D">
              <w:rPr>
                <w:rFonts w:ascii="Arial" w:hAnsi="Arial" w:cs="Arial"/>
              </w:rPr>
              <w:t>4</w:t>
            </w:r>
            <w:r w:rsidRPr="0085657D">
              <w:rPr>
                <w:rFonts w:ascii="Arial" w:hAnsi="Arial" w:cs="Arial"/>
              </w:rPr>
              <w:t>.</w:t>
            </w:r>
          </w:p>
        </w:tc>
        <w:tc>
          <w:tcPr>
            <w:tcW w:w="683" w:type="pct"/>
            <w:tcBorders>
              <w:top w:val="double" w:sz="4" w:space="0" w:color="auto"/>
            </w:tcBorders>
            <w:shd w:val="clear" w:color="auto" w:fill="FAE2D5" w:themeFill="accent2" w:themeFillTint="33"/>
          </w:tcPr>
          <w:p w14:paraId="3F71BF14" w14:textId="462459B9" w:rsidR="00AB3E75" w:rsidRPr="0085657D" w:rsidRDefault="00AB3E75"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05" w:type="pct"/>
            <w:tcBorders>
              <w:top w:val="double" w:sz="4" w:space="0" w:color="auto"/>
              <w:right w:val="double" w:sz="4" w:space="0" w:color="auto"/>
            </w:tcBorders>
            <w:shd w:val="clear" w:color="auto" w:fill="FAE2D5" w:themeFill="accent2" w:themeFillTint="33"/>
          </w:tcPr>
          <w:p w14:paraId="09BC2FE5" w14:textId="7B92F887" w:rsidR="00AB3E75" w:rsidRPr="0085657D" w:rsidRDefault="00AB3E75"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B3E75" w:rsidRPr="0085657D" w14:paraId="0A30643E" w14:textId="77777777" w:rsidTr="002D1076">
        <w:trPr>
          <w:trHeight w:val="254"/>
        </w:trPr>
        <w:tc>
          <w:tcPr>
            <w:tcW w:w="1288" w:type="pct"/>
            <w:vMerge w:val="restart"/>
            <w:tcBorders>
              <w:top w:val="double" w:sz="4" w:space="0" w:color="auto"/>
            </w:tcBorders>
            <w:shd w:val="clear" w:color="auto" w:fill="D9F2D0" w:themeFill="accent6" w:themeFillTint="33"/>
          </w:tcPr>
          <w:p w14:paraId="1B4F40E6" w14:textId="2CD3D030" w:rsidR="00AB3E75" w:rsidRPr="0085657D" w:rsidRDefault="00552525" w:rsidP="00C921B0">
            <w:pPr>
              <w:rPr>
                <w:rFonts w:ascii="Arial" w:hAnsi="Arial" w:cs="Arial"/>
              </w:rPr>
            </w:pPr>
            <w:r>
              <w:rPr>
                <w:rFonts w:ascii="Arial" w:hAnsi="Arial" w:cs="Arial"/>
              </w:rPr>
              <w:t>5.5</w:t>
            </w:r>
            <w:r w:rsidR="00434AB1" w:rsidRPr="0085657D">
              <w:rPr>
                <w:rFonts w:ascii="Arial" w:hAnsi="Arial" w:cs="Arial"/>
              </w:rPr>
              <w:t>.</w:t>
            </w:r>
          </w:p>
          <w:p w14:paraId="4A796F14" w14:textId="503F4C28" w:rsidR="00D90507" w:rsidRPr="0085657D" w:rsidRDefault="00500F94" w:rsidP="00D90507">
            <w:pPr>
              <w:rPr>
                <w:rFonts w:ascii="Arial" w:hAnsi="Arial" w:cs="Arial"/>
              </w:rPr>
            </w:pPr>
            <w:r w:rsidRPr="0085657D">
              <w:rPr>
                <w:rFonts w:ascii="Arial" w:hAnsi="Arial" w:cs="Arial"/>
              </w:rPr>
              <w:t>Unapređenje</w:t>
            </w:r>
            <w:r w:rsidR="00D90507" w:rsidRPr="0085657D">
              <w:rPr>
                <w:rFonts w:ascii="Arial" w:hAnsi="Arial" w:cs="Arial"/>
                <w14:ligatures w14:val="standardContextual"/>
              </w:rPr>
              <w:t xml:space="preserve"> transparentnosti reformskih procesa u oblasti zaštite prava žrtava</w:t>
            </w:r>
          </w:p>
          <w:p w14:paraId="2FA71C99" w14:textId="77777777" w:rsidR="00D90507" w:rsidRPr="0085657D" w:rsidRDefault="00D90507" w:rsidP="00C921B0">
            <w:pPr>
              <w:rPr>
                <w:rFonts w:ascii="Arial" w:hAnsi="Arial" w:cs="Arial"/>
              </w:rPr>
            </w:pPr>
          </w:p>
        </w:tc>
        <w:tc>
          <w:tcPr>
            <w:tcW w:w="1741" w:type="pct"/>
            <w:tcBorders>
              <w:top w:val="double" w:sz="4" w:space="0" w:color="auto"/>
              <w:bottom w:val="double" w:sz="4" w:space="0" w:color="auto"/>
            </w:tcBorders>
            <w:shd w:val="clear" w:color="auto" w:fill="FFFFFF" w:themeFill="background1"/>
          </w:tcPr>
          <w:p w14:paraId="3900D440" w14:textId="77777777" w:rsidR="00AB3E75" w:rsidRPr="0085657D" w:rsidRDefault="00AB3E75" w:rsidP="00C921B0">
            <w:pPr>
              <w:shd w:val="clear" w:color="auto" w:fill="FFFFFF" w:themeFill="background1"/>
              <w:spacing w:after="240"/>
              <w:rPr>
                <w:rFonts w:ascii="Arial" w:hAnsi="Arial" w:cs="Arial"/>
              </w:rPr>
            </w:pPr>
            <w:r w:rsidRPr="0085657D">
              <w:rPr>
                <w:rFonts w:ascii="Arial" w:hAnsi="Arial" w:cs="Arial"/>
              </w:rPr>
              <w:lastRenderedPageBreak/>
              <w:t xml:space="preserve">Broj objavljenih izvještaja o sprovođenju Strategije </w:t>
            </w:r>
            <w:r w:rsidR="000A6030" w:rsidRPr="0085657D">
              <w:rPr>
                <w:rFonts w:ascii="Arial" w:hAnsi="Arial" w:cs="Arial"/>
              </w:rPr>
              <w:t>(</w:t>
            </w:r>
            <w:r w:rsidRPr="0085657D">
              <w:rPr>
                <w:rFonts w:ascii="Arial" w:hAnsi="Arial" w:cs="Arial"/>
              </w:rPr>
              <w:t>na godišnjem nivou</w:t>
            </w:r>
            <w:r w:rsidR="000A6030" w:rsidRPr="0085657D">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6FDB7DB4" w14:textId="77777777" w:rsidR="00AB3E75" w:rsidRPr="0085657D" w:rsidRDefault="00434AB1" w:rsidP="00C921B0">
            <w:pPr>
              <w:shd w:val="clear" w:color="auto" w:fill="FFFFFF" w:themeFill="background1"/>
              <w:jc w:val="center"/>
              <w:rPr>
                <w:rFonts w:ascii="Arial" w:hAnsi="Arial" w:cs="Arial"/>
              </w:rPr>
            </w:pPr>
            <w:r w:rsidRPr="0085657D">
              <w:rPr>
                <w:rFonts w:ascii="Arial" w:hAnsi="Arial" w:cs="Arial"/>
              </w:rPr>
              <w:t>0</w:t>
            </w:r>
          </w:p>
        </w:tc>
        <w:tc>
          <w:tcPr>
            <w:tcW w:w="683" w:type="pct"/>
            <w:tcBorders>
              <w:top w:val="double" w:sz="4" w:space="0" w:color="auto"/>
              <w:bottom w:val="double" w:sz="4" w:space="0" w:color="auto"/>
            </w:tcBorders>
            <w:shd w:val="clear" w:color="auto" w:fill="FFFFFF" w:themeFill="background1"/>
          </w:tcPr>
          <w:p w14:paraId="52725627" w14:textId="77777777" w:rsidR="00AB3E75" w:rsidRPr="0085657D" w:rsidRDefault="00AB3E75" w:rsidP="00C921B0">
            <w:pPr>
              <w:shd w:val="clear" w:color="auto" w:fill="FFFFFF" w:themeFill="background1"/>
              <w:jc w:val="center"/>
              <w:rPr>
                <w:rFonts w:ascii="Arial" w:hAnsi="Arial" w:cs="Arial"/>
              </w:rPr>
            </w:pPr>
            <w:r w:rsidRPr="0085657D">
              <w:rPr>
                <w:rFonts w:ascii="Arial" w:hAnsi="Arial" w:cs="Arial"/>
              </w:rPr>
              <w:t>2</w:t>
            </w:r>
          </w:p>
        </w:tc>
        <w:tc>
          <w:tcPr>
            <w:tcW w:w="605" w:type="pct"/>
            <w:tcBorders>
              <w:top w:val="double" w:sz="4" w:space="0" w:color="auto"/>
              <w:bottom w:val="double" w:sz="4" w:space="0" w:color="auto"/>
              <w:right w:val="double" w:sz="4" w:space="0" w:color="auto"/>
            </w:tcBorders>
            <w:shd w:val="clear" w:color="auto" w:fill="FFFFFF" w:themeFill="background1"/>
          </w:tcPr>
          <w:p w14:paraId="07600870" w14:textId="77777777" w:rsidR="00AB3E75" w:rsidRPr="0085657D" w:rsidRDefault="00AB3E75" w:rsidP="00C921B0">
            <w:pPr>
              <w:shd w:val="clear" w:color="auto" w:fill="FFFFFF" w:themeFill="background1"/>
              <w:jc w:val="center"/>
              <w:rPr>
                <w:rFonts w:ascii="Arial" w:hAnsi="Arial" w:cs="Arial"/>
              </w:rPr>
            </w:pPr>
            <w:r w:rsidRPr="0085657D">
              <w:rPr>
                <w:rFonts w:ascii="Arial" w:hAnsi="Arial" w:cs="Arial"/>
              </w:rPr>
              <w:t>2</w:t>
            </w:r>
          </w:p>
        </w:tc>
      </w:tr>
      <w:tr w:rsidR="00AB3E75" w:rsidRPr="0085657D" w14:paraId="7F6E50FA" w14:textId="77777777" w:rsidTr="002D1076">
        <w:trPr>
          <w:trHeight w:val="254"/>
        </w:trPr>
        <w:tc>
          <w:tcPr>
            <w:tcW w:w="1288" w:type="pct"/>
            <w:vMerge/>
            <w:shd w:val="clear" w:color="auto" w:fill="D9F2D0" w:themeFill="accent6" w:themeFillTint="33"/>
          </w:tcPr>
          <w:p w14:paraId="7D8250CC" w14:textId="77777777" w:rsidR="00AB3E75" w:rsidRPr="0085657D" w:rsidRDefault="00AB3E75" w:rsidP="00C921B0">
            <w:pPr>
              <w:rPr>
                <w:rFonts w:ascii="Arial" w:hAnsi="Arial" w:cs="Arial"/>
              </w:rPr>
            </w:pPr>
          </w:p>
        </w:tc>
        <w:tc>
          <w:tcPr>
            <w:tcW w:w="1741" w:type="pct"/>
            <w:tcBorders>
              <w:top w:val="double" w:sz="4" w:space="0" w:color="auto"/>
              <w:bottom w:val="double" w:sz="4" w:space="0" w:color="auto"/>
            </w:tcBorders>
            <w:shd w:val="clear" w:color="auto" w:fill="FFFFFF" w:themeFill="background1"/>
          </w:tcPr>
          <w:p w14:paraId="0B629DBF" w14:textId="77777777" w:rsidR="00AB3E75" w:rsidRPr="0085657D" w:rsidRDefault="000A6030" w:rsidP="00C921B0">
            <w:pPr>
              <w:shd w:val="clear" w:color="auto" w:fill="FFFFFF" w:themeFill="background1"/>
              <w:spacing w:after="240"/>
              <w:rPr>
                <w:rFonts w:ascii="Arial" w:hAnsi="Arial" w:cs="Arial"/>
              </w:rPr>
            </w:pPr>
            <w:r w:rsidRPr="0085657D">
              <w:rPr>
                <w:rFonts w:ascii="Arial" w:hAnsi="Arial" w:cs="Arial"/>
              </w:rPr>
              <w:t xml:space="preserve">Broj održanih sastanaka, diskusija, okruglih stolova i </w:t>
            </w:r>
            <w:r w:rsidRPr="0085657D">
              <w:rPr>
                <w:rFonts w:ascii="Arial" w:hAnsi="Arial" w:cs="Arial"/>
              </w:rPr>
              <w:lastRenderedPageBreak/>
              <w:t xml:space="preserve">konferencija na kojima se diskutovalo o aktuelnim izazovima zaštite prava žrtava (na godišnjem </w:t>
            </w:r>
            <w:r w:rsidR="000F409D" w:rsidRPr="0085657D">
              <w:rPr>
                <w:rFonts w:ascii="Arial" w:hAnsi="Arial" w:cs="Arial"/>
              </w:rPr>
              <w:t>nivou</w:t>
            </w:r>
            <w:r w:rsidRPr="0085657D">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614A50C5" w14:textId="77777777" w:rsidR="00AB3E75" w:rsidRPr="0085657D" w:rsidRDefault="000A6030" w:rsidP="00C921B0">
            <w:pPr>
              <w:shd w:val="clear" w:color="auto" w:fill="FFFFFF" w:themeFill="background1"/>
              <w:jc w:val="center"/>
              <w:rPr>
                <w:rFonts w:ascii="Arial" w:hAnsi="Arial" w:cs="Arial"/>
              </w:rPr>
            </w:pPr>
            <w:r w:rsidRPr="0085657D">
              <w:rPr>
                <w:rFonts w:ascii="Arial" w:hAnsi="Arial" w:cs="Arial"/>
              </w:rPr>
              <w:lastRenderedPageBreak/>
              <w:t>1</w:t>
            </w:r>
          </w:p>
        </w:tc>
        <w:tc>
          <w:tcPr>
            <w:tcW w:w="683" w:type="pct"/>
            <w:tcBorders>
              <w:top w:val="double" w:sz="4" w:space="0" w:color="auto"/>
              <w:bottom w:val="double" w:sz="4" w:space="0" w:color="auto"/>
            </w:tcBorders>
            <w:shd w:val="clear" w:color="auto" w:fill="FFFFFF" w:themeFill="background1"/>
          </w:tcPr>
          <w:p w14:paraId="7B099218" w14:textId="77777777" w:rsidR="00AB3E75" w:rsidRPr="0085657D" w:rsidRDefault="000A6030" w:rsidP="00C921B0">
            <w:pPr>
              <w:shd w:val="clear" w:color="auto" w:fill="FFFFFF" w:themeFill="background1"/>
              <w:jc w:val="center"/>
              <w:rPr>
                <w:rFonts w:ascii="Arial" w:hAnsi="Arial" w:cs="Arial"/>
              </w:rPr>
            </w:pPr>
            <w:r w:rsidRPr="0085657D">
              <w:rPr>
                <w:rFonts w:ascii="Arial" w:hAnsi="Arial" w:cs="Arial"/>
              </w:rPr>
              <w:t>2</w:t>
            </w:r>
          </w:p>
        </w:tc>
        <w:tc>
          <w:tcPr>
            <w:tcW w:w="605" w:type="pct"/>
            <w:tcBorders>
              <w:top w:val="double" w:sz="4" w:space="0" w:color="auto"/>
              <w:bottom w:val="double" w:sz="4" w:space="0" w:color="auto"/>
              <w:right w:val="double" w:sz="4" w:space="0" w:color="auto"/>
            </w:tcBorders>
            <w:shd w:val="clear" w:color="auto" w:fill="FFFFFF" w:themeFill="background1"/>
          </w:tcPr>
          <w:p w14:paraId="39369E93" w14:textId="77777777" w:rsidR="00AB3E75" w:rsidRPr="0085657D" w:rsidRDefault="000A6030" w:rsidP="00C921B0">
            <w:pPr>
              <w:shd w:val="clear" w:color="auto" w:fill="FFFFFF" w:themeFill="background1"/>
              <w:jc w:val="center"/>
              <w:rPr>
                <w:rFonts w:ascii="Arial" w:hAnsi="Arial" w:cs="Arial"/>
              </w:rPr>
            </w:pPr>
            <w:r w:rsidRPr="0085657D">
              <w:rPr>
                <w:rFonts w:ascii="Arial" w:hAnsi="Arial" w:cs="Arial"/>
              </w:rPr>
              <w:t>2</w:t>
            </w:r>
          </w:p>
        </w:tc>
      </w:tr>
    </w:tbl>
    <w:p w14:paraId="46259662" w14:textId="77777777" w:rsidR="005414F1" w:rsidRPr="0085657D" w:rsidRDefault="005414F1" w:rsidP="005414F1">
      <w:pPr>
        <w:rPr>
          <w:rFonts w:ascii="Arial" w:hAnsi="Arial" w:cs="Arial"/>
        </w:rPr>
      </w:pPr>
    </w:p>
    <w:p w14:paraId="2B070857" w14:textId="77777777" w:rsidR="005414F1" w:rsidRPr="0085657D" w:rsidRDefault="00287228" w:rsidP="00287228">
      <w:pPr>
        <w:pStyle w:val="Heading1"/>
        <w:spacing w:after="240"/>
        <w:jc w:val="center"/>
        <w:rPr>
          <w:rFonts w:ascii="Arial" w:hAnsi="Arial" w:cs="Arial"/>
          <w:sz w:val="22"/>
          <w:szCs w:val="22"/>
        </w:rPr>
      </w:pPr>
      <w:bookmarkStart w:id="83" w:name="_Toc208489227"/>
      <w:r w:rsidRPr="0085657D">
        <w:rPr>
          <w:rFonts w:ascii="Arial" w:hAnsi="Arial" w:cs="Arial"/>
          <w:sz w:val="22"/>
          <w:szCs w:val="22"/>
        </w:rPr>
        <w:t xml:space="preserve">7. </w:t>
      </w:r>
      <w:r w:rsidR="00EB3472" w:rsidRPr="0085657D">
        <w:rPr>
          <w:rFonts w:ascii="Arial" w:hAnsi="Arial" w:cs="Arial"/>
          <w:sz w:val="22"/>
          <w:szCs w:val="22"/>
        </w:rPr>
        <w:t>Praćenje sprovođenja, izvještavanje i evaluacija</w:t>
      </w:r>
      <w:bookmarkEnd w:id="83"/>
    </w:p>
    <w:p w14:paraId="47D7CA2C" w14:textId="0AA526C7" w:rsidR="00707636" w:rsidRPr="0085657D" w:rsidRDefault="00707636" w:rsidP="00707636">
      <w:pPr>
        <w:spacing w:line="276" w:lineRule="auto"/>
        <w:rPr>
          <w:rFonts w:ascii="Arial" w:hAnsi="Arial" w:cs="Arial"/>
        </w:rPr>
      </w:pPr>
      <w:r w:rsidRPr="0085657D">
        <w:rPr>
          <w:rFonts w:ascii="Arial" w:hAnsi="Arial" w:cs="Arial"/>
        </w:rPr>
        <w:t xml:space="preserve">Praćenje sprovođenja Strategije biće povjereno Savjetu koji obrazuje Vlada Crne Gore u roku od 30 dana od dana usvajanja Strategije. U članstvo Savjeta biće uključeni rukovodioci svih ključnih institucija i organizacija civilnog društva i to: ministar pravde - predsjednik Savjeta, i članovi: </w:t>
      </w:r>
      <w:r w:rsidRPr="00E9112A">
        <w:rPr>
          <w:rFonts w:ascii="Arial" w:hAnsi="Arial" w:cs="Arial"/>
        </w:rPr>
        <w:t>generalni direktor u Ministarstvu pravde zadužen za krivično i građansko zakonodavstvo,</w:t>
      </w:r>
      <w:r w:rsidR="005839B9" w:rsidRPr="00E9112A" w:rsidDel="005839B9">
        <w:rPr>
          <w:rFonts w:ascii="Arial" w:hAnsi="Arial" w:cs="Arial"/>
        </w:rPr>
        <w:t xml:space="preserve"> </w:t>
      </w:r>
      <w:r w:rsidR="00C526DD" w:rsidRPr="00E9112A">
        <w:rPr>
          <w:rFonts w:ascii="Arial" w:hAnsi="Arial" w:cs="Arial"/>
        </w:rPr>
        <w:t>predstavnici delegirani od Vrhovnog suda Crne Gore, Vrhovnog državnog tužioca</w:t>
      </w:r>
      <w:r w:rsidRPr="00E9112A">
        <w:rPr>
          <w:rFonts w:ascii="Arial" w:hAnsi="Arial" w:cs="Arial"/>
        </w:rPr>
        <w:t>, predsjednik</w:t>
      </w:r>
      <w:r w:rsidR="00C526DD" w:rsidRPr="00E9112A">
        <w:rPr>
          <w:rFonts w:ascii="Arial" w:hAnsi="Arial" w:cs="Arial"/>
        </w:rPr>
        <w:t>a</w:t>
      </w:r>
      <w:r w:rsidRPr="00E9112A">
        <w:rPr>
          <w:rFonts w:ascii="Arial" w:hAnsi="Arial" w:cs="Arial"/>
        </w:rPr>
        <w:t xml:space="preserve"> Sudskog savjeta, predsjednik</w:t>
      </w:r>
      <w:r w:rsidR="00C526DD" w:rsidRPr="00E9112A">
        <w:rPr>
          <w:rFonts w:ascii="Arial" w:hAnsi="Arial" w:cs="Arial"/>
        </w:rPr>
        <w:t>a</w:t>
      </w:r>
      <w:r w:rsidRPr="00E9112A">
        <w:rPr>
          <w:rFonts w:ascii="Arial" w:hAnsi="Arial" w:cs="Arial"/>
        </w:rPr>
        <w:t xml:space="preserve"> Advokatske komore, predsjednik</w:t>
      </w:r>
      <w:r w:rsidR="00C526DD" w:rsidRPr="00E9112A">
        <w:rPr>
          <w:rFonts w:ascii="Arial" w:hAnsi="Arial" w:cs="Arial"/>
        </w:rPr>
        <w:t>a</w:t>
      </w:r>
      <w:r w:rsidRPr="00E9112A">
        <w:rPr>
          <w:rFonts w:ascii="Arial" w:hAnsi="Arial" w:cs="Arial"/>
        </w:rPr>
        <w:t xml:space="preserve"> Upravnog odbora Centra za obuku u sudstvu i državnom tužilaštvu, Ministarstva unutrašnjih poslova, Ministarstva socijalnog staranja, </w:t>
      </w:r>
      <w:r w:rsidR="004B3623" w:rsidRPr="00E9112A">
        <w:rPr>
          <w:rFonts w:ascii="Arial" w:hAnsi="Arial" w:cs="Arial"/>
        </w:rPr>
        <w:t>brige o porodici i demografije</w:t>
      </w:r>
      <w:r w:rsidRPr="00E9112A">
        <w:rPr>
          <w:rFonts w:ascii="Arial" w:hAnsi="Arial" w:cs="Arial"/>
        </w:rPr>
        <w:t>,</w:t>
      </w:r>
      <w:r w:rsidRPr="0085657D">
        <w:rPr>
          <w:rFonts w:ascii="Arial" w:hAnsi="Arial" w:cs="Arial"/>
        </w:rPr>
        <w:t xml:space="preserve"> Ministarstva prosvjete, nauke i inovacija, </w:t>
      </w:r>
      <w:r w:rsidR="00C526DD">
        <w:rPr>
          <w:rFonts w:ascii="Arial" w:hAnsi="Arial" w:cs="Arial"/>
        </w:rPr>
        <w:t xml:space="preserve">Ministarstva zdravlja, </w:t>
      </w:r>
      <w:r w:rsidRPr="0085657D">
        <w:rPr>
          <w:rFonts w:ascii="Arial" w:hAnsi="Arial" w:cs="Arial"/>
        </w:rPr>
        <w:t>Zaštitnika ljudskih prava i sloboda (Ombudsmana), kao i najviše tri predstavnika civilnog sektora izabrana na javnom pozivu koji raspisuje Ministarstvo pravde.</w:t>
      </w:r>
    </w:p>
    <w:p w14:paraId="3C73C849" w14:textId="77777777" w:rsidR="00707636" w:rsidRPr="0085657D" w:rsidRDefault="00707636" w:rsidP="00707636">
      <w:pPr>
        <w:spacing w:line="276" w:lineRule="auto"/>
        <w:rPr>
          <w:rFonts w:ascii="Arial" w:hAnsi="Arial" w:cs="Arial"/>
        </w:rPr>
      </w:pPr>
      <w:r w:rsidRPr="0085657D">
        <w:rPr>
          <w:rFonts w:ascii="Arial" w:hAnsi="Arial" w:cs="Arial"/>
        </w:rPr>
        <w:t xml:space="preserve">Svaki od članova Savjeta ima zamjenika koji, u odsustvu člana, ima sva ovlašćenja člana Savjeta. </w:t>
      </w:r>
    </w:p>
    <w:p w14:paraId="40D76B3E" w14:textId="77777777" w:rsidR="00707636" w:rsidRPr="0085657D" w:rsidRDefault="00707636" w:rsidP="00707636">
      <w:pPr>
        <w:spacing w:line="276" w:lineRule="auto"/>
        <w:rPr>
          <w:rFonts w:ascii="Arial" w:hAnsi="Arial" w:cs="Arial"/>
        </w:rPr>
      </w:pPr>
      <w:r w:rsidRPr="0085657D">
        <w:rPr>
          <w:rFonts w:ascii="Arial" w:hAnsi="Arial" w:cs="Arial"/>
        </w:rPr>
        <w:t xml:space="preserve">U okviru nadležnosti za praćenje sprovođenja Strategije, Savjet ima sljedeće zadatke: </w:t>
      </w:r>
    </w:p>
    <w:p w14:paraId="2339F162" w14:textId="77777777"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 xml:space="preserve">Organizuje i sinhronizuje aktivnosti državnih organa, organa državne uprave i drugih nadležnih institucija u sprovođenju aktivnosti predviđenih Strategijom i Akcionim planom za njenu implementaciju; </w:t>
      </w:r>
    </w:p>
    <w:p w14:paraId="00EDF780" w14:textId="77777777"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 xml:space="preserve">Prati prioritete, dinamiku i rokove realizacije i ocjenjuje postignute rezultate u implementaciji Akcionog plana; </w:t>
      </w:r>
    </w:p>
    <w:p w14:paraId="443C9422" w14:textId="27090371"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Ocjenjuje racionalizaciju utroška budžetskih sredstava i sredstava iz drugih izvora opred</w:t>
      </w:r>
      <w:r w:rsidR="00227D26">
        <w:rPr>
          <w:rFonts w:ascii="Arial" w:hAnsi="Arial" w:cs="Arial"/>
        </w:rPr>
        <w:t>i</w:t>
      </w:r>
      <w:r w:rsidRPr="0085657D">
        <w:rPr>
          <w:rFonts w:ascii="Arial" w:hAnsi="Arial" w:cs="Arial"/>
        </w:rPr>
        <w:t xml:space="preserve">jeljenih za realizaciju Akcionog plana; </w:t>
      </w:r>
    </w:p>
    <w:p w14:paraId="630BC3C1" w14:textId="77777777"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 xml:space="preserve">Dostavlja Vladi Crne Gore godišnji i završni izvještaj sa pregledom stanja, ocjenom i predlogom mjera. </w:t>
      </w:r>
    </w:p>
    <w:p w14:paraId="55619B87" w14:textId="77777777" w:rsidR="00707636" w:rsidRPr="0085657D" w:rsidRDefault="00707636" w:rsidP="00707636">
      <w:pPr>
        <w:spacing w:line="276" w:lineRule="auto"/>
        <w:rPr>
          <w:rFonts w:ascii="Arial" w:hAnsi="Arial" w:cs="Arial"/>
        </w:rPr>
      </w:pPr>
      <w:r w:rsidRPr="0085657D">
        <w:rPr>
          <w:rFonts w:ascii="Arial" w:hAnsi="Arial" w:cs="Arial"/>
        </w:rPr>
        <w:t>Savjet ima Sekretara koji rukovodi prikupljanjem i obradom podataka i pripremom izvještaja nadležnih organa, kao i druge stručne poslove. Sve institucije koje dostavljaju izvještaje sekretaru, imenovaće kontakt osobe odgovorne za prikupljanje podataka u okviru svoje institucije, kao i za saradnju sa Sekretarom u procesu obrade podataka i izrade izvještaja. Zamjenik člana Savjeta može istovremeno biti i kontakt tačka.</w:t>
      </w:r>
    </w:p>
    <w:p w14:paraId="1C9870C6" w14:textId="77777777" w:rsidR="00707636" w:rsidRPr="0085657D" w:rsidRDefault="00707636" w:rsidP="00707636">
      <w:pPr>
        <w:spacing w:line="276" w:lineRule="auto"/>
        <w:rPr>
          <w:rFonts w:ascii="Arial" w:hAnsi="Arial" w:cs="Arial"/>
        </w:rPr>
      </w:pPr>
      <w:r w:rsidRPr="0085657D">
        <w:rPr>
          <w:rFonts w:ascii="Arial" w:hAnsi="Arial" w:cs="Arial"/>
        </w:rPr>
        <w:t xml:space="preserve">Administrativno-tehničku podršku radu Savjeta pruža Ministarstvo pravde. </w:t>
      </w:r>
    </w:p>
    <w:p w14:paraId="6A673181" w14:textId="77777777" w:rsidR="00E9112A" w:rsidRDefault="00E9112A" w:rsidP="00707636">
      <w:pPr>
        <w:spacing w:line="276" w:lineRule="auto"/>
        <w:rPr>
          <w:rFonts w:ascii="Arial" w:hAnsi="Arial" w:cs="Arial"/>
        </w:rPr>
      </w:pPr>
    </w:p>
    <w:p w14:paraId="0B98F81C" w14:textId="77777777" w:rsidR="00E9112A" w:rsidRDefault="00E9112A" w:rsidP="00707636">
      <w:pPr>
        <w:spacing w:line="276" w:lineRule="auto"/>
        <w:rPr>
          <w:rFonts w:ascii="Arial" w:hAnsi="Arial" w:cs="Arial"/>
        </w:rPr>
      </w:pPr>
    </w:p>
    <w:p w14:paraId="1F2B1088" w14:textId="13E321EB" w:rsidR="00707636" w:rsidRPr="0085657D" w:rsidRDefault="00707636" w:rsidP="00707636">
      <w:pPr>
        <w:spacing w:line="276" w:lineRule="auto"/>
        <w:rPr>
          <w:rFonts w:ascii="Arial" w:hAnsi="Arial" w:cs="Arial"/>
        </w:rPr>
      </w:pPr>
      <w:r w:rsidRPr="0085657D">
        <w:rPr>
          <w:rFonts w:ascii="Arial" w:hAnsi="Arial" w:cs="Arial"/>
        </w:rPr>
        <w:lastRenderedPageBreak/>
        <w:t>Savjet održava sastanke po potrebi, a najmanje tri puta godišnje. Organizacija i način rada bliže se uređuju Poslovnikom o radu Savjeta koji ovo tijelo usvaja na konstitutivnoj sjednici. Osim Poslovnika, Savjet usvaja i jedinstvenu metodologiju izvještavanja i evaluacije rezultata rada usmjerenu na unifikaciju metodološkog pristupa i kvaliteta izvještavanja među institucijama. Metodologija mora obuhvatiti i mehanizam ranog uzbunjivanja u slučaju kašnjenja u sprovođenju reformi. Po potrebi, Savjet i Ministarstvo će se starati o organizaciji obuka usmjerenih na osnaživanje analitičkih kapaciteta institucija.</w:t>
      </w:r>
    </w:p>
    <w:p w14:paraId="5225F883" w14:textId="77777777" w:rsidR="00707636" w:rsidRPr="0085657D" w:rsidRDefault="00707636" w:rsidP="00707636">
      <w:pPr>
        <w:spacing w:line="276" w:lineRule="auto"/>
        <w:rPr>
          <w:rFonts w:ascii="Arial" w:hAnsi="Arial" w:cs="Arial"/>
        </w:rPr>
      </w:pPr>
      <w:r w:rsidRPr="0085657D">
        <w:rPr>
          <w:rFonts w:ascii="Arial" w:hAnsi="Arial" w:cs="Arial"/>
        </w:rPr>
        <w:t xml:space="preserve">Godišnje izvještavanje je potrebno sprovesti u skladu sa Metodologijom razvijanja politika, izrade i praćenja sprovođenja strateških dokumenata, a na osnovu indikatora. Godišnji izvještaji biće objavljeni na internet stranici Vlade i na internet stranici Ministarstva pravde u roku od sedam radnih dana od dana usvajanja izvještaja. Na kraju druge godine od početka sprovođenja Strategije, koja se poklapa sa krajem dvogodišnjeg Akcionog plana, potrebno je uraditi Izvještaj o realizaciji AP na obrascu koji je propisan Metodologijom. Rezultati procjene uspješnosti Strategije bi trebalo da posluže kao smjernica za izradu novog dvogodišnjeg Akcionog plana. </w:t>
      </w:r>
    </w:p>
    <w:p w14:paraId="15BBA1E5" w14:textId="77777777" w:rsidR="00707636" w:rsidRPr="0085657D" w:rsidRDefault="00707636" w:rsidP="00707636">
      <w:pPr>
        <w:spacing w:line="276" w:lineRule="auto"/>
        <w:rPr>
          <w:rFonts w:ascii="Arial" w:hAnsi="Arial" w:cs="Arial"/>
        </w:rPr>
      </w:pPr>
      <w:r w:rsidRPr="0085657D">
        <w:rPr>
          <w:rFonts w:ascii="Arial" w:hAnsi="Arial" w:cs="Arial"/>
        </w:rPr>
        <w:t>Nakon okončanja implementacije Strategije, izvršiće se njena eksterna evaluacija od strane nezavisnog eksperta, čiji će rezultati biti sastavni dio završnog izvještaja o implementaciji Strategije, koji de biti dostavljeni Vladi Crne Gore.</w:t>
      </w:r>
    </w:p>
    <w:p w14:paraId="5A3E7BAC" w14:textId="77777777" w:rsidR="005414F1" w:rsidRPr="0085657D" w:rsidRDefault="00287228" w:rsidP="00287228">
      <w:pPr>
        <w:pStyle w:val="Heading1"/>
        <w:spacing w:after="240"/>
        <w:jc w:val="center"/>
        <w:rPr>
          <w:rFonts w:ascii="Arial" w:hAnsi="Arial" w:cs="Arial"/>
          <w:sz w:val="22"/>
          <w:szCs w:val="22"/>
        </w:rPr>
      </w:pPr>
      <w:bookmarkStart w:id="84" w:name="_Toc208489228"/>
      <w:r w:rsidRPr="0085657D">
        <w:rPr>
          <w:rFonts w:ascii="Arial" w:hAnsi="Arial" w:cs="Arial"/>
          <w:sz w:val="22"/>
          <w:szCs w:val="22"/>
        </w:rPr>
        <w:t xml:space="preserve">8. </w:t>
      </w:r>
      <w:r w:rsidR="00EB3472" w:rsidRPr="0085657D">
        <w:rPr>
          <w:rFonts w:ascii="Arial" w:hAnsi="Arial" w:cs="Arial"/>
          <w:sz w:val="22"/>
          <w:szCs w:val="22"/>
        </w:rPr>
        <w:t>Informacije o sprovedenim konsultacijama sa zainteresovanim stranama</w:t>
      </w:r>
      <w:bookmarkEnd w:id="84"/>
    </w:p>
    <w:p w14:paraId="2A1B5924" w14:textId="612F6E32" w:rsidR="005414F1" w:rsidRPr="0085657D" w:rsidRDefault="005414F1" w:rsidP="003C7331">
      <w:pPr>
        <w:spacing w:line="276" w:lineRule="auto"/>
        <w:rPr>
          <w:rFonts w:ascii="Arial" w:hAnsi="Arial" w:cs="Arial"/>
          <w:lang w:eastAsia="en-GB"/>
        </w:rPr>
      </w:pPr>
      <w:r w:rsidRPr="0085657D">
        <w:rPr>
          <w:rFonts w:ascii="Arial" w:hAnsi="Arial" w:cs="Arial"/>
          <w:lang w:eastAsia="en-GB"/>
        </w:rPr>
        <w:t xml:space="preserve">Shodno Uredbi o izboru predstavnika nevladinih organizacija u radna tijela organa državne uprave i sprovođenju javne rasprave u pripremi zakona i strategija, poštujući princip transparentnosti, Ministarstvo pravde je dana </w:t>
      </w:r>
      <w:r w:rsidR="00E532DD" w:rsidRPr="0085657D">
        <w:rPr>
          <w:rFonts w:ascii="Arial" w:hAnsi="Arial" w:cs="Arial"/>
          <w:highlight w:val="yellow"/>
          <w:lang w:eastAsia="en-GB"/>
        </w:rPr>
        <w:t xml:space="preserve">10. aprila </w:t>
      </w:r>
      <w:r w:rsidRPr="0085657D">
        <w:rPr>
          <w:rFonts w:ascii="Arial" w:hAnsi="Arial" w:cs="Arial"/>
          <w:lang w:eastAsia="en-GB"/>
        </w:rPr>
        <w:t>202</w:t>
      </w:r>
      <w:r w:rsidR="00797EDE" w:rsidRPr="0085657D">
        <w:rPr>
          <w:rFonts w:ascii="Arial" w:hAnsi="Arial" w:cs="Arial"/>
          <w:lang w:eastAsia="en-GB"/>
        </w:rPr>
        <w:t>4</w:t>
      </w:r>
      <w:r w:rsidRPr="0085657D">
        <w:rPr>
          <w:rFonts w:ascii="Arial" w:hAnsi="Arial" w:cs="Arial"/>
          <w:lang w:eastAsia="en-GB"/>
        </w:rPr>
        <w:t>. godine objavilo Javni poziv za konsultovanje zainteresovane javnosti za izradu Strategij</w:t>
      </w:r>
      <w:r w:rsidR="00975784" w:rsidRPr="0085657D">
        <w:rPr>
          <w:rFonts w:ascii="Arial" w:hAnsi="Arial" w:cs="Arial"/>
          <w:lang w:eastAsia="en-GB"/>
        </w:rPr>
        <w:t>e</w:t>
      </w:r>
      <w:r w:rsidRPr="0085657D">
        <w:rPr>
          <w:rFonts w:ascii="Arial" w:hAnsi="Arial" w:cs="Arial"/>
          <w:lang w:eastAsia="en-GB"/>
        </w:rPr>
        <w:t xml:space="preserve"> </w:t>
      </w:r>
      <w:r w:rsidR="00797EDE" w:rsidRPr="0085657D">
        <w:rPr>
          <w:rFonts w:ascii="Arial" w:hAnsi="Arial" w:cs="Arial"/>
          <w:lang w:eastAsia="en-GB"/>
        </w:rPr>
        <w:t>zašti</w:t>
      </w:r>
      <w:r w:rsidR="00975784" w:rsidRPr="0085657D">
        <w:rPr>
          <w:rFonts w:ascii="Arial" w:hAnsi="Arial" w:cs="Arial"/>
          <w:lang w:eastAsia="en-GB"/>
        </w:rPr>
        <w:t>te</w:t>
      </w:r>
      <w:r w:rsidR="004E2B4D" w:rsidRPr="0085657D">
        <w:rPr>
          <w:rFonts w:ascii="Arial" w:hAnsi="Arial" w:cs="Arial"/>
          <w:lang w:eastAsia="en-GB"/>
        </w:rPr>
        <w:t xml:space="preserve"> prava</w:t>
      </w:r>
      <w:r w:rsidR="00797EDE" w:rsidRPr="0085657D">
        <w:rPr>
          <w:rFonts w:ascii="Arial" w:hAnsi="Arial" w:cs="Arial"/>
          <w:lang w:eastAsia="en-GB"/>
        </w:rPr>
        <w:t xml:space="preserve"> žrtava </w:t>
      </w:r>
      <w:r w:rsidR="004E2B4D" w:rsidRPr="0085657D">
        <w:rPr>
          <w:rFonts w:ascii="Arial" w:hAnsi="Arial" w:cs="Arial"/>
          <w:lang w:eastAsia="en-GB"/>
        </w:rPr>
        <w:t>sa pratećim akcionim planom</w:t>
      </w:r>
      <w:r w:rsidR="004E2B4D" w:rsidRPr="0085657D">
        <w:rPr>
          <w:rStyle w:val="FootnoteReference"/>
          <w:rFonts w:ascii="Arial" w:hAnsi="Arial" w:cs="Arial"/>
          <w:lang w:eastAsia="en-GB"/>
        </w:rPr>
        <w:footnoteReference w:id="75"/>
      </w:r>
      <w:r w:rsidRPr="0085657D">
        <w:rPr>
          <w:rFonts w:ascii="Arial" w:hAnsi="Arial" w:cs="Arial"/>
          <w:lang w:eastAsia="en-GB"/>
        </w:rPr>
        <w:t xml:space="preserve">.  </w:t>
      </w:r>
      <w:r w:rsidR="004E2B4D" w:rsidRPr="0085657D">
        <w:rPr>
          <w:rFonts w:ascii="Arial" w:hAnsi="Arial" w:cs="Arial"/>
          <w:lang w:eastAsia="en-GB"/>
        </w:rPr>
        <w:t>Kako nije bilo NVO prijavljenih po ovom pozivu, Ministarstvo je 17. juna 2024. godine objavilo drugi javni poziv</w:t>
      </w:r>
      <w:r w:rsidR="004E2B4D" w:rsidRPr="0085657D">
        <w:rPr>
          <w:rStyle w:val="FootnoteReference"/>
          <w:rFonts w:ascii="Arial" w:hAnsi="Arial" w:cs="Arial"/>
          <w:lang w:eastAsia="en-GB"/>
        </w:rPr>
        <w:footnoteReference w:id="76"/>
      </w:r>
      <w:r w:rsidR="004E2B4D" w:rsidRPr="0085657D">
        <w:rPr>
          <w:rFonts w:ascii="Arial" w:hAnsi="Arial" w:cs="Arial"/>
          <w:lang w:eastAsia="en-GB"/>
        </w:rPr>
        <w:t xml:space="preserve"> na koji </w:t>
      </w:r>
      <w:r w:rsidR="004E2B4D" w:rsidRPr="0085657D">
        <w:rPr>
          <w:rFonts w:ascii="Arial" w:hAnsi="Arial" w:cs="Arial"/>
          <w:highlight w:val="yellow"/>
          <w:lang w:eastAsia="en-GB"/>
        </w:rPr>
        <w:t>se prijavil</w:t>
      </w:r>
      <w:r w:rsidR="00E87EA0" w:rsidRPr="0085657D">
        <w:rPr>
          <w:rFonts w:ascii="Arial" w:hAnsi="Arial" w:cs="Arial"/>
          <w:highlight w:val="yellow"/>
          <w:lang w:eastAsia="en-GB"/>
        </w:rPr>
        <w:t>a</w:t>
      </w:r>
      <w:r w:rsidR="004E2B4D" w:rsidRPr="0085657D">
        <w:rPr>
          <w:rFonts w:ascii="Arial" w:hAnsi="Arial" w:cs="Arial"/>
          <w:highlight w:val="yellow"/>
          <w:lang w:eastAsia="en-GB"/>
        </w:rPr>
        <w:t xml:space="preserve"> </w:t>
      </w:r>
      <w:r w:rsidR="00E87EA0" w:rsidRPr="0085657D">
        <w:rPr>
          <w:rFonts w:ascii="Arial" w:hAnsi="Arial" w:cs="Arial"/>
          <w:highlight w:val="yellow"/>
          <w:lang w:eastAsia="en-GB"/>
        </w:rPr>
        <w:t>NVO Centar za ženska prava.</w:t>
      </w:r>
    </w:p>
    <w:p w14:paraId="763783E1" w14:textId="77777777" w:rsidR="00707636" w:rsidRPr="0085657D" w:rsidRDefault="00707636" w:rsidP="00707636">
      <w:pPr>
        <w:spacing w:line="276" w:lineRule="auto"/>
        <w:rPr>
          <w:rFonts w:ascii="Arial" w:hAnsi="Arial" w:cs="Arial"/>
          <w:lang w:eastAsia="en-GB"/>
        </w:rPr>
      </w:pPr>
      <w:r w:rsidRPr="0085657D">
        <w:rPr>
          <w:rFonts w:ascii="Arial" w:hAnsi="Arial" w:cs="Arial"/>
          <w:lang w:eastAsia="en-GB"/>
        </w:rPr>
        <w:t xml:space="preserve">U periodu određenom za konsultovanje zainteresovane javnosti (od </w:t>
      </w:r>
      <w:r w:rsidR="00095988" w:rsidRPr="0085657D">
        <w:rPr>
          <w:rFonts w:ascii="Arial" w:hAnsi="Arial" w:cs="Arial"/>
          <w:lang w:eastAsia="en-GB"/>
        </w:rPr>
        <w:t xml:space="preserve">10. aprila </w:t>
      </w:r>
      <w:r w:rsidRPr="0085657D">
        <w:rPr>
          <w:rFonts w:ascii="Arial" w:hAnsi="Arial" w:cs="Arial"/>
          <w:lang w:eastAsia="en-GB"/>
        </w:rPr>
        <w:t xml:space="preserve">2024. godine) nisu pristigli pisani predlozi. </w:t>
      </w:r>
    </w:p>
    <w:p w14:paraId="4ACB4BB8" w14:textId="77777777" w:rsidR="005414F1" w:rsidRPr="0085657D" w:rsidRDefault="005414F1" w:rsidP="003C7331">
      <w:pPr>
        <w:spacing w:line="276" w:lineRule="auto"/>
        <w:rPr>
          <w:rFonts w:ascii="Arial" w:hAnsi="Arial" w:cs="Arial"/>
        </w:rPr>
      </w:pPr>
      <w:r w:rsidRPr="0085657D">
        <w:rPr>
          <w:rFonts w:ascii="Arial" w:hAnsi="Arial" w:cs="Arial"/>
        </w:rPr>
        <w:t>Ministarstvo pravde redovno je obavještavalo javnost putem svoje internet stranice o svim aktivnostima u vezi izrade Nacrta strategije i akcionog plana; datumima održavanja sastanaka, kao i zaključcima koje je Radna grupa donijela na predmetnim sastancima.</w:t>
      </w:r>
    </w:p>
    <w:p w14:paraId="7424AAC8" w14:textId="77777777" w:rsidR="005414F1" w:rsidRPr="0085657D" w:rsidRDefault="005414F1" w:rsidP="003C7331">
      <w:pPr>
        <w:spacing w:line="276" w:lineRule="auto"/>
        <w:rPr>
          <w:rFonts w:ascii="Arial" w:hAnsi="Arial" w:cs="Arial"/>
          <w:lang w:eastAsia="en-GB"/>
        </w:rPr>
      </w:pPr>
      <w:r w:rsidRPr="0085657D">
        <w:rPr>
          <w:rFonts w:ascii="Arial" w:hAnsi="Arial" w:cs="Arial"/>
        </w:rPr>
        <w:t xml:space="preserve">Usvajanju ove strategije prethodilo je i sprovođenje javne rasprave, u skladu sa Zakonom o državnoj upravni i Uredbom o izboru predstavnika nevladinih organizacija u radna tijela organa državne uprave i sprovođenju javne rasprave u pripremi zakona i strategija. Javna rasprava povodom Strategije trajala je od </w:t>
      </w:r>
      <w:r w:rsidR="007C4C81" w:rsidRPr="0085657D">
        <w:rPr>
          <w:rFonts w:ascii="Arial" w:hAnsi="Arial" w:cs="Arial"/>
          <w:highlight w:val="yellow"/>
        </w:rPr>
        <w:t>xxx</w:t>
      </w:r>
      <w:r w:rsidRPr="0085657D">
        <w:rPr>
          <w:rFonts w:ascii="Arial" w:hAnsi="Arial" w:cs="Arial"/>
          <w:highlight w:val="yellow"/>
        </w:rPr>
        <w:t xml:space="preserve"> 202</w:t>
      </w:r>
      <w:r w:rsidR="007C4C81" w:rsidRPr="0085657D">
        <w:rPr>
          <w:rFonts w:ascii="Arial" w:hAnsi="Arial" w:cs="Arial"/>
          <w:highlight w:val="yellow"/>
        </w:rPr>
        <w:t>5</w:t>
      </w:r>
      <w:r w:rsidRPr="0085657D">
        <w:rPr>
          <w:rFonts w:ascii="Arial" w:hAnsi="Arial" w:cs="Arial"/>
          <w:highlight w:val="yellow"/>
        </w:rPr>
        <w:t xml:space="preserve">. godine do </w:t>
      </w:r>
      <w:r w:rsidR="007C4C81" w:rsidRPr="0085657D">
        <w:rPr>
          <w:rFonts w:ascii="Arial" w:hAnsi="Arial" w:cs="Arial"/>
          <w:highlight w:val="yellow"/>
        </w:rPr>
        <w:t>xxx</w:t>
      </w:r>
      <w:r w:rsidRPr="0085657D">
        <w:rPr>
          <w:rFonts w:ascii="Arial" w:hAnsi="Arial" w:cs="Arial"/>
          <w:highlight w:val="yellow"/>
        </w:rPr>
        <w:t xml:space="preserve"> 202</w:t>
      </w:r>
      <w:r w:rsidR="007C4C81" w:rsidRPr="0085657D">
        <w:rPr>
          <w:rFonts w:ascii="Arial" w:hAnsi="Arial" w:cs="Arial"/>
          <w:highlight w:val="yellow"/>
        </w:rPr>
        <w:t>5</w:t>
      </w:r>
      <w:r w:rsidRPr="0085657D">
        <w:rPr>
          <w:rFonts w:ascii="Arial" w:hAnsi="Arial" w:cs="Arial"/>
          <w:highlight w:val="yellow"/>
        </w:rPr>
        <w:t>.</w:t>
      </w:r>
      <w:r w:rsidRPr="0085657D">
        <w:rPr>
          <w:rFonts w:ascii="Arial" w:hAnsi="Arial" w:cs="Arial"/>
        </w:rPr>
        <w:t xml:space="preserve"> godine. Javna rasprava je održana u skladu sa usvojenim Programom javne rasprave, u formi dostave pisanih pr</w:t>
      </w:r>
      <w:r w:rsidR="00C64A17" w:rsidRPr="0085657D">
        <w:rPr>
          <w:rFonts w:ascii="Arial" w:hAnsi="Arial" w:cs="Arial"/>
        </w:rPr>
        <w:t>e</w:t>
      </w:r>
      <w:r w:rsidRPr="0085657D">
        <w:rPr>
          <w:rFonts w:ascii="Arial" w:hAnsi="Arial" w:cs="Arial"/>
        </w:rPr>
        <w:t xml:space="preserve">dloga, sugestija i primjedbi. U okviru javne rasprave održan je i jedan okrugli sto </w:t>
      </w:r>
      <w:r w:rsidR="007C4C81" w:rsidRPr="0085657D">
        <w:rPr>
          <w:rFonts w:ascii="Arial" w:hAnsi="Arial" w:cs="Arial"/>
          <w:highlight w:val="yellow"/>
        </w:rPr>
        <w:t>xxxx</w:t>
      </w:r>
      <w:r w:rsidRPr="0085657D">
        <w:rPr>
          <w:rFonts w:ascii="Arial" w:hAnsi="Arial" w:cs="Arial"/>
        </w:rPr>
        <w:t xml:space="preserve"> 202</w:t>
      </w:r>
      <w:r w:rsidR="007C4C81" w:rsidRPr="0085657D">
        <w:rPr>
          <w:rFonts w:ascii="Arial" w:hAnsi="Arial" w:cs="Arial"/>
        </w:rPr>
        <w:t>5</w:t>
      </w:r>
      <w:r w:rsidRPr="0085657D">
        <w:rPr>
          <w:rFonts w:ascii="Arial" w:hAnsi="Arial" w:cs="Arial"/>
        </w:rPr>
        <w:t xml:space="preserve">. godine u Podgorici. </w:t>
      </w:r>
      <w:r w:rsidRPr="0085657D">
        <w:rPr>
          <w:rFonts w:ascii="Arial" w:hAnsi="Arial" w:cs="Arial"/>
        </w:rPr>
        <w:lastRenderedPageBreak/>
        <w:t>Tokom javne rasprave, pored predloga i sugestija iznijetih na okruglom stolu pisanim putem je pristiglo  sedam  priloga sa predlozima i sugestijama, posredstvom naznačene adrese elektronske pošte, od kojih su sve sugestije i primjedbe koje su doprinosile kvalitativnom uređivanju teksta i sadržale konkretne predloge, odnosno predloge koji mogu biti sadržani u ovom tipu planskog dokumenta, prihvaćene i uvrštene u tekst ove strategije i pratećeg Akcionog plana.</w:t>
      </w:r>
    </w:p>
    <w:p w14:paraId="3DB8ABCC" w14:textId="77777777" w:rsidR="005414F1" w:rsidRPr="0085657D" w:rsidRDefault="005414F1" w:rsidP="003C7331">
      <w:pPr>
        <w:spacing w:line="276" w:lineRule="auto"/>
        <w:rPr>
          <w:rFonts w:ascii="Arial" w:hAnsi="Arial" w:cs="Arial"/>
        </w:rPr>
      </w:pPr>
      <w:r w:rsidRPr="0085657D">
        <w:rPr>
          <w:rFonts w:ascii="Arial" w:hAnsi="Arial" w:cs="Arial"/>
        </w:rPr>
        <w:t xml:space="preserve">Detaljan izveštaj sa javne rasprave, sa tabelarnim pregledom pristiglih komentara i opisanim stepenom i načinom njihove implementacije u radni tekst, takođe su objavljeni na internet stranici Ministarstva pravde, čime je konsultativni proces u cjelosti, od obrazovanja radne grupe za izradu ove strategije, do njenog upućivanja u proceduru usvajanja, učinjen u potpunosti transparentnim. </w:t>
      </w:r>
    </w:p>
    <w:p w14:paraId="70A395BC" w14:textId="77777777" w:rsidR="005414F1" w:rsidRPr="0085657D" w:rsidRDefault="005414F1" w:rsidP="00287228">
      <w:pPr>
        <w:pStyle w:val="Heading1"/>
        <w:spacing w:after="240" w:line="276" w:lineRule="auto"/>
        <w:jc w:val="center"/>
        <w:rPr>
          <w:rFonts w:ascii="Arial" w:hAnsi="Arial" w:cs="Arial"/>
          <w:sz w:val="22"/>
          <w:szCs w:val="22"/>
        </w:rPr>
      </w:pPr>
      <w:r w:rsidRPr="0085657D">
        <w:rPr>
          <w:rFonts w:ascii="Arial" w:hAnsi="Arial" w:cs="Arial"/>
          <w:sz w:val="22"/>
          <w:szCs w:val="22"/>
        </w:rPr>
        <w:br w:type="page"/>
      </w:r>
      <w:bookmarkStart w:id="85" w:name="_Toc208489229"/>
      <w:r w:rsidR="00287228" w:rsidRPr="0085657D">
        <w:rPr>
          <w:rFonts w:ascii="Arial" w:hAnsi="Arial" w:cs="Arial"/>
          <w:sz w:val="22"/>
          <w:szCs w:val="22"/>
        </w:rPr>
        <w:lastRenderedPageBreak/>
        <w:t xml:space="preserve">9. </w:t>
      </w:r>
      <w:r w:rsidR="00EB3472" w:rsidRPr="0085657D">
        <w:rPr>
          <w:rFonts w:ascii="Arial" w:hAnsi="Arial" w:cs="Arial"/>
          <w:sz w:val="22"/>
          <w:szCs w:val="22"/>
        </w:rPr>
        <w:t>Procjena finansijskih sredstava potrebnih za sprovođenje strategije</w:t>
      </w:r>
      <w:bookmarkEnd w:id="85"/>
    </w:p>
    <w:p w14:paraId="4EB44B53" w14:textId="77777777" w:rsidR="005414F1" w:rsidRPr="0085657D" w:rsidRDefault="005414F1" w:rsidP="005414F1">
      <w:pPr>
        <w:rPr>
          <w:rFonts w:ascii="Arial" w:hAnsi="Arial" w:cs="Arial"/>
        </w:rPr>
      </w:pPr>
    </w:p>
    <w:p w14:paraId="75BA9D12" w14:textId="4B11DC23" w:rsidR="005414F1" w:rsidRPr="0085657D" w:rsidRDefault="005414F1" w:rsidP="003C7331">
      <w:pPr>
        <w:spacing w:line="276" w:lineRule="auto"/>
        <w:rPr>
          <w:rFonts w:ascii="Arial" w:hAnsi="Arial" w:cs="Arial"/>
        </w:rPr>
      </w:pPr>
      <w:bookmarkStart w:id="86" w:name="_Hlk159825878"/>
      <w:r w:rsidRPr="0085657D">
        <w:rPr>
          <w:rFonts w:ascii="Arial" w:hAnsi="Arial" w:cs="Arial"/>
          <w:highlight w:val="yellow"/>
        </w:rPr>
        <w:t xml:space="preserve">Strategija </w:t>
      </w:r>
      <w:r w:rsidR="00472DB0" w:rsidRPr="0085657D">
        <w:rPr>
          <w:rFonts w:ascii="Arial" w:hAnsi="Arial" w:cs="Arial"/>
          <w:highlight w:val="yellow"/>
        </w:rPr>
        <w:t>zaštite žrtava u Crnoj Gori</w:t>
      </w:r>
      <w:r w:rsidRPr="0085657D">
        <w:rPr>
          <w:rFonts w:ascii="Arial" w:hAnsi="Arial" w:cs="Arial"/>
        </w:rPr>
        <w:t xml:space="preserve"> 202</w:t>
      </w:r>
      <w:r w:rsidR="00472DB0" w:rsidRPr="0085657D">
        <w:rPr>
          <w:rFonts w:ascii="Arial" w:hAnsi="Arial" w:cs="Arial"/>
        </w:rPr>
        <w:t>5</w:t>
      </w:r>
      <w:r w:rsidRPr="0085657D">
        <w:rPr>
          <w:rFonts w:ascii="Arial" w:hAnsi="Arial" w:cs="Arial"/>
        </w:rPr>
        <w:t xml:space="preserve"> – 202</w:t>
      </w:r>
      <w:r w:rsidR="005839B9">
        <w:rPr>
          <w:rFonts w:ascii="Arial" w:hAnsi="Arial" w:cs="Arial"/>
        </w:rPr>
        <w:t>9</w:t>
      </w:r>
      <w:r w:rsidRPr="0085657D">
        <w:rPr>
          <w:rFonts w:ascii="Arial" w:hAnsi="Arial" w:cs="Arial"/>
        </w:rPr>
        <w:t>. godine, odnosno njene pojedinačne aktivnosti finansiraće se iz budžeta</w:t>
      </w:r>
      <w:r w:rsidR="00797EDE" w:rsidRPr="0085657D">
        <w:rPr>
          <w:rFonts w:ascii="Arial" w:hAnsi="Arial" w:cs="Arial"/>
        </w:rPr>
        <w:t xml:space="preserve"> i </w:t>
      </w:r>
      <w:r w:rsidRPr="0085657D">
        <w:rPr>
          <w:rFonts w:ascii="Arial" w:hAnsi="Arial" w:cs="Arial"/>
        </w:rPr>
        <w:t>donatorskih sredstava</w:t>
      </w:r>
      <w:r w:rsidR="00797EDE" w:rsidRPr="0085657D">
        <w:rPr>
          <w:rFonts w:ascii="Arial" w:hAnsi="Arial" w:cs="Arial"/>
        </w:rPr>
        <w:t>.</w:t>
      </w:r>
      <w:r w:rsidRPr="0085657D">
        <w:rPr>
          <w:rFonts w:ascii="Arial" w:hAnsi="Arial" w:cs="Arial"/>
        </w:rPr>
        <w:t xml:space="preserve"> Kroz Akcioni plan za sprovođenje Strategije za period 202</w:t>
      </w:r>
      <w:r w:rsidR="00797EDE" w:rsidRPr="0085657D">
        <w:rPr>
          <w:rFonts w:ascii="Arial" w:hAnsi="Arial" w:cs="Arial"/>
        </w:rPr>
        <w:t>5</w:t>
      </w:r>
      <w:r w:rsidRPr="0085657D">
        <w:rPr>
          <w:rFonts w:ascii="Arial" w:hAnsi="Arial" w:cs="Arial"/>
        </w:rPr>
        <w:t xml:space="preserve"> – 202</w:t>
      </w:r>
      <w:r w:rsidR="005839B9">
        <w:rPr>
          <w:rFonts w:ascii="Arial" w:hAnsi="Arial" w:cs="Arial"/>
        </w:rPr>
        <w:t>7</w:t>
      </w:r>
      <w:r w:rsidRPr="0085657D">
        <w:rPr>
          <w:rFonts w:ascii="Arial" w:hAnsi="Arial" w:cs="Arial"/>
        </w:rPr>
        <w:t xml:space="preserve">. godine, za realizaciju svih planiranih aktivnosti predviđen je utrošak u ukupnom iznosu od </w:t>
      </w:r>
      <w:r w:rsidR="00797EDE" w:rsidRPr="0085657D">
        <w:rPr>
          <w:rFonts w:ascii="Arial" w:hAnsi="Arial" w:cs="Arial"/>
          <w:highlight w:val="yellow"/>
        </w:rPr>
        <w:t>xxx</w:t>
      </w:r>
      <w:r w:rsidRPr="0085657D">
        <w:rPr>
          <w:rFonts w:ascii="Arial" w:hAnsi="Arial" w:cs="Arial"/>
        </w:rPr>
        <w:t>.00 EUR, dok će se sljedećim Akcionim planom za 202</w:t>
      </w:r>
      <w:r w:rsidR="005839B9">
        <w:rPr>
          <w:rFonts w:ascii="Arial" w:hAnsi="Arial" w:cs="Arial"/>
        </w:rPr>
        <w:t>8</w:t>
      </w:r>
      <w:r w:rsidRPr="0085657D">
        <w:rPr>
          <w:rFonts w:ascii="Arial" w:hAnsi="Arial" w:cs="Arial"/>
        </w:rPr>
        <w:t xml:space="preserve"> – 202</w:t>
      </w:r>
      <w:r w:rsidR="005839B9">
        <w:rPr>
          <w:rFonts w:ascii="Arial" w:hAnsi="Arial" w:cs="Arial"/>
        </w:rPr>
        <w:t>9</w:t>
      </w:r>
      <w:r w:rsidRPr="0085657D">
        <w:rPr>
          <w:rFonts w:ascii="Arial" w:hAnsi="Arial" w:cs="Arial"/>
        </w:rPr>
        <w:t xml:space="preserve">. godinu definisati preostala finansijska sredstva. </w:t>
      </w:r>
    </w:p>
    <w:p w14:paraId="19A67D27" w14:textId="3ACF6509" w:rsidR="005414F1" w:rsidRPr="0085657D" w:rsidRDefault="005414F1" w:rsidP="003C7331">
      <w:pPr>
        <w:spacing w:line="276" w:lineRule="auto"/>
        <w:rPr>
          <w:rFonts w:ascii="Arial" w:hAnsi="Arial" w:cs="Arial"/>
          <w:b/>
          <w:bCs/>
        </w:rPr>
      </w:pPr>
      <w:r w:rsidRPr="0085657D">
        <w:rPr>
          <w:rFonts w:ascii="Arial" w:hAnsi="Arial" w:cs="Arial"/>
          <w:bCs/>
        </w:rPr>
        <w:t>Planirana projekcija  za 202</w:t>
      </w:r>
      <w:r w:rsidR="00472DB0" w:rsidRPr="0085657D">
        <w:rPr>
          <w:rFonts w:ascii="Arial" w:hAnsi="Arial" w:cs="Arial"/>
          <w:bCs/>
        </w:rPr>
        <w:t>5</w:t>
      </w:r>
      <w:r w:rsidRPr="0085657D">
        <w:rPr>
          <w:rFonts w:ascii="Arial" w:hAnsi="Arial" w:cs="Arial"/>
          <w:bCs/>
        </w:rPr>
        <w:t xml:space="preserve">. godinu je </w:t>
      </w:r>
      <w:r w:rsidR="00472DB0" w:rsidRPr="0085657D">
        <w:rPr>
          <w:rFonts w:ascii="Arial" w:hAnsi="Arial" w:cs="Arial"/>
          <w:bCs/>
          <w:highlight w:val="yellow"/>
        </w:rPr>
        <w:t>xxx</w:t>
      </w:r>
      <w:r w:rsidRPr="0085657D">
        <w:rPr>
          <w:rFonts w:ascii="Arial" w:hAnsi="Arial" w:cs="Arial"/>
          <w:bCs/>
        </w:rPr>
        <w:t>.00 evra, a za 202</w:t>
      </w:r>
      <w:r w:rsidR="00472DB0" w:rsidRPr="0085657D">
        <w:rPr>
          <w:rFonts w:ascii="Arial" w:hAnsi="Arial" w:cs="Arial"/>
          <w:bCs/>
        </w:rPr>
        <w:t>6</w:t>
      </w:r>
      <w:r w:rsidRPr="0085657D">
        <w:rPr>
          <w:rFonts w:ascii="Arial" w:hAnsi="Arial" w:cs="Arial"/>
          <w:bCs/>
        </w:rPr>
        <w:t xml:space="preserve">. godinu </w:t>
      </w:r>
      <w:r w:rsidR="00472DB0" w:rsidRPr="0085657D">
        <w:rPr>
          <w:rFonts w:ascii="Arial" w:hAnsi="Arial" w:cs="Arial"/>
          <w:bCs/>
          <w:highlight w:val="yellow"/>
        </w:rPr>
        <w:t>xxx</w:t>
      </w:r>
      <w:r w:rsidRPr="0085657D">
        <w:rPr>
          <w:rFonts w:ascii="Arial" w:hAnsi="Arial" w:cs="Arial"/>
          <w:bCs/>
        </w:rPr>
        <w:t xml:space="preserve">.00 evra, </w:t>
      </w:r>
      <w:r w:rsidR="005839B9">
        <w:rPr>
          <w:rFonts w:ascii="Arial" w:hAnsi="Arial" w:cs="Arial"/>
          <w:bCs/>
        </w:rPr>
        <w:t xml:space="preserve">za 2027. xxx, </w:t>
      </w:r>
      <w:r w:rsidRPr="0085657D">
        <w:rPr>
          <w:rFonts w:ascii="Arial" w:hAnsi="Arial" w:cs="Arial"/>
          <w:bCs/>
        </w:rPr>
        <w:t>sa sljedećim izvorima finansiranja:</w:t>
      </w:r>
    </w:p>
    <w:p w14:paraId="066AA2BE" w14:textId="4163DF8A" w:rsidR="005414F1" w:rsidRPr="0085657D" w:rsidRDefault="00472DB0" w:rsidP="003C7331">
      <w:pPr>
        <w:spacing w:line="276" w:lineRule="auto"/>
        <w:rPr>
          <w:rFonts w:ascii="Arial" w:hAnsi="Arial" w:cs="Arial"/>
        </w:rPr>
      </w:pPr>
      <w:r w:rsidRPr="0085657D">
        <w:rPr>
          <w:rFonts w:ascii="Arial" w:hAnsi="Arial" w:cs="Arial"/>
          <w:highlight w:val="yellow"/>
        </w:rPr>
        <w:t>:add:</w:t>
      </w:r>
    </w:p>
    <w:p w14:paraId="43F1FB7C" w14:textId="77777777" w:rsidR="005414F1" w:rsidRPr="0085657D" w:rsidRDefault="005414F1" w:rsidP="003C7331">
      <w:pPr>
        <w:spacing w:line="276" w:lineRule="auto"/>
        <w:rPr>
          <w:rFonts w:ascii="Arial" w:hAnsi="Arial" w:cs="Arial"/>
        </w:rPr>
      </w:pPr>
      <w:r w:rsidRPr="0085657D">
        <w:rPr>
          <w:rFonts w:ascii="Arial" w:hAnsi="Arial" w:cs="Arial"/>
        </w:rPr>
        <w:t>Struktura ukupnih troškova po strateškim ciljevima je sljedeća:</w:t>
      </w:r>
    </w:p>
    <w:p w14:paraId="35A94E4B" w14:textId="2F837FBC" w:rsidR="005414F1" w:rsidRPr="0085657D" w:rsidRDefault="00472DB0" w:rsidP="003C7331">
      <w:pPr>
        <w:spacing w:line="276" w:lineRule="auto"/>
        <w:rPr>
          <w:rFonts w:ascii="Arial" w:hAnsi="Arial" w:cs="Arial"/>
        </w:rPr>
      </w:pPr>
      <w:r w:rsidRPr="0085657D">
        <w:rPr>
          <w:rFonts w:ascii="Arial" w:hAnsi="Arial" w:cs="Arial"/>
          <w:noProof/>
          <w:highlight w:val="yellow"/>
          <w14:ligatures w14:val="standardContextual"/>
        </w:rPr>
        <w:t>: add:</w:t>
      </w:r>
    </w:p>
    <w:p w14:paraId="3B2D71F5" w14:textId="77777777" w:rsidR="005414F1" w:rsidRPr="0085657D" w:rsidRDefault="005414F1" w:rsidP="003C7331">
      <w:pPr>
        <w:spacing w:line="276" w:lineRule="auto"/>
        <w:rPr>
          <w:rFonts w:ascii="Arial" w:hAnsi="Arial" w:cs="Arial"/>
        </w:rPr>
      </w:pPr>
      <w:r w:rsidRPr="0085657D">
        <w:rPr>
          <w:rFonts w:ascii="Arial" w:hAnsi="Arial" w:cs="Arial"/>
        </w:rPr>
        <w:t>Po godinama i strateškim ciljevima struktura troškova je sljedeća:</w:t>
      </w:r>
    </w:p>
    <w:p w14:paraId="59798E42" w14:textId="77777777" w:rsidR="005414F1" w:rsidRPr="0085657D" w:rsidRDefault="00472DB0" w:rsidP="003C7331">
      <w:pPr>
        <w:spacing w:line="276" w:lineRule="auto"/>
        <w:rPr>
          <w:rFonts w:ascii="Arial" w:hAnsi="Arial" w:cs="Arial"/>
        </w:rPr>
      </w:pPr>
      <w:r w:rsidRPr="0085657D">
        <w:rPr>
          <w:rFonts w:ascii="Arial" w:hAnsi="Arial" w:cs="Arial"/>
          <w:highlight w:val="yellow"/>
        </w:rPr>
        <w:t>:add:</w:t>
      </w:r>
    </w:p>
    <w:p w14:paraId="2753540B" w14:textId="77777777" w:rsidR="005414F1" w:rsidRPr="0085657D" w:rsidRDefault="005414F1" w:rsidP="003C7331">
      <w:pPr>
        <w:spacing w:line="276" w:lineRule="auto"/>
        <w:rPr>
          <w:rFonts w:ascii="Arial" w:hAnsi="Arial" w:cs="Arial"/>
        </w:rPr>
      </w:pPr>
      <w:r w:rsidRPr="0085657D">
        <w:rPr>
          <w:rFonts w:ascii="Arial" w:hAnsi="Arial" w:cs="Arial"/>
        </w:rPr>
        <w:t>Po vrstama troškova struktura je sljedeća:</w:t>
      </w:r>
    </w:p>
    <w:p w14:paraId="42CBEA36" w14:textId="77777777" w:rsidR="005414F1" w:rsidRPr="0085657D" w:rsidRDefault="00472DB0" w:rsidP="003C7331">
      <w:pPr>
        <w:spacing w:line="276" w:lineRule="auto"/>
        <w:rPr>
          <w:rFonts w:ascii="Arial" w:hAnsi="Arial" w:cs="Arial"/>
          <w:noProof/>
          <w14:ligatures w14:val="standardContextual"/>
        </w:rPr>
      </w:pPr>
      <w:r w:rsidRPr="0085657D">
        <w:rPr>
          <w:rFonts w:ascii="Arial" w:hAnsi="Arial" w:cs="Arial"/>
          <w:noProof/>
          <w:highlight w:val="yellow"/>
          <w14:ligatures w14:val="standardContextual"/>
        </w:rPr>
        <w:t>:add:</w:t>
      </w:r>
    </w:p>
    <w:p w14:paraId="23E4E6A5" w14:textId="6457B186" w:rsidR="005414F1" w:rsidRPr="0085657D" w:rsidRDefault="005414F1" w:rsidP="003C7331">
      <w:pPr>
        <w:spacing w:line="276" w:lineRule="auto"/>
        <w:rPr>
          <w:rFonts w:ascii="Arial" w:hAnsi="Arial" w:cs="Arial"/>
        </w:rPr>
      </w:pPr>
      <w:bookmarkStart w:id="87" w:name="_Hlk159357783"/>
      <w:r w:rsidRPr="0085657D">
        <w:rPr>
          <w:rFonts w:ascii="Arial" w:hAnsi="Arial" w:cs="Arial"/>
        </w:rPr>
        <w:t>Ekstrapolacijom procjene troškova za prve dvije godine realizacije Strategije, može se procijeniti da će za implementaciju aktivnosti u periodu 202</w:t>
      </w:r>
      <w:r w:rsidR="005839B9">
        <w:rPr>
          <w:rFonts w:ascii="Arial" w:hAnsi="Arial" w:cs="Arial"/>
        </w:rPr>
        <w:t>8</w:t>
      </w:r>
      <w:r w:rsidRPr="0085657D">
        <w:rPr>
          <w:rFonts w:ascii="Arial" w:hAnsi="Arial" w:cs="Arial"/>
        </w:rPr>
        <w:t xml:space="preserve"> – 202</w:t>
      </w:r>
      <w:r w:rsidR="005839B9">
        <w:rPr>
          <w:rFonts w:ascii="Arial" w:hAnsi="Arial" w:cs="Arial"/>
        </w:rPr>
        <w:t>9</w:t>
      </w:r>
      <w:r w:rsidRPr="0085657D">
        <w:rPr>
          <w:rFonts w:ascii="Arial" w:hAnsi="Arial" w:cs="Arial"/>
        </w:rPr>
        <w:t xml:space="preserve">. godine neophodna sredstva biti okvirno najmanje na nivou prve dvije godine, što iznosi </w:t>
      </w:r>
      <w:r w:rsidR="00472DB0" w:rsidRPr="0085657D">
        <w:rPr>
          <w:rFonts w:ascii="Arial" w:hAnsi="Arial" w:cs="Arial"/>
          <w:highlight w:val="yellow"/>
        </w:rPr>
        <w:t>xxx</w:t>
      </w:r>
      <w:r w:rsidRPr="0085657D">
        <w:rPr>
          <w:rFonts w:ascii="Arial" w:hAnsi="Arial" w:cs="Arial"/>
        </w:rPr>
        <w:t xml:space="preserve">.00 EUR. Time se ukupni troškovi za sprovođenje Strategije mogu okvirno procijeniti na nivou od </w:t>
      </w:r>
      <w:r w:rsidR="00472DB0" w:rsidRPr="0085657D">
        <w:rPr>
          <w:rFonts w:ascii="Arial" w:hAnsi="Arial" w:cs="Arial"/>
          <w:highlight w:val="yellow"/>
        </w:rPr>
        <w:t>xxx</w:t>
      </w:r>
      <w:r w:rsidRPr="0085657D">
        <w:rPr>
          <w:rFonts w:ascii="Arial" w:hAnsi="Arial" w:cs="Arial"/>
        </w:rPr>
        <w:t xml:space="preserve">.00 EUR. </w:t>
      </w:r>
      <w:bookmarkEnd w:id="87"/>
    </w:p>
    <w:p w14:paraId="1F71174B" w14:textId="77777777" w:rsidR="005414F1" w:rsidRPr="0085657D" w:rsidRDefault="005414F1" w:rsidP="003C7331">
      <w:pPr>
        <w:spacing w:line="276" w:lineRule="auto"/>
        <w:rPr>
          <w:rFonts w:ascii="Arial" w:hAnsi="Arial" w:cs="Arial"/>
        </w:rPr>
      </w:pPr>
      <w:r w:rsidRPr="0085657D">
        <w:rPr>
          <w:rFonts w:ascii="Arial" w:hAnsi="Arial" w:cs="Arial"/>
        </w:rPr>
        <w:t>Tri scenarija finansiranja:</w:t>
      </w:r>
    </w:p>
    <w:p w14:paraId="5097596F" w14:textId="77777777" w:rsidR="005414F1" w:rsidRPr="0085657D" w:rsidRDefault="005414F1" w:rsidP="00595DE2">
      <w:pPr>
        <w:pStyle w:val="ListParagraph"/>
        <w:numPr>
          <w:ilvl w:val="0"/>
          <w:numId w:val="10"/>
        </w:numPr>
        <w:spacing w:line="276" w:lineRule="auto"/>
        <w:rPr>
          <w:rFonts w:ascii="Arial" w:hAnsi="Arial" w:cs="Arial"/>
        </w:rPr>
      </w:pPr>
      <w:r w:rsidRPr="0085657D">
        <w:rPr>
          <w:rFonts w:ascii="Arial" w:hAnsi="Arial" w:cs="Arial"/>
        </w:rPr>
        <w:t>Scenario male vjerovatnoće</w:t>
      </w:r>
    </w:p>
    <w:p w14:paraId="594ED236" w14:textId="6DDA543E" w:rsidR="005414F1" w:rsidRPr="0085657D" w:rsidRDefault="005414F1" w:rsidP="003C7331">
      <w:pPr>
        <w:spacing w:line="276" w:lineRule="auto"/>
        <w:rPr>
          <w:rFonts w:ascii="Arial" w:hAnsi="Arial" w:cs="Arial"/>
        </w:rPr>
      </w:pPr>
      <w:r w:rsidRPr="0085657D">
        <w:rPr>
          <w:rFonts w:ascii="Arial" w:hAnsi="Arial" w:cs="Arial"/>
        </w:rPr>
        <w:t>Iako izvršene konsultacije sa donatorima, kao i dosadašnja iskustva u saradnji sa donatorima ukazuju da će neophodni dodatni resursi za realizaciju planiranih aktivnosti i ostvarivanja ciljeva Strategija biti u najvećoj mjeri obezbijeđeni putem donatorske podrške, postoji mala vjerovatnoća da donatorska podrška, putem ekspertske i logističke podrške, kao i obezbjeđivanja opreme, neće u potpunosti obezbijediti sve neophodne dodatne resurse za sprovođenje aktivnosti. Ukoliko se nakon prve godine implementacije Strategija procijeni da postoji vjerovatnoća za ovakvim scenarijom, biće neophodno da se u budžetu za 202</w:t>
      </w:r>
      <w:r w:rsidR="00472DB0" w:rsidRPr="0085657D">
        <w:rPr>
          <w:rFonts w:ascii="Arial" w:hAnsi="Arial" w:cs="Arial"/>
        </w:rPr>
        <w:t>6</w:t>
      </w:r>
      <w:r w:rsidRPr="0085657D">
        <w:rPr>
          <w:rFonts w:ascii="Arial" w:hAnsi="Arial" w:cs="Arial"/>
        </w:rPr>
        <w:t xml:space="preserve">. </w:t>
      </w:r>
      <w:r w:rsidR="005839B9">
        <w:rPr>
          <w:rFonts w:ascii="Arial" w:hAnsi="Arial" w:cs="Arial"/>
        </w:rPr>
        <w:t xml:space="preserve">i 2027. </w:t>
      </w:r>
      <w:r w:rsidRPr="0085657D">
        <w:rPr>
          <w:rFonts w:ascii="Arial" w:hAnsi="Arial" w:cs="Arial"/>
        </w:rPr>
        <w:t xml:space="preserve">godinu predvide eventualno nedostajuća neophodna finansijska sredstva. </w:t>
      </w:r>
    </w:p>
    <w:p w14:paraId="3FE3481F" w14:textId="77777777" w:rsidR="005414F1" w:rsidRPr="0085657D" w:rsidRDefault="005414F1" w:rsidP="00595DE2">
      <w:pPr>
        <w:pStyle w:val="ListParagraph"/>
        <w:numPr>
          <w:ilvl w:val="0"/>
          <w:numId w:val="10"/>
        </w:numPr>
        <w:spacing w:line="276" w:lineRule="auto"/>
        <w:rPr>
          <w:rFonts w:ascii="Arial" w:hAnsi="Arial" w:cs="Arial"/>
        </w:rPr>
      </w:pPr>
      <w:r w:rsidRPr="0085657D">
        <w:rPr>
          <w:rFonts w:ascii="Arial" w:hAnsi="Arial" w:cs="Arial"/>
        </w:rPr>
        <w:t>Realni scenario</w:t>
      </w:r>
    </w:p>
    <w:p w14:paraId="0D529353" w14:textId="300A53D9" w:rsidR="005414F1" w:rsidRPr="0085657D" w:rsidRDefault="005414F1" w:rsidP="003C7331">
      <w:pPr>
        <w:spacing w:line="276" w:lineRule="auto"/>
        <w:rPr>
          <w:rFonts w:ascii="Arial" w:hAnsi="Arial" w:cs="Arial"/>
        </w:rPr>
      </w:pPr>
      <w:r w:rsidRPr="0085657D">
        <w:rPr>
          <w:rFonts w:ascii="Arial" w:hAnsi="Arial" w:cs="Arial"/>
        </w:rPr>
        <w:t>Na osnovu izv</w:t>
      </w:r>
      <w:r w:rsidR="006B05B7">
        <w:rPr>
          <w:rFonts w:ascii="Arial" w:hAnsi="Arial" w:cs="Arial"/>
        </w:rPr>
        <w:t>r</w:t>
      </w:r>
      <w:r w:rsidRPr="0085657D">
        <w:rPr>
          <w:rFonts w:ascii="Arial" w:hAnsi="Arial" w:cs="Arial"/>
        </w:rPr>
        <w:t xml:space="preserve">šenih konsultacija sa donatorima, realno je pretpostaviti da je za sve aktivnosti za koje su donatori iskazali zainteresovanost za pružanje podrške, neophodni dodatni resursi biti obezbijeđeni na taj način i da neće biti neophodna dodatna budžetska sredstva za realizaciju tih aktivnosti.  </w:t>
      </w:r>
    </w:p>
    <w:p w14:paraId="33EA8443" w14:textId="77777777" w:rsidR="005414F1" w:rsidRPr="0085657D" w:rsidRDefault="005414F1" w:rsidP="00595DE2">
      <w:pPr>
        <w:pStyle w:val="ListParagraph"/>
        <w:numPr>
          <w:ilvl w:val="0"/>
          <w:numId w:val="10"/>
        </w:numPr>
        <w:spacing w:line="276" w:lineRule="auto"/>
        <w:rPr>
          <w:rFonts w:ascii="Arial" w:hAnsi="Arial" w:cs="Arial"/>
        </w:rPr>
      </w:pPr>
      <w:r w:rsidRPr="0085657D">
        <w:rPr>
          <w:rFonts w:ascii="Arial" w:hAnsi="Arial" w:cs="Arial"/>
        </w:rPr>
        <w:lastRenderedPageBreak/>
        <w:t>Pesimistički scenario</w:t>
      </w:r>
    </w:p>
    <w:p w14:paraId="46E0BF27" w14:textId="77777777" w:rsidR="005414F1" w:rsidRPr="0085657D" w:rsidRDefault="005414F1" w:rsidP="003C7331">
      <w:pPr>
        <w:spacing w:line="276" w:lineRule="auto"/>
        <w:rPr>
          <w:rFonts w:ascii="Arial" w:hAnsi="Arial" w:cs="Arial"/>
        </w:rPr>
      </w:pPr>
      <w:r w:rsidRPr="0085657D">
        <w:rPr>
          <w:rFonts w:ascii="Arial" w:hAnsi="Arial" w:cs="Arial"/>
        </w:rPr>
        <w:t xml:space="preserve">Ukoliko iz bilo kojih razloga dođe do povlačenja donatora iz Crne Gore, realizacija aktivnosti bi bila značajno ugrožena i postojala bi velika vjerovatnoća da operativni i strateški ciljevi ne budu ostvareni. </w:t>
      </w:r>
    </w:p>
    <w:p w14:paraId="37121994" w14:textId="77777777" w:rsidR="005414F1" w:rsidRPr="0085657D" w:rsidRDefault="005414F1" w:rsidP="003C7331">
      <w:pPr>
        <w:spacing w:line="276" w:lineRule="auto"/>
        <w:rPr>
          <w:rFonts w:ascii="Arial" w:hAnsi="Arial" w:cs="Arial"/>
        </w:rPr>
      </w:pPr>
      <w:r w:rsidRPr="0085657D">
        <w:rPr>
          <w:rFonts w:ascii="Arial" w:hAnsi="Arial" w:cs="Arial"/>
        </w:rPr>
        <w:t xml:space="preserve">Kalkulacija troškova po izvorima finansiranja za prve dvije godine implementacije je zasnovana na prethodno opisanom realnom scenariju. </w:t>
      </w:r>
      <w:bookmarkEnd w:id="86"/>
    </w:p>
    <w:p w14:paraId="4C6C1782" w14:textId="77777777" w:rsidR="005414F1" w:rsidRPr="0085657D" w:rsidRDefault="00287228" w:rsidP="00287228">
      <w:pPr>
        <w:pStyle w:val="Heading1"/>
        <w:spacing w:after="240"/>
        <w:jc w:val="center"/>
        <w:rPr>
          <w:rFonts w:ascii="Arial" w:hAnsi="Arial" w:cs="Arial"/>
          <w:sz w:val="22"/>
          <w:szCs w:val="22"/>
        </w:rPr>
      </w:pPr>
      <w:bookmarkStart w:id="88" w:name="_Toc208489230"/>
      <w:r w:rsidRPr="0085657D">
        <w:rPr>
          <w:rFonts w:ascii="Arial" w:hAnsi="Arial" w:cs="Arial"/>
          <w:sz w:val="22"/>
          <w:szCs w:val="22"/>
        </w:rPr>
        <w:t xml:space="preserve">10. </w:t>
      </w:r>
      <w:r w:rsidR="00EB3472" w:rsidRPr="0085657D">
        <w:rPr>
          <w:rFonts w:ascii="Arial" w:hAnsi="Arial" w:cs="Arial"/>
          <w:sz w:val="22"/>
          <w:szCs w:val="22"/>
        </w:rPr>
        <w:t>Akcioni plan</w:t>
      </w:r>
      <w:bookmarkEnd w:id="88"/>
    </w:p>
    <w:p w14:paraId="69CEC0C6" w14:textId="77777777" w:rsidR="005414F1" w:rsidRPr="0085657D" w:rsidRDefault="005414F1" w:rsidP="003C7331">
      <w:pPr>
        <w:spacing w:line="276" w:lineRule="auto"/>
        <w:rPr>
          <w:rFonts w:ascii="Arial" w:hAnsi="Arial" w:cs="Arial"/>
        </w:rPr>
      </w:pPr>
      <w:r w:rsidRPr="0085657D">
        <w:rPr>
          <w:rFonts w:ascii="Arial" w:hAnsi="Arial" w:cs="Arial"/>
        </w:rPr>
        <w:t>Akcioni plan za primjenu ove strategije je njen sastavni dio.</w:t>
      </w:r>
    </w:p>
    <w:p w14:paraId="3BC65102" w14:textId="77777777" w:rsidR="005414F1" w:rsidRPr="0085657D" w:rsidRDefault="005414F1" w:rsidP="003C7331">
      <w:pPr>
        <w:spacing w:line="276" w:lineRule="auto"/>
        <w:rPr>
          <w:rFonts w:ascii="Arial" w:hAnsi="Arial" w:cs="Arial"/>
        </w:rPr>
      </w:pPr>
      <w:r w:rsidRPr="0085657D">
        <w:rPr>
          <w:rFonts w:ascii="Arial" w:hAnsi="Arial" w:cs="Arial"/>
        </w:rPr>
        <w:t>Akcionim planom se, u skladu sa strateškim i operativnim ciljevima iz ove strategije, definišu aktivnosti kroz koje se sprovodi svaki od ciljeva, institucije odgovorne za njihovo sprovođenje, pokazatelji rezultata (indikatori), rokovi, resursi i njihovi izvori.</w:t>
      </w:r>
    </w:p>
    <w:p w14:paraId="421E94D7" w14:textId="7D808054" w:rsidR="005414F1" w:rsidRPr="0085657D" w:rsidRDefault="005414F1" w:rsidP="003C7331">
      <w:pPr>
        <w:spacing w:line="276" w:lineRule="auto"/>
        <w:rPr>
          <w:rFonts w:ascii="Arial" w:hAnsi="Arial" w:cs="Arial"/>
        </w:rPr>
      </w:pPr>
      <w:r w:rsidRPr="0085657D">
        <w:rPr>
          <w:rFonts w:ascii="Arial" w:hAnsi="Arial" w:cs="Arial"/>
        </w:rPr>
        <w:t>Imajući u vidu potrebu izrade detaljne budžetske projekcije za period od 202</w:t>
      </w:r>
      <w:r w:rsidR="00472DB0" w:rsidRPr="0085657D">
        <w:rPr>
          <w:rFonts w:ascii="Arial" w:hAnsi="Arial" w:cs="Arial"/>
        </w:rPr>
        <w:t>7</w:t>
      </w:r>
      <w:r w:rsidRPr="0085657D">
        <w:rPr>
          <w:rFonts w:ascii="Arial" w:hAnsi="Arial" w:cs="Arial"/>
        </w:rPr>
        <w:t>. do 202</w:t>
      </w:r>
      <w:r w:rsidR="00472DB0" w:rsidRPr="0085657D">
        <w:rPr>
          <w:rFonts w:ascii="Arial" w:hAnsi="Arial" w:cs="Arial"/>
        </w:rPr>
        <w:t>8</w:t>
      </w:r>
      <w:r w:rsidRPr="0085657D">
        <w:rPr>
          <w:rFonts w:ascii="Arial" w:hAnsi="Arial" w:cs="Arial"/>
        </w:rPr>
        <w:t>. godine u drugoj polovini 202</w:t>
      </w:r>
      <w:r w:rsidR="005839B9">
        <w:rPr>
          <w:rFonts w:ascii="Arial" w:hAnsi="Arial" w:cs="Arial"/>
        </w:rPr>
        <w:t>7</w:t>
      </w:r>
      <w:r w:rsidRPr="0085657D">
        <w:rPr>
          <w:rFonts w:ascii="Arial" w:hAnsi="Arial" w:cs="Arial"/>
        </w:rPr>
        <w:t>. godine biće sagledani rezultati sprovođenja reformi tokom 202</w:t>
      </w:r>
      <w:r w:rsidR="00472DB0" w:rsidRPr="0085657D">
        <w:rPr>
          <w:rFonts w:ascii="Arial" w:hAnsi="Arial" w:cs="Arial"/>
        </w:rPr>
        <w:t>5</w:t>
      </w:r>
      <w:r w:rsidR="005839B9">
        <w:rPr>
          <w:rFonts w:ascii="Arial" w:hAnsi="Arial" w:cs="Arial"/>
        </w:rPr>
        <w:t>,</w:t>
      </w:r>
      <w:r w:rsidRPr="0085657D">
        <w:rPr>
          <w:rFonts w:ascii="Arial" w:hAnsi="Arial" w:cs="Arial"/>
        </w:rPr>
        <w:t xml:space="preserve"> 202</w:t>
      </w:r>
      <w:r w:rsidR="00472DB0" w:rsidRPr="0085657D">
        <w:rPr>
          <w:rFonts w:ascii="Arial" w:hAnsi="Arial" w:cs="Arial"/>
        </w:rPr>
        <w:t>6</w:t>
      </w:r>
      <w:r w:rsidR="005839B9">
        <w:rPr>
          <w:rFonts w:ascii="Arial" w:hAnsi="Arial" w:cs="Arial"/>
        </w:rPr>
        <w:t>, i 2027.</w:t>
      </w:r>
      <w:r w:rsidRPr="0085657D">
        <w:rPr>
          <w:rFonts w:ascii="Arial" w:hAnsi="Arial" w:cs="Arial"/>
        </w:rPr>
        <w:t xml:space="preserve"> godine kao osnova za izradu Akcionog plana za period 202</w:t>
      </w:r>
      <w:r w:rsidR="005839B9">
        <w:rPr>
          <w:rFonts w:ascii="Arial" w:hAnsi="Arial" w:cs="Arial"/>
        </w:rPr>
        <w:t>8</w:t>
      </w:r>
      <w:r w:rsidRPr="0085657D">
        <w:rPr>
          <w:rFonts w:ascii="Arial" w:hAnsi="Arial" w:cs="Arial"/>
        </w:rPr>
        <w:t>-202</w:t>
      </w:r>
      <w:r w:rsidR="005839B9">
        <w:rPr>
          <w:rFonts w:ascii="Arial" w:hAnsi="Arial" w:cs="Arial"/>
        </w:rPr>
        <w:t>9</w:t>
      </w:r>
      <w:r w:rsidRPr="0085657D">
        <w:rPr>
          <w:rFonts w:ascii="Arial" w:hAnsi="Arial" w:cs="Arial"/>
        </w:rPr>
        <w:t>. godine kao sastavnog dijela ove strategije i instrumenta njenog sprovođenja u predmetnom periodu.</w:t>
      </w:r>
    </w:p>
    <w:p w14:paraId="2A40D127" w14:textId="77777777" w:rsidR="005414F1" w:rsidRPr="0085657D" w:rsidRDefault="00287228" w:rsidP="00287228">
      <w:pPr>
        <w:pStyle w:val="Heading1"/>
        <w:spacing w:after="240"/>
        <w:jc w:val="center"/>
        <w:rPr>
          <w:rFonts w:ascii="Arial" w:hAnsi="Arial" w:cs="Arial"/>
          <w:sz w:val="22"/>
          <w:szCs w:val="22"/>
        </w:rPr>
      </w:pPr>
      <w:bookmarkStart w:id="89" w:name="_Toc208489231"/>
      <w:r w:rsidRPr="0085657D">
        <w:rPr>
          <w:rFonts w:ascii="Arial" w:hAnsi="Arial" w:cs="Arial"/>
          <w:sz w:val="22"/>
          <w:szCs w:val="22"/>
        </w:rPr>
        <w:t xml:space="preserve">11. </w:t>
      </w:r>
      <w:r w:rsidR="00EB3472" w:rsidRPr="0085657D">
        <w:rPr>
          <w:rFonts w:ascii="Arial" w:hAnsi="Arial" w:cs="Arial"/>
          <w:sz w:val="22"/>
          <w:szCs w:val="22"/>
        </w:rPr>
        <w:t>Objavljivanje</w:t>
      </w:r>
      <w:bookmarkEnd w:id="89"/>
    </w:p>
    <w:p w14:paraId="13A47EDE" w14:textId="77777777" w:rsidR="005414F1" w:rsidRPr="0085657D" w:rsidRDefault="005414F1" w:rsidP="003C7331">
      <w:pPr>
        <w:spacing w:line="276" w:lineRule="auto"/>
        <w:rPr>
          <w:rFonts w:ascii="Arial" w:hAnsi="Arial" w:cs="Arial"/>
        </w:rPr>
      </w:pPr>
      <w:r w:rsidRPr="0085657D">
        <w:rPr>
          <w:rFonts w:ascii="Arial" w:hAnsi="Arial" w:cs="Arial"/>
        </w:rPr>
        <w:t xml:space="preserve">Ova strategija i Akcioni plan će se objaviti </w:t>
      </w:r>
      <w:bookmarkStart w:id="90" w:name="_Hlk160011384"/>
      <w:r w:rsidRPr="0085657D">
        <w:rPr>
          <w:rFonts w:ascii="Arial" w:hAnsi="Arial" w:cs="Arial"/>
        </w:rPr>
        <w:t>na internet stranici Vlade i na internet stranici Ministarstva pravde u roku od sedam radnih dana od dana usvajanja Strategije i Akcionog plana.</w:t>
      </w:r>
      <w:bookmarkEnd w:id="90"/>
      <w:r w:rsidRPr="0085657D">
        <w:rPr>
          <w:rFonts w:ascii="Arial" w:hAnsi="Arial" w:cs="Arial"/>
        </w:rPr>
        <w:br w:type="page"/>
      </w:r>
    </w:p>
    <w:p w14:paraId="28A3B8E2" w14:textId="77777777" w:rsidR="00366F20" w:rsidRPr="0085657D" w:rsidRDefault="005414F1" w:rsidP="00366F20">
      <w:pPr>
        <w:pStyle w:val="Heading1"/>
        <w:rPr>
          <w:rFonts w:ascii="Arial" w:hAnsi="Arial" w:cs="Arial"/>
          <w:sz w:val="22"/>
          <w:szCs w:val="22"/>
        </w:rPr>
      </w:pPr>
      <w:bookmarkStart w:id="91" w:name="_Toc208489232"/>
      <w:r w:rsidRPr="0085657D">
        <w:rPr>
          <w:rFonts w:ascii="Arial" w:hAnsi="Arial" w:cs="Arial"/>
          <w:sz w:val="22"/>
          <w:szCs w:val="22"/>
        </w:rPr>
        <w:lastRenderedPageBreak/>
        <w:t>A</w:t>
      </w:r>
      <w:r w:rsidR="00C15EFF" w:rsidRPr="0085657D">
        <w:rPr>
          <w:rFonts w:ascii="Arial" w:hAnsi="Arial" w:cs="Arial"/>
          <w:sz w:val="22"/>
          <w:szCs w:val="22"/>
        </w:rPr>
        <w:t>nnex</w:t>
      </w:r>
      <w:r w:rsidRPr="0085657D">
        <w:rPr>
          <w:rFonts w:ascii="Arial" w:hAnsi="Arial" w:cs="Arial"/>
          <w:sz w:val="22"/>
          <w:szCs w:val="22"/>
        </w:rPr>
        <w:t xml:space="preserve"> I</w:t>
      </w:r>
      <w:r w:rsidR="00C15EFF" w:rsidRPr="0085657D">
        <w:rPr>
          <w:rFonts w:ascii="Arial" w:hAnsi="Arial" w:cs="Arial"/>
          <w:sz w:val="22"/>
          <w:szCs w:val="22"/>
        </w:rPr>
        <w:t xml:space="preserve">: </w:t>
      </w:r>
      <w:r w:rsidR="00366F20" w:rsidRPr="0085657D">
        <w:rPr>
          <w:rFonts w:ascii="Arial" w:hAnsi="Arial" w:cs="Arial"/>
          <w:sz w:val="22"/>
          <w:szCs w:val="22"/>
        </w:rPr>
        <w:t>Lista relevantnih međunarodnih standarda u oblasti prava žrtava</w:t>
      </w:r>
      <w:bookmarkEnd w:id="91"/>
    </w:p>
    <w:p w14:paraId="2BF86C5A" w14:textId="77777777" w:rsidR="00366F20" w:rsidRPr="0085657D" w:rsidRDefault="00366F20" w:rsidP="00366F20">
      <w:pPr>
        <w:pStyle w:val="FootnoteText"/>
        <w:tabs>
          <w:tab w:val="left" w:pos="227"/>
        </w:tabs>
        <w:spacing w:line="276" w:lineRule="auto"/>
        <w:ind w:right="-170"/>
        <w:rPr>
          <w:rFonts w:ascii="Arial" w:hAnsi="Arial" w:cs="Arial"/>
          <w:sz w:val="22"/>
          <w:szCs w:val="22"/>
          <w:lang w:val="sr-Latn-ME"/>
        </w:rPr>
      </w:pPr>
    </w:p>
    <w:p w14:paraId="74617FA6"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2012/29/EU of the European Parliament and of the Council of 25 October 2012 establishing minimum standards on the rights, support and protection of victims of crime, and replacing Council Framework Decision 2001/220/JHA; </w:t>
      </w:r>
    </w:p>
    <w:p w14:paraId="5B6B0408"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2011/36/EU OF THE EUROPEAN PARLIAMENT AND OF THE COUNCIL of 5 April 2011 on preventing and combating trafficking in human beings and protecting its victims, and replacing Council Framework Decision 2002/629/JHA; </w:t>
      </w:r>
    </w:p>
    <w:p w14:paraId="33868325"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2011/93/EU OF THE EUROPEAN PARLIAMENT AND OF THE COUNCIL of 13 December 2011 on combating the sexual abuse and sexual exploitation of children and child pornography, and replacing Council Framework Decision 2004/68/JHA; </w:t>
      </w:r>
    </w:p>
    <w:p w14:paraId="4A61ECEB"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Council Directive 2004/80/EC of 29 April 2004 relating to compensation to crime victims; </w:t>
      </w:r>
    </w:p>
    <w:p w14:paraId="29CAE25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w:t>
      </w:r>
    </w:p>
    <w:p w14:paraId="6759FDD1"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i/>
          <w:iCs/>
          <w:sz w:val="22"/>
          <w:szCs w:val="22"/>
          <w:lang w:val="sr-Latn-ME"/>
        </w:rPr>
      </w:pPr>
      <w:r w:rsidRPr="0085657D">
        <w:rPr>
          <w:rFonts w:ascii="Arial" w:hAnsi="Arial" w:cs="Arial"/>
          <w:sz w:val="22"/>
          <w:szCs w:val="22"/>
          <w:lang w:val="sr-Latn-ME"/>
        </w:rPr>
        <w:t xml:space="preserve">Consolidated version of the Treaty on the Functioning of the European Union - PART TWO: NON-DISCRIMINATION AND CITIZENSHIP OF THE UNION, </w:t>
      </w:r>
      <w:r w:rsidRPr="0085657D">
        <w:rPr>
          <w:rFonts w:ascii="Arial" w:hAnsi="Arial" w:cs="Arial"/>
          <w:i/>
          <w:iCs/>
          <w:sz w:val="22"/>
          <w:szCs w:val="22"/>
          <w:lang w:val="sr-Latn-ME"/>
        </w:rPr>
        <w:t xml:space="preserve">Official Journal 115 , 09/05/2008 P. 0056 – 0056; </w:t>
      </w:r>
    </w:p>
    <w:p w14:paraId="026B2F71"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Charter of Fundamental Rights of the European Union. Official Journal of the European Communities, 18 December 2000 (2000/C 364/01); </w:t>
      </w:r>
    </w:p>
    <w:p w14:paraId="6507C6D5"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European Parliament resolution of 14 March 2013 on strengthening the fight against racism, xenophobia and hate crime (2013/2543(RSP)); </w:t>
      </w:r>
    </w:p>
    <w:p w14:paraId="7663CFD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Communication from the Commission to the European Parliament and the Council, A more inclusive and protective Europe: extending the list of EU crimes to hate speech and hate crime, European Commission, COM(2021) 777; </w:t>
      </w:r>
    </w:p>
    <w:p w14:paraId="6E29629D"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COUNCIL FRAMEWORK DECISION 2008/913/JHA of 28 November 2008 on combating certain forms and expressions of racism and xenophobia by means of criminal law.</w:t>
      </w:r>
    </w:p>
    <w:p w14:paraId="44B91673"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171717"/>
          <w:sz w:val="22"/>
          <w:szCs w:val="22"/>
          <w:lang w:val="sr-Latn-ME"/>
        </w:rPr>
      </w:pPr>
      <w:r w:rsidRPr="0085657D">
        <w:rPr>
          <w:rFonts w:ascii="Arial" w:hAnsi="Arial" w:cs="Arial"/>
          <w:color w:val="171717"/>
          <w:sz w:val="22"/>
          <w:szCs w:val="22"/>
          <w:lang w:val="sr-Latn-ME"/>
        </w:rPr>
        <w:t>Recommendation CM/Rec(2022)16</w:t>
      </w:r>
      <w:r w:rsidR="0034186C" w:rsidRPr="0085657D">
        <w:rPr>
          <w:rFonts w:ascii="Arial" w:hAnsi="Arial" w:cs="Arial"/>
          <w:color w:val="171717"/>
          <w:sz w:val="22"/>
          <w:szCs w:val="22"/>
          <w:lang w:val="sr-Latn-ME"/>
        </w:rPr>
        <w:t xml:space="preserve"> </w:t>
      </w:r>
      <w:r w:rsidRPr="0085657D">
        <w:rPr>
          <w:rFonts w:ascii="Arial" w:hAnsi="Arial" w:cs="Arial"/>
          <w:color w:val="171717"/>
          <w:sz w:val="22"/>
          <w:szCs w:val="22"/>
          <w:lang w:val="sr-Latn-ME"/>
        </w:rPr>
        <w:t>of the Committee of Ministers to member States</w:t>
      </w:r>
      <w:r w:rsidRPr="0085657D">
        <w:rPr>
          <w:rFonts w:ascii="Arial" w:hAnsi="Arial" w:cs="Arial"/>
          <w:color w:val="171717"/>
          <w:sz w:val="22"/>
          <w:szCs w:val="22"/>
          <w:lang w:val="sr-Latn-ME"/>
        </w:rPr>
        <w:br/>
        <w:t>on combating hate speech (Adopted by the Committee of Ministers on 20 May 2022</w:t>
      </w:r>
      <w:r w:rsidRPr="0085657D">
        <w:rPr>
          <w:rFonts w:ascii="Arial" w:hAnsi="Arial" w:cs="Arial"/>
          <w:color w:val="171717"/>
          <w:sz w:val="22"/>
          <w:szCs w:val="22"/>
          <w:lang w:val="sr-Latn-ME"/>
        </w:rPr>
        <w:br/>
        <w:t>at the 132</w:t>
      </w:r>
      <w:r w:rsidRPr="0085657D">
        <w:rPr>
          <w:rFonts w:ascii="Arial" w:hAnsi="Arial" w:cs="Arial"/>
          <w:color w:val="171717"/>
          <w:sz w:val="22"/>
          <w:szCs w:val="22"/>
          <w:vertAlign w:val="superscript"/>
          <w:lang w:val="sr-Latn-ME"/>
        </w:rPr>
        <w:t>nd</w:t>
      </w:r>
      <w:r w:rsidRPr="0085657D">
        <w:rPr>
          <w:rFonts w:ascii="Arial" w:hAnsi="Arial" w:cs="Arial"/>
          <w:color w:val="171717"/>
          <w:sz w:val="22"/>
          <w:szCs w:val="22"/>
          <w:lang w:val="sr-Latn-ME"/>
        </w:rPr>
        <w:t xml:space="preserve"> Session of the Committee of Ministers); </w:t>
      </w:r>
      <w:r w:rsidRPr="0085657D">
        <w:rPr>
          <w:rFonts w:ascii="Arial" w:hAnsi="Arial" w:cs="Arial"/>
          <w:color w:val="000000"/>
          <w:sz w:val="22"/>
          <w:szCs w:val="22"/>
          <w:lang w:val="sr-Latn-ME"/>
        </w:rPr>
        <w:t>European Convention on the Exercise of Child Rights);</w:t>
      </w:r>
      <w:r w:rsidRPr="0085657D">
        <w:rPr>
          <w:rFonts w:ascii="Arial" w:hAnsi="Arial" w:cs="Arial"/>
          <w:color w:val="171717"/>
          <w:sz w:val="22"/>
          <w:szCs w:val="22"/>
          <w:lang w:val="sr-Latn-ME"/>
        </w:rPr>
        <w:t xml:space="preserve"> </w:t>
      </w:r>
    </w:p>
    <w:p w14:paraId="0B9F0589"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000000"/>
          <w:sz w:val="22"/>
          <w:szCs w:val="22"/>
          <w:lang w:val="sr-Latn-ME"/>
        </w:rPr>
      </w:pPr>
      <w:r w:rsidRPr="0085657D">
        <w:rPr>
          <w:rFonts w:ascii="Arial" w:hAnsi="Arial" w:cs="Arial"/>
          <w:sz w:val="22"/>
          <w:szCs w:val="22"/>
          <w:lang w:val="sr-Latn-ME"/>
        </w:rPr>
        <w:lastRenderedPageBreak/>
        <w:t>Guidelines of the Committee of Ministers of the Council of Europe on child friendly justice (Adopted by the Committee of Ministers on 17 November 2010 at the 1098th meeting of the Ministers' Deputies));</w:t>
      </w:r>
      <w:r w:rsidRPr="0085657D">
        <w:rPr>
          <w:rFonts w:ascii="Arial" w:hAnsi="Arial" w:cs="Arial"/>
          <w:color w:val="000000"/>
          <w:sz w:val="22"/>
          <w:szCs w:val="22"/>
          <w:lang w:val="sr-Latn-ME"/>
        </w:rPr>
        <w:t xml:space="preserve"> </w:t>
      </w:r>
    </w:p>
    <w:p w14:paraId="6EA3FE62"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333333"/>
          <w:sz w:val="22"/>
          <w:szCs w:val="22"/>
          <w:shd w:val="clear" w:color="auto" w:fill="FFFFFF"/>
          <w:lang w:val="sr-Latn-ME"/>
        </w:rPr>
      </w:pPr>
      <w:r w:rsidRPr="0085657D">
        <w:rPr>
          <w:rFonts w:ascii="Arial" w:hAnsi="Arial" w:cs="Arial"/>
          <w:color w:val="000000"/>
          <w:sz w:val="22"/>
          <w:szCs w:val="22"/>
          <w:lang w:val="sr-Latn-ME"/>
        </w:rPr>
        <w:t>European Convention on Human Rights;</w:t>
      </w:r>
      <w:r w:rsidRPr="0085657D">
        <w:rPr>
          <w:rFonts w:ascii="Arial" w:hAnsi="Arial" w:cs="Arial"/>
          <w:color w:val="171717"/>
          <w:sz w:val="22"/>
          <w:szCs w:val="22"/>
          <w:lang w:val="sr-Latn-ME"/>
        </w:rPr>
        <w:t xml:space="preserve"> </w:t>
      </w:r>
      <w:r w:rsidRPr="0085657D">
        <w:rPr>
          <w:rFonts w:ascii="Arial" w:hAnsi="Arial" w:cs="Arial"/>
          <w:color w:val="161616"/>
          <w:sz w:val="22"/>
          <w:szCs w:val="22"/>
          <w:shd w:val="clear" w:color="auto" w:fill="FFFFFF"/>
          <w:lang w:val="sr-Latn-ME"/>
        </w:rPr>
        <w:t xml:space="preserve">Council of Europe Convention on Action against Trafficking in Human Beings, </w:t>
      </w:r>
      <w:r w:rsidRPr="0085657D">
        <w:rPr>
          <w:rFonts w:ascii="Arial" w:hAnsi="Arial" w:cs="Arial"/>
          <w:color w:val="333333"/>
          <w:sz w:val="22"/>
          <w:szCs w:val="22"/>
          <w:shd w:val="clear" w:color="auto" w:fill="FFFFFF"/>
          <w:lang w:val="sr-Latn-ME"/>
        </w:rPr>
        <w:t xml:space="preserve">Warsaw, 16.V.2005; </w:t>
      </w:r>
    </w:p>
    <w:p w14:paraId="2462D67C"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Council of Europe Convention on preventing and combating violence against women and domestic violence, Istanbul, 11.V.2011);</w:t>
      </w:r>
      <w:r w:rsidRPr="0085657D">
        <w:rPr>
          <w:rFonts w:ascii="Arial" w:hAnsi="Arial" w:cs="Arial"/>
          <w:color w:val="171717"/>
          <w:sz w:val="22"/>
          <w:szCs w:val="22"/>
          <w:lang w:val="sr-Latn-ME"/>
        </w:rPr>
        <w:t xml:space="preserve"> </w:t>
      </w:r>
      <w:r w:rsidRPr="0085657D">
        <w:rPr>
          <w:rFonts w:ascii="Arial" w:hAnsi="Arial" w:cs="Arial"/>
          <w:sz w:val="22"/>
          <w:szCs w:val="22"/>
          <w:lang w:val="sr-Latn-ME"/>
        </w:rPr>
        <w:t xml:space="preserve">Council of Europe Convention on the Protection of Children against Sexual Exploitation and Sexual Abuse, Lanzarote, 25.X.2007 (Lanzarote Convention)); </w:t>
      </w:r>
    </w:p>
    <w:p w14:paraId="7ECB27A3"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shd w:val="clear" w:color="auto" w:fill="FFFFFF"/>
          <w:lang w:val="sr-Latn-ME"/>
        </w:rPr>
      </w:pPr>
      <w:r w:rsidRPr="0085657D">
        <w:rPr>
          <w:rFonts w:ascii="Arial" w:hAnsi="Arial" w:cs="Arial"/>
          <w:sz w:val="22"/>
          <w:szCs w:val="22"/>
          <w:shd w:val="clear" w:color="auto" w:fill="FFFFFF"/>
          <w:lang w:val="sr-Latn-ME"/>
        </w:rPr>
        <w:t>European Convention on the Compensation of Victims of Violent Crimes, Strasbourg, 24/11/1983)</w:t>
      </w:r>
    </w:p>
    <w:p w14:paraId="52BC9B30"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000000"/>
          <w:sz w:val="22"/>
          <w:szCs w:val="22"/>
          <w:lang w:val="sr-Latn-ME"/>
        </w:rPr>
      </w:pPr>
      <w:r w:rsidRPr="0085657D">
        <w:rPr>
          <w:rFonts w:ascii="Arial" w:hAnsi="Arial" w:cs="Arial"/>
          <w:color w:val="000000"/>
          <w:sz w:val="22"/>
          <w:szCs w:val="22"/>
          <w:lang w:val="sr-Latn-ME"/>
        </w:rPr>
        <w:t xml:space="preserve">Convention on the Rights of the Child (CRC)); </w:t>
      </w:r>
      <w:r w:rsidRPr="0085657D">
        <w:rPr>
          <w:rFonts w:ascii="Arial" w:hAnsi="Arial" w:cs="Arial"/>
          <w:sz w:val="22"/>
          <w:szCs w:val="22"/>
          <w:lang w:val="sr-Latn-ME"/>
        </w:rPr>
        <w:t>Optional Protocol to the Convention on the Rights of the Child on the involvement of children in armed conflict, Adopted and opened for signature, ratification and accession by General Assembly resolution A/RES/54/263 of 25 May 2000, entry into force 12 February 2002</w:t>
      </w:r>
      <w:r w:rsidRPr="0085657D">
        <w:rPr>
          <w:rFonts w:ascii="Arial" w:hAnsi="Arial" w:cs="Arial"/>
          <w:color w:val="000000"/>
          <w:sz w:val="22"/>
          <w:szCs w:val="22"/>
          <w:lang w:val="sr-Latn-ME"/>
        </w:rPr>
        <w:t xml:space="preserve">); </w:t>
      </w:r>
    </w:p>
    <w:p w14:paraId="289A6DC2"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Optional Protocol to the Convention on the Rights of the Child on the sale of children, child prostitution and child pornography, Adopted and opened for signature, ratification and accession by General Assembly resolution A/RES/54/263 of 25 May 2000, entered into force on 18 January 2002); </w:t>
      </w:r>
    </w:p>
    <w:p w14:paraId="477185D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Committee on the Rights of the Child, </w:t>
      </w:r>
      <w:r w:rsidRPr="0085657D">
        <w:rPr>
          <w:rFonts w:ascii="Arial" w:eastAsia="SimSun" w:hAnsi="Arial" w:cs="Arial"/>
          <w:sz w:val="22"/>
          <w:szCs w:val="22"/>
          <w:lang w:val="sr-Latn-ME" w:eastAsia="zh-CN"/>
        </w:rPr>
        <w:t xml:space="preserve">General Comment No. </w:t>
      </w:r>
      <w:r w:rsidRPr="0085657D">
        <w:rPr>
          <w:rFonts w:ascii="Arial" w:hAnsi="Arial" w:cs="Arial"/>
          <w:sz w:val="22"/>
          <w:szCs w:val="22"/>
          <w:lang w:val="sr-Latn-ME"/>
        </w:rPr>
        <w:t>13 (2011) The right of the child to freedom from all forms of violence; Committee on the Rights of the Child,</w:t>
      </w:r>
      <w:r w:rsidRPr="0085657D">
        <w:rPr>
          <w:rFonts w:ascii="Arial" w:hAnsi="Arial" w:cs="Arial"/>
          <w:color w:val="000000"/>
          <w:sz w:val="22"/>
          <w:szCs w:val="22"/>
          <w:lang w:val="sr-Latn-ME"/>
        </w:rPr>
        <w:t xml:space="preserve"> General Comment no 14 on the right of the child to have his or her best interests taken as a primary consideration (art. 3, para. 1)</w:t>
      </w:r>
      <w:r w:rsidRPr="0085657D">
        <w:rPr>
          <w:rFonts w:ascii="Arial" w:hAnsi="Arial" w:cs="Arial"/>
          <w:sz w:val="22"/>
          <w:szCs w:val="22"/>
          <w:lang w:val="sr-Latn-ME"/>
        </w:rPr>
        <w:t xml:space="preserve"> Geneva, 29 May 2013; </w:t>
      </w:r>
    </w:p>
    <w:p w14:paraId="69286531"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bCs/>
          <w:sz w:val="22"/>
          <w:szCs w:val="22"/>
          <w:lang w:val="sr-Latn-ME"/>
        </w:rPr>
      </w:pPr>
      <w:r w:rsidRPr="0085657D">
        <w:rPr>
          <w:rFonts w:ascii="Arial" w:hAnsi="Arial" w:cs="Arial"/>
          <w:sz w:val="22"/>
          <w:szCs w:val="22"/>
          <w:lang w:val="sr-Latn-ME"/>
        </w:rPr>
        <w:t xml:space="preserve">Committee on the Rights of the Child, </w:t>
      </w:r>
      <w:r w:rsidRPr="0085657D">
        <w:rPr>
          <w:rFonts w:ascii="Arial" w:eastAsia="SimSun" w:hAnsi="Arial" w:cs="Arial"/>
          <w:sz w:val="22"/>
          <w:szCs w:val="22"/>
          <w:lang w:val="sr-Latn-ME" w:eastAsia="zh-CN"/>
        </w:rPr>
        <w:t xml:space="preserve">General Comment No. </w:t>
      </w:r>
      <w:r w:rsidRPr="0085657D">
        <w:rPr>
          <w:rFonts w:ascii="Arial" w:hAnsi="Arial" w:cs="Arial"/>
          <w:sz w:val="22"/>
          <w:szCs w:val="22"/>
          <w:lang w:val="sr-Latn-ME"/>
        </w:rPr>
        <w:t>21 (2017) on children in street situations, 21 June 2017; Committee on the Rights of the Child</w:t>
      </w:r>
      <w:r w:rsidRPr="0085657D">
        <w:rPr>
          <w:rFonts w:ascii="Arial" w:hAnsi="Arial" w:cs="Arial"/>
          <w:color w:val="000000"/>
          <w:sz w:val="22"/>
          <w:szCs w:val="22"/>
          <w:lang w:val="sr-Latn-ME"/>
        </w:rPr>
        <w:t xml:space="preserve"> General Comment No. 24 (2019), replacing General Comment No. 10 (2007) on children’s rights in juvenile justice, </w:t>
      </w:r>
      <w:r w:rsidRPr="0085657D">
        <w:rPr>
          <w:rFonts w:ascii="Arial" w:hAnsi="Arial" w:cs="Arial"/>
          <w:sz w:val="22"/>
          <w:szCs w:val="22"/>
          <w:lang w:val="sr-Latn-ME"/>
        </w:rPr>
        <w:t xml:space="preserve">Geneva, 18 September 2019, </w:t>
      </w:r>
      <w:r w:rsidRPr="0085657D">
        <w:rPr>
          <w:rFonts w:ascii="Arial" w:hAnsi="Arial" w:cs="Arial"/>
          <w:bCs/>
          <w:sz w:val="22"/>
          <w:szCs w:val="22"/>
          <w:lang w:val="sr-Latn-ME"/>
        </w:rPr>
        <w:t xml:space="preserve">Committee on the Rights of the Child, General comment No. 25 (2021) on children’s rights in relation to the digital environment, Geneva, 2 March 2021; </w:t>
      </w:r>
    </w:p>
    <w:p w14:paraId="4DBEEBB5"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International Convention for the Protection of All Persons from Enforced Disappearance, adopted on 20 December 2006 during the sixty-first session of the General Assembly by resolution </w:t>
      </w:r>
      <w:hyperlink r:id="rId17" w:tgtFrame="_blank" w:history="1">
        <w:r w:rsidRPr="0085657D">
          <w:rPr>
            <w:rStyle w:val="Hyperlink"/>
            <w:rFonts w:ascii="Arial" w:hAnsi="Arial" w:cs="Arial"/>
            <w:sz w:val="22"/>
            <w:szCs w:val="22"/>
            <w:lang w:val="sr-Latn-ME"/>
          </w:rPr>
          <w:t>A/RES/61/177</w:t>
        </w:r>
      </w:hyperlink>
      <w:r w:rsidRPr="0085657D">
        <w:rPr>
          <w:rStyle w:val="Hyperlink"/>
          <w:rFonts w:ascii="Arial" w:hAnsi="Arial" w:cs="Arial"/>
          <w:sz w:val="22"/>
          <w:szCs w:val="22"/>
          <w:lang w:val="sr-Latn-ME"/>
        </w:rPr>
        <w:t xml:space="preserve">; </w:t>
      </w:r>
      <w:r w:rsidRPr="0085657D">
        <w:rPr>
          <w:rFonts w:ascii="Arial" w:hAnsi="Arial" w:cs="Arial"/>
          <w:sz w:val="22"/>
          <w:szCs w:val="22"/>
          <w:lang w:val="sr-Latn-ME"/>
        </w:rPr>
        <w:t xml:space="preserve">Committee on Enforced Disappearances. (2023). UN General Comment No. 1 on Enforced Disappearances in the context of migration. CED/C/GC/1; </w:t>
      </w:r>
    </w:p>
    <w:p w14:paraId="30654F9A"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ECOSOC Commission on Crime Prevention and Criminal Justice, Fourteenth session Vienna, 23-27 May 2005,</w:t>
      </w:r>
      <w:r w:rsidRPr="0085657D">
        <w:rPr>
          <w:rFonts w:ascii="Arial" w:hAnsi="Arial" w:cs="Arial"/>
          <w:color w:val="000000"/>
          <w:sz w:val="22"/>
          <w:szCs w:val="22"/>
          <w:lang w:val="sr-Latn-ME"/>
        </w:rPr>
        <w:t xml:space="preserve"> Guidelines in Matters involving children victims and witnesses of crime; </w:t>
      </w:r>
      <w:r w:rsidRPr="0085657D">
        <w:rPr>
          <w:rFonts w:ascii="Arial" w:hAnsi="Arial" w:cs="Arial"/>
          <w:sz w:val="22"/>
          <w:szCs w:val="22"/>
          <w:lang w:val="sr-Latn-ME"/>
        </w:rPr>
        <w:t xml:space="preserve">Protocol to Prevent, Suppress and Punish Trafficking in Persons Especially Women and Children, supplementing the United Nations Convention against Transnational </w:t>
      </w:r>
      <w:r w:rsidRPr="0085657D">
        <w:rPr>
          <w:rFonts w:ascii="Arial" w:hAnsi="Arial" w:cs="Arial"/>
          <w:sz w:val="22"/>
          <w:szCs w:val="22"/>
          <w:lang w:val="sr-Latn-ME"/>
        </w:rPr>
        <w:lastRenderedPageBreak/>
        <w:t>Organized Crime, Adopted and opened for signature, ratification and accession by General Assembly resolution 55/25 of 15 November 2000;</w:t>
      </w:r>
    </w:p>
    <w:p w14:paraId="39ABA069"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Convention against Torture and Other Cruel, Inhuman or Degrading Treatment or Punishment adopted on 10 December 1984 by General Assembly resolution 39/46; Convention on the Elimination of All Forms of Discrimination against Women adopted by United Nations General Assembly in New York, 18 December 1979; </w:t>
      </w:r>
    </w:p>
    <w:p w14:paraId="0835B15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Convention on the Rights of Persons with Disabilities adopted on 12 December 2006 by Sixty-first session of the General Assembly by resolution A/RES/61/106; </w:t>
      </w:r>
    </w:p>
    <w:p w14:paraId="0EE11E3E" w14:textId="77777777" w:rsidR="00366F20"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International Convention on the Elimination of All Forms of Racial Discrimination adopted on 21 December 1965 by UN General Assembly resolution 2106</w:t>
      </w:r>
      <w:r w:rsidR="00E21D15" w:rsidRPr="0085657D">
        <w:rPr>
          <w:rFonts w:ascii="Arial" w:hAnsi="Arial" w:cs="Arial"/>
          <w:sz w:val="22"/>
          <w:szCs w:val="22"/>
          <w:lang w:val="sr-Latn-ME"/>
        </w:rPr>
        <w:t>;</w:t>
      </w:r>
    </w:p>
    <w:p w14:paraId="6D51D682" w14:textId="77777777" w:rsidR="00E21D15" w:rsidRPr="0085657D" w:rsidRDefault="00E21D15" w:rsidP="00B41F3A">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Consultative Council Of European Prosecutors (CCPE) Opinion No. 12 (2017) on “The role of prosecutors in relation to the rights of victims and witnesses in criminal proceedings”.</w:t>
      </w:r>
    </w:p>
    <w:p w14:paraId="779F3CF3" w14:textId="77777777" w:rsidR="00366F20" w:rsidRPr="0085657D" w:rsidRDefault="00366F20" w:rsidP="00366F20">
      <w:pPr>
        <w:rPr>
          <w:rFonts w:ascii="Arial" w:hAnsi="Arial" w:cs="Arial"/>
        </w:rPr>
      </w:pPr>
    </w:p>
    <w:p w14:paraId="32F21CB5" w14:textId="77777777" w:rsidR="00366F20" w:rsidRPr="0085657D" w:rsidRDefault="00366F20" w:rsidP="00366F20">
      <w:pPr>
        <w:spacing w:line="278" w:lineRule="auto"/>
        <w:jc w:val="left"/>
        <w:rPr>
          <w:rFonts w:ascii="Arial" w:hAnsi="Arial" w:cs="Arial"/>
        </w:rPr>
      </w:pPr>
      <w:r w:rsidRPr="0085657D">
        <w:rPr>
          <w:rFonts w:ascii="Arial" w:hAnsi="Arial" w:cs="Arial"/>
        </w:rPr>
        <w:br w:type="page"/>
      </w:r>
    </w:p>
    <w:p w14:paraId="0D440AEC" w14:textId="77777777" w:rsidR="005414F1" w:rsidRPr="0085657D" w:rsidRDefault="00C15EFF" w:rsidP="005414F1">
      <w:pPr>
        <w:pStyle w:val="Heading1"/>
        <w:rPr>
          <w:rFonts w:ascii="Arial" w:hAnsi="Arial" w:cs="Arial"/>
          <w:sz w:val="22"/>
          <w:szCs w:val="22"/>
        </w:rPr>
      </w:pPr>
      <w:bookmarkStart w:id="92" w:name="_Toc208489233"/>
      <w:r w:rsidRPr="0085657D">
        <w:rPr>
          <w:rFonts w:ascii="Arial" w:hAnsi="Arial" w:cs="Arial"/>
          <w:sz w:val="22"/>
          <w:szCs w:val="22"/>
        </w:rPr>
        <w:lastRenderedPageBreak/>
        <w:t xml:space="preserve">Annex II: </w:t>
      </w:r>
      <w:r w:rsidR="005414F1" w:rsidRPr="0085657D">
        <w:rPr>
          <w:rFonts w:ascii="Arial" w:hAnsi="Arial" w:cs="Arial"/>
          <w:sz w:val="22"/>
          <w:szCs w:val="22"/>
        </w:rPr>
        <w:t>Izvori i literatura</w:t>
      </w:r>
      <w:bookmarkEnd w:id="92"/>
    </w:p>
    <w:p w14:paraId="0663B7EF" w14:textId="77777777" w:rsidR="005414F1" w:rsidRPr="0085657D" w:rsidRDefault="005414F1" w:rsidP="005414F1">
      <w:pPr>
        <w:rPr>
          <w:rFonts w:ascii="Arial" w:hAnsi="Arial" w:cs="Arial"/>
        </w:rPr>
      </w:pPr>
    </w:p>
    <w:p w14:paraId="3A940824" w14:textId="77777777" w:rsidR="00F244A7" w:rsidRPr="0085657D" w:rsidRDefault="00F244A7"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Akcija za ljudska prava (2016) </w:t>
      </w:r>
      <w:r w:rsidRPr="0085657D">
        <w:rPr>
          <w:rFonts w:ascii="Arial" w:hAnsi="Arial" w:cs="Arial"/>
          <w:i/>
          <w:iCs/>
        </w:rPr>
        <w:t>Naknada štete žrtvama ratnih zločina u Crnoj Gori</w:t>
      </w:r>
      <w:r w:rsidR="0053016B" w:rsidRPr="0085657D">
        <w:rPr>
          <w:rFonts w:ascii="Arial" w:hAnsi="Arial" w:cs="Arial"/>
          <w:i/>
          <w:iCs/>
        </w:rPr>
        <w:t xml:space="preserve">, </w:t>
      </w:r>
      <w:r w:rsidR="0053016B" w:rsidRPr="0085657D">
        <w:rPr>
          <w:rFonts w:ascii="Arial" w:hAnsi="Arial" w:cs="Arial"/>
        </w:rPr>
        <w:t>Podgorica.</w:t>
      </w:r>
    </w:p>
    <w:p w14:paraId="5C092F62" w14:textId="77777777" w:rsidR="00DE3801" w:rsidRPr="0085657D" w:rsidRDefault="00DE380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Akcija za ljudska prava (2023) Predlog izmjena Zakona o boračkoj i invalidskoj penziji u cilju uvođenja instituta „civilne žrtve rata“, dostupno na: </w:t>
      </w:r>
      <w:hyperlink r:id="rId18" w:history="1">
        <w:r w:rsidRPr="0085657D">
          <w:rPr>
            <w:rStyle w:val="Hyperlink"/>
            <w:rFonts w:ascii="Arial" w:hAnsi="Arial" w:cs="Arial"/>
          </w:rPr>
          <w:t>https://www.hraction.org/2024/03/27/status-civilnih-zrtava-rata-ministarstvo-rada-i-socijalnog-staranja-kasni-s-izradom-predloga-zakona-o-borackoj-i-invalidskoj-zastiti/</w:t>
        </w:r>
      </w:hyperlink>
      <w:r w:rsidRPr="0085657D">
        <w:rPr>
          <w:rFonts w:ascii="Arial" w:hAnsi="Arial" w:cs="Arial"/>
        </w:rPr>
        <w:t>, pristupljeno 20. jula 2024. godine</w:t>
      </w:r>
    </w:p>
    <w:p w14:paraId="676BA86D"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Akcioni plan plan za Poglavlje 23 - Pravosuđe i temeljna prava, Vlada Crne Gore, 2013</w:t>
      </w:r>
    </w:p>
    <w:p w14:paraId="28295808"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Akcioni plan za Poglavlje 23- Pravosuđe i temeljna prava, Vlada Crne Gore, 2015</w:t>
      </w:r>
    </w:p>
    <w:p w14:paraId="5522FD1A" w14:textId="77777777" w:rsidR="001B2700" w:rsidRPr="0085657D" w:rsidRDefault="001B270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Bulatović, J. (2022) Priručnik za evaluaciju strateških dokumenata, Generalni sekretarijat Vlade Crne Gore, Podgorica.</w:t>
      </w:r>
    </w:p>
    <w:p w14:paraId="3A54B240"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19" w:history="1">
        <w:r w:rsidRPr="0085657D">
          <w:rPr>
            <w:rStyle w:val="Hyperlink"/>
            <w:rFonts w:ascii="Arial" w:hAnsi="Arial" w:cs="Arial"/>
          </w:rPr>
          <w:t>https://op.europa.eu/en/publication-detail/-/publication/a9b0d6b3-4b02-11ed-92ed-01aa75ed71a1/language-fr</w:t>
        </w:r>
      </w:hyperlink>
      <w:r w:rsidRPr="0085657D">
        <w:rPr>
          <w:rFonts w:ascii="Arial" w:hAnsi="Arial" w:cs="Arial"/>
        </w:rPr>
        <w:t>, pristupljeno 12.5.2023. godine</w:t>
      </w:r>
    </w:p>
    <w:p w14:paraId="5E4718FD" w14:textId="77777777" w:rsidR="005414F1" w:rsidRPr="0085657D" w:rsidRDefault="005414F1" w:rsidP="00595DE2">
      <w:pPr>
        <w:pStyle w:val="ListParagraph"/>
        <w:numPr>
          <w:ilvl w:val="0"/>
          <w:numId w:val="6"/>
        </w:numPr>
        <w:spacing w:after="120" w:line="276" w:lineRule="auto"/>
        <w:ind w:left="714" w:hanging="357"/>
        <w:contextualSpacing w:val="0"/>
        <w:rPr>
          <w:rStyle w:val="Hyperlink"/>
          <w:rFonts w:ascii="Arial" w:hAnsi="Arial" w:cs="Arial"/>
          <w:color w:val="auto"/>
        </w:rPr>
      </w:pPr>
      <w:r w:rsidRPr="0085657D">
        <w:rPr>
          <w:rFonts w:ascii="Arial" w:hAnsi="Arial" w:cs="Arial"/>
        </w:rPr>
        <w:t xml:space="preserve">COMMISSION STAFF WORKING DOCUMENT Montenegro 2023 Report Accompanying the document Communication from the Commission to the European Parliament, the Council, the European Economic and Social Committee and the Committee of the Regions 2023 Communication on EU Enlargement policy, dostupno na: </w:t>
      </w:r>
      <w:hyperlink r:id="rId20" w:history="1">
        <w:r w:rsidRPr="0085657D">
          <w:rPr>
            <w:rStyle w:val="Hyperlink"/>
            <w:rFonts w:ascii="Arial" w:hAnsi="Arial" w:cs="Arial"/>
          </w:rPr>
          <w:t>https://neighbourhood-enlargement.ec.europa.eu/system/files/2023-11/SWD_2023_694%20Montenegro%20report.pdf</w:t>
        </w:r>
      </w:hyperlink>
      <w:r w:rsidRPr="0085657D">
        <w:rPr>
          <w:rFonts w:ascii="Arial" w:hAnsi="Arial" w:cs="Arial"/>
        </w:rPr>
        <w:t>, pristupljeno 2.12.2023. godine</w:t>
      </w:r>
    </w:p>
    <w:p w14:paraId="689696A5"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GRETA 2021, Evaluation Report Montenegro, Third Evaluation Round, Access to justice and effective remedies for victims of trafficking in human beings,  </w:t>
      </w:r>
      <w:hyperlink r:id="rId21" w:history="1">
        <w:r w:rsidRPr="0085657D">
          <w:rPr>
            <w:rStyle w:val="Hyperlink"/>
            <w:rFonts w:ascii="Arial" w:hAnsi="Arial" w:cs="Arial"/>
          </w:rPr>
          <w:t>https://rm.coe.int/evaluation-report-on-the-implementation-of-the-council-of-europe-conve/1680a2aefc</w:t>
        </w:r>
      </w:hyperlink>
    </w:p>
    <w:p w14:paraId="741E37FE"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GREVIO Baseline Evaluation Report on legislative and other measures giving effect to the provisions of the Council of Europe Convention on Preventing and Combating Violence against Women and Domestic Violence (Istanbul Convention) Montenegro, 2018</w:t>
      </w:r>
    </w:p>
    <w:p w14:paraId="4656F55F"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Dinamički plan aktivnosti koje vode do ispunjenja privremenih mjerila u poglavlju 23 – Pravosuđe i temeljna prava, Radna grupa za pripremu i vođenje pregovora iz oblasti pravne tekovine koja se odnosi na pregovaračko poglavlje 23, Pravosuđe i temeljna prava, 2021</w:t>
      </w:r>
    </w:p>
    <w:p w14:paraId="11101F25" w14:textId="77777777" w:rsidR="00721288" w:rsidRPr="0085657D" w:rsidRDefault="00C929CF"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Ivanković, A, Spahić, L. (2023) </w:t>
      </w:r>
      <w:r w:rsidR="00721288" w:rsidRPr="0085657D">
        <w:rPr>
          <w:rFonts w:ascii="Arial" w:hAnsi="Arial" w:cs="Arial"/>
        </w:rPr>
        <w:t>Needs assesment - Beneficiaries’ institutional capacities and needs in the area of victim support in war crimes cases in the Western Balkans (Bosnia and Herzegovina, Kosovo*, Montenegro, Serbia)</w:t>
      </w:r>
    </w:p>
    <w:p w14:paraId="32879BEB"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lastRenderedPageBreak/>
        <w:t>Janashia, N. &amp; Elezović, S. (2022) Rodna ravnopravnost u sudstvu u Crnoj Gori, Savjet Evrope, Podgorica</w:t>
      </w:r>
    </w:p>
    <w:p w14:paraId="1775592B" w14:textId="77777777" w:rsidR="009F78B6" w:rsidRPr="0085657D" w:rsidRDefault="009F78B6"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Jauković, M,  Badnjar, T. (2024) “Crime Victims and the Right to Free Legal Aid – International Standards and the Current State of Play in Montenegro”, In (Kolaković-Bojović, M, Stevanović, I.  eds) </w:t>
      </w:r>
      <w:r w:rsidRPr="0085657D">
        <w:rPr>
          <w:rFonts w:ascii="Arial" w:hAnsi="Arial" w:cs="Arial"/>
          <w:i/>
          <w:iCs/>
        </w:rPr>
        <w:t>The Position of Victims in the Republic of Serbia</w:t>
      </w:r>
      <w:r w:rsidRPr="0085657D">
        <w:rPr>
          <w:rFonts w:ascii="Arial" w:hAnsi="Arial" w:cs="Arial"/>
        </w:rPr>
        <w:t>, Institute of Criminological and Sociological Research, Belgrade, pp. 47-62.</w:t>
      </w:r>
    </w:p>
    <w:p w14:paraId="0BEA9573" w14:textId="77777777" w:rsidR="00870840" w:rsidRPr="0085657D" w:rsidRDefault="0087084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Kisjelica, D. (2023) Analiza primjene Zakona o zaštiti prava na suđenje u razumnom roku za period 2017 – 2022, Akcija za ljudska prava i Centar za monitoring i istraživanja, Podgorica.</w:t>
      </w:r>
    </w:p>
    <w:p w14:paraId="4174138D" w14:textId="77777777" w:rsidR="009F78B6" w:rsidRPr="0085657D" w:rsidRDefault="009F78B6"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Kolaković-Bojović, M, Baranowska G. (2024) Migrants as Victims of Enforced Disappearances, In (Kolaković-Bojović, M, Stevanović, I.  eds) </w:t>
      </w:r>
      <w:r w:rsidRPr="0085657D">
        <w:rPr>
          <w:rFonts w:ascii="Arial" w:hAnsi="Arial" w:cs="Arial"/>
          <w:i/>
          <w:iCs/>
        </w:rPr>
        <w:t>The Position of Victims in the Republic of Serbia</w:t>
      </w:r>
      <w:r w:rsidRPr="0085657D">
        <w:rPr>
          <w:rFonts w:ascii="Arial" w:hAnsi="Arial" w:cs="Arial"/>
        </w:rPr>
        <w:t>, Institute of Criminological and Sociological Research, Belgrade, pp.63-76.</w:t>
      </w:r>
    </w:p>
    <w:p w14:paraId="1D1ED999" w14:textId="77777777" w:rsidR="00514DB5" w:rsidRPr="0085657D" w:rsidRDefault="00514DB5"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b/>
          <w:bCs/>
        </w:rPr>
      </w:pPr>
      <w:r w:rsidRPr="0085657D">
        <w:rPr>
          <w:rFonts w:ascii="Arial" w:hAnsi="Arial" w:cs="Arial"/>
          <w:lang w:eastAsia="en-GB"/>
        </w:rPr>
        <w:t xml:space="preserve">Kolaković-Bojović, M., Jauković, M. (2024) </w:t>
      </w:r>
      <w:r w:rsidRPr="0085657D">
        <w:rPr>
          <w:rFonts w:ascii="Arial" w:hAnsi="Arial" w:cs="Arial"/>
        </w:rPr>
        <w:t xml:space="preserve">Strategic Approach To The Judicial Reform In Montenegro: The Current State of Play And A Way Forward, In: </w:t>
      </w:r>
      <w:r w:rsidRPr="0085657D">
        <w:rPr>
          <w:rFonts w:ascii="Arial" w:hAnsi="Arial" w:cs="Arial"/>
          <w:i/>
          <w:iCs/>
        </w:rPr>
        <w:t>Dynamics of the Contemporary Legal Order</w:t>
      </w:r>
      <w:r w:rsidRPr="0085657D">
        <w:rPr>
          <w:rFonts w:ascii="Arial" w:hAnsi="Arial" w:cs="Arial"/>
        </w:rPr>
        <w:t xml:space="preserve"> (Radulović, S. ed), pp. 51-66.</w:t>
      </w:r>
    </w:p>
    <w:p w14:paraId="438E8019" w14:textId="77777777" w:rsidR="00BA11FF" w:rsidRPr="0085657D" w:rsidRDefault="00BA11FF" w:rsidP="00595DE2">
      <w:pPr>
        <w:pStyle w:val="references"/>
        <w:numPr>
          <w:ilvl w:val="0"/>
          <w:numId w:val="6"/>
        </w:numPr>
        <w:spacing w:after="120" w:line="240" w:lineRule="auto"/>
        <w:ind w:right="4"/>
        <w:jc w:val="both"/>
        <w:rPr>
          <w:rFonts w:ascii="Arial" w:hAnsi="Arial" w:cs="Arial"/>
          <w:sz w:val="22"/>
          <w:lang w:val="sr-Latn-ME"/>
        </w:rPr>
      </w:pPr>
      <w:r w:rsidRPr="0085657D">
        <w:rPr>
          <w:rStyle w:val="personname"/>
          <w:rFonts w:ascii="Arial" w:hAnsi="Arial" w:cs="Arial"/>
          <w:color w:val="000000"/>
          <w:sz w:val="22"/>
          <w:shd w:val="clear" w:color="auto" w:fill="FFFFFF"/>
          <w:lang w:val="sr-Latn-ME"/>
        </w:rPr>
        <w:t>Kolaković-Bojović, M. &amp; Džumhur, J.</w:t>
      </w:r>
      <w:r w:rsidRPr="0085657D">
        <w:rPr>
          <w:rFonts w:ascii="Arial" w:hAnsi="Arial" w:cs="Arial"/>
          <w:color w:val="000000"/>
          <w:sz w:val="22"/>
          <w:shd w:val="clear" w:color="auto" w:fill="FFFFFF"/>
          <w:lang w:val="sr-Latn-ME"/>
        </w:rPr>
        <w:t> (2024) </w:t>
      </w:r>
      <w:r w:rsidRPr="0085657D">
        <w:rPr>
          <w:rFonts w:ascii="Arial" w:hAnsi="Arial" w:cs="Arial"/>
          <w:sz w:val="22"/>
          <w:lang w:val="sr-Latn-ME"/>
        </w:rPr>
        <w:t xml:space="preserve">Enforced Disappearances and the Right to Reparation in Western Balkans, In: Baranowska, G. &amp; Kolaković-Bojović, M. (eds.) </w:t>
      </w:r>
      <w:r w:rsidRPr="0085657D">
        <w:rPr>
          <w:rFonts w:ascii="Arial" w:hAnsi="Arial" w:cs="Arial"/>
          <w:i/>
          <w:iCs/>
          <w:sz w:val="22"/>
          <w:lang w:val="sr-Latn-ME"/>
        </w:rPr>
        <w:t>Enforced Disappearances: On Universal Responses to a Worldwide Phenomenon</w:t>
      </w:r>
      <w:r w:rsidRPr="0085657D">
        <w:rPr>
          <w:rFonts w:ascii="Arial" w:hAnsi="Arial" w:cs="Arial"/>
          <w:sz w:val="22"/>
          <w:lang w:val="sr-Latn-ME"/>
        </w:rPr>
        <w:t>. Cambridge University Press (in publishing).</w:t>
      </w:r>
    </w:p>
    <w:p w14:paraId="4CD51DCA" w14:textId="77777777" w:rsidR="00DE3801" w:rsidRPr="0085657D" w:rsidRDefault="00DE3801"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rPr>
      </w:pPr>
      <w:r w:rsidRPr="0085657D">
        <w:rPr>
          <w:rFonts w:ascii="Arial" w:hAnsi="Arial" w:cs="Arial"/>
        </w:rPr>
        <w:t>Kolaković-Bojović, Milica (2023) </w:t>
      </w:r>
      <w:hyperlink r:id="rId22" w:history="1">
        <w:r w:rsidRPr="0085657D">
          <w:rPr>
            <w:rStyle w:val="Hyperlink"/>
            <w:rFonts w:ascii="Arial" w:hAnsi="Arial" w:cs="Arial"/>
            <w:i/>
            <w:iCs/>
          </w:rPr>
          <w:t>Víctimas de desaparición forzada y derecho a la reparación.</w:t>
        </w:r>
      </w:hyperlink>
      <w:r w:rsidRPr="0085657D">
        <w:rPr>
          <w:rFonts w:ascii="Arial" w:hAnsi="Arial" w:cs="Arial"/>
        </w:rPr>
        <w:t xml:space="preserve"> In: Desaparición forzada: Colección en temas de derechos humanos, Tomo I. Centro Internacional para la Promoción de los Derechos Humanos bajo los auspicios de UNESCO (CIPDH), Buenos Aires, Argentina, pp. 196-226. </w:t>
      </w:r>
    </w:p>
    <w:p w14:paraId="26E4BF00" w14:textId="77777777" w:rsidR="00DE3801" w:rsidRPr="0085657D" w:rsidRDefault="00DE3801"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rPr>
      </w:pPr>
      <w:r w:rsidRPr="0085657D">
        <w:rPr>
          <w:rFonts w:ascii="Arial" w:hAnsi="Arial" w:cs="Arial"/>
        </w:rPr>
        <w:t>Kolaković-Bojović, Milica (2021) </w:t>
      </w:r>
      <w:hyperlink r:id="rId23" w:history="1">
        <w:r w:rsidRPr="0085657D">
          <w:rPr>
            <w:rStyle w:val="Hyperlink"/>
            <w:rFonts w:ascii="Arial" w:hAnsi="Arial" w:cs="Arial"/>
            <w:i/>
            <w:iCs/>
          </w:rPr>
          <w:t>Disappeared Persons and the Right to be Considered Alive - The current State of Play in the Western Balkans.</w:t>
        </w:r>
      </w:hyperlink>
      <w:r w:rsidRPr="0085657D">
        <w:rPr>
          <w:rFonts w:ascii="Arial" w:hAnsi="Arial" w:cs="Arial"/>
        </w:rPr>
        <w:t xml:space="preserve"> In: Yearbook. No. 4, Human rights protection : right to life. Provincial Protector of Citizens - Ombudsman ; Institute of Criminological and Sociological Research, Novi Sad ; Belgrade, pp. 271-287. </w:t>
      </w:r>
    </w:p>
    <w:p w14:paraId="30803D11" w14:textId="77777777" w:rsidR="00BA11FF" w:rsidRPr="0085657D" w:rsidRDefault="00BA11FF"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rPr>
      </w:pPr>
      <w:r w:rsidRPr="0085657D">
        <w:rPr>
          <w:rStyle w:val="personname"/>
          <w:rFonts w:ascii="Arial" w:hAnsi="Arial" w:cs="Arial"/>
          <w:color w:val="000000"/>
          <w:shd w:val="clear" w:color="auto" w:fill="FFFFFF"/>
        </w:rPr>
        <w:t>Kolaković-Bojović, Milica</w:t>
      </w:r>
      <w:r w:rsidRPr="0085657D">
        <w:rPr>
          <w:rFonts w:ascii="Arial" w:hAnsi="Arial" w:cs="Arial"/>
          <w:color w:val="000000"/>
          <w:shd w:val="clear" w:color="auto" w:fill="FFFFFF"/>
        </w:rPr>
        <w:t> and </w:t>
      </w:r>
      <w:r w:rsidRPr="0085657D">
        <w:rPr>
          <w:rStyle w:val="personname"/>
          <w:rFonts w:ascii="Arial" w:hAnsi="Arial" w:cs="Arial"/>
          <w:color w:val="000000"/>
          <w:shd w:val="clear" w:color="auto" w:fill="FFFFFF"/>
        </w:rPr>
        <w:t>Grujić, Zdravko</w:t>
      </w:r>
      <w:r w:rsidRPr="0085657D">
        <w:rPr>
          <w:rFonts w:ascii="Arial" w:hAnsi="Arial" w:cs="Arial"/>
          <w:color w:val="000000"/>
          <w:shd w:val="clear" w:color="auto" w:fill="FFFFFF"/>
        </w:rPr>
        <w:t> (2020) </w:t>
      </w:r>
      <w:r w:rsidRPr="0085657D">
        <w:rPr>
          <w:rStyle w:val="Emphasis"/>
          <w:rFonts w:ascii="Arial" w:hAnsi="Arial" w:cs="Arial"/>
          <w:shd w:val="clear" w:color="auto" w:fill="FFFFFF"/>
        </w:rPr>
        <w:t>Crime Victims and the Right to Human Dignity - Challenges and Attitudes in Serbia</w:t>
      </w:r>
      <w:r w:rsidRPr="0085657D">
        <w:rPr>
          <w:rStyle w:val="Emphasis"/>
          <w:rFonts w:ascii="Arial" w:hAnsi="Arial" w:cs="Arial"/>
          <w:color w:val="365191"/>
          <w:u w:val="single"/>
          <w:shd w:val="clear" w:color="auto" w:fill="FFFFFF"/>
        </w:rPr>
        <w:t>.</w:t>
      </w:r>
      <w:r w:rsidRPr="0085657D">
        <w:rPr>
          <w:rFonts w:ascii="Arial" w:hAnsi="Arial" w:cs="Arial"/>
          <w:color w:val="000000"/>
          <w:shd w:val="clear" w:color="auto" w:fill="FFFFFF"/>
        </w:rPr>
        <w:t> In: Yearbook. No. 3, Human rights protection: the right to human dignity. Provincial Protector of Citizens - Ombudsman; Institute of Criminological and Sociological Research, Novi Sad ; Belgrade, pp. 239-269;</w:t>
      </w:r>
    </w:p>
    <w:p w14:paraId="42B37564" w14:textId="77777777" w:rsidR="00D22A38" w:rsidRPr="0085657D" w:rsidRDefault="00D22A38"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b/>
          <w:bCs/>
        </w:rPr>
      </w:pPr>
      <w:r w:rsidRPr="0085657D">
        <w:rPr>
          <w:rStyle w:val="personname"/>
          <w:rFonts w:ascii="Arial" w:hAnsi="Arial" w:cs="Arial"/>
          <w:color w:val="000000"/>
          <w:shd w:val="clear" w:color="auto" w:fill="FFFFFF"/>
        </w:rPr>
        <w:t>Kolaković-Bojović, Milica</w:t>
      </w:r>
      <w:r w:rsidRPr="0085657D">
        <w:rPr>
          <w:rFonts w:ascii="Arial" w:hAnsi="Arial" w:cs="Arial"/>
          <w:color w:val="000000"/>
          <w:shd w:val="clear" w:color="auto" w:fill="FFFFFF"/>
        </w:rPr>
        <w:t> and </w:t>
      </w:r>
      <w:r w:rsidRPr="0085657D">
        <w:rPr>
          <w:rStyle w:val="personname"/>
          <w:rFonts w:ascii="Arial" w:hAnsi="Arial" w:cs="Arial"/>
          <w:color w:val="000000"/>
          <w:shd w:val="clear" w:color="auto" w:fill="FFFFFF"/>
        </w:rPr>
        <w:t>Đukanović, Anđela</w:t>
      </w:r>
      <w:r w:rsidRPr="0085657D">
        <w:rPr>
          <w:rFonts w:ascii="Arial" w:hAnsi="Arial" w:cs="Arial"/>
          <w:color w:val="000000"/>
          <w:shd w:val="clear" w:color="auto" w:fill="FFFFFF"/>
        </w:rPr>
        <w:t> (2023) </w:t>
      </w:r>
      <w:r w:rsidRPr="0085657D">
        <w:rPr>
          <w:rStyle w:val="Emphasis"/>
          <w:rFonts w:ascii="Arial" w:hAnsi="Arial" w:cs="Arial"/>
          <w:shd w:val="clear" w:color="auto" w:fill="FFFFFF"/>
        </w:rPr>
        <w:t>Zločini iz mržnje u Republici Srbiji</w:t>
      </w:r>
      <w:r w:rsidRPr="0085657D">
        <w:rPr>
          <w:rStyle w:val="Emphasis"/>
          <w:rFonts w:ascii="Arial" w:hAnsi="Arial" w:cs="Arial"/>
          <w:color w:val="365191"/>
          <w:u w:val="single"/>
          <w:shd w:val="clear" w:color="auto" w:fill="FFFFFF"/>
        </w:rPr>
        <w:t>.</w:t>
      </w:r>
      <w:r w:rsidRPr="0085657D">
        <w:rPr>
          <w:rFonts w:ascii="Arial" w:hAnsi="Arial" w:cs="Arial"/>
          <w:color w:val="000000"/>
          <w:shd w:val="clear" w:color="auto" w:fill="FFFFFF"/>
        </w:rPr>
        <w:t xml:space="preserve"> Institut za kriminološka i sociološka istraživanja, Beograd. </w:t>
      </w:r>
    </w:p>
    <w:p w14:paraId="79AB4A5A" w14:textId="77777777" w:rsidR="00721288" w:rsidRPr="0085657D" w:rsidRDefault="00721288"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i/>
          <w:sz w:val="22"/>
          <w:szCs w:val="22"/>
          <w:lang w:val="sr-Latn-ME"/>
        </w:rPr>
        <w:t>Mape žrtava ratova 1991–2001. na području nekadašnje SFRJ</w:t>
      </w:r>
      <w:r w:rsidRPr="0085657D">
        <w:rPr>
          <w:rFonts w:ascii="Arial" w:hAnsi="Arial" w:cs="Arial"/>
          <w:sz w:val="22"/>
          <w:szCs w:val="22"/>
          <w:lang w:val="sr-Latn-ME"/>
        </w:rPr>
        <w:t xml:space="preserve">, Fond za humanitarno pravo, </w:t>
      </w:r>
      <w:hyperlink r:id="rId24" w:history="1">
        <w:r w:rsidRPr="0085657D">
          <w:rPr>
            <w:rStyle w:val="Hyperlink"/>
            <w:rFonts w:ascii="Arial" w:hAnsi="Arial" w:cs="Arial"/>
            <w:sz w:val="22"/>
            <w:szCs w:val="22"/>
            <w:lang w:val="sr-Latn-ME"/>
          </w:rPr>
          <w:t>https://zrtveratovasfrj.info/site/home/hr-HR</w:t>
        </w:r>
      </w:hyperlink>
      <w:r w:rsidRPr="0085657D">
        <w:rPr>
          <w:rFonts w:ascii="Arial" w:hAnsi="Arial" w:cs="Arial"/>
          <w:sz w:val="22"/>
          <w:szCs w:val="22"/>
          <w:lang w:val="sr-Latn-ME"/>
        </w:rPr>
        <w:t xml:space="preserve"> </w:t>
      </w:r>
    </w:p>
    <w:p w14:paraId="3B505469" w14:textId="77777777" w:rsidR="004D6EFC" w:rsidRPr="0085657D" w:rsidRDefault="004D6EFC" w:rsidP="00595DE2">
      <w:pPr>
        <w:pStyle w:val="FootnoteText"/>
        <w:numPr>
          <w:ilvl w:val="0"/>
          <w:numId w:val="6"/>
        </w:numPr>
        <w:spacing w:after="120" w:line="276" w:lineRule="auto"/>
        <w:ind w:left="714" w:hanging="357"/>
        <w:rPr>
          <w:rFonts w:ascii="Arial" w:hAnsi="Arial" w:cs="Arial"/>
          <w:sz w:val="22"/>
          <w:szCs w:val="22"/>
          <w:lang w:val="sr-Latn-ME"/>
        </w:rPr>
      </w:pPr>
      <w:r w:rsidRPr="0085657D">
        <w:rPr>
          <w:rFonts w:ascii="Arial" w:hAnsi="Arial" w:cs="Arial"/>
          <w:sz w:val="22"/>
          <w:szCs w:val="22"/>
          <w:lang w:val="sr-Latn-ME"/>
        </w:rPr>
        <w:t>Marković, M, Perry Joanna (2020) Analiza i preporuke u vezi sa zakonodavstvom, istragom i krivičnim gonjenjem i prikupljanje podataka o krivičnom djelu učinjenom iz mržnje, govoru mržnje i diskriminaciji u Crnoj Gori, Savjet Evrope, Podgorica.</w:t>
      </w:r>
    </w:p>
    <w:p w14:paraId="13C30169"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lastRenderedPageBreak/>
        <w:t>Metodologija razvijanja politika, izrade i praćenja sprovođenja strateških dokumenata, Generalni sekretarijat Vlade Crne Gore, Podgorica, 2018.</w:t>
      </w:r>
    </w:p>
    <w:p w14:paraId="3B19D4A3"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Nacionalna strategija rodne ravnopravnosti 2021-2025</w:t>
      </w:r>
      <w:r w:rsidR="007B5CAF" w:rsidRPr="0085657D">
        <w:rPr>
          <w:rFonts w:ascii="Arial" w:hAnsi="Arial" w:cs="Arial"/>
        </w:rPr>
        <w:t xml:space="preserve">, </w:t>
      </w:r>
      <w:hyperlink r:id="rId25" w:history="1">
        <w:r w:rsidR="007B5CAF" w:rsidRPr="0085657D">
          <w:rPr>
            <w:rStyle w:val="Hyperlink"/>
            <w:rFonts w:ascii="Arial" w:hAnsi="Arial" w:cs="Arial"/>
          </w:rPr>
          <w:t>https://www.gov.me/dokumenta/26b0c8cc-3890-426e-a275-a29e1ff69648</w:t>
        </w:r>
      </w:hyperlink>
      <w:r w:rsidR="007B5CAF" w:rsidRPr="0085657D">
        <w:rPr>
          <w:rFonts w:ascii="Arial" w:hAnsi="Arial" w:cs="Arial"/>
        </w:rPr>
        <w:t xml:space="preserve"> , 12.04.2024.</w:t>
      </w:r>
    </w:p>
    <w:p w14:paraId="68FF5398"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Nacionalna strategija održivog razvoja do 2030. godine</w:t>
      </w:r>
    </w:p>
    <w:p w14:paraId="2636DB04" w14:textId="77777777" w:rsidR="007B5CAF" w:rsidRPr="0085657D" w:rsidRDefault="007B5CAF"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Nacionalni plan za implementaciju Konvencije Savjeta Evrope o suzbijanju i sprečavanju nasilja nad ženama i nasilja u porodici (Istanbulska konvencija) za period 2023. – 2027. godine, </w:t>
      </w:r>
      <w:hyperlink r:id="rId26" w:history="1">
        <w:r w:rsidRPr="0085657D">
          <w:rPr>
            <w:rStyle w:val="Hyperlink"/>
            <w:rFonts w:ascii="Arial" w:hAnsi="Arial" w:cs="Arial"/>
          </w:rPr>
          <w:t>https://www.gov.me/dokumenta/8515d608-15c8-4b25-9c26-fe0a5daf58ec</w:t>
        </w:r>
      </w:hyperlink>
      <w:r w:rsidRPr="0085657D">
        <w:rPr>
          <w:rFonts w:ascii="Arial" w:hAnsi="Arial" w:cs="Arial"/>
        </w:rPr>
        <w:t>, 12.04.2024.</w:t>
      </w:r>
    </w:p>
    <w:p w14:paraId="217CF867" w14:textId="77777777" w:rsidR="00870840" w:rsidRPr="0085657D" w:rsidRDefault="0087084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ODIHR (2014) Mišljenje o nacrtu zakona o naknadi štete žrtvama krivičnih djela</w:t>
      </w:r>
    </w:p>
    <w:p w14:paraId="525259FD"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Program pristupanja Crne Gore Evropskoj uniji 2023–2024, Ministarstvo evropskih poslova, Podgorica, 2023</w:t>
      </w:r>
      <w:r w:rsidR="007B5CAF" w:rsidRPr="0085657D">
        <w:rPr>
          <w:rFonts w:ascii="Arial" w:hAnsi="Arial" w:cs="Arial"/>
        </w:rPr>
        <w:t xml:space="preserve">, </w:t>
      </w:r>
      <w:hyperlink r:id="rId27" w:history="1">
        <w:r w:rsidR="007B5CAF" w:rsidRPr="0085657D">
          <w:rPr>
            <w:rStyle w:val="Hyperlink"/>
            <w:rFonts w:ascii="Arial" w:hAnsi="Arial" w:cs="Arial"/>
          </w:rPr>
          <w:t>https://www.eu.me/wpfd_file/program-pristupanja-crne-gore-evropskoj-uniji-2023-2024</w:t>
        </w:r>
      </w:hyperlink>
      <w:r w:rsidR="007B5CAF" w:rsidRPr="0085657D">
        <w:rPr>
          <w:rFonts w:ascii="Arial" w:hAnsi="Arial" w:cs="Arial"/>
        </w:rPr>
        <w:t>, 12.04.2024.</w:t>
      </w:r>
    </w:p>
    <w:p w14:paraId="3C531F32" w14:textId="77777777" w:rsidR="005414F1" w:rsidRPr="0085657D" w:rsidRDefault="007B5CAF"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Srednjoročni Program rada Vlade Crne Gore 2024-2027, </w:t>
      </w:r>
      <w:hyperlink r:id="rId28" w:history="1">
        <w:r w:rsidRPr="0085657D">
          <w:rPr>
            <w:rStyle w:val="Hyperlink"/>
            <w:rFonts w:ascii="Arial" w:hAnsi="Arial" w:cs="Arial"/>
          </w:rPr>
          <w:t>https://www.gov.me/dokumenta/61a462bd-eb20-478c-b0ae-c7cb6312e817</w:t>
        </w:r>
      </w:hyperlink>
      <w:r w:rsidRPr="0085657D">
        <w:rPr>
          <w:rFonts w:ascii="Arial" w:hAnsi="Arial" w:cs="Arial"/>
        </w:rPr>
        <w:t xml:space="preserve"> , 12.04.2024.</w:t>
      </w:r>
    </w:p>
    <w:p w14:paraId="5BE0844C"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digitalne transformacije Crne Gore 2022-2026</w:t>
      </w:r>
      <w:r w:rsidR="00020501" w:rsidRPr="0085657D">
        <w:rPr>
          <w:rFonts w:ascii="Arial" w:hAnsi="Arial" w:cs="Arial"/>
        </w:rPr>
        <w:t xml:space="preserve">, </w:t>
      </w:r>
      <w:hyperlink r:id="rId29" w:history="1">
        <w:r w:rsidR="00020501" w:rsidRPr="0085657D">
          <w:rPr>
            <w:rStyle w:val="Hyperlink"/>
            <w:rFonts w:ascii="Arial" w:hAnsi="Arial" w:cs="Arial"/>
          </w:rPr>
          <w:t>https://wapi.gov.me/download-preview/d9bb2e11-a08f-430a-a786-041ba08c61fc?version=1.0</w:t>
        </w:r>
      </w:hyperlink>
      <w:r w:rsidR="00020501" w:rsidRPr="0085657D">
        <w:rPr>
          <w:rFonts w:ascii="Arial" w:hAnsi="Arial" w:cs="Arial"/>
        </w:rPr>
        <w:t xml:space="preserve"> , 12.04.2024.</w:t>
      </w:r>
    </w:p>
    <w:p w14:paraId="4F404E38" w14:textId="77777777" w:rsidR="00721288" w:rsidRPr="0085657D" w:rsidRDefault="00721288"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reforme pravosuđa 2024-2027.</w:t>
      </w:r>
    </w:p>
    <w:p w14:paraId="7105A8C9"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za borbu protiv trgovine ljudima 2019-2024</w:t>
      </w:r>
      <w:r w:rsidR="003B6717" w:rsidRPr="0085657D">
        <w:rPr>
          <w:rFonts w:ascii="Arial" w:hAnsi="Arial" w:cs="Arial"/>
        </w:rPr>
        <w:t>.</w:t>
      </w:r>
    </w:p>
    <w:p w14:paraId="01291D30" w14:textId="77777777" w:rsidR="003B6717" w:rsidRPr="0085657D" w:rsidRDefault="003B6717"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za istraživanje ratnih zločina 2024-2027.</w:t>
      </w:r>
    </w:p>
    <w:p w14:paraId="215158C9"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14:ligatures w14:val="standardContextual"/>
        </w:rPr>
        <w:t xml:space="preserve">Tmušić, Ž, Abadić, Z, Bogosavljević, J. (2019) </w:t>
      </w:r>
      <w:r w:rsidRPr="0085657D">
        <w:rPr>
          <w:rFonts w:ascii="Arial" w:hAnsi="Arial" w:cs="Arial"/>
        </w:rPr>
        <w:t>Procjena Infrastrukture pravosudnih organa u Crnoj Gori, EUROL 2, Podgorica</w:t>
      </w:r>
    </w:p>
    <w:p w14:paraId="48C7E027"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Uredba o načinu i postupku izrade, usklađivanja i praćenja sprovođenja strateških dokumenata ("Službeni list CG", br. 54/2018 od 31.7.2018. godine)</w:t>
      </w:r>
    </w:p>
    <w:p w14:paraId="36EF01F0" w14:textId="77777777" w:rsidR="00721288" w:rsidRPr="0085657D" w:rsidRDefault="00721288"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UN Committee against Torture, Concluding observations on the third periodic report of Montenegro, 2.  jun 2022.</w:t>
      </w:r>
    </w:p>
    <w:p w14:paraId="0A2A142E" w14:textId="77777777" w:rsidR="00721288" w:rsidRPr="0085657D" w:rsidRDefault="00721288"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UN Human Rights Council; Report of the Working Group on the Universal Periodic Review, Montenegro, Fifty-fourth session 11 September–6 October.</w:t>
      </w:r>
    </w:p>
    <w:p w14:paraId="0B54E0D6" w14:textId="77777777" w:rsidR="00B362B7" w:rsidRPr="0085657D" w:rsidRDefault="00C929CF"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UN Committee on Enforced Disappearances, Concluding observations on the report submitted by Montenegro under article 29 (1) of the Convention, CED/C/MNE/CO/1; A/HRC/30/38/Add.2: Report of the Working Group on Enforced or Involuntary Disappearances - Addendum - Mission to Montenegro.</w:t>
      </w:r>
    </w:p>
    <w:p w14:paraId="52422717" w14:textId="77777777" w:rsidR="00B362B7" w:rsidRPr="0085657D" w:rsidRDefault="00B362B7"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Victim Support Europe</w:t>
      </w:r>
      <w:r w:rsidR="006701A9" w:rsidRPr="0085657D">
        <w:rPr>
          <w:rFonts w:ascii="Arial" w:hAnsi="Arial" w:cs="Arial"/>
          <w:sz w:val="22"/>
          <w:szCs w:val="22"/>
          <w:lang w:val="sr-Latn-ME"/>
        </w:rPr>
        <w:t>/MDTF</w:t>
      </w:r>
      <w:r w:rsidRPr="0085657D">
        <w:rPr>
          <w:rFonts w:ascii="Arial" w:hAnsi="Arial" w:cs="Arial"/>
          <w:sz w:val="22"/>
          <w:szCs w:val="22"/>
          <w:lang w:val="sr-Latn-ME"/>
        </w:rPr>
        <w:t xml:space="preserve"> (2017) </w:t>
      </w:r>
      <w:r w:rsidRPr="0085657D">
        <w:rPr>
          <w:rFonts w:ascii="Arial" w:hAnsi="Arial" w:cs="Arial"/>
          <w:color w:val="000000"/>
          <w:sz w:val="22"/>
          <w:szCs w:val="22"/>
          <w:lang w:val="sr-Latn-ME"/>
        </w:rPr>
        <w:t>Operating networks for Victim support</w:t>
      </w:r>
      <w:r w:rsidRPr="0085657D">
        <w:rPr>
          <w:rFonts w:ascii="Arial" w:hAnsi="Arial" w:cs="Arial"/>
          <w:color w:val="000000"/>
          <w:sz w:val="22"/>
          <w:szCs w:val="22"/>
          <w:lang w:val="sr-Latn-ME"/>
        </w:rPr>
        <w:br/>
        <w:t>services</w:t>
      </w:r>
      <w:r w:rsidR="006701A9" w:rsidRPr="0085657D">
        <w:rPr>
          <w:rFonts w:ascii="Arial" w:hAnsi="Arial" w:cs="Arial"/>
          <w:color w:val="000000"/>
          <w:sz w:val="22"/>
          <w:szCs w:val="22"/>
          <w:lang w:val="sr-Latn-ME"/>
        </w:rPr>
        <w:t>.</w:t>
      </w:r>
    </w:p>
    <w:p w14:paraId="4EE283C8" w14:textId="62C81787" w:rsidR="00707636" w:rsidRPr="0085657D" w:rsidRDefault="00707636" w:rsidP="00707636">
      <w:pPr>
        <w:pStyle w:val="ListParagraph"/>
        <w:numPr>
          <w:ilvl w:val="0"/>
          <w:numId w:val="6"/>
        </w:numPr>
        <w:rPr>
          <w:rFonts w:ascii="Arial" w:eastAsia="Times New Roman" w:hAnsi="Arial" w:cs="Arial"/>
        </w:rPr>
      </w:pPr>
      <w:r w:rsidRPr="0085657D">
        <w:rPr>
          <w:rFonts w:ascii="Arial" w:eastAsia="Times New Roman" w:hAnsi="Arial" w:cs="Arial"/>
        </w:rPr>
        <w:t>Živković Petraković, T. (2023) Analiza usklađenosti zakonodavstva u oblasti zaštite prava žrtava i rada službi za podršku žrtvama, Institut za pravne studije</w:t>
      </w:r>
      <w:r w:rsidR="009C626C">
        <w:rPr>
          <w:rFonts w:ascii="Arial" w:eastAsia="Times New Roman" w:hAnsi="Arial" w:cs="Arial"/>
        </w:rPr>
        <w:t>.</w:t>
      </w:r>
    </w:p>
    <w:p w14:paraId="62E6751B" w14:textId="77777777" w:rsidR="0053016B" w:rsidRPr="0085657D" w:rsidRDefault="0053016B"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lastRenderedPageBreak/>
        <w:t xml:space="preserve">Vukčević, I. (2024) Primjena člana 42a Krivičnog zakonika u slučajevima zločina iz mržnje prema </w:t>
      </w:r>
      <w:r w:rsidR="00ED1828" w:rsidRPr="0085657D">
        <w:rPr>
          <w:rFonts w:ascii="Arial" w:hAnsi="Arial" w:cs="Arial"/>
          <w:sz w:val="22"/>
          <w:szCs w:val="22"/>
          <w:lang w:val="sr-Latn-ME"/>
        </w:rPr>
        <w:t>pripadnicima/cama LGBT zajednice</w:t>
      </w:r>
      <w:r w:rsidR="00195E67" w:rsidRPr="0085657D">
        <w:rPr>
          <w:rFonts w:ascii="Arial" w:hAnsi="Arial" w:cs="Arial"/>
          <w:sz w:val="22"/>
          <w:szCs w:val="22"/>
          <w:lang w:val="sr-Latn-ME"/>
        </w:rPr>
        <w:t xml:space="preserve">, Centar za monitoring i istraživanje CEMI, </w:t>
      </w:r>
      <w:r w:rsidR="004D6EFC" w:rsidRPr="0085657D">
        <w:rPr>
          <w:rFonts w:ascii="Arial" w:hAnsi="Arial" w:cs="Arial"/>
          <w:sz w:val="22"/>
          <w:szCs w:val="22"/>
          <w:lang w:val="sr-Latn-ME"/>
        </w:rPr>
        <w:t>Podgorica.</w:t>
      </w:r>
    </w:p>
    <w:p w14:paraId="3E278AC3" w14:textId="77777777" w:rsidR="00721288" w:rsidRPr="0085657D" w:rsidRDefault="00721288"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Zajednička Pozicija Evropske unije- Pregovaračko poglavlje 23, Pravosuđe i temeljna prava, dostupno na: </w:t>
      </w:r>
      <w:hyperlink r:id="rId30" w:anchor="1583-1624-zajednicke-pozicije" w:history="1">
        <w:r w:rsidRPr="0085657D">
          <w:rPr>
            <w:rStyle w:val="Hyperlink"/>
            <w:rFonts w:ascii="Arial" w:hAnsi="Arial" w:cs="Arial"/>
          </w:rPr>
          <w:t>https://www.eu.me/dokumenti-pregovori-o-pristupanju/#1583-1624-zajednicke-pozicije</w:t>
        </w:r>
      </w:hyperlink>
      <w:r w:rsidRPr="0085657D">
        <w:rPr>
          <w:rFonts w:ascii="Arial" w:hAnsi="Arial" w:cs="Arial"/>
        </w:rPr>
        <w:t>, pristupljeno 12.5. 2023.</w:t>
      </w:r>
    </w:p>
    <w:p w14:paraId="0E0341A5" w14:textId="77777777" w:rsidR="001B2700" w:rsidRPr="0085657D" w:rsidRDefault="001B270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Zvizdojević, J. (2022) Smjernice za pripremu strateških dokumenata, Generalni sekretarijat Vlade Crne Gore, Podgorica.</w:t>
      </w:r>
    </w:p>
    <w:p w14:paraId="2DFA1283" w14:textId="77777777" w:rsidR="001B2700" w:rsidRPr="0085657D" w:rsidRDefault="001B2700" w:rsidP="00721288">
      <w:pPr>
        <w:pStyle w:val="ListParagraph"/>
        <w:spacing w:after="200" w:line="276" w:lineRule="auto"/>
        <w:rPr>
          <w:rFonts w:ascii="Arial" w:hAnsi="Arial" w:cs="Arial"/>
        </w:rPr>
      </w:pPr>
    </w:p>
    <w:p w14:paraId="6DA4EE93" w14:textId="77777777" w:rsidR="00721288" w:rsidRPr="0085657D" w:rsidRDefault="00721288" w:rsidP="00721288">
      <w:pPr>
        <w:pStyle w:val="ListParagraph"/>
        <w:spacing w:after="200" w:line="276" w:lineRule="auto"/>
        <w:rPr>
          <w:rFonts w:ascii="Arial" w:hAnsi="Arial" w:cs="Arial"/>
        </w:rPr>
      </w:pPr>
    </w:p>
    <w:p w14:paraId="6B616613" w14:textId="77777777" w:rsidR="005414F1" w:rsidRPr="0085657D" w:rsidRDefault="005414F1" w:rsidP="005414F1">
      <w:pPr>
        <w:spacing w:after="0" w:line="276" w:lineRule="auto"/>
        <w:ind w:left="360"/>
        <w:rPr>
          <w:rFonts w:ascii="Arial" w:hAnsi="Arial" w:cs="Arial"/>
        </w:rPr>
      </w:pPr>
    </w:p>
    <w:bookmarkEnd w:id="0"/>
    <w:p w14:paraId="1295DDAB" w14:textId="77777777" w:rsidR="005414F1" w:rsidRPr="0085657D" w:rsidRDefault="005414F1">
      <w:pPr>
        <w:rPr>
          <w:rFonts w:ascii="Arial" w:hAnsi="Arial" w:cs="Arial"/>
        </w:rPr>
      </w:pPr>
    </w:p>
    <w:sectPr w:rsidR="005414F1" w:rsidRPr="0085657D" w:rsidSect="009F4574">
      <w:footerReference w:type="default" r:id="rId31"/>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FDC74" w16cex:dateUtc="2025-09-01T06:48:00Z"/>
  <w16cex:commentExtensible w16cex:durableId="41F1ABA3" w16cex:dateUtc="2025-08-08T07:20:00Z"/>
  <w16cex:commentExtensible w16cex:durableId="2C5FDD0E" w16cex:dateUtc="2025-09-01T06:51:00Z"/>
  <w16cex:commentExtensible w16cex:durableId="0ED3E5A9" w16cex:dateUtc="2025-08-26T14:32:00Z"/>
  <w16cex:commentExtensible w16cex:durableId="2C6014DB" w16cex:dateUtc="2025-09-01T10:49:00Z"/>
  <w16cex:commentExtensible w16cex:durableId="2C1F1837" w16cex:dateUtc="2025-08-08T07:23:00Z"/>
  <w16cex:commentExtensible w16cex:durableId="2C6016DB" w16cex:dateUtc="2025-09-01T10:58:00Z"/>
  <w16cex:commentExtensible w16cex:durableId="3FACDF9F" w16cex:dateUtc="2025-08-08T07:26:00Z"/>
  <w16cex:commentExtensible w16cex:durableId="17936BA4" w16cex:dateUtc="2025-08-08T07:27:00Z"/>
  <w16cex:commentExtensible w16cex:durableId="2C5FDFA9" w16cex:dateUtc="2025-09-01T07:02:00Z"/>
  <w16cex:commentExtensible w16cex:durableId="2C601786" w16cex:dateUtc="2025-08-08T07:39:00Z"/>
  <w16cex:commentExtensible w16cex:durableId="2C6017F9" w16cex:dateUtc="2025-09-01T11:02:00Z"/>
  <w16cex:commentExtensible w16cex:durableId="44D8DDAE" w16cex:dateUtc="2025-08-08T07:35:00Z"/>
  <w16cex:commentExtensible w16cex:durableId="27286901" w16cex:dateUtc="2025-09-02T10:56:00Z"/>
  <w16cex:commentExtensible w16cex:durableId="25959A54" w16cex:dateUtc="2025-08-08T07:39:00Z"/>
  <w16cex:commentExtensible w16cex:durableId="275C4EC7" w16cex:dateUtc="2025-09-02T10:57:00Z"/>
  <w16cex:commentExtensible w16cex:durableId="311B3F66" w16cex:dateUtc="2025-08-08T07:37:00Z"/>
  <w16cex:commentExtensible w16cex:durableId="76FD7A26" w16cex:dateUtc="2025-08-08T07:41:00Z"/>
  <w16cex:commentExtensible w16cex:durableId="6A0F862B" w16cex:dateUtc="2025-09-02T10:59:00Z"/>
  <w16cex:commentExtensible w16cex:durableId="6F717E90" w16cex:dateUtc="2025-08-08T07:47:00Z"/>
  <w16cex:commentExtensible w16cex:durableId="5FBE09AB" w16cex:dateUtc="2025-09-02T11:02:00Z"/>
  <w16cex:commentExtensible w16cex:durableId="36F7254D" w16cex:dateUtc="2025-09-02T11:22:00Z"/>
  <w16cex:commentExtensible w16cex:durableId="4627FC86" w16cex:dateUtc="2025-08-08T07:59:00Z"/>
  <w16cex:commentExtensible w16cex:durableId="65B8262A" w16cex:dateUtc="2025-08-26T14:05:00Z"/>
  <w16cex:commentExtensible w16cex:durableId="4EED8282" w16cex:dateUtc="2025-09-02T12:04:00Z"/>
  <w16cex:commentExtensible w16cex:durableId="57D99A1E" w16cex:dateUtc="2025-08-08T08:05:00Z"/>
  <w16cex:commentExtensible w16cex:durableId="07628CDB" w16cex:dateUtc="2025-09-02T12:17:00Z"/>
  <w16cex:commentExtensible w16cex:durableId="0FA46755" w16cex:dateUtc="2025-08-26T14:06:00Z"/>
  <w16cex:commentExtensible w16cex:durableId="0F288FA3" w16cex:dateUtc="2025-08-26T14:07:00Z"/>
  <w16cex:commentExtensible w16cex:durableId="3DAFC06F" w16cex:dateUtc="2025-09-02T12:32:00Z"/>
  <w16cex:commentExtensible w16cex:durableId="0F7AA9D8" w16cex:dateUtc="2025-09-02T12:38:00Z"/>
  <w16cex:commentExtensible w16cex:durableId="142A75F1" w16cex:dateUtc="2025-08-08T08:09:00Z"/>
  <w16cex:commentExtensible w16cex:durableId="1F45A299" w16cex:dateUtc="2025-09-02T12:43:00Z"/>
  <w16cex:commentExtensible w16cex:durableId="0A7C7B4E" w16cex:dateUtc="2025-08-08T07:55:00Z"/>
  <w16cex:commentExtensible w16cex:durableId="20C18AC6" w16cex:dateUtc="2025-09-02T12:47:00Z"/>
  <w16cex:commentExtensible w16cex:durableId="0EDE3AB0" w16cex:dateUtc="2025-08-08T08:11:00Z"/>
  <w16cex:commentExtensible w16cex:durableId="76595A2D" w16cex:dateUtc="2025-09-02T12:47:00Z"/>
  <w16cex:commentExtensible w16cex:durableId="16FC35D4" w16cex:dateUtc="2025-08-08T08:13:00Z"/>
  <w16cex:commentExtensible w16cex:durableId="3AD17360" w16cex:dateUtc="2025-09-02T12:48:00Z"/>
  <w16cex:commentExtensible w16cex:durableId="62C3E307" w16cex:dateUtc="2025-09-02T12:57:00Z"/>
  <w16cex:commentExtensible w16cex:durableId="01E92236" w16cex:dateUtc="2025-09-02T13:05:00Z"/>
  <w16cex:commentExtensible w16cex:durableId="2CEA5E6B" w16cex:dateUtc="2025-08-08T08:14:00Z"/>
  <w16cex:commentExtensible w16cex:durableId="03003942" w16cex:dateUtc="2025-09-02T13:18:00Z"/>
  <w16cex:commentExtensible w16cex:durableId="7CD0AEFB" w16cex:dateUtc="2025-09-02T11:22:00Z"/>
  <w16cex:commentExtensible w16cex:durableId="6D6583C3" w16cex:dateUtc="2025-08-08T08:18:00Z"/>
  <w16cex:commentExtensible w16cex:durableId="4D6A1927" w16cex:dateUtc="2025-09-02T13:45:00Z"/>
  <w16cex:commentExtensible w16cex:durableId="16E48BEC" w16cex:dateUtc="2025-08-08T08:45:00Z"/>
  <w16cex:commentExtensible w16cex:durableId="57B379C2" w16cex:dateUtc="2025-09-02T13:46:00Z"/>
  <w16cex:commentExtensible w16cex:durableId="103A13C8" w16cex:dateUtc="2025-08-26T14:09:00Z"/>
  <w16cex:commentExtensible w16cex:durableId="72D92737" w16cex:dateUtc="2025-09-02T13:46:00Z"/>
  <w16cex:commentExtensible w16cex:durableId="2AB6B8F5" w16cex:dateUtc="2025-08-26T14:09:00Z"/>
  <w16cex:commentExtensible w16cex:durableId="2AE70A13" w16cex:dateUtc="2025-08-26T14:10:00Z"/>
  <w16cex:commentExtensible w16cex:durableId="4E0D809B" w16cex:dateUtc="2025-09-02T13:48:00Z"/>
  <w16cex:commentExtensible w16cex:durableId="56E102ED" w16cex:dateUtc="2025-08-08T08:47:00Z"/>
  <w16cex:commentExtensible w16cex:durableId="1CC1B341" w16cex:dateUtc="2025-09-02T13:53:00Z"/>
  <w16cex:commentExtensible w16cex:durableId="094004EA" w16cex:dateUtc="2025-08-08T08:56:00Z"/>
  <w16cex:commentExtensible w16cex:durableId="143B567E" w16cex:dateUtc="2025-09-02T13:55:00Z"/>
  <w16cex:commentExtensible w16cex:durableId="5471C2BD" w16cex:dateUtc="2025-07-22T14:43:00Z"/>
  <w16cex:commentExtensible w16cex:durableId="01FA0F67" w16cex:dateUtc="2025-08-08T08:57:00Z"/>
  <w16cex:commentExtensible w16cex:durableId="7503C56F" w16cex:dateUtc="2025-09-02T13:57:00Z"/>
  <w16cex:commentExtensible w16cex:durableId="0753D102" w16cex:dateUtc="2025-08-08T08:59:00Z"/>
  <w16cex:commentExtensible w16cex:durableId="71205EBF" w16cex:dateUtc="2025-08-08T09:01:00Z"/>
  <w16cex:commentExtensible w16cex:durableId="423B47EE" w16cex:dateUtc="2025-09-02T13:59:00Z"/>
  <w16cex:commentExtensible w16cex:durableId="47526BCA" w16cex:dateUtc="2025-09-02T14:11:00Z"/>
  <w16cex:commentExtensible w16cex:durableId="2A8DFBEC" w16cex:dateUtc="2025-08-08T09:02:00Z"/>
  <w16cex:commentExtensible w16cex:durableId="4D72DC7C" w16cex:dateUtc="2025-09-02T14:13:00Z"/>
  <w16cex:commentExtensible w16cex:durableId="1FBF6769" w16cex:dateUtc="2025-08-08T09:04:00Z"/>
  <w16cex:commentExtensible w16cex:durableId="303387A0" w16cex:dateUtc="2025-08-08T09:07:00Z"/>
  <w16cex:commentExtensible w16cex:durableId="4889FF95" w16cex:dateUtc="2025-09-02T14:15:00Z"/>
  <w16cex:commentExtensible w16cex:durableId="008A0543" w16cex:dateUtc="2025-08-08T09:07:00Z"/>
  <w16cex:commentExtensible w16cex:durableId="00EDF2D3" w16cex:dateUtc="2025-09-02T14:16:00Z"/>
  <w16cex:commentExtensible w16cex:durableId="11A1E0BB" w16cex:dateUtc="2025-09-02T14:17:00Z"/>
  <w16cex:commentExtensible w16cex:durableId="66005EDA" w16cex:dateUtc="2025-09-02T16:31:00Z"/>
  <w16cex:commentExtensible w16cex:durableId="2F6C913B" w16cex:dateUtc="2025-09-02T14:19:00Z"/>
  <w16cex:commentExtensible w16cex:durableId="3F9B9F90" w16cex:dateUtc="2025-09-02T14:20:00Z"/>
  <w16cex:commentExtensible w16cex:durableId="2B897B63" w16cex:dateUtc="2025-09-02T14:21:00Z"/>
  <w16cex:commentExtensible w16cex:durableId="58170310" w16cex:dateUtc="2025-08-26T14:13:00Z"/>
  <w16cex:commentExtensible w16cex:durableId="77F086C8" w16cex:dateUtc="2025-09-02T15:03:00Z"/>
  <w16cex:commentExtensible w16cex:durableId="100C44E7" w16cex:dateUtc="2025-09-02T14:25:00Z"/>
  <w16cex:commentExtensible w16cex:durableId="6C4F441F" w16cex:dateUtc="2025-08-08T09:10:00Z"/>
  <w16cex:commentExtensible w16cex:durableId="0B542EE7" w16cex:dateUtc="2025-09-02T14:27:00Z"/>
  <w16cex:commentExtensible w16cex:durableId="67C18394" w16cex:dateUtc="2025-09-02T14:29:00Z"/>
  <w16cex:commentExtensible w16cex:durableId="76BBAF2A" w16cex:dateUtc="2025-08-08T09:10:00Z"/>
  <w16cex:commentExtensible w16cex:durableId="00DB53FF" w16cex:dateUtc="2025-09-02T14:28:00Z"/>
  <w16cex:commentExtensible w16cex:durableId="3F3A8A9B" w16cex:dateUtc="2025-09-02T14:29:00Z"/>
  <w16cex:commentExtensible w16cex:durableId="3084F659" w16cex:dateUtc="2025-09-02T14:31:00Z"/>
  <w16cex:commentExtensible w16cex:durableId="2A985C1A" w16cex:dateUtc="2025-08-26T14:14:00Z"/>
  <w16cex:commentExtensible w16cex:durableId="56EF04F2" w16cex:dateUtc="2025-09-02T14:32:00Z"/>
  <w16cex:commentExtensible w16cex:durableId="549A5879" w16cex:dateUtc="2025-08-26T14:15:00Z"/>
  <w16cex:commentExtensible w16cex:durableId="79152F0B" w16cex:dateUtc="2025-09-02T14:35:00Z"/>
  <w16cex:commentExtensible w16cex:durableId="06201E09" w16cex:dateUtc="2025-09-02T14:36:00Z"/>
  <w16cex:commentExtensible w16cex:durableId="072A23F2" w16cex:dateUtc="2025-09-02T14:37:00Z"/>
  <w16cex:commentExtensible w16cex:durableId="2697A7B1" w16cex:dateUtc="2025-09-02T17:03:00Z"/>
  <w16cex:commentExtensible w16cex:durableId="6BCB0E76" w16cex:dateUtc="2025-09-02T14:40:00Z"/>
  <w16cex:commentExtensible w16cex:durableId="611EA4CE" w16cex:dateUtc="2025-08-26T14:16:00Z"/>
  <w16cex:commentExtensible w16cex:durableId="5FE52C8D" w16cex:dateUtc="2025-08-26T14:16:00Z"/>
  <w16cex:commentExtensible w16cex:durableId="260B6CC1" w16cex:dateUtc="2025-09-02T14:41:00Z"/>
  <w16cex:commentExtensible w16cex:durableId="5FF32333" w16cex:dateUtc="2025-09-02T14:29:00Z"/>
  <w16cex:commentExtensible w16cex:durableId="27B5E12D" w16cex:dateUtc="2025-08-08T09:10:00Z"/>
  <w16cex:commentExtensible w16cex:durableId="56B64D86" w16cex:dateUtc="2025-09-02T14:28:00Z"/>
  <w16cex:commentExtensible w16cex:durableId="16E0EA39" w16cex:dateUtc="2025-08-08T0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C7979" w14:textId="77777777" w:rsidR="00273C53" w:rsidRDefault="00273C53" w:rsidP="005414F1">
      <w:pPr>
        <w:spacing w:after="0"/>
      </w:pPr>
      <w:r>
        <w:separator/>
      </w:r>
    </w:p>
  </w:endnote>
  <w:endnote w:type="continuationSeparator" w:id="0">
    <w:p w14:paraId="0FF4AA8C" w14:textId="77777777" w:rsidR="00273C53" w:rsidRDefault="00273C53" w:rsidP="005414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 Pro">
    <w:altName w:val="Cambria"/>
    <w:charset w:val="EE"/>
    <w:family w:val="auto"/>
    <w:pitch w:val="default"/>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4118"/>
      <w:docPartObj>
        <w:docPartGallery w:val="Page Numbers (Bottom of Page)"/>
        <w:docPartUnique/>
      </w:docPartObj>
    </w:sdtPr>
    <w:sdtEndPr/>
    <w:sdtContent>
      <w:p w14:paraId="1A361905" w14:textId="6CB4214C" w:rsidR="001D6F9B" w:rsidRPr="009A613C" w:rsidRDefault="001D6F9B">
        <w:pPr>
          <w:pStyle w:val="Footer"/>
          <w:jc w:val="right"/>
        </w:pPr>
        <w:r w:rsidRPr="009A613C">
          <w:fldChar w:fldCharType="begin"/>
        </w:r>
        <w:r w:rsidRPr="009A613C">
          <w:instrText xml:space="preserve"> PAGE   \* MERGEFORMAT </w:instrText>
        </w:r>
        <w:r w:rsidRPr="009A613C">
          <w:fldChar w:fldCharType="separate"/>
        </w:r>
        <w:r w:rsidR="005A5440">
          <w:rPr>
            <w:noProof/>
          </w:rPr>
          <w:t>28</w:t>
        </w:r>
        <w:r w:rsidRPr="009A613C">
          <w:fldChar w:fldCharType="end"/>
        </w:r>
      </w:p>
    </w:sdtContent>
  </w:sdt>
  <w:p w14:paraId="286A9914" w14:textId="77777777" w:rsidR="001D6F9B" w:rsidRPr="009A613C" w:rsidRDefault="001D6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E66D" w14:textId="77777777" w:rsidR="00273C53" w:rsidRDefault="00273C53" w:rsidP="005414F1">
      <w:pPr>
        <w:spacing w:after="0"/>
      </w:pPr>
      <w:r>
        <w:separator/>
      </w:r>
    </w:p>
  </w:footnote>
  <w:footnote w:type="continuationSeparator" w:id="0">
    <w:p w14:paraId="0C0B459F" w14:textId="77777777" w:rsidR="00273C53" w:rsidRDefault="00273C53" w:rsidP="005414F1">
      <w:pPr>
        <w:spacing w:after="0"/>
      </w:pPr>
      <w:r>
        <w:continuationSeparator/>
      </w:r>
    </w:p>
  </w:footnote>
  <w:footnote w:id="1">
    <w:p w14:paraId="1753AA7D"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Vidjeti relevantne verzije akcionih planova za Poglavlje 23 :  Akcioni plan za Poglavlje 23- Pravosuđe i temeljna prava (2013), dostupno na : </w:t>
      </w:r>
      <w:hyperlink r:id="rId1" w:history="1">
        <w:r w:rsidRPr="00F12F58">
          <w:rPr>
            <w:rStyle w:val="Hyperlink"/>
            <w:rFonts w:asciiTheme="minorHAnsi" w:hAnsiTheme="minorHAnsi"/>
            <w:sz w:val="18"/>
            <w:szCs w:val="18"/>
            <w:lang w:val="uz-Cyrl-UZ"/>
          </w:rPr>
          <w:t>https://www.gov.me/dokumenta/fab71e67-b278-42cf-89c5-ac69741d82b1</w:t>
        </w:r>
      </w:hyperlink>
      <w:r w:rsidRPr="00F12F58">
        <w:rPr>
          <w:rFonts w:asciiTheme="minorHAnsi" w:hAnsiTheme="minorHAnsi"/>
          <w:sz w:val="18"/>
          <w:szCs w:val="18"/>
          <w:lang w:val="uz-Cyrl-UZ"/>
        </w:rPr>
        <w:t xml:space="preserve">, Akcioni plan za Poglavlje 23- Pravosuđe i temeljna prava (2015), dostupno na : </w:t>
      </w:r>
      <w:hyperlink r:id="rId2" w:history="1">
        <w:r w:rsidRPr="00F12F58">
          <w:rPr>
            <w:rStyle w:val="Hyperlink"/>
            <w:rFonts w:asciiTheme="minorHAnsi" w:hAnsiTheme="minorHAnsi"/>
            <w:sz w:val="18"/>
            <w:szCs w:val="18"/>
            <w:lang w:val="uz-Cyrl-UZ"/>
          </w:rPr>
          <w:t>https://www.eu.me/wpfd_file/akcioni-plan-za-poglavlje-23-pravosudje-i-temeljna-prava/</w:t>
        </w:r>
      </w:hyperlink>
      <w:r w:rsidRPr="00F12F58">
        <w:rPr>
          <w:rFonts w:asciiTheme="minorHAnsi" w:hAnsiTheme="minorHAnsi"/>
          <w:sz w:val="18"/>
          <w:szCs w:val="18"/>
          <w:lang w:val="uz-Cyrl-UZ"/>
        </w:rPr>
        <w:t xml:space="preserve">, Dinamički plan aktivnosti koje vode do ispunjenja privremenih mjerila u poglavlju 23 – Pravosuđe i temeljna prava, dostupno na: </w:t>
      </w:r>
      <w:hyperlink r:id="rId3" w:history="1">
        <w:r w:rsidRPr="00F12F58">
          <w:rPr>
            <w:rStyle w:val="Hyperlink"/>
            <w:rFonts w:asciiTheme="minorHAnsi" w:hAnsiTheme="minorHAnsi"/>
            <w:sz w:val="18"/>
            <w:szCs w:val="18"/>
            <w:lang w:val="uz-Cyrl-UZ"/>
          </w:rPr>
          <w:t>https://www.gov.me/biblioteka?page=1&amp;sort=published_at&amp;q=23&amp;dt=7</w:t>
        </w:r>
      </w:hyperlink>
      <w:r w:rsidRPr="00F12F58">
        <w:rPr>
          <w:rFonts w:asciiTheme="minorHAnsi" w:hAnsiTheme="minorHAnsi"/>
          <w:sz w:val="18"/>
          <w:szCs w:val="18"/>
          <w:lang w:val="uz-Cyrl-UZ"/>
        </w:rPr>
        <w:t>, pristupljeno 9.5.2023. godine.</w:t>
      </w:r>
    </w:p>
  </w:footnote>
  <w:footnote w:id="2">
    <w:p w14:paraId="7FC03394" w14:textId="77777777" w:rsidR="001D6F9B" w:rsidRPr="00F12F58" w:rsidRDefault="001D6F9B"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Ustav Crne Gore, "Sl. list CG", br. 1/2007 i 38/2013 - Amandmani I-XVI.</w:t>
      </w:r>
    </w:p>
  </w:footnote>
  <w:footnote w:id="3">
    <w:p w14:paraId="0B87C17C" w14:textId="77777777" w:rsidR="001D6F9B" w:rsidRPr="00F12F58" w:rsidRDefault="001D6F9B" w:rsidP="006B2E30">
      <w:pPr>
        <w:pStyle w:val="FootnoteText"/>
        <w:rPr>
          <w:rFonts w:asciiTheme="minorHAnsi" w:hAnsiTheme="minorHAnsi" w:cstheme="minorHAnsi"/>
          <w:sz w:val="18"/>
          <w:szCs w:val="18"/>
          <w:lang w:val="uz-Cyrl-UZ"/>
        </w:rPr>
      </w:pPr>
      <w:r w:rsidRPr="00F12F58">
        <w:rPr>
          <w:rStyle w:val="FootnoteReference"/>
          <w:rFonts w:asciiTheme="minorHAnsi" w:hAnsiTheme="minorHAnsi" w:cstheme="minorHAnsi"/>
          <w:sz w:val="18"/>
          <w:szCs w:val="18"/>
        </w:rPr>
        <w:footnoteRef/>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Odluka</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o</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progla</w:t>
      </w:r>
      <w:r w:rsidRPr="00F12F58">
        <w:rPr>
          <w:rFonts w:asciiTheme="minorHAnsi" w:hAnsiTheme="minorHAnsi" w:cstheme="minorHAnsi"/>
          <w:sz w:val="18"/>
          <w:szCs w:val="18"/>
          <w:lang w:val="uz-Cyrl-UZ"/>
        </w:rPr>
        <w:t>š</w:t>
      </w:r>
      <w:r w:rsidRPr="00F12F58">
        <w:rPr>
          <w:rFonts w:asciiTheme="minorHAnsi" w:hAnsiTheme="minorHAnsi" w:cstheme="minorHAnsi"/>
          <w:sz w:val="18"/>
          <w:szCs w:val="18"/>
          <w:lang w:val="it-IT"/>
        </w:rPr>
        <w:t>enju</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nezavisnosti</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Republike</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Crne</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Gore</w:t>
      </w:r>
      <w:r w:rsidRPr="00F12F58">
        <w:rPr>
          <w:rFonts w:asciiTheme="minorHAnsi" w:hAnsiTheme="minorHAnsi" w:cstheme="minorHAnsi"/>
          <w:sz w:val="18"/>
          <w:szCs w:val="18"/>
          <w:lang w:val="uz-Cyrl-UZ"/>
        </w:rPr>
        <w:t xml:space="preserve">, 3. </w:t>
      </w:r>
      <w:r w:rsidRPr="00F12F58">
        <w:rPr>
          <w:rFonts w:asciiTheme="minorHAnsi" w:hAnsiTheme="minorHAnsi" w:cstheme="minorHAnsi"/>
          <w:sz w:val="18"/>
          <w:szCs w:val="18"/>
          <w:lang w:val="it-IT"/>
        </w:rPr>
        <w:t>jun</w:t>
      </w:r>
      <w:r w:rsidRPr="00F12F58">
        <w:rPr>
          <w:rFonts w:asciiTheme="minorHAnsi" w:hAnsiTheme="minorHAnsi" w:cstheme="minorHAnsi"/>
          <w:sz w:val="18"/>
          <w:szCs w:val="18"/>
          <w:lang w:val="uz-Cyrl-UZ"/>
        </w:rPr>
        <w:t xml:space="preserve"> 2006, „</w:t>
      </w:r>
      <w:r w:rsidRPr="00F12F58">
        <w:rPr>
          <w:rFonts w:asciiTheme="minorHAnsi" w:hAnsiTheme="minorHAnsi" w:cstheme="minorHAnsi"/>
          <w:iCs/>
          <w:sz w:val="18"/>
          <w:szCs w:val="18"/>
          <w:lang w:val="it-IT"/>
        </w:rPr>
        <w:t>Slu</w:t>
      </w:r>
      <w:r w:rsidRPr="00F12F58">
        <w:rPr>
          <w:rFonts w:asciiTheme="minorHAnsi" w:hAnsiTheme="minorHAnsi" w:cstheme="minorHAnsi"/>
          <w:iCs/>
          <w:sz w:val="18"/>
          <w:szCs w:val="18"/>
          <w:lang w:val="uz-Cyrl-UZ"/>
        </w:rPr>
        <w:t>ž</w:t>
      </w:r>
      <w:r w:rsidRPr="00F12F58">
        <w:rPr>
          <w:rFonts w:asciiTheme="minorHAnsi" w:hAnsiTheme="minorHAnsi" w:cstheme="minorHAnsi"/>
          <w:iCs/>
          <w:sz w:val="18"/>
          <w:szCs w:val="18"/>
          <w:lang w:val="it-IT"/>
        </w:rPr>
        <w:t>beni</w:t>
      </w:r>
      <w:r w:rsidRPr="00F12F58">
        <w:rPr>
          <w:rFonts w:asciiTheme="minorHAnsi" w:hAnsiTheme="minorHAnsi" w:cstheme="minorHAnsi"/>
          <w:iCs/>
          <w:sz w:val="18"/>
          <w:szCs w:val="18"/>
          <w:lang w:val="uz-Cyrl-UZ"/>
        </w:rPr>
        <w:t xml:space="preserve"> </w:t>
      </w:r>
      <w:r w:rsidRPr="00F12F58">
        <w:rPr>
          <w:rFonts w:asciiTheme="minorHAnsi" w:hAnsiTheme="minorHAnsi" w:cstheme="minorHAnsi"/>
          <w:iCs/>
          <w:sz w:val="18"/>
          <w:szCs w:val="18"/>
          <w:lang w:val="it-IT"/>
        </w:rPr>
        <w:t>list</w:t>
      </w:r>
      <w:r w:rsidRPr="00F12F58">
        <w:rPr>
          <w:rFonts w:asciiTheme="minorHAnsi" w:hAnsiTheme="minorHAnsi" w:cstheme="minorHAnsi"/>
          <w:iCs/>
          <w:sz w:val="18"/>
          <w:szCs w:val="18"/>
          <w:lang w:val="uz-Cyrl-UZ"/>
        </w:rPr>
        <w:t xml:space="preserve"> </w:t>
      </w:r>
      <w:r w:rsidRPr="00F12F58">
        <w:rPr>
          <w:rFonts w:asciiTheme="minorHAnsi" w:hAnsiTheme="minorHAnsi" w:cstheme="minorHAnsi"/>
          <w:iCs/>
          <w:sz w:val="18"/>
          <w:szCs w:val="18"/>
          <w:lang w:val="it-IT"/>
        </w:rPr>
        <w:t>RCG”</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broj</w:t>
      </w:r>
      <w:r w:rsidRPr="00F12F58">
        <w:rPr>
          <w:rFonts w:asciiTheme="minorHAnsi" w:hAnsiTheme="minorHAnsi" w:cstheme="minorHAnsi"/>
          <w:sz w:val="18"/>
          <w:szCs w:val="18"/>
          <w:lang w:val="uz-Cyrl-UZ"/>
        </w:rPr>
        <w:t xml:space="preserve"> 36/2006.</w:t>
      </w:r>
    </w:p>
  </w:footnote>
  <w:footnote w:id="4">
    <w:p w14:paraId="72166A51" w14:textId="77777777" w:rsidR="001D6F9B" w:rsidRPr="00F12F58" w:rsidRDefault="001D6F9B" w:rsidP="006B2E30">
      <w:pPr>
        <w:pStyle w:val="FootnoteText"/>
        <w:rPr>
          <w:rFonts w:asciiTheme="minorHAnsi" w:hAnsiTheme="minorHAnsi" w:cstheme="minorHAnsi"/>
          <w:sz w:val="18"/>
          <w:szCs w:val="18"/>
        </w:rPr>
      </w:pPr>
      <w:r w:rsidRPr="00F12F58">
        <w:rPr>
          <w:rStyle w:val="FootnoteReference"/>
          <w:rFonts w:asciiTheme="minorHAnsi" w:hAnsiTheme="minorHAnsi" w:cstheme="minorHAnsi"/>
          <w:sz w:val="18"/>
          <w:szCs w:val="18"/>
        </w:rPr>
        <w:footnoteRef/>
      </w:r>
      <w:r w:rsidRPr="00F12F58">
        <w:rPr>
          <w:rFonts w:asciiTheme="minorHAnsi" w:hAnsiTheme="minorHAnsi" w:cstheme="minorHAnsi"/>
          <w:sz w:val="18"/>
          <w:szCs w:val="18"/>
          <w:lang w:val="uz-Cyrl-UZ"/>
        </w:rPr>
        <w:t xml:space="preserve"> Krivični zakonik Crne Gore, „Službeni list Republike Crne Gore”, br. 070/03 od 25. </w:t>
      </w:r>
      <w:r w:rsidRPr="00F12F58">
        <w:rPr>
          <w:rFonts w:asciiTheme="minorHAnsi" w:hAnsiTheme="minorHAnsi" w:cstheme="minorHAnsi"/>
          <w:sz w:val="18"/>
          <w:szCs w:val="18"/>
        </w:rPr>
        <w:t xml:space="preserve">12. 2003, 013/04 od 26. 2. 2004, 047/06 od 25. 7. 2006, </w:t>
      </w:r>
      <w:r w:rsidRPr="00F12F58">
        <w:rPr>
          <w:rFonts w:asciiTheme="minorHAnsi" w:hAnsiTheme="minorHAnsi" w:cstheme="minorHAnsi"/>
          <w:i/>
          <w:sz w:val="18"/>
          <w:szCs w:val="18"/>
        </w:rPr>
        <w:t>Službeni list Crne Gore</w:t>
      </w:r>
      <w:r w:rsidRPr="00F12F58">
        <w:rPr>
          <w:rFonts w:asciiTheme="minorHAnsi" w:hAnsiTheme="minorHAnsi" w:cstheme="minorHAnsi"/>
          <w:sz w:val="18"/>
          <w:szCs w:val="18"/>
        </w:rPr>
        <w:t>, br. 040/08 od 27. 6. 2008, 025/10 od 5. 5. 2010, 073/10 od 10. 12. 2010, 032/11 od 1. 7. 2011, 064/11 od 29. 12. 2011, 040/13 od 13. 8. 2013, 056/13 od 6. 12. 2013, 014/15 od 26. 3. 2015, 042/15 od 29. 7. 2015, 058/15 od 9. 10. 2015, 044/17 od 6. 7. 2017, 049/18 od 17. 7. 2018, 003/20 od 23. 1. 2020.</w:t>
      </w:r>
    </w:p>
  </w:footnote>
  <w:footnote w:id="5">
    <w:p w14:paraId="60F98F13" w14:textId="77777777" w:rsidR="001D6F9B" w:rsidRPr="00F12F58" w:rsidRDefault="001D6F9B"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Zakonik o krivičnom postupku "Službeni list CG", br. 57/2009, 49/2010, 47/2014 - odluka US, 2/2015 - odluka US, 35/2015, 58/2015 - dr. zakon, 28/2018 - odluka US i 116/2020 - odluka US.</w:t>
      </w:r>
    </w:p>
  </w:footnote>
  <w:footnote w:id="6">
    <w:p w14:paraId="60F2AA3C" w14:textId="77777777" w:rsidR="001D6F9B" w:rsidRPr="00F12F58" w:rsidRDefault="001D6F9B"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sz w:val="18"/>
          <w:szCs w:val="18"/>
          <w:lang w:val="uz-Cyrl-UZ"/>
        </w:rPr>
        <w:t>Zakon o postupanju prema maloljetnicima u krivičnom postupku, “Službeni list CG”, br. 064/11 od 29.12.2011, 001/18 od 04.01.2018.</w:t>
      </w:r>
    </w:p>
  </w:footnote>
  <w:footnote w:id="7">
    <w:p w14:paraId="5879B3EF" w14:textId="77777777" w:rsidR="001D6F9B" w:rsidRPr="00F12F58" w:rsidRDefault="001D6F9B"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Zakon o zaštiti od nasilja u porodici, "Službeni list Crne Gore", br. 046/10 od 06.08.2010, 040/11 od 08.08.2011.</w:t>
      </w:r>
    </w:p>
  </w:footnote>
  <w:footnote w:id="8">
    <w:p w14:paraId="4FF8C67E" w14:textId="77777777" w:rsidR="001D6F9B" w:rsidRPr="00F12F58" w:rsidRDefault="001D6F9B"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sz w:val="18"/>
          <w:szCs w:val="18"/>
          <w:lang w:val="uz-Cyrl-UZ"/>
        </w:rPr>
        <w:t xml:space="preserve">Zakon o besplatnoj pravnoj pomoći, („Službeni list CG“, br. 20/11, 20/15 i </w:t>
      </w:r>
      <w:r w:rsidRPr="00F12F58">
        <w:rPr>
          <w:rFonts w:asciiTheme="minorHAnsi" w:hAnsiTheme="minorHAnsi"/>
          <w:sz w:val="18"/>
          <w:szCs w:val="18"/>
          <w:lang w:val="sr-Latn-ME"/>
        </w:rPr>
        <w:t>123</w:t>
      </w:r>
      <w:r w:rsidRPr="00F12F58">
        <w:rPr>
          <w:rFonts w:asciiTheme="minorHAnsi" w:hAnsiTheme="minorHAnsi"/>
          <w:sz w:val="18"/>
          <w:szCs w:val="18"/>
          <w:lang w:val="uz-Cyrl-UZ"/>
        </w:rPr>
        <w:t>/24.</w:t>
      </w:r>
    </w:p>
  </w:footnote>
  <w:footnote w:id="9">
    <w:p w14:paraId="15E3B47B" w14:textId="440FBDB6" w:rsidR="001D6F9B" w:rsidRPr="0011155C" w:rsidRDefault="001D6F9B">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sz w:val="18"/>
          <w:szCs w:val="18"/>
          <w:lang w:val="uz-Cyrl-UZ"/>
        </w:rPr>
        <w:t>Zakon o oduzimanju imovinske koristi stečene kriminalnom djelatnošću, "Službeni list CG", br.​​ 58/2015,​​ 47/2019​​ i​​ 54/2024</w:t>
      </w:r>
      <w:r w:rsidRPr="00F12F58">
        <w:rPr>
          <w:rFonts w:asciiTheme="minorHAnsi" w:hAnsiTheme="minorHAnsi"/>
          <w:sz w:val="18"/>
          <w:szCs w:val="18"/>
          <w:lang w:val="sr-Latn-ME"/>
        </w:rPr>
        <w:t>)</w:t>
      </w:r>
      <w:r>
        <w:rPr>
          <w:rFonts w:asciiTheme="minorHAnsi" w:hAnsiTheme="minorHAnsi"/>
          <w:sz w:val="18"/>
          <w:szCs w:val="18"/>
          <w:lang w:val="sr-Latn-ME"/>
        </w:rPr>
        <w:t>.</w:t>
      </w:r>
    </w:p>
  </w:footnote>
  <w:footnote w:id="10">
    <w:p w14:paraId="5B8F8AF4"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parničnom postupku, "Sl. list RCG", br. 22/2004, 28/2005 - odluka US i 76/2006 i "Sl. list CG", br. 47/2015 - dr. zakon, 48/2015, 51/2017, 75/2017 - odluka US, 62/2018 - odluka US, 34/2019, 42/2019 - ispr. i 76/2020.</w:t>
      </w:r>
    </w:p>
  </w:footnote>
  <w:footnote w:id="11">
    <w:p w14:paraId="2CD29C4A" w14:textId="77777777" w:rsidR="001D6F9B" w:rsidRPr="00F12F58" w:rsidRDefault="001D6F9B">
      <w:pPr>
        <w:pStyle w:val="FootnoteText"/>
        <w:rPr>
          <w:rFonts w:asciiTheme="minorHAnsi" w:hAnsiTheme="minorHAns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obligacionim odnosima</w:t>
      </w:r>
      <w:r w:rsidRPr="00F12F58">
        <w:rPr>
          <w:rFonts w:asciiTheme="minorHAnsi" w:hAnsiTheme="minorHAnsi"/>
          <w:sz w:val="18"/>
          <w:szCs w:val="18"/>
          <w:lang w:val="it-IT"/>
        </w:rPr>
        <w:t xml:space="preserve">, </w:t>
      </w:r>
      <w:r w:rsidRPr="00F12F58">
        <w:rPr>
          <w:rFonts w:asciiTheme="minorHAnsi" w:hAnsiTheme="minorHAnsi"/>
          <w:sz w:val="18"/>
          <w:szCs w:val="18"/>
          <w:lang w:val="uz-Cyrl-UZ"/>
        </w:rPr>
        <w:t xml:space="preserve">"Sl. list RCG", </w:t>
      </w:r>
      <w:r w:rsidRPr="00F12F58">
        <w:rPr>
          <w:rFonts w:asciiTheme="minorHAnsi" w:hAnsiTheme="minorHAnsi"/>
          <w:sz w:val="18"/>
          <w:szCs w:val="18"/>
          <w:lang w:val="it-IT"/>
        </w:rPr>
        <w:t xml:space="preserve"> br. 47/2008, 4/2011 - dr. zakon i 22/2017.</w:t>
      </w:r>
    </w:p>
  </w:footnote>
  <w:footnote w:id="12">
    <w:p w14:paraId="26C2A112"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prekršajima "Sl. list CG", br. 1/2011, 6/2011 - ispr., 39/2011, 32/2014, 43/2017 - odluka US i 51/2017.</w:t>
      </w:r>
    </w:p>
  </w:footnote>
  <w:footnote w:id="13">
    <w:p w14:paraId="13A9EF62"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državnom tužilaštvu "Službeni list CG", br.</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11/2015,</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42/2015,</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80/2017,</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10/2018</w:t>
      </w:r>
      <w:r w:rsidRPr="00F12F58">
        <w:rPr>
          <w:rFonts w:asciiTheme="minorHAnsi" w:hAnsiTheme="minorHAnsi" w:cs="Arial"/>
          <w:sz w:val="18"/>
          <w:szCs w:val="18"/>
          <w:lang w:val="uz-Cyrl-UZ"/>
        </w:rPr>
        <w:t>​​</w:t>
      </w:r>
      <w:r w:rsidRPr="00F12F58">
        <w:rPr>
          <w:rFonts w:asciiTheme="minorHAnsi" w:hAnsiTheme="minorHAnsi"/>
          <w:sz w:val="18"/>
          <w:szCs w:val="18"/>
          <w:lang w:val="uz-Cyrl-UZ"/>
        </w:rPr>
        <w:t>, 76/2020 i 54/2024 .</w:t>
      </w:r>
    </w:p>
  </w:footnote>
  <w:footnote w:id="14">
    <w:p w14:paraId="79512CC8"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specijalnom državnom tužilaštvu "Službeni list CG", br.</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10/2015,</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53/2016</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i</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54/2024.</w:t>
      </w:r>
    </w:p>
  </w:footnote>
  <w:footnote w:id="15">
    <w:p w14:paraId="3A2FFEF9"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sudovima "Službeni list CG", br.</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11/2015,</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76/2020</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i</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54/2024.</w:t>
      </w:r>
    </w:p>
  </w:footnote>
  <w:footnote w:id="16">
    <w:p w14:paraId="5E557C48"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eastAsia="Cambria" w:hAnsiTheme="minorHAnsi" w:cstheme="minorHAnsi"/>
          <w:sz w:val="18"/>
          <w:szCs w:val="18"/>
          <w:lang w:val="uz-Cyrl-UZ"/>
        </w:rPr>
        <w:t>Zakon o socijalnoj i dječjoj zaštiti, "Službeni list CG", br. 27/2013, 1/2015, 42/2015, 47/2015, 56/2016, 66/2016, 1/2017, 31/2017 - odluka US, 42/2017 i 50/2017.</w:t>
      </w:r>
    </w:p>
  </w:footnote>
  <w:footnote w:id="17">
    <w:p w14:paraId="108DD098" w14:textId="2AEDCBBB" w:rsidR="001D6F9B" w:rsidRPr="009406F6" w:rsidRDefault="001D6F9B">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boračkoj i invalidskoj zaštiti, "Službeni list Republike CG", br. 069/03 od 25.12.2003, Službeni list Crne Gore", br.021/08 od 27.03.2008, 073/10 od 10.12.2010, 040/11 od 08.08.2011, 001/15 od 05.01.2015, 052/16 od 09.08.2016)</w:t>
      </w:r>
      <w:r>
        <w:rPr>
          <w:rFonts w:asciiTheme="minorHAnsi" w:hAnsiTheme="minorHAnsi"/>
          <w:sz w:val="18"/>
          <w:szCs w:val="18"/>
          <w:lang w:val="sr-Latn-ME"/>
        </w:rPr>
        <w:t>.</w:t>
      </w:r>
    </w:p>
  </w:footnote>
  <w:footnote w:id="18">
    <w:p w14:paraId="2B88030E" w14:textId="77777777" w:rsidR="001D6F9B" w:rsidRPr="005C07B4" w:rsidRDefault="001D6F9B" w:rsidP="00773BDB">
      <w:pPr>
        <w:pStyle w:val="FootnoteText"/>
        <w:rPr>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eastAsia="Cambria" w:hAnsiTheme="minorHAnsi" w:cstheme="minorHAnsi"/>
          <w:sz w:val="18"/>
          <w:szCs w:val="18"/>
          <w:lang w:val="uz-Cyrl-UZ"/>
        </w:rPr>
        <w:t xml:space="preserve">Zakon o audiovizuelnim medijskim uslugama, </w:t>
      </w:r>
      <w:r w:rsidRPr="00F12F58">
        <w:rPr>
          <w:rFonts w:asciiTheme="minorHAnsi" w:hAnsiTheme="minorHAnsi"/>
          <w:sz w:val="18"/>
          <w:szCs w:val="18"/>
          <w:lang w:val="uz-Cyrl-UZ"/>
        </w:rPr>
        <w:t>"Službeni list CG", br 054/2024 od 11.06.2024.</w:t>
      </w:r>
      <w:r w:rsidRPr="005C07B4">
        <w:rPr>
          <w:rFonts w:asciiTheme="minorHAnsi" w:hAnsiTheme="minorHAnsi"/>
          <w:sz w:val="18"/>
          <w:szCs w:val="18"/>
          <w:lang w:val="uz-Cyrl-UZ"/>
        </w:rPr>
        <w:t xml:space="preserve"> </w:t>
      </w:r>
    </w:p>
  </w:footnote>
  <w:footnote w:id="19">
    <w:p w14:paraId="1BE9ED88" w14:textId="7FAD8BE3" w:rsidR="001D6F9B" w:rsidRPr="00F12F58" w:rsidRDefault="001D6F9B" w:rsidP="006B2E30">
      <w:pPr>
        <w:pStyle w:val="FootnoteText"/>
        <w:rPr>
          <w:rFonts w:asciiTheme="minorHAnsi" w:hAnsiTheme="minorHAns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sr-Latn-ME"/>
        </w:rPr>
        <w:t xml:space="preserve"> </w:t>
      </w:r>
      <w:r w:rsidRPr="00F12F58">
        <w:rPr>
          <w:rFonts w:asciiTheme="minorHAnsi" w:hAnsiTheme="minorHAnsi" w:cstheme="minorHAnsi"/>
          <w:sz w:val="18"/>
          <w:szCs w:val="18"/>
          <w:lang w:val="it-IT"/>
        </w:rPr>
        <w:t xml:space="preserve">Programu rada Vlade Crne Gore 2024-2027. i Pogramu rada Vlade za 2024. Godinu, </w:t>
      </w:r>
      <w:hyperlink r:id="rId4" w:history="1">
        <w:r w:rsidRPr="00F12F58">
          <w:rPr>
            <w:rStyle w:val="Hyperlink"/>
            <w:rFonts w:asciiTheme="minorHAnsi" w:hAnsiTheme="minorHAnsi" w:cstheme="minorHAnsi"/>
            <w:sz w:val="18"/>
            <w:szCs w:val="18"/>
            <w:lang w:val="it-IT"/>
          </w:rPr>
          <w:t>https://www.gov.me/biblioteka?page=1&amp;sort=published_at&amp;q=program%20rada%20vlade</w:t>
        </w:r>
      </w:hyperlink>
      <w:r w:rsidRPr="00F12F58">
        <w:rPr>
          <w:rFonts w:asciiTheme="minorHAnsi" w:hAnsiTheme="minorHAnsi" w:cstheme="minorHAnsi"/>
          <w:b/>
          <w:bCs/>
          <w:sz w:val="18"/>
          <w:szCs w:val="18"/>
          <w:lang w:val="it-IT"/>
        </w:rPr>
        <w:t xml:space="preserve"> </w:t>
      </w:r>
      <w:r w:rsidRPr="00F12F58">
        <w:rPr>
          <w:rFonts w:asciiTheme="minorHAnsi" w:hAnsiTheme="minorHAnsi" w:cstheme="minorHAnsi"/>
          <w:sz w:val="18"/>
          <w:szCs w:val="18"/>
          <w:lang w:val="it-IT"/>
        </w:rPr>
        <w:t>, 10.06.2024. godine</w:t>
      </w:r>
      <w:r>
        <w:rPr>
          <w:rFonts w:asciiTheme="minorHAnsi" w:hAnsiTheme="minorHAnsi" w:cstheme="minorHAnsi"/>
          <w:sz w:val="18"/>
          <w:szCs w:val="18"/>
          <w:lang w:val="it-IT"/>
        </w:rPr>
        <w:t>.</w:t>
      </w:r>
    </w:p>
  </w:footnote>
  <w:footnote w:id="20">
    <w:p w14:paraId="784A2BC8" w14:textId="5EB4D21C"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Nacionalna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strategija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odr</w:t>
      </w:r>
      <w:r w:rsidRPr="00F12F58">
        <w:rPr>
          <w:rFonts w:asciiTheme="minorHAnsi" w:hAnsiTheme="minorHAnsi"/>
          <w:sz w:val="18"/>
          <w:szCs w:val="18"/>
          <w:lang w:val="uz-Cyrl-UZ"/>
        </w:rPr>
        <w:t>ž</w:t>
      </w:r>
      <w:r w:rsidRPr="00F12F58">
        <w:rPr>
          <w:rFonts w:asciiTheme="minorHAnsi" w:hAnsiTheme="minorHAnsi"/>
          <w:sz w:val="18"/>
          <w:szCs w:val="18"/>
          <w:lang w:val="it-IT"/>
        </w:rPr>
        <w:t>ivog</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razvoja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do</w:t>
      </w:r>
      <w:r w:rsidRPr="00F12F58">
        <w:rPr>
          <w:rFonts w:asciiTheme="minorHAnsi" w:hAnsiTheme="minorHAnsi"/>
          <w:sz w:val="18"/>
          <w:szCs w:val="18"/>
          <w:lang w:val="uz-Cyrl-UZ"/>
        </w:rPr>
        <w:t xml:space="preserve"> 2030. </w:t>
      </w:r>
      <w:r w:rsidRPr="00F12F58">
        <w:rPr>
          <w:rFonts w:asciiTheme="minorHAnsi" w:hAnsiTheme="minorHAnsi"/>
          <w:sz w:val="18"/>
          <w:szCs w:val="18"/>
          <w:lang w:val="it-IT"/>
        </w:rPr>
        <w:t>godine</w:t>
      </w:r>
      <w:r w:rsidRPr="00F12F58">
        <w:rPr>
          <w:rFonts w:asciiTheme="minorHAnsi" w:hAnsiTheme="minorHAnsi"/>
          <w:sz w:val="18"/>
          <w:szCs w:val="18"/>
          <w:lang w:val="uz-Cyrl-UZ"/>
        </w:rPr>
        <w:t xml:space="preserve">, </w:t>
      </w:r>
      <w:hyperlink r:id="rId5" w:history="1">
        <w:r w:rsidRPr="00F12F58">
          <w:rPr>
            <w:rStyle w:val="Hyperlink"/>
            <w:rFonts w:asciiTheme="minorHAnsi" w:hAnsiTheme="minorHAnsi"/>
            <w:sz w:val="18"/>
            <w:szCs w:val="18"/>
            <w:lang w:val="it-IT"/>
          </w:rPr>
          <w:t>https</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www</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gov</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me</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dokumenta</w:t>
        </w:r>
        <w:r w:rsidRPr="00F12F58">
          <w:rPr>
            <w:rStyle w:val="Hyperlink"/>
            <w:rFonts w:asciiTheme="minorHAnsi" w:hAnsiTheme="minorHAnsi"/>
            <w:sz w:val="18"/>
            <w:szCs w:val="18"/>
            <w:lang w:val="uz-Cyrl-UZ"/>
          </w:rPr>
          <w:t>/6852</w:t>
        </w:r>
        <w:r w:rsidRPr="00F12F58">
          <w:rPr>
            <w:rStyle w:val="Hyperlink"/>
            <w:rFonts w:asciiTheme="minorHAnsi" w:hAnsiTheme="minorHAnsi"/>
            <w:sz w:val="18"/>
            <w:szCs w:val="18"/>
            <w:lang w:val="it-IT"/>
          </w:rPr>
          <w:t>d</w:t>
        </w:r>
        <w:r w:rsidRPr="00F12F58">
          <w:rPr>
            <w:rStyle w:val="Hyperlink"/>
            <w:rFonts w:asciiTheme="minorHAnsi" w:hAnsiTheme="minorHAnsi"/>
            <w:sz w:val="18"/>
            <w:szCs w:val="18"/>
            <w:lang w:val="uz-Cyrl-UZ"/>
          </w:rPr>
          <w:t>215-</w:t>
        </w:r>
        <w:r w:rsidRPr="00F12F58">
          <w:rPr>
            <w:rStyle w:val="Hyperlink"/>
            <w:rFonts w:asciiTheme="minorHAnsi" w:hAnsiTheme="minorHAnsi"/>
            <w:sz w:val="18"/>
            <w:szCs w:val="18"/>
            <w:lang w:val="it-IT"/>
          </w:rPr>
          <w:t>af</w:t>
        </w:r>
        <w:r w:rsidRPr="00F12F58">
          <w:rPr>
            <w:rStyle w:val="Hyperlink"/>
            <w:rFonts w:asciiTheme="minorHAnsi" w:hAnsiTheme="minorHAnsi"/>
            <w:sz w:val="18"/>
            <w:szCs w:val="18"/>
            <w:lang w:val="uz-Cyrl-UZ"/>
          </w:rPr>
          <w:t>43-4671-</w:t>
        </w:r>
        <w:r w:rsidRPr="00F12F58">
          <w:rPr>
            <w:rStyle w:val="Hyperlink"/>
            <w:rFonts w:asciiTheme="minorHAnsi" w:hAnsiTheme="minorHAnsi"/>
            <w:sz w:val="18"/>
            <w:szCs w:val="18"/>
            <w:lang w:val="it-IT"/>
          </w:rPr>
          <w:t>b</w:t>
        </w:r>
        <w:r w:rsidRPr="00F12F58">
          <w:rPr>
            <w:rStyle w:val="Hyperlink"/>
            <w:rFonts w:asciiTheme="minorHAnsi" w:hAnsiTheme="minorHAnsi"/>
            <w:sz w:val="18"/>
            <w:szCs w:val="18"/>
            <w:lang w:val="uz-Cyrl-UZ"/>
          </w:rPr>
          <w:t>940-</w:t>
        </w:r>
        <w:r w:rsidRPr="00F12F58">
          <w:rPr>
            <w:rStyle w:val="Hyperlink"/>
            <w:rFonts w:asciiTheme="minorHAnsi" w:hAnsiTheme="minorHAnsi"/>
            <w:sz w:val="18"/>
            <w:szCs w:val="18"/>
            <w:lang w:val="it-IT"/>
          </w:rPr>
          <w:t>cbd</w:t>
        </w:r>
        <w:r w:rsidRPr="00F12F58">
          <w:rPr>
            <w:rStyle w:val="Hyperlink"/>
            <w:rFonts w:asciiTheme="minorHAnsi" w:hAnsiTheme="minorHAnsi"/>
            <w:sz w:val="18"/>
            <w:szCs w:val="18"/>
            <w:lang w:val="uz-Cyrl-UZ"/>
          </w:rPr>
          <w:t>0525896</w:t>
        </w:r>
        <w:r w:rsidRPr="00F12F58">
          <w:rPr>
            <w:rStyle w:val="Hyperlink"/>
            <w:rFonts w:asciiTheme="minorHAnsi" w:hAnsiTheme="minorHAnsi"/>
            <w:sz w:val="18"/>
            <w:szCs w:val="18"/>
            <w:lang w:val="it-IT"/>
          </w:rPr>
          <w:t>c</w:t>
        </w:r>
        <w:r w:rsidRPr="00F12F58">
          <w:rPr>
            <w:rStyle w:val="Hyperlink"/>
            <w:rFonts w:asciiTheme="minorHAnsi" w:hAnsiTheme="minorHAnsi"/>
            <w:sz w:val="18"/>
            <w:szCs w:val="18"/>
            <w:lang w:val="uz-Cyrl-UZ"/>
          </w:rPr>
          <w:t>1</w:t>
        </w:r>
      </w:hyperlink>
      <w:r w:rsidRPr="00F12F58">
        <w:rPr>
          <w:rFonts w:asciiTheme="minorHAnsi" w:hAnsiTheme="minorHAnsi"/>
          <w:sz w:val="18"/>
          <w:szCs w:val="18"/>
          <w:lang w:val="uz-Cyrl-UZ"/>
        </w:rPr>
        <w:t xml:space="preserve">  </w:t>
      </w:r>
      <w:r w:rsidRPr="00F12F58">
        <w:rPr>
          <w:rFonts w:asciiTheme="minorHAnsi" w:hAnsiTheme="minorHAnsi" w:cstheme="minorHAnsi"/>
          <w:sz w:val="18"/>
          <w:szCs w:val="18"/>
          <w:lang w:val="it-IT"/>
        </w:rPr>
        <w:t>, 10.06.2024. godine</w:t>
      </w:r>
      <w:r>
        <w:rPr>
          <w:rFonts w:asciiTheme="minorHAnsi" w:hAnsiTheme="minorHAnsi" w:cstheme="minorHAnsi"/>
          <w:sz w:val="18"/>
          <w:szCs w:val="18"/>
          <w:lang w:val="it-IT"/>
        </w:rPr>
        <w:t>.</w:t>
      </w:r>
    </w:p>
  </w:footnote>
  <w:footnote w:id="21">
    <w:p w14:paraId="507E8C65" w14:textId="59ED6B24" w:rsidR="001D6F9B" w:rsidRPr="006B2E30"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 xml:space="preserve">Strategija za borbu protiv trgovine ljudima 2019-2024, </w:t>
      </w:r>
      <w:hyperlink r:id="rId6" w:history="1">
        <w:r w:rsidRPr="00F12F58">
          <w:rPr>
            <w:rStyle w:val="Hyperlink"/>
            <w:rFonts w:asciiTheme="minorHAnsi" w:hAnsiTheme="minorHAnsi"/>
            <w:sz w:val="18"/>
            <w:szCs w:val="18"/>
            <w:lang w:val="it-IT"/>
          </w:rPr>
          <w:t>https://www.gov.me/dokumenta/ffaddb5a-c40e-4ab2-ad5d-3606cfca4a97</w:t>
        </w:r>
      </w:hyperlink>
      <w:r w:rsidRPr="00F12F58">
        <w:rPr>
          <w:rFonts w:asciiTheme="minorHAnsi" w:hAnsiTheme="minorHAnsi"/>
          <w:sz w:val="18"/>
          <w:szCs w:val="18"/>
          <w:lang w:val="it-IT"/>
        </w:rPr>
        <w:t xml:space="preserve"> </w:t>
      </w:r>
      <w:r w:rsidRPr="00F12F58">
        <w:rPr>
          <w:rFonts w:asciiTheme="minorHAnsi" w:hAnsiTheme="minorHAnsi" w:cstheme="minorHAnsi"/>
          <w:sz w:val="18"/>
          <w:szCs w:val="18"/>
          <w:lang w:val="it-IT"/>
        </w:rPr>
        <w:t>, 10.06.2024. godine</w:t>
      </w:r>
      <w:r>
        <w:rPr>
          <w:rFonts w:asciiTheme="minorHAnsi" w:hAnsiTheme="minorHAnsi" w:cstheme="minorHAnsi"/>
          <w:sz w:val="18"/>
          <w:szCs w:val="18"/>
          <w:lang w:val="it-IT"/>
        </w:rPr>
        <w:t>.</w:t>
      </w:r>
    </w:p>
  </w:footnote>
  <w:footnote w:id="22">
    <w:p w14:paraId="21DCD888"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Nacionalni plan za implementaciju Konvencije Savjeta Evrope o suzbijanju i sprečavanju nasilja nad ženama i nasilja u porodici (Istanbulska konvencija) za period 2023. – 2027. godine, </w:t>
      </w:r>
      <w:hyperlink r:id="rId7" w:history="1">
        <w:r w:rsidRPr="00F12F58">
          <w:rPr>
            <w:rStyle w:val="Hyperlink"/>
            <w:rFonts w:asciiTheme="minorHAnsi" w:hAnsiTheme="minorHAnsi"/>
            <w:sz w:val="18"/>
            <w:szCs w:val="18"/>
            <w:lang w:val="uz-Cyrl-UZ"/>
          </w:rPr>
          <w:t>https://www.gov.me/dokumenta/8515d608-15c8-4b25-9c26-fe0a5daf58ec</w:t>
        </w:r>
      </w:hyperlink>
      <w:r w:rsidRPr="00F12F58">
        <w:rPr>
          <w:rFonts w:asciiTheme="minorHAnsi" w:hAnsiTheme="minorHAnsi"/>
          <w:sz w:val="18"/>
          <w:szCs w:val="18"/>
          <w:lang w:val="uz-Cyrl-UZ"/>
        </w:rPr>
        <w:t>, 12.04.2024.</w:t>
      </w:r>
    </w:p>
  </w:footnote>
  <w:footnote w:id="23">
    <w:p w14:paraId="306BAB14"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Nacionalna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strategija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rodne</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ravnopravnosti</w:t>
      </w:r>
      <w:r w:rsidRPr="00F12F58">
        <w:rPr>
          <w:rFonts w:asciiTheme="minorHAnsi" w:hAnsiTheme="minorHAnsi"/>
          <w:sz w:val="18"/>
          <w:szCs w:val="18"/>
          <w:lang w:val="uz-Cyrl-UZ"/>
        </w:rPr>
        <w:t xml:space="preserve"> 2021-2025, </w:t>
      </w:r>
      <w:hyperlink r:id="rId8" w:history="1">
        <w:r w:rsidRPr="00F12F58">
          <w:rPr>
            <w:rStyle w:val="Hyperlink"/>
            <w:rFonts w:asciiTheme="minorHAnsi" w:hAnsiTheme="minorHAnsi"/>
            <w:sz w:val="18"/>
            <w:szCs w:val="18"/>
            <w:lang w:val="it-IT"/>
          </w:rPr>
          <w:t>https</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www</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gov</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me</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dokumenta</w:t>
        </w:r>
        <w:r w:rsidRPr="00F12F58">
          <w:rPr>
            <w:rStyle w:val="Hyperlink"/>
            <w:rFonts w:asciiTheme="minorHAnsi" w:hAnsiTheme="minorHAnsi"/>
            <w:sz w:val="18"/>
            <w:szCs w:val="18"/>
            <w:lang w:val="uz-Cyrl-UZ"/>
          </w:rPr>
          <w:t>/26</w:t>
        </w:r>
        <w:r w:rsidRPr="00F12F58">
          <w:rPr>
            <w:rStyle w:val="Hyperlink"/>
            <w:rFonts w:asciiTheme="minorHAnsi" w:hAnsiTheme="minorHAnsi"/>
            <w:sz w:val="18"/>
            <w:szCs w:val="18"/>
            <w:lang w:val="it-IT"/>
          </w:rPr>
          <w:t>b</w:t>
        </w:r>
        <w:r w:rsidRPr="00F12F58">
          <w:rPr>
            <w:rStyle w:val="Hyperlink"/>
            <w:rFonts w:asciiTheme="minorHAnsi" w:hAnsiTheme="minorHAnsi"/>
            <w:sz w:val="18"/>
            <w:szCs w:val="18"/>
            <w:lang w:val="uz-Cyrl-UZ"/>
          </w:rPr>
          <w:t>0</w:t>
        </w:r>
        <w:r w:rsidRPr="00F12F58">
          <w:rPr>
            <w:rStyle w:val="Hyperlink"/>
            <w:rFonts w:asciiTheme="minorHAnsi" w:hAnsiTheme="minorHAnsi"/>
            <w:sz w:val="18"/>
            <w:szCs w:val="18"/>
            <w:lang w:val="it-IT"/>
          </w:rPr>
          <w:t>c</w:t>
        </w:r>
        <w:r w:rsidRPr="00F12F58">
          <w:rPr>
            <w:rStyle w:val="Hyperlink"/>
            <w:rFonts w:asciiTheme="minorHAnsi" w:hAnsiTheme="minorHAnsi"/>
            <w:sz w:val="18"/>
            <w:szCs w:val="18"/>
            <w:lang w:val="uz-Cyrl-UZ"/>
          </w:rPr>
          <w:t>8</w:t>
        </w:r>
        <w:r w:rsidRPr="00F12F58">
          <w:rPr>
            <w:rStyle w:val="Hyperlink"/>
            <w:rFonts w:asciiTheme="minorHAnsi" w:hAnsiTheme="minorHAnsi"/>
            <w:sz w:val="18"/>
            <w:szCs w:val="18"/>
            <w:lang w:val="it-IT"/>
          </w:rPr>
          <w:t>cc</w:t>
        </w:r>
        <w:r w:rsidRPr="00F12F58">
          <w:rPr>
            <w:rStyle w:val="Hyperlink"/>
            <w:rFonts w:asciiTheme="minorHAnsi" w:hAnsiTheme="minorHAnsi"/>
            <w:sz w:val="18"/>
            <w:szCs w:val="18"/>
            <w:lang w:val="uz-Cyrl-UZ"/>
          </w:rPr>
          <w:t>-3890-426</w:t>
        </w:r>
        <w:r w:rsidRPr="00F12F58">
          <w:rPr>
            <w:rStyle w:val="Hyperlink"/>
            <w:rFonts w:asciiTheme="minorHAnsi" w:hAnsiTheme="minorHAnsi"/>
            <w:sz w:val="18"/>
            <w:szCs w:val="18"/>
            <w:lang w:val="it-IT"/>
          </w:rPr>
          <w:t>e</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a</w:t>
        </w:r>
        <w:r w:rsidRPr="00F12F58">
          <w:rPr>
            <w:rStyle w:val="Hyperlink"/>
            <w:rFonts w:asciiTheme="minorHAnsi" w:hAnsiTheme="minorHAnsi"/>
            <w:sz w:val="18"/>
            <w:szCs w:val="18"/>
            <w:lang w:val="uz-Cyrl-UZ"/>
          </w:rPr>
          <w:t>275-</w:t>
        </w:r>
        <w:r w:rsidRPr="00F12F58">
          <w:rPr>
            <w:rStyle w:val="Hyperlink"/>
            <w:rFonts w:asciiTheme="minorHAnsi" w:hAnsiTheme="minorHAnsi"/>
            <w:sz w:val="18"/>
            <w:szCs w:val="18"/>
            <w:lang w:val="it-IT"/>
          </w:rPr>
          <w:t>a</w:t>
        </w:r>
        <w:r w:rsidRPr="00F12F58">
          <w:rPr>
            <w:rStyle w:val="Hyperlink"/>
            <w:rFonts w:asciiTheme="minorHAnsi" w:hAnsiTheme="minorHAnsi"/>
            <w:sz w:val="18"/>
            <w:szCs w:val="18"/>
            <w:lang w:val="uz-Cyrl-UZ"/>
          </w:rPr>
          <w:t>29</w:t>
        </w:r>
        <w:r w:rsidRPr="00F12F58">
          <w:rPr>
            <w:rStyle w:val="Hyperlink"/>
            <w:rFonts w:asciiTheme="minorHAnsi" w:hAnsiTheme="minorHAnsi"/>
            <w:sz w:val="18"/>
            <w:szCs w:val="18"/>
            <w:lang w:val="it-IT"/>
          </w:rPr>
          <w:t>e</w:t>
        </w:r>
        <w:r w:rsidRPr="00F12F58">
          <w:rPr>
            <w:rStyle w:val="Hyperlink"/>
            <w:rFonts w:asciiTheme="minorHAnsi" w:hAnsiTheme="minorHAnsi"/>
            <w:sz w:val="18"/>
            <w:szCs w:val="18"/>
            <w:lang w:val="uz-Cyrl-UZ"/>
          </w:rPr>
          <w:t>1</w:t>
        </w:r>
        <w:r w:rsidRPr="00F12F58">
          <w:rPr>
            <w:rStyle w:val="Hyperlink"/>
            <w:rFonts w:asciiTheme="minorHAnsi" w:hAnsiTheme="minorHAnsi"/>
            <w:sz w:val="18"/>
            <w:szCs w:val="18"/>
            <w:lang w:val="it-IT"/>
          </w:rPr>
          <w:t>ff</w:t>
        </w:r>
        <w:r w:rsidRPr="00F12F58">
          <w:rPr>
            <w:rStyle w:val="Hyperlink"/>
            <w:rFonts w:asciiTheme="minorHAnsi" w:hAnsiTheme="minorHAnsi"/>
            <w:sz w:val="18"/>
            <w:szCs w:val="18"/>
            <w:lang w:val="uz-Cyrl-UZ"/>
          </w:rPr>
          <w:t>69648</w:t>
        </w:r>
      </w:hyperlink>
      <w:r w:rsidRPr="00F12F58">
        <w:rPr>
          <w:rFonts w:asciiTheme="minorHAnsi" w:hAnsiTheme="minorHAnsi"/>
          <w:sz w:val="18"/>
          <w:szCs w:val="18"/>
          <w:lang w:val="uz-Cyrl-UZ"/>
        </w:rPr>
        <w:t xml:space="preserve"> , 12.04.2024.</w:t>
      </w:r>
    </w:p>
  </w:footnote>
  <w:footnote w:id="24">
    <w:p w14:paraId="2D8EF7A8" w14:textId="77777777" w:rsidR="001D6F9B" w:rsidRPr="006B2E30"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Program pristupanja Crne Gore Evropskoj uniji 2023-2024, </w:t>
      </w:r>
      <w:hyperlink r:id="rId9" w:history="1">
        <w:r w:rsidRPr="00F12F58">
          <w:rPr>
            <w:rStyle w:val="Hyperlink"/>
            <w:rFonts w:asciiTheme="minorHAnsi" w:hAnsiTheme="minorHAnsi"/>
            <w:sz w:val="18"/>
            <w:szCs w:val="18"/>
            <w:lang w:val="uz-Cyrl-UZ"/>
          </w:rPr>
          <w:t>https://www.eu.me/wpfd_file/program-pristupanja-crne-gore-evropskoj-uniji-2023-2024</w:t>
        </w:r>
      </w:hyperlink>
      <w:r w:rsidRPr="00F12F58">
        <w:rPr>
          <w:rFonts w:asciiTheme="minorHAnsi" w:hAnsiTheme="minorHAnsi"/>
          <w:sz w:val="18"/>
          <w:szCs w:val="18"/>
          <w:lang w:val="uz-Cyrl-UZ"/>
        </w:rPr>
        <w:t>, 12.04.2024.</w:t>
      </w:r>
    </w:p>
  </w:footnote>
  <w:footnote w:id="25">
    <w:p w14:paraId="60BFB641" w14:textId="5FBFFA34" w:rsidR="001D6F9B" w:rsidRPr="009406F6" w:rsidRDefault="001D6F9B" w:rsidP="006B2E30">
      <w:pPr>
        <w:spacing w:after="0"/>
        <w:rPr>
          <w:rFonts w:cstheme="majorHAnsi"/>
          <w:sz w:val="18"/>
          <w:szCs w:val="18"/>
        </w:rPr>
      </w:pPr>
      <w:r w:rsidRPr="009406F6">
        <w:rPr>
          <w:rFonts w:cstheme="majorHAnsi"/>
          <w:sz w:val="18"/>
          <w:szCs w:val="18"/>
        </w:rPr>
        <w:footnoteRef/>
      </w:r>
      <w:r w:rsidRPr="009406F6">
        <w:rPr>
          <w:rFonts w:cstheme="majorHAnsi"/>
          <w:sz w:val="18"/>
          <w:szCs w:val="18"/>
        </w:rPr>
        <w:t xml:space="preserve"> European Union Common Position regarding Chapter 23: Judiciary and Fundamental Rights, Brussels 21 June 2024, available at: </w:t>
      </w:r>
      <w:hyperlink r:id="rId10" w:history="1">
        <w:r w:rsidRPr="009406F6">
          <w:rPr>
            <w:rStyle w:val="Hyperlink"/>
            <w:rFonts w:cstheme="majorHAnsi"/>
            <w:sz w:val="18"/>
            <w:szCs w:val="18"/>
          </w:rPr>
          <w:t>https://data.consilium.europa.eu/doc/document/AD-13-2024-INIT/en/pdf</w:t>
        </w:r>
      </w:hyperlink>
      <w:r w:rsidRPr="009406F6">
        <w:rPr>
          <w:rFonts w:cstheme="majorHAnsi"/>
          <w:sz w:val="18"/>
          <w:szCs w:val="18"/>
        </w:rPr>
        <w:t>.</w:t>
      </w:r>
    </w:p>
  </w:footnote>
  <w:footnote w:id="26">
    <w:p w14:paraId="35BFCDBB" w14:textId="62EE7D65" w:rsidR="001D6F9B" w:rsidRPr="00F12F58" w:rsidRDefault="001D6F9B" w:rsidP="006B2E30">
      <w:pPr>
        <w:pStyle w:val="Default"/>
        <w:jc w:val="both"/>
        <w:rPr>
          <w:rFonts w:asciiTheme="minorHAnsi" w:hAnsiTheme="minorHAnsi" w:cs="Times New Roman"/>
          <w:sz w:val="18"/>
          <w:szCs w:val="18"/>
          <w:lang w:val="uz-Cyrl-UZ"/>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11" w:history="1">
        <w:r w:rsidRPr="00F12F58">
          <w:rPr>
            <w:rStyle w:val="Hyperlink"/>
            <w:rFonts w:asciiTheme="minorHAnsi" w:hAnsiTheme="minorHAnsi"/>
            <w:sz w:val="18"/>
            <w:szCs w:val="18"/>
            <w:lang w:val="uz-Cyrl-UZ"/>
          </w:rPr>
          <w:t>https://op.europa.eu/en/publication-detail/-/publication/a9b0d6b3-4b02-11ed-92ed-01aa75ed71a1/language-fr</w:t>
        </w:r>
      </w:hyperlink>
      <w:r w:rsidRPr="00F12F58">
        <w:rPr>
          <w:rFonts w:asciiTheme="minorHAnsi" w:hAnsiTheme="minorHAnsi"/>
          <w:sz w:val="18"/>
          <w:szCs w:val="18"/>
          <w:lang w:val="uz-Cyrl-UZ"/>
        </w:rPr>
        <w:t xml:space="preserve">, pristupljeno 12.5.2023. godine; </w:t>
      </w:r>
      <w:r w:rsidRPr="00F12F58">
        <w:rPr>
          <w:rFonts w:asciiTheme="minorHAnsi" w:hAnsiTheme="minorHAnsi"/>
          <w:sz w:val="18"/>
          <w:szCs w:val="18"/>
        </w:rPr>
        <w:t xml:space="preserve">COMMISSION STAFF WORKING DOCUMENT Montenegro 2023 Report Accompanying the document Communication from the Commission to the European Parliament, the Council, the European Economic and Social Committee and the Committee of the Regions 2023 Communication on EU Enlargement policy, dostupno na: </w:t>
      </w:r>
      <w:hyperlink r:id="rId12" w:history="1">
        <w:r w:rsidRPr="00F12F58">
          <w:rPr>
            <w:rStyle w:val="Hyperlink"/>
            <w:rFonts w:asciiTheme="minorHAnsi" w:hAnsiTheme="minorHAnsi"/>
            <w:sz w:val="18"/>
            <w:szCs w:val="18"/>
          </w:rPr>
          <w:t>https://neighbourhood-enlargement.ec.europa.eu/system/files/2023-11/SWD_2023_694%20Montenegro%20report.pdf</w:t>
        </w:r>
      </w:hyperlink>
      <w:r w:rsidRPr="00F12F58">
        <w:rPr>
          <w:rFonts w:asciiTheme="minorHAnsi" w:hAnsiTheme="minorHAnsi"/>
          <w:sz w:val="18"/>
          <w:szCs w:val="18"/>
        </w:rPr>
        <w:t>, pristupljeno 2.12.2023. godine</w:t>
      </w:r>
      <w:r>
        <w:rPr>
          <w:rFonts w:asciiTheme="minorHAnsi" w:hAnsiTheme="minorHAnsi"/>
          <w:sz w:val="18"/>
          <w:szCs w:val="18"/>
        </w:rPr>
        <w:t>.</w:t>
      </w:r>
    </w:p>
  </w:footnote>
  <w:footnote w:id="27">
    <w:p w14:paraId="544C50EA" w14:textId="49E9EC9B" w:rsidR="001D6F9B" w:rsidRPr="009406F6" w:rsidRDefault="001D6F9B" w:rsidP="001052AD">
      <w:pPr>
        <w:pStyle w:val="FootnoteText"/>
        <w:rPr>
          <w:rFonts w:asciiTheme="minorHAnsi" w:hAnsiTheme="minorHAnsi"/>
          <w:sz w:val="18"/>
          <w:szCs w:val="18"/>
          <w:lang w:val="sr-Latn-ME"/>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GRETA 2021, Evaluation Report Montenegro, Third Evaluation Round, Access to justice and effective remedies for victims of trafficking in human beings,  </w:t>
      </w:r>
      <w:hyperlink r:id="rId13" w:history="1">
        <w:r w:rsidRPr="00F12F58">
          <w:rPr>
            <w:rStyle w:val="Hyperlink"/>
            <w:rFonts w:asciiTheme="minorHAnsi" w:hAnsiTheme="minorHAnsi"/>
            <w:sz w:val="18"/>
            <w:szCs w:val="18"/>
            <w:lang w:val="uz-Cyrl-UZ"/>
          </w:rPr>
          <w:t>https://rm.coe.int/evaluation-report-on-the-implementation-of-the-council-of-europe-conve/1680a2aefc</w:t>
        </w:r>
      </w:hyperlink>
      <w:r>
        <w:rPr>
          <w:rFonts w:asciiTheme="minorHAnsi" w:hAnsiTheme="minorHAnsi"/>
          <w:sz w:val="18"/>
          <w:szCs w:val="18"/>
          <w:lang w:val="sr-Latn-ME"/>
        </w:rPr>
        <w:t>.</w:t>
      </w:r>
    </w:p>
  </w:footnote>
  <w:footnote w:id="28">
    <w:p w14:paraId="0EC902F1" w14:textId="2E26C9EE" w:rsidR="001D6F9B" w:rsidRPr="006B2E30" w:rsidRDefault="001D6F9B" w:rsidP="001052AD">
      <w:pPr>
        <w:spacing w:after="0"/>
        <w:rPr>
          <w:rFonts w:cs="Calibri"/>
          <w:sz w:val="18"/>
          <w:szCs w:val="18"/>
        </w:rPr>
      </w:pPr>
      <w:r w:rsidRPr="00F12F58">
        <w:rPr>
          <w:rStyle w:val="FootnoteReference"/>
          <w:sz w:val="18"/>
          <w:szCs w:val="18"/>
        </w:rPr>
        <w:footnoteRef/>
      </w:r>
      <w:r w:rsidRPr="00F12F58">
        <w:rPr>
          <w:sz w:val="18"/>
          <w:szCs w:val="18"/>
        </w:rPr>
        <w:t xml:space="preserve"> </w:t>
      </w:r>
      <w:r w:rsidRPr="00F12F58">
        <w:rPr>
          <w:rFonts w:cs="Calibri"/>
          <w:sz w:val="18"/>
          <w:szCs w:val="18"/>
        </w:rPr>
        <w:t xml:space="preserve">GREVIO Baseline Evaluation Report </w:t>
      </w:r>
      <w:r w:rsidRPr="00F12F58">
        <w:rPr>
          <w:sz w:val="18"/>
          <w:szCs w:val="18"/>
        </w:rPr>
        <w:t xml:space="preserve">on legislative and other measures giving effect to the provisions of the Council of Europe Convention on Preventing and Combating Violence against Women and Domestic Violence (Istanbul Convention) </w:t>
      </w:r>
      <w:r w:rsidRPr="00F12F58">
        <w:rPr>
          <w:rFonts w:cs="Calibri"/>
          <w:sz w:val="18"/>
          <w:szCs w:val="18"/>
        </w:rPr>
        <w:t>Montenegro, 2018</w:t>
      </w:r>
      <w:r>
        <w:rPr>
          <w:rFonts w:cs="Calibri"/>
          <w:sz w:val="18"/>
          <w:szCs w:val="18"/>
        </w:rPr>
        <w:t>.</w:t>
      </w:r>
    </w:p>
  </w:footnote>
  <w:footnote w:id="29">
    <w:p w14:paraId="53DFE890" w14:textId="211D7E36" w:rsidR="001D6F9B" w:rsidRPr="00F12F58" w:rsidRDefault="001D6F9B" w:rsidP="006B2E30">
      <w:pPr>
        <w:pStyle w:val="FootnoteText"/>
        <w:tabs>
          <w:tab w:val="left" w:pos="227"/>
        </w:tabs>
        <w:spacing w:line="276" w:lineRule="auto"/>
        <w:ind w:right="-170"/>
        <w:rPr>
          <w:rFonts w:asciiTheme="minorHAnsi" w:hAnsiTheme="minorHAnsi" w:cs="Calibr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it-IT"/>
        </w:rPr>
        <w:t xml:space="preserve"> Za listu relevantnih standarda vidjeti Annex I</w:t>
      </w:r>
      <w:r>
        <w:rPr>
          <w:rFonts w:asciiTheme="minorHAnsi" w:hAnsiTheme="minorHAnsi"/>
          <w:sz w:val="18"/>
          <w:szCs w:val="18"/>
          <w:lang w:val="it-IT"/>
        </w:rPr>
        <w:t>.</w:t>
      </w:r>
      <w:r w:rsidRPr="00F12F58">
        <w:rPr>
          <w:rFonts w:asciiTheme="minorHAnsi" w:hAnsiTheme="minorHAnsi"/>
          <w:sz w:val="18"/>
          <w:szCs w:val="18"/>
          <w:lang w:val="it-IT"/>
        </w:rPr>
        <w:t xml:space="preserve"> </w:t>
      </w:r>
    </w:p>
  </w:footnote>
  <w:footnote w:id="30">
    <w:p w14:paraId="4FE9B1F4" w14:textId="77777777" w:rsidR="001D6F9B" w:rsidRPr="00F12F58" w:rsidRDefault="001D6F9B"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Horizontal Facility for Western Balkans and Turkey III, vidjeti više na: </w:t>
      </w:r>
      <w:hyperlink r:id="rId14" w:history="1">
        <w:r w:rsidRPr="00F12F58">
          <w:rPr>
            <w:rStyle w:val="Hyperlink"/>
            <w:rFonts w:asciiTheme="minorHAnsi" w:hAnsiTheme="minorHAnsi"/>
            <w:sz w:val="18"/>
            <w:szCs w:val="18"/>
            <w:lang w:val="uz-Cyrl-UZ"/>
          </w:rPr>
          <w:t>https://www.coe.int/en/web/podgorica/strengthening-accountability-of-the-judicial-system-and-enhancing-protection-of-victims-rights-in-montenegro</w:t>
        </w:r>
      </w:hyperlink>
      <w:r w:rsidRPr="00F12F58">
        <w:rPr>
          <w:rFonts w:asciiTheme="minorHAnsi" w:hAnsiTheme="minorHAnsi"/>
          <w:sz w:val="18"/>
          <w:szCs w:val="18"/>
          <w:lang w:val="uz-Cyrl-UZ"/>
        </w:rPr>
        <w:t>, 08.08.2024. godine</w:t>
      </w:r>
    </w:p>
  </w:footnote>
  <w:footnote w:id="31">
    <w:p w14:paraId="535CCF15" w14:textId="037FB3CA" w:rsidR="001D6F9B" w:rsidRPr="009406F6" w:rsidRDefault="001D6F9B"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Borba protiv govora mržnje, </w:t>
      </w:r>
      <w:hyperlink r:id="rId15" w:history="1">
        <w:r w:rsidRPr="00F12F58">
          <w:rPr>
            <w:rStyle w:val="Hyperlink"/>
            <w:rFonts w:asciiTheme="minorHAnsi" w:hAnsiTheme="minorHAnsi"/>
            <w:sz w:val="18"/>
            <w:szCs w:val="18"/>
            <w:lang w:val="uz-Cyrl-UZ"/>
          </w:rPr>
          <w:t>https://www.undp.org/cnr/montenegro/projects/borba-protiv-govora-mrznje</w:t>
        </w:r>
      </w:hyperlink>
      <w:r w:rsidRPr="00F12F58">
        <w:rPr>
          <w:rFonts w:asciiTheme="minorHAnsi" w:hAnsiTheme="minorHAnsi"/>
          <w:sz w:val="18"/>
          <w:szCs w:val="18"/>
          <w:lang w:val="uz-Cyrl-UZ"/>
        </w:rPr>
        <w:t>, 08.08.2024. godine</w:t>
      </w:r>
      <w:r>
        <w:rPr>
          <w:rFonts w:asciiTheme="minorHAnsi" w:hAnsiTheme="minorHAnsi"/>
          <w:sz w:val="18"/>
          <w:szCs w:val="18"/>
          <w:lang w:val="sr-Latn-ME"/>
        </w:rPr>
        <w:t>.</w:t>
      </w:r>
    </w:p>
  </w:footnote>
  <w:footnote w:id="32">
    <w:p w14:paraId="2A81329F" w14:textId="5520FB83" w:rsidR="001D6F9B" w:rsidRPr="009406F6" w:rsidRDefault="001D6F9B"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Podrška Evropske unije izgradnji povjerenja na Zapadnom Balkanu, više na: </w:t>
      </w:r>
      <w:hyperlink r:id="rId16" w:history="1">
        <w:r w:rsidRPr="00F12F58">
          <w:rPr>
            <w:rStyle w:val="Hyperlink"/>
            <w:rFonts w:asciiTheme="minorHAnsi" w:hAnsiTheme="minorHAnsi"/>
            <w:sz w:val="18"/>
            <w:szCs w:val="18"/>
            <w:lang w:val="uz-Cyrl-UZ"/>
          </w:rPr>
          <w:t>https://www.undp.org/cnr/montenegro/projects/podrska-evropske-unije-izgradnji-povjerenja-na-zapadnom-balkanu</w:t>
        </w:r>
      </w:hyperlink>
      <w:r w:rsidRPr="00F12F58">
        <w:rPr>
          <w:rFonts w:asciiTheme="minorHAnsi" w:hAnsiTheme="minorHAnsi"/>
          <w:sz w:val="18"/>
          <w:szCs w:val="18"/>
          <w:lang w:val="uz-Cyrl-UZ"/>
        </w:rPr>
        <w:t>, 08.08.2024. godine</w:t>
      </w:r>
      <w:r>
        <w:rPr>
          <w:rFonts w:asciiTheme="minorHAnsi" w:hAnsiTheme="minorHAnsi"/>
          <w:sz w:val="18"/>
          <w:szCs w:val="18"/>
          <w:lang w:val="sr-Latn-ME"/>
        </w:rPr>
        <w:t>.</w:t>
      </w:r>
    </w:p>
  </w:footnote>
  <w:footnote w:id="33">
    <w:p w14:paraId="397FB702" w14:textId="6D5DB418" w:rsidR="001D6F9B" w:rsidRPr="00F12F58" w:rsidRDefault="001D6F9B" w:rsidP="006566A8">
      <w:pPr>
        <w:pStyle w:val="FootnoteText"/>
        <w:rPr>
          <w:rFonts w:asciiTheme="minorHAnsi" w:hAnsiTheme="minorHAnsi"/>
          <w:sz w:val="18"/>
          <w:lang w:val="sr-Latn-ME"/>
        </w:rPr>
      </w:pPr>
      <w:r w:rsidRPr="00F12F58">
        <w:rPr>
          <w:rStyle w:val="FootnoteReference"/>
          <w:rFonts w:asciiTheme="minorHAnsi" w:hAnsiTheme="minorHAnsi"/>
          <w:sz w:val="18"/>
        </w:rPr>
        <w:footnoteRef/>
      </w:r>
      <w:r w:rsidRPr="00F12F58">
        <w:rPr>
          <w:rFonts w:asciiTheme="minorHAnsi" w:hAnsiTheme="minorHAnsi"/>
          <w:sz w:val="18"/>
          <w:lang w:val="uz-Cyrl-UZ"/>
        </w:rPr>
        <w:t xml:space="preserve"> </w:t>
      </w:r>
      <w:r w:rsidRPr="00F12F58">
        <w:rPr>
          <w:rFonts w:asciiTheme="minorHAnsi" w:hAnsiTheme="minorHAnsi"/>
          <w:sz w:val="18"/>
          <w:lang w:val="sr-Latn-ME"/>
        </w:rPr>
        <w:t>G</w:t>
      </w:r>
      <w:r w:rsidRPr="00F12F58">
        <w:rPr>
          <w:rFonts w:asciiTheme="minorHAnsi" w:hAnsiTheme="minorHAnsi"/>
          <w:sz w:val="18"/>
          <w:lang w:val="uz-Cyrl-UZ"/>
        </w:rPr>
        <w:t xml:space="preserve">odišnji izvještaj o radu sudskog savjeta i ukupnom stanju u sudstvu za 2024. </w:t>
      </w:r>
      <w:r w:rsidRPr="00F12F58">
        <w:rPr>
          <w:rFonts w:asciiTheme="minorHAnsi" w:hAnsiTheme="minorHAnsi"/>
          <w:sz w:val="18"/>
          <w:lang w:val="sr-Latn-ME"/>
        </w:rPr>
        <w:t>g</w:t>
      </w:r>
      <w:r w:rsidRPr="00F12F58">
        <w:rPr>
          <w:rFonts w:asciiTheme="minorHAnsi" w:hAnsiTheme="minorHAnsi"/>
          <w:sz w:val="18"/>
          <w:lang w:val="uz-Cyrl-UZ"/>
        </w:rPr>
        <w:t>odinu</w:t>
      </w:r>
      <w:r w:rsidRPr="00F12F58">
        <w:rPr>
          <w:rFonts w:asciiTheme="minorHAnsi" w:hAnsiTheme="minorHAnsi"/>
          <w:sz w:val="18"/>
          <w:lang w:val="sr-Latn-ME"/>
        </w:rPr>
        <w:t xml:space="preserve">, </w:t>
      </w:r>
      <w:hyperlink r:id="rId17" w:history="1">
        <w:r w:rsidRPr="00F12F58">
          <w:rPr>
            <w:rStyle w:val="Hyperlink"/>
            <w:rFonts w:asciiTheme="minorHAnsi" w:hAnsiTheme="minorHAnsi"/>
            <w:sz w:val="18"/>
            <w:lang w:val="sr-Latn-ME"/>
          </w:rPr>
          <w:t>https://sudovi.me/static/sdsv/doc/IZVJESTAJ_O_RADU_2024.pdf</w:t>
        </w:r>
      </w:hyperlink>
      <w:r>
        <w:rPr>
          <w:rStyle w:val="Hyperlink"/>
          <w:rFonts w:asciiTheme="minorHAnsi" w:hAnsiTheme="minorHAnsi"/>
          <w:sz w:val="18"/>
          <w:lang w:val="sr-Latn-ME"/>
        </w:rPr>
        <w:t>.</w:t>
      </w:r>
    </w:p>
    <w:p w14:paraId="739C98DF" w14:textId="77777777" w:rsidR="001D6F9B" w:rsidRPr="006566A8" w:rsidRDefault="001D6F9B" w:rsidP="006566A8">
      <w:pPr>
        <w:pStyle w:val="FootnoteText"/>
        <w:rPr>
          <w:i/>
          <w:iCs/>
          <w:lang w:val="sr-Latn-ME"/>
        </w:rPr>
      </w:pPr>
    </w:p>
  </w:footnote>
  <w:footnote w:id="34">
    <w:p w14:paraId="59A19859" w14:textId="069026C5" w:rsidR="001D6F9B" w:rsidRPr="009406F6" w:rsidRDefault="001D6F9B"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Nacrt Zakona o izmjenama i dopunama Zakonika o krivičnom postupku,  </w:t>
      </w:r>
      <w:hyperlink r:id="rId18" w:history="1">
        <w:r w:rsidRPr="00F12F58">
          <w:rPr>
            <w:rStyle w:val="Hyperlink"/>
            <w:rFonts w:asciiTheme="minorHAnsi" w:hAnsiTheme="minorHAnsi"/>
            <w:sz w:val="18"/>
            <w:szCs w:val="18"/>
            <w:lang w:val="uz-Cyrl-UZ"/>
          </w:rPr>
          <w:t>https://www.gov.me/biblioteka?page=1&amp;sort=published_at&amp;q=Nacrt%20Zakona%20o%20izmjenama%20Zakonika%20o%20krivi%C4%8Dnom%20postupku%20</w:t>
        </w:r>
      </w:hyperlink>
      <w:r w:rsidR="00A6068A">
        <w:rPr>
          <w:rFonts w:asciiTheme="minorHAnsi" w:hAnsiTheme="minorHAnsi"/>
          <w:sz w:val="18"/>
          <w:szCs w:val="18"/>
          <w:lang w:val="uz-Cyrl-UZ"/>
        </w:rPr>
        <w:t xml:space="preserve"> , pristupljeno 8. juna 2024. </w:t>
      </w:r>
      <w:r w:rsidRPr="00F12F58">
        <w:rPr>
          <w:rFonts w:asciiTheme="minorHAnsi" w:hAnsiTheme="minorHAnsi"/>
          <w:sz w:val="18"/>
          <w:szCs w:val="18"/>
          <w:lang w:val="uz-Cyrl-UZ"/>
        </w:rPr>
        <w:t>godine</w:t>
      </w:r>
      <w:r>
        <w:rPr>
          <w:rFonts w:asciiTheme="minorHAnsi" w:hAnsiTheme="minorHAnsi"/>
          <w:sz w:val="18"/>
          <w:szCs w:val="18"/>
          <w:lang w:val="sr-Latn-ME"/>
        </w:rPr>
        <w:t>.</w:t>
      </w:r>
    </w:p>
  </w:footnote>
  <w:footnote w:id="35">
    <w:p w14:paraId="275E798E" w14:textId="7048C9C6" w:rsidR="001D6F9B" w:rsidRPr="009406F6" w:rsidRDefault="001D6F9B"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Vidjeti više na: </w:t>
      </w:r>
      <w:hyperlink r:id="rId19" w:history="1">
        <w:r w:rsidRPr="00F12F58">
          <w:rPr>
            <w:rStyle w:val="Hyperlink"/>
            <w:rFonts w:asciiTheme="minorHAnsi" w:hAnsiTheme="minorHAnsi"/>
            <w:sz w:val="18"/>
            <w:szCs w:val="18"/>
            <w:lang w:val="uz-Cyrl-UZ"/>
          </w:rPr>
          <w:t>https://zakoni.skupstina.me/zakoni/web/app.php/sjednica/299</w:t>
        </w:r>
      </w:hyperlink>
      <w:r w:rsidRPr="00F12F58">
        <w:rPr>
          <w:rFonts w:asciiTheme="minorHAnsi" w:hAnsiTheme="minorHAnsi"/>
          <w:sz w:val="18"/>
          <w:szCs w:val="18"/>
          <w:lang w:val="uz-Cyrl-UZ"/>
        </w:rPr>
        <w:t>, pristupljeno 8. juna 2024.</w:t>
      </w:r>
      <w:r>
        <w:rPr>
          <w:rFonts w:asciiTheme="minorHAnsi" w:hAnsiTheme="minorHAnsi"/>
          <w:sz w:val="18"/>
          <w:szCs w:val="18"/>
          <w:lang w:val="sr-Latn-ME"/>
        </w:rPr>
        <w:t xml:space="preserve"> </w:t>
      </w:r>
      <w:r w:rsidRPr="00F12F58">
        <w:rPr>
          <w:rFonts w:asciiTheme="minorHAnsi" w:hAnsiTheme="minorHAnsi"/>
          <w:sz w:val="18"/>
          <w:szCs w:val="18"/>
          <w:lang w:val="uz-Cyrl-UZ"/>
        </w:rPr>
        <w:t>godine</w:t>
      </w:r>
      <w:r>
        <w:rPr>
          <w:rFonts w:asciiTheme="minorHAnsi" w:hAnsiTheme="minorHAnsi"/>
          <w:sz w:val="18"/>
          <w:szCs w:val="18"/>
          <w:lang w:val="sr-Latn-ME"/>
        </w:rPr>
        <w:t>.</w:t>
      </w:r>
    </w:p>
  </w:footnote>
  <w:footnote w:id="36">
    <w:p w14:paraId="6E6A13A6" w14:textId="3371A4FF" w:rsidR="001D6F9B" w:rsidRPr="00F12F58" w:rsidRDefault="001D6F9B" w:rsidP="00AB5012">
      <w:pPr>
        <w:spacing w:after="0"/>
        <w:rPr>
          <w:rFonts w:ascii="Helvetica" w:hAnsi="Helvetica" w:cs="Calibri"/>
          <w:b/>
          <w:bCs/>
          <w:sz w:val="18"/>
          <w:szCs w:val="18"/>
          <w:u w:val="single"/>
        </w:rPr>
      </w:pPr>
      <w:r w:rsidRPr="00F12F58">
        <w:rPr>
          <w:rStyle w:val="FootnoteReference"/>
          <w:sz w:val="18"/>
          <w:szCs w:val="18"/>
        </w:rPr>
        <w:footnoteRef/>
      </w:r>
      <w:r w:rsidRPr="00F12F58">
        <w:rPr>
          <w:sz w:val="18"/>
          <w:szCs w:val="18"/>
        </w:rPr>
        <w:t xml:space="preserve"> </w:t>
      </w:r>
      <w:r w:rsidRPr="00F12F58">
        <w:rPr>
          <w:sz w:val="18"/>
          <w:szCs w:val="18"/>
          <w:lang w:val="uz-Cyrl-UZ"/>
        </w:rPr>
        <w:t>Vidjeti</w:t>
      </w:r>
      <w:r w:rsidRPr="00F12F58">
        <w:rPr>
          <w:sz w:val="18"/>
          <w:szCs w:val="18"/>
        </w:rPr>
        <w:t xml:space="preserve">:Akcija za ljudska prava (2023) Predlog izmjena Zakona o boračkoj i invalidskoj penziji u cilju uvođenja instituta „civilne žrtve rata“, dostupno na: </w:t>
      </w:r>
      <w:hyperlink r:id="rId20" w:history="1">
        <w:r w:rsidRPr="00F12F58">
          <w:rPr>
            <w:rStyle w:val="Hyperlink"/>
            <w:sz w:val="18"/>
            <w:szCs w:val="18"/>
          </w:rPr>
          <w:t>https://www.hraction.org/2024/03/27/status-civilnih-zrtava-rata-ministarstvo-rada-i-socijalnog-staranja-kasni-s-izradom-predloga-zakona-o-borackoj-i-invalidskoj-zastiti/</w:t>
        </w:r>
      </w:hyperlink>
      <w:r w:rsidRPr="00F12F58">
        <w:rPr>
          <w:sz w:val="18"/>
          <w:szCs w:val="18"/>
        </w:rPr>
        <w:t>, pristupljeno 20. jula 2024. godine</w:t>
      </w:r>
      <w:r>
        <w:rPr>
          <w:sz w:val="18"/>
          <w:szCs w:val="18"/>
        </w:rPr>
        <w:t>.</w:t>
      </w:r>
    </w:p>
  </w:footnote>
  <w:footnote w:id="37">
    <w:p w14:paraId="45D45394" w14:textId="77777777" w:rsidR="001D6F9B" w:rsidRPr="001A471E" w:rsidRDefault="001D6F9B">
      <w:pPr>
        <w:pStyle w:val="FootnoteText"/>
        <w:rPr>
          <w:rFonts w:asciiTheme="minorHAnsi" w:hAnsiTheme="minorHAnsi"/>
          <w:sz w:val="18"/>
          <w:szCs w:val="18"/>
          <w:lang w:val="it-IT"/>
        </w:rPr>
      </w:pPr>
      <w:r w:rsidRPr="00F12F58">
        <w:rPr>
          <w:rFonts w:asciiTheme="minorHAnsi" w:hAnsiTheme="minorHAnsi"/>
          <w:sz w:val="18"/>
          <w:szCs w:val="18"/>
          <w:lang w:val="it-IT"/>
        </w:rPr>
        <w:footnoteRef/>
      </w:r>
      <w:r w:rsidRPr="00F12F58">
        <w:rPr>
          <w:rFonts w:asciiTheme="minorHAnsi" w:hAnsiTheme="minorHAnsi"/>
          <w:sz w:val="18"/>
          <w:szCs w:val="18"/>
          <w:lang w:val="it-IT"/>
        </w:rPr>
        <w:t xml:space="preserve"> Zakon o zaštiti od nasilja u porodici (“Službeni list CG”, br. 46/10 I 40/11-1).</w:t>
      </w:r>
    </w:p>
  </w:footnote>
  <w:footnote w:id="38">
    <w:p w14:paraId="7D971C2B" w14:textId="77777777" w:rsidR="001D6F9B" w:rsidRPr="00F12F58" w:rsidRDefault="001D6F9B">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Zakon</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o</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vanparni</w:t>
      </w:r>
      <w:r w:rsidRPr="00F12F58">
        <w:rPr>
          <w:rFonts w:asciiTheme="minorHAnsi" w:hAnsiTheme="minorHAnsi"/>
          <w:sz w:val="18"/>
          <w:szCs w:val="18"/>
          <w:lang w:val="uz-Cyrl-UZ"/>
        </w:rPr>
        <w:t>č</w:t>
      </w:r>
      <w:r w:rsidRPr="00F12F58">
        <w:rPr>
          <w:rFonts w:asciiTheme="minorHAnsi" w:hAnsiTheme="minorHAnsi"/>
          <w:sz w:val="18"/>
          <w:szCs w:val="18"/>
          <w:lang w:val="it-IT"/>
        </w:rPr>
        <w:t>nom</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postupku</w:t>
      </w:r>
      <w:r w:rsidRPr="00F12F58">
        <w:rPr>
          <w:rFonts w:asciiTheme="minorHAnsi" w:hAnsiTheme="minorHAnsi"/>
          <w:sz w:val="18"/>
          <w:szCs w:val="18"/>
          <w:lang w:val="uz-Cyrl-UZ"/>
        </w:rPr>
        <w:t>, "Službeni list RCG", br. 27/2006 i "Sl. list CG", br. 20/2015, 75/2018 - dr. zakon i 67/2019.</w:t>
      </w:r>
    </w:p>
  </w:footnote>
  <w:footnote w:id="39">
    <w:p w14:paraId="7E6188AE" w14:textId="29D38C0D" w:rsidR="001D6F9B" w:rsidRPr="00440009" w:rsidRDefault="001D6F9B">
      <w:pPr>
        <w:pStyle w:val="FootnoteText"/>
        <w:rPr>
          <w:rFonts w:asciiTheme="minorHAnsi" w:hAnsiTheme="minorHAns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en-US"/>
        </w:rPr>
        <w:t xml:space="preserve"> </w:t>
      </w:r>
      <w:r w:rsidRPr="00F12F58">
        <w:rPr>
          <w:rFonts w:asciiTheme="minorHAnsi" w:hAnsiTheme="minorHAnsi"/>
          <w:sz w:val="18"/>
          <w:szCs w:val="18"/>
          <w:lang w:val="sr-Latn-ME"/>
        </w:rPr>
        <w:t>"</w:t>
      </w:r>
      <w:r w:rsidRPr="00F12F58">
        <w:rPr>
          <w:rFonts w:asciiTheme="minorHAnsi" w:hAnsiTheme="minorHAnsi"/>
          <w:sz w:val="18"/>
          <w:szCs w:val="18"/>
          <w:lang w:val="it-IT"/>
        </w:rPr>
        <w:t>Službeni list Republike Crne Gore", br. 001/07 od 09.01.2007, "Službeni list Crne Gore", br. 053/16 od 11.08.2016, 076/20 od 28.07.2020</w:t>
      </w:r>
      <w:r w:rsidRPr="00440009">
        <w:rPr>
          <w:rFonts w:asciiTheme="minorHAnsi" w:hAnsiTheme="minorHAnsi"/>
          <w:sz w:val="18"/>
          <w:szCs w:val="18"/>
          <w:lang w:val="it-IT"/>
        </w:rPr>
        <w:t>)</w:t>
      </w:r>
      <w:r>
        <w:rPr>
          <w:rFonts w:asciiTheme="minorHAnsi" w:hAnsiTheme="minorHAnsi"/>
          <w:sz w:val="18"/>
          <w:szCs w:val="18"/>
          <w:lang w:val="it-IT"/>
        </w:rPr>
        <w:t>.</w:t>
      </w:r>
    </w:p>
  </w:footnote>
  <w:footnote w:id="40">
    <w:p w14:paraId="46D2C378" w14:textId="3D09830F" w:rsidR="001D6F9B" w:rsidRPr="00F12F58" w:rsidRDefault="001D6F9B" w:rsidP="00D34B5C">
      <w:pPr>
        <w:pStyle w:val="FootnoteText"/>
        <w:rPr>
          <w:rFonts w:asciiTheme="minorHAnsi" w:hAnsiTheme="minorHAnsi"/>
          <w:sz w:val="18"/>
          <w:lang w:val="sr-Latn-ME"/>
        </w:rPr>
      </w:pPr>
      <w:r w:rsidRPr="00F12F58">
        <w:rPr>
          <w:rStyle w:val="FootnoteReference"/>
          <w:rFonts w:asciiTheme="minorHAnsi" w:hAnsiTheme="minorHAnsi"/>
          <w:sz w:val="18"/>
        </w:rPr>
        <w:footnoteRef/>
      </w:r>
      <w:r w:rsidRPr="00F12F58">
        <w:rPr>
          <w:rFonts w:asciiTheme="minorHAnsi" w:hAnsiTheme="minorHAnsi"/>
          <w:sz w:val="18"/>
          <w:lang w:val="it-IT"/>
        </w:rPr>
        <w:t xml:space="preserve"> Vidjeti: </w:t>
      </w:r>
      <w:hyperlink r:id="rId21" w:history="1">
        <w:r w:rsidRPr="00F12F58">
          <w:rPr>
            <w:rStyle w:val="Hyperlink"/>
            <w:rFonts w:asciiTheme="minorHAnsi" w:hAnsiTheme="minorHAnsi"/>
            <w:sz w:val="18"/>
            <w:lang w:val="it-IT"/>
          </w:rPr>
          <w:t>https://www.medijskisavjet.me/index.php/o-nama</w:t>
        </w:r>
      </w:hyperlink>
      <w:r w:rsidRPr="00F12F58">
        <w:rPr>
          <w:rFonts w:asciiTheme="minorHAnsi" w:hAnsiTheme="minorHAnsi"/>
          <w:sz w:val="18"/>
          <w:lang w:val="it-IT"/>
        </w:rPr>
        <w:t xml:space="preserve">, pristupljeno 10. marta 225. </w:t>
      </w:r>
      <w:r>
        <w:rPr>
          <w:rFonts w:asciiTheme="minorHAnsi" w:hAnsiTheme="minorHAnsi"/>
          <w:sz w:val="18"/>
          <w:lang w:val="it-IT"/>
        </w:rPr>
        <w:t>g</w:t>
      </w:r>
      <w:r w:rsidRPr="00F12F58">
        <w:rPr>
          <w:rFonts w:asciiTheme="minorHAnsi" w:hAnsiTheme="minorHAnsi"/>
          <w:sz w:val="18"/>
          <w:lang w:val="it-IT"/>
        </w:rPr>
        <w:t>odine</w:t>
      </w:r>
      <w:r>
        <w:rPr>
          <w:rFonts w:asciiTheme="minorHAnsi" w:hAnsiTheme="minorHAnsi"/>
          <w:sz w:val="18"/>
          <w:lang w:val="it-IT"/>
        </w:rPr>
        <w:t>.</w:t>
      </w:r>
    </w:p>
  </w:footnote>
  <w:footnote w:id="41">
    <w:p w14:paraId="1EA1A385" w14:textId="5C9E36DF" w:rsidR="001D6F9B" w:rsidRPr="00D34B5C" w:rsidRDefault="001D6F9B" w:rsidP="008D1795">
      <w:pPr>
        <w:pStyle w:val="FootnoteText"/>
        <w:jc w:val="left"/>
        <w:rPr>
          <w:lang w:val="sr-Latn-ME"/>
        </w:rPr>
      </w:pPr>
      <w:r w:rsidRPr="00F12F58">
        <w:rPr>
          <w:rStyle w:val="FootnoteReference"/>
          <w:rFonts w:asciiTheme="minorHAnsi" w:hAnsiTheme="minorHAnsi"/>
          <w:sz w:val="18"/>
        </w:rPr>
        <w:footnoteRef/>
      </w:r>
      <w:r w:rsidRPr="00F12F58">
        <w:rPr>
          <w:rFonts w:asciiTheme="minorHAnsi" w:hAnsiTheme="minorHAnsi"/>
          <w:sz w:val="18"/>
          <w:lang w:val="it-IT"/>
        </w:rPr>
        <w:t xml:space="preserve">Kodeks novinara/novinarki Crne Gore, </w:t>
      </w:r>
      <w:hyperlink r:id="rId22" w:history="1">
        <w:r w:rsidRPr="00F12F58">
          <w:rPr>
            <w:rStyle w:val="Hyperlink"/>
            <w:rFonts w:asciiTheme="minorHAnsi" w:hAnsiTheme="minorHAnsi"/>
            <w:sz w:val="18"/>
            <w:lang w:val="it-IT"/>
          </w:rPr>
          <w:t>https://www.medijskisavjet.me/images/sampledata/dokumenti/kodeks_novinara.pdf</w:t>
        </w:r>
      </w:hyperlink>
      <w:r w:rsidRPr="00F12F58">
        <w:rPr>
          <w:rFonts w:asciiTheme="minorHAnsi" w:hAnsiTheme="minorHAnsi"/>
          <w:sz w:val="18"/>
          <w:lang w:val="it-IT"/>
        </w:rPr>
        <w:t xml:space="preserve">, pristupljeno 10. marta 2025. </w:t>
      </w:r>
      <w:r>
        <w:rPr>
          <w:rFonts w:asciiTheme="minorHAnsi" w:hAnsiTheme="minorHAnsi"/>
          <w:sz w:val="18"/>
          <w:lang w:val="it-IT"/>
        </w:rPr>
        <w:t>g</w:t>
      </w:r>
      <w:r w:rsidRPr="00F12F58">
        <w:rPr>
          <w:rFonts w:asciiTheme="minorHAnsi" w:hAnsiTheme="minorHAnsi"/>
          <w:sz w:val="18"/>
          <w:lang w:val="it-IT"/>
        </w:rPr>
        <w:t>odine</w:t>
      </w:r>
      <w:r>
        <w:rPr>
          <w:rFonts w:asciiTheme="minorHAnsi" w:hAnsiTheme="minorHAnsi"/>
          <w:sz w:val="18"/>
          <w:lang w:val="it-IT"/>
        </w:rPr>
        <w:t>.</w:t>
      </w:r>
    </w:p>
  </w:footnote>
  <w:footnote w:id="42">
    <w:p w14:paraId="32661169" w14:textId="2DC63C3E" w:rsidR="001D6F9B" w:rsidRPr="00F12F58" w:rsidRDefault="001D6F9B">
      <w:pPr>
        <w:pStyle w:val="FootnoteText"/>
        <w:rPr>
          <w:rFonts w:asciiTheme="minorHAnsi" w:hAnsiTheme="minorHAnsi"/>
          <w:sz w:val="18"/>
          <w:lang w:val="sr-Latn-ME"/>
        </w:rPr>
      </w:pPr>
      <w:r w:rsidRPr="00F12F58">
        <w:rPr>
          <w:rStyle w:val="FootnoteReference"/>
          <w:rFonts w:asciiTheme="minorHAnsi" w:hAnsiTheme="minorHAnsi"/>
          <w:sz w:val="18"/>
        </w:rPr>
        <w:footnoteRef/>
      </w:r>
      <w:r w:rsidRPr="00F12F58">
        <w:rPr>
          <w:rFonts w:asciiTheme="minorHAnsi" w:hAnsiTheme="minorHAnsi"/>
          <w:sz w:val="18"/>
          <w:lang w:val="sr-Latn-ME"/>
        </w:rPr>
        <w:t xml:space="preserve"> Zakon o zdravstvenoj zaštiti "Službeni list Crne Gore", br. 91/2025.</w:t>
      </w:r>
    </w:p>
  </w:footnote>
  <w:footnote w:id="43">
    <w:p w14:paraId="3A0ADF63" w14:textId="77777777" w:rsidR="001D6F9B" w:rsidRPr="005C07B4" w:rsidRDefault="001D6F9B" w:rsidP="00FB6871">
      <w:pPr>
        <w:pStyle w:val="FootnoteText"/>
        <w:rPr>
          <w:lang w:val="uz-Cyrl-UZ"/>
        </w:rPr>
      </w:pPr>
      <w:r w:rsidRPr="00F12F58">
        <w:rPr>
          <w:rStyle w:val="FootnoteReference"/>
          <w:rFonts w:asciiTheme="minorHAnsi" w:hAnsiTheme="minorHAnsi"/>
          <w:sz w:val="18"/>
        </w:rPr>
        <w:footnoteRef/>
      </w:r>
      <w:r w:rsidRPr="00F12F58">
        <w:rPr>
          <w:rFonts w:asciiTheme="minorHAnsi" w:hAnsiTheme="minorHAnsi"/>
          <w:sz w:val="18"/>
          <w:lang w:val="uz-Cyrl-UZ"/>
        </w:rPr>
        <w:t xml:space="preserve"> Živković Petraković, T. (2023) </w:t>
      </w:r>
      <w:r w:rsidRPr="00F12F58">
        <w:rPr>
          <w:rFonts w:asciiTheme="minorHAnsi" w:hAnsiTheme="minorHAnsi"/>
          <w:i/>
          <w:iCs/>
          <w:sz w:val="18"/>
          <w:lang w:val="sr-Latn-ME"/>
        </w:rPr>
        <w:t>Analiza usklađenosti zakonodavstva u oblasti zaštite prava žrtava i rada službi za podršku žrtvama</w:t>
      </w:r>
      <w:r w:rsidRPr="00F12F58">
        <w:rPr>
          <w:rFonts w:asciiTheme="minorHAnsi" w:hAnsiTheme="minorHAnsi"/>
          <w:sz w:val="18"/>
          <w:lang w:val="sr-Latn-ME"/>
        </w:rPr>
        <w:t xml:space="preserve">, </w:t>
      </w:r>
      <w:r w:rsidRPr="00F12F58">
        <w:rPr>
          <w:rFonts w:asciiTheme="minorHAnsi" w:hAnsiTheme="minorHAnsi"/>
          <w:sz w:val="18"/>
          <w:lang w:val="uz-Cyrl-UZ"/>
        </w:rPr>
        <w:t>Institut za pravne studije, str. 26.</w:t>
      </w:r>
    </w:p>
  </w:footnote>
  <w:footnote w:id="44">
    <w:p w14:paraId="4E28AA09" w14:textId="3CABF98E" w:rsidR="001D6F9B" w:rsidRPr="00F12F58" w:rsidRDefault="001D6F9B" w:rsidP="00873520">
      <w:pPr>
        <w:pStyle w:val="FootnoteText"/>
        <w:rPr>
          <w:rFonts w:asciiTheme="minorHAnsi" w:hAnsiTheme="minorHAnsi"/>
        </w:rPr>
      </w:pPr>
      <w:r w:rsidRPr="00F12F58">
        <w:rPr>
          <w:rStyle w:val="FootnoteReference"/>
          <w:rFonts w:asciiTheme="minorHAnsi" w:hAnsiTheme="minorHAnsi"/>
          <w:sz w:val="18"/>
        </w:rPr>
        <w:footnoteRef/>
      </w:r>
      <w:r w:rsidRPr="00F12F58">
        <w:rPr>
          <w:rFonts w:asciiTheme="minorHAnsi" w:hAnsiTheme="minorHAnsi"/>
          <w:sz w:val="18"/>
        </w:rPr>
        <w:t xml:space="preserve"> Matić Bošković, M. (2024) </w:t>
      </w:r>
      <w:r w:rsidRPr="00F12F58">
        <w:rPr>
          <w:rFonts w:asciiTheme="minorHAnsi" w:hAnsiTheme="minorHAnsi"/>
          <w:i/>
          <w:iCs/>
          <w:sz w:val="18"/>
        </w:rPr>
        <w:t>Analysis on rights of the victims to use the language they understand throughout the judicial proceedings in Montenegro</w:t>
      </w:r>
      <w:r w:rsidRPr="00F12F58">
        <w:rPr>
          <w:rFonts w:asciiTheme="minorHAnsi" w:hAnsiTheme="minorHAnsi"/>
          <w:sz w:val="18"/>
        </w:rPr>
        <w:t>, Council of Europe</w:t>
      </w:r>
      <w:r>
        <w:rPr>
          <w:rFonts w:asciiTheme="minorHAnsi" w:hAnsiTheme="minorHAnsi"/>
          <w:sz w:val="18"/>
        </w:rPr>
        <w:t>.</w:t>
      </w:r>
    </w:p>
  </w:footnote>
  <w:footnote w:id="45">
    <w:p w14:paraId="091009A5" w14:textId="2C918FAF" w:rsidR="001D6F9B" w:rsidRPr="00F12F58" w:rsidRDefault="001D6F9B" w:rsidP="00745694">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Plan rada Vrhovnog suda Crne Gore za 2025. godinu, </w:t>
      </w:r>
      <w:hyperlink r:id="rId23" w:history="1">
        <w:r w:rsidRPr="00F12F58">
          <w:rPr>
            <w:rStyle w:val="Hyperlink"/>
            <w:rFonts w:asciiTheme="minorHAnsi" w:hAnsiTheme="minorHAnsi"/>
            <w:sz w:val="18"/>
            <w:szCs w:val="18"/>
            <w:lang w:val="sr-Latn-ME"/>
          </w:rPr>
          <w:t>sudovi.me/vrhs/sadrzaj/yx9O</w:t>
        </w:r>
      </w:hyperlink>
      <w:r>
        <w:rPr>
          <w:rStyle w:val="Hyperlink"/>
          <w:rFonts w:asciiTheme="minorHAnsi" w:hAnsiTheme="minorHAnsi"/>
          <w:sz w:val="18"/>
          <w:szCs w:val="18"/>
          <w:lang w:val="sr-Latn-ME"/>
        </w:rPr>
        <w:t>.</w:t>
      </w:r>
    </w:p>
  </w:footnote>
  <w:footnote w:id="46">
    <w:p w14:paraId="474EA169" w14:textId="77777777" w:rsidR="001D6F9B" w:rsidRPr="00F12F58" w:rsidRDefault="001D6F9B" w:rsidP="006B44F3">
      <w:pPr>
        <w:pStyle w:val="references"/>
        <w:spacing w:line="240" w:lineRule="auto"/>
        <w:ind w:right="4"/>
        <w:jc w:val="both"/>
        <w:rPr>
          <w:rFonts w:asciiTheme="minorHAnsi" w:hAnsiTheme="minorHAnsi"/>
          <w:sz w:val="18"/>
          <w:szCs w:val="18"/>
          <w:lang w:val="en-GB"/>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cs="Arial"/>
          <w:sz w:val="18"/>
          <w:szCs w:val="18"/>
        </w:rPr>
        <w:t>(a) Restitution; (b) Rehabilitation; (c) Satisfaction, including restoration of dignity and reputation; (d) Guarantees of non-repetition</w:t>
      </w:r>
      <w:r w:rsidRPr="00F12F58">
        <w:rPr>
          <w:rFonts w:asciiTheme="minorHAnsi" w:hAnsiTheme="minorHAnsi"/>
          <w:sz w:val="18"/>
          <w:szCs w:val="18"/>
        </w:rPr>
        <w:t xml:space="preserve">. Vidi više u: </w:t>
      </w:r>
      <w:r w:rsidRPr="00F12F58">
        <w:rPr>
          <w:rStyle w:val="personname"/>
          <w:rFonts w:asciiTheme="minorHAnsi" w:hAnsiTheme="minorHAnsi" w:cs="Arial"/>
          <w:color w:val="000000"/>
          <w:sz w:val="18"/>
          <w:szCs w:val="18"/>
          <w:shd w:val="clear" w:color="auto" w:fill="FFFFFF"/>
        </w:rPr>
        <w:t>Kolaković-Bojović, Milica</w:t>
      </w:r>
      <w:r w:rsidRPr="00F12F58">
        <w:rPr>
          <w:rFonts w:asciiTheme="minorHAnsi" w:hAnsiTheme="minorHAnsi" w:cs="Arial"/>
          <w:color w:val="000000"/>
          <w:sz w:val="18"/>
          <w:szCs w:val="18"/>
          <w:shd w:val="clear" w:color="auto" w:fill="FFFFFF"/>
        </w:rPr>
        <w:t> and </w:t>
      </w:r>
      <w:r w:rsidRPr="00F12F58">
        <w:rPr>
          <w:rStyle w:val="personname"/>
          <w:rFonts w:asciiTheme="minorHAnsi" w:hAnsiTheme="minorHAnsi" w:cs="Arial"/>
          <w:color w:val="000000"/>
          <w:sz w:val="18"/>
          <w:szCs w:val="18"/>
          <w:shd w:val="clear" w:color="auto" w:fill="FFFFFF"/>
        </w:rPr>
        <w:t>Grujić, Zdravko</w:t>
      </w:r>
      <w:r w:rsidRPr="00F12F58">
        <w:rPr>
          <w:rFonts w:asciiTheme="minorHAnsi" w:hAnsiTheme="minorHAnsi" w:cs="Arial"/>
          <w:color w:val="000000"/>
          <w:sz w:val="18"/>
          <w:szCs w:val="18"/>
          <w:shd w:val="clear" w:color="auto" w:fill="FFFFFF"/>
        </w:rPr>
        <w:t> (2020) </w:t>
      </w:r>
      <w:r w:rsidRPr="00F12F58">
        <w:rPr>
          <w:rStyle w:val="Emphasis"/>
          <w:rFonts w:asciiTheme="minorHAnsi" w:hAnsiTheme="minorHAnsi" w:cs="Arial"/>
          <w:sz w:val="18"/>
          <w:szCs w:val="18"/>
          <w:shd w:val="clear" w:color="auto" w:fill="FFFFFF"/>
        </w:rPr>
        <w:t>Crime Victims and the Right to Human Dignity - Challenges and Attitudes in Serbia</w:t>
      </w:r>
      <w:r w:rsidRPr="00F12F58">
        <w:rPr>
          <w:rStyle w:val="Emphasis"/>
          <w:rFonts w:asciiTheme="minorHAnsi" w:hAnsiTheme="minorHAnsi" w:cs="Arial"/>
          <w:color w:val="365191"/>
          <w:sz w:val="18"/>
          <w:szCs w:val="18"/>
          <w:u w:val="single"/>
          <w:shd w:val="clear" w:color="auto" w:fill="FFFFFF"/>
        </w:rPr>
        <w:t>.</w:t>
      </w:r>
      <w:r w:rsidRPr="00F12F58">
        <w:rPr>
          <w:rFonts w:asciiTheme="minorHAnsi" w:hAnsiTheme="minorHAnsi" w:cs="Arial"/>
          <w:color w:val="000000"/>
          <w:sz w:val="18"/>
          <w:szCs w:val="18"/>
          <w:shd w:val="clear" w:color="auto" w:fill="FFFFFF"/>
        </w:rPr>
        <w:t xml:space="preserve"> In: Yearbook. No. 3, Human rights protection: the right to human dignity. Provincial Protector of Citizens - Ombudsman; Institute of Criminological and Sociological Research, Novi Sad; Belgrade, pp. 239-269; </w:t>
      </w:r>
      <w:r w:rsidRPr="00F12F58">
        <w:rPr>
          <w:rFonts w:asciiTheme="minorHAnsi" w:hAnsiTheme="minorHAnsi"/>
          <w:sz w:val="18"/>
          <w:szCs w:val="18"/>
        </w:rPr>
        <w:t>Kolaković-Bojović, Milica (2023) </w:t>
      </w:r>
      <w:r w:rsidRPr="00F12F58">
        <w:rPr>
          <w:rFonts w:asciiTheme="minorHAnsi" w:hAnsiTheme="minorHAnsi"/>
          <w:i/>
          <w:iCs/>
          <w:sz w:val="18"/>
          <w:szCs w:val="18"/>
        </w:rPr>
        <w:t>Víctimas de desaparición forzada y derecho a la reparación.</w:t>
      </w:r>
      <w:r w:rsidRPr="00F12F58">
        <w:rPr>
          <w:rFonts w:asciiTheme="minorHAnsi" w:hAnsiTheme="minorHAnsi"/>
          <w:sz w:val="18"/>
          <w:szCs w:val="18"/>
        </w:rPr>
        <w:t xml:space="preserve"> In: Desaparición forzada: Colección en temas de derechos humanos, Tomo I. Centro Internacional para la Promoción de los Derechos Humanos bajo los auspicios de UNESCO (CIPDH), Buenos Aires, Argentina, pp. 196-226; </w:t>
      </w:r>
      <w:r w:rsidRPr="00F12F58">
        <w:rPr>
          <w:rStyle w:val="personname"/>
          <w:rFonts w:asciiTheme="minorHAnsi" w:hAnsiTheme="minorHAnsi"/>
          <w:color w:val="000000"/>
          <w:sz w:val="18"/>
          <w:szCs w:val="18"/>
          <w:shd w:val="clear" w:color="auto" w:fill="FFFFFF"/>
          <w:lang w:val="en-GB"/>
        </w:rPr>
        <w:t>Kolaković-Bojović, M. &amp; Džumhur, J.</w:t>
      </w:r>
      <w:r w:rsidRPr="00F12F58">
        <w:rPr>
          <w:rFonts w:asciiTheme="minorHAnsi" w:hAnsiTheme="minorHAnsi"/>
          <w:color w:val="000000"/>
          <w:sz w:val="18"/>
          <w:szCs w:val="18"/>
          <w:shd w:val="clear" w:color="auto" w:fill="FFFFFF"/>
          <w:lang w:val="en-GB"/>
        </w:rPr>
        <w:t> (2024) </w:t>
      </w:r>
      <w:r w:rsidRPr="00F12F58">
        <w:rPr>
          <w:rFonts w:asciiTheme="minorHAnsi" w:hAnsiTheme="minorHAnsi"/>
          <w:sz w:val="18"/>
          <w:szCs w:val="18"/>
          <w:lang w:val="en-GB"/>
        </w:rPr>
        <w:t xml:space="preserve">Enforced Disappearances and the Right to Reparation in Western Balkans, In: Baranowska, G. &amp; Kolaković-Bojović, M. (eds.) </w:t>
      </w:r>
      <w:r w:rsidRPr="00F12F58">
        <w:rPr>
          <w:rFonts w:asciiTheme="minorHAnsi" w:hAnsiTheme="minorHAnsi"/>
          <w:i/>
          <w:iCs/>
          <w:sz w:val="18"/>
          <w:szCs w:val="18"/>
          <w:lang w:val="en-GB"/>
        </w:rPr>
        <w:t>Enforced Disappearances: On Universal Responses to a Worldwide Phenomenon</w:t>
      </w:r>
      <w:r w:rsidRPr="00F12F58">
        <w:rPr>
          <w:rFonts w:asciiTheme="minorHAnsi" w:hAnsiTheme="minorHAnsi"/>
          <w:sz w:val="18"/>
          <w:szCs w:val="18"/>
          <w:lang w:val="en-GB"/>
        </w:rPr>
        <w:t>. Cambridge University Press (in publishing).</w:t>
      </w:r>
    </w:p>
    <w:p w14:paraId="2E9301E7" w14:textId="77777777" w:rsidR="001D6F9B" w:rsidRPr="00BA11FF" w:rsidRDefault="001D6F9B" w:rsidP="00834BB7">
      <w:pPr>
        <w:autoSpaceDE w:val="0"/>
        <w:autoSpaceDN w:val="0"/>
        <w:adjustRightInd w:val="0"/>
        <w:spacing w:after="120" w:line="278" w:lineRule="auto"/>
        <w:rPr>
          <w:lang w:val="en-GB"/>
        </w:rPr>
      </w:pPr>
    </w:p>
  </w:footnote>
  <w:footnote w:id="47">
    <w:p w14:paraId="58BCBCB4" w14:textId="77777777" w:rsidR="001D6F9B" w:rsidRPr="009406F6" w:rsidRDefault="001D6F9B" w:rsidP="00A637B9">
      <w:pPr>
        <w:pStyle w:val="FootnoteText"/>
        <w:rPr>
          <w:rFonts w:asciiTheme="minorHAnsi" w:hAnsiTheme="minorHAnsi"/>
        </w:rPr>
      </w:pPr>
      <w:r w:rsidRPr="009406F6">
        <w:rPr>
          <w:rStyle w:val="FootnoteReference"/>
          <w:rFonts w:asciiTheme="minorHAnsi" w:hAnsiTheme="minorHAnsi"/>
          <w:sz w:val="18"/>
        </w:rPr>
        <w:footnoteRef/>
      </w:r>
      <w:r w:rsidRPr="009406F6">
        <w:rPr>
          <w:rFonts w:asciiTheme="minorHAnsi" w:hAnsiTheme="minorHAnsi"/>
          <w:sz w:val="18"/>
        </w:rPr>
        <w:t xml:space="preserve"> </w:t>
      </w:r>
      <w:r w:rsidRPr="009406F6">
        <w:rPr>
          <w:rFonts w:asciiTheme="minorHAnsi" w:hAnsiTheme="minorHAnsi"/>
          <w:sz w:val="18"/>
          <w:lang w:val="uz-Cyrl-UZ"/>
        </w:rPr>
        <w:t xml:space="preserve">Živković Petraković, T. (2023) </w:t>
      </w:r>
      <w:r w:rsidRPr="009406F6">
        <w:rPr>
          <w:rFonts w:asciiTheme="minorHAnsi" w:hAnsiTheme="minorHAnsi"/>
          <w:i/>
          <w:iCs/>
          <w:sz w:val="18"/>
          <w:lang w:val="sr-Latn-ME"/>
        </w:rPr>
        <w:t>Analiza usklađenosti zakonodavstva u oblasti zaštite prava žrtava i rada službi za podršku žrtvama</w:t>
      </w:r>
      <w:r w:rsidRPr="009406F6">
        <w:rPr>
          <w:rFonts w:asciiTheme="minorHAnsi" w:hAnsiTheme="minorHAnsi"/>
          <w:sz w:val="18"/>
          <w:lang w:val="sr-Latn-ME"/>
        </w:rPr>
        <w:t xml:space="preserve">, </w:t>
      </w:r>
      <w:r w:rsidRPr="009406F6">
        <w:rPr>
          <w:rFonts w:asciiTheme="minorHAnsi" w:hAnsiTheme="minorHAnsi"/>
          <w:sz w:val="18"/>
          <w:lang w:val="uz-Cyrl-UZ"/>
        </w:rPr>
        <w:t>Institut za pravne studije, str. 26.</w:t>
      </w:r>
    </w:p>
  </w:footnote>
  <w:footnote w:id="48">
    <w:p w14:paraId="2F707496" w14:textId="6741F0E8" w:rsidR="001D6F9B" w:rsidRPr="009406F6" w:rsidRDefault="001D6F9B">
      <w:pPr>
        <w:pStyle w:val="FootnoteText"/>
        <w:rPr>
          <w:rFonts w:asciiTheme="minorHAnsi" w:hAnsiTheme="minorHAnsi"/>
          <w:sz w:val="18"/>
          <w:lang w:val="it-IT"/>
        </w:rPr>
      </w:pPr>
      <w:r w:rsidRPr="009406F6">
        <w:rPr>
          <w:rStyle w:val="FootnoteReference"/>
          <w:rFonts w:asciiTheme="minorHAnsi" w:hAnsiTheme="minorHAnsi"/>
          <w:sz w:val="18"/>
        </w:rPr>
        <w:footnoteRef/>
      </w:r>
      <w:r w:rsidRPr="009406F6">
        <w:rPr>
          <w:rFonts w:asciiTheme="minorHAnsi" w:hAnsiTheme="minorHAnsi"/>
          <w:sz w:val="18"/>
          <w:lang w:val="it-IT"/>
        </w:rPr>
        <w:t xml:space="preserve"> Vidi više na: </w:t>
      </w:r>
      <w:hyperlink r:id="rId24" w:history="1">
        <w:r w:rsidRPr="009406F6">
          <w:rPr>
            <w:rStyle w:val="Hyperlink"/>
            <w:rFonts w:asciiTheme="minorHAnsi" w:hAnsiTheme="minorHAnsi"/>
            <w:sz w:val="18"/>
            <w:lang w:val="it-IT"/>
          </w:rPr>
          <w:t>https://www.coe.int/en/web/istanbul-convention/montenegro</w:t>
        </w:r>
      </w:hyperlink>
      <w:r w:rsidRPr="009406F6">
        <w:rPr>
          <w:rFonts w:asciiTheme="minorHAnsi" w:hAnsiTheme="minorHAnsi"/>
          <w:sz w:val="18"/>
          <w:lang w:val="it-IT"/>
        </w:rPr>
        <w:t>, prostupljeno 2.9.2025. godine</w:t>
      </w:r>
      <w:r>
        <w:rPr>
          <w:rFonts w:asciiTheme="minorHAnsi" w:hAnsiTheme="minorHAnsi"/>
          <w:sz w:val="18"/>
          <w:lang w:val="it-IT"/>
        </w:rPr>
        <w:t>.</w:t>
      </w:r>
    </w:p>
  </w:footnote>
  <w:footnote w:id="49">
    <w:p w14:paraId="5BA031A9" w14:textId="67C3E74B" w:rsidR="001D6F9B" w:rsidRPr="009406F6" w:rsidRDefault="001D6F9B" w:rsidP="00636260">
      <w:pPr>
        <w:pStyle w:val="FootnoteText"/>
        <w:rPr>
          <w:rFonts w:asciiTheme="minorHAnsi" w:hAnsiTheme="minorHAnsi"/>
          <w:lang w:val="sr-Latn-ME"/>
        </w:rPr>
      </w:pPr>
      <w:r w:rsidRPr="009406F6">
        <w:rPr>
          <w:rStyle w:val="FootnoteReference"/>
          <w:rFonts w:asciiTheme="minorHAnsi" w:hAnsiTheme="minorHAnsi"/>
          <w:sz w:val="18"/>
        </w:rPr>
        <w:footnoteRef/>
      </w:r>
      <w:r w:rsidRPr="009406F6">
        <w:rPr>
          <w:rFonts w:asciiTheme="minorHAnsi" w:hAnsiTheme="minorHAnsi"/>
          <w:sz w:val="18"/>
          <w:lang w:val="uz-Cyrl-UZ"/>
        </w:rPr>
        <w:t xml:space="preserve"> </w:t>
      </w:r>
      <w:r w:rsidRPr="009406F6">
        <w:rPr>
          <w:rFonts w:asciiTheme="minorHAnsi" w:hAnsiTheme="minorHAnsi"/>
          <w:sz w:val="18"/>
          <w:lang w:val="sr-Latn-ME"/>
        </w:rPr>
        <w:t>Uputstvo za postupanje u slučaj</w:t>
      </w:r>
      <w:r w:rsidRPr="009406F6">
        <w:rPr>
          <w:rFonts w:asciiTheme="minorHAnsi" w:hAnsiTheme="minorHAnsi"/>
          <w:sz w:val="18"/>
          <w:lang w:val="uz-Cyrl-UZ"/>
        </w:rPr>
        <w:t>evima</w:t>
      </w:r>
      <w:r w:rsidRPr="009406F6">
        <w:rPr>
          <w:rFonts w:asciiTheme="minorHAnsi" w:hAnsiTheme="minorHAnsi"/>
          <w:sz w:val="18"/>
          <w:lang w:val="sr-Latn-ME"/>
        </w:rPr>
        <w:t xml:space="preserve"> </w:t>
      </w:r>
      <w:r w:rsidRPr="009406F6">
        <w:rPr>
          <w:rFonts w:asciiTheme="minorHAnsi" w:hAnsiTheme="minorHAnsi"/>
          <w:sz w:val="18"/>
          <w:lang w:val="uz-Cyrl-UZ"/>
        </w:rPr>
        <w:t>nasilja</w:t>
      </w:r>
      <w:r w:rsidRPr="009406F6">
        <w:rPr>
          <w:rFonts w:asciiTheme="minorHAnsi" w:hAnsiTheme="minorHAnsi"/>
          <w:sz w:val="18"/>
          <w:lang w:val="sr-Latn-ME"/>
        </w:rPr>
        <w:t xml:space="preserve"> </w:t>
      </w:r>
      <w:r w:rsidRPr="009406F6">
        <w:rPr>
          <w:rFonts w:asciiTheme="minorHAnsi" w:hAnsiTheme="minorHAnsi"/>
          <w:sz w:val="18"/>
          <w:lang w:val="uz-Cyrl-UZ"/>
        </w:rPr>
        <w:t>u</w:t>
      </w:r>
      <w:r w:rsidRPr="009406F6">
        <w:rPr>
          <w:rFonts w:asciiTheme="minorHAnsi" w:hAnsiTheme="minorHAnsi"/>
          <w:sz w:val="18"/>
          <w:lang w:val="sr-Latn-ME"/>
        </w:rPr>
        <w:t xml:space="preserve"> </w:t>
      </w:r>
      <w:r w:rsidRPr="009406F6">
        <w:rPr>
          <w:rFonts w:asciiTheme="minorHAnsi" w:hAnsiTheme="minorHAnsi"/>
          <w:sz w:val="18"/>
          <w:lang w:val="uz-Cyrl-UZ"/>
        </w:rPr>
        <w:t>porodici</w:t>
      </w:r>
      <w:r w:rsidRPr="009406F6">
        <w:rPr>
          <w:rFonts w:asciiTheme="minorHAnsi" w:hAnsiTheme="minorHAnsi"/>
          <w:sz w:val="18"/>
          <w:lang w:val="sr-Latn-ME"/>
        </w:rPr>
        <w:t xml:space="preserve"> </w:t>
      </w:r>
      <w:r w:rsidRPr="009406F6">
        <w:rPr>
          <w:rFonts w:asciiTheme="minorHAnsi" w:hAnsiTheme="minorHAnsi"/>
          <w:sz w:val="18"/>
          <w:lang w:val="uz-Cyrl-UZ"/>
        </w:rPr>
        <w:t>ili</w:t>
      </w:r>
      <w:r w:rsidRPr="009406F6">
        <w:rPr>
          <w:rFonts w:asciiTheme="minorHAnsi" w:hAnsiTheme="minorHAnsi"/>
          <w:sz w:val="18"/>
          <w:lang w:val="sr-Latn-ME"/>
        </w:rPr>
        <w:t xml:space="preserve"> </w:t>
      </w:r>
      <w:r w:rsidRPr="009406F6">
        <w:rPr>
          <w:rFonts w:asciiTheme="minorHAnsi" w:hAnsiTheme="minorHAnsi"/>
          <w:sz w:val="18"/>
          <w:lang w:val="uz-Cyrl-UZ"/>
        </w:rPr>
        <w:t>u</w:t>
      </w:r>
      <w:r w:rsidRPr="009406F6">
        <w:rPr>
          <w:rFonts w:asciiTheme="minorHAnsi" w:hAnsiTheme="minorHAnsi"/>
          <w:sz w:val="18"/>
          <w:lang w:val="sr-Latn-ME"/>
        </w:rPr>
        <w:t xml:space="preserve"> </w:t>
      </w:r>
      <w:r w:rsidRPr="009406F6">
        <w:rPr>
          <w:rFonts w:asciiTheme="minorHAnsi" w:hAnsiTheme="minorHAnsi"/>
          <w:sz w:val="18"/>
          <w:lang w:val="uz-Cyrl-UZ"/>
        </w:rPr>
        <w:t>porodi</w:t>
      </w:r>
      <w:r w:rsidRPr="009406F6">
        <w:rPr>
          <w:rFonts w:asciiTheme="minorHAnsi" w:hAnsiTheme="minorHAnsi"/>
          <w:sz w:val="18"/>
          <w:lang w:val="sr-Latn-ME"/>
        </w:rPr>
        <w:t>č</w:t>
      </w:r>
      <w:r w:rsidRPr="009406F6">
        <w:rPr>
          <w:rFonts w:asciiTheme="minorHAnsi" w:hAnsiTheme="minorHAnsi"/>
          <w:sz w:val="18"/>
          <w:lang w:val="uz-Cyrl-UZ"/>
        </w:rPr>
        <w:t>noj</w:t>
      </w:r>
      <w:r w:rsidRPr="009406F6">
        <w:rPr>
          <w:rFonts w:asciiTheme="minorHAnsi" w:hAnsiTheme="minorHAnsi"/>
          <w:sz w:val="18"/>
          <w:lang w:val="sr-Latn-ME"/>
        </w:rPr>
        <w:t xml:space="preserve"> </w:t>
      </w:r>
      <w:r w:rsidRPr="009406F6">
        <w:rPr>
          <w:rFonts w:asciiTheme="minorHAnsi" w:hAnsiTheme="minorHAnsi"/>
          <w:sz w:val="18"/>
          <w:lang w:val="uz-Cyrl-UZ"/>
        </w:rPr>
        <w:t>zajednici, dostupno na:</w:t>
      </w:r>
      <w:hyperlink r:id="rId25" w:history="1">
        <w:r w:rsidRPr="009406F6">
          <w:rPr>
            <w:rStyle w:val="Hyperlink"/>
            <w:rFonts w:asciiTheme="minorHAnsi" w:hAnsiTheme="minorHAnsi"/>
            <w:sz w:val="18"/>
            <w:lang w:val="uz-Cyrl-UZ"/>
          </w:rPr>
          <w:t>https</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tuzilastvo</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me</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static</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vrdt</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doc</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UPUTSTVO</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za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postupanje</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drzavnih</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tuzilastava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u</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slucajevima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nasilja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u</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porodici</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ili</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porodicnoj</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zajednici</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pdf</w:t>
        </w:r>
      </w:hyperlink>
      <w:r w:rsidRPr="009406F6">
        <w:rPr>
          <w:rFonts w:asciiTheme="minorHAnsi" w:hAnsiTheme="minorHAnsi"/>
          <w:sz w:val="18"/>
          <w:lang w:val="sr-Latn-ME"/>
        </w:rPr>
        <w:t>,</w:t>
      </w:r>
      <w:r w:rsidRPr="009406F6">
        <w:rPr>
          <w:rFonts w:asciiTheme="minorHAnsi" w:hAnsiTheme="minorHAnsi"/>
          <w:sz w:val="18"/>
          <w:lang w:val="uz-Cyrl-UZ"/>
        </w:rPr>
        <w:t xml:space="preserve"> pristupljeno 14.10.2024. godine</w:t>
      </w:r>
      <w:r>
        <w:rPr>
          <w:rFonts w:asciiTheme="minorHAnsi" w:hAnsiTheme="minorHAnsi"/>
          <w:sz w:val="18"/>
          <w:lang w:val="sr-Latn-ME"/>
        </w:rPr>
        <w:t>.</w:t>
      </w:r>
    </w:p>
  </w:footnote>
  <w:footnote w:id="50">
    <w:p w14:paraId="2B9E0C4B" w14:textId="77777777" w:rsidR="001D6F9B" w:rsidRPr="009406F6" w:rsidRDefault="001D6F9B">
      <w:pPr>
        <w:pStyle w:val="FootnoteText"/>
        <w:rPr>
          <w:rFonts w:asciiTheme="minorHAnsi" w:hAnsiTheme="minorHAnsi"/>
          <w:lang w:val="sr-Latn-ME"/>
        </w:rPr>
      </w:pPr>
      <w:r w:rsidRPr="009406F6">
        <w:rPr>
          <w:rStyle w:val="FootnoteReference"/>
          <w:rFonts w:asciiTheme="minorHAnsi" w:hAnsiTheme="minorHAnsi"/>
          <w:sz w:val="18"/>
        </w:rPr>
        <w:footnoteRef/>
      </w:r>
      <w:r w:rsidRPr="009406F6">
        <w:rPr>
          <w:rFonts w:asciiTheme="minorHAnsi" w:hAnsiTheme="minorHAnsi"/>
          <w:sz w:val="18"/>
          <w:lang w:val="sr-Latn-ME"/>
        </w:rPr>
        <w:t xml:space="preserve"> Vidi više u: Strategija prevencije i zaštite djece od nasilja 2024-2028.</w:t>
      </w:r>
    </w:p>
  </w:footnote>
  <w:footnote w:id="51">
    <w:p w14:paraId="694A624D" w14:textId="77777777" w:rsidR="001D6F9B" w:rsidRPr="009406F6" w:rsidRDefault="001D6F9B" w:rsidP="00AA0219">
      <w:pPr>
        <w:pStyle w:val="FootnoteText"/>
        <w:rPr>
          <w:rFonts w:asciiTheme="minorHAnsi" w:hAnsiTheme="minorHAnsi"/>
          <w:sz w:val="18"/>
          <w:szCs w:val="18"/>
          <w:lang w:val="it-IT"/>
        </w:rPr>
      </w:pPr>
      <w:r w:rsidRPr="009406F6">
        <w:rPr>
          <w:rStyle w:val="FootnoteReference"/>
          <w:rFonts w:asciiTheme="minorHAnsi" w:hAnsiTheme="minorHAnsi"/>
          <w:sz w:val="18"/>
          <w:szCs w:val="18"/>
        </w:rPr>
        <w:footnoteRef/>
      </w:r>
      <w:r w:rsidRPr="009406F6">
        <w:rPr>
          <w:rFonts w:asciiTheme="minorHAnsi" w:hAnsiTheme="minorHAnsi"/>
          <w:sz w:val="18"/>
          <w:szCs w:val="18"/>
          <w:lang w:val="it-IT"/>
        </w:rPr>
        <w:t xml:space="preserve"> Grevio Izvestaj za Crnu Gore iz 2018. </w:t>
      </w:r>
    </w:p>
  </w:footnote>
  <w:footnote w:id="52">
    <w:p w14:paraId="65AA01A2" w14:textId="77777777" w:rsidR="001D6F9B" w:rsidRPr="009406F6" w:rsidRDefault="001D6F9B">
      <w:pPr>
        <w:pStyle w:val="FootnoteText"/>
        <w:rPr>
          <w:rFonts w:asciiTheme="minorHAnsi" w:hAnsiTheme="minorHAnsi"/>
          <w:sz w:val="18"/>
          <w:szCs w:val="18"/>
          <w:lang w:val="it-IT"/>
        </w:rPr>
      </w:pPr>
      <w:r w:rsidRPr="009406F6">
        <w:rPr>
          <w:rStyle w:val="FootnoteReference"/>
          <w:rFonts w:asciiTheme="minorHAnsi" w:hAnsiTheme="minorHAnsi"/>
          <w:sz w:val="18"/>
          <w:szCs w:val="18"/>
        </w:rPr>
        <w:footnoteRef/>
      </w:r>
      <w:r w:rsidRPr="009406F6">
        <w:rPr>
          <w:rFonts w:asciiTheme="minorHAnsi" w:hAnsiTheme="minorHAnsi"/>
          <w:sz w:val="18"/>
          <w:szCs w:val="18"/>
          <w:lang w:val="it-IT"/>
        </w:rPr>
        <w:t xml:space="preserve"> Kolaković-Bojović, M (2020) Analiza usklađenosti kaznenog zakonodavstva Crne Gore sa relevantnim međunarodnim standardima u oblasti pravde po mjeri djeteta, UNICEF.</w:t>
      </w:r>
    </w:p>
  </w:footnote>
  <w:footnote w:id="53">
    <w:p w14:paraId="460D7FA4" w14:textId="03CFFE34" w:rsidR="001D6F9B" w:rsidRPr="009406F6" w:rsidRDefault="001D6F9B" w:rsidP="0037679F">
      <w:pPr>
        <w:spacing w:after="0" w:line="269" w:lineRule="auto"/>
        <w:rPr>
          <w:sz w:val="18"/>
          <w:szCs w:val="18"/>
        </w:rPr>
      </w:pPr>
      <w:r w:rsidRPr="009406F6">
        <w:rPr>
          <w:rStyle w:val="FootnoteReference"/>
          <w:sz w:val="18"/>
          <w:szCs w:val="18"/>
        </w:rPr>
        <w:footnoteRef/>
      </w:r>
      <w:r w:rsidRPr="009406F6">
        <w:rPr>
          <w:sz w:val="18"/>
          <w:szCs w:val="18"/>
        </w:rPr>
        <w:t xml:space="preserve"> „</w:t>
      </w:r>
      <w:r w:rsidRPr="009406F6">
        <w:rPr>
          <w:sz w:val="18"/>
          <w:szCs w:val="18"/>
          <w:lang w:val="it-IT"/>
        </w:rPr>
        <w:t>Smjernice</w:t>
      </w:r>
      <w:r w:rsidRPr="009406F6">
        <w:rPr>
          <w:sz w:val="18"/>
          <w:szCs w:val="18"/>
        </w:rPr>
        <w:t xml:space="preserve"> </w:t>
      </w:r>
      <w:r w:rsidRPr="009406F6">
        <w:rPr>
          <w:sz w:val="18"/>
          <w:szCs w:val="18"/>
          <w:lang w:val="it-IT"/>
        </w:rPr>
        <w:t>za</w:t>
      </w:r>
      <w:r w:rsidRPr="009406F6">
        <w:rPr>
          <w:sz w:val="18"/>
          <w:szCs w:val="18"/>
        </w:rPr>
        <w:t xml:space="preserve"> </w:t>
      </w:r>
      <w:r w:rsidRPr="009406F6">
        <w:rPr>
          <w:sz w:val="18"/>
          <w:szCs w:val="18"/>
          <w:lang w:val="it-IT"/>
        </w:rPr>
        <w:t>rad</w:t>
      </w:r>
      <w:r w:rsidRPr="009406F6">
        <w:rPr>
          <w:sz w:val="18"/>
          <w:szCs w:val="18"/>
        </w:rPr>
        <w:t xml:space="preserve"> </w:t>
      </w:r>
      <w:r w:rsidRPr="009406F6">
        <w:rPr>
          <w:sz w:val="18"/>
          <w:szCs w:val="18"/>
          <w:lang w:val="it-IT"/>
        </w:rPr>
        <w:t>stru</w:t>
      </w:r>
      <w:r w:rsidRPr="009406F6">
        <w:rPr>
          <w:sz w:val="18"/>
          <w:szCs w:val="18"/>
        </w:rPr>
        <w:t>č</w:t>
      </w:r>
      <w:r w:rsidRPr="009406F6">
        <w:rPr>
          <w:sz w:val="18"/>
          <w:szCs w:val="18"/>
          <w:lang w:val="it-IT"/>
        </w:rPr>
        <w:t>ne</w:t>
      </w:r>
      <w:r w:rsidRPr="009406F6">
        <w:rPr>
          <w:sz w:val="18"/>
          <w:szCs w:val="18"/>
        </w:rPr>
        <w:t xml:space="preserve"> </w:t>
      </w:r>
      <w:r w:rsidRPr="009406F6">
        <w:rPr>
          <w:sz w:val="18"/>
          <w:szCs w:val="18"/>
          <w:lang w:val="it-IT"/>
        </w:rPr>
        <w:t>slu</w:t>
      </w:r>
      <w:r w:rsidRPr="009406F6">
        <w:rPr>
          <w:sz w:val="18"/>
          <w:szCs w:val="18"/>
        </w:rPr>
        <w:t>ž</w:t>
      </w:r>
      <w:r w:rsidRPr="009406F6">
        <w:rPr>
          <w:sz w:val="18"/>
          <w:szCs w:val="18"/>
          <w:lang w:val="it-IT"/>
        </w:rPr>
        <w:t>be</w:t>
      </w:r>
      <w:r w:rsidRPr="009406F6">
        <w:rPr>
          <w:sz w:val="18"/>
          <w:szCs w:val="18"/>
        </w:rPr>
        <w:t xml:space="preserve"> </w:t>
      </w:r>
      <w:r w:rsidRPr="009406F6">
        <w:rPr>
          <w:sz w:val="18"/>
          <w:szCs w:val="18"/>
          <w:lang w:val="it-IT"/>
        </w:rPr>
        <w:t>s</w:t>
      </w:r>
      <w:r w:rsidRPr="009406F6">
        <w:rPr>
          <w:sz w:val="18"/>
          <w:szCs w:val="18"/>
        </w:rPr>
        <w:t xml:space="preserve"> </w:t>
      </w:r>
      <w:r w:rsidRPr="009406F6">
        <w:rPr>
          <w:sz w:val="18"/>
          <w:szCs w:val="18"/>
          <w:lang w:val="it-IT"/>
        </w:rPr>
        <w:t>djecom</w:t>
      </w:r>
      <w:r w:rsidRPr="009406F6">
        <w:rPr>
          <w:sz w:val="18"/>
          <w:szCs w:val="18"/>
        </w:rPr>
        <w:t xml:space="preserve">, </w:t>
      </w:r>
      <w:r w:rsidRPr="009406F6">
        <w:rPr>
          <w:sz w:val="18"/>
          <w:szCs w:val="18"/>
          <w:lang w:val="it-IT"/>
        </w:rPr>
        <w:t>maloljetnim</w:t>
      </w:r>
      <w:r w:rsidRPr="009406F6">
        <w:rPr>
          <w:sz w:val="18"/>
          <w:szCs w:val="18"/>
        </w:rPr>
        <w:t xml:space="preserve"> </w:t>
      </w:r>
      <w:r w:rsidRPr="009406F6">
        <w:rPr>
          <w:sz w:val="18"/>
          <w:szCs w:val="18"/>
          <w:lang w:val="it-IT"/>
        </w:rPr>
        <w:t>u</w:t>
      </w:r>
      <w:r w:rsidRPr="009406F6">
        <w:rPr>
          <w:sz w:val="18"/>
          <w:szCs w:val="18"/>
        </w:rPr>
        <w:t>č</w:t>
      </w:r>
      <w:r w:rsidRPr="009406F6">
        <w:rPr>
          <w:sz w:val="18"/>
          <w:szCs w:val="18"/>
          <w:lang w:val="it-IT"/>
        </w:rPr>
        <w:t>iniocima</w:t>
      </w:r>
      <w:r w:rsidRPr="009406F6">
        <w:rPr>
          <w:sz w:val="18"/>
          <w:szCs w:val="18"/>
        </w:rPr>
        <w:t>, ž</w:t>
      </w:r>
      <w:r w:rsidRPr="009406F6">
        <w:rPr>
          <w:sz w:val="18"/>
          <w:szCs w:val="18"/>
          <w:lang w:val="it-IT"/>
        </w:rPr>
        <w:t>rtvama</w:t>
      </w:r>
      <w:r w:rsidRPr="009406F6">
        <w:rPr>
          <w:sz w:val="18"/>
          <w:szCs w:val="18"/>
        </w:rPr>
        <w:t xml:space="preserve"> </w:t>
      </w:r>
      <w:r w:rsidRPr="009406F6">
        <w:rPr>
          <w:sz w:val="18"/>
          <w:szCs w:val="18"/>
          <w:lang w:val="it-IT"/>
        </w:rPr>
        <w:t>i</w:t>
      </w:r>
      <w:r w:rsidRPr="009406F6">
        <w:rPr>
          <w:sz w:val="18"/>
          <w:szCs w:val="18"/>
        </w:rPr>
        <w:t xml:space="preserve"> </w:t>
      </w:r>
      <w:r w:rsidRPr="009406F6">
        <w:rPr>
          <w:sz w:val="18"/>
          <w:szCs w:val="18"/>
          <w:lang w:val="it-IT"/>
        </w:rPr>
        <w:t>svjedocima</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krivi</w:t>
      </w:r>
      <w:r w:rsidRPr="009406F6">
        <w:rPr>
          <w:sz w:val="18"/>
          <w:szCs w:val="18"/>
        </w:rPr>
        <w:t>č</w:t>
      </w:r>
      <w:r w:rsidRPr="009406F6">
        <w:rPr>
          <w:sz w:val="18"/>
          <w:szCs w:val="18"/>
          <w:lang w:val="it-IT"/>
        </w:rPr>
        <w:t>nom</w:t>
      </w:r>
      <w:r w:rsidRPr="009406F6">
        <w:rPr>
          <w:sz w:val="18"/>
          <w:szCs w:val="18"/>
        </w:rPr>
        <w:t xml:space="preserve"> </w:t>
      </w:r>
      <w:r w:rsidRPr="009406F6">
        <w:rPr>
          <w:sz w:val="18"/>
          <w:szCs w:val="18"/>
          <w:lang w:val="it-IT"/>
        </w:rPr>
        <w:t>postupku</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saradnji</w:t>
      </w:r>
      <w:r w:rsidRPr="009406F6">
        <w:rPr>
          <w:sz w:val="18"/>
          <w:szCs w:val="18"/>
        </w:rPr>
        <w:t xml:space="preserve"> </w:t>
      </w:r>
      <w:r w:rsidRPr="009406F6">
        <w:rPr>
          <w:sz w:val="18"/>
          <w:szCs w:val="18"/>
          <w:lang w:val="it-IT"/>
        </w:rPr>
        <w:t>predstavni</w:t>
      </w:r>
      <w:r w:rsidRPr="009406F6">
        <w:rPr>
          <w:sz w:val="18"/>
          <w:szCs w:val="18"/>
        </w:rPr>
        <w:t>š</w:t>
      </w:r>
      <w:r w:rsidRPr="009406F6">
        <w:rPr>
          <w:sz w:val="18"/>
          <w:szCs w:val="18"/>
          <w:lang w:val="it-IT"/>
        </w:rPr>
        <w:t>tva</w:t>
      </w:r>
      <w:r w:rsidRPr="009406F6">
        <w:rPr>
          <w:sz w:val="18"/>
          <w:szCs w:val="18"/>
        </w:rPr>
        <w:t xml:space="preserve"> </w:t>
      </w:r>
      <w:r w:rsidRPr="009406F6">
        <w:rPr>
          <w:sz w:val="18"/>
          <w:szCs w:val="18"/>
          <w:lang w:val="it-IT"/>
        </w:rPr>
        <w:t>UNICEF</w:t>
      </w:r>
      <w:r w:rsidRPr="009406F6">
        <w:rPr>
          <w:sz w:val="18"/>
          <w:szCs w:val="18"/>
        </w:rPr>
        <w:t>-</w:t>
      </w:r>
      <w:r w:rsidRPr="009406F6">
        <w:rPr>
          <w:sz w:val="18"/>
          <w:szCs w:val="18"/>
          <w:lang w:val="it-IT"/>
        </w:rPr>
        <w:t>a</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Crnoj</w:t>
      </w:r>
      <w:r w:rsidRPr="009406F6">
        <w:rPr>
          <w:sz w:val="18"/>
          <w:szCs w:val="18"/>
        </w:rPr>
        <w:t xml:space="preserve"> </w:t>
      </w:r>
      <w:r w:rsidRPr="009406F6">
        <w:rPr>
          <w:sz w:val="18"/>
          <w:szCs w:val="18"/>
          <w:lang w:val="it-IT"/>
        </w:rPr>
        <w:t>Gori</w:t>
      </w:r>
      <w:r w:rsidRPr="009406F6">
        <w:rPr>
          <w:sz w:val="18"/>
          <w:szCs w:val="18"/>
        </w:rPr>
        <w:t xml:space="preserve">, </w:t>
      </w:r>
      <w:r w:rsidRPr="009406F6">
        <w:rPr>
          <w:sz w:val="18"/>
          <w:szCs w:val="18"/>
          <w:lang w:val="it-IT"/>
        </w:rPr>
        <w:t>Vrhovnog</w:t>
      </w:r>
      <w:r w:rsidRPr="009406F6">
        <w:rPr>
          <w:sz w:val="18"/>
          <w:szCs w:val="18"/>
        </w:rPr>
        <w:t xml:space="preserve"> </w:t>
      </w:r>
      <w:r w:rsidRPr="009406F6">
        <w:rPr>
          <w:sz w:val="18"/>
          <w:szCs w:val="18"/>
          <w:lang w:val="it-IT"/>
        </w:rPr>
        <w:t>dr</w:t>
      </w:r>
      <w:r w:rsidRPr="009406F6">
        <w:rPr>
          <w:sz w:val="18"/>
          <w:szCs w:val="18"/>
        </w:rPr>
        <w:t>ž</w:t>
      </w:r>
      <w:r w:rsidRPr="009406F6">
        <w:rPr>
          <w:sz w:val="18"/>
          <w:szCs w:val="18"/>
          <w:lang w:val="it-IT"/>
        </w:rPr>
        <w:t>avnog</w:t>
      </w:r>
      <w:r w:rsidRPr="009406F6">
        <w:rPr>
          <w:sz w:val="18"/>
          <w:szCs w:val="18"/>
        </w:rPr>
        <w:t xml:space="preserve"> </w:t>
      </w:r>
      <w:r w:rsidRPr="009406F6">
        <w:rPr>
          <w:sz w:val="18"/>
          <w:szCs w:val="18"/>
          <w:lang w:val="it-IT"/>
        </w:rPr>
        <w:t>tu</w:t>
      </w:r>
      <w:r w:rsidRPr="009406F6">
        <w:rPr>
          <w:sz w:val="18"/>
          <w:szCs w:val="18"/>
        </w:rPr>
        <w:t>ž</w:t>
      </w:r>
      <w:r w:rsidRPr="009406F6">
        <w:rPr>
          <w:sz w:val="18"/>
          <w:szCs w:val="18"/>
          <w:lang w:val="it-IT"/>
        </w:rPr>
        <w:t>ila</w:t>
      </w:r>
      <w:r w:rsidRPr="009406F6">
        <w:rPr>
          <w:sz w:val="18"/>
          <w:szCs w:val="18"/>
        </w:rPr>
        <w:t>š</w:t>
      </w:r>
      <w:r w:rsidRPr="009406F6">
        <w:rPr>
          <w:sz w:val="18"/>
          <w:szCs w:val="18"/>
          <w:lang w:val="it-IT"/>
        </w:rPr>
        <w:t>tva</w:t>
      </w:r>
      <w:r w:rsidRPr="009406F6">
        <w:rPr>
          <w:sz w:val="18"/>
          <w:szCs w:val="18"/>
        </w:rPr>
        <w:t xml:space="preserve"> </w:t>
      </w:r>
      <w:r w:rsidRPr="009406F6">
        <w:rPr>
          <w:sz w:val="18"/>
          <w:szCs w:val="18"/>
          <w:lang w:val="it-IT"/>
        </w:rPr>
        <w:t>i</w:t>
      </w:r>
      <w:r w:rsidRPr="009406F6">
        <w:rPr>
          <w:sz w:val="18"/>
          <w:szCs w:val="18"/>
        </w:rPr>
        <w:t xml:space="preserve"> </w:t>
      </w:r>
      <w:r w:rsidRPr="009406F6">
        <w:rPr>
          <w:sz w:val="18"/>
          <w:szCs w:val="18"/>
          <w:lang w:val="it-IT"/>
        </w:rPr>
        <w:t>Vrhovnog</w:t>
      </w:r>
      <w:r w:rsidRPr="009406F6">
        <w:rPr>
          <w:sz w:val="18"/>
          <w:szCs w:val="18"/>
        </w:rPr>
        <w:t xml:space="preserve"> </w:t>
      </w:r>
      <w:r w:rsidRPr="009406F6">
        <w:rPr>
          <w:sz w:val="18"/>
          <w:szCs w:val="18"/>
          <w:lang w:val="it-IT"/>
        </w:rPr>
        <w:t>suda</w:t>
      </w:r>
      <w:r w:rsidRPr="009406F6">
        <w:rPr>
          <w:sz w:val="18"/>
          <w:szCs w:val="18"/>
        </w:rPr>
        <w:t xml:space="preserve"> </w:t>
      </w:r>
      <w:r w:rsidRPr="009406F6">
        <w:rPr>
          <w:sz w:val="18"/>
          <w:szCs w:val="18"/>
          <w:lang w:val="it-IT"/>
        </w:rPr>
        <w:t>Crne</w:t>
      </w:r>
      <w:r w:rsidRPr="009406F6">
        <w:rPr>
          <w:sz w:val="18"/>
          <w:szCs w:val="18"/>
        </w:rPr>
        <w:t xml:space="preserve"> </w:t>
      </w:r>
      <w:r w:rsidRPr="009406F6">
        <w:rPr>
          <w:sz w:val="18"/>
          <w:szCs w:val="18"/>
          <w:lang w:val="it-IT"/>
        </w:rPr>
        <w:t>Gore</w:t>
      </w:r>
      <w:r w:rsidRPr="009406F6">
        <w:rPr>
          <w:sz w:val="18"/>
          <w:szCs w:val="18"/>
        </w:rPr>
        <w:t xml:space="preserve">, 2020, </w:t>
      </w:r>
      <w:hyperlink r:id="rId26" w:history="1">
        <w:r w:rsidRPr="009406F6">
          <w:rPr>
            <w:rStyle w:val="Hyperlink"/>
            <w:sz w:val="18"/>
            <w:szCs w:val="18"/>
            <w:lang w:val="it-IT"/>
          </w:rPr>
          <w:t>https</w:t>
        </w:r>
        <w:r w:rsidRPr="009406F6">
          <w:rPr>
            <w:rStyle w:val="Hyperlink"/>
            <w:sz w:val="18"/>
            <w:szCs w:val="18"/>
          </w:rPr>
          <w:t>://</w:t>
        </w:r>
        <w:r w:rsidRPr="009406F6">
          <w:rPr>
            <w:rStyle w:val="Hyperlink"/>
            <w:sz w:val="18"/>
            <w:szCs w:val="18"/>
            <w:lang w:val="it-IT"/>
          </w:rPr>
          <w:t>sudovi</w:t>
        </w:r>
        <w:r w:rsidRPr="009406F6">
          <w:rPr>
            <w:rStyle w:val="Hyperlink"/>
            <w:sz w:val="18"/>
            <w:szCs w:val="18"/>
          </w:rPr>
          <w:t>.</w:t>
        </w:r>
        <w:r w:rsidRPr="009406F6">
          <w:rPr>
            <w:rStyle w:val="Hyperlink"/>
            <w:sz w:val="18"/>
            <w:szCs w:val="18"/>
            <w:lang w:val="it-IT"/>
          </w:rPr>
          <w:t>me</w:t>
        </w:r>
        <w:r w:rsidRPr="009406F6">
          <w:rPr>
            <w:rStyle w:val="Hyperlink"/>
            <w:sz w:val="18"/>
            <w:szCs w:val="18"/>
          </w:rPr>
          <w:t>/</w:t>
        </w:r>
        <w:r w:rsidRPr="009406F6">
          <w:rPr>
            <w:rStyle w:val="Hyperlink"/>
            <w:sz w:val="18"/>
            <w:szCs w:val="18"/>
            <w:lang w:val="it-IT"/>
          </w:rPr>
          <w:t>static</w:t>
        </w:r>
        <w:r w:rsidRPr="009406F6">
          <w:rPr>
            <w:rStyle w:val="Hyperlink"/>
            <w:sz w:val="18"/>
            <w:szCs w:val="18"/>
          </w:rPr>
          <w:t>//</w:t>
        </w:r>
        <w:r w:rsidRPr="009406F6">
          <w:rPr>
            <w:rStyle w:val="Hyperlink"/>
            <w:sz w:val="18"/>
            <w:szCs w:val="18"/>
            <w:lang w:val="it-IT"/>
          </w:rPr>
          <w:t>vrdt</w:t>
        </w:r>
        <w:r w:rsidRPr="009406F6">
          <w:rPr>
            <w:rStyle w:val="Hyperlink"/>
            <w:sz w:val="18"/>
            <w:szCs w:val="18"/>
          </w:rPr>
          <w:t>/</w:t>
        </w:r>
        <w:r w:rsidRPr="009406F6">
          <w:rPr>
            <w:rStyle w:val="Hyperlink"/>
            <w:sz w:val="18"/>
            <w:szCs w:val="18"/>
            <w:lang w:val="it-IT"/>
          </w:rPr>
          <w:t>doc</w:t>
        </w:r>
        <w:r w:rsidRPr="009406F6">
          <w:rPr>
            <w:rStyle w:val="Hyperlink"/>
            <w:sz w:val="18"/>
            <w:szCs w:val="18"/>
          </w:rPr>
          <w:t>/</w:t>
        </w:r>
        <w:r w:rsidRPr="009406F6">
          <w:rPr>
            <w:rStyle w:val="Hyperlink"/>
            <w:sz w:val="18"/>
            <w:szCs w:val="18"/>
            <w:lang w:val="it-IT"/>
          </w:rPr>
          <w:t>Smjernice</w:t>
        </w:r>
        <w:r w:rsidRPr="009406F6">
          <w:rPr>
            <w:rStyle w:val="Hyperlink"/>
            <w:sz w:val="18"/>
            <w:szCs w:val="18"/>
          </w:rPr>
          <w:t>_</w:t>
        </w:r>
        <w:r w:rsidRPr="009406F6">
          <w:rPr>
            <w:rStyle w:val="Hyperlink"/>
            <w:sz w:val="18"/>
            <w:szCs w:val="18"/>
            <w:lang w:val="it-IT"/>
          </w:rPr>
          <w:t>za</w:t>
        </w:r>
        <w:r w:rsidRPr="009406F6">
          <w:rPr>
            <w:rStyle w:val="Hyperlink"/>
            <w:sz w:val="18"/>
            <w:szCs w:val="18"/>
          </w:rPr>
          <w:t>_</w:t>
        </w:r>
        <w:r w:rsidRPr="009406F6">
          <w:rPr>
            <w:rStyle w:val="Hyperlink"/>
            <w:sz w:val="18"/>
            <w:szCs w:val="18"/>
            <w:lang w:val="it-IT"/>
          </w:rPr>
          <w:t>rad</w:t>
        </w:r>
        <w:r w:rsidRPr="009406F6">
          <w:rPr>
            <w:rStyle w:val="Hyperlink"/>
            <w:sz w:val="18"/>
            <w:szCs w:val="18"/>
          </w:rPr>
          <w:t>_</w:t>
        </w:r>
        <w:r w:rsidRPr="009406F6">
          <w:rPr>
            <w:rStyle w:val="Hyperlink"/>
            <w:sz w:val="18"/>
            <w:szCs w:val="18"/>
            <w:lang w:val="it-IT"/>
          </w:rPr>
          <w:t>Strucne</w:t>
        </w:r>
        <w:r w:rsidRPr="009406F6">
          <w:rPr>
            <w:rStyle w:val="Hyperlink"/>
            <w:sz w:val="18"/>
            <w:szCs w:val="18"/>
          </w:rPr>
          <w:t>_</w:t>
        </w:r>
        <w:r w:rsidRPr="009406F6">
          <w:rPr>
            <w:rStyle w:val="Hyperlink"/>
            <w:sz w:val="18"/>
            <w:szCs w:val="18"/>
            <w:lang w:val="it-IT"/>
          </w:rPr>
          <w:t>sluzbe</w:t>
        </w:r>
        <w:r w:rsidRPr="009406F6">
          <w:rPr>
            <w:rStyle w:val="Hyperlink"/>
            <w:sz w:val="18"/>
            <w:szCs w:val="18"/>
          </w:rPr>
          <w:t>_(1).</w:t>
        </w:r>
        <w:r w:rsidRPr="009406F6">
          <w:rPr>
            <w:rStyle w:val="Hyperlink"/>
            <w:sz w:val="18"/>
            <w:szCs w:val="18"/>
            <w:lang w:val="it-IT"/>
          </w:rPr>
          <w:t>pdf</w:t>
        </w:r>
      </w:hyperlink>
      <w:r>
        <w:rPr>
          <w:rStyle w:val="Hyperlink"/>
          <w:sz w:val="18"/>
          <w:szCs w:val="18"/>
          <w:lang w:val="it-IT"/>
        </w:rPr>
        <w:t>.</w:t>
      </w:r>
    </w:p>
  </w:footnote>
  <w:footnote w:id="54">
    <w:p w14:paraId="0EE67D9D" w14:textId="5D57CDA9" w:rsidR="001D6F9B" w:rsidRPr="009406F6" w:rsidRDefault="001D6F9B" w:rsidP="0037679F">
      <w:pPr>
        <w:spacing w:after="0" w:line="269" w:lineRule="auto"/>
        <w:rPr>
          <w:sz w:val="18"/>
          <w:szCs w:val="18"/>
        </w:rPr>
      </w:pPr>
      <w:r w:rsidRPr="009406F6">
        <w:rPr>
          <w:rStyle w:val="FootnoteReference"/>
          <w:sz w:val="18"/>
          <w:szCs w:val="18"/>
        </w:rPr>
        <w:footnoteRef/>
      </w:r>
      <w:r w:rsidRPr="009406F6">
        <w:rPr>
          <w:sz w:val="18"/>
          <w:szCs w:val="18"/>
        </w:rPr>
        <w:t xml:space="preserve"> </w:t>
      </w:r>
      <w:r w:rsidRPr="009406F6">
        <w:rPr>
          <w:sz w:val="18"/>
          <w:szCs w:val="18"/>
          <w:lang w:val="it-IT"/>
        </w:rPr>
        <w:t>Vodi</w:t>
      </w:r>
      <w:r w:rsidRPr="009406F6">
        <w:rPr>
          <w:sz w:val="18"/>
          <w:szCs w:val="18"/>
        </w:rPr>
        <w:t xml:space="preserve">č </w:t>
      </w:r>
      <w:r w:rsidRPr="009406F6">
        <w:rPr>
          <w:sz w:val="18"/>
          <w:szCs w:val="18"/>
          <w:lang w:val="it-IT"/>
        </w:rPr>
        <w:t>za</w:t>
      </w:r>
      <w:r w:rsidRPr="009406F6">
        <w:rPr>
          <w:sz w:val="18"/>
          <w:szCs w:val="18"/>
        </w:rPr>
        <w:t xml:space="preserve"> </w:t>
      </w:r>
      <w:r w:rsidRPr="009406F6">
        <w:rPr>
          <w:sz w:val="18"/>
          <w:szCs w:val="18"/>
          <w:lang w:val="it-IT"/>
        </w:rPr>
        <w:t>djecu</w:t>
      </w:r>
      <w:r w:rsidRPr="009406F6">
        <w:rPr>
          <w:sz w:val="18"/>
          <w:szCs w:val="18"/>
        </w:rPr>
        <w:t xml:space="preserve"> </w:t>
      </w:r>
      <w:r w:rsidRPr="009406F6">
        <w:rPr>
          <w:sz w:val="18"/>
          <w:szCs w:val="18"/>
          <w:lang w:val="it-IT"/>
        </w:rPr>
        <w:t>svjedoke</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tu</w:t>
      </w:r>
      <w:r w:rsidRPr="009406F6">
        <w:rPr>
          <w:sz w:val="18"/>
          <w:szCs w:val="18"/>
        </w:rPr>
        <w:t>ž</w:t>
      </w:r>
      <w:r w:rsidRPr="009406F6">
        <w:rPr>
          <w:sz w:val="18"/>
          <w:szCs w:val="18"/>
          <w:lang w:val="it-IT"/>
        </w:rPr>
        <w:t>ila</w:t>
      </w:r>
      <w:r w:rsidRPr="009406F6">
        <w:rPr>
          <w:sz w:val="18"/>
          <w:szCs w:val="18"/>
        </w:rPr>
        <w:t>š</w:t>
      </w:r>
      <w:r w:rsidRPr="009406F6">
        <w:rPr>
          <w:sz w:val="18"/>
          <w:szCs w:val="18"/>
          <w:lang w:val="it-IT"/>
        </w:rPr>
        <w:t>tvu</w:t>
      </w:r>
      <w:r w:rsidRPr="009406F6">
        <w:rPr>
          <w:sz w:val="18"/>
          <w:szCs w:val="18"/>
        </w:rPr>
        <w:t xml:space="preserve">, </w:t>
      </w:r>
      <w:hyperlink r:id="rId27" w:history="1">
        <w:r w:rsidRPr="009406F6">
          <w:rPr>
            <w:rStyle w:val="Hyperlink"/>
            <w:sz w:val="18"/>
            <w:szCs w:val="18"/>
            <w:lang w:val="it-IT"/>
          </w:rPr>
          <w:t>https</w:t>
        </w:r>
        <w:r w:rsidRPr="009406F6">
          <w:rPr>
            <w:rStyle w:val="Hyperlink"/>
            <w:sz w:val="18"/>
            <w:szCs w:val="18"/>
          </w:rPr>
          <w:t>://</w:t>
        </w:r>
        <w:r w:rsidRPr="009406F6">
          <w:rPr>
            <w:rStyle w:val="Hyperlink"/>
            <w:sz w:val="18"/>
            <w:szCs w:val="18"/>
            <w:lang w:val="it-IT"/>
          </w:rPr>
          <w:t>sudovi</w:t>
        </w:r>
        <w:r w:rsidRPr="009406F6">
          <w:rPr>
            <w:rStyle w:val="Hyperlink"/>
            <w:sz w:val="18"/>
            <w:szCs w:val="18"/>
          </w:rPr>
          <w:t>.</w:t>
        </w:r>
        <w:r w:rsidRPr="009406F6">
          <w:rPr>
            <w:rStyle w:val="Hyperlink"/>
            <w:sz w:val="18"/>
            <w:szCs w:val="18"/>
            <w:lang w:val="it-IT"/>
          </w:rPr>
          <w:t>me</w:t>
        </w:r>
        <w:r w:rsidRPr="009406F6">
          <w:rPr>
            <w:rStyle w:val="Hyperlink"/>
            <w:sz w:val="18"/>
            <w:szCs w:val="18"/>
          </w:rPr>
          <w:t>/</w:t>
        </w:r>
        <w:r w:rsidRPr="009406F6">
          <w:rPr>
            <w:rStyle w:val="Hyperlink"/>
            <w:sz w:val="18"/>
            <w:szCs w:val="18"/>
            <w:lang w:val="it-IT"/>
          </w:rPr>
          <w:t>static</w:t>
        </w:r>
        <w:r w:rsidRPr="009406F6">
          <w:rPr>
            <w:rStyle w:val="Hyperlink"/>
            <w:sz w:val="18"/>
            <w:szCs w:val="18"/>
          </w:rPr>
          <w:t>//</w:t>
        </w:r>
        <w:r w:rsidRPr="009406F6">
          <w:rPr>
            <w:rStyle w:val="Hyperlink"/>
            <w:sz w:val="18"/>
            <w:szCs w:val="18"/>
            <w:lang w:val="it-IT"/>
          </w:rPr>
          <w:t>vrdt</w:t>
        </w:r>
        <w:r w:rsidRPr="009406F6">
          <w:rPr>
            <w:rStyle w:val="Hyperlink"/>
            <w:sz w:val="18"/>
            <w:szCs w:val="18"/>
          </w:rPr>
          <w:t>/</w:t>
        </w:r>
        <w:r w:rsidRPr="009406F6">
          <w:rPr>
            <w:rStyle w:val="Hyperlink"/>
            <w:sz w:val="18"/>
            <w:szCs w:val="18"/>
            <w:lang w:val="it-IT"/>
          </w:rPr>
          <w:t>doc</w:t>
        </w:r>
        <w:r w:rsidRPr="009406F6">
          <w:rPr>
            <w:rStyle w:val="Hyperlink"/>
            <w:sz w:val="18"/>
            <w:szCs w:val="18"/>
          </w:rPr>
          <w:t>/3_</w:t>
        </w:r>
        <w:r w:rsidRPr="009406F6">
          <w:rPr>
            <w:rStyle w:val="Hyperlink"/>
            <w:sz w:val="18"/>
            <w:szCs w:val="18"/>
            <w:lang w:val="it-IT"/>
          </w:rPr>
          <w:t>Vodic</w:t>
        </w:r>
        <w:r w:rsidRPr="009406F6">
          <w:rPr>
            <w:rStyle w:val="Hyperlink"/>
            <w:sz w:val="18"/>
            <w:szCs w:val="18"/>
          </w:rPr>
          <w:t>_</w:t>
        </w:r>
        <w:r w:rsidRPr="009406F6">
          <w:rPr>
            <w:rStyle w:val="Hyperlink"/>
            <w:sz w:val="18"/>
            <w:szCs w:val="18"/>
            <w:lang w:val="it-IT"/>
          </w:rPr>
          <w:t>za</w:t>
        </w:r>
        <w:r w:rsidRPr="009406F6">
          <w:rPr>
            <w:rStyle w:val="Hyperlink"/>
            <w:sz w:val="18"/>
            <w:szCs w:val="18"/>
          </w:rPr>
          <w:t>_</w:t>
        </w:r>
        <w:r w:rsidRPr="009406F6">
          <w:rPr>
            <w:rStyle w:val="Hyperlink"/>
            <w:sz w:val="18"/>
            <w:szCs w:val="18"/>
            <w:lang w:val="it-IT"/>
          </w:rPr>
          <w:t>djecu</w:t>
        </w:r>
        <w:r w:rsidRPr="009406F6">
          <w:rPr>
            <w:rStyle w:val="Hyperlink"/>
            <w:sz w:val="18"/>
            <w:szCs w:val="18"/>
          </w:rPr>
          <w:t>_</w:t>
        </w:r>
        <w:r w:rsidRPr="009406F6">
          <w:rPr>
            <w:rStyle w:val="Hyperlink"/>
            <w:sz w:val="18"/>
            <w:szCs w:val="18"/>
            <w:lang w:val="it-IT"/>
          </w:rPr>
          <w:t>svjedoke</w:t>
        </w:r>
        <w:r w:rsidRPr="009406F6">
          <w:rPr>
            <w:rStyle w:val="Hyperlink"/>
            <w:sz w:val="18"/>
            <w:szCs w:val="18"/>
          </w:rPr>
          <w:t>_</w:t>
        </w:r>
        <w:r w:rsidRPr="009406F6">
          <w:rPr>
            <w:rStyle w:val="Hyperlink"/>
            <w:sz w:val="18"/>
            <w:szCs w:val="18"/>
            <w:lang w:val="it-IT"/>
          </w:rPr>
          <w:t>u</w:t>
        </w:r>
        <w:r w:rsidRPr="009406F6">
          <w:rPr>
            <w:rStyle w:val="Hyperlink"/>
            <w:sz w:val="18"/>
            <w:szCs w:val="18"/>
          </w:rPr>
          <w:t>_</w:t>
        </w:r>
        <w:r w:rsidRPr="009406F6">
          <w:rPr>
            <w:rStyle w:val="Hyperlink"/>
            <w:sz w:val="18"/>
            <w:szCs w:val="18"/>
            <w:lang w:val="it-IT"/>
          </w:rPr>
          <w:t>tuzilastvu</w:t>
        </w:r>
        <w:r w:rsidRPr="009406F6">
          <w:rPr>
            <w:rStyle w:val="Hyperlink"/>
            <w:sz w:val="18"/>
            <w:szCs w:val="18"/>
          </w:rPr>
          <w:t>.</w:t>
        </w:r>
        <w:r w:rsidRPr="009406F6">
          <w:rPr>
            <w:rStyle w:val="Hyperlink"/>
            <w:sz w:val="18"/>
            <w:szCs w:val="18"/>
            <w:lang w:val="it-IT"/>
          </w:rPr>
          <w:t>PDF</w:t>
        </w:r>
      </w:hyperlink>
      <w:r>
        <w:rPr>
          <w:rStyle w:val="Hyperlink"/>
          <w:sz w:val="18"/>
          <w:szCs w:val="18"/>
          <w:lang w:val="it-IT"/>
        </w:rPr>
        <w:t>.</w:t>
      </w:r>
    </w:p>
  </w:footnote>
  <w:footnote w:id="55">
    <w:p w14:paraId="3B6DAB01" w14:textId="0C79A2C8" w:rsidR="001D6F9B" w:rsidRPr="0088655B" w:rsidRDefault="001D6F9B" w:rsidP="0037679F">
      <w:pPr>
        <w:spacing w:after="0" w:line="269" w:lineRule="auto"/>
      </w:pPr>
      <w:r w:rsidRPr="009406F6">
        <w:rPr>
          <w:rStyle w:val="FootnoteReference"/>
          <w:sz w:val="18"/>
          <w:szCs w:val="18"/>
        </w:rPr>
        <w:footnoteRef/>
      </w:r>
      <w:r w:rsidRPr="009406F6">
        <w:rPr>
          <w:sz w:val="18"/>
          <w:szCs w:val="18"/>
        </w:rPr>
        <w:t xml:space="preserve"> </w:t>
      </w:r>
      <w:r w:rsidRPr="009406F6">
        <w:rPr>
          <w:sz w:val="18"/>
          <w:szCs w:val="18"/>
          <w:lang w:val="it-IT"/>
        </w:rPr>
        <w:t>Vodi</w:t>
      </w:r>
      <w:r w:rsidRPr="009406F6">
        <w:rPr>
          <w:sz w:val="18"/>
          <w:szCs w:val="18"/>
        </w:rPr>
        <w:t xml:space="preserve">č </w:t>
      </w:r>
      <w:r w:rsidRPr="009406F6">
        <w:rPr>
          <w:sz w:val="18"/>
          <w:szCs w:val="18"/>
          <w:lang w:val="it-IT"/>
        </w:rPr>
        <w:t>za</w:t>
      </w:r>
      <w:r w:rsidRPr="009406F6">
        <w:rPr>
          <w:sz w:val="18"/>
          <w:szCs w:val="18"/>
        </w:rPr>
        <w:t xml:space="preserve"> </w:t>
      </w:r>
      <w:r w:rsidRPr="009406F6">
        <w:rPr>
          <w:sz w:val="18"/>
          <w:szCs w:val="18"/>
          <w:lang w:val="it-IT"/>
        </w:rPr>
        <w:t>djecu</w:t>
      </w:r>
      <w:r w:rsidRPr="009406F6">
        <w:rPr>
          <w:sz w:val="18"/>
          <w:szCs w:val="18"/>
        </w:rPr>
        <w:t xml:space="preserve"> </w:t>
      </w:r>
      <w:r w:rsidRPr="009406F6">
        <w:rPr>
          <w:sz w:val="18"/>
          <w:szCs w:val="18"/>
          <w:lang w:val="it-IT"/>
        </w:rPr>
        <w:t>svjedoke</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sudu</w:t>
      </w:r>
      <w:r w:rsidRPr="009406F6">
        <w:rPr>
          <w:sz w:val="18"/>
          <w:szCs w:val="18"/>
        </w:rPr>
        <w:t xml:space="preserve">, </w:t>
      </w:r>
      <w:hyperlink r:id="rId28" w:history="1">
        <w:r w:rsidRPr="009406F6">
          <w:rPr>
            <w:rStyle w:val="Hyperlink"/>
            <w:sz w:val="18"/>
            <w:szCs w:val="18"/>
            <w:lang w:val="it-IT"/>
          </w:rPr>
          <w:t>https</w:t>
        </w:r>
        <w:r w:rsidRPr="009406F6">
          <w:rPr>
            <w:rStyle w:val="Hyperlink"/>
            <w:sz w:val="18"/>
            <w:szCs w:val="18"/>
          </w:rPr>
          <w:t>://</w:t>
        </w:r>
        <w:r w:rsidRPr="009406F6">
          <w:rPr>
            <w:rStyle w:val="Hyperlink"/>
            <w:sz w:val="18"/>
            <w:szCs w:val="18"/>
            <w:lang w:val="it-IT"/>
          </w:rPr>
          <w:t>sudovi</w:t>
        </w:r>
        <w:r w:rsidRPr="009406F6">
          <w:rPr>
            <w:rStyle w:val="Hyperlink"/>
            <w:sz w:val="18"/>
            <w:szCs w:val="18"/>
          </w:rPr>
          <w:t>.</w:t>
        </w:r>
        <w:r w:rsidRPr="009406F6">
          <w:rPr>
            <w:rStyle w:val="Hyperlink"/>
            <w:sz w:val="18"/>
            <w:szCs w:val="18"/>
            <w:lang w:val="it-IT"/>
          </w:rPr>
          <w:t>me</w:t>
        </w:r>
        <w:r w:rsidRPr="009406F6">
          <w:rPr>
            <w:rStyle w:val="Hyperlink"/>
            <w:sz w:val="18"/>
            <w:szCs w:val="18"/>
          </w:rPr>
          <w:t>/</w:t>
        </w:r>
        <w:r w:rsidRPr="009406F6">
          <w:rPr>
            <w:rStyle w:val="Hyperlink"/>
            <w:sz w:val="18"/>
            <w:szCs w:val="18"/>
            <w:lang w:val="it-IT"/>
          </w:rPr>
          <w:t>static</w:t>
        </w:r>
        <w:r w:rsidRPr="009406F6">
          <w:rPr>
            <w:rStyle w:val="Hyperlink"/>
            <w:sz w:val="18"/>
            <w:szCs w:val="18"/>
          </w:rPr>
          <w:t>//</w:t>
        </w:r>
        <w:r w:rsidRPr="009406F6">
          <w:rPr>
            <w:rStyle w:val="Hyperlink"/>
            <w:sz w:val="18"/>
            <w:szCs w:val="18"/>
            <w:lang w:val="it-IT"/>
          </w:rPr>
          <w:t>vrhs</w:t>
        </w:r>
        <w:r w:rsidRPr="009406F6">
          <w:rPr>
            <w:rStyle w:val="Hyperlink"/>
            <w:sz w:val="18"/>
            <w:szCs w:val="18"/>
          </w:rPr>
          <w:t>/</w:t>
        </w:r>
        <w:r w:rsidRPr="009406F6">
          <w:rPr>
            <w:rStyle w:val="Hyperlink"/>
            <w:sz w:val="18"/>
            <w:szCs w:val="18"/>
            <w:lang w:val="it-IT"/>
          </w:rPr>
          <w:t>doc</w:t>
        </w:r>
        <w:r w:rsidRPr="009406F6">
          <w:rPr>
            <w:rStyle w:val="Hyperlink"/>
            <w:sz w:val="18"/>
            <w:szCs w:val="18"/>
          </w:rPr>
          <w:t>/</w:t>
        </w:r>
        <w:r w:rsidRPr="009406F6">
          <w:rPr>
            <w:rStyle w:val="Hyperlink"/>
            <w:sz w:val="18"/>
            <w:szCs w:val="18"/>
            <w:lang w:val="it-IT"/>
          </w:rPr>
          <w:t>Vodic</w:t>
        </w:r>
        <w:r w:rsidRPr="009406F6">
          <w:rPr>
            <w:rStyle w:val="Hyperlink"/>
            <w:sz w:val="18"/>
            <w:szCs w:val="18"/>
          </w:rPr>
          <w:t>_</w:t>
        </w:r>
        <w:r w:rsidRPr="009406F6">
          <w:rPr>
            <w:rStyle w:val="Hyperlink"/>
            <w:sz w:val="18"/>
            <w:szCs w:val="18"/>
            <w:lang w:val="it-IT"/>
          </w:rPr>
          <w:t>za</w:t>
        </w:r>
        <w:r w:rsidRPr="009406F6">
          <w:rPr>
            <w:rStyle w:val="Hyperlink"/>
            <w:sz w:val="18"/>
            <w:szCs w:val="18"/>
          </w:rPr>
          <w:t>_</w:t>
        </w:r>
        <w:r w:rsidRPr="009406F6">
          <w:rPr>
            <w:rStyle w:val="Hyperlink"/>
            <w:sz w:val="18"/>
            <w:szCs w:val="18"/>
            <w:lang w:val="it-IT"/>
          </w:rPr>
          <w:t>maloljetnike</w:t>
        </w:r>
        <w:r w:rsidRPr="009406F6">
          <w:rPr>
            <w:rStyle w:val="Hyperlink"/>
            <w:sz w:val="18"/>
            <w:szCs w:val="18"/>
          </w:rPr>
          <w:t>_-_</w:t>
        </w:r>
        <w:r w:rsidRPr="009406F6">
          <w:rPr>
            <w:rStyle w:val="Hyperlink"/>
            <w:sz w:val="18"/>
            <w:szCs w:val="18"/>
            <w:lang w:val="it-IT"/>
          </w:rPr>
          <w:t>D</w:t>
        </w:r>
        <w:r w:rsidRPr="009406F6">
          <w:rPr>
            <w:rStyle w:val="Hyperlink"/>
            <w:sz w:val="18"/>
            <w:szCs w:val="18"/>
          </w:rPr>
          <w:t>__</w:t>
        </w:r>
        <w:r w:rsidRPr="009406F6">
          <w:rPr>
            <w:rStyle w:val="Hyperlink"/>
            <w:sz w:val="18"/>
            <w:szCs w:val="18"/>
            <w:lang w:val="it-IT"/>
          </w:rPr>
          <w:t>WEB</w:t>
        </w:r>
        <w:r w:rsidRPr="009406F6">
          <w:rPr>
            <w:rStyle w:val="Hyperlink"/>
            <w:sz w:val="18"/>
            <w:szCs w:val="18"/>
          </w:rPr>
          <w:t>.</w:t>
        </w:r>
        <w:r w:rsidRPr="009406F6">
          <w:rPr>
            <w:rStyle w:val="Hyperlink"/>
            <w:sz w:val="18"/>
            <w:szCs w:val="18"/>
            <w:lang w:val="it-IT"/>
          </w:rPr>
          <w:t>PDF</w:t>
        </w:r>
      </w:hyperlink>
      <w:r>
        <w:rPr>
          <w:rStyle w:val="Hyperlink"/>
          <w:sz w:val="18"/>
          <w:szCs w:val="18"/>
          <w:lang w:val="it-IT"/>
        </w:rPr>
        <w:t>.</w:t>
      </w:r>
    </w:p>
  </w:footnote>
  <w:footnote w:id="56">
    <w:p w14:paraId="79461D53" w14:textId="77777777" w:rsidR="001D6F9B" w:rsidRPr="00001BCC" w:rsidRDefault="001D6F9B" w:rsidP="0037679F">
      <w:pPr>
        <w:spacing w:after="0"/>
        <w:rPr>
          <w:sz w:val="18"/>
          <w:szCs w:val="18"/>
        </w:rPr>
      </w:pPr>
      <w:r w:rsidRPr="00001BCC">
        <w:rPr>
          <w:rStyle w:val="FootnoteReference"/>
          <w:sz w:val="18"/>
          <w:szCs w:val="18"/>
        </w:rPr>
        <w:footnoteRef/>
      </w:r>
      <w:r w:rsidRPr="00001BCC">
        <w:rPr>
          <w:sz w:val="18"/>
          <w:szCs w:val="18"/>
        </w:rPr>
        <w:t xml:space="preserve"> Iako je dijete svaka osoba koja nema navršenih 18 godina života, sistem zdravstva i dalje dijeli djecu na sljedeće podkategorije i tako im obezbjeđuje psihološko-psihijatrijski tretman:</w:t>
      </w:r>
    </w:p>
    <w:p w14:paraId="11E002CC" w14:textId="737FBA7F" w:rsidR="001D6F9B" w:rsidRPr="00001BCC" w:rsidRDefault="001D6F9B" w:rsidP="0037679F">
      <w:pPr>
        <w:numPr>
          <w:ilvl w:val="0"/>
          <w:numId w:val="29"/>
        </w:numPr>
        <w:spacing w:after="0"/>
        <w:rPr>
          <w:sz w:val="18"/>
          <w:szCs w:val="18"/>
        </w:rPr>
      </w:pPr>
      <w:r w:rsidRPr="00001BCC">
        <w:rPr>
          <w:sz w:val="18"/>
          <w:szCs w:val="18"/>
        </w:rPr>
        <w:t>Za djecu do 14 godina u Dom zdravlja, Centar za djecu sa posebnim potrebama (i dalje je u upotrebi termin “posebne potrebe”, umjesto “razvojne teškoće/smetnje”</w:t>
      </w:r>
      <w:r>
        <w:rPr>
          <w:sz w:val="18"/>
          <w:szCs w:val="18"/>
        </w:rPr>
        <w:t>;</w:t>
      </w:r>
    </w:p>
    <w:p w14:paraId="59D81982" w14:textId="0622848A" w:rsidR="001D6F9B" w:rsidRPr="00001BCC" w:rsidRDefault="001D6F9B" w:rsidP="0037679F">
      <w:pPr>
        <w:numPr>
          <w:ilvl w:val="0"/>
          <w:numId w:val="29"/>
        </w:numPr>
        <w:spacing w:after="0"/>
        <w:rPr>
          <w:sz w:val="18"/>
          <w:szCs w:val="18"/>
        </w:rPr>
      </w:pPr>
      <w:r w:rsidRPr="00001BCC">
        <w:rPr>
          <w:sz w:val="18"/>
          <w:szCs w:val="18"/>
        </w:rPr>
        <w:t>Za djecu od 14-16 godina, u Centar za rani razvoj (raniji naziv Centar za autizam, razvojne smetnje i dječiju psihijatriju), koji se nalazi u Podgorici i organizaciona je jedinica Instituta za bolesti djece</w:t>
      </w:r>
      <w:r>
        <w:rPr>
          <w:sz w:val="18"/>
          <w:szCs w:val="18"/>
        </w:rPr>
        <w:t>;</w:t>
      </w:r>
    </w:p>
    <w:p w14:paraId="5257826B" w14:textId="754352E9" w:rsidR="001D6F9B" w:rsidRPr="00001BCC" w:rsidRDefault="001D6F9B" w:rsidP="0037679F">
      <w:pPr>
        <w:numPr>
          <w:ilvl w:val="0"/>
          <w:numId w:val="29"/>
        </w:numPr>
        <w:spacing w:after="0"/>
        <w:rPr>
          <w:sz w:val="18"/>
          <w:szCs w:val="18"/>
        </w:rPr>
      </w:pPr>
      <w:r w:rsidRPr="00001BCC">
        <w:rPr>
          <w:sz w:val="18"/>
          <w:szCs w:val="18"/>
        </w:rPr>
        <w:t>Za djecu od 16 godine, a negdje samo za djecu nakon navršene 18. godine, u Domu zdravlja, u Centru za mentalno zdravlje</w:t>
      </w:r>
      <w:r>
        <w:rPr>
          <w:sz w:val="18"/>
          <w:szCs w:val="18"/>
        </w:rPr>
        <w:t>;</w:t>
      </w:r>
    </w:p>
    <w:p w14:paraId="023315D2" w14:textId="77777777" w:rsidR="001D6F9B" w:rsidRPr="00001BCC" w:rsidRDefault="001D6F9B" w:rsidP="0037679F">
      <w:pPr>
        <w:numPr>
          <w:ilvl w:val="0"/>
          <w:numId w:val="29"/>
        </w:numPr>
        <w:spacing w:after="0"/>
        <w:rPr>
          <w:sz w:val="18"/>
          <w:szCs w:val="18"/>
        </w:rPr>
      </w:pPr>
      <w:r w:rsidRPr="00001BCC">
        <w:rPr>
          <w:sz w:val="18"/>
          <w:szCs w:val="18"/>
        </w:rPr>
        <w:t>Na ovaj način, u nekim sredinama zdravstveni sistem ne pruža pomoć djeci (npr. za dijete staro 15 godina, žrtvu seksulanog zlostavljanja, u jednom domu zdravlja nije moguće da dobije pomoć dok ne napuni 18 godina).</w:t>
      </w:r>
    </w:p>
    <w:p w14:paraId="7CD8CFAF" w14:textId="32D09800" w:rsidR="001D6F9B" w:rsidRPr="00001BCC" w:rsidRDefault="001D6F9B" w:rsidP="0037679F">
      <w:pPr>
        <w:numPr>
          <w:ilvl w:val="0"/>
          <w:numId w:val="30"/>
        </w:numPr>
        <w:spacing w:after="0"/>
        <w:rPr>
          <w:sz w:val="18"/>
          <w:szCs w:val="18"/>
        </w:rPr>
      </w:pPr>
      <w:r w:rsidRPr="00001BCC">
        <w:rPr>
          <w:sz w:val="18"/>
          <w:szCs w:val="18"/>
        </w:rPr>
        <w:t>A za djecu u Kolašinu, Plavu, Rožajama, nema zaposlenog psihologa u Domu zdravlja</w:t>
      </w:r>
      <w:r>
        <w:rPr>
          <w:sz w:val="18"/>
          <w:szCs w:val="18"/>
        </w:rPr>
        <w:t>.</w:t>
      </w:r>
    </w:p>
  </w:footnote>
  <w:footnote w:id="57">
    <w:p w14:paraId="24A467D6" w14:textId="77777777" w:rsidR="001D6F9B" w:rsidRPr="00001BCC" w:rsidRDefault="001D6F9B" w:rsidP="0088655B">
      <w:pPr>
        <w:pStyle w:val="FootnoteText"/>
        <w:contextualSpacing/>
        <w:rPr>
          <w:rFonts w:asciiTheme="minorHAnsi" w:hAnsiTheme="minorHAnsi"/>
          <w:sz w:val="18"/>
          <w:szCs w:val="18"/>
          <w:lang w:val="sr-Latn-ME"/>
        </w:rPr>
      </w:pPr>
      <w:r w:rsidRPr="00001BCC">
        <w:rPr>
          <w:rStyle w:val="FootnoteReference"/>
          <w:rFonts w:asciiTheme="minorHAnsi" w:hAnsiTheme="minorHAnsi"/>
          <w:sz w:val="18"/>
          <w:szCs w:val="18"/>
          <w:lang w:val="sr-Latn-ME"/>
        </w:rPr>
        <w:footnoteRef/>
      </w:r>
      <w:r w:rsidRPr="00001BCC">
        <w:rPr>
          <w:rFonts w:asciiTheme="minorHAnsi" w:hAnsiTheme="minorHAnsi"/>
          <w:sz w:val="18"/>
          <w:szCs w:val="18"/>
          <w:lang w:val="sr-Latn-ME"/>
        </w:rPr>
        <w:t xml:space="preserve"> Izvještaj Zaštitnika, 2022.god.</w:t>
      </w:r>
    </w:p>
  </w:footnote>
  <w:footnote w:id="58">
    <w:p w14:paraId="52303F81" w14:textId="032D818F" w:rsidR="001D6F9B" w:rsidRPr="00001BCC" w:rsidRDefault="001D6F9B">
      <w:pPr>
        <w:pStyle w:val="FootnoteText"/>
        <w:rPr>
          <w:rFonts w:asciiTheme="minorHAnsi" w:hAnsiTheme="minorHAnsi"/>
          <w:sz w:val="18"/>
          <w:szCs w:val="18"/>
          <w:lang w:val="sr-Latn-ME"/>
        </w:rPr>
      </w:pPr>
      <w:r w:rsidRPr="00001BCC">
        <w:rPr>
          <w:rStyle w:val="FootnoteReference"/>
          <w:rFonts w:asciiTheme="minorHAnsi" w:hAnsiTheme="minorHAnsi"/>
          <w:sz w:val="18"/>
          <w:szCs w:val="18"/>
        </w:rPr>
        <w:footnoteRef/>
      </w:r>
      <w:r w:rsidRPr="00001BCC">
        <w:rPr>
          <w:rFonts w:asciiTheme="minorHAnsi" w:hAnsiTheme="minorHAnsi"/>
          <w:sz w:val="18"/>
          <w:szCs w:val="18"/>
          <w:lang w:val="sr-Latn-ME"/>
        </w:rPr>
        <w:t xml:space="preserve"> </w:t>
      </w:r>
      <w:r w:rsidRPr="00001BCC">
        <w:rPr>
          <w:rFonts w:asciiTheme="minorHAnsi" w:eastAsiaTheme="majorEastAsia" w:hAnsiTheme="minorHAnsi" w:cstheme="minorHAnsi"/>
          <w:sz w:val="18"/>
          <w:szCs w:val="18"/>
          <w:lang w:val="sr-Latn-ME"/>
        </w:rPr>
        <w:t>„</w:t>
      </w:r>
      <w:r w:rsidRPr="00001BCC">
        <w:rPr>
          <w:rFonts w:asciiTheme="minorHAnsi" w:eastAsiaTheme="majorEastAsia" w:hAnsiTheme="minorHAnsi" w:cstheme="minorHAnsi"/>
          <w:sz w:val="18"/>
          <w:szCs w:val="18"/>
        </w:rPr>
        <w:t>Standardne</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operativne</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procedure</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me</w:t>
      </w:r>
      <w:r w:rsidRPr="00001BCC">
        <w:rPr>
          <w:rFonts w:asciiTheme="minorHAnsi" w:eastAsiaTheme="majorEastAsia" w:hAnsiTheme="minorHAnsi" w:cstheme="minorHAnsi"/>
          <w:sz w:val="18"/>
          <w:szCs w:val="18"/>
          <w:lang w:val="sr-Latn-ME"/>
        </w:rPr>
        <w:t>đ</w:t>
      </w:r>
      <w:r w:rsidRPr="00001BCC">
        <w:rPr>
          <w:rFonts w:asciiTheme="minorHAnsi" w:eastAsiaTheme="majorEastAsia" w:hAnsiTheme="minorHAnsi" w:cstheme="minorHAnsi"/>
          <w:sz w:val="18"/>
          <w:szCs w:val="18"/>
        </w:rPr>
        <w:t>usektorsku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saradnju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radu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djecom</w:t>
      </w:r>
      <w:r w:rsidRPr="00001BCC">
        <w:rPr>
          <w:rFonts w:asciiTheme="minorHAnsi" w:eastAsiaTheme="majorEastAsia" w:hAnsiTheme="minorHAnsi" w:cstheme="minorHAnsi"/>
          <w:sz w:val="18"/>
          <w:szCs w:val="18"/>
          <w:lang w:val="sr-Latn-ME"/>
        </w:rPr>
        <w:t xml:space="preserve"> ž</w:t>
      </w:r>
      <w:r w:rsidRPr="00001BCC">
        <w:rPr>
          <w:rFonts w:asciiTheme="minorHAnsi" w:eastAsiaTheme="majorEastAsia" w:hAnsiTheme="minorHAnsi" w:cstheme="minorHAnsi"/>
          <w:sz w:val="18"/>
          <w:szCs w:val="18"/>
        </w:rPr>
        <w:t>rtvama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nasilja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iskori</w:t>
      </w:r>
      <w:r w:rsidRPr="00001BCC">
        <w:rPr>
          <w:rFonts w:asciiTheme="minorHAnsi" w:eastAsiaTheme="majorEastAsia" w:hAnsiTheme="minorHAnsi" w:cstheme="minorHAnsi"/>
          <w:sz w:val="18"/>
          <w:szCs w:val="18"/>
          <w:lang w:val="sr-Latn-ME"/>
        </w:rPr>
        <w:t>š</w:t>
      </w:r>
      <w:r w:rsidRPr="00001BCC">
        <w:rPr>
          <w:rFonts w:asciiTheme="minorHAnsi" w:eastAsiaTheme="majorEastAsia" w:hAnsiTheme="minorHAnsi" w:cstheme="minorHAnsi"/>
          <w:sz w:val="18"/>
          <w:szCs w:val="18"/>
        </w:rPr>
        <w:t>tavanja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Crnoj</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Gori</w:t>
      </w:r>
      <w:r w:rsidRPr="00001BCC">
        <w:rPr>
          <w:rFonts w:asciiTheme="minorHAnsi" w:eastAsiaTheme="majorEastAsia" w:hAnsiTheme="minorHAnsi" w:cstheme="minorHAnsi"/>
          <w:sz w:val="18"/>
          <w:szCs w:val="18"/>
          <w:lang w:val="sr-Latn-ME"/>
        </w:rPr>
        <w:t>“</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iz</w:t>
      </w:r>
      <w:r w:rsidRPr="00001BCC">
        <w:rPr>
          <w:rFonts w:asciiTheme="minorHAnsi" w:hAnsiTheme="minorHAnsi" w:cstheme="minorHAnsi"/>
          <w:sz w:val="18"/>
          <w:szCs w:val="18"/>
          <w:lang w:val="sr-Latn-ME"/>
        </w:rPr>
        <w:t xml:space="preserve"> </w:t>
      </w:r>
      <w:r w:rsidRPr="00001BCC">
        <w:rPr>
          <w:rFonts w:asciiTheme="minorHAnsi" w:eastAsiaTheme="majorEastAsia" w:hAnsiTheme="minorHAnsi" w:cstheme="minorHAnsi"/>
          <w:sz w:val="18"/>
          <w:szCs w:val="18"/>
          <w:lang w:val="sr-Latn-ME"/>
        </w:rPr>
        <w:t xml:space="preserve"> 2020.</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godine</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izra</w:t>
      </w:r>
      <w:r w:rsidRPr="00001BCC">
        <w:rPr>
          <w:rFonts w:asciiTheme="minorHAnsi" w:hAnsiTheme="minorHAnsi" w:cstheme="minorHAnsi"/>
          <w:sz w:val="18"/>
          <w:szCs w:val="18"/>
          <w:lang w:val="sr-Latn-ME"/>
        </w:rPr>
        <w:t>đ</w:t>
      </w:r>
      <w:r w:rsidRPr="00001BCC">
        <w:rPr>
          <w:rFonts w:asciiTheme="minorHAnsi" w:hAnsiTheme="minorHAnsi" w:cstheme="minorHAnsi"/>
          <w:sz w:val="18"/>
          <w:szCs w:val="18"/>
        </w:rPr>
        <w:t>ene</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u</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saradnji</w:t>
      </w:r>
      <w:r w:rsidRPr="00001BCC">
        <w:rPr>
          <w:rFonts w:asciiTheme="minorHAnsi" w:hAnsiTheme="minorHAnsi" w:cstheme="minorHAnsi"/>
          <w:sz w:val="18"/>
          <w:szCs w:val="18"/>
          <w:lang w:val="sr-Latn-ME"/>
        </w:rPr>
        <w:t xml:space="preserve"> </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Zavoda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socijalnu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dje</w:t>
      </w:r>
      <w:r w:rsidRPr="00001BCC">
        <w:rPr>
          <w:rFonts w:asciiTheme="minorHAnsi" w:eastAsiaTheme="majorEastAsia" w:hAnsiTheme="minorHAnsi" w:cstheme="minorHAnsi"/>
          <w:sz w:val="18"/>
          <w:szCs w:val="18"/>
          <w:lang w:val="sr-Latn-ME"/>
        </w:rPr>
        <w:t>č</w:t>
      </w:r>
      <w:r w:rsidRPr="00001BCC">
        <w:rPr>
          <w:rFonts w:asciiTheme="minorHAnsi" w:eastAsiaTheme="majorEastAsia" w:hAnsiTheme="minorHAnsi" w:cstheme="minorHAnsi"/>
          <w:sz w:val="18"/>
          <w:szCs w:val="18"/>
        </w:rPr>
        <w:t>iju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w:t>
      </w:r>
      <w:r w:rsidRPr="00001BCC">
        <w:rPr>
          <w:rFonts w:asciiTheme="minorHAnsi" w:eastAsiaTheme="majorEastAsia" w:hAnsiTheme="minorHAnsi" w:cstheme="minorHAnsi"/>
          <w:sz w:val="18"/>
          <w:szCs w:val="18"/>
          <w:lang w:val="sr-Latn-ME"/>
        </w:rPr>
        <w:t>š</w:t>
      </w:r>
      <w:r w:rsidRPr="00001BCC">
        <w:rPr>
          <w:rFonts w:asciiTheme="minorHAnsi" w:eastAsiaTheme="majorEastAsia" w:hAnsiTheme="minorHAnsi" w:cstheme="minorHAnsi"/>
          <w:sz w:val="18"/>
          <w:szCs w:val="18"/>
        </w:rPr>
        <w:t>titu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Ministrstva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rada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socijalnog</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staranja</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i</w:t>
      </w:r>
      <w:r w:rsidRPr="00001BCC">
        <w:rPr>
          <w:rFonts w:asciiTheme="minorHAnsi" w:hAnsiTheme="minorHAnsi" w:cstheme="minorHAnsi"/>
          <w:sz w:val="18"/>
          <w:szCs w:val="18"/>
          <w:lang w:val="sr-Latn-ME"/>
        </w:rPr>
        <w:t xml:space="preserve"> </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UNICEF</w:t>
      </w:r>
      <w:r w:rsidRPr="00001BCC">
        <w:rPr>
          <w:rFonts w:asciiTheme="minorHAnsi" w:eastAsiaTheme="majorEastAsia" w:hAnsiTheme="minorHAnsi" w:cstheme="minorHAnsi"/>
          <w:sz w:val="18"/>
          <w:szCs w:val="18"/>
          <w:lang w:val="sr-Latn-ME"/>
        </w:rPr>
        <w:t>-</w:t>
      </w:r>
      <w:r w:rsidRPr="00001BCC">
        <w:rPr>
          <w:rFonts w:asciiTheme="minorHAnsi" w:eastAsiaTheme="majorEastAsia" w:hAnsiTheme="minorHAnsi" w:cstheme="minorHAnsi"/>
          <w:sz w:val="18"/>
          <w:szCs w:val="18"/>
        </w:rPr>
        <w:t>a</w:t>
      </w:r>
      <w:r w:rsidRPr="00001BCC">
        <w:rPr>
          <w:rFonts w:asciiTheme="minorHAnsi" w:eastAsiaTheme="majorEastAsia" w:hAnsiTheme="minorHAnsi" w:cstheme="minorHAnsi"/>
          <w:sz w:val="18"/>
          <w:szCs w:val="18"/>
          <w:lang w:val="sr-Latn-ME"/>
        </w:rPr>
        <w:t xml:space="preserve">; </w:t>
      </w:r>
      <w:hyperlink r:id="rId29" w:history="1">
        <w:r w:rsidRPr="00001BCC">
          <w:rPr>
            <w:rStyle w:val="Hyperlink"/>
            <w:rFonts w:asciiTheme="minorHAnsi" w:eastAsiaTheme="majorEastAsia" w:hAnsiTheme="minorHAnsi" w:cstheme="minorHAnsi"/>
            <w:sz w:val="18"/>
            <w:szCs w:val="18"/>
          </w:rPr>
          <w:t>https</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www</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zsdzcg</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me</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sites</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zsdzcg</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me</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files</w:t>
        </w:r>
        <w:r w:rsidRPr="00001BCC">
          <w:rPr>
            <w:rStyle w:val="Hyperlink"/>
            <w:rFonts w:asciiTheme="minorHAnsi" w:eastAsiaTheme="majorEastAsia" w:hAnsiTheme="minorHAnsi" w:cstheme="minorHAnsi"/>
            <w:sz w:val="18"/>
            <w:szCs w:val="18"/>
            <w:lang w:val="sr-Latn-ME"/>
          </w:rPr>
          <w:t>/2024-02/</w:t>
        </w:r>
        <w:r w:rsidRPr="00001BCC">
          <w:rPr>
            <w:rStyle w:val="Hyperlink"/>
            <w:rFonts w:asciiTheme="minorHAnsi" w:eastAsiaTheme="majorEastAsia" w:hAnsiTheme="minorHAnsi" w:cstheme="minorHAnsi"/>
            <w:sz w:val="18"/>
            <w:szCs w:val="18"/>
          </w:rPr>
          <w:t>unicef</w:t>
        </w:r>
        <w:r w:rsidRPr="00001BCC">
          <w:rPr>
            <w:rStyle w:val="Hyperlink"/>
            <w:rFonts w:asciiTheme="minorHAnsi" w:eastAsiaTheme="majorEastAsia" w:hAnsiTheme="minorHAnsi" w:cstheme="minorHAnsi"/>
            <w:sz w:val="18"/>
            <w:szCs w:val="18"/>
            <w:lang w:val="sr-Latn-ME"/>
          </w:rPr>
          <w:t>_-_</w:t>
        </w:r>
        <w:r w:rsidRPr="00001BCC">
          <w:rPr>
            <w:rStyle w:val="Hyperlink"/>
            <w:rFonts w:asciiTheme="minorHAnsi" w:eastAsiaTheme="majorEastAsia" w:hAnsiTheme="minorHAnsi" w:cstheme="minorHAnsi"/>
            <w:sz w:val="18"/>
            <w:szCs w:val="18"/>
          </w:rPr>
          <w:t>sop</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za</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medjusektorsku</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saradnju</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web</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pdf</w:t>
        </w:r>
      </w:hyperlink>
      <w:r>
        <w:rPr>
          <w:rFonts w:asciiTheme="minorHAnsi" w:hAnsiTheme="minorHAnsi" w:cstheme="minorHAnsi"/>
          <w:sz w:val="18"/>
          <w:szCs w:val="18"/>
          <w:lang w:val="sr-Latn-ME"/>
        </w:rPr>
        <w:t xml:space="preserve">. </w:t>
      </w:r>
    </w:p>
  </w:footnote>
  <w:footnote w:id="59">
    <w:p w14:paraId="20010BA3" w14:textId="77777777" w:rsidR="001D6F9B" w:rsidRPr="00001BCC" w:rsidRDefault="001D6F9B" w:rsidP="00FC4AFE">
      <w:pPr>
        <w:pStyle w:val="FootnoteText"/>
        <w:contextualSpacing/>
        <w:rPr>
          <w:rFonts w:asciiTheme="minorHAnsi" w:hAnsiTheme="minorHAnsi"/>
          <w:sz w:val="18"/>
          <w:szCs w:val="18"/>
          <w:lang w:val="sr-Latn-ME"/>
        </w:rPr>
      </w:pPr>
      <w:r w:rsidRPr="00001BCC">
        <w:rPr>
          <w:rStyle w:val="FootnoteReference"/>
          <w:rFonts w:asciiTheme="minorHAnsi" w:hAnsiTheme="minorHAnsi"/>
          <w:sz w:val="18"/>
          <w:szCs w:val="18"/>
          <w:lang w:val="sr-Latn-ME"/>
        </w:rPr>
        <w:footnoteRef/>
      </w:r>
      <w:r w:rsidRPr="00001BCC">
        <w:rPr>
          <w:rFonts w:asciiTheme="minorHAnsi" w:hAnsiTheme="minorHAnsi"/>
          <w:sz w:val="18"/>
          <w:szCs w:val="18"/>
          <w:lang w:val="sr-Latn-ME"/>
        </w:rPr>
        <w:t xml:space="preserve"> UNICEF i SE, FEASIBILITY STUDY FOR BARNAHUS IN MONTENEGRO, 2022.</w:t>
      </w:r>
    </w:p>
  </w:footnote>
  <w:footnote w:id="60">
    <w:p w14:paraId="5463BD0F" w14:textId="2DFD7F64" w:rsidR="001D6F9B" w:rsidRPr="00985C21" w:rsidRDefault="001D6F9B">
      <w:pPr>
        <w:pStyle w:val="FootnoteText"/>
        <w:rPr>
          <w:lang w:val="sr-Latn-ME"/>
        </w:rPr>
      </w:pPr>
      <w:r w:rsidRPr="00001BCC">
        <w:rPr>
          <w:rStyle w:val="FootnoteReference"/>
          <w:rFonts w:asciiTheme="minorHAnsi" w:hAnsiTheme="minorHAnsi"/>
          <w:sz w:val="18"/>
          <w:szCs w:val="18"/>
        </w:rPr>
        <w:footnoteRef/>
      </w:r>
      <w:r w:rsidRPr="00001BCC">
        <w:rPr>
          <w:rFonts w:asciiTheme="minorHAnsi" w:hAnsiTheme="minorHAnsi"/>
          <w:sz w:val="18"/>
          <w:szCs w:val="18"/>
          <w:lang w:val="sr-Latn-ME"/>
        </w:rPr>
        <w:t xml:space="preserve"> </w:t>
      </w:r>
      <w:r w:rsidRPr="00001BCC">
        <w:rPr>
          <w:rFonts w:asciiTheme="minorHAnsi" w:hAnsiTheme="minorHAnsi"/>
          <w:sz w:val="18"/>
          <w:szCs w:val="18"/>
          <w:lang w:val="it-IT"/>
        </w:rPr>
        <w:t>Vidi</w:t>
      </w:r>
      <w:r w:rsidRPr="00001BCC">
        <w:rPr>
          <w:rFonts w:asciiTheme="minorHAnsi" w:hAnsiTheme="minorHAnsi"/>
          <w:sz w:val="18"/>
          <w:szCs w:val="18"/>
          <w:lang w:val="sr-Latn-ME"/>
        </w:rPr>
        <w:t xml:space="preserve"> više na: </w:t>
      </w:r>
      <w:hyperlink r:id="rId30" w:history="1">
        <w:r w:rsidRPr="00001BCC">
          <w:rPr>
            <w:rStyle w:val="Hyperlink"/>
            <w:rFonts w:asciiTheme="minorHAnsi" w:hAnsiTheme="minorHAnsi"/>
            <w:sz w:val="18"/>
            <w:szCs w:val="18"/>
            <w:lang w:val="sr-Latn-ME"/>
          </w:rPr>
          <w:t>https://www.coe.int/en/web/anti-human-trafficking/montenegro1</w:t>
        </w:r>
      </w:hyperlink>
      <w:r w:rsidRPr="00001BCC">
        <w:rPr>
          <w:rFonts w:asciiTheme="minorHAnsi" w:hAnsiTheme="minorHAnsi"/>
          <w:sz w:val="18"/>
          <w:szCs w:val="18"/>
          <w:lang w:val="sr-Latn-ME"/>
        </w:rPr>
        <w:t>, pristupljeno 2.9.2025. godine</w:t>
      </w:r>
      <w:r>
        <w:rPr>
          <w:rFonts w:asciiTheme="minorHAnsi" w:hAnsiTheme="minorHAnsi"/>
          <w:sz w:val="18"/>
          <w:szCs w:val="18"/>
          <w:lang w:val="sr-Latn-ME"/>
        </w:rPr>
        <w:t>.</w:t>
      </w:r>
    </w:p>
  </w:footnote>
  <w:footnote w:id="61">
    <w:p w14:paraId="63282289" w14:textId="77777777" w:rsidR="001D6F9B" w:rsidRPr="00824688" w:rsidRDefault="001D6F9B" w:rsidP="00F61EAC">
      <w:pPr>
        <w:pStyle w:val="FootnoteText"/>
        <w:contextualSpacing/>
        <w:rPr>
          <w:rFonts w:asciiTheme="minorHAnsi" w:hAnsiTheme="minorHAnsi" w:cstheme="minorHAnsi"/>
          <w:sz w:val="18"/>
          <w:szCs w:val="18"/>
          <w:lang w:val="sr-Latn-ME"/>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Rje</w:t>
      </w:r>
      <w:r w:rsidRPr="00824688">
        <w:rPr>
          <w:rFonts w:asciiTheme="minorHAnsi" w:hAnsiTheme="minorHAnsi" w:cstheme="minorHAnsi"/>
          <w:sz w:val="18"/>
          <w:szCs w:val="18"/>
          <w:lang w:val="sr-Latn-ME"/>
        </w:rPr>
        <w:t>š</w:t>
      </w:r>
      <w:r w:rsidRPr="00BD46D3">
        <w:rPr>
          <w:rFonts w:asciiTheme="minorHAnsi" w:hAnsiTheme="minorHAnsi" w:cstheme="minorHAnsi"/>
          <w:sz w:val="18"/>
          <w:szCs w:val="18"/>
        </w:rPr>
        <w:t>enje</w:t>
      </w:r>
      <w:r w:rsidRPr="00824688">
        <w:rPr>
          <w:rFonts w:asciiTheme="minorHAnsi" w:hAnsiTheme="minorHAnsi" w:cstheme="minorHAnsi"/>
          <w:sz w:val="18"/>
          <w:szCs w:val="18"/>
          <w:lang w:val="sr-Latn-ME"/>
        </w:rPr>
        <w:t xml:space="preserve"> </w:t>
      </w:r>
      <w:r w:rsidRPr="00BD46D3">
        <w:rPr>
          <w:rFonts w:asciiTheme="minorHAnsi" w:hAnsiTheme="minorHAnsi" w:cstheme="minorHAnsi"/>
          <w:sz w:val="18"/>
          <w:szCs w:val="18"/>
        </w:rPr>
        <w:t>br</w:t>
      </w:r>
      <w:r w:rsidRPr="00824688">
        <w:rPr>
          <w:rFonts w:asciiTheme="minorHAnsi" w:hAnsiTheme="minorHAnsi" w:cstheme="minorHAnsi"/>
          <w:sz w:val="18"/>
          <w:szCs w:val="18"/>
          <w:lang w:val="sr-Latn-ME"/>
        </w:rPr>
        <w:t xml:space="preserve">. 47-050/18-88182, </w:t>
      </w:r>
      <w:r w:rsidRPr="00BD46D3">
        <w:rPr>
          <w:rFonts w:asciiTheme="minorHAnsi" w:hAnsiTheme="minorHAnsi" w:cstheme="minorHAnsi"/>
          <w:sz w:val="18"/>
          <w:szCs w:val="18"/>
        </w:rPr>
        <w:t>br</w:t>
      </w:r>
      <w:r w:rsidRPr="00824688">
        <w:rPr>
          <w:rFonts w:asciiTheme="minorHAnsi" w:hAnsiTheme="minorHAnsi" w:cstheme="minorHAnsi"/>
          <w:sz w:val="18"/>
          <w:szCs w:val="18"/>
          <w:lang w:val="sr-Latn-ME"/>
        </w:rPr>
        <w:t xml:space="preserve">. 484/18 </w:t>
      </w:r>
      <w:r w:rsidRPr="00BD46D3">
        <w:rPr>
          <w:rFonts w:asciiTheme="minorHAnsi" w:hAnsiTheme="minorHAnsi" w:cstheme="minorHAnsi"/>
          <w:sz w:val="18"/>
          <w:szCs w:val="18"/>
        </w:rPr>
        <w:t>od</w:t>
      </w:r>
      <w:r w:rsidRPr="00824688">
        <w:rPr>
          <w:rFonts w:asciiTheme="minorHAnsi" w:hAnsiTheme="minorHAnsi" w:cstheme="minorHAnsi"/>
          <w:sz w:val="18"/>
          <w:szCs w:val="18"/>
          <w:lang w:val="sr-Latn-ME"/>
        </w:rPr>
        <w:t xml:space="preserve"> 06.12.2018. </w:t>
      </w:r>
    </w:p>
  </w:footnote>
  <w:footnote w:id="62">
    <w:p w14:paraId="15C1D610" w14:textId="77777777" w:rsidR="001D6F9B" w:rsidRPr="00824688" w:rsidRDefault="001D6F9B" w:rsidP="00F61EAC">
      <w:pPr>
        <w:pStyle w:val="FootnoteText"/>
        <w:contextualSpacing/>
        <w:rPr>
          <w:rFonts w:asciiTheme="minorHAnsi" w:hAnsiTheme="minorHAnsi" w:cstheme="minorHAnsi"/>
          <w:sz w:val="18"/>
          <w:szCs w:val="18"/>
          <w:lang w:val="sr-Latn-ME"/>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Rje</w:t>
      </w:r>
      <w:r w:rsidRPr="00824688">
        <w:rPr>
          <w:rFonts w:asciiTheme="minorHAnsi" w:hAnsiTheme="minorHAnsi" w:cstheme="minorHAnsi"/>
          <w:sz w:val="18"/>
          <w:szCs w:val="18"/>
          <w:lang w:val="sr-Latn-ME"/>
        </w:rPr>
        <w:t>š</w:t>
      </w:r>
      <w:r w:rsidRPr="00BD46D3">
        <w:rPr>
          <w:rFonts w:asciiTheme="minorHAnsi" w:hAnsiTheme="minorHAnsi" w:cstheme="minorHAnsi"/>
          <w:sz w:val="18"/>
          <w:szCs w:val="18"/>
        </w:rPr>
        <w:t>enje</w:t>
      </w:r>
      <w:r w:rsidRPr="00824688">
        <w:rPr>
          <w:rFonts w:asciiTheme="minorHAnsi" w:hAnsiTheme="minorHAnsi" w:cstheme="minorHAnsi"/>
          <w:sz w:val="18"/>
          <w:szCs w:val="18"/>
          <w:lang w:val="sr-Latn-ME"/>
        </w:rPr>
        <w:t xml:space="preserve"> </w:t>
      </w:r>
      <w:r w:rsidRPr="00BD46D3">
        <w:rPr>
          <w:rFonts w:asciiTheme="minorHAnsi" w:hAnsiTheme="minorHAnsi" w:cstheme="minorHAnsi"/>
          <w:sz w:val="18"/>
          <w:szCs w:val="18"/>
        </w:rPr>
        <w:t>broj</w:t>
      </w:r>
      <w:r w:rsidRPr="00824688">
        <w:rPr>
          <w:rFonts w:asciiTheme="minorHAnsi" w:hAnsiTheme="minorHAnsi" w:cstheme="minorHAnsi"/>
          <w:sz w:val="18"/>
          <w:szCs w:val="18"/>
          <w:lang w:val="sr-Latn-ME"/>
        </w:rPr>
        <w:t xml:space="preserve">: 01-078/24-21552, </w:t>
      </w:r>
      <w:r w:rsidRPr="00BD46D3">
        <w:rPr>
          <w:rFonts w:asciiTheme="minorHAnsi" w:hAnsiTheme="minorHAnsi" w:cstheme="minorHAnsi"/>
          <w:sz w:val="18"/>
          <w:szCs w:val="18"/>
        </w:rPr>
        <w:t>Tu</w:t>
      </w:r>
      <w:r w:rsidRPr="00824688">
        <w:rPr>
          <w:rFonts w:asciiTheme="minorHAnsi" w:hAnsiTheme="minorHAnsi" w:cstheme="minorHAnsi"/>
          <w:sz w:val="18"/>
          <w:szCs w:val="18"/>
          <w:lang w:val="sr-Latn-ME"/>
        </w:rPr>
        <w:t>.</w:t>
      </w:r>
      <w:r w:rsidRPr="00BD46D3">
        <w:rPr>
          <w:rFonts w:asciiTheme="minorHAnsi" w:hAnsiTheme="minorHAnsi" w:cstheme="minorHAnsi"/>
          <w:sz w:val="18"/>
          <w:szCs w:val="18"/>
        </w:rPr>
        <w:t>br</w:t>
      </w:r>
      <w:r w:rsidRPr="00824688">
        <w:rPr>
          <w:rFonts w:asciiTheme="minorHAnsi" w:hAnsiTheme="minorHAnsi" w:cstheme="minorHAnsi"/>
          <w:sz w:val="18"/>
          <w:szCs w:val="18"/>
          <w:lang w:val="sr-Latn-ME"/>
        </w:rPr>
        <w:t xml:space="preserve">. 122/24 </w:t>
      </w:r>
      <w:r w:rsidRPr="00BD46D3">
        <w:rPr>
          <w:rFonts w:asciiTheme="minorHAnsi" w:hAnsiTheme="minorHAnsi" w:cstheme="minorHAnsi"/>
          <w:sz w:val="18"/>
          <w:szCs w:val="18"/>
        </w:rPr>
        <w:t>od</w:t>
      </w:r>
      <w:r w:rsidRPr="00824688">
        <w:rPr>
          <w:rFonts w:asciiTheme="minorHAnsi" w:hAnsiTheme="minorHAnsi" w:cstheme="minorHAnsi"/>
          <w:sz w:val="18"/>
          <w:szCs w:val="18"/>
          <w:lang w:val="sr-Latn-ME"/>
        </w:rPr>
        <w:t xml:space="preserve"> 17. </w:t>
      </w:r>
      <w:r w:rsidRPr="00BD46D3">
        <w:rPr>
          <w:rFonts w:asciiTheme="minorHAnsi" w:hAnsiTheme="minorHAnsi" w:cstheme="minorHAnsi"/>
          <w:sz w:val="18"/>
          <w:szCs w:val="18"/>
        </w:rPr>
        <w:t>aprila</w:t>
      </w:r>
      <w:r w:rsidRPr="00824688">
        <w:rPr>
          <w:rFonts w:asciiTheme="minorHAnsi" w:hAnsiTheme="minorHAnsi" w:cstheme="minorHAnsi"/>
          <w:sz w:val="18"/>
          <w:szCs w:val="18"/>
          <w:lang w:val="sr-Latn-ME"/>
        </w:rPr>
        <w:t xml:space="preserve"> 2024.</w:t>
      </w:r>
    </w:p>
  </w:footnote>
  <w:footnote w:id="63">
    <w:p w14:paraId="483DD3B1" w14:textId="77777777" w:rsidR="001D6F9B" w:rsidRPr="009406F6" w:rsidRDefault="001D6F9B" w:rsidP="00F61EAC">
      <w:pPr>
        <w:pStyle w:val="CommentText"/>
        <w:spacing w:after="0"/>
        <w:contextualSpacing/>
        <w:rPr>
          <w:rFonts w:cstheme="minorHAnsi"/>
          <w:sz w:val="18"/>
          <w:szCs w:val="18"/>
        </w:rPr>
      </w:pPr>
      <w:r w:rsidRPr="009406F6">
        <w:rPr>
          <w:rStyle w:val="FootnoteReference"/>
          <w:rFonts w:cstheme="minorHAnsi"/>
          <w:sz w:val="18"/>
          <w:szCs w:val="18"/>
        </w:rPr>
        <w:footnoteRef/>
      </w:r>
      <w:r w:rsidRPr="009406F6">
        <w:rPr>
          <w:rFonts w:cstheme="minorHAnsi"/>
          <w:sz w:val="18"/>
          <w:szCs w:val="18"/>
        </w:rPr>
        <w:t xml:space="preserve"> Predlogom zakona o izmjenama i dopunama Krivičnog zakonika u članu 445a propisano je krivično djelo Prodaja djece ( “Ko drugom protivpravno nudi, prihvata ili posreduje u prebacivanju djeteta za novčanu ili drugu naknadu, kazniće se zatvorom od jedne do deset godina.”). Ocekuje se videte stupanj I efektivnost negovog primenjivanja u praksi. </w:t>
      </w:r>
    </w:p>
  </w:footnote>
  <w:footnote w:id="64">
    <w:p w14:paraId="06EF09C4" w14:textId="618D217A" w:rsidR="001D6F9B" w:rsidRPr="009406F6" w:rsidRDefault="001D6F9B" w:rsidP="00F61EAC">
      <w:pPr>
        <w:pStyle w:val="FootnoteText"/>
        <w:contextualSpacing/>
        <w:rPr>
          <w:rFonts w:asciiTheme="minorHAnsi" w:hAnsiTheme="minorHAnsi"/>
          <w:sz w:val="18"/>
          <w:szCs w:val="18"/>
          <w:lang w:val="sr-Latn-ME"/>
        </w:rPr>
      </w:pPr>
      <w:r w:rsidRPr="009406F6">
        <w:rPr>
          <w:rStyle w:val="FootnoteReference"/>
          <w:rFonts w:asciiTheme="minorHAnsi" w:hAnsiTheme="minorHAnsi"/>
          <w:sz w:val="18"/>
          <w:szCs w:val="18"/>
          <w:lang w:val="sr-Latn-ME"/>
        </w:rPr>
        <w:footnoteRef/>
      </w:r>
      <w:r w:rsidRPr="009406F6">
        <w:rPr>
          <w:rFonts w:asciiTheme="minorHAnsi" w:hAnsiTheme="minorHAnsi"/>
          <w:sz w:val="18"/>
          <w:szCs w:val="18"/>
          <w:lang w:val="sr-Latn-ME"/>
        </w:rPr>
        <w:t xml:space="preserve"> GRETA, Evaluacioni izvještaj za Crnu Goru, treći krug evaluacije, Pristup pravdi i djelotvorni pravni ljekovi za žrtve trgovine ljudima, 2021. god, str. 14</w:t>
      </w:r>
      <w:r>
        <w:rPr>
          <w:rFonts w:asciiTheme="minorHAnsi" w:hAnsiTheme="minorHAnsi"/>
          <w:sz w:val="18"/>
          <w:szCs w:val="18"/>
          <w:lang w:val="sr-Latn-ME"/>
        </w:rPr>
        <w:t>.</w:t>
      </w:r>
    </w:p>
  </w:footnote>
  <w:footnote w:id="65">
    <w:p w14:paraId="1B565D3A" w14:textId="77777777" w:rsidR="001D6F9B" w:rsidRPr="009406F6" w:rsidRDefault="001D6F9B" w:rsidP="00F61EAC">
      <w:pPr>
        <w:pStyle w:val="FootnoteText"/>
        <w:contextualSpacing/>
        <w:rPr>
          <w:rFonts w:asciiTheme="minorHAnsi" w:hAnsiTheme="minorHAnsi"/>
          <w:sz w:val="18"/>
          <w:szCs w:val="18"/>
          <w:lang w:val="sr-Latn-ME"/>
        </w:rPr>
      </w:pPr>
      <w:r w:rsidRPr="009406F6">
        <w:rPr>
          <w:rStyle w:val="FootnoteReference"/>
          <w:rFonts w:asciiTheme="minorHAnsi" w:hAnsiTheme="minorHAnsi"/>
          <w:sz w:val="18"/>
          <w:szCs w:val="18"/>
          <w:lang w:val="sr-Latn-ME"/>
        </w:rPr>
        <w:footnoteRef/>
      </w:r>
      <w:r w:rsidRPr="009406F6">
        <w:rPr>
          <w:rFonts w:asciiTheme="minorHAnsi" w:hAnsiTheme="minorHAnsi"/>
          <w:sz w:val="18"/>
          <w:szCs w:val="18"/>
          <w:lang w:val="sr-Latn-ME"/>
        </w:rPr>
        <w:t xml:space="preserve"> GRETA, Evaluacioni izvještaj za Crnu Goru, treći krug evaluacije, Pristup pravdi i djelotvorni pravni ljekovi za žrtve trgovine ljudima, 2021. god, str. 25.</w:t>
      </w:r>
    </w:p>
  </w:footnote>
  <w:footnote w:id="66">
    <w:p w14:paraId="5B433650" w14:textId="77777777" w:rsidR="001D6F9B" w:rsidRPr="009406F6" w:rsidRDefault="001D6F9B" w:rsidP="00F61EAC">
      <w:pPr>
        <w:pStyle w:val="FootnoteText"/>
        <w:contextualSpacing/>
        <w:rPr>
          <w:rFonts w:asciiTheme="minorHAnsi" w:hAnsiTheme="minorHAnsi"/>
          <w:sz w:val="18"/>
          <w:szCs w:val="18"/>
          <w:lang w:val="sr-Latn-ME"/>
        </w:rPr>
      </w:pPr>
      <w:r w:rsidRPr="009406F6">
        <w:rPr>
          <w:rStyle w:val="FootnoteReference"/>
          <w:rFonts w:asciiTheme="minorHAnsi" w:hAnsiTheme="minorHAnsi"/>
          <w:sz w:val="18"/>
          <w:szCs w:val="18"/>
          <w:lang w:val="sr-Latn-ME"/>
        </w:rPr>
        <w:footnoteRef/>
      </w:r>
      <w:r w:rsidRPr="009406F6">
        <w:rPr>
          <w:rFonts w:asciiTheme="minorHAnsi" w:hAnsiTheme="minorHAnsi"/>
          <w:sz w:val="18"/>
          <w:szCs w:val="18"/>
          <w:lang w:val="sr-Latn-ME"/>
        </w:rPr>
        <w:t xml:space="preserve"> GRETA, Evaluacioni izvještaj za Crnu Goru, treći krug evaluacije, Pristup pravdi i djelotvorni pravni ljekovi za žrtve trgovine ljudima, 2021. god, str. 44.</w:t>
      </w:r>
    </w:p>
  </w:footnote>
  <w:footnote w:id="67">
    <w:p w14:paraId="3C877667" w14:textId="7E4A4179" w:rsidR="001D6F9B" w:rsidRPr="009406F6" w:rsidRDefault="001D6F9B">
      <w:pPr>
        <w:pStyle w:val="FootnoteText"/>
        <w:rPr>
          <w:rFonts w:asciiTheme="minorHAnsi" w:hAnsiTheme="minorHAnsi"/>
          <w:sz w:val="18"/>
          <w:szCs w:val="18"/>
          <w:lang w:val="sr-Latn-ME"/>
        </w:rPr>
      </w:pPr>
      <w:r w:rsidRPr="009406F6">
        <w:rPr>
          <w:rStyle w:val="FootnoteReference"/>
          <w:rFonts w:asciiTheme="minorHAnsi" w:hAnsiTheme="minorHAnsi"/>
          <w:sz w:val="18"/>
          <w:szCs w:val="18"/>
        </w:rPr>
        <w:footnoteRef/>
      </w:r>
      <w:r w:rsidRPr="009406F6">
        <w:rPr>
          <w:rFonts w:asciiTheme="minorHAnsi" w:hAnsiTheme="minorHAnsi"/>
          <w:sz w:val="18"/>
          <w:szCs w:val="18"/>
          <w:lang w:val="sr-Latn-ME"/>
        </w:rPr>
        <w:t xml:space="preserve"> Informaor za oštećene/svjedoke, </w:t>
      </w:r>
      <w:hyperlink r:id="rId31" w:history="1">
        <w:r w:rsidRPr="009406F6">
          <w:rPr>
            <w:rFonts w:asciiTheme="minorHAnsi" w:eastAsiaTheme="minorHAnsi" w:hAnsiTheme="minorHAnsi" w:cstheme="minorBidi"/>
            <w:color w:val="0000FF"/>
            <w:sz w:val="18"/>
            <w:szCs w:val="18"/>
            <w:u w:val="single"/>
            <w:lang w:val="sr-Latn-ME"/>
          </w:rPr>
          <w:t>sudovi.me/vspg/sadrzaj/Ek1q</w:t>
        </w:r>
      </w:hyperlink>
      <w:r>
        <w:rPr>
          <w:rFonts w:asciiTheme="minorHAnsi" w:eastAsiaTheme="minorHAnsi" w:hAnsiTheme="minorHAnsi" w:cstheme="minorBidi"/>
          <w:color w:val="0000FF"/>
          <w:sz w:val="18"/>
          <w:szCs w:val="18"/>
          <w:u w:val="single"/>
          <w:lang w:val="sr-Latn-ME"/>
        </w:rPr>
        <w:t>.</w:t>
      </w:r>
    </w:p>
  </w:footnote>
  <w:footnote w:id="68">
    <w:p w14:paraId="33D61101" w14:textId="77777777" w:rsidR="001D6F9B" w:rsidRPr="00CC2C37" w:rsidRDefault="001D6F9B" w:rsidP="00CC2C37">
      <w:pPr>
        <w:pStyle w:val="FootnoteText"/>
        <w:rPr>
          <w:rFonts w:asciiTheme="minorHAnsi" w:hAnsiTheme="minorHAnsi" w:cstheme="minorHAnsi"/>
          <w:sz w:val="18"/>
          <w:szCs w:val="18"/>
          <w:lang w:val="uz-Cyrl-UZ"/>
        </w:rPr>
      </w:pPr>
      <w:r w:rsidRPr="009406F6">
        <w:rPr>
          <w:rStyle w:val="FootnoteReference"/>
          <w:rFonts w:asciiTheme="minorHAnsi" w:hAnsiTheme="minorHAnsi"/>
          <w:sz w:val="18"/>
          <w:szCs w:val="18"/>
        </w:rPr>
        <w:footnoteRef/>
      </w:r>
      <w:r w:rsidRPr="009406F6">
        <w:rPr>
          <w:rFonts w:asciiTheme="minorHAnsi" w:hAnsiTheme="minorHAnsi"/>
          <w:sz w:val="18"/>
          <w:szCs w:val="18"/>
          <w:lang w:val="uz-Cyrl-UZ"/>
        </w:rPr>
        <w:t xml:space="preserve"> Vidjeti: Marković, M, Perry Joanna (2020) Analiza i preporuke u vezi sa zakonodavstvom, istragom i krivičnim gonjenjem i prikupljanje podataka o krivičnom djelu učinjenom iz mržnje, govoru mržnje i diskriminaciji u Crnoj Gori, Savjet Evrope, Podgorica.</w:t>
      </w:r>
    </w:p>
  </w:footnote>
  <w:footnote w:id="69">
    <w:p w14:paraId="3657270F" w14:textId="77777777" w:rsidR="001D6F9B" w:rsidRPr="009406F6" w:rsidRDefault="001D6F9B" w:rsidP="00CC2C37">
      <w:pPr>
        <w:autoSpaceDE w:val="0"/>
        <w:autoSpaceDN w:val="0"/>
        <w:adjustRightInd w:val="0"/>
        <w:spacing w:after="0"/>
        <w:rPr>
          <w:b/>
          <w:bCs/>
          <w:sz w:val="18"/>
          <w:szCs w:val="18"/>
        </w:rPr>
      </w:pPr>
      <w:r w:rsidRPr="009406F6">
        <w:rPr>
          <w:rStyle w:val="FootnoteReference"/>
          <w:sz w:val="18"/>
          <w:szCs w:val="18"/>
        </w:rPr>
        <w:footnoteRef/>
      </w:r>
      <w:r w:rsidRPr="009406F6">
        <w:rPr>
          <w:sz w:val="18"/>
          <w:szCs w:val="18"/>
        </w:rPr>
        <w:t xml:space="preserve"> </w:t>
      </w:r>
      <w:r w:rsidRPr="009406F6">
        <w:rPr>
          <w:sz w:val="18"/>
          <w:szCs w:val="18"/>
          <w:lang w:val="uz-Cyrl-UZ"/>
        </w:rPr>
        <w:t>Vidjeti</w:t>
      </w:r>
      <w:r w:rsidRPr="009406F6">
        <w:rPr>
          <w:sz w:val="18"/>
          <w:szCs w:val="18"/>
        </w:rPr>
        <w:t xml:space="preserve">: </w:t>
      </w:r>
      <w:r w:rsidRPr="009406F6">
        <w:rPr>
          <w:rStyle w:val="personname"/>
          <w:rFonts w:cs="Arial"/>
          <w:color w:val="000000"/>
          <w:sz w:val="18"/>
          <w:szCs w:val="18"/>
          <w:shd w:val="clear" w:color="auto" w:fill="FFFFFF"/>
        </w:rPr>
        <w:t>Kolaković-Bojović, Milica</w:t>
      </w:r>
      <w:r w:rsidRPr="009406F6">
        <w:rPr>
          <w:rFonts w:cs="Arial"/>
          <w:color w:val="000000"/>
          <w:sz w:val="18"/>
          <w:szCs w:val="18"/>
          <w:shd w:val="clear" w:color="auto" w:fill="FFFFFF"/>
        </w:rPr>
        <w:t xml:space="preserve">, </w:t>
      </w:r>
      <w:r w:rsidRPr="009406F6">
        <w:rPr>
          <w:rStyle w:val="personname"/>
          <w:rFonts w:cs="Arial"/>
          <w:color w:val="000000"/>
          <w:sz w:val="18"/>
          <w:szCs w:val="18"/>
          <w:shd w:val="clear" w:color="auto" w:fill="FFFFFF"/>
        </w:rPr>
        <w:t>Đukanović, Anđela</w:t>
      </w:r>
      <w:r w:rsidRPr="009406F6">
        <w:rPr>
          <w:rFonts w:cs="Arial"/>
          <w:color w:val="000000"/>
          <w:sz w:val="18"/>
          <w:szCs w:val="18"/>
          <w:shd w:val="clear" w:color="auto" w:fill="FFFFFF"/>
        </w:rPr>
        <w:t> (2023) </w:t>
      </w:r>
      <w:r w:rsidRPr="009406F6">
        <w:rPr>
          <w:rStyle w:val="Emphasis"/>
          <w:rFonts w:cs="Arial"/>
          <w:sz w:val="18"/>
          <w:szCs w:val="18"/>
          <w:shd w:val="clear" w:color="auto" w:fill="FFFFFF"/>
        </w:rPr>
        <w:t>Zločini iz mržnje u Republici Srbiji</w:t>
      </w:r>
      <w:r w:rsidRPr="009406F6">
        <w:rPr>
          <w:rStyle w:val="Emphasis"/>
          <w:rFonts w:cs="Arial"/>
          <w:color w:val="365191"/>
          <w:sz w:val="18"/>
          <w:szCs w:val="18"/>
          <w:u w:val="single"/>
          <w:shd w:val="clear" w:color="auto" w:fill="FFFFFF"/>
        </w:rPr>
        <w:t>.</w:t>
      </w:r>
      <w:r w:rsidRPr="009406F6">
        <w:rPr>
          <w:rFonts w:cs="Arial"/>
          <w:color w:val="000000"/>
          <w:sz w:val="18"/>
          <w:szCs w:val="18"/>
          <w:shd w:val="clear" w:color="auto" w:fill="FFFFFF"/>
        </w:rPr>
        <w:t xml:space="preserve"> Institut za kriminološka i sociološka istraživanja, Beograd. </w:t>
      </w:r>
    </w:p>
  </w:footnote>
  <w:footnote w:id="70">
    <w:p w14:paraId="4882402B" w14:textId="7A699D62" w:rsidR="001D6F9B" w:rsidRPr="006C3C71" w:rsidRDefault="001D6F9B" w:rsidP="00CC2C37">
      <w:pPr>
        <w:pStyle w:val="FootnoteText"/>
        <w:rPr>
          <w:rFonts w:asciiTheme="minorHAnsi" w:hAnsiTheme="minorHAnsi"/>
          <w:sz w:val="18"/>
          <w:szCs w:val="18"/>
          <w:lang w:val="sr-Latn-ME"/>
        </w:rPr>
      </w:pPr>
      <w:r w:rsidRPr="009406F6">
        <w:rPr>
          <w:rStyle w:val="FootnoteReference"/>
          <w:rFonts w:asciiTheme="minorHAnsi" w:hAnsiTheme="minorHAnsi"/>
          <w:sz w:val="18"/>
          <w:szCs w:val="18"/>
        </w:rPr>
        <w:footnoteRef/>
      </w:r>
      <w:r w:rsidRPr="009406F6">
        <w:rPr>
          <w:rFonts w:asciiTheme="minorHAnsi" w:hAnsiTheme="minorHAnsi"/>
          <w:sz w:val="18"/>
          <w:szCs w:val="18"/>
          <w:lang w:val="uz-Cyrl-UZ"/>
        </w:rPr>
        <w:t xml:space="preserve"> Borba protiv govora mržnje, </w:t>
      </w:r>
      <w:hyperlink r:id="rId32" w:history="1">
        <w:r w:rsidRPr="009406F6">
          <w:rPr>
            <w:rStyle w:val="Hyperlink"/>
            <w:rFonts w:asciiTheme="minorHAnsi" w:hAnsiTheme="minorHAnsi"/>
            <w:sz w:val="18"/>
            <w:szCs w:val="18"/>
            <w:lang w:val="uz-Cyrl-UZ"/>
          </w:rPr>
          <w:t>https://www.undp.org/cnr/montenegro/projects/borba-protiv-govora-mrznje</w:t>
        </w:r>
      </w:hyperlink>
      <w:r w:rsidRPr="009406F6">
        <w:rPr>
          <w:rFonts w:asciiTheme="minorHAnsi" w:hAnsiTheme="minorHAnsi"/>
          <w:sz w:val="18"/>
          <w:szCs w:val="18"/>
          <w:lang w:val="uz-Cyrl-UZ"/>
        </w:rPr>
        <w:t>, 08.08.2024. godine</w:t>
      </w:r>
      <w:r>
        <w:rPr>
          <w:rFonts w:asciiTheme="minorHAnsi" w:hAnsiTheme="minorHAnsi"/>
          <w:sz w:val="18"/>
          <w:szCs w:val="18"/>
          <w:lang w:val="sr-Latn-ME"/>
        </w:rPr>
        <w:t>.</w:t>
      </w:r>
    </w:p>
  </w:footnote>
  <w:footnote w:id="71">
    <w:p w14:paraId="25F2C561" w14:textId="75ED8426" w:rsidR="001D6F9B" w:rsidRPr="00985C21" w:rsidRDefault="001D6F9B">
      <w:pPr>
        <w:pStyle w:val="FootnoteText"/>
        <w:rPr>
          <w:lang w:val="sr-Latn-RS"/>
        </w:rPr>
      </w:pPr>
      <w:r w:rsidRPr="009406F6">
        <w:rPr>
          <w:rStyle w:val="FootnoteReference"/>
          <w:rFonts w:asciiTheme="minorHAnsi" w:hAnsiTheme="minorHAnsi"/>
          <w:sz w:val="18"/>
          <w:szCs w:val="18"/>
        </w:rPr>
        <w:footnoteRef/>
      </w:r>
      <w:r w:rsidRPr="009406F6">
        <w:rPr>
          <w:rFonts w:asciiTheme="minorHAnsi" w:hAnsiTheme="minorHAnsi"/>
          <w:sz w:val="18"/>
          <w:szCs w:val="18"/>
          <w:lang w:val="uz-Cyrl-UZ"/>
        </w:rPr>
        <w:t xml:space="preserve"> </w:t>
      </w:r>
      <w:r w:rsidRPr="009406F6">
        <w:rPr>
          <w:rFonts w:asciiTheme="minorHAnsi" w:hAnsiTheme="minorHAnsi" w:cs="Arial"/>
          <w:color w:val="000000"/>
          <w:spacing w:val="-2"/>
          <w:sz w:val="18"/>
          <w:szCs w:val="18"/>
          <w:lang w:val="pt-BR" w:eastAsia="sr-Latn-RS"/>
        </w:rPr>
        <w:t>Obavezujuće uputstvo za postupanje u predmetima formiranim za krivična djela učinjena iz mržnje (zločin iz mržnje) kao i u slučajevima govora mržnje, https://tuzilastvo.me/static//vrdt/doc/Uputstvo_Tu_br_214-25.pdf.</w:t>
      </w:r>
    </w:p>
  </w:footnote>
  <w:footnote w:id="72">
    <w:p w14:paraId="47E483AB" w14:textId="40C7ACE4" w:rsidR="001D6F9B" w:rsidRPr="006B2E30" w:rsidRDefault="001D6F9B" w:rsidP="006B2E30">
      <w:pPr>
        <w:autoSpaceDE w:val="0"/>
        <w:autoSpaceDN w:val="0"/>
        <w:adjustRightInd w:val="0"/>
        <w:spacing w:after="0"/>
        <w:rPr>
          <w:rFonts w:cs="Calibri"/>
          <w:sz w:val="18"/>
          <w:szCs w:val="18"/>
          <w14:ligatures w14:val="standardContextual"/>
        </w:rPr>
      </w:pPr>
      <w:r w:rsidRPr="006B2E30">
        <w:rPr>
          <w:rStyle w:val="FootnoteReference"/>
          <w:sz w:val="18"/>
          <w:szCs w:val="18"/>
        </w:rPr>
        <w:footnoteRef/>
      </w:r>
      <w:r w:rsidRPr="006B2E30">
        <w:rPr>
          <w:sz w:val="18"/>
          <w:szCs w:val="18"/>
        </w:rPr>
        <w:t xml:space="preserve"> </w:t>
      </w:r>
      <w:r w:rsidRPr="006B2E30">
        <w:rPr>
          <w:rFonts w:cs="Calibri"/>
          <w:sz w:val="18"/>
          <w:szCs w:val="18"/>
          <w14:ligatures w14:val="standardContextual"/>
        </w:rPr>
        <w:t xml:space="preserve">Tmušić, Ž, Abadić, Z, Bogosavljević, J. (2019) </w:t>
      </w:r>
      <w:r w:rsidRPr="006B2E30">
        <w:rPr>
          <w:sz w:val="18"/>
          <w:szCs w:val="18"/>
        </w:rPr>
        <w:t>Procjena Infrastrukture pravosudnih organa u Crnoj Gori, EUROL 2, Podgorica</w:t>
      </w:r>
      <w:r>
        <w:rPr>
          <w:sz w:val="18"/>
          <w:szCs w:val="18"/>
        </w:rPr>
        <w:t>.</w:t>
      </w:r>
    </w:p>
  </w:footnote>
  <w:footnote w:id="73">
    <w:p w14:paraId="249C0CFE" w14:textId="146A346B" w:rsidR="001D6F9B" w:rsidRPr="006C3C71" w:rsidRDefault="001D6F9B" w:rsidP="006B2E30">
      <w:pPr>
        <w:tabs>
          <w:tab w:val="left" w:pos="110"/>
        </w:tabs>
        <w:spacing w:after="0"/>
        <w:ind w:left="108"/>
        <w:rPr>
          <w:rFonts w:eastAsia="Times New Roman" w:cs="Calibri"/>
          <w:sz w:val="18"/>
          <w:szCs w:val="18"/>
        </w:rPr>
      </w:pPr>
      <w:r w:rsidRPr="006C3C71">
        <w:rPr>
          <w:rStyle w:val="FootnoteReference"/>
          <w:rFonts w:cs="Calibri"/>
          <w:sz w:val="18"/>
          <w:szCs w:val="18"/>
        </w:rPr>
        <w:footnoteRef/>
      </w:r>
      <w:r w:rsidRPr="006C3C71">
        <w:rPr>
          <w:rFonts w:cs="Calibri"/>
          <w:sz w:val="18"/>
          <w:szCs w:val="18"/>
        </w:rPr>
        <w:t xml:space="preserve"> Detaljnije na linkovima</w:t>
      </w:r>
      <w:r w:rsidRPr="006C3C71">
        <w:rPr>
          <w:rFonts w:eastAsia="Times New Roman" w:cs="Calibri"/>
          <w:sz w:val="18"/>
          <w:szCs w:val="18"/>
        </w:rPr>
        <w:t xml:space="preserve"> </w:t>
      </w:r>
      <w:hyperlink r:id="rId33" w:history="1">
        <w:r w:rsidRPr="006C3C71">
          <w:rPr>
            <w:rStyle w:val="Hyperlink"/>
            <w:rFonts w:eastAsia="Times New Roman" w:cs="Calibri"/>
            <w:sz w:val="18"/>
            <w:szCs w:val="18"/>
          </w:rPr>
          <w:t>https://www.mindtools.com/pages/article/newTMC_09.htm</w:t>
        </w:r>
      </w:hyperlink>
      <w:r w:rsidRPr="006C3C71">
        <w:rPr>
          <w:rFonts w:eastAsia="Times New Roman" w:cs="Calibri"/>
          <w:sz w:val="18"/>
          <w:szCs w:val="18"/>
        </w:rPr>
        <w:t xml:space="preserve">,   </w:t>
      </w:r>
      <w:hyperlink r:id="rId34" w:history="1">
        <w:r w:rsidRPr="006C3C71">
          <w:rPr>
            <w:rStyle w:val="Hyperlink"/>
            <w:rFonts w:eastAsia="Times New Roman" w:cs="Calibri"/>
            <w:sz w:val="18"/>
            <w:szCs w:val="18"/>
          </w:rPr>
          <w:t>https://processpolicy.com/pestle-analysis.htm</w:t>
        </w:r>
      </w:hyperlink>
      <w:r w:rsidRPr="006C3C71">
        <w:rPr>
          <w:rFonts w:eastAsia="Times New Roman" w:cs="Calibri"/>
          <w:sz w:val="18"/>
          <w:szCs w:val="18"/>
        </w:rPr>
        <w:t xml:space="preserve"> </w:t>
      </w:r>
      <w:r w:rsidRPr="006C3C71">
        <w:rPr>
          <w:rFonts w:cs="Calibri"/>
          <w:sz w:val="18"/>
          <w:szCs w:val="18"/>
        </w:rPr>
        <w:t>, kao što je navedeno i u samoj Metodologiji razvoja politika, izrade i praćenja sprovođenja strateških dokumenata,na str. 26, fusnote 21 i 22.</w:t>
      </w:r>
    </w:p>
  </w:footnote>
  <w:footnote w:id="74">
    <w:p w14:paraId="210EC8FC" w14:textId="77777777" w:rsidR="001D6F9B" w:rsidRPr="001A471E" w:rsidRDefault="001D6F9B" w:rsidP="00164251">
      <w:pPr>
        <w:pStyle w:val="FootnoteText"/>
        <w:rPr>
          <w:lang w:val="sr-Latn-ME"/>
        </w:rPr>
      </w:pPr>
      <w:r>
        <w:rPr>
          <w:rStyle w:val="FootnoteReference"/>
        </w:rPr>
        <w:footnoteRef/>
      </w:r>
      <w:r w:rsidRPr="0037679F">
        <w:rPr>
          <w:lang w:val="sr-Latn-ME"/>
        </w:rPr>
        <w:t xml:space="preserve"> </w:t>
      </w:r>
      <w:r>
        <w:rPr>
          <w:lang w:val="sr-Latn-ME"/>
        </w:rPr>
        <w:t>Zgrade u kojima se nalaze Osnovna državna tužilaštva u Podgorici, Nikšiću, Kotoru i Pljevljima, kao i ona u kojoj se nalazi Više državno tužilaštvo Bijelo Polje posjeduju sistem audiovizuelne tehnike, dok u zgradi u kojoj se nalazi Osnovno državno tužilaštvo Berane posjeduje zasebnu prostoriju u kojoj se saslušava dijete, ali sistem audiovizuelne tehnike za saslušanje nije u funkciji.</w:t>
      </w:r>
    </w:p>
  </w:footnote>
  <w:footnote w:id="75">
    <w:p w14:paraId="6DD98FD1" w14:textId="77777777" w:rsidR="001D6F9B" w:rsidRPr="006B2E30" w:rsidRDefault="001D6F9B" w:rsidP="006B2E30">
      <w:pPr>
        <w:pStyle w:val="FootnoteText"/>
        <w:rPr>
          <w:rFonts w:asciiTheme="minorHAnsi" w:hAnsiTheme="minorHAnsi"/>
          <w:sz w:val="18"/>
          <w:szCs w:val="18"/>
          <w:lang w:val="uz-Cyrl-UZ"/>
        </w:rPr>
      </w:pPr>
      <w:r w:rsidRPr="006B2E30">
        <w:rPr>
          <w:rStyle w:val="FootnoteReference"/>
          <w:rFonts w:asciiTheme="minorHAnsi" w:hAnsiTheme="minorHAnsi"/>
          <w:sz w:val="18"/>
          <w:szCs w:val="18"/>
        </w:rPr>
        <w:footnoteRef/>
      </w:r>
      <w:r w:rsidRPr="006B2E30">
        <w:rPr>
          <w:rFonts w:asciiTheme="minorHAnsi" w:hAnsiTheme="minorHAnsi"/>
          <w:sz w:val="18"/>
          <w:szCs w:val="18"/>
          <w:lang w:val="uz-Cyrl-UZ"/>
        </w:rPr>
        <w:t xml:space="preserve"> Dostupno na</w:t>
      </w:r>
      <w:r w:rsidRPr="006B2E30">
        <w:rPr>
          <w:rFonts w:asciiTheme="minorHAnsi" w:hAnsiTheme="minorHAnsi"/>
          <w:sz w:val="18"/>
          <w:szCs w:val="18"/>
          <w:lang w:val="it-IT"/>
        </w:rPr>
        <w:t xml:space="preserve">: </w:t>
      </w:r>
      <w:hyperlink r:id="rId35" w:history="1">
        <w:r w:rsidRPr="006B2E30">
          <w:rPr>
            <w:rStyle w:val="Hyperlink"/>
            <w:rFonts w:asciiTheme="minorHAnsi" w:hAnsiTheme="minorHAnsi"/>
            <w:sz w:val="18"/>
            <w:szCs w:val="18"/>
            <w:lang w:val="it-IT"/>
          </w:rPr>
          <w:t>https</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www</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gov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me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clanak</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javni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poziv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predlaganje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nvo</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izradu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nacrta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strategije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o</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zastiti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prava</w:t>
        </w:r>
      </w:hyperlink>
      <w:r w:rsidRPr="006B2E30">
        <w:rPr>
          <w:rFonts w:asciiTheme="minorHAnsi" w:hAnsiTheme="minorHAnsi"/>
          <w:sz w:val="18"/>
          <w:szCs w:val="18"/>
          <w:lang w:val="it-IT"/>
        </w:rPr>
        <w:t>, pristupljeno 22.06. 2024. godine</w:t>
      </w:r>
    </w:p>
  </w:footnote>
  <w:footnote w:id="76">
    <w:p w14:paraId="4E6F25A8" w14:textId="77777777" w:rsidR="001D6F9B" w:rsidRPr="006B2E30" w:rsidRDefault="001D6F9B" w:rsidP="006B2E30">
      <w:pPr>
        <w:pStyle w:val="FootnoteText"/>
        <w:rPr>
          <w:rFonts w:asciiTheme="minorHAnsi" w:hAnsiTheme="minorHAnsi"/>
          <w:sz w:val="18"/>
          <w:szCs w:val="18"/>
          <w:lang w:val="uz-Cyrl-UZ"/>
        </w:rPr>
      </w:pPr>
      <w:r w:rsidRPr="006B2E30">
        <w:rPr>
          <w:rStyle w:val="FootnoteReference"/>
          <w:rFonts w:asciiTheme="minorHAnsi" w:hAnsiTheme="minorHAnsi"/>
          <w:sz w:val="18"/>
          <w:szCs w:val="18"/>
        </w:rPr>
        <w:footnoteRef/>
      </w:r>
      <w:r w:rsidRPr="006B2E30">
        <w:rPr>
          <w:rFonts w:asciiTheme="minorHAnsi" w:hAnsiTheme="minorHAnsi"/>
          <w:sz w:val="18"/>
          <w:szCs w:val="18"/>
          <w:lang w:val="uz-Cyrl-UZ"/>
        </w:rPr>
        <w:t xml:space="preserve"> Dostupno na</w:t>
      </w:r>
      <w:r w:rsidRPr="006B2E30">
        <w:rPr>
          <w:rFonts w:asciiTheme="minorHAnsi" w:hAnsiTheme="minorHAnsi"/>
          <w:sz w:val="18"/>
          <w:szCs w:val="18"/>
          <w:lang w:val="it-IT"/>
        </w:rPr>
        <w:t xml:space="preserve">: </w:t>
      </w:r>
      <w:hyperlink r:id="rId36" w:history="1">
        <w:r w:rsidRPr="006B2E30">
          <w:rPr>
            <w:rStyle w:val="Hyperlink"/>
            <w:rFonts w:asciiTheme="minorHAnsi" w:hAnsiTheme="minorHAnsi"/>
            <w:sz w:val="18"/>
            <w:szCs w:val="18"/>
            <w:lang w:val="it-IT"/>
          </w:rPr>
          <w:t>https</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www</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gov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me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clanak</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drugi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javni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poziv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predlaganje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predstavnika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nevladine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organizacije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radnom</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tijelu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izradu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teksta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nacrta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strategije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o</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zastiti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prava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zrtava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sa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pratecim</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akcionim</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planom</w:t>
        </w:r>
      </w:hyperlink>
      <w:r w:rsidRPr="006B2E30">
        <w:rPr>
          <w:rFonts w:asciiTheme="minorHAnsi" w:hAnsiTheme="minorHAnsi"/>
          <w:sz w:val="18"/>
          <w:szCs w:val="18"/>
          <w:lang w:val="it-IT"/>
        </w:rPr>
        <w:t>, pristupljeno 22.06. 2024.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CBF"/>
    <w:multiLevelType w:val="multilevel"/>
    <w:tmpl w:val="093C9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F36605"/>
    <w:multiLevelType w:val="multilevel"/>
    <w:tmpl w:val="5B842D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C27D2C"/>
    <w:multiLevelType w:val="hybridMultilevel"/>
    <w:tmpl w:val="5326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41ACB"/>
    <w:multiLevelType w:val="hybridMultilevel"/>
    <w:tmpl w:val="AA2E4A6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E44D6"/>
    <w:multiLevelType w:val="multilevel"/>
    <w:tmpl w:val="00F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E4972"/>
    <w:multiLevelType w:val="hybridMultilevel"/>
    <w:tmpl w:val="DA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560BD"/>
    <w:multiLevelType w:val="hybridMultilevel"/>
    <w:tmpl w:val="E4123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54BD2"/>
    <w:multiLevelType w:val="multilevel"/>
    <w:tmpl w:val="DA86DED8"/>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6C336F"/>
    <w:multiLevelType w:val="hybridMultilevel"/>
    <w:tmpl w:val="DF66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820DA"/>
    <w:multiLevelType w:val="hybridMultilevel"/>
    <w:tmpl w:val="033C71C4"/>
    <w:lvl w:ilvl="0" w:tplc="F8D24922">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963702"/>
    <w:multiLevelType w:val="hybridMultilevel"/>
    <w:tmpl w:val="CBAC4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C556B2"/>
    <w:multiLevelType w:val="hybridMultilevel"/>
    <w:tmpl w:val="709C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16CF8"/>
    <w:multiLevelType w:val="hybridMultilevel"/>
    <w:tmpl w:val="69DA40F0"/>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640E8"/>
    <w:multiLevelType w:val="hybridMultilevel"/>
    <w:tmpl w:val="AABC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513F9"/>
    <w:multiLevelType w:val="hybridMultilevel"/>
    <w:tmpl w:val="927ACEDC"/>
    <w:lvl w:ilvl="0" w:tplc="1790417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64CE1"/>
    <w:multiLevelType w:val="hybridMultilevel"/>
    <w:tmpl w:val="41D03F12"/>
    <w:lvl w:ilvl="0" w:tplc="871842B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F6DF7"/>
    <w:multiLevelType w:val="hybridMultilevel"/>
    <w:tmpl w:val="62A23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B4C33"/>
    <w:multiLevelType w:val="hybridMultilevel"/>
    <w:tmpl w:val="3828A3D0"/>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373"/>
    <w:multiLevelType w:val="multilevel"/>
    <w:tmpl w:val="19924688"/>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630A74"/>
    <w:multiLevelType w:val="hybridMultilevel"/>
    <w:tmpl w:val="4A1EBEB6"/>
    <w:lvl w:ilvl="0" w:tplc="45C049B0">
      <w:start w:val="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49649E"/>
    <w:multiLevelType w:val="hybridMultilevel"/>
    <w:tmpl w:val="8D824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672B83"/>
    <w:multiLevelType w:val="hybridMultilevel"/>
    <w:tmpl w:val="FD7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B32AB"/>
    <w:multiLevelType w:val="multilevel"/>
    <w:tmpl w:val="FB66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B7836"/>
    <w:multiLevelType w:val="multilevel"/>
    <w:tmpl w:val="DE481E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997613"/>
    <w:multiLevelType w:val="hybridMultilevel"/>
    <w:tmpl w:val="04E62740"/>
    <w:lvl w:ilvl="0" w:tplc="FDD43EF8">
      <w:start w:val="1"/>
      <w:numFmt w:val="lowerLetter"/>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5695E"/>
    <w:multiLevelType w:val="hybridMultilevel"/>
    <w:tmpl w:val="1096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569F1"/>
    <w:multiLevelType w:val="multilevel"/>
    <w:tmpl w:val="18B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92B80"/>
    <w:multiLevelType w:val="multilevel"/>
    <w:tmpl w:val="289E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F692E"/>
    <w:multiLevelType w:val="multilevel"/>
    <w:tmpl w:val="C952F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D4D50"/>
    <w:multiLevelType w:val="multilevel"/>
    <w:tmpl w:val="7F4E3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840503"/>
    <w:multiLevelType w:val="multilevel"/>
    <w:tmpl w:val="D9A295F0"/>
    <w:lvl w:ilvl="0">
      <w:start w:val="1"/>
      <w:numFmt w:val="decimal"/>
      <w:lvlText w:val="%1"/>
      <w:lvlJc w:val="left"/>
      <w:pPr>
        <w:ind w:left="360" w:hanging="360"/>
      </w:pPr>
      <w:rPr>
        <w:rFonts w:cstheme="minorBidi" w:hint="default"/>
      </w:rPr>
    </w:lvl>
    <w:lvl w:ilvl="1">
      <w:start w:val="2"/>
      <w:numFmt w:val="decimal"/>
      <w:lvlText w:val="%1.%2"/>
      <w:lvlJc w:val="left"/>
      <w:pPr>
        <w:ind w:left="391" w:hanging="360"/>
      </w:pPr>
      <w:rPr>
        <w:rFonts w:cstheme="minorBidi" w:hint="default"/>
      </w:rPr>
    </w:lvl>
    <w:lvl w:ilvl="2">
      <w:start w:val="1"/>
      <w:numFmt w:val="decimal"/>
      <w:lvlText w:val="%1.%2.%3"/>
      <w:lvlJc w:val="left"/>
      <w:pPr>
        <w:ind w:left="782" w:hanging="720"/>
      </w:pPr>
      <w:rPr>
        <w:rFonts w:cstheme="minorBidi" w:hint="default"/>
      </w:rPr>
    </w:lvl>
    <w:lvl w:ilvl="3">
      <w:start w:val="1"/>
      <w:numFmt w:val="decimal"/>
      <w:lvlText w:val="%1.%2.%3.%4"/>
      <w:lvlJc w:val="left"/>
      <w:pPr>
        <w:ind w:left="813" w:hanging="720"/>
      </w:pPr>
      <w:rPr>
        <w:rFonts w:cstheme="minorBidi" w:hint="default"/>
      </w:rPr>
    </w:lvl>
    <w:lvl w:ilvl="4">
      <w:start w:val="1"/>
      <w:numFmt w:val="decimal"/>
      <w:lvlText w:val="%1.%2.%3.%4.%5"/>
      <w:lvlJc w:val="left"/>
      <w:pPr>
        <w:ind w:left="1204" w:hanging="1080"/>
      </w:pPr>
      <w:rPr>
        <w:rFonts w:cstheme="minorBidi" w:hint="default"/>
      </w:rPr>
    </w:lvl>
    <w:lvl w:ilvl="5">
      <w:start w:val="1"/>
      <w:numFmt w:val="decimal"/>
      <w:lvlText w:val="%1.%2.%3.%4.%5.%6"/>
      <w:lvlJc w:val="left"/>
      <w:pPr>
        <w:ind w:left="1235" w:hanging="1080"/>
      </w:pPr>
      <w:rPr>
        <w:rFonts w:cstheme="minorBidi" w:hint="default"/>
      </w:rPr>
    </w:lvl>
    <w:lvl w:ilvl="6">
      <w:start w:val="1"/>
      <w:numFmt w:val="decimal"/>
      <w:lvlText w:val="%1.%2.%3.%4.%5.%6.%7"/>
      <w:lvlJc w:val="left"/>
      <w:pPr>
        <w:ind w:left="1626" w:hanging="1440"/>
      </w:pPr>
      <w:rPr>
        <w:rFonts w:cstheme="minorBidi" w:hint="default"/>
      </w:rPr>
    </w:lvl>
    <w:lvl w:ilvl="7">
      <w:start w:val="1"/>
      <w:numFmt w:val="decimal"/>
      <w:lvlText w:val="%1.%2.%3.%4.%5.%6.%7.%8"/>
      <w:lvlJc w:val="left"/>
      <w:pPr>
        <w:ind w:left="1657" w:hanging="1440"/>
      </w:pPr>
      <w:rPr>
        <w:rFonts w:cstheme="minorBidi" w:hint="default"/>
      </w:rPr>
    </w:lvl>
    <w:lvl w:ilvl="8">
      <w:start w:val="1"/>
      <w:numFmt w:val="decimal"/>
      <w:lvlText w:val="%1.%2.%3.%4.%5.%6.%7.%8.%9"/>
      <w:lvlJc w:val="left"/>
      <w:pPr>
        <w:ind w:left="2048" w:hanging="1800"/>
      </w:pPr>
      <w:rPr>
        <w:rFonts w:cstheme="minorBidi" w:hint="default"/>
      </w:rPr>
    </w:lvl>
  </w:abstractNum>
  <w:abstractNum w:abstractNumId="31" w15:restartNumberingAfterBreak="0">
    <w:nsid w:val="5E7E4770"/>
    <w:multiLevelType w:val="hybridMultilevel"/>
    <w:tmpl w:val="95288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377C7"/>
    <w:multiLevelType w:val="hybridMultilevel"/>
    <w:tmpl w:val="AFFAB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640AA"/>
    <w:multiLevelType w:val="hybridMultilevel"/>
    <w:tmpl w:val="1A78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F5F01"/>
    <w:multiLevelType w:val="hybridMultilevel"/>
    <w:tmpl w:val="E0580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35FFF"/>
    <w:multiLevelType w:val="hybridMultilevel"/>
    <w:tmpl w:val="F34C2FA0"/>
    <w:lvl w:ilvl="0" w:tplc="674676A8">
      <w:start w:val="1"/>
      <w:numFmt w:val="decimal"/>
      <w:lvlText w:val="%1."/>
      <w:lvlJc w:val="left"/>
      <w:pPr>
        <w:ind w:left="1440" w:hanging="360"/>
      </w:pPr>
    </w:lvl>
    <w:lvl w:ilvl="1" w:tplc="AB9C0B58">
      <w:start w:val="1"/>
      <w:numFmt w:val="decimal"/>
      <w:lvlText w:val="%2."/>
      <w:lvlJc w:val="left"/>
      <w:pPr>
        <w:ind w:left="1440" w:hanging="360"/>
      </w:pPr>
    </w:lvl>
    <w:lvl w:ilvl="2" w:tplc="7FBE2388">
      <w:start w:val="1"/>
      <w:numFmt w:val="decimal"/>
      <w:lvlText w:val="%3."/>
      <w:lvlJc w:val="left"/>
      <w:pPr>
        <w:ind w:left="1440" w:hanging="360"/>
      </w:pPr>
    </w:lvl>
    <w:lvl w:ilvl="3" w:tplc="606C8F42">
      <w:start w:val="1"/>
      <w:numFmt w:val="decimal"/>
      <w:lvlText w:val="%4."/>
      <w:lvlJc w:val="left"/>
      <w:pPr>
        <w:ind w:left="1440" w:hanging="360"/>
      </w:pPr>
    </w:lvl>
    <w:lvl w:ilvl="4" w:tplc="593A81C2">
      <w:start w:val="1"/>
      <w:numFmt w:val="decimal"/>
      <w:lvlText w:val="%5."/>
      <w:lvlJc w:val="left"/>
      <w:pPr>
        <w:ind w:left="1440" w:hanging="360"/>
      </w:pPr>
    </w:lvl>
    <w:lvl w:ilvl="5" w:tplc="8716E1C8">
      <w:start w:val="1"/>
      <w:numFmt w:val="decimal"/>
      <w:lvlText w:val="%6."/>
      <w:lvlJc w:val="left"/>
      <w:pPr>
        <w:ind w:left="1440" w:hanging="360"/>
      </w:pPr>
    </w:lvl>
    <w:lvl w:ilvl="6" w:tplc="76A03A50">
      <w:start w:val="1"/>
      <w:numFmt w:val="decimal"/>
      <w:lvlText w:val="%7."/>
      <w:lvlJc w:val="left"/>
      <w:pPr>
        <w:ind w:left="1440" w:hanging="360"/>
      </w:pPr>
    </w:lvl>
    <w:lvl w:ilvl="7" w:tplc="96108D16">
      <w:start w:val="1"/>
      <w:numFmt w:val="decimal"/>
      <w:lvlText w:val="%8."/>
      <w:lvlJc w:val="left"/>
      <w:pPr>
        <w:ind w:left="1440" w:hanging="360"/>
      </w:pPr>
    </w:lvl>
    <w:lvl w:ilvl="8" w:tplc="2B84D396">
      <w:start w:val="1"/>
      <w:numFmt w:val="decimal"/>
      <w:lvlText w:val="%9."/>
      <w:lvlJc w:val="left"/>
      <w:pPr>
        <w:ind w:left="1440" w:hanging="360"/>
      </w:pPr>
    </w:lvl>
  </w:abstractNum>
  <w:abstractNum w:abstractNumId="36" w15:restartNumberingAfterBreak="0">
    <w:nsid w:val="76987F25"/>
    <w:multiLevelType w:val="hybridMultilevel"/>
    <w:tmpl w:val="1D7C7110"/>
    <w:lvl w:ilvl="0" w:tplc="5AC48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F5A96"/>
    <w:multiLevelType w:val="hybridMultilevel"/>
    <w:tmpl w:val="FFBEA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76E0F"/>
    <w:multiLevelType w:val="hybridMultilevel"/>
    <w:tmpl w:val="85220E84"/>
    <w:lvl w:ilvl="0" w:tplc="C4B0188E">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FF513A"/>
    <w:multiLevelType w:val="multilevel"/>
    <w:tmpl w:val="DE481E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725E59"/>
    <w:multiLevelType w:val="multilevel"/>
    <w:tmpl w:val="AAFC29EE"/>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CA1BCC"/>
    <w:multiLevelType w:val="hybridMultilevel"/>
    <w:tmpl w:val="5330D898"/>
    <w:lvl w:ilvl="0" w:tplc="45C049B0">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90B13"/>
    <w:multiLevelType w:val="hybridMultilevel"/>
    <w:tmpl w:val="06509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6"/>
  </w:num>
  <w:num w:numId="4">
    <w:abstractNumId w:val="29"/>
  </w:num>
  <w:num w:numId="5">
    <w:abstractNumId w:val="18"/>
  </w:num>
  <w:num w:numId="6">
    <w:abstractNumId w:val="41"/>
  </w:num>
  <w:num w:numId="7">
    <w:abstractNumId w:val="24"/>
  </w:num>
  <w:num w:numId="8">
    <w:abstractNumId w:val="23"/>
  </w:num>
  <w:num w:numId="9">
    <w:abstractNumId w:val="14"/>
  </w:num>
  <w:num w:numId="10">
    <w:abstractNumId w:val="2"/>
  </w:num>
  <w:num w:numId="11">
    <w:abstractNumId w:val="42"/>
  </w:num>
  <w:num w:numId="12">
    <w:abstractNumId w:val="11"/>
  </w:num>
  <w:num w:numId="13">
    <w:abstractNumId w:val="20"/>
  </w:num>
  <w:num w:numId="14">
    <w:abstractNumId w:val="10"/>
  </w:num>
  <w:num w:numId="15">
    <w:abstractNumId w:val="33"/>
  </w:num>
  <w:num w:numId="16">
    <w:abstractNumId w:val="6"/>
  </w:num>
  <w:num w:numId="17">
    <w:abstractNumId w:val="37"/>
  </w:num>
  <w:num w:numId="18">
    <w:abstractNumId w:val="9"/>
  </w:num>
  <w:num w:numId="19">
    <w:abstractNumId w:val="15"/>
  </w:num>
  <w:num w:numId="20">
    <w:abstractNumId w:val="17"/>
  </w:num>
  <w:num w:numId="21">
    <w:abstractNumId w:val="13"/>
  </w:num>
  <w:num w:numId="22">
    <w:abstractNumId w:val="8"/>
  </w:num>
  <w:num w:numId="23">
    <w:abstractNumId w:val="32"/>
  </w:num>
  <w:num w:numId="24">
    <w:abstractNumId w:val="19"/>
  </w:num>
  <w:num w:numId="25">
    <w:abstractNumId w:val="21"/>
  </w:num>
  <w:num w:numId="26">
    <w:abstractNumId w:val="31"/>
  </w:num>
  <w:num w:numId="27">
    <w:abstractNumId w:val="16"/>
  </w:num>
  <w:num w:numId="28">
    <w:abstractNumId w:val="34"/>
  </w:num>
  <w:num w:numId="29">
    <w:abstractNumId w:val="4"/>
  </w:num>
  <w:num w:numId="30">
    <w:abstractNumId w:val="26"/>
  </w:num>
  <w:num w:numId="31">
    <w:abstractNumId w:val="27"/>
  </w:num>
  <w:num w:numId="32">
    <w:abstractNumId w:val="28"/>
  </w:num>
  <w:num w:numId="33">
    <w:abstractNumId w:val="28"/>
  </w:num>
  <w:num w:numId="34">
    <w:abstractNumId w:val="28"/>
  </w:num>
  <w:num w:numId="35">
    <w:abstractNumId w:val="28"/>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9"/>
  </w:num>
  <w:num w:numId="40">
    <w:abstractNumId w:val="30"/>
  </w:num>
  <w:num w:numId="41">
    <w:abstractNumId w:val="22"/>
  </w:num>
  <w:num w:numId="42">
    <w:abstractNumId w:val="40"/>
  </w:num>
  <w:num w:numId="43">
    <w:abstractNumId w:val="7"/>
  </w:num>
  <w:num w:numId="44">
    <w:abstractNumId w:val="38"/>
  </w:num>
  <w:num w:numId="45">
    <w:abstractNumId w:val="3"/>
  </w:num>
  <w:num w:numId="46">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F1"/>
    <w:rsid w:val="00000AA7"/>
    <w:rsid w:val="000017DE"/>
    <w:rsid w:val="00001BCC"/>
    <w:rsid w:val="00003BEF"/>
    <w:rsid w:val="000046E0"/>
    <w:rsid w:val="000056A3"/>
    <w:rsid w:val="00005DDF"/>
    <w:rsid w:val="0000670C"/>
    <w:rsid w:val="000109F1"/>
    <w:rsid w:val="00012194"/>
    <w:rsid w:val="0001265E"/>
    <w:rsid w:val="00014534"/>
    <w:rsid w:val="00016803"/>
    <w:rsid w:val="00020501"/>
    <w:rsid w:val="000206D0"/>
    <w:rsid w:val="00023E9E"/>
    <w:rsid w:val="00023FE7"/>
    <w:rsid w:val="000246A9"/>
    <w:rsid w:val="00025EE7"/>
    <w:rsid w:val="00026C61"/>
    <w:rsid w:val="0002714A"/>
    <w:rsid w:val="00030599"/>
    <w:rsid w:val="00032167"/>
    <w:rsid w:val="00032373"/>
    <w:rsid w:val="00035D12"/>
    <w:rsid w:val="000363A3"/>
    <w:rsid w:val="000371BE"/>
    <w:rsid w:val="00041E5B"/>
    <w:rsid w:val="00042A97"/>
    <w:rsid w:val="000461F4"/>
    <w:rsid w:val="00046562"/>
    <w:rsid w:val="0004695B"/>
    <w:rsid w:val="00046F11"/>
    <w:rsid w:val="0005034E"/>
    <w:rsid w:val="00050E2A"/>
    <w:rsid w:val="0005145F"/>
    <w:rsid w:val="00052A9B"/>
    <w:rsid w:val="00052CC5"/>
    <w:rsid w:val="00053011"/>
    <w:rsid w:val="00053CAE"/>
    <w:rsid w:val="00054EB1"/>
    <w:rsid w:val="000562EB"/>
    <w:rsid w:val="000602B0"/>
    <w:rsid w:val="00064953"/>
    <w:rsid w:val="00064C53"/>
    <w:rsid w:val="00065FB7"/>
    <w:rsid w:val="00067078"/>
    <w:rsid w:val="00067AD8"/>
    <w:rsid w:val="00070963"/>
    <w:rsid w:val="00071340"/>
    <w:rsid w:val="00071DBF"/>
    <w:rsid w:val="0007261B"/>
    <w:rsid w:val="0007340E"/>
    <w:rsid w:val="00074D8F"/>
    <w:rsid w:val="0007538F"/>
    <w:rsid w:val="00077E8A"/>
    <w:rsid w:val="0008082A"/>
    <w:rsid w:val="00083AA5"/>
    <w:rsid w:val="0008417A"/>
    <w:rsid w:val="000858B8"/>
    <w:rsid w:val="000859C9"/>
    <w:rsid w:val="00091A0E"/>
    <w:rsid w:val="000921DF"/>
    <w:rsid w:val="0009233E"/>
    <w:rsid w:val="00095988"/>
    <w:rsid w:val="000959D0"/>
    <w:rsid w:val="0009644B"/>
    <w:rsid w:val="000969F7"/>
    <w:rsid w:val="00096ED8"/>
    <w:rsid w:val="00097AC9"/>
    <w:rsid w:val="00097E03"/>
    <w:rsid w:val="000A0EE0"/>
    <w:rsid w:val="000A2A3E"/>
    <w:rsid w:val="000A2D5B"/>
    <w:rsid w:val="000A2EF9"/>
    <w:rsid w:val="000A33FE"/>
    <w:rsid w:val="000A56F6"/>
    <w:rsid w:val="000A6030"/>
    <w:rsid w:val="000A717A"/>
    <w:rsid w:val="000A7969"/>
    <w:rsid w:val="000A7BD3"/>
    <w:rsid w:val="000B09DB"/>
    <w:rsid w:val="000B13AC"/>
    <w:rsid w:val="000B15FA"/>
    <w:rsid w:val="000B2886"/>
    <w:rsid w:val="000B37F1"/>
    <w:rsid w:val="000B41DD"/>
    <w:rsid w:val="000B75D1"/>
    <w:rsid w:val="000C20A7"/>
    <w:rsid w:val="000C2D62"/>
    <w:rsid w:val="000C41AB"/>
    <w:rsid w:val="000C590F"/>
    <w:rsid w:val="000C6B64"/>
    <w:rsid w:val="000D0A01"/>
    <w:rsid w:val="000D2461"/>
    <w:rsid w:val="000D3389"/>
    <w:rsid w:val="000D576E"/>
    <w:rsid w:val="000D75ED"/>
    <w:rsid w:val="000E09C8"/>
    <w:rsid w:val="000E4049"/>
    <w:rsid w:val="000F268A"/>
    <w:rsid w:val="000F26FB"/>
    <w:rsid w:val="000F2B50"/>
    <w:rsid w:val="000F409D"/>
    <w:rsid w:val="000F4E95"/>
    <w:rsid w:val="000F50F2"/>
    <w:rsid w:val="000F76D0"/>
    <w:rsid w:val="001008F5"/>
    <w:rsid w:val="00100A20"/>
    <w:rsid w:val="001052AD"/>
    <w:rsid w:val="00105469"/>
    <w:rsid w:val="00106A2D"/>
    <w:rsid w:val="00107F0E"/>
    <w:rsid w:val="00111137"/>
    <w:rsid w:val="0011155C"/>
    <w:rsid w:val="00111EF3"/>
    <w:rsid w:val="00112E97"/>
    <w:rsid w:val="00113324"/>
    <w:rsid w:val="00114ACE"/>
    <w:rsid w:val="00115980"/>
    <w:rsid w:val="00115998"/>
    <w:rsid w:val="0011655B"/>
    <w:rsid w:val="00117F1C"/>
    <w:rsid w:val="00120615"/>
    <w:rsid w:val="00120ADB"/>
    <w:rsid w:val="001216C6"/>
    <w:rsid w:val="00123721"/>
    <w:rsid w:val="00123CA5"/>
    <w:rsid w:val="00124242"/>
    <w:rsid w:val="00127B59"/>
    <w:rsid w:val="00127E33"/>
    <w:rsid w:val="001305DF"/>
    <w:rsid w:val="00131358"/>
    <w:rsid w:val="00135AAB"/>
    <w:rsid w:val="001366FD"/>
    <w:rsid w:val="00140F6C"/>
    <w:rsid w:val="001426F1"/>
    <w:rsid w:val="00147B21"/>
    <w:rsid w:val="00150736"/>
    <w:rsid w:val="00151CE5"/>
    <w:rsid w:val="00152471"/>
    <w:rsid w:val="00153557"/>
    <w:rsid w:val="00154952"/>
    <w:rsid w:val="00156E65"/>
    <w:rsid w:val="00161016"/>
    <w:rsid w:val="0016148A"/>
    <w:rsid w:val="00164251"/>
    <w:rsid w:val="001645E8"/>
    <w:rsid w:val="00164E06"/>
    <w:rsid w:val="00166615"/>
    <w:rsid w:val="00172537"/>
    <w:rsid w:val="001731AD"/>
    <w:rsid w:val="001742F4"/>
    <w:rsid w:val="00175B84"/>
    <w:rsid w:val="0017623F"/>
    <w:rsid w:val="0017667C"/>
    <w:rsid w:val="00176D82"/>
    <w:rsid w:val="001824CD"/>
    <w:rsid w:val="001838EA"/>
    <w:rsid w:val="00184B3C"/>
    <w:rsid w:val="001851FC"/>
    <w:rsid w:val="00185A12"/>
    <w:rsid w:val="00186904"/>
    <w:rsid w:val="001879B4"/>
    <w:rsid w:val="00187BA0"/>
    <w:rsid w:val="00191DBC"/>
    <w:rsid w:val="0019217B"/>
    <w:rsid w:val="00192FBD"/>
    <w:rsid w:val="00195E67"/>
    <w:rsid w:val="001A0D17"/>
    <w:rsid w:val="001A2422"/>
    <w:rsid w:val="001A2E3D"/>
    <w:rsid w:val="001A38D0"/>
    <w:rsid w:val="001A471E"/>
    <w:rsid w:val="001A4CF6"/>
    <w:rsid w:val="001A6789"/>
    <w:rsid w:val="001A6C45"/>
    <w:rsid w:val="001B16ED"/>
    <w:rsid w:val="001B2700"/>
    <w:rsid w:val="001B31AD"/>
    <w:rsid w:val="001B3CD3"/>
    <w:rsid w:val="001B4DAD"/>
    <w:rsid w:val="001B6125"/>
    <w:rsid w:val="001B7175"/>
    <w:rsid w:val="001B717E"/>
    <w:rsid w:val="001B77D0"/>
    <w:rsid w:val="001C2236"/>
    <w:rsid w:val="001C5449"/>
    <w:rsid w:val="001C6065"/>
    <w:rsid w:val="001D5B5B"/>
    <w:rsid w:val="001D6E3F"/>
    <w:rsid w:val="001D6F9B"/>
    <w:rsid w:val="001E038C"/>
    <w:rsid w:val="001E17D8"/>
    <w:rsid w:val="001E1DF9"/>
    <w:rsid w:val="001E206C"/>
    <w:rsid w:val="001E3740"/>
    <w:rsid w:val="001E3CA8"/>
    <w:rsid w:val="001E4F2A"/>
    <w:rsid w:val="001E5EDF"/>
    <w:rsid w:val="001E6BEA"/>
    <w:rsid w:val="001E7488"/>
    <w:rsid w:val="001E77A4"/>
    <w:rsid w:val="001E78AF"/>
    <w:rsid w:val="001F127C"/>
    <w:rsid w:val="001F1647"/>
    <w:rsid w:val="001F1E41"/>
    <w:rsid w:val="001F1FFF"/>
    <w:rsid w:val="001F2794"/>
    <w:rsid w:val="001F518B"/>
    <w:rsid w:val="001F6629"/>
    <w:rsid w:val="001F6AD9"/>
    <w:rsid w:val="001F6CA3"/>
    <w:rsid w:val="001F7AE5"/>
    <w:rsid w:val="001F7C22"/>
    <w:rsid w:val="00201F62"/>
    <w:rsid w:val="002046CF"/>
    <w:rsid w:val="00207744"/>
    <w:rsid w:val="00210855"/>
    <w:rsid w:val="00211AD7"/>
    <w:rsid w:val="00213D36"/>
    <w:rsid w:val="00215614"/>
    <w:rsid w:val="002219C7"/>
    <w:rsid w:val="00221A73"/>
    <w:rsid w:val="00221A8C"/>
    <w:rsid w:val="00222A8E"/>
    <w:rsid w:val="00223ECD"/>
    <w:rsid w:val="00224D74"/>
    <w:rsid w:val="00225853"/>
    <w:rsid w:val="00225A10"/>
    <w:rsid w:val="00225EB4"/>
    <w:rsid w:val="002263C4"/>
    <w:rsid w:val="00226C4B"/>
    <w:rsid w:val="00227D26"/>
    <w:rsid w:val="00227D89"/>
    <w:rsid w:val="002301A0"/>
    <w:rsid w:val="0023040F"/>
    <w:rsid w:val="00231083"/>
    <w:rsid w:val="0023445B"/>
    <w:rsid w:val="00236F75"/>
    <w:rsid w:val="002374A0"/>
    <w:rsid w:val="00241B3C"/>
    <w:rsid w:val="00242F36"/>
    <w:rsid w:val="00244BA1"/>
    <w:rsid w:val="002470E1"/>
    <w:rsid w:val="00247E52"/>
    <w:rsid w:val="00247F17"/>
    <w:rsid w:val="0025017A"/>
    <w:rsid w:val="00251121"/>
    <w:rsid w:val="00251BE1"/>
    <w:rsid w:val="00252636"/>
    <w:rsid w:val="00253D2D"/>
    <w:rsid w:val="00253FAF"/>
    <w:rsid w:val="00254248"/>
    <w:rsid w:val="00254721"/>
    <w:rsid w:val="0025538D"/>
    <w:rsid w:val="0026024B"/>
    <w:rsid w:val="00260354"/>
    <w:rsid w:val="002636E7"/>
    <w:rsid w:val="0026498D"/>
    <w:rsid w:val="00270443"/>
    <w:rsid w:val="00270616"/>
    <w:rsid w:val="00273C53"/>
    <w:rsid w:val="00280723"/>
    <w:rsid w:val="00280CFA"/>
    <w:rsid w:val="002836A0"/>
    <w:rsid w:val="00284227"/>
    <w:rsid w:val="0028686F"/>
    <w:rsid w:val="00287228"/>
    <w:rsid w:val="00292690"/>
    <w:rsid w:val="0029373E"/>
    <w:rsid w:val="002938D3"/>
    <w:rsid w:val="00296622"/>
    <w:rsid w:val="002A0062"/>
    <w:rsid w:val="002A3227"/>
    <w:rsid w:val="002A4A24"/>
    <w:rsid w:val="002A4EAB"/>
    <w:rsid w:val="002A7467"/>
    <w:rsid w:val="002B2835"/>
    <w:rsid w:val="002B41B1"/>
    <w:rsid w:val="002B6079"/>
    <w:rsid w:val="002B629F"/>
    <w:rsid w:val="002B7358"/>
    <w:rsid w:val="002B7606"/>
    <w:rsid w:val="002C14CA"/>
    <w:rsid w:val="002D0683"/>
    <w:rsid w:val="002D1076"/>
    <w:rsid w:val="002D2BDA"/>
    <w:rsid w:val="002D3692"/>
    <w:rsid w:val="002D3F8A"/>
    <w:rsid w:val="002D5FAC"/>
    <w:rsid w:val="002E2FBD"/>
    <w:rsid w:val="002E62DD"/>
    <w:rsid w:val="002E6B4A"/>
    <w:rsid w:val="002E7679"/>
    <w:rsid w:val="002F1301"/>
    <w:rsid w:val="002F2BC1"/>
    <w:rsid w:val="002F2C41"/>
    <w:rsid w:val="002F2FBC"/>
    <w:rsid w:val="002F362B"/>
    <w:rsid w:val="002F3882"/>
    <w:rsid w:val="002F437D"/>
    <w:rsid w:val="002F7440"/>
    <w:rsid w:val="003066A0"/>
    <w:rsid w:val="0030788B"/>
    <w:rsid w:val="0031148B"/>
    <w:rsid w:val="00313C44"/>
    <w:rsid w:val="00315496"/>
    <w:rsid w:val="00316F86"/>
    <w:rsid w:val="00317751"/>
    <w:rsid w:val="00320400"/>
    <w:rsid w:val="00321069"/>
    <w:rsid w:val="00322ACE"/>
    <w:rsid w:val="00323A9B"/>
    <w:rsid w:val="0032467D"/>
    <w:rsid w:val="003263A6"/>
    <w:rsid w:val="00331B10"/>
    <w:rsid w:val="00331B7F"/>
    <w:rsid w:val="0033378A"/>
    <w:rsid w:val="00333AC7"/>
    <w:rsid w:val="003350B2"/>
    <w:rsid w:val="00336B08"/>
    <w:rsid w:val="003373A4"/>
    <w:rsid w:val="00337A7B"/>
    <w:rsid w:val="00340750"/>
    <w:rsid w:val="0034186C"/>
    <w:rsid w:val="00342749"/>
    <w:rsid w:val="0034471A"/>
    <w:rsid w:val="00345FEB"/>
    <w:rsid w:val="00346A35"/>
    <w:rsid w:val="00346B64"/>
    <w:rsid w:val="0035022E"/>
    <w:rsid w:val="00350E81"/>
    <w:rsid w:val="00354364"/>
    <w:rsid w:val="00354F8B"/>
    <w:rsid w:val="00355F37"/>
    <w:rsid w:val="0035780B"/>
    <w:rsid w:val="00357E8C"/>
    <w:rsid w:val="00361E41"/>
    <w:rsid w:val="00366AE8"/>
    <w:rsid w:val="00366F20"/>
    <w:rsid w:val="00367660"/>
    <w:rsid w:val="003703C0"/>
    <w:rsid w:val="0037368D"/>
    <w:rsid w:val="00374F48"/>
    <w:rsid w:val="00375048"/>
    <w:rsid w:val="0037679F"/>
    <w:rsid w:val="00376A8B"/>
    <w:rsid w:val="00377406"/>
    <w:rsid w:val="00385168"/>
    <w:rsid w:val="003861C8"/>
    <w:rsid w:val="0038768F"/>
    <w:rsid w:val="00387C5B"/>
    <w:rsid w:val="0039154E"/>
    <w:rsid w:val="00391D6F"/>
    <w:rsid w:val="00392577"/>
    <w:rsid w:val="00392BF2"/>
    <w:rsid w:val="00393DA8"/>
    <w:rsid w:val="00394096"/>
    <w:rsid w:val="00394254"/>
    <w:rsid w:val="00397856"/>
    <w:rsid w:val="003978FB"/>
    <w:rsid w:val="003A0853"/>
    <w:rsid w:val="003A1497"/>
    <w:rsid w:val="003A1F22"/>
    <w:rsid w:val="003A4390"/>
    <w:rsid w:val="003A5C72"/>
    <w:rsid w:val="003B07F8"/>
    <w:rsid w:val="003B1C5A"/>
    <w:rsid w:val="003B2520"/>
    <w:rsid w:val="003B4A85"/>
    <w:rsid w:val="003B5325"/>
    <w:rsid w:val="003B6717"/>
    <w:rsid w:val="003B6E23"/>
    <w:rsid w:val="003B7401"/>
    <w:rsid w:val="003B7C30"/>
    <w:rsid w:val="003C0503"/>
    <w:rsid w:val="003C0895"/>
    <w:rsid w:val="003C2745"/>
    <w:rsid w:val="003C4289"/>
    <w:rsid w:val="003C50C6"/>
    <w:rsid w:val="003C6E9E"/>
    <w:rsid w:val="003C7331"/>
    <w:rsid w:val="003D0A5B"/>
    <w:rsid w:val="003D0C77"/>
    <w:rsid w:val="003D2588"/>
    <w:rsid w:val="003D3135"/>
    <w:rsid w:val="003D6629"/>
    <w:rsid w:val="003D75FB"/>
    <w:rsid w:val="003D780A"/>
    <w:rsid w:val="003E17E6"/>
    <w:rsid w:val="003E1B82"/>
    <w:rsid w:val="003E3F31"/>
    <w:rsid w:val="003E41AC"/>
    <w:rsid w:val="003E4286"/>
    <w:rsid w:val="003E7638"/>
    <w:rsid w:val="003F0247"/>
    <w:rsid w:val="003F04BF"/>
    <w:rsid w:val="003F2319"/>
    <w:rsid w:val="003F23DD"/>
    <w:rsid w:val="003F72E8"/>
    <w:rsid w:val="00400FB2"/>
    <w:rsid w:val="00403CD5"/>
    <w:rsid w:val="0040436E"/>
    <w:rsid w:val="0040538A"/>
    <w:rsid w:val="00406DB3"/>
    <w:rsid w:val="004162C3"/>
    <w:rsid w:val="004166EE"/>
    <w:rsid w:val="00416AAC"/>
    <w:rsid w:val="00417C7C"/>
    <w:rsid w:val="00420B53"/>
    <w:rsid w:val="00422F47"/>
    <w:rsid w:val="00425CB5"/>
    <w:rsid w:val="004268FC"/>
    <w:rsid w:val="00431786"/>
    <w:rsid w:val="00431990"/>
    <w:rsid w:val="00432B4E"/>
    <w:rsid w:val="00432DDA"/>
    <w:rsid w:val="00432FD0"/>
    <w:rsid w:val="004334A2"/>
    <w:rsid w:val="00434AB1"/>
    <w:rsid w:val="00434F9C"/>
    <w:rsid w:val="00440009"/>
    <w:rsid w:val="004408FA"/>
    <w:rsid w:val="00441E71"/>
    <w:rsid w:val="00443330"/>
    <w:rsid w:val="00443B1C"/>
    <w:rsid w:val="004458A6"/>
    <w:rsid w:val="004472D5"/>
    <w:rsid w:val="00450273"/>
    <w:rsid w:val="004503CF"/>
    <w:rsid w:val="004517A4"/>
    <w:rsid w:val="00451AF9"/>
    <w:rsid w:val="00451BF1"/>
    <w:rsid w:val="004545ED"/>
    <w:rsid w:val="00454BF6"/>
    <w:rsid w:val="00454CC5"/>
    <w:rsid w:val="00454F43"/>
    <w:rsid w:val="0045555E"/>
    <w:rsid w:val="00460D1F"/>
    <w:rsid w:val="00461D00"/>
    <w:rsid w:val="004637DF"/>
    <w:rsid w:val="00463C30"/>
    <w:rsid w:val="00466D75"/>
    <w:rsid w:val="00467B56"/>
    <w:rsid w:val="00471061"/>
    <w:rsid w:val="004715A8"/>
    <w:rsid w:val="00472DB0"/>
    <w:rsid w:val="00476247"/>
    <w:rsid w:val="00476809"/>
    <w:rsid w:val="00477B8E"/>
    <w:rsid w:val="00480374"/>
    <w:rsid w:val="00480457"/>
    <w:rsid w:val="00481DE2"/>
    <w:rsid w:val="004826D4"/>
    <w:rsid w:val="0048294F"/>
    <w:rsid w:val="00482F8A"/>
    <w:rsid w:val="00483C79"/>
    <w:rsid w:val="00490347"/>
    <w:rsid w:val="004908AC"/>
    <w:rsid w:val="00490EB5"/>
    <w:rsid w:val="00490F83"/>
    <w:rsid w:val="004924C0"/>
    <w:rsid w:val="00493BD8"/>
    <w:rsid w:val="00495E4C"/>
    <w:rsid w:val="0049651D"/>
    <w:rsid w:val="00496D64"/>
    <w:rsid w:val="0049710D"/>
    <w:rsid w:val="004A046F"/>
    <w:rsid w:val="004A107E"/>
    <w:rsid w:val="004A51DC"/>
    <w:rsid w:val="004A6244"/>
    <w:rsid w:val="004A7401"/>
    <w:rsid w:val="004A7622"/>
    <w:rsid w:val="004B18C0"/>
    <w:rsid w:val="004B2B07"/>
    <w:rsid w:val="004B3623"/>
    <w:rsid w:val="004B3A62"/>
    <w:rsid w:val="004B680D"/>
    <w:rsid w:val="004B7DC2"/>
    <w:rsid w:val="004C08E8"/>
    <w:rsid w:val="004C0E3E"/>
    <w:rsid w:val="004C18F2"/>
    <w:rsid w:val="004C23C2"/>
    <w:rsid w:val="004C47BA"/>
    <w:rsid w:val="004C5254"/>
    <w:rsid w:val="004C5A00"/>
    <w:rsid w:val="004C7B06"/>
    <w:rsid w:val="004D0B5C"/>
    <w:rsid w:val="004D12A1"/>
    <w:rsid w:val="004D24BB"/>
    <w:rsid w:val="004D276A"/>
    <w:rsid w:val="004D3028"/>
    <w:rsid w:val="004D3FD3"/>
    <w:rsid w:val="004D50E0"/>
    <w:rsid w:val="004D5635"/>
    <w:rsid w:val="004D6EFC"/>
    <w:rsid w:val="004D7ACF"/>
    <w:rsid w:val="004E1816"/>
    <w:rsid w:val="004E1C07"/>
    <w:rsid w:val="004E2B4D"/>
    <w:rsid w:val="004E2D90"/>
    <w:rsid w:val="004E36A6"/>
    <w:rsid w:val="004E7194"/>
    <w:rsid w:val="004E7A24"/>
    <w:rsid w:val="004E7EDA"/>
    <w:rsid w:val="004F0CFC"/>
    <w:rsid w:val="004F5BA2"/>
    <w:rsid w:val="004F5CE5"/>
    <w:rsid w:val="00500F94"/>
    <w:rsid w:val="005022B6"/>
    <w:rsid w:val="00502A78"/>
    <w:rsid w:val="00502E0A"/>
    <w:rsid w:val="00503D89"/>
    <w:rsid w:val="00505E84"/>
    <w:rsid w:val="00505EC4"/>
    <w:rsid w:val="0050646D"/>
    <w:rsid w:val="005064AE"/>
    <w:rsid w:val="005075FA"/>
    <w:rsid w:val="0051350F"/>
    <w:rsid w:val="00513C95"/>
    <w:rsid w:val="00514DB5"/>
    <w:rsid w:val="00516541"/>
    <w:rsid w:val="00521F00"/>
    <w:rsid w:val="00523B54"/>
    <w:rsid w:val="00523C84"/>
    <w:rsid w:val="0053016B"/>
    <w:rsid w:val="005315B2"/>
    <w:rsid w:val="00534288"/>
    <w:rsid w:val="0053498D"/>
    <w:rsid w:val="00535F3E"/>
    <w:rsid w:val="0053667B"/>
    <w:rsid w:val="005414F1"/>
    <w:rsid w:val="005439A5"/>
    <w:rsid w:val="005442C4"/>
    <w:rsid w:val="005515FA"/>
    <w:rsid w:val="00551AAA"/>
    <w:rsid w:val="0055236B"/>
    <w:rsid w:val="00552525"/>
    <w:rsid w:val="00553A5A"/>
    <w:rsid w:val="00554F6D"/>
    <w:rsid w:val="00556994"/>
    <w:rsid w:val="00557A6A"/>
    <w:rsid w:val="00562DAD"/>
    <w:rsid w:val="005636B0"/>
    <w:rsid w:val="00563979"/>
    <w:rsid w:val="00563984"/>
    <w:rsid w:val="00564629"/>
    <w:rsid w:val="0056787C"/>
    <w:rsid w:val="0057136A"/>
    <w:rsid w:val="00571684"/>
    <w:rsid w:val="00571877"/>
    <w:rsid w:val="00573DFE"/>
    <w:rsid w:val="00574B48"/>
    <w:rsid w:val="00575663"/>
    <w:rsid w:val="005805B6"/>
    <w:rsid w:val="005805C3"/>
    <w:rsid w:val="005810B9"/>
    <w:rsid w:val="005810D3"/>
    <w:rsid w:val="00582EE1"/>
    <w:rsid w:val="00583077"/>
    <w:rsid w:val="005833E3"/>
    <w:rsid w:val="005839B9"/>
    <w:rsid w:val="0058429F"/>
    <w:rsid w:val="00585909"/>
    <w:rsid w:val="00585A60"/>
    <w:rsid w:val="00590A0D"/>
    <w:rsid w:val="00590D4E"/>
    <w:rsid w:val="00592A8A"/>
    <w:rsid w:val="005931F0"/>
    <w:rsid w:val="00594466"/>
    <w:rsid w:val="00595DE2"/>
    <w:rsid w:val="00596255"/>
    <w:rsid w:val="005A2E3D"/>
    <w:rsid w:val="005A3173"/>
    <w:rsid w:val="005A3920"/>
    <w:rsid w:val="005A5440"/>
    <w:rsid w:val="005B08BC"/>
    <w:rsid w:val="005B2296"/>
    <w:rsid w:val="005B3319"/>
    <w:rsid w:val="005B43EE"/>
    <w:rsid w:val="005B5F89"/>
    <w:rsid w:val="005B718D"/>
    <w:rsid w:val="005C019C"/>
    <w:rsid w:val="005C114F"/>
    <w:rsid w:val="005C1BC7"/>
    <w:rsid w:val="005D1520"/>
    <w:rsid w:val="005D3216"/>
    <w:rsid w:val="005D3DBE"/>
    <w:rsid w:val="005E10EF"/>
    <w:rsid w:val="005E1285"/>
    <w:rsid w:val="005E2890"/>
    <w:rsid w:val="005E7EA9"/>
    <w:rsid w:val="005F18FF"/>
    <w:rsid w:val="005F3E3A"/>
    <w:rsid w:val="005F56B0"/>
    <w:rsid w:val="005F6C84"/>
    <w:rsid w:val="005F7819"/>
    <w:rsid w:val="00600BF4"/>
    <w:rsid w:val="00601BFC"/>
    <w:rsid w:val="006048A4"/>
    <w:rsid w:val="006052AE"/>
    <w:rsid w:val="00605C3F"/>
    <w:rsid w:val="00606AA9"/>
    <w:rsid w:val="00606C39"/>
    <w:rsid w:val="006103F9"/>
    <w:rsid w:val="00613940"/>
    <w:rsid w:val="006143DD"/>
    <w:rsid w:val="00617828"/>
    <w:rsid w:val="00620F59"/>
    <w:rsid w:val="006215D1"/>
    <w:rsid w:val="0062208F"/>
    <w:rsid w:val="00622DDC"/>
    <w:rsid w:val="00623883"/>
    <w:rsid w:val="00624AA4"/>
    <w:rsid w:val="00632791"/>
    <w:rsid w:val="00634280"/>
    <w:rsid w:val="00636260"/>
    <w:rsid w:val="0063645E"/>
    <w:rsid w:val="00640321"/>
    <w:rsid w:val="00644E77"/>
    <w:rsid w:val="00645666"/>
    <w:rsid w:val="00647557"/>
    <w:rsid w:val="006517CB"/>
    <w:rsid w:val="0065378F"/>
    <w:rsid w:val="006539F0"/>
    <w:rsid w:val="006541CF"/>
    <w:rsid w:val="006566A8"/>
    <w:rsid w:val="006566D8"/>
    <w:rsid w:val="00657C59"/>
    <w:rsid w:val="00663170"/>
    <w:rsid w:val="006642A9"/>
    <w:rsid w:val="00664D8F"/>
    <w:rsid w:val="00665894"/>
    <w:rsid w:val="00667A4B"/>
    <w:rsid w:val="006701A9"/>
    <w:rsid w:val="006708CD"/>
    <w:rsid w:val="00671C86"/>
    <w:rsid w:val="006743B3"/>
    <w:rsid w:val="00675C71"/>
    <w:rsid w:val="00680193"/>
    <w:rsid w:val="00684440"/>
    <w:rsid w:val="00684EF8"/>
    <w:rsid w:val="00686EEC"/>
    <w:rsid w:val="006910B7"/>
    <w:rsid w:val="00696F2D"/>
    <w:rsid w:val="006A1DA5"/>
    <w:rsid w:val="006A3613"/>
    <w:rsid w:val="006A4BDA"/>
    <w:rsid w:val="006A5B1C"/>
    <w:rsid w:val="006A61A8"/>
    <w:rsid w:val="006B05B7"/>
    <w:rsid w:val="006B2A33"/>
    <w:rsid w:val="006B2E30"/>
    <w:rsid w:val="006B3485"/>
    <w:rsid w:val="006B413B"/>
    <w:rsid w:val="006B44F3"/>
    <w:rsid w:val="006B4B03"/>
    <w:rsid w:val="006B5FCB"/>
    <w:rsid w:val="006B6695"/>
    <w:rsid w:val="006C0C4E"/>
    <w:rsid w:val="006C1026"/>
    <w:rsid w:val="006C12CE"/>
    <w:rsid w:val="006C1A5E"/>
    <w:rsid w:val="006C3C71"/>
    <w:rsid w:val="006C49A0"/>
    <w:rsid w:val="006D0E30"/>
    <w:rsid w:val="006D192F"/>
    <w:rsid w:val="006D25F0"/>
    <w:rsid w:val="006D663F"/>
    <w:rsid w:val="006D7546"/>
    <w:rsid w:val="006E067A"/>
    <w:rsid w:val="006E4B90"/>
    <w:rsid w:val="006E56B4"/>
    <w:rsid w:val="006E746D"/>
    <w:rsid w:val="006F0BE0"/>
    <w:rsid w:val="006F1246"/>
    <w:rsid w:val="006F1AE1"/>
    <w:rsid w:val="006F2E04"/>
    <w:rsid w:val="006F3325"/>
    <w:rsid w:val="006F379E"/>
    <w:rsid w:val="006F78A4"/>
    <w:rsid w:val="006F7CC7"/>
    <w:rsid w:val="006F7DBB"/>
    <w:rsid w:val="00702270"/>
    <w:rsid w:val="00707636"/>
    <w:rsid w:val="00707BA0"/>
    <w:rsid w:val="00710BD1"/>
    <w:rsid w:val="00711B0A"/>
    <w:rsid w:val="0071399C"/>
    <w:rsid w:val="007142AA"/>
    <w:rsid w:val="00716CC4"/>
    <w:rsid w:val="007176FB"/>
    <w:rsid w:val="00720B69"/>
    <w:rsid w:val="00720D17"/>
    <w:rsid w:val="00721288"/>
    <w:rsid w:val="00721D3E"/>
    <w:rsid w:val="00722A3E"/>
    <w:rsid w:val="007252AE"/>
    <w:rsid w:val="007253EF"/>
    <w:rsid w:val="00725724"/>
    <w:rsid w:val="007273B4"/>
    <w:rsid w:val="00731397"/>
    <w:rsid w:val="00733571"/>
    <w:rsid w:val="00742FA8"/>
    <w:rsid w:val="00743AF6"/>
    <w:rsid w:val="00745694"/>
    <w:rsid w:val="00746ECB"/>
    <w:rsid w:val="00747ADA"/>
    <w:rsid w:val="007512A6"/>
    <w:rsid w:val="00751E3E"/>
    <w:rsid w:val="00754485"/>
    <w:rsid w:val="007544F2"/>
    <w:rsid w:val="00756C81"/>
    <w:rsid w:val="00757CF9"/>
    <w:rsid w:val="007600A4"/>
    <w:rsid w:val="00760846"/>
    <w:rsid w:val="00761809"/>
    <w:rsid w:val="0076201E"/>
    <w:rsid w:val="007627C4"/>
    <w:rsid w:val="007634C4"/>
    <w:rsid w:val="00765DFB"/>
    <w:rsid w:val="00767CDF"/>
    <w:rsid w:val="00770085"/>
    <w:rsid w:val="00771EE4"/>
    <w:rsid w:val="007726F4"/>
    <w:rsid w:val="00772B16"/>
    <w:rsid w:val="00772D21"/>
    <w:rsid w:val="00772FE5"/>
    <w:rsid w:val="00773BDB"/>
    <w:rsid w:val="00774B66"/>
    <w:rsid w:val="007764E2"/>
    <w:rsid w:val="00777950"/>
    <w:rsid w:val="00777966"/>
    <w:rsid w:val="00780B26"/>
    <w:rsid w:val="007813E8"/>
    <w:rsid w:val="007822A8"/>
    <w:rsid w:val="00782845"/>
    <w:rsid w:val="007845ED"/>
    <w:rsid w:val="00785936"/>
    <w:rsid w:val="007859EB"/>
    <w:rsid w:val="00790475"/>
    <w:rsid w:val="00790AED"/>
    <w:rsid w:val="00792A2A"/>
    <w:rsid w:val="0079465C"/>
    <w:rsid w:val="007957AF"/>
    <w:rsid w:val="0079755E"/>
    <w:rsid w:val="00797EDE"/>
    <w:rsid w:val="007A29B7"/>
    <w:rsid w:val="007A4126"/>
    <w:rsid w:val="007A4332"/>
    <w:rsid w:val="007B2BC1"/>
    <w:rsid w:val="007B35B0"/>
    <w:rsid w:val="007B4D05"/>
    <w:rsid w:val="007B4F44"/>
    <w:rsid w:val="007B5CAF"/>
    <w:rsid w:val="007B63FC"/>
    <w:rsid w:val="007B6EC0"/>
    <w:rsid w:val="007C1D57"/>
    <w:rsid w:val="007C4C81"/>
    <w:rsid w:val="007C52B3"/>
    <w:rsid w:val="007C5548"/>
    <w:rsid w:val="007C6F38"/>
    <w:rsid w:val="007C7413"/>
    <w:rsid w:val="007D2708"/>
    <w:rsid w:val="007D3222"/>
    <w:rsid w:val="007D59D8"/>
    <w:rsid w:val="007D712E"/>
    <w:rsid w:val="007E08E4"/>
    <w:rsid w:val="007E2CB0"/>
    <w:rsid w:val="007E4389"/>
    <w:rsid w:val="007E52F2"/>
    <w:rsid w:val="007E6336"/>
    <w:rsid w:val="007F052B"/>
    <w:rsid w:val="007F1119"/>
    <w:rsid w:val="007F2FF8"/>
    <w:rsid w:val="007F4852"/>
    <w:rsid w:val="007F5AA4"/>
    <w:rsid w:val="007F6B92"/>
    <w:rsid w:val="00801836"/>
    <w:rsid w:val="00801D37"/>
    <w:rsid w:val="00801E88"/>
    <w:rsid w:val="00802C4A"/>
    <w:rsid w:val="00802F09"/>
    <w:rsid w:val="00804AFE"/>
    <w:rsid w:val="00807008"/>
    <w:rsid w:val="00810084"/>
    <w:rsid w:val="008111C1"/>
    <w:rsid w:val="008156B7"/>
    <w:rsid w:val="00816E25"/>
    <w:rsid w:val="00820F52"/>
    <w:rsid w:val="008210AE"/>
    <w:rsid w:val="008234EE"/>
    <w:rsid w:val="00824DFB"/>
    <w:rsid w:val="008253AD"/>
    <w:rsid w:val="00826A58"/>
    <w:rsid w:val="008307C5"/>
    <w:rsid w:val="00834BB7"/>
    <w:rsid w:val="00835EBD"/>
    <w:rsid w:val="00836599"/>
    <w:rsid w:val="00837A26"/>
    <w:rsid w:val="0084021B"/>
    <w:rsid w:val="0084155C"/>
    <w:rsid w:val="00844FC0"/>
    <w:rsid w:val="0084649C"/>
    <w:rsid w:val="00847D7B"/>
    <w:rsid w:val="00853134"/>
    <w:rsid w:val="00854350"/>
    <w:rsid w:val="008543E9"/>
    <w:rsid w:val="00855BE3"/>
    <w:rsid w:val="0085657D"/>
    <w:rsid w:val="008614F3"/>
    <w:rsid w:val="008623F6"/>
    <w:rsid w:val="00863E30"/>
    <w:rsid w:val="00870840"/>
    <w:rsid w:val="00871209"/>
    <w:rsid w:val="00871D18"/>
    <w:rsid w:val="00872D00"/>
    <w:rsid w:val="00873520"/>
    <w:rsid w:val="008735EF"/>
    <w:rsid w:val="00873805"/>
    <w:rsid w:val="008760D1"/>
    <w:rsid w:val="00877003"/>
    <w:rsid w:val="008775AC"/>
    <w:rsid w:val="008779CD"/>
    <w:rsid w:val="0088368D"/>
    <w:rsid w:val="00883A15"/>
    <w:rsid w:val="00884962"/>
    <w:rsid w:val="0088655B"/>
    <w:rsid w:val="00886693"/>
    <w:rsid w:val="008866D0"/>
    <w:rsid w:val="00890130"/>
    <w:rsid w:val="00890C20"/>
    <w:rsid w:val="00891B9A"/>
    <w:rsid w:val="00892AF1"/>
    <w:rsid w:val="00892C71"/>
    <w:rsid w:val="008935B1"/>
    <w:rsid w:val="008966E4"/>
    <w:rsid w:val="008A0A66"/>
    <w:rsid w:val="008A1350"/>
    <w:rsid w:val="008A1D8F"/>
    <w:rsid w:val="008A1FA4"/>
    <w:rsid w:val="008A2E77"/>
    <w:rsid w:val="008A320D"/>
    <w:rsid w:val="008A4F65"/>
    <w:rsid w:val="008A5CB2"/>
    <w:rsid w:val="008A601D"/>
    <w:rsid w:val="008A6974"/>
    <w:rsid w:val="008B0ACA"/>
    <w:rsid w:val="008B11D3"/>
    <w:rsid w:val="008B3325"/>
    <w:rsid w:val="008B4AA4"/>
    <w:rsid w:val="008B5AD9"/>
    <w:rsid w:val="008B6978"/>
    <w:rsid w:val="008B71A9"/>
    <w:rsid w:val="008C3833"/>
    <w:rsid w:val="008C51C2"/>
    <w:rsid w:val="008C7132"/>
    <w:rsid w:val="008C7147"/>
    <w:rsid w:val="008D0719"/>
    <w:rsid w:val="008D10C1"/>
    <w:rsid w:val="008D1399"/>
    <w:rsid w:val="008D1577"/>
    <w:rsid w:val="008D1795"/>
    <w:rsid w:val="008D2C2B"/>
    <w:rsid w:val="008D525E"/>
    <w:rsid w:val="008D5805"/>
    <w:rsid w:val="008D7F86"/>
    <w:rsid w:val="008E00D5"/>
    <w:rsid w:val="008E2DC6"/>
    <w:rsid w:val="008E5E23"/>
    <w:rsid w:val="008E72F1"/>
    <w:rsid w:val="008F004D"/>
    <w:rsid w:val="008F2E9A"/>
    <w:rsid w:val="008F4300"/>
    <w:rsid w:val="008F56BC"/>
    <w:rsid w:val="008F6AF9"/>
    <w:rsid w:val="009039F6"/>
    <w:rsid w:val="00907D13"/>
    <w:rsid w:val="0091163A"/>
    <w:rsid w:val="0091226B"/>
    <w:rsid w:val="009135A2"/>
    <w:rsid w:val="009135D8"/>
    <w:rsid w:val="00916C41"/>
    <w:rsid w:val="00922488"/>
    <w:rsid w:val="00923843"/>
    <w:rsid w:val="00923B3D"/>
    <w:rsid w:val="00927395"/>
    <w:rsid w:val="00927F7A"/>
    <w:rsid w:val="00933A34"/>
    <w:rsid w:val="00933B5F"/>
    <w:rsid w:val="009356B8"/>
    <w:rsid w:val="009369B4"/>
    <w:rsid w:val="00936C3A"/>
    <w:rsid w:val="009406F6"/>
    <w:rsid w:val="00941CED"/>
    <w:rsid w:val="0094220C"/>
    <w:rsid w:val="00942777"/>
    <w:rsid w:val="0094453A"/>
    <w:rsid w:val="0094488B"/>
    <w:rsid w:val="00945328"/>
    <w:rsid w:val="00951507"/>
    <w:rsid w:val="00951525"/>
    <w:rsid w:val="00953514"/>
    <w:rsid w:val="00955555"/>
    <w:rsid w:val="00956465"/>
    <w:rsid w:val="00956700"/>
    <w:rsid w:val="009572F8"/>
    <w:rsid w:val="00960557"/>
    <w:rsid w:val="0096271B"/>
    <w:rsid w:val="00963D1C"/>
    <w:rsid w:val="00965827"/>
    <w:rsid w:val="009662F0"/>
    <w:rsid w:val="0097190C"/>
    <w:rsid w:val="00971F97"/>
    <w:rsid w:val="009729B4"/>
    <w:rsid w:val="00973EEF"/>
    <w:rsid w:val="00974FBE"/>
    <w:rsid w:val="00975784"/>
    <w:rsid w:val="00975E3C"/>
    <w:rsid w:val="00976070"/>
    <w:rsid w:val="009772DF"/>
    <w:rsid w:val="00981EB6"/>
    <w:rsid w:val="009841B5"/>
    <w:rsid w:val="009847B5"/>
    <w:rsid w:val="0098493F"/>
    <w:rsid w:val="00985730"/>
    <w:rsid w:val="00985C21"/>
    <w:rsid w:val="0099002D"/>
    <w:rsid w:val="00990EA9"/>
    <w:rsid w:val="00993F16"/>
    <w:rsid w:val="00995F77"/>
    <w:rsid w:val="009A2292"/>
    <w:rsid w:val="009A2CD7"/>
    <w:rsid w:val="009A3B4F"/>
    <w:rsid w:val="009A4F65"/>
    <w:rsid w:val="009A60DE"/>
    <w:rsid w:val="009A76AF"/>
    <w:rsid w:val="009B1547"/>
    <w:rsid w:val="009B3A46"/>
    <w:rsid w:val="009B4DB3"/>
    <w:rsid w:val="009B6D4F"/>
    <w:rsid w:val="009B7697"/>
    <w:rsid w:val="009C0ABF"/>
    <w:rsid w:val="009C0CD4"/>
    <w:rsid w:val="009C2134"/>
    <w:rsid w:val="009C3204"/>
    <w:rsid w:val="009C3B3F"/>
    <w:rsid w:val="009C5658"/>
    <w:rsid w:val="009C626C"/>
    <w:rsid w:val="009C6F4C"/>
    <w:rsid w:val="009C6FB2"/>
    <w:rsid w:val="009C7B38"/>
    <w:rsid w:val="009D06FF"/>
    <w:rsid w:val="009D247C"/>
    <w:rsid w:val="009D6FCA"/>
    <w:rsid w:val="009E0808"/>
    <w:rsid w:val="009E0923"/>
    <w:rsid w:val="009E6CAC"/>
    <w:rsid w:val="009E73D1"/>
    <w:rsid w:val="009E7F03"/>
    <w:rsid w:val="009F0696"/>
    <w:rsid w:val="009F1CCC"/>
    <w:rsid w:val="009F21BC"/>
    <w:rsid w:val="009F2494"/>
    <w:rsid w:val="009F4574"/>
    <w:rsid w:val="009F5544"/>
    <w:rsid w:val="009F78B6"/>
    <w:rsid w:val="00A00F7C"/>
    <w:rsid w:val="00A07B1D"/>
    <w:rsid w:val="00A07D7A"/>
    <w:rsid w:val="00A101B6"/>
    <w:rsid w:val="00A1109B"/>
    <w:rsid w:val="00A1196C"/>
    <w:rsid w:val="00A1411D"/>
    <w:rsid w:val="00A1729C"/>
    <w:rsid w:val="00A17C7B"/>
    <w:rsid w:val="00A231FA"/>
    <w:rsid w:val="00A233F1"/>
    <w:rsid w:val="00A24B91"/>
    <w:rsid w:val="00A31D70"/>
    <w:rsid w:val="00A32C66"/>
    <w:rsid w:val="00A337D3"/>
    <w:rsid w:val="00A36C69"/>
    <w:rsid w:val="00A432DE"/>
    <w:rsid w:val="00A433CA"/>
    <w:rsid w:val="00A45A1F"/>
    <w:rsid w:val="00A46CFF"/>
    <w:rsid w:val="00A47A1A"/>
    <w:rsid w:val="00A5034E"/>
    <w:rsid w:val="00A50A7D"/>
    <w:rsid w:val="00A53024"/>
    <w:rsid w:val="00A53229"/>
    <w:rsid w:val="00A53565"/>
    <w:rsid w:val="00A563A8"/>
    <w:rsid w:val="00A574F2"/>
    <w:rsid w:val="00A57F40"/>
    <w:rsid w:val="00A6068A"/>
    <w:rsid w:val="00A637B9"/>
    <w:rsid w:val="00A63BEB"/>
    <w:rsid w:val="00A63E1C"/>
    <w:rsid w:val="00A63E58"/>
    <w:rsid w:val="00A65805"/>
    <w:rsid w:val="00A664BA"/>
    <w:rsid w:val="00A675C3"/>
    <w:rsid w:val="00A70606"/>
    <w:rsid w:val="00A70B52"/>
    <w:rsid w:val="00A75EBF"/>
    <w:rsid w:val="00A762E9"/>
    <w:rsid w:val="00A7646C"/>
    <w:rsid w:val="00A77DC3"/>
    <w:rsid w:val="00A80464"/>
    <w:rsid w:val="00A84ADD"/>
    <w:rsid w:val="00A85534"/>
    <w:rsid w:val="00A8695A"/>
    <w:rsid w:val="00A87655"/>
    <w:rsid w:val="00A87CBE"/>
    <w:rsid w:val="00A90DAB"/>
    <w:rsid w:val="00A90E07"/>
    <w:rsid w:val="00A94CD7"/>
    <w:rsid w:val="00A96C28"/>
    <w:rsid w:val="00A97CE6"/>
    <w:rsid w:val="00A97F83"/>
    <w:rsid w:val="00AA0219"/>
    <w:rsid w:val="00AA0F31"/>
    <w:rsid w:val="00AA1DDF"/>
    <w:rsid w:val="00AA3080"/>
    <w:rsid w:val="00AA3385"/>
    <w:rsid w:val="00AA3F19"/>
    <w:rsid w:val="00AA419E"/>
    <w:rsid w:val="00AA5B39"/>
    <w:rsid w:val="00AB0B14"/>
    <w:rsid w:val="00AB3322"/>
    <w:rsid w:val="00AB3E75"/>
    <w:rsid w:val="00AB4F67"/>
    <w:rsid w:val="00AB5012"/>
    <w:rsid w:val="00AB557A"/>
    <w:rsid w:val="00AC076D"/>
    <w:rsid w:val="00AC08BC"/>
    <w:rsid w:val="00AC29F8"/>
    <w:rsid w:val="00AC3BC1"/>
    <w:rsid w:val="00AC5C77"/>
    <w:rsid w:val="00AC60F3"/>
    <w:rsid w:val="00AC6C76"/>
    <w:rsid w:val="00AC7BF5"/>
    <w:rsid w:val="00AD3163"/>
    <w:rsid w:val="00AD36A3"/>
    <w:rsid w:val="00AD580C"/>
    <w:rsid w:val="00AD60D2"/>
    <w:rsid w:val="00AE40CE"/>
    <w:rsid w:val="00AE681A"/>
    <w:rsid w:val="00AE6860"/>
    <w:rsid w:val="00AF6A23"/>
    <w:rsid w:val="00B00419"/>
    <w:rsid w:val="00B03A24"/>
    <w:rsid w:val="00B05F00"/>
    <w:rsid w:val="00B063DA"/>
    <w:rsid w:val="00B1061F"/>
    <w:rsid w:val="00B12286"/>
    <w:rsid w:val="00B17495"/>
    <w:rsid w:val="00B17C7B"/>
    <w:rsid w:val="00B17F25"/>
    <w:rsid w:val="00B21F8F"/>
    <w:rsid w:val="00B246C4"/>
    <w:rsid w:val="00B24DC3"/>
    <w:rsid w:val="00B25A82"/>
    <w:rsid w:val="00B27910"/>
    <w:rsid w:val="00B302D1"/>
    <w:rsid w:val="00B32F07"/>
    <w:rsid w:val="00B32F28"/>
    <w:rsid w:val="00B33875"/>
    <w:rsid w:val="00B33BEC"/>
    <w:rsid w:val="00B34D20"/>
    <w:rsid w:val="00B362B7"/>
    <w:rsid w:val="00B375EB"/>
    <w:rsid w:val="00B37ABC"/>
    <w:rsid w:val="00B41004"/>
    <w:rsid w:val="00B414B2"/>
    <w:rsid w:val="00B41E62"/>
    <w:rsid w:val="00B41F3A"/>
    <w:rsid w:val="00B42A3A"/>
    <w:rsid w:val="00B46254"/>
    <w:rsid w:val="00B479AB"/>
    <w:rsid w:val="00B47B0C"/>
    <w:rsid w:val="00B47FA2"/>
    <w:rsid w:val="00B509F7"/>
    <w:rsid w:val="00B56AD4"/>
    <w:rsid w:val="00B573A2"/>
    <w:rsid w:val="00B5779C"/>
    <w:rsid w:val="00B578BF"/>
    <w:rsid w:val="00B57E00"/>
    <w:rsid w:val="00B609E0"/>
    <w:rsid w:val="00B62E44"/>
    <w:rsid w:val="00B64176"/>
    <w:rsid w:val="00B65B32"/>
    <w:rsid w:val="00B71418"/>
    <w:rsid w:val="00B718E7"/>
    <w:rsid w:val="00B7213D"/>
    <w:rsid w:val="00B723C8"/>
    <w:rsid w:val="00B738EC"/>
    <w:rsid w:val="00B754C8"/>
    <w:rsid w:val="00B76657"/>
    <w:rsid w:val="00B76F92"/>
    <w:rsid w:val="00B771D2"/>
    <w:rsid w:val="00B81199"/>
    <w:rsid w:val="00B8187D"/>
    <w:rsid w:val="00B82897"/>
    <w:rsid w:val="00B8405E"/>
    <w:rsid w:val="00B847FD"/>
    <w:rsid w:val="00B8605B"/>
    <w:rsid w:val="00B86C8A"/>
    <w:rsid w:val="00B87919"/>
    <w:rsid w:val="00B908B6"/>
    <w:rsid w:val="00B9242F"/>
    <w:rsid w:val="00B9664C"/>
    <w:rsid w:val="00BA11FF"/>
    <w:rsid w:val="00BA1489"/>
    <w:rsid w:val="00BA185B"/>
    <w:rsid w:val="00BA2113"/>
    <w:rsid w:val="00BA2670"/>
    <w:rsid w:val="00BA3807"/>
    <w:rsid w:val="00BA6229"/>
    <w:rsid w:val="00BA7E0D"/>
    <w:rsid w:val="00BB1EC6"/>
    <w:rsid w:val="00BB206F"/>
    <w:rsid w:val="00BB350E"/>
    <w:rsid w:val="00BB6979"/>
    <w:rsid w:val="00BC2773"/>
    <w:rsid w:val="00BC30DA"/>
    <w:rsid w:val="00BC321B"/>
    <w:rsid w:val="00BC36D6"/>
    <w:rsid w:val="00BC3CCB"/>
    <w:rsid w:val="00BC60DB"/>
    <w:rsid w:val="00BD1FAA"/>
    <w:rsid w:val="00BD2841"/>
    <w:rsid w:val="00BD4E1C"/>
    <w:rsid w:val="00BD56E9"/>
    <w:rsid w:val="00BD6F8D"/>
    <w:rsid w:val="00BE098E"/>
    <w:rsid w:val="00BE2023"/>
    <w:rsid w:val="00BE74C3"/>
    <w:rsid w:val="00BF014C"/>
    <w:rsid w:val="00BF02BC"/>
    <w:rsid w:val="00BF1914"/>
    <w:rsid w:val="00BF1A21"/>
    <w:rsid w:val="00BF36C1"/>
    <w:rsid w:val="00BF47AD"/>
    <w:rsid w:val="00BF532E"/>
    <w:rsid w:val="00BF63B7"/>
    <w:rsid w:val="00C008D7"/>
    <w:rsid w:val="00C012A5"/>
    <w:rsid w:val="00C01C68"/>
    <w:rsid w:val="00C03181"/>
    <w:rsid w:val="00C04C2D"/>
    <w:rsid w:val="00C06324"/>
    <w:rsid w:val="00C07E4E"/>
    <w:rsid w:val="00C1047E"/>
    <w:rsid w:val="00C10940"/>
    <w:rsid w:val="00C115E7"/>
    <w:rsid w:val="00C11BE2"/>
    <w:rsid w:val="00C15038"/>
    <w:rsid w:val="00C15834"/>
    <w:rsid w:val="00C15EFF"/>
    <w:rsid w:val="00C16F9D"/>
    <w:rsid w:val="00C17587"/>
    <w:rsid w:val="00C22520"/>
    <w:rsid w:val="00C30A8B"/>
    <w:rsid w:val="00C322EB"/>
    <w:rsid w:val="00C3379D"/>
    <w:rsid w:val="00C33E73"/>
    <w:rsid w:val="00C36E11"/>
    <w:rsid w:val="00C3706C"/>
    <w:rsid w:val="00C404C8"/>
    <w:rsid w:val="00C41CE7"/>
    <w:rsid w:val="00C4211F"/>
    <w:rsid w:val="00C45575"/>
    <w:rsid w:val="00C47459"/>
    <w:rsid w:val="00C526DD"/>
    <w:rsid w:val="00C52D0F"/>
    <w:rsid w:val="00C53A47"/>
    <w:rsid w:val="00C559D4"/>
    <w:rsid w:val="00C5688A"/>
    <w:rsid w:val="00C576E0"/>
    <w:rsid w:val="00C57D79"/>
    <w:rsid w:val="00C57F5B"/>
    <w:rsid w:val="00C6236E"/>
    <w:rsid w:val="00C6285F"/>
    <w:rsid w:val="00C62D67"/>
    <w:rsid w:val="00C6357B"/>
    <w:rsid w:val="00C64747"/>
    <w:rsid w:val="00C64A17"/>
    <w:rsid w:val="00C6515F"/>
    <w:rsid w:val="00C676A9"/>
    <w:rsid w:val="00C71308"/>
    <w:rsid w:val="00C72A08"/>
    <w:rsid w:val="00C755CE"/>
    <w:rsid w:val="00C76B74"/>
    <w:rsid w:val="00C77A34"/>
    <w:rsid w:val="00C80274"/>
    <w:rsid w:val="00C80667"/>
    <w:rsid w:val="00C81D10"/>
    <w:rsid w:val="00C81D62"/>
    <w:rsid w:val="00C8442B"/>
    <w:rsid w:val="00C845EA"/>
    <w:rsid w:val="00C86C15"/>
    <w:rsid w:val="00C921B0"/>
    <w:rsid w:val="00C929CF"/>
    <w:rsid w:val="00C9528D"/>
    <w:rsid w:val="00C974D1"/>
    <w:rsid w:val="00CA02BC"/>
    <w:rsid w:val="00CA19BC"/>
    <w:rsid w:val="00CA3859"/>
    <w:rsid w:val="00CA3F92"/>
    <w:rsid w:val="00CA47C8"/>
    <w:rsid w:val="00CA4FE3"/>
    <w:rsid w:val="00CA6238"/>
    <w:rsid w:val="00CB329E"/>
    <w:rsid w:val="00CB4C31"/>
    <w:rsid w:val="00CB6F0F"/>
    <w:rsid w:val="00CC2765"/>
    <w:rsid w:val="00CC2C37"/>
    <w:rsid w:val="00CC3E3E"/>
    <w:rsid w:val="00CC3E6E"/>
    <w:rsid w:val="00CC4097"/>
    <w:rsid w:val="00CC6C86"/>
    <w:rsid w:val="00CC6FED"/>
    <w:rsid w:val="00CC7DF3"/>
    <w:rsid w:val="00CD195C"/>
    <w:rsid w:val="00CD6F64"/>
    <w:rsid w:val="00CE0C11"/>
    <w:rsid w:val="00CE1EBE"/>
    <w:rsid w:val="00CE31A6"/>
    <w:rsid w:val="00CE37D3"/>
    <w:rsid w:val="00CE75A2"/>
    <w:rsid w:val="00CF0943"/>
    <w:rsid w:val="00CF2EA5"/>
    <w:rsid w:val="00CF396F"/>
    <w:rsid w:val="00CF5C90"/>
    <w:rsid w:val="00CF61A6"/>
    <w:rsid w:val="00CF6F72"/>
    <w:rsid w:val="00CF7BAE"/>
    <w:rsid w:val="00D00CD0"/>
    <w:rsid w:val="00D01F81"/>
    <w:rsid w:val="00D0279E"/>
    <w:rsid w:val="00D0337C"/>
    <w:rsid w:val="00D06074"/>
    <w:rsid w:val="00D10440"/>
    <w:rsid w:val="00D11211"/>
    <w:rsid w:val="00D13150"/>
    <w:rsid w:val="00D1338F"/>
    <w:rsid w:val="00D14E06"/>
    <w:rsid w:val="00D1614E"/>
    <w:rsid w:val="00D2086D"/>
    <w:rsid w:val="00D210D8"/>
    <w:rsid w:val="00D22A38"/>
    <w:rsid w:val="00D32746"/>
    <w:rsid w:val="00D3277B"/>
    <w:rsid w:val="00D33225"/>
    <w:rsid w:val="00D33FB2"/>
    <w:rsid w:val="00D34B5C"/>
    <w:rsid w:val="00D3535C"/>
    <w:rsid w:val="00D36B14"/>
    <w:rsid w:val="00D41839"/>
    <w:rsid w:val="00D42F6B"/>
    <w:rsid w:val="00D43982"/>
    <w:rsid w:val="00D43DD8"/>
    <w:rsid w:val="00D44500"/>
    <w:rsid w:val="00D45988"/>
    <w:rsid w:val="00D460AF"/>
    <w:rsid w:val="00D50486"/>
    <w:rsid w:val="00D51B93"/>
    <w:rsid w:val="00D52B20"/>
    <w:rsid w:val="00D532D4"/>
    <w:rsid w:val="00D533E8"/>
    <w:rsid w:val="00D55BA4"/>
    <w:rsid w:val="00D60A26"/>
    <w:rsid w:val="00D64A86"/>
    <w:rsid w:val="00D71101"/>
    <w:rsid w:val="00D71ABA"/>
    <w:rsid w:val="00D74294"/>
    <w:rsid w:val="00D7535B"/>
    <w:rsid w:val="00D8187C"/>
    <w:rsid w:val="00D86950"/>
    <w:rsid w:val="00D87AA2"/>
    <w:rsid w:val="00D903F2"/>
    <w:rsid w:val="00D90507"/>
    <w:rsid w:val="00D91533"/>
    <w:rsid w:val="00D92C0D"/>
    <w:rsid w:val="00D94075"/>
    <w:rsid w:val="00D953DF"/>
    <w:rsid w:val="00D97E93"/>
    <w:rsid w:val="00DA03C1"/>
    <w:rsid w:val="00DA0BE4"/>
    <w:rsid w:val="00DA2443"/>
    <w:rsid w:val="00DA2E84"/>
    <w:rsid w:val="00DA6B69"/>
    <w:rsid w:val="00DB131C"/>
    <w:rsid w:val="00DB2449"/>
    <w:rsid w:val="00DB2C36"/>
    <w:rsid w:val="00DB4311"/>
    <w:rsid w:val="00DC0138"/>
    <w:rsid w:val="00DC0848"/>
    <w:rsid w:val="00DC22F2"/>
    <w:rsid w:val="00DC486C"/>
    <w:rsid w:val="00DD3DA2"/>
    <w:rsid w:val="00DD4545"/>
    <w:rsid w:val="00DD491A"/>
    <w:rsid w:val="00DD4E3C"/>
    <w:rsid w:val="00DD5503"/>
    <w:rsid w:val="00DD7989"/>
    <w:rsid w:val="00DE31E4"/>
    <w:rsid w:val="00DE3801"/>
    <w:rsid w:val="00DE4B96"/>
    <w:rsid w:val="00DE5135"/>
    <w:rsid w:val="00DE63F0"/>
    <w:rsid w:val="00DE7349"/>
    <w:rsid w:val="00DF4882"/>
    <w:rsid w:val="00DF67C2"/>
    <w:rsid w:val="00E017FB"/>
    <w:rsid w:val="00E01DC1"/>
    <w:rsid w:val="00E06571"/>
    <w:rsid w:val="00E105C4"/>
    <w:rsid w:val="00E129E6"/>
    <w:rsid w:val="00E12CB3"/>
    <w:rsid w:val="00E133FB"/>
    <w:rsid w:val="00E15C11"/>
    <w:rsid w:val="00E16AE8"/>
    <w:rsid w:val="00E202B9"/>
    <w:rsid w:val="00E208F7"/>
    <w:rsid w:val="00E21D15"/>
    <w:rsid w:val="00E232DA"/>
    <w:rsid w:val="00E256B2"/>
    <w:rsid w:val="00E27B12"/>
    <w:rsid w:val="00E31820"/>
    <w:rsid w:val="00E31998"/>
    <w:rsid w:val="00E31CB9"/>
    <w:rsid w:val="00E33A0E"/>
    <w:rsid w:val="00E36424"/>
    <w:rsid w:val="00E3775C"/>
    <w:rsid w:val="00E37F4F"/>
    <w:rsid w:val="00E41995"/>
    <w:rsid w:val="00E42AD9"/>
    <w:rsid w:val="00E4427E"/>
    <w:rsid w:val="00E52732"/>
    <w:rsid w:val="00E5309D"/>
    <w:rsid w:val="00E532DD"/>
    <w:rsid w:val="00E5441C"/>
    <w:rsid w:val="00E55AAA"/>
    <w:rsid w:val="00E57CEC"/>
    <w:rsid w:val="00E61AAC"/>
    <w:rsid w:val="00E6371C"/>
    <w:rsid w:val="00E63EF9"/>
    <w:rsid w:val="00E652F6"/>
    <w:rsid w:val="00E6624F"/>
    <w:rsid w:val="00E66C44"/>
    <w:rsid w:val="00E7140C"/>
    <w:rsid w:val="00E71623"/>
    <w:rsid w:val="00E72717"/>
    <w:rsid w:val="00E72E55"/>
    <w:rsid w:val="00E72EFD"/>
    <w:rsid w:val="00E73236"/>
    <w:rsid w:val="00E75638"/>
    <w:rsid w:val="00E7651B"/>
    <w:rsid w:val="00E76ACA"/>
    <w:rsid w:val="00E76E54"/>
    <w:rsid w:val="00E80530"/>
    <w:rsid w:val="00E834FA"/>
    <w:rsid w:val="00E87EA0"/>
    <w:rsid w:val="00E9112A"/>
    <w:rsid w:val="00E91D4E"/>
    <w:rsid w:val="00E91E1E"/>
    <w:rsid w:val="00E9351E"/>
    <w:rsid w:val="00E93F6A"/>
    <w:rsid w:val="00E9468A"/>
    <w:rsid w:val="00E95A1F"/>
    <w:rsid w:val="00EA13BA"/>
    <w:rsid w:val="00EA2213"/>
    <w:rsid w:val="00EA40ED"/>
    <w:rsid w:val="00EA4C8A"/>
    <w:rsid w:val="00EB173D"/>
    <w:rsid w:val="00EB1AB1"/>
    <w:rsid w:val="00EB3472"/>
    <w:rsid w:val="00EB3520"/>
    <w:rsid w:val="00EB3FA6"/>
    <w:rsid w:val="00EB4E50"/>
    <w:rsid w:val="00EB58E7"/>
    <w:rsid w:val="00EB7754"/>
    <w:rsid w:val="00EC1077"/>
    <w:rsid w:val="00EC1B8D"/>
    <w:rsid w:val="00EC1C9E"/>
    <w:rsid w:val="00EC6EF6"/>
    <w:rsid w:val="00EC719F"/>
    <w:rsid w:val="00ED1828"/>
    <w:rsid w:val="00ED2258"/>
    <w:rsid w:val="00ED3E68"/>
    <w:rsid w:val="00ED4F53"/>
    <w:rsid w:val="00ED5B15"/>
    <w:rsid w:val="00ED5F93"/>
    <w:rsid w:val="00ED78FE"/>
    <w:rsid w:val="00EE2039"/>
    <w:rsid w:val="00EE4939"/>
    <w:rsid w:val="00EE4B9C"/>
    <w:rsid w:val="00EE5627"/>
    <w:rsid w:val="00EE5671"/>
    <w:rsid w:val="00EE7709"/>
    <w:rsid w:val="00EF454E"/>
    <w:rsid w:val="00EF6779"/>
    <w:rsid w:val="00EF7EA4"/>
    <w:rsid w:val="00F00CE1"/>
    <w:rsid w:val="00F015D6"/>
    <w:rsid w:val="00F015EA"/>
    <w:rsid w:val="00F0432A"/>
    <w:rsid w:val="00F06AA8"/>
    <w:rsid w:val="00F100EC"/>
    <w:rsid w:val="00F12205"/>
    <w:rsid w:val="00F123C7"/>
    <w:rsid w:val="00F12F58"/>
    <w:rsid w:val="00F13A73"/>
    <w:rsid w:val="00F145AE"/>
    <w:rsid w:val="00F16D69"/>
    <w:rsid w:val="00F20021"/>
    <w:rsid w:val="00F2236B"/>
    <w:rsid w:val="00F225BC"/>
    <w:rsid w:val="00F23B90"/>
    <w:rsid w:val="00F244A7"/>
    <w:rsid w:val="00F25A46"/>
    <w:rsid w:val="00F27D8B"/>
    <w:rsid w:val="00F3323E"/>
    <w:rsid w:val="00F333F5"/>
    <w:rsid w:val="00F3604E"/>
    <w:rsid w:val="00F36CA2"/>
    <w:rsid w:val="00F3770F"/>
    <w:rsid w:val="00F37740"/>
    <w:rsid w:val="00F40BDA"/>
    <w:rsid w:val="00F41CB0"/>
    <w:rsid w:val="00F42D51"/>
    <w:rsid w:val="00F43245"/>
    <w:rsid w:val="00F45768"/>
    <w:rsid w:val="00F45F15"/>
    <w:rsid w:val="00F518A6"/>
    <w:rsid w:val="00F53860"/>
    <w:rsid w:val="00F542D3"/>
    <w:rsid w:val="00F602EE"/>
    <w:rsid w:val="00F61EAC"/>
    <w:rsid w:val="00F7198B"/>
    <w:rsid w:val="00F71B1A"/>
    <w:rsid w:val="00F745C8"/>
    <w:rsid w:val="00F75958"/>
    <w:rsid w:val="00F75F8A"/>
    <w:rsid w:val="00F76631"/>
    <w:rsid w:val="00F804F5"/>
    <w:rsid w:val="00F81A47"/>
    <w:rsid w:val="00F829F6"/>
    <w:rsid w:val="00F84674"/>
    <w:rsid w:val="00F85964"/>
    <w:rsid w:val="00F861CC"/>
    <w:rsid w:val="00F90349"/>
    <w:rsid w:val="00F912D5"/>
    <w:rsid w:val="00F937A1"/>
    <w:rsid w:val="00F97EE3"/>
    <w:rsid w:val="00FA1E17"/>
    <w:rsid w:val="00FA2C27"/>
    <w:rsid w:val="00FA36CD"/>
    <w:rsid w:val="00FA53C8"/>
    <w:rsid w:val="00FA6CF9"/>
    <w:rsid w:val="00FB1B24"/>
    <w:rsid w:val="00FB3944"/>
    <w:rsid w:val="00FB3BA5"/>
    <w:rsid w:val="00FB5E65"/>
    <w:rsid w:val="00FB5E6E"/>
    <w:rsid w:val="00FB6871"/>
    <w:rsid w:val="00FB6C1C"/>
    <w:rsid w:val="00FB7A05"/>
    <w:rsid w:val="00FC06CA"/>
    <w:rsid w:val="00FC09DE"/>
    <w:rsid w:val="00FC1394"/>
    <w:rsid w:val="00FC1BA2"/>
    <w:rsid w:val="00FC4AFE"/>
    <w:rsid w:val="00FC52EA"/>
    <w:rsid w:val="00FC67C9"/>
    <w:rsid w:val="00FD54C0"/>
    <w:rsid w:val="00FD574F"/>
    <w:rsid w:val="00FD604B"/>
    <w:rsid w:val="00FE359E"/>
    <w:rsid w:val="00FE6999"/>
    <w:rsid w:val="00FE7510"/>
    <w:rsid w:val="00FF020C"/>
    <w:rsid w:val="00FF20B2"/>
    <w:rsid w:val="00FF2D2B"/>
    <w:rsid w:val="00FF31D7"/>
    <w:rsid w:val="00FF3310"/>
    <w:rsid w:val="00FF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AE0A1"/>
  <w15:docId w15:val="{4196CCBA-ED6C-4053-A16C-530766DA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C44"/>
    <w:pPr>
      <w:spacing w:line="240" w:lineRule="auto"/>
      <w:jc w:val="both"/>
    </w:pPr>
    <w:rPr>
      <w:kern w:val="0"/>
      <w:sz w:val="22"/>
      <w:szCs w:val="22"/>
      <w:lang w:val="sr-Latn-ME"/>
      <w14:ligatures w14:val="none"/>
    </w:rPr>
  </w:style>
  <w:style w:type="paragraph" w:styleId="Heading1">
    <w:name w:val="heading 1"/>
    <w:basedOn w:val="Normal"/>
    <w:next w:val="Normal"/>
    <w:link w:val="Heading1Char"/>
    <w:uiPriority w:val="9"/>
    <w:qFormat/>
    <w:rsid w:val="00F602EE"/>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F60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1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1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EE"/>
    <w:rPr>
      <w:rFonts w:asciiTheme="majorHAnsi" w:eastAsiaTheme="majorEastAsia" w:hAnsiTheme="majorHAnsi" w:cstheme="majorBidi"/>
      <w:color w:val="0F4761" w:themeColor="accent1" w:themeShade="BF"/>
      <w:kern w:val="0"/>
      <w:sz w:val="36"/>
      <w:szCs w:val="40"/>
      <w:lang w:val="uz-Cyrl-UZ"/>
      <w14:ligatures w14:val="none"/>
    </w:rPr>
  </w:style>
  <w:style w:type="character" w:customStyle="1" w:styleId="Heading2Char">
    <w:name w:val="Heading 2 Char"/>
    <w:basedOn w:val="DefaultParagraphFont"/>
    <w:link w:val="Heading2"/>
    <w:uiPriority w:val="9"/>
    <w:rsid w:val="00F602EE"/>
    <w:rPr>
      <w:rFonts w:asciiTheme="majorHAnsi" w:eastAsiaTheme="majorEastAsia" w:hAnsiTheme="majorHAnsi" w:cstheme="majorBidi"/>
      <w:color w:val="0F4761" w:themeColor="accent1" w:themeShade="BF"/>
      <w:kern w:val="0"/>
      <w:sz w:val="32"/>
      <w:szCs w:val="32"/>
      <w:lang w:val="uz-Cyrl-UZ"/>
      <w14:ligatures w14:val="none"/>
    </w:rPr>
  </w:style>
  <w:style w:type="character" w:customStyle="1" w:styleId="Heading3Char">
    <w:name w:val="Heading 3 Char"/>
    <w:basedOn w:val="DefaultParagraphFont"/>
    <w:link w:val="Heading3"/>
    <w:uiPriority w:val="9"/>
    <w:rsid w:val="00541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1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4F1"/>
    <w:rPr>
      <w:rFonts w:eastAsiaTheme="majorEastAsia" w:cstheme="majorBidi"/>
      <w:color w:val="272727" w:themeColor="text1" w:themeTint="D8"/>
    </w:rPr>
  </w:style>
  <w:style w:type="paragraph" w:styleId="Title">
    <w:name w:val="Title"/>
    <w:basedOn w:val="Normal"/>
    <w:next w:val="Normal"/>
    <w:link w:val="TitleChar"/>
    <w:uiPriority w:val="10"/>
    <w:qFormat/>
    <w:rsid w:val="005414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4F1"/>
    <w:pPr>
      <w:spacing w:before="160"/>
      <w:jc w:val="center"/>
    </w:pPr>
    <w:rPr>
      <w:i/>
      <w:iCs/>
      <w:color w:val="404040" w:themeColor="text1" w:themeTint="BF"/>
    </w:rPr>
  </w:style>
  <w:style w:type="character" w:customStyle="1" w:styleId="QuoteChar">
    <w:name w:val="Quote Char"/>
    <w:basedOn w:val="DefaultParagraphFont"/>
    <w:link w:val="Quote"/>
    <w:uiPriority w:val="29"/>
    <w:rsid w:val="005414F1"/>
    <w:rPr>
      <w:i/>
      <w:iCs/>
      <w:color w:val="404040" w:themeColor="text1" w:themeTint="BF"/>
    </w:rPr>
  </w:style>
  <w:style w:type="paragraph" w:styleId="ListParagraph">
    <w:name w:val="List Paragraph"/>
    <w:aliases w:val="PDP DOCUMENT SUBTITLE,Paragraphe de liste PBLH,Table of contents numbered,Lapis Bulleted List,List Paragraph (numbered (a)),Bullet Points,Liste Paragraf,Liststycke SKL,Normal bullet 2,Bullet list,En tête 1,List Paragraph1,içindekiler vb"/>
    <w:basedOn w:val="Normal"/>
    <w:link w:val="ListParagraphChar"/>
    <w:uiPriority w:val="34"/>
    <w:qFormat/>
    <w:rsid w:val="005414F1"/>
    <w:pPr>
      <w:ind w:left="720"/>
      <w:contextualSpacing/>
    </w:pPr>
  </w:style>
  <w:style w:type="character" w:styleId="IntenseEmphasis">
    <w:name w:val="Intense Emphasis"/>
    <w:basedOn w:val="DefaultParagraphFont"/>
    <w:uiPriority w:val="21"/>
    <w:qFormat/>
    <w:rsid w:val="005414F1"/>
    <w:rPr>
      <w:i/>
      <w:iCs/>
      <w:color w:val="0F4761" w:themeColor="accent1" w:themeShade="BF"/>
    </w:rPr>
  </w:style>
  <w:style w:type="paragraph" w:styleId="IntenseQuote">
    <w:name w:val="Intense Quote"/>
    <w:basedOn w:val="Normal"/>
    <w:next w:val="Normal"/>
    <w:link w:val="IntenseQuoteChar"/>
    <w:uiPriority w:val="30"/>
    <w:qFormat/>
    <w:rsid w:val="00541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4F1"/>
    <w:rPr>
      <w:i/>
      <w:iCs/>
      <w:color w:val="0F4761" w:themeColor="accent1" w:themeShade="BF"/>
    </w:rPr>
  </w:style>
  <w:style w:type="character" w:styleId="IntenseReference">
    <w:name w:val="Intense Reference"/>
    <w:basedOn w:val="DefaultParagraphFont"/>
    <w:uiPriority w:val="32"/>
    <w:qFormat/>
    <w:rsid w:val="005414F1"/>
    <w:rPr>
      <w:b/>
      <w:bCs/>
      <w:smallCaps/>
      <w:color w:val="0F4761" w:themeColor="accent1" w:themeShade="BF"/>
      <w:spacing w:val="5"/>
    </w:rPr>
  </w:style>
  <w:style w:type="paragraph" w:styleId="Header">
    <w:name w:val="header"/>
    <w:basedOn w:val="Normal"/>
    <w:link w:val="HeaderChar"/>
    <w:uiPriority w:val="99"/>
    <w:unhideWhenUsed/>
    <w:rsid w:val="005414F1"/>
    <w:pPr>
      <w:tabs>
        <w:tab w:val="center" w:pos="4680"/>
        <w:tab w:val="right" w:pos="9360"/>
      </w:tabs>
      <w:spacing w:after="0"/>
    </w:pPr>
  </w:style>
  <w:style w:type="character" w:customStyle="1" w:styleId="HeaderChar">
    <w:name w:val="Header Char"/>
    <w:basedOn w:val="DefaultParagraphFont"/>
    <w:link w:val="Header"/>
    <w:uiPriority w:val="99"/>
    <w:rsid w:val="005414F1"/>
    <w:rPr>
      <w:kern w:val="0"/>
      <w:sz w:val="22"/>
      <w:szCs w:val="22"/>
      <w:lang w:val="uz-Cyrl-UZ"/>
      <w14:ligatures w14:val="none"/>
    </w:rPr>
  </w:style>
  <w:style w:type="paragraph" w:styleId="Footer">
    <w:name w:val="footer"/>
    <w:basedOn w:val="Normal"/>
    <w:link w:val="FooterChar"/>
    <w:uiPriority w:val="99"/>
    <w:unhideWhenUsed/>
    <w:rsid w:val="005414F1"/>
    <w:pPr>
      <w:tabs>
        <w:tab w:val="center" w:pos="4680"/>
        <w:tab w:val="right" w:pos="9360"/>
      </w:tabs>
      <w:spacing w:after="0"/>
    </w:pPr>
  </w:style>
  <w:style w:type="character" w:customStyle="1" w:styleId="FooterChar">
    <w:name w:val="Footer Char"/>
    <w:basedOn w:val="DefaultParagraphFont"/>
    <w:link w:val="Footer"/>
    <w:uiPriority w:val="99"/>
    <w:rsid w:val="005414F1"/>
    <w:rPr>
      <w:kern w:val="0"/>
      <w:sz w:val="22"/>
      <w:szCs w:val="22"/>
      <w:lang w:val="uz-Cyrl-UZ"/>
      <w14:ligatures w14:val="none"/>
    </w:rPr>
  </w:style>
  <w:style w:type="paragraph" w:styleId="TOCHeading">
    <w:name w:val="TOC Heading"/>
    <w:basedOn w:val="Heading1"/>
    <w:next w:val="Normal"/>
    <w:uiPriority w:val="39"/>
    <w:unhideWhenUsed/>
    <w:qFormat/>
    <w:rsid w:val="005414F1"/>
    <w:pPr>
      <w:spacing w:before="240" w:after="0"/>
      <w:outlineLvl w:val="9"/>
    </w:pPr>
    <w:rPr>
      <w:sz w:val="32"/>
      <w:szCs w:val="32"/>
    </w:rPr>
  </w:style>
  <w:style w:type="paragraph" w:customStyle="1" w:styleId="Default">
    <w:name w:val="Default"/>
    <w:rsid w:val="005414F1"/>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5414F1"/>
    <w:rPr>
      <w:sz w:val="16"/>
      <w:szCs w:val="16"/>
    </w:rPr>
  </w:style>
  <w:style w:type="paragraph" w:styleId="CommentText">
    <w:name w:val="annotation text"/>
    <w:aliases w:val=" Char2"/>
    <w:basedOn w:val="Normal"/>
    <w:link w:val="CommentTextChar"/>
    <w:uiPriority w:val="99"/>
    <w:unhideWhenUsed/>
    <w:rsid w:val="005414F1"/>
    <w:rPr>
      <w:sz w:val="20"/>
      <w:szCs w:val="20"/>
    </w:rPr>
  </w:style>
  <w:style w:type="character" w:customStyle="1" w:styleId="CommentTextChar">
    <w:name w:val="Comment Text Char"/>
    <w:aliases w:val=" Char2 Char"/>
    <w:basedOn w:val="DefaultParagraphFont"/>
    <w:link w:val="CommentText"/>
    <w:uiPriority w:val="99"/>
    <w:rsid w:val="005414F1"/>
    <w:rPr>
      <w:kern w:val="0"/>
      <w:sz w:val="20"/>
      <w:szCs w:val="20"/>
      <w:lang w:val="uz-Cyrl-UZ"/>
      <w14:ligatures w14:val="none"/>
    </w:rPr>
  </w:style>
  <w:style w:type="paragraph" w:styleId="CommentSubject">
    <w:name w:val="annotation subject"/>
    <w:basedOn w:val="CommentText"/>
    <w:next w:val="CommentText"/>
    <w:link w:val="CommentSubjectChar"/>
    <w:uiPriority w:val="99"/>
    <w:semiHidden/>
    <w:unhideWhenUsed/>
    <w:rsid w:val="005414F1"/>
    <w:rPr>
      <w:b/>
      <w:bCs/>
    </w:rPr>
  </w:style>
  <w:style w:type="character" w:customStyle="1" w:styleId="CommentSubjectChar">
    <w:name w:val="Comment Subject Char"/>
    <w:basedOn w:val="CommentTextChar"/>
    <w:link w:val="CommentSubject"/>
    <w:uiPriority w:val="99"/>
    <w:semiHidden/>
    <w:rsid w:val="005414F1"/>
    <w:rPr>
      <w:b/>
      <w:bCs/>
      <w:kern w:val="0"/>
      <w:sz w:val="20"/>
      <w:szCs w:val="20"/>
      <w:lang w:val="uz-Cyrl-UZ"/>
      <w14:ligatures w14:val="none"/>
    </w:rPr>
  </w:style>
  <w:style w:type="paragraph" w:styleId="TOC1">
    <w:name w:val="toc 1"/>
    <w:basedOn w:val="Normal"/>
    <w:next w:val="Normal"/>
    <w:autoRedefine/>
    <w:uiPriority w:val="39"/>
    <w:unhideWhenUsed/>
    <w:rsid w:val="009E0808"/>
    <w:pPr>
      <w:tabs>
        <w:tab w:val="left" w:pos="284"/>
        <w:tab w:val="right" w:leader="dot" w:pos="9350"/>
      </w:tabs>
      <w:spacing w:after="100"/>
    </w:pPr>
  </w:style>
  <w:style w:type="paragraph" w:styleId="TOC2">
    <w:name w:val="toc 2"/>
    <w:basedOn w:val="Normal"/>
    <w:next w:val="Normal"/>
    <w:autoRedefine/>
    <w:uiPriority w:val="39"/>
    <w:unhideWhenUsed/>
    <w:rsid w:val="008623F6"/>
    <w:pPr>
      <w:tabs>
        <w:tab w:val="left" w:pos="709"/>
        <w:tab w:val="right" w:leader="dot" w:pos="9350"/>
      </w:tabs>
      <w:spacing w:after="100"/>
      <w:ind w:left="220"/>
    </w:pPr>
  </w:style>
  <w:style w:type="character" w:styleId="Hyperlink">
    <w:name w:val="Hyperlink"/>
    <w:basedOn w:val="DefaultParagraphFont"/>
    <w:uiPriority w:val="99"/>
    <w:unhideWhenUsed/>
    <w:rsid w:val="005414F1"/>
    <w:rPr>
      <w:color w:val="467886" w:themeColor="hyperlink"/>
      <w:u w:val="single"/>
    </w:rPr>
  </w:style>
  <w:style w:type="paragraph" w:styleId="FootnoteText">
    <w:name w:val="footnote text"/>
    <w:aliases w:val="Footnote Text Char1,Footnote Text Char Char,Char,Note de bas de page Car,Footnote Text Char Car,Footnote Text Char1 Char Car,Footnote Text Char Char Char Car,Char Char Char Char Car,Char Char1 Char Car,Char Char Char,poznppMV,fn,Fußnote"/>
    <w:basedOn w:val="Normal"/>
    <w:link w:val="FootnoteTextChar"/>
    <w:uiPriority w:val="99"/>
    <w:qFormat/>
    <w:rsid w:val="005414F1"/>
    <w:pPr>
      <w:spacing w:after="0"/>
    </w:pPr>
    <w:rPr>
      <w:rFonts w:ascii="Calibri" w:eastAsia="Times New Roman" w:hAnsi="Calibri" w:cs="Times New Roman"/>
      <w:sz w:val="20"/>
      <w:szCs w:val="20"/>
      <w:lang w:val="en-GB"/>
    </w:rPr>
  </w:style>
  <w:style w:type="character" w:customStyle="1" w:styleId="FootnoteTextChar">
    <w:name w:val="Footnote Text Char"/>
    <w:aliases w:val="Footnote Text Char1 Char,Footnote Text Char Char Char,Char Char,Note de bas de page Car Char,Footnote Text Char Car Char,Footnote Text Char1 Char Car Char,Footnote Text Char Char Char Car Char,Char Char Char Char Car Char,fn Char"/>
    <w:basedOn w:val="DefaultParagraphFont"/>
    <w:link w:val="FootnoteText"/>
    <w:uiPriority w:val="99"/>
    <w:rsid w:val="005414F1"/>
    <w:rPr>
      <w:rFonts w:ascii="Calibri" w:eastAsia="Times New Roman" w:hAnsi="Calibri" w:cs="Times New Roman"/>
      <w:kern w:val="0"/>
      <w:sz w:val="20"/>
      <w:szCs w:val="20"/>
      <w:lang w:val="en-GB"/>
      <w14:ligatures w14:val="none"/>
    </w:rPr>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Appel note de bas de page,f,4_G"/>
    <w:basedOn w:val="DefaultParagraphFont"/>
    <w:link w:val="Char2"/>
    <w:uiPriority w:val="99"/>
    <w:qFormat/>
    <w:rsid w:val="005414F1"/>
    <w:rPr>
      <w:vertAlign w:val="superscript"/>
    </w:rPr>
  </w:style>
  <w:style w:type="paragraph" w:styleId="TOC3">
    <w:name w:val="toc 3"/>
    <w:basedOn w:val="Normal"/>
    <w:next w:val="Normal"/>
    <w:autoRedefine/>
    <w:uiPriority w:val="39"/>
    <w:unhideWhenUsed/>
    <w:rsid w:val="00F76631"/>
    <w:pPr>
      <w:tabs>
        <w:tab w:val="left" w:pos="1134"/>
        <w:tab w:val="right" w:leader="dot" w:pos="9350"/>
      </w:tabs>
      <w:spacing w:after="100"/>
      <w:ind w:left="440"/>
    </w:pPr>
  </w:style>
  <w:style w:type="character" w:customStyle="1" w:styleId="ListParagraphChar">
    <w:name w:val="List Paragraph Char"/>
    <w:aliases w:val="PDP DOCUMENT SUBTITLE Char,Paragraphe de liste PBLH Char,Table of contents numbered Char,Lapis Bulleted List Char,List Paragraph (numbered (a)) Char,Bullet Points Char,Liste Paragraf Char,Liststycke SKL Char,Normal bullet 2 Char"/>
    <w:link w:val="ListParagraph"/>
    <w:uiPriority w:val="34"/>
    <w:qFormat/>
    <w:rsid w:val="005414F1"/>
  </w:style>
  <w:style w:type="paragraph" w:customStyle="1" w:styleId="Char2">
    <w:name w:val="Char2"/>
    <w:basedOn w:val="Normal"/>
    <w:link w:val="FootnoteReference"/>
    <w:uiPriority w:val="99"/>
    <w:qFormat/>
    <w:rsid w:val="005414F1"/>
    <w:pPr>
      <w:spacing w:line="240" w:lineRule="exact"/>
    </w:pPr>
    <w:rPr>
      <w:kern w:val="2"/>
      <w:sz w:val="24"/>
      <w:szCs w:val="24"/>
      <w:vertAlign w:val="superscript"/>
      <w:lang w:val="en-US"/>
      <w14:ligatures w14:val="standardContextual"/>
    </w:rPr>
  </w:style>
  <w:style w:type="paragraph" w:styleId="NormalWeb">
    <w:name w:val="Normal (Web)"/>
    <w:basedOn w:val="Normal"/>
    <w:uiPriority w:val="99"/>
    <w:unhideWhenUsed/>
    <w:rsid w:val="005414F1"/>
    <w:pPr>
      <w:spacing w:before="100" w:beforeAutospacing="1" w:after="100" w:afterAutospacing="1"/>
    </w:pPr>
    <w:rPr>
      <w:rFonts w:ascii="Times New Roman" w:eastAsia="Times New Roman" w:hAnsi="Times New Roman" w:cs="Times New Roman"/>
      <w:sz w:val="24"/>
      <w:szCs w:val="24"/>
      <w:lang w:val="en-US" w:eastAsia="en-GB"/>
    </w:rPr>
  </w:style>
  <w:style w:type="table" w:styleId="TableGrid">
    <w:name w:val="Table Grid"/>
    <w:basedOn w:val="TableNormal"/>
    <w:uiPriority w:val="39"/>
    <w:rsid w:val="005414F1"/>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5414F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5">
    <w:name w:val="Pa5"/>
    <w:basedOn w:val="Default"/>
    <w:next w:val="Default"/>
    <w:uiPriority w:val="99"/>
    <w:rsid w:val="005414F1"/>
    <w:pPr>
      <w:spacing w:line="241" w:lineRule="atLeast"/>
    </w:pPr>
    <w:rPr>
      <w:rFonts w:ascii="Minion Pro" w:eastAsia="Times New Roman" w:hAnsi="Minion Pro" w:cs="Times New Roman"/>
      <w:color w:val="auto"/>
      <w:lang w:eastAsia="en-GB"/>
      <w14:ligatures w14:val="none"/>
    </w:rPr>
  </w:style>
  <w:style w:type="character" w:customStyle="1" w:styleId="A6">
    <w:name w:val="A6"/>
    <w:uiPriority w:val="99"/>
    <w:rsid w:val="005414F1"/>
    <w:rPr>
      <w:rFonts w:cs="Minion Pro"/>
      <w:color w:val="000000"/>
      <w:sz w:val="20"/>
      <w:szCs w:val="20"/>
    </w:rPr>
  </w:style>
  <w:style w:type="character" w:customStyle="1" w:styleId="UnresolvedMention1">
    <w:name w:val="Unresolved Mention1"/>
    <w:basedOn w:val="DefaultParagraphFont"/>
    <w:uiPriority w:val="99"/>
    <w:semiHidden/>
    <w:unhideWhenUsed/>
    <w:rsid w:val="005414F1"/>
    <w:rPr>
      <w:color w:val="605E5C"/>
      <w:shd w:val="clear" w:color="auto" w:fill="E1DFDD"/>
    </w:rPr>
  </w:style>
  <w:style w:type="character" w:styleId="FollowedHyperlink">
    <w:name w:val="FollowedHyperlink"/>
    <w:basedOn w:val="DefaultParagraphFont"/>
    <w:uiPriority w:val="99"/>
    <w:semiHidden/>
    <w:unhideWhenUsed/>
    <w:rsid w:val="005414F1"/>
    <w:rPr>
      <w:color w:val="96607D" w:themeColor="followedHyperlink"/>
      <w:u w:val="single"/>
    </w:rPr>
  </w:style>
  <w:style w:type="paragraph" w:styleId="Revision">
    <w:name w:val="Revision"/>
    <w:hidden/>
    <w:uiPriority w:val="99"/>
    <w:semiHidden/>
    <w:rsid w:val="005414F1"/>
    <w:pPr>
      <w:spacing w:after="0" w:line="240" w:lineRule="auto"/>
    </w:pPr>
    <w:rPr>
      <w:kern w:val="0"/>
      <w:sz w:val="22"/>
      <w:szCs w:val="22"/>
      <w:lang w:val="uz-Cyrl-UZ"/>
      <w14:ligatures w14:val="none"/>
    </w:rPr>
  </w:style>
  <w:style w:type="paragraph" w:customStyle="1" w:styleId="pf0">
    <w:name w:val="pf0"/>
    <w:basedOn w:val="Normal"/>
    <w:rsid w:val="005414F1"/>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5414F1"/>
    <w:rPr>
      <w:rFonts w:ascii="Segoe UI" w:hAnsi="Segoe UI" w:cs="Segoe UI" w:hint="default"/>
      <w:sz w:val="18"/>
      <w:szCs w:val="18"/>
    </w:rPr>
  </w:style>
  <w:style w:type="paragraph" w:styleId="BalloonText">
    <w:name w:val="Balloon Text"/>
    <w:basedOn w:val="Normal"/>
    <w:link w:val="BalloonTextChar"/>
    <w:uiPriority w:val="99"/>
    <w:semiHidden/>
    <w:unhideWhenUsed/>
    <w:rsid w:val="005414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F1"/>
    <w:rPr>
      <w:rFonts w:ascii="Segoe UI" w:hAnsi="Segoe UI" w:cs="Segoe UI"/>
      <w:kern w:val="0"/>
      <w:sz w:val="18"/>
      <w:szCs w:val="18"/>
      <w:lang w:val="uz-Cyrl-UZ"/>
      <w14:ligatures w14:val="none"/>
    </w:rPr>
  </w:style>
  <w:style w:type="table" w:customStyle="1" w:styleId="GridTable2-Accent51">
    <w:name w:val="Grid Table 2 - Accent 51"/>
    <w:basedOn w:val="TableNormal"/>
    <w:uiPriority w:val="47"/>
    <w:rsid w:val="005414F1"/>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3-Accent11">
    <w:name w:val="List Table 3 - Accent 11"/>
    <w:basedOn w:val="TableNormal"/>
    <w:uiPriority w:val="48"/>
    <w:rsid w:val="00721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5Dark-Accent11">
    <w:name w:val="List Table 5 Dark - Accent 11"/>
    <w:basedOn w:val="TableNormal"/>
    <w:uiPriority w:val="50"/>
    <w:rsid w:val="00721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11">
    <w:name w:val="Grid Table 1 Light - Accent 11"/>
    <w:basedOn w:val="TableNormal"/>
    <w:uiPriority w:val="46"/>
    <w:rsid w:val="00721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3A0853"/>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ListTable2-Accent11">
    <w:name w:val="List Table 2 - Accent 11"/>
    <w:basedOn w:val="TableNormal"/>
    <w:uiPriority w:val="47"/>
    <w:rsid w:val="003A085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7B5CAF"/>
    <w:rPr>
      <w:color w:val="605E5C"/>
      <w:shd w:val="clear" w:color="auto" w:fill="E1DFDD"/>
    </w:rPr>
  </w:style>
  <w:style w:type="character" w:customStyle="1" w:styleId="personname">
    <w:name w:val="person_name"/>
    <w:basedOn w:val="DefaultParagraphFont"/>
    <w:rsid w:val="00721288"/>
  </w:style>
  <w:style w:type="character" w:styleId="Emphasis">
    <w:name w:val="Emphasis"/>
    <w:basedOn w:val="DefaultParagraphFont"/>
    <w:uiPriority w:val="20"/>
    <w:qFormat/>
    <w:rsid w:val="00721288"/>
    <w:rPr>
      <w:i/>
      <w:iCs/>
    </w:rPr>
  </w:style>
  <w:style w:type="paragraph" w:customStyle="1" w:styleId="basic-paragraph">
    <w:name w:val="basic-paragraph"/>
    <w:basedOn w:val="Normal"/>
    <w:rsid w:val="002046CF"/>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references">
    <w:name w:val="references"/>
    <w:basedOn w:val="Normal"/>
    <w:rsid w:val="00834BB7"/>
    <w:pPr>
      <w:spacing w:after="0" w:line="200" w:lineRule="atLeast"/>
      <w:ind w:left="238" w:hanging="238"/>
      <w:jc w:val="left"/>
    </w:pPr>
    <w:rPr>
      <w:rFonts w:ascii="Calibri" w:eastAsia="Calibri" w:hAnsi="Calibri" w:cs="Times New Roman"/>
      <w:sz w:val="17"/>
      <w:lang w:val="en-US"/>
    </w:rPr>
  </w:style>
  <w:style w:type="paragraph" w:styleId="Caption">
    <w:name w:val="caption"/>
    <w:basedOn w:val="Normal"/>
    <w:next w:val="Normal"/>
    <w:uiPriority w:val="35"/>
    <w:unhideWhenUsed/>
    <w:qFormat/>
    <w:rsid w:val="00BF532E"/>
    <w:pPr>
      <w:spacing w:after="120"/>
    </w:pPr>
    <w:rPr>
      <w:rFonts w:eastAsia="Calibri" w:cs="Times New Roman"/>
      <w:b/>
      <w:bCs/>
      <w:szCs w:val="20"/>
      <w:lang w:val="en-GB"/>
    </w:rPr>
  </w:style>
  <w:style w:type="paragraph" w:customStyle="1" w:styleId="Pa8">
    <w:name w:val="Pa8"/>
    <w:basedOn w:val="Default"/>
    <w:next w:val="Default"/>
    <w:uiPriority w:val="99"/>
    <w:rsid w:val="00BF532E"/>
    <w:pPr>
      <w:spacing w:line="221" w:lineRule="atLeast"/>
    </w:pPr>
    <w:rPr>
      <w:rFonts w:ascii="Raleway" w:hAnsi="Raleway" w:cstheme="minorBidi"/>
      <w:color w:val="auto"/>
      <w:lang w:val="en-GB"/>
      <w14:ligatures w14:val="none"/>
    </w:rPr>
  </w:style>
  <w:style w:type="character" w:customStyle="1" w:styleId="UnresolvedMention3">
    <w:name w:val="Unresolved Mention3"/>
    <w:basedOn w:val="DefaultParagraphFont"/>
    <w:uiPriority w:val="99"/>
    <w:semiHidden/>
    <w:unhideWhenUsed/>
    <w:rsid w:val="00FC4AFE"/>
    <w:rPr>
      <w:color w:val="605E5C"/>
      <w:shd w:val="clear" w:color="auto" w:fill="E1DFDD"/>
    </w:rPr>
  </w:style>
  <w:style w:type="paragraph" w:styleId="EndnoteText">
    <w:name w:val="endnote text"/>
    <w:basedOn w:val="Normal"/>
    <w:link w:val="EndnoteTextChar"/>
    <w:uiPriority w:val="99"/>
    <w:semiHidden/>
    <w:unhideWhenUsed/>
    <w:rsid w:val="006566A8"/>
    <w:pPr>
      <w:spacing w:after="0"/>
    </w:pPr>
    <w:rPr>
      <w:sz w:val="20"/>
      <w:szCs w:val="20"/>
    </w:rPr>
  </w:style>
  <w:style w:type="character" w:customStyle="1" w:styleId="EndnoteTextChar">
    <w:name w:val="Endnote Text Char"/>
    <w:basedOn w:val="DefaultParagraphFont"/>
    <w:link w:val="EndnoteText"/>
    <w:uiPriority w:val="99"/>
    <w:semiHidden/>
    <w:rsid w:val="006566A8"/>
    <w:rPr>
      <w:kern w:val="0"/>
      <w:sz w:val="20"/>
      <w:szCs w:val="20"/>
      <w:lang w:val="sr-Latn-ME"/>
      <w14:ligatures w14:val="none"/>
    </w:rPr>
  </w:style>
  <w:style w:type="character" w:styleId="EndnoteReference">
    <w:name w:val="endnote reference"/>
    <w:basedOn w:val="DefaultParagraphFont"/>
    <w:uiPriority w:val="99"/>
    <w:semiHidden/>
    <w:unhideWhenUsed/>
    <w:rsid w:val="006566A8"/>
    <w:rPr>
      <w:vertAlign w:val="superscript"/>
    </w:rPr>
  </w:style>
  <w:style w:type="paragraph" w:styleId="NoSpacing">
    <w:name w:val="No Spacing"/>
    <w:uiPriority w:val="1"/>
    <w:qFormat/>
    <w:rsid w:val="00406DB3"/>
    <w:pPr>
      <w:spacing w:after="0" w:line="240" w:lineRule="auto"/>
      <w:jc w:val="both"/>
    </w:pPr>
    <w:rPr>
      <w:kern w:val="0"/>
      <w:sz w:val="22"/>
      <w:szCs w:val="22"/>
      <w:lang w:val="sr-Latn-ME"/>
      <w14:ligatures w14:val="none"/>
    </w:rPr>
  </w:style>
  <w:style w:type="character" w:customStyle="1" w:styleId="UnresolvedMention4">
    <w:name w:val="Unresolved Mention4"/>
    <w:basedOn w:val="DefaultParagraphFont"/>
    <w:uiPriority w:val="99"/>
    <w:semiHidden/>
    <w:unhideWhenUsed/>
    <w:rsid w:val="00333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6646">
      <w:bodyDiv w:val="1"/>
      <w:marLeft w:val="0"/>
      <w:marRight w:val="0"/>
      <w:marTop w:val="0"/>
      <w:marBottom w:val="0"/>
      <w:divBdr>
        <w:top w:val="none" w:sz="0" w:space="0" w:color="auto"/>
        <w:left w:val="none" w:sz="0" w:space="0" w:color="auto"/>
        <w:bottom w:val="none" w:sz="0" w:space="0" w:color="auto"/>
        <w:right w:val="none" w:sz="0" w:space="0" w:color="auto"/>
      </w:divBdr>
    </w:div>
    <w:div w:id="290208691">
      <w:bodyDiv w:val="1"/>
      <w:marLeft w:val="0"/>
      <w:marRight w:val="0"/>
      <w:marTop w:val="0"/>
      <w:marBottom w:val="0"/>
      <w:divBdr>
        <w:top w:val="none" w:sz="0" w:space="0" w:color="auto"/>
        <w:left w:val="none" w:sz="0" w:space="0" w:color="auto"/>
        <w:bottom w:val="none" w:sz="0" w:space="0" w:color="auto"/>
        <w:right w:val="none" w:sz="0" w:space="0" w:color="auto"/>
      </w:divBdr>
    </w:div>
    <w:div w:id="315187787">
      <w:bodyDiv w:val="1"/>
      <w:marLeft w:val="0"/>
      <w:marRight w:val="0"/>
      <w:marTop w:val="0"/>
      <w:marBottom w:val="0"/>
      <w:divBdr>
        <w:top w:val="none" w:sz="0" w:space="0" w:color="auto"/>
        <w:left w:val="none" w:sz="0" w:space="0" w:color="auto"/>
        <w:bottom w:val="none" w:sz="0" w:space="0" w:color="auto"/>
        <w:right w:val="none" w:sz="0" w:space="0" w:color="auto"/>
      </w:divBdr>
    </w:div>
    <w:div w:id="355234874">
      <w:bodyDiv w:val="1"/>
      <w:marLeft w:val="0"/>
      <w:marRight w:val="0"/>
      <w:marTop w:val="0"/>
      <w:marBottom w:val="0"/>
      <w:divBdr>
        <w:top w:val="none" w:sz="0" w:space="0" w:color="auto"/>
        <w:left w:val="none" w:sz="0" w:space="0" w:color="auto"/>
        <w:bottom w:val="none" w:sz="0" w:space="0" w:color="auto"/>
        <w:right w:val="none" w:sz="0" w:space="0" w:color="auto"/>
      </w:divBdr>
    </w:div>
    <w:div w:id="384106924">
      <w:bodyDiv w:val="1"/>
      <w:marLeft w:val="0"/>
      <w:marRight w:val="0"/>
      <w:marTop w:val="0"/>
      <w:marBottom w:val="0"/>
      <w:divBdr>
        <w:top w:val="none" w:sz="0" w:space="0" w:color="auto"/>
        <w:left w:val="none" w:sz="0" w:space="0" w:color="auto"/>
        <w:bottom w:val="none" w:sz="0" w:space="0" w:color="auto"/>
        <w:right w:val="none" w:sz="0" w:space="0" w:color="auto"/>
      </w:divBdr>
    </w:div>
    <w:div w:id="397095066">
      <w:bodyDiv w:val="1"/>
      <w:marLeft w:val="0"/>
      <w:marRight w:val="0"/>
      <w:marTop w:val="0"/>
      <w:marBottom w:val="0"/>
      <w:divBdr>
        <w:top w:val="none" w:sz="0" w:space="0" w:color="auto"/>
        <w:left w:val="none" w:sz="0" w:space="0" w:color="auto"/>
        <w:bottom w:val="none" w:sz="0" w:space="0" w:color="auto"/>
        <w:right w:val="none" w:sz="0" w:space="0" w:color="auto"/>
      </w:divBdr>
    </w:div>
    <w:div w:id="599144735">
      <w:bodyDiv w:val="1"/>
      <w:marLeft w:val="0"/>
      <w:marRight w:val="0"/>
      <w:marTop w:val="0"/>
      <w:marBottom w:val="0"/>
      <w:divBdr>
        <w:top w:val="none" w:sz="0" w:space="0" w:color="auto"/>
        <w:left w:val="none" w:sz="0" w:space="0" w:color="auto"/>
        <w:bottom w:val="none" w:sz="0" w:space="0" w:color="auto"/>
        <w:right w:val="none" w:sz="0" w:space="0" w:color="auto"/>
      </w:divBdr>
    </w:div>
    <w:div w:id="613249826">
      <w:bodyDiv w:val="1"/>
      <w:marLeft w:val="0"/>
      <w:marRight w:val="0"/>
      <w:marTop w:val="0"/>
      <w:marBottom w:val="0"/>
      <w:divBdr>
        <w:top w:val="none" w:sz="0" w:space="0" w:color="auto"/>
        <w:left w:val="none" w:sz="0" w:space="0" w:color="auto"/>
        <w:bottom w:val="none" w:sz="0" w:space="0" w:color="auto"/>
        <w:right w:val="none" w:sz="0" w:space="0" w:color="auto"/>
      </w:divBdr>
    </w:div>
    <w:div w:id="884945654">
      <w:bodyDiv w:val="1"/>
      <w:marLeft w:val="0"/>
      <w:marRight w:val="0"/>
      <w:marTop w:val="0"/>
      <w:marBottom w:val="0"/>
      <w:divBdr>
        <w:top w:val="none" w:sz="0" w:space="0" w:color="auto"/>
        <w:left w:val="none" w:sz="0" w:space="0" w:color="auto"/>
        <w:bottom w:val="none" w:sz="0" w:space="0" w:color="auto"/>
        <w:right w:val="none" w:sz="0" w:space="0" w:color="auto"/>
      </w:divBdr>
    </w:div>
    <w:div w:id="986323248">
      <w:bodyDiv w:val="1"/>
      <w:marLeft w:val="0"/>
      <w:marRight w:val="0"/>
      <w:marTop w:val="0"/>
      <w:marBottom w:val="0"/>
      <w:divBdr>
        <w:top w:val="none" w:sz="0" w:space="0" w:color="auto"/>
        <w:left w:val="none" w:sz="0" w:space="0" w:color="auto"/>
        <w:bottom w:val="none" w:sz="0" w:space="0" w:color="auto"/>
        <w:right w:val="none" w:sz="0" w:space="0" w:color="auto"/>
      </w:divBdr>
    </w:div>
    <w:div w:id="1133012986">
      <w:bodyDiv w:val="1"/>
      <w:marLeft w:val="0"/>
      <w:marRight w:val="0"/>
      <w:marTop w:val="0"/>
      <w:marBottom w:val="0"/>
      <w:divBdr>
        <w:top w:val="none" w:sz="0" w:space="0" w:color="auto"/>
        <w:left w:val="none" w:sz="0" w:space="0" w:color="auto"/>
        <w:bottom w:val="none" w:sz="0" w:space="0" w:color="auto"/>
        <w:right w:val="none" w:sz="0" w:space="0" w:color="auto"/>
      </w:divBdr>
    </w:div>
    <w:div w:id="1205022330">
      <w:bodyDiv w:val="1"/>
      <w:marLeft w:val="0"/>
      <w:marRight w:val="0"/>
      <w:marTop w:val="0"/>
      <w:marBottom w:val="0"/>
      <w:divBdr>
        <w:top w:val="none" w:sz="0" w:space="0" w:color="auto"/>
        <w:left w:val="none" w:sz="0" w:space="0" w:color="auto"/>
        <w:bottom w:val="none" w:sz="0" w:space="0" w:color="auto"/>
        <w:right w:val="none" w:sz="0" w:space="0" w:color="auto"/>
      </w:divBdr>
    </w:div>
    <w:div w:id="1338194697">
      <w:bodyDiv w:val="1"/>
      <w:marLeft w:val="0"/>
      <w:marRight w:val="0"/>
      <w:marTop w:val="0"/>
      <w:marBottom w:val="0"/>
      <w:divBdr>
        <w:top w:val="none" w:sz="0" w:space="0" w:color="auto"/>
        <w:left w:val="none" w:sz="0" w:space="0" w:color="auto"/>
        <w:bottom w:val="none" w:sz="0" w:space="0" w:color="auto"/>
        <w:right w:val="none" w:sz="0" w:space="0" w:color="auto"/>
      </w:divBdr>
    </w:div>
    <w:div w:id="1378506943">
      <w:bodyDiv w:val="1"/>
      <w:marLeft w:val="0"/>
      <w:marRight w:val="0"/>
      <w:marTop w:val="0"/>
      <w:marBottom w:val="0"/>
      <w:divBdr>
        <w:top w:val="none" w:sz="0" w:space="0" w:color="auto"/>
        <w:left w:val="none" w:sz="0" w:space="0" w:color="auto"/>
        <w:bottom w:val="none" w:sz="0" w:space="0" w:color="auto"/>
        <w:right w:val="none" w:sz="0" w:space="0" w:color="auto"/>
      </w:divBdr>
    </w:div>
    <w:div w:id="1394308627">
      <w:bodyDiv w:val="1"/>
      <w:marLeft w:val="0"/>
      <w:marRight w:val="0"/>
      <w:marTop w:val="0"/>
      <w:marBottom w:val="0"/>
      <w:divBdr>
        <w:top w:val="none" w:sz="0" w:space="0" w:color="auto"/>
        <w:left w:val="none" w:sz="0" w:space="0" w:color="auto"/>
        <w:bottom w:val="none" w:sz="0" w:space="0" w:color="auto"/>
        <w:right w:val="none" w:sz="0" w:space="0" w:color="auto"/>
      </w:divBdr>
    </w:div>
    <w:div w:id="1437940978">
      <w:bodyDiv w:val="1"/>
      <w:marLeft w:val="0"/>
      <w:marRight w:val="0"/>
      <w:marTop w:val="0"/>
      <w:marBottom w:val="0"/>
      <w:divBdr>
        <w:top w:val="none" w:sz="0" w:space="0" w:color="auto"/>
        <w:left w:val="none" w:sz="0" w:space="0" w:color="auto"/>
        <w:bottom w:val="none" w:sz="0" w:space="0" w:color="auto"/>
        <w:right w:val="none" w:sz="0" w:space="0" w:color="auto"/>
      </w:divBdr>
      <w:divsChild>
        <w:div w:id="1746758305">
          <w:marLeft w:val="0"/>
          <w:marRight w:val="0"/>
          <w:marTop w:val="0"/>
          <w:marBottom w:val="0"/>
          <w:divBdr>
            <w:top w:val="none" w:sz="0" w:space="0" w:color="auto"/>
            <w:left w:val="none" w:sz="0" w:space="0" w:color="auto"/>
            <w:bottom w:val="none" w:sz="0" w:space="0" w:color="auto"/>
            <w:right w:val="none" w:sz="0" w:space="0" w:color="auto"/>
          </w:divBdr>
          <w:divsChild>
            <w:div w:id="97602318">
              <w:marLeft w:val="0"/>
              <w:marRight w:val="0"/>
              <w:marTop w:val="0"/>
              <w:marBottom w:val="0"/>
              <w:divBdr>
                <w:top w:val="none" w:sz="0" w:space="0" w:color="auto"/>
                <w:left w:val="none" w:sz="0" w:space="0" w:color="auto"/>
                <w:bottom w:val="none" w:sz="0" w:space="0" w:color="auto"/>
                <w:right w:val="none" w:sz="0" w:space="0" w:color="auto"/>
              </w:divBdr>
              <w:divsChild>
                <w:div w:id="1331717634">
                  <w:marLeft w:val="0"/>
                  <w:marRight w:val="0"/>
                  <w:marTop w:val="0"/>
                  <w:marBottom w:val="0"/>
                  <w:divBdr>
                    <w:top w:val="none" w:sz="0" w:space="0" w:color="auto"/>
                    <w:left w:val="none" w:sz="0" w:space="0" w:color="auto"/>
                    <w:bottom w:val="none" w:sz="0" w:space="0" w:color="auto"/>
                    <w:right w:val="none" w:sz="0" w:space="0" w:color="auto"/>
                  </w:divBdr>
                  <w:divsChild>
                    <w:div w:id="1504055516">
                      <w:marLeft w:val="0"/>
                      <w:marRight w:val="0"/>
                      <w:marTop w:val="0"/>
                      <w:marBottom w:val="0"/>
                      <w:divBdr>
                        <w:top w:val="none" w:sz="0" w:space="0" w:color="auto"/>
                        <w:left w:val="none" w:sz="0" w:space="0" w:color="auto"/>
                        <w:bottom w:val="none" w:sz="0" w:space="0" w:color="auto"/>
                        <w:right w:val="none" w:sz="0" w:space="0" w:color="auto"/>
                      </w:divBdr>
                      <w:divsChild>
                        <w:div w:id="83571838">
                          <w:marLeft w:val="0"/>
                          <w:marRight w:val="0"/>
                          <w:marTop w:val="0"/>
                          <w:marBottom w:val="0"/>
                          <w:divBdr>
                            <w:top w:val="none" w:sz="0" w:space="0" w:color="auto"/>
                            <w:left w:val="none" w:sz="0" w:space="0" w:color="auto"/>
                            <w:bottom w:val="none" w:sz="0" w:space="0" w:color="auto"/>
                            <w:right w:val="none" w:sz="0" w:space="0" w:color="auto"/>
                          </w:divBdr>
                          <w:divsChild>
                            <w:div w:id="1676373303">
                              <w:marLeft w:val="0"/>
                              <w:marRight w:val="0"/>
                              <w:marTop w:val="0"/>
                              <w:marBottom w:val="0"/>
                              <w:divBdr>
                                <w:top w:val="none" w:sz="0" w:space="0" w:color="auto"/>
                                <w:left w:val="none" w:sz="0" w:space="0" w:color="auto"/>
                                <w:bottom w:val="none" w:sz="0" w:space="0" w:color="auto"/>
                                <w:right w:val="none" w:sz="0" w:space="0" w:color="auto"/>
                              </w:divBdr>
                              <w:divsChild>
                                <w:div w:id="1595943294">
                                  <w:marLeft w:val="0"/>
                                  <w:marRight w:val="0"/>
                                  <w:marTop w:val="0"/>
                                  <w:marBottom w:val="0"/>
                                  <w:divBdr>
                                    <w:top w:val="none" w:sz="0" w:space="0" w:color="auto"/>
                                    <w:left w:val="none" w:sz="0" w:space="0" w:color="auto"/>
                                    <w:bottom w:val="none" w:sz="0" w:space="0" w:color="auto"/>
                                    <w:right w:val="none" w:sz="0" w:space="0" w:color="auto"/>
                                  </w:divBdr>
                                  <w:divsChild>
                                    <w:div w:id="1115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78625">
      <w:bodyDiv w:val="1"/>
      <w:marLeft w:val="0"/>
      <w:marRight w:val="0"/>
      <w:marTop w:val="0"/>
      <w:marBottom w:val="0"/>
      <w:divBdr>
        <w:top w:val="none" w:sz="0" w:space="0" w:color="auto"/>
        <w:left w:val="none" w:sz="0" w:space="0" w:color="auto"/>
        <w:bottom w:val="none" w:sz="0" w:space="0" w:color="auto"/>
        <w:right w:val="none" w:sz="0" w:space="0" w:color="auto"/>
      </w:divBdr>
    </w:div>
    <w:div w:id="1703283194">
      <w:bodyDiv w:val="1"/>
      <w:marLeft w:val="0"/>
      <w:marRight w:val="0"/>
      <w:marTop w:val="0"/>
      <w:marBottom w:val="0"/>
      <w:divBdr>
        <w:top w:val="none" w:sz="0" w:space="0" w:color="auto"/>
        <w:left w:val="none" w:sz="0" w:space="0" w:color="auto"/>
        <w:bottom w:val="none" w:sz="0" w:space="0" w:color="auto"/>
        <w:right w:val="none" w:sz="0" w:space="0" w:color="auto"/>
      </w:divBdr>
    </w:div>
    <w:div w:id="1727558961">
      <w:bodyDiv w:val="1"/>
      <w:marLeft w:val="0"/>
      <w:marRight w:val="0"/>
      <w:marTop w:val="0"/>
      <w:marBottom w:val="0"/>
      <w:divBdr>
        <w:top w:val="none" w:sz="0" w:space="0" w:color="auto"/>
        <w:left w:val="none" w:sz="0" w:space="0" w:color="auto"/>
        <w:bottom w:val="none" w:sz="0" w:space="0" w:color="auto"/>
        <w:right w:val="none" w:sz="0" w:space="0" w:color="auto"/>
      </w:divBdr>
    </w:div>
    <w:div w:id="1954820314">
      <w:bodyDiv w:val="1"/>
      <w:marLeft w:val="0"/>
      <w:marRight w:val="0"/>
      <w:marTop w:val="0"/>
      <w:marBottom w:val="0"/>
      <w:divBdr>
        <w:top w:val="none" w:sz="0" w:space="0" w:color="auto"/>
        <w:left w:val="none" w:sz="0" w:space="0" w:color="auto"/>
        <w:bottom w:val="none" w:sz="0" w:space="0" w:color="auto"/>
        <w:right w:val="none" w:sz="0" w:space="0" w:color="auto"/>
      </w:divBdr>
      <w:divsChild>
        <w:div w:id="726802082">
          <w:marLeft w:val="0"/>
          <w:marRight w:val="0"/>
          <w:marTop w:val="0"/>
          <w:marBottom w:val="0"/>
          <w:divBdr>
            <w:top w:val="none" w:sz="0" w:space="0" w:color="auto"/>
            <w:left w:val="none" w:sz="0" w:space="0" w:color="auto"/>
            <w:bottom w:val="none" w:sz="0" w:space="0" w:color="auto"/>
            <w:right w:val="none" w:sz="0" w:space="0" w:color="auto"/>
          </w:divBdr>
        </w:div>
        <w:div w:id="1296644617">
          <w:marLeft w:val="0"/>
          <w:marRight w:val="0"/>
          <w:marTop w:val="0"/>
          <w:marBottom w:val="0"/>
          <w:divBdr>
            <w:top w:val="none" w:sz="0" w:space="0" w:color="auto"/>
            <w:left w:val="none" w:sz="0" w:space="0" w:color="auto"/>
            <w:bottom w:val="none" w:sz="0" w:space="0" w:color="auto"/>
            <w:right w:val="none" w:sz="0" w:space="0" w:color="auto"/>
          </w:divBdr>
        </w:div>
      </w:divsChild>
    </w:div>
    <w:div w:id="1963267312">
      <w:bodyDiv w:val="1"/>
      <w:marLeft w:val="0"/>
      <w:marRight w:val="0"/>
      <w:marTop w:val="0"/>
      <w:marBottom w:val="0"/>
      <w:divBdr>
        <w:top w:val="none" w:sz="0" w:space="0" w:color="auto"/>
        <w:left w:val="none" w:sz="0" w:space="0" w:color="auto"/>
        <w:bottom w:val="none" w:sz="0" w:space="0" w:color="auto"/>
        <w:right w:val="none" w:sz="0" w:space="0" w:color="auto"/>
      </w:divBdr>
    </w:div>
    <w:div w:id="1969165144">
      <w:bodyDiv w:val="1"/>
      <w:marLeft w:val="0"/>
      <w:marRight w:val="0"/>
      <w:marTop w:val="0"/>
      <w:marBottom w:val="0"/>
      <w:divBdr>
        <w:top w:val="none" w:sz="0" w:space="0" w:color="auto"/>
        <w:left w:val="none" w:sz="0" w:space="0" w:color="auto"/>
        <w:bottom w:val="none" w:sz="0" w:space="0" w:color="auto"/>
        <w:right w:val="none" w:sz="0" w:space="0" w:color="auto"/>
      </w:divBdr>
    </w:div>
    <w:div w:id="2068332079">
      <w:bodyDiv w:val="1"/>
      <w:marLeft w:val="0"/>
      <w:marRight w:val="0"/>
      <w:marTop w:val="0"/>
      <w:marBottom w:val="0"/>
      <w:divBdr>
        <w:top w:val="none" w:sz="0" w:space="0" w:color="auto"/>
        <w:left w:val="none" w:sz="0" w:space="0" w:color="auto"/>
        <w:bottom w:val="none" w:sz="0" w:space="0" w:color="auto"/>
        <w:right w:val="none" w:sz="0" w:space="0" w:color="auto"/>
      </w:divBdr>
    </w:div>
    <w:div w:id="20925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hraction.org/2024/03/27/status-civilnih-zrtava-rata-ministarstvo-rada-i-socijalnog-staranja-kasni-s-izradom-predloga-zakona-o-borackoj-i-invalidskoj-zastiti/" TargetMode="External"/><Relationship Id="rId26" Type="http://schemas.openxmlformats.org/officeDocument/2006/relationships/hyperlink" Target="https://www.gov.me/dokumenta/8515d608-15c8-4b25-9c26-fe0a5daf58ec" TargetMode="External"/><Relationship Id="rId3" Type="http://schemas.openxmlformats.org/officeDocument/2006/relationships/styles" Target="styles.xml"/><Relationship Id="rId21" Type="http://schemas.openxmlformats.org/officeDocument/2006/relationships/hyperlink" Target="https://rm.coe.int/evaluation-report-on-the-implementation-of-the-council-of-europe-conve/1680a2aefc"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treaties.un.org/doc/source/docs/A_RES_61_177-E.pdf" TargetMode="External"/><Relationship Id="rId25" Type="http://schemas.openxmlformats.org/officeDocument/2006/relationships/hyperlink" Target="https://www.gov.me/dokumenta/26b0c8cc-3890-426e-a275-a29e1ff69648"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neighbourhood-enlargement.ec.europa.eu/system/files/2023-11/SWD_2023_694%20Montenegro%20report.pdf" TargetMode="External"/><Relationship Id="rId29" Type="http://schemas.openxmlformats.org/officeDocument/2006/relationships/hyperlink" Target="https://wapi.gov.me/download-preview/d9bb2e11-a08f-430a-a786-041ba08c61fc?version=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zrtveratovasfrj.info/site/home/hr-H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institutecsr.iksi.ac.rs/24/" TargetMode="External"/><Relationship Id="rId28" Type="http://schemas.openxmlformats.org/officeDocument/2006/relationships/hyperlink" Target="https://www.gov.me/dokumenta/61a462bd-eb20-478c-b0ae-c7cb6312e817" TargetMode="External"/><Relationship Id="rId10" Type="http://schemas.openxmlformats.org/officeDocument/2006/relationships/diagramData" Target="diagrams/data1.xml"/><Relationship Id="rId19" Type="http://schemas.openxmlformats.org/officeDocument/2006/relationships/hyperlink" Target="https://op.europa.eu/en/publication-detail/-/publication/a9b0d6b3-4b02-11ed-92ed-01aa75ed71a1/language-f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yperlink" Target="http://institutecsr.iksi.ac.rs/935/" TargetMode="External"/><Relationship Id="rId27" Type="http://schemas.openxmlformats.org/officeDocument/2006/relationships/hyperlink" Target="https://www.eu.me/wpfd_file/program-pristupanja-crne-gore-evropskoj-uniji-2023-2024" TargetMode="External"/><Relationship Id="rId30" Type="http://schemas.openxmlformats.org/officeDocument/2006/relationships/hyperlink" Target="https://www.eu.me/dokumenti-pregovori-o-pristupanju/"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rm.coe.int/evaluation-report-on-the-implementation-of-the-council-of-europe-conve/1680a2aefc" TargetMode="External"/><Relationship Id="rId18" Type="http://schemas.openxmlformats.org/officeDocument/2006/relationships/hyperlink" Target="https://www.gov.me/biblioteka?page=1&amp;sort=published_at&amp;q=Nacrt%20Zakona%20o%20izmjenama%20Zakonika%20o%20krivi%C4%8Dnom%20postupku%20" TargetMode="External"/><Relationship Id="rId26" Type="http://schemas.openxmlformats.org/officeDocument/2006/relationships/hyperlink" Target="https://sudovi.me/static/vrdt/doc/Smjernice_za_rad_Strucne_sluzbe_(1).pdf" TargetMode="External"/><Relationship Id="rId3" Type="http://schemas.openxmlformats.org/officeDocument/2006/relationships/hyperlink" Target="https://www.gov.me/biblioteka?page=1&amp;sort=published_at&amp;q=23&amp;dt=7" TargetMode="External"/><Relationship Id="rId21" Type="http://schemas.openxmlformats.org/officeDocument/2006/relationships/hyperlink" Target="https://www.medijskisavjet.me/index.php/o-nama" TargetMode="External"/><Relationship Id="rId34" Type="http://schemas.openxmlformats.org/officeDocument/2006/relationships/hyperlink" Target="https://processpolicy.com/pestle-analysis.htm" TargetMode="External"/><Relationship Id="rId7" Type="http://schemas.openxmlformats.org/officeDocument/2006/relationships/hyperlink" Target="https://www.gov.me/dokumenta/8515d608-15c8-4b25-9c26-fe0a5daf58ec" TargetMode="External"/><Relationship Id="rId12" Type="http://schemas.openxmlformats.org/officeDocument/2006/relationships/hyperlink" Target="https://neighbourhood-enlargement.ec.europa.eu/system/files/2023-11/SWD_2023_694%20Montenegro%20report.pdf" TargetMode="External"/><Relationship Id="rId17" Type="http://schemas.openxmlformats.org/officeDocument/2006/relationships/hyperlink" Target="https://sudovi.me/static/sdsv/doc/IZVJESTAJ_O_RADU_2024.pdf" TargetMode="External"/><Relationship Id="rId25" Type="http://schemas.openxmlformats.org/officeDocument/2006/relationships/hyperlink" Target="https://tuzilastvo.me/static//vrdt/doc/UPUTSTVO_za_postupanje_drzavnih_tuzilastava_u_slucajevima_nasilja_u_porodici_ili_porodicnoj_zajednici.pdf" TargetMode="External"/><Relationship Id="rId33" Type="http://schemas.openxmlformats.org/officeDocument/2006/relationships/hyperlink" Target="https://www.mindtools.com/pages/article/newTMC_09.htm" TargetMode="External"/><Relationship Id="rId2" Type="http://schemas.openxmlformats.org/officeDocument/2006/relationships/hyperlink" Target="https://www.eu.me/wpfd_file/akcioni-plan-za-poglavlje-23-pravosudje-i-temeljna-prava/" TargetMode="External"/><Relationship Id="rId16" Type="http://schemas.openxmlformats.org/officeDocument/2006/relationships/hyperlink" Target="https://www.undp.org/cnr/montenegro/projects/podrska-evropske-unije-izgradnji-povjerenja-na-zapadnom-balkanu" TargetMode="External"/><Relationship Id="rId20" Type="http://schemas.openxmlformats.org/officeDocument/2006/relationships/hyperlink" Target="https://www.hraction.org/2024/03/27/status-civilnih-zrtava-rata-ministarstvo-rada-i-socijalnog-staranja-kasni-s-izradom-predloga-zakona-o-borackoj-i-invalidskoj-zastiti/" TargetMode="External"/><Relationship Id="rId29" Type="http://schemas.openxmlformats.org/officeDocument/2006/relationships/hyperlink" Target="https://www.zsdzcg.me/sites/zsdzcg.me/files/2024-02/unicef_-_sop_za_medjusektorsku_saradnju_web.pdf" TargetMode="External"/><Relationship Id="rId1" Type="http://schemas.openxmlformats.org/officeDocument/2006/relationships/hyperlink" Target="https://www.gov.me/dokumenta/fab71e67-b278-42cf-89c5-ac69741d82b1" TargetMode="External"/><Relationship Id="rId6" Type="http://schemas.openxmlformats.org/officeDocument/2006/relationships/hyperlink" Target="https://www.gov.me/dokumenta/ffaddb5a-c40e-4ab2-ad5d-3606cfca4a97" TargetMode="External"/><Relationship Id="rId11" Type="http://schemas.openxmlformats.org/officeDocument/2006/relationships/hyperlink" Target="https://op.europa.eu/en/publication-detail/-/publication/a9b0d6b3-4b02-11ed-92ed-01aa75ed71a1/language-fr" TargetMode="External"/><Relationship Id="rId24" Type="http://schemas.openxmlformats.org/officeDocument/2006/relationships/hyperlink" Target="https://www.coe.int/en/web/istanbul-convention/montenegro" TargetMode="External"/><Relationship Id="rId32" Type="http://schemas.openxmlformats.org/officeDocument/2006/relationships/hyperlink" Target="https://www.undp.org/cnr/montenegro/projects/borba-protiv-govora-mrznje" TargetMode="External"/><Relationship Id="rId5" Type="http://schemas.openxmlformats.org/officeDocument/2006/relationships/hyperlink" Target="https://www.gov.me/dokumenta/6852d215-af43-4671-b940-cbd0525896c1" TargetMode="External"/><Relationship Id="rId15" Type="http://schemas.openxmlformats.org/officeDocument/2006/relationships/hyperlink" Target="https://www.undp.org/cnr/montenegro/projects/borba-protiv-govora-mrznje" TargetMode="External"/><Relationship Id="rId23" Type="http://schemas.openxmlformats.org/officeDocument/2006/relationships/hyperlink" Target="https://sudovi.me/vrhs/sadrzaj/yx9O" TargetMode="External"/><Relationship Id="rId28" Type="http://schemas.openxmlformats.org/officeDocument/2006/relationships/hyperlink" Target="https://sudovi.me/static//vrhs/doc/Vodic_za_maloljetnike_-_D__WEB.PDF" TargetMode="External"/><Relationship Id="rId36" Type="http://schemas.openxmlformats.org/officeDocument/2006/relationships/hyperlink" Target="https://www.gov.me/clanak/drugi-javni-poziv-za-predlaganje-predstavnika-nevladine-organizacije-u-radnom-tijelu-za-izradu-teksta-nacrta-strategije-o-zastiti-prava-zrtava-sa-pratecim-akcionim-planom" TargetMode="External"/><Relationship Id="rId10" Type="http://schemas.openxmlformats.org/officeDocument/2006/relationships/hyperlink" Target="https://data.consilium.europa.eu/doc/document/AD-13-2024-INIT/en/pdf" TargetMode="External"/><Relationship Id="rId19" Type="http://schemas.openxmlformats.org/officeDocument/2006/relationships/hyperlink" Target="https://zakoni.skupstina.me/zakoni/web/app.php/sjednica/299" TargetMode="External"/><Relationship Id="rId31" Type="http://schemas.openxmlformats.org/officeDocument/2006/relationships/hyperlink" Target="https://www.sudovi.me/vspg/sadrzaj/Ek1q" TargetMode="External"/><Relationship Id="rId4" Type="http://schemas.openxmlformats.org/officeDocument/2006/relationships/hyperlink" Target="https://www.gov.me/biblioteka?page=1&amp;sort=published_at&amp;q=program%20rada%20vlade" TargetMode="External"/><Relationship Id="rId9" Type="http://schemas.openxmlformats.org/officeDocument/2006/relationships/hyperlink" Target="https://www.eu.me/wpfd_file/program-pristupanja-crne-gore-evropskoj-uniji-2023-2024" TargetMode="External"/><Relationship Id="rId14" Type="http://schemas.openxmlformats.org/officeDocument/2006/relationships/hyperlink" Target="https://www.coe.int/en/web/podgorica/strengthening-accountability-of-the-judicial-system-and-enhancing-protection-of-victims-rights-in-montenegro" TargetMode="External"/><Relationship Id="rId22" Type="http://schemas.openxmlformats.org/officeDocument/2006/relationships/hyperlink" Target="https://www.medijskisavjet.me/images/sampledata/dokumenti/kodeks_novinara.pdf" TargetMode="External"/><Relationship Id="rId27" Type="http://schemas.openxmlformats.org/officeDocument/2006/relationships/hyperlink" Target="https://sudovi.me/static//vrdt/doc/3_Vodic_za_djecu_svjedoke_u_tuzilastvu.PDF" TargetMode="External"/><Relationship Id="rId30" Type="http://schemas.openxmlformats.org/officeDocument/2006/relationships/hyperlink" Target="https://www.coe.int/en/web/anti-human-trafficking/montenegro1" TargetMode="External"/><Relationship Id="rId35" Type="http://schemas.openxmlformats.org/officeDocument/2006/relationships/hyperlink" Target="https://www.gov.me/clanak/javni-poziv-za-predlaganje-nvo-za-izradu-nacrta-strategije-o-zastiti-prava" TargetMode="External"/><Relationship Id="rId8" Type="http://schemas.openxmlformats.org/officeDocument/2006/relationships/hyperlink" Target="https://www.gov.me/dokumenta/26b0c8cc-3890-426e-a275-a29e1ff6964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života I tjela</c:v>
                </c:pt>
              </c:strCache>
            </c:strRef>
          </c:tx>
          <c:spPr>
            <a:solidFill>
              <a:schemeClr val="accent1"/>
            </a:solidFill>
            <a:ln>
              <a:noFill/>
            </a:ln>
            <a:effectLst/>
            <a:sp3d/>
          </c:spPr>
          <c:invertIfNegative val="0"/>
          <c:cat>
            <c:numRef>
              <c:f>Sheet1!$A$2:$A$5</c:f>
              <c:numCache>
                <c:formatCode>General</c:formatCode>
                <c:ptCount val="4"/>
                <c:pt idx="0">
                  <c:v>2019</c:v>
                </c:pt>
                <c:pt idx="1">
                  <c:v>2020</c:v>
                </c:pt>
                <c:pt idx="2">
                  <c:v>2021</c:v>
                </c:pt>
              </c:numCache>
            </c:numRef>
          </c:cat>
          <c:val>
            <c:numRef>
              <c:f>Sheet1!$B$2:$B$5</c:f>
              <c:numCache>
                <c:formatCode>General</c:formatCode>
                <c:ptCount val="4"/>
                <c:pt idx="0">
                  <c:v>15</c:v>
                </c:pt>
                <c:pt idx="1">
                  <c:v>10</c:v>
                </c:pt>
                <c:pt idx="2">
                  <c:v>11</c:v>
                </c:pt>
              </c:numCache>
            </c:numRef>
          </c:val>
          <c:extLst>
            <c:ext xmlns:c16="http://schemas.microsoft.com/office/drawing/2014/chart" uri="{C3380CC4-5D6E-409C-BE32-E72D297353CC}">
              <c16:uniqueId val="{00000000-B4ED-4210-AA54-6FB00F5604B7}"/>
            </c:ext>
          </c:extLst>
        </c:ser>
        <c:ser>
          <c:idx val="1"/>
          <c:order val="1"/>
          <c:tx>
            <c:strRef>
              <c:f>Sheet1!$C$1</c:f>
              <c:strCache>
                <c:ptCount val="1"/>
                <c:pt idx="0">
                  <c:v>brak i porodica</c:v>
                </c:pt>
              </c:strCache>
            </c:strRef>
          </c:tx>
          <c:spPr>
            <a:solidFill>
              <a:schemeClr val="accent2"/>
            </a:solidFill>
            <a:ln>
              <a:noFill/>
            </a:ln>
            <a:effectLst/>
            <a:sp3d/>
          </c:spPr>
          <c:invertIfNegative val="0"/>
          <c:cat>
            <c:numRef>
              <c:f>Sheet1!$A$2:$A$5</c:f>
              <c:numCache>
                <c:formatCode>General</c:formatCode>
                <c:ptCount val="4"/>
                <c:pt idx="0">
                  <c:v>2019</c:v>
                </c:pt>
                <c:pt idx="1">
                  <c:v>2020</c:v>
                </c:pt>
                <c:pt idx="2">
                  <c:v>2021</c:v>
                </c:pt>
              </c:numCache>
            </c:numRef>
          </c:cat>
          <c:val>
            <c:numRef>
              <c:f>Sheet1!$C$2:$C$5</c:f>
              <c:numCache>
                <c:formatCode>General</c:formatCode>
                <c:ptCount val="4"/>
                <c:pt idx="0">
                  <c:v>75</c:v>
                </c:pt>
                <c:pt idx="1">
                  <c:v>71</c:v>
                </c:pt>
                <c:pt idx="2">
                  <c:v>92</c:v>
                </c:pt>
              </c:numCache>
            </c:numRef>
          </c:val>
          <c:extLst>
            <c:ext xmlns:c16="http://schemas.microsoft.com/office/drawing/2014/chart" uri="{C3380CC4-5D6E-409C-BE32-E72D297353CC}">
              <c16:uniqueId val="{00000001-B4ED-4210-AA54-6FB00F5604B7}"/>
            </c:ext>
          </c:extLst>
        </c:ser>
        <c:ser>
          <c:idx val="2"/>
          <c:order val="2"/>
          <c:tx>
            <c:strRef>
              <c:f>Sheet1!$D$1</c:f>
              <c:strCache>
                <c:ptCount val="1"/>
                <c:pt idx="0">
                  <c:v>polne slobode</c:v>
                </c:pt>
              </c:strCache>
            </c:strRef>
          </c:tx>
          <c:spPr>
            <a:solidFill>
              <a:schemeClr val="accent3"/>
            </a:solidFill>
            <a:ln>
              <a:noFill/>
            </a:ln>
            <a:effectLst/>
            <a:sp3d/>
          </c:spPr>
          <c:invertIfNegative val="0"/>
          <c:cat>
            <c:numRef>
              <c:f>Sheet1!$A$2:$A$5</c:f>
              <c:numCache>
                <c:formatCode>General</c:formatCode>
                <c:ptCount val="4"/>
                <c:pt idx="0">
                  <c:v>2019</c:v>
                </c:pt>
                <c:pt idx="1">
                  <c:v>2020</c:v>
                </c:pt>
                <c:pt idx="2">
                  <c:v>2021</c:v>
                </c:pt>
              </c:numCache>
            </c:numRef>
          </c:cat>
          <c:val>
            <c:numRef>
              <c:f>Sheet1!$D$2:$D$5</c:f>
              <c:numCache>
                <c:formatCode>General</c:formatCode>
                <c:ptCount val="4"/>
                <c:pt idx="0">
                  <c:v>0</c:v>
                </c:pt>
                <c:pt idx="1">
                  <c:v>2</c:v>
                </c:pt>
                <c:pt idx="2">
                  <c:v>7</c:v>
                </c:pt>
              </c:numCache>
            </c:numRef>
          </c:val>
          <c:extLst>
            <c:ext xmlns:c16="http://schemas.microsoft.com/office/drawing/2014/chart" uri="{C3380CC4-5D6E-409C-BE32-E72D297353CC}">
              <c16:uniqueId val="{00000002-B4ED-4210-AA54-6FB00F5604B7}"/>
            </c:ext>
          </c:extLst>
        </c:ser>
        <c:dLbls>
          <c:showLegendKey val="0"/>
          <c:showVal val="0"/>
          <c:showCatName val="0"/>
          <c:showSerName val="0"/>
          <c:showPercent val="0"/>
          <c:showBubbleSize val="0"/>
        </c:dLbls>
        <c:gapWidth val="150"/>
        <c:shape val="box"/>
        <c:axId val="-25185664"/>
        <c:axId val="-25184032"/>
        <c:axId val="0"/>
      </c:bar3DChart>
      <c:catAx>
        <c:axId val="-25185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5184032"/>
        <c:crosses val="autoZero"/>
        <c:auto val="1"/>
        <c:lblAlgn val="ctr"/>
        <c:lblOffset val="100"/>
        <c:noMultiLvlLbl val="0"/>
      </c:catAx>
      <c:valAx>
        <c:axId val="-2518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518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3249B8-DE2E-4063-AD96-BFF58BB1D0B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E3EDB35D-E5BA-4F03-8F13-9F76ABCAFF76}">
      <dgm:prSet phldrT="[Text]"/>
      <dgm:spPr/>
      <dgm:t>
        <a:bodyPr/>
        <a:lstStyle/>
        <a:p>
          <a:r>
            <a:rPr lang="en-US"/>
            <a:t>Izvještaji o radu pravosuđa</a:t>
          </a:r>
        </a:p>
      </dgm:t>
    </dgm:pt>
    <dgm:pt modelId="{E1B1CB1B-058F-42F7-BF46-BAFBC128C318}" type="parTrans" cxnId="{8D635504-F289-409B-AAB1-53DF415DFF85}">
      <dgm:prSet/>
      <dgm:spPr/>
      <dgm:t>
        <a:bodyPr/>
        <a:lstStyle/>
        <a:p>
          <a:endParaRPr lang="en-US"/>
        </a:p>
      </dgm:t>
    </dgm:pt>
    <dgm:pt modelId="{47A1B3EC-EC8E-49DF-802D-9ED0F4837FCF}" type="sibTrans" cxnId="{8D635504-F289-409B-AAB1-53DF415DFF85}">
      <dgm:prSet/>
      <dgm:spPr/>
      <dgm:t>
        <a:bodyPr/>
        <a:lstStyle/>
        <a:p>
          <a:endParaRPr lang="en-US"/>
        </a:p>
      </dgm:t>
    </dgm:pt>
    <dgm:pt modelId="{24D22D11-90DB-4183-BAE4-216C095249AC}">
      <dgm:prSet phldrT="[Text]"/>
      <dgm:spPr/>
      <dgm:t>
        <a:bodyPr/>
        <a:lstStyle/>
        <a:p>
          <a:r>
            <a:rPr lang="en-US"/>
            <a:t>Izvještaji o sprovođenju dokumenata javnih politika Vlade</a:t>
          </a:r>
        </a:p>
      </dgm:t>
    </dgm:pt>
    <dgm:pt modelId="{DEA74AEF-7909-45B2-8DE0-503F5B706316}" type="parTrans" cxnId="{0904029D-2671-416A-B40B-A78304ECF17E}">
      <dgm:prSet/>
      <dgm:spPr/>
      <dgm:t>
        <a:bodyPr/>
        <a:lstStyle/>
        <a:p>
          <a:endParaRPr lang="en-US"/>
        </a:p>
      </dgm:t>
    </dgm:pt>
    <dgm:pt modelId="{AE2C100B-6231-4323-A9D7-935BC686997D}" type="sibTrans" cxnId="{0904029D-2671-416A-B40B-A78304ECF17E}">
      <dgm:prSet/>
      <dgm:spPr/>
      <dgm:t>
        <a:bodyPr/>
        <a:lstStyle/>
        <a:p>
          <a:endParaRPr lang="en-US"/>
        </a:p>
      </dgm:t>
    </dgm:pt>
    <dgm:pt modelId="{785CFF14-EE4A-4444-9832-E41E2ED6895A}">
      <dgm:prSet phldrT="[Text]"/>
      <dgm:spPr/>
      <dgm:t>
        <a:bodyPr/>
        <a:lstStyle/>
        <a:p>
          <a:r>
            <a:rPr lang="en-US"/>
            <a:t>Izvještaji međunarodnih monito</a:t>
          </a:r>
          <a:r>
            <a:rPr lang="sr-Latn-ME"/>
            <a:t>r</a:t>
          </a:r>
          <a:r>
            <a:rPr lang="en-US"/>
            <a:t>ing tijela</a:t>
          </a:r>
        </a:p>
      </dgm:t>
    </dgm:pt>
    <dgm:pt modelId="{B0A1D0E7-8781-4F2C-85AE-8793FBCB6CEE}" type="parTrans" cxnId="{EB096F7E-5D1C-49D4-A933-C4E52F51D235}">
      <dgm:prSet/>
      <dgm:spPr/>
      <dgm:t>
        <a:bodyPr/>
        <a:lstStyle/>
        <a:p>
          <a:endParaRPr lang="en-US"/>
        </a:p>
      </dgm:t>
    </dgm:pt>
    <dgm:pt modelId="{3F5E9037-B907-4EED-BD54-3FFC591B529A}" type="sibTrans" cxnId="{EB096F7E-5D1C-49D4-A933-C4E52F51D235}">
      <dgm:prSet/>
      <dgm:spPr/>
      <dgm:t>
        <a:bodyPr/>
        <a:lstStyle/>
        <a:p>
          <a:endParaRPr lang="en-US"/>
        </a:p>
      </dgm:t>
    </dgm:pt>
    <dgm:pt modelId="{AD65F515-BAA2-4BF8-8290-37019E688D2C}">
      <dgm:prSet phldrT="[Text]"/>
      <dgm:spPr/>
      <dgm:t>
        <a:bodyPr/>
        <a:lstStyle/>
        <a:p>
          <a:r>
            <a:rPr lang="en-US"/>
            <a:t>Izvještaji i analize NVO </a:t>
          </a:r>
        </a:p>
      </dgm:t>
    </dgm:pt>
    <dgm:pt modelId="{B1ED725E-F2C6-42FD-AE15-1144E990AD54}" type="parTrans" cxnId="{EF3D0653-079A-4B3B-915F-86221A29B7BE}">
      <dgm:prSet/>
      <dgm:spPr/>
      <dgm:t>
        <a:bodyPr/>
        <a:lstStyle/>
        <a:p>
          <a:endParaRPr lang="en-US"/>
        </a:p>
      </dgm:t>
    </dgm:pt>
    <dgm:pt modelId="{21690711-1E75-4009-93A7-3C303926E018}" type="sibTrans" cxnId="{EF3D0653-079A-4B3B-915F-86221A29B7BE}">
      <dgm:prSet/>
      <dgm:spPr/>
      <dgm:t>
        <a:bodyPr/>
        <a:lstStyle/>
        <a:p>
          <a:endParaRPr lang="en-US"/>
        </a:p>
      </dgm:t>
    </dgm:pt>
    <dgm:pt modelId="{477C7564-2CEB-4844-AAF2-10BF51289359}">
      <dgm:prSet phldrT="[Text]"/>
      <dgm:spPr/>
      <dgm:t>
        <a:bodyPr/>
        <a:lstStyle/>
        <a:p>
          <a:r>
            <a:rPr lang="en-US"/>
            <a:t>Akademski radovi</a:t>
          </a:r>
        </a:p>
      </dgm:t>
    </dgm:pt>
    <dgm:pt modelId="{1BC6338F-01EF-4681-A78F-50000E69E0BC}" type="parTrans" cxnId="{64747D40-85BC-43CA-94D1-8CCF4DD1ED96}">
      <dgm:prSet/>
      <dgm:spPr/>
      <dgm:t>
        <a:bodyPr/>
        <a:lstStyle/>
        <a:p>
          <a:endParaRPr lang="en-US"/>
        </a:p>
      </dgm:t>
    </dgm:pt>
    <dgm:pt modelId="{3DE92C44-795D-4AA8-B2A1-212AA79C651B}" type="sibTrans" cxnId="{64747D40-85BC-43CA-94D1-8CCF4DD1ED96}">
      <dgm:prSet/>
      <dgm:spPr/>
      <dgm:t>
        <a:bodyPr/>
        <a:lstStyle/>
        <a:p>
          <a:endParaRPr lang="en-US"/>
        </a:p>
      </dgm:t>
    </dgm:pt>
    <dgm:pt modelId="{E5253EC0-0EE2-4EC8-9259-CAF5FC7AAE12}" type="pres">
      <dgm:prSet presAssocID="{8C3249B8-DE2E-4063-AD96-BFF58BB1D0B4}" presName="cycle" presStyleCnt="0">
        <dgm:presLayoutVars>
          <dgm:dir/>
          <dgm:resizeHandles val="exact"/>
        </dgm:presLayoutVars>
      </dgm:prSet>
      <dgm:spPr/>
    </dgm:pt>
    <dgm:pt modelId="{3A0F3FAC-9D26-4093-9CB0-FCB4584FDF9A}" type="pres">
      <dgm:prSet presAssocID="{E3EDB35D-E5BA-4F03-8F13-9F76ABCAFF76}" presName="node" presStyleLbl="node1" presStyleIdx="0" presStyleCnt="5">
        <dgm:presLayoutVars>
          <dgm:bulletEnabled val="1"/>
        </dgm:presLayoutVars>
      </dgm:prSet>
      <dgm:spPr/>
    </dgm:pt>
    <dgm:pt modelId="{614E7A5D-A8D9-4BE5-A697-A401D9FA606F}" type="pres">
      <dgm:prSet presAssocID="{47A1B3EC-EC8E-49DF-802D-9ED0F4837FCF}" presName="sibTrans" presStyleLbl="sibTrans2D1" presStyleIdx="0" presStyleCnt="5"/>
      <dgm:spPr/>
    </dgm:pt>
    <dgm:pt modelId="{CE0AE0FA-DDE4-4EA6-BF4F-6C8C5E482983}" type="pres">
      <dgm:prSet presAssocID="{47A1B3EC-EC8E-49DF-802D-9ED0F4837FCF}" presName="connectorText" presStyleLbl="sibTrans2D1" presStyleIdx="0" presStyleCnt="5"/>
      <dgm:spPr/>
    </dgm:pt>
    <dgm:pt modelId="{9FACD225-550A-416E-A449-84A3F21CDA11}" type="pres">
      <dgm:prSet presAssocID="{24D22D11-90DB-4183-BAE4-216C095249AC}" presName="node" presStyleLbl="node1" presStyleIdx="1" presStyleCnt="5">
        <dgm:presLayoutVars>
          <dgm:bulletEnabled val="1"/>
        </dgm:presLayoutVars>
      </dgm:prSet>
      <dgm:spPr/>
    </dgm:pt>
    <dgm:pt modelId="{A6900285-7447-4EBF-ABC4-4FD2B2864EAE}" type="pres">
      <dgm:prSet presAssocID="{AE2C100B-6231-4323-A9D7-935BC686997D}" presName="sibTrans" presStyleLbl="sibTrans2D1" presStyleIdx="1" presStyleCnt="5"/>
      <dgm:spPr/>
    </dgm:pt>
    <dgm:pt modelId="{84292F22-0021-472C-9B4A-2EDB3193B31C}" type="pres">
      <dgm:prSet presAssocID="{AE2C100B-6231-4323-A9D7-935BC686997D}" presName="connectorText" presStyleLbl="sibTrans2D1" presStyleIdx="1" presStyleCnt="5"/>
      <dgm:spPr/>
    </dgm:pt>
    <dgm:pt modelId="{565D4439-C475-4000-91CC-54E44247D421}" type="pres">
      <dgm:prSet presAssocID="{785CFF14-EE4A-4444-9832-E41E2ED6895A}" presName="node" presStyleLbl="node1" presStyleIdx="2" presStyleCnt="5">
        <dgm:presLayoutVars>
          <dgm:bulletEnabled val="1"/>
        </dgm:presLayoutVars>
      </dgm:prSet>
      <dgm:spPr/>
    </dgm:pt>
    <dgm:pt modelId="{2501AC39-0EA0-497C-870E-41B2E19773CC}" type="pres">
      <dgm:prSet presAssocID="{3F5E9037-B907-4EED-BD54-3FFC591B529A}" presName="sibTrans" presStyleLbl="sibTrans2D1" presStyleIdx="2" presStyleCnt="5"/>
      <dgm:spPr/>
    </dgm:pt>
    <dgm:pt modelId="{7D5C2BCB-6DAC-4A25-A350-A8B22224237E}" type="pres">
      <dgm:prSet presAssocID="{3F5E9037-B907-4EED-BD54-3FFC591B529A}" presName="connectorText" presStyleLbl="sibTrans2D1" presStyleIdx="2" presStyleCnt="5"/>
      <dgm:spPr/>
    </dgm:pt>
    <dgm:pt modelId="{4A804A0A-A8D0-4063-BA0D-0A876655BD9B}" type="pres">
      <dgm:prSet presAssocID="{AD65F515-BAA2-4BF8-8290-37019E688D2C}" presName="node" presStyleLbl="node1" presStyleIdx="3" presStyleCnt="5">
        <dgm:presLayoutVars>
          <dgm:bulletEnabled val="1"/>
        </dgm:presLayoutVars>
      </dgm:prSet>
      <dgm:spPr/>
    </dgm:pt>
    <dgm:pt modelId="{D3FCC165-0B25-4576-9C5E-14192C916F1F}" type="pres">
      <dgm:prSet presAssocID="{21690711-1E75-4009-93A7-3C303926E018}" presName="sibTrans" presStyleLbl="sibTrans2D1" presStyleIdx="3" presStyleCnt="5"/>
      <dgm:spPr/>
    </dgm:pt>
    <dgm:pt modelId="{C48DF9BF-4641-4431-B164-8BEAD140B681}" type="pres">
      <dgm:prSet presAssocID="{21690711-1E75-4009-93A7-3C303926E018}" presName="connectorText" presStyleLbl="sibTrans2D1" presStyleIdx="3" presStyleCnt="5"/>
      <dgm:spPr/>
    </dgm:pt>
    <dgm:pt modelId="{1EC530F5-D01C-4748-B2DB-889A45D69E4B}" type="pres">
      <dgm:prSet presAssocID="{477C7564-2CEB-4844-AAF2-10BF51289359}" presName="node" presStyleLbl="node1" presStyleIdx="4" presStyleCnt="5">
        <dgm:presLayoutVars>
          <dgm:bulletEnabled val="1"/>
        </dgm:presLayoutVars>
      </dgm:prSet>
      <dgm:spPr/>
    </dgm:pt>
    <dgm:pt modelId="{A847E75C-63BD-4593-8E51-2A79224ECC32}" type="pres">
      <dgm:prSet presAssocID="{3DE92C44-795D-4AA8-B2A1-212AA79C651B}" presName="sibTrans" presStyleLbl="sibTrans2D1" presStyleIdx="4" presStyleCnt="5"/>
      <dgm:spPr/>
    </dgm:pt>
    <dgm:pt modelId="{3611EA38-B6E8-4881-8E6C-793E45A4AE48}" type="pres">
      <dgm:prSet presAssocID="{3DE92C44-795D-4AA8-B2A1-212AA79C651B}" presName="connectorText" presStyleLbl="sibTrans2D1" presStyleIdx="4" presStyleCnt="5"/>
      <dgm:spPr/>
    </dgm:pt>
  </dgm:ptLst>
  <dgm:cxnLst>
    <dgm:cxn modelId="{61DC1803-091D-478C-8A6D-7F6EC850A279}" type="presOf" srcId="{3F5E9037-B907-4EED-BD54-3FFC591B529A}" destId="{7D5C2BCB-6DAC-4A25-A350-A8B22224237E}" srcOrd="1" destOrd="0" presId="urn:microsoft.com/office/officeart/2005/8/layout/cycle2"/>
    <dgm:cxn modelId="{8D635504-F289-409B-AAB1-53DF415DFF85}" srcId="{8C3249B8-DE2E-4063-AD96-BFF58BB1D0B4}" destId="{E3EDB35D-E5BA-4F03-8F13-9F76ABCAFF76}" srcOrd="0" destOrd="0" parTransId="{E1B1CB1B-058F-42F7-BF46-BAFBC128C318}" sibTransId="{47A1B3EC-EC8E-49DF-802D-9ED0F4837FCF}"/>
    <dgm:cxn modelId="{ABEAF50F-5906-46A5-907E-C0F77377DE67}" type="presOf" srcId="{3DE92C44-795D-4AA8-B2A1-212AA79C651B}" destId="{3611EA38-B6E8-4881-8E6C-793E45A4AE48}" srcOrd="1" destOrd="0" presId="urn:microsoft.com/office/officeart/2005/8/layout/cycle2"/>
    <dgm:cxn modelId="{16FF193A-4346-4CB4-8858-DDC797F8AA4B}" type="presOf" srcId="{47A1B3EC-EC8E-49DF-802D-9ED0F4837FCF}" destId="{614E7A5D-A8D9-4BE5-A697-A401D9FA606F}" srcOrd="0" destOrd="0" presId="urn:microsoft.com/office/officeart/2005/8/layout/cycle2"/>
    <dgm:cxn modelId="{64747D40-85BC-43CA-94D1-8CCF4DD1ED96}" srcId="{8C3249B8-DE2E-4063-AD96-BFF58BB1D0B4}" destId="{477C7564-2CEB-4844-AAF2-10BF51289359}" srcOrd="4" destOrd="0" parTransId="{1BC6338F-01EF-4681-A78F-50000E69E0BC}" sibTransId="{3DE92C44-795D-4AA8-B2A1-212AA79C651B}"/>
    <dgm:cxn modelId="{4286844D-1836-49B5-8F80-39C4A9179FF9}" type="presOf" srcId="{21690711-1E75-4009-93A7-3C303926E018}" destId="{D3FCC165-0B25-4576-9C5E-14192C916F1F}" srcOrd="0" destOrd="0" presId="urn:microsoft.com/office/officeart/2005/8/layout/cycle2"/>
    <dgm:cxn modelId="{3724B450-CC8E-46CD-81C6-673842821B9E}" type="presOf" srcId="{3DE92C44-795D-4AA8-B2A1-212AA79C651B}" destId="{A847E75C-63BD-4593-8E51-2A79224ECC32}" srcOrd="0" destOrd="0" presId="urn:microsoft.com/office/officeart/2005/8/layout/cycle2"/>
    <dgm:cxn modelId="{EF3D0653-079A-4B3B-915F-86221A29B7BE}" srcId="{8C3249B8-DE2E-4063-AD96-BFF58BB1D0B4}" destId="{AD65F515-BAA2-4BF8-8290-37019E688D2C}" srcOrd="3" destOrd="0" parTransId="{B1ED725E-F2C6-42FD-AE15-1144E990AD54}" sibTransId="{21690711-1E75-4009-93A7-3C303926E018}"/>
    <dgm:cxn modelId="{38D37C7B-F3D5-4463-8AFB-A591EE21C508}" type="presOf" srcId="{AE2C100B-6231-4323-A9D7-935BC686997D}" destId="{84292F22-0021-472C-9B4A-2EDB3193B31C}" srcOrd="1" destOrd="0" presId="urn:microsoft.com/office/officeart/2005/8/layout/cycle2"/>
    <dgm:cxn modelId="{EB096F7E-5D1C-49D4-A933-C4E52F51D235}" srcId="{8C3249B8-DE2E-4063-AD96-BFF58BB1D0B4}" destId="{785CFF14-EE4A-4444-9832-E41E2ED6895A}" srcOrd="2" destOrd="0" parTransId="{B0A1D0E7-8781-4F2C-85AE-8793FBCB6CEE}" sibTransId="{3F5E9037-B907-4EED-BD54-3FFC591B529A}"/>
    <dgm:cxn modelId="{CA2E5A7E-98C4-473F-9CCD-9A2FB2CFE83D}" type="presOf" srcId="{3F5E9037-B907-4EED-BD54-3FFC591B529A}" destId="{2501AC39-0EA0-497C-870E-41B2E19773CC}" srcOrd="0" destOrd="0" presId="urn:microsoft.com/office/officeart/2005/8/layout/cycle2"/>
    <dgm:cxn modelId="{70790B81-74B1-48B8-88D9-5B38C4439C72}" type="presOf" srcId="{21690711-1E75-4009-93A7-3C303926E018}" destId="{C48DF9BF-4641-4431-B164-8BEAD140B681}" srcOrd="1" destOrd="0" presId="urn:microsoft.com/office/officeart/2005/8/layout/cycle2"/>
    <dgm:cxn modelId="{98966E86-86EA-45FA-A25E-01339C538A50}" type="presOf" srcId="{47A1B3EC-EC8E-49DF-802D-9ED0F4837FCF}" destId="{CE0AE0FA-DDE4-4EA6-BF4F-6C8C5E482983}" srcOrd="1" destOrd="0" presId="urn:microsoft.com/office/officeart/2005/8/layout/cycle2"/>
    <dgm:cxn modelId="{893B168D-3AD8-40D0-949C-BB53E1CCF432}" type="presOf" srcId="{AD65F515-BAA2-4BF8-8290-37019E688D2C}" destId="{4A804A0A-A8D0-4063-BA0D-0A876655BD9B}" srcOrd="0" destOrd="0" presId="urn:microsoft.com/office/officeart/2005/8/layout/cycle2"/>
    <dgm:cxn modelId="{DA87E996-E1CA-46D1-B0A5-0CCDD2B1112B}" type="presOf" srcId="{E3EDB35D-E5BA-4F03-8F13-9F76ABCAFF76}" destId="{3A0F3FAC-9D26-4093-9CB0-FCB4584FDF9A}" srcOrd="0" destOrd="0" presId="urn:microsoft.com/office/officeart/2005/8/layout/cycle2"/>
    <dgm:cxn modelId="{0904029D-2671-416A-B40B-A78304ECF17E}" srcId="{8C3249B8-DE2E-4063-AD96-BFF58BB1D0B4}" destId="{24D22D11-90DB-4183-BAE4-216C095249AC}" srcOrd="1" destOrd="0" parTransId="{DEA74AEF-7909-45B2-8DE0-503F5B706316}" sibTransId="{AE2C100B-6231-4323-A9D7-935BC686997D}"/>
    <dgm:cxn modelId="{3EFC90B1-1802-4700-BB46-49E6F33AC201}" type="presOf" srcId="{477C7564-2CEB-4844-AAF2-10BF51289359}" destId="{1EC530F5-D01C-4748-B2DB-889A45D69E4B}" srcOrd="0" destOrd="0" presId="urn:microsoft.com/office/officeart/2005/8/layout/cycle2"/>
    <dgm:cxn modelId="{81F321C7-D15A-4655-B01D-DCF0BBE8D3F4}" type="presOf" srcId="{AE2C100B-6231-4323-A9D7-935BC686997D}" destId="{A6900285-7447-4EBF-ABC4-4FD2B2864EAE}" srcOrd="0" destOrd="0" presId="urn:microsoft.com/office/officeart/2005/8/layout/cycle2"/>
    <dgm:cxn modelId="{970D9ED7-5C27-462D-915E-4CD957008C1A}" type="presOf" srcId="{24D22D11-90DB-4183-BAE4-216C095249AC}" destId="{9FACD225-550A-416E-A449-84A3F21CDA11}" srcOrd="0" destOrd="0" presId="urn:microsoft.com/office/officeart/2005/8/layout/cycle2"/>
    <dgm:cxn modelId="{95CD03E4-59A6-4DC5-8468-D53391B33CBF}" type="presOf" srcId="{8C3249B8-DE2E-4063-AD96-BFF58BB1D0B4}" destId="{E5253EC0-0EE2-4EC8-9259-CAF5FC7AAE12}" srcOrd="0" destOrd="0" presId="urn:microsoft.com/office/officeart/2005/8/layout/cycle2"/>
    <dgm:cxn modelId="{5C0E1AF0-E7CE-4E7D-9618-2DE544837A94}" type="presOf" srcId="{785CFF14-EE4A-4444-9832-E41E2ED6895A}" destId="{565D4439-C475-4000-91CC-54E44247D421}" srcOrd="0" destOrd="0" presId="urn:microsoft.com/office/officeart/2005/8/layout/cycle2"/>
    <dgm:cxn modelId="{76D7D398-D269-4683-B564-9244093FE242}" type="presParOf" srcId="{E5253EC0-0EE2-4EC8-9259-CAF5FC7AAE12}" destId="{3A0F3FAC-9D26-4093-9CB0-FCB4584FDF9A}" srcOrd="0" destOrd="0" presId="urn:microsoft.com/office/officeart/2005/8/layout/cycle2"/>
    <dgm:cxn modelId="{E926786F-8F13-4DB6-8474-81029EEAF008}" type="presParOf" srcId="{E5253EC0-0EE2-4EC8-9259-CAF5FC7AAE12}" destId="{614E7A5D-A8D9-4BE5-A697-A401D9FA606F}" srcOrd="1" destOrd="0" presId="urn:microsoft.com/office/officeart/2005/8/layout/cycle2"/>
    <dgm:cxn modelId="{9669AFA1-32D7-4A45-9171-53241933F1D8}" type="presParOf" srcId="{614E7A5D-A8D9-4BE5-A697-A401D9FA606F}" destId="{CE0AE0FA-DDE4-4EA6-BF4F-6C8C5E482983}" srcOrd="0" destOrd="0" presId="urn:microsoft.com/office/officeart/2005/8/layout/cycle2"/>
    <dgm:cxn modelId="{A2CEB5AF-FA0A-46D1-A86B-40C549AA195E}" type="presParOf" srcId="{E5253EC0-0EE2-4EC8-9259-CAF5FC7AAE12}" destId="{9FACD225-550A-416E-A449-84A3F21CDA11}" srcOrd="2" destOrd="0" presId="urn:microsoft.com/office/officeart/2005/8/layout/cycle2"/>
    <dgm:cxn modelId="{96999CD2-2256-412D-8718-461A9E4A977A}" type="presParOf" srcId="{E5253EC0-0EE2-4EC8-9259-CAF5FC7AAE12}" destId="{A6900285-7447-4EBF-ABC4-4FD2B2864EAE}" srcOrd="3" destOrd="0" presId="urn:microsoft.com/office/officeart/2005/8/layout/cycle2"/>
    <dgm:cxn modelId="{35CC6584-3446-4981-B70A-0082EDE1C08B}" type="presParOf" srcId="{A6900285-7447-4EBF-ABC4-4FD2B2864EAE}" destId="{84292F22-0021-472C-9B4A-2EDB3193B31C}" srcOrd="0" destOrd="0" presId="urn:microsoft.com/office/officeart/2005/8/layout/cycle2"/>
    <dgm:cxn modelId="{A3495653-AE70-4821-8F2C-71FED46C635D}" type="presParOf" srcId="{E5253EC0-0EE2-4EC8-9259-CAF5FC7AAE12}" destId="{565D4439-C475-4000-91CC-54E44247D421}" srcOrd="4" destOrd="0" presId="urn:microsoft.com/office/officeart/2005/8/layout/cycle2"/>
    <dgm:cxn modelId="{B8D424E3-9403-4CA8-9959-7A1CAC2EC04F}" type="presParOf" srcId="{E5253EC0-0EE2-4EC8-9259-CAF5FC7AAE12}" destId="{2501AC39-0EA0-497C-870E-41B2E19773CC}" srcOrd="5" destOrd="0" presId="urn:microsoft.com/office/officeart/2005/8/layout/cycle2"/>
    <dgm:cxn modelId="{8756CE76-C7C3-4CFC-9FD1-02D761D59842}" type="presParOf" srcId="{2501AC39-0EA0-497C-870E-41B2E19773CC}" destId="{7D5C2BCB-6DAC-4A25-A350-A8B22224237E}" srcOrd="0" destOrd="0" presId="urn:microsoft.com/office/officeart/2005/8/layout/cycle2"/>
    <dgm:cxn modelId="{B0E6AF1D-6270-4CD1-83E4-F1ACAB6D72FA}" type="presParOf" srcId="{E5253EC0-0EE2-4EC8-9259-CAF5FC7AAE12}" destId="{4A804A0A-A8D0-4063-BA0D-0A876655BD9B}" srcOrd="6" destOrd="0" presId="urn:microsoft.com/office/officeart/2005/8/layout/cycle2"/>
    <dgm:cxn modelId="{39CBC7C9-DC5E-4489-9A0F-46DAE0709770}" type="presParOf" srcId="{E5253EC0-0EE2-4EC8-9259-CAF5FC7AAE12}" destId="{D3FCC165-0B25-4576-9C5E-14192C916F1F}" srcOrd="7" destOrd="0" presId="urn:microsoft.com/office/officeart/2005/8/layout/cycle2"/>
    <dgm:cxn modelId="{6E912FC2-3269-426C-B192-7C4899A246E2}" type="presParOf" srcId="{D3FCC165-0B25-4576-9C5E-14192C916F1F}" destId="{C48DF9BF-4641-4431-B164-8BEAD140B681}" srcOrd="0" destOrd="0" presId="urn:microsoft.com/office/officeart/2005/8/layout/cycle2"/>
    <dgm:cxn modelId="{AA369441-A109-4A8C-99CD-E0D0E9438DFF}" type="presParOf" srcId="{E5253EC0-0EE2-4EC8-9259-CAF5FC7AAE12}" destId="{1EC530F5-D01C-4748-B2DB-889A45D69E4B}" srcOrd="8" destOrd="0" presId="urn:microsoft.com/office/officeart/2005/8/layout/cycle2"/>
    <dgm:cxn modelId="{A4E0AE4B-1993-4D3B-A7FF-2520FCE70C2C}" type="presParOf" srcId="{E5253EC0-0EE2-4EC8-9259-CAF5FC7AAE12}" destId="{A847E75C-63BD-4593-8E51-2A79224ECC32}" srcOrd="9" destOrd="0" presId="urn:microsoft.com/office/officeart/2005/8/layout/cycle2"/>
    <dgm:cxn modelId="{98CA0DE3-00F8-43CC-9373-43C4E93E17C5}" type="presParOf" srcId="{A847E75C-63BD-4593-8E51-2A79224ECC32}" destId="{3611EA38-B6E8-4881-8E6C-793E45A4AE48}"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0F3FAC-9D26-4093-9CB0-FCB4584FDF9A}">
      <dsp:nvSpPr>
        <dsp:cNvPr id="0" name=""/>
        <dsp:cNvSpPr/>
      </dsp:nvSpPr>
      <dsp:spPr>
        <a:xfrm>
          <a:off x="2259657" y="390"/>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o radu pravosuđa</a:t>
          </a:r>
        </a:p>
      </dsp:txBody>
      <dsp:txXfrm>
        <a:off x="2401283" y="142016"/>
        <a:ext cx="683833" cy="683833"/>
      </dsp:txXfrm>
    </dsp:sp>
    <dsp:sp modelId="{614E7A5D-A8D9-4BE5-A697-A401D9FA606F}">
      <dsp:nvSpPr>
        <dsp:cNvPr id="0" name=""/>
        <dsp:cNvSpPr/>
      </dsp:nvSpPr>
      <dsp:spPr>
        <a:xfrm rot="2160000">
          <a:off x="3196004" y="74284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03348" y="785523"/>
        <a:ext cx="179453" cy="195835"/>
      </dsp:txXfrm>
    </dsp:sp>
    <dsp:sp modelId="{9FACD225-550A-416E-A449-84A3F21CDA11}">
      <dsp:nvSpPr>
        <dsp:cNvPr id="0" name=""/>
        <dsp:cNvSpPr/>
      </dsp:nvSpPr>
      <dsp:spPr>
        <a:xfrm>
          <a:off x="3433369" y="853142"/>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o sprovođenju dokumenata javnih politika Vlade</a:t>
          </a:r>
        </a:p>
      </dsp:txBody>
      <dsp:txXfrm>
        <a:off x="3574995" y="994768"/>
        <a:ext cx="683833" cy="683833"/>
      </dsp:txXfrm>
    </dsp:sp>
    <dsp:sp modelId="{A6900285-7447-4EBF-ABC4-4FD2B2864EAE}">
      <dsp:nvSpPr>
        <dsp:cNvPr id="0" name=""/>
        <dsp:cNvSpPr/>
      </dsp:nvSpPr>
      <dsp:spPr>
        <a:xfrm rot="6480000">
          <a:off x="3566814" y="1856479"/>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3617152" y="1885185"/>
        <a:ext cx="179453" cy="195835"/>
      </dsp:txXfrm>
    </dsp:sp>
    <dsp:sp modelId="{565D4439-C475-4000-91CC-54E44247D421}">
      <dsp:nvSpPr>
        <dsp:cNvPr id="0" name=""/>
        <dsp:cNvSpPr/>
      </dsp:nvSpPr>
      <dsp:spPr>
        <a:xfrm>
          <a:off x="2985051" y="2232924"/>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međunarodnih monito</a:t>
          </a:r>
          <a:r>
            <a:rPr lang="sr-Latn-ME" sz="800" kern="1200"/>
            <a:t>r</a:t>
          </a:r>
          <a:r>
            <a:rPr lang="en-US" sz="800" kern="1200"/>
            <a:t>ing tijela</a:t>
          </a:r>
        </a:p>
      </dsp:txBody>
      <dsp:txXfrm>
        <a:off x="3126677" y="2374550"/>
        <a:ext cx="683833" cy="683833"/>
      </dsp:txXfrm>
    </dsp:sp>
    <dsp:sp modelId="{2501AC39-0EA0-497C-870E-41B2E19773CC}">
      <dsp:nvSpPr>
        <dsp:cNvPr id="0" name=""/>
        <dsp:cNvSpPr/>
      </dsp:nvSpPr>
      <dsp:spPr>
        <a:xfrm rot="10800000">
          <a:off x="2622274" y="2553271"/>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699183" y="2618549"/>
        <a:ext cx="179453" cy="195835"/>
      </dsp:txXfrm>
    </dsp:sp>
    <dsp:sp modelId="{4A804A0A-A8D0-4063-BA0D-0A876655BD9B}">
      <dsp:nvSpPr>
        <dsp:cNvPr id="0" name=""/>
        <dsp:cNvSpPr/>
      </dsp:nvSpPr>
      <dsp:spPr>
        <a:xfrm>
          <a:off x="1534263" y="2232924"/>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i analize NVO </a:t>
          </a:r>
        </a:p>
      </dsp:txBody>
      <dsp:txXfrm>
        <a:off x="1675889" y="2374550"/>
        <a:ext cx="683833" cy="683833"/>
      </dsp:txXfrm>
    </dsp:sp>
    <dsp:sp modelId="{D3FCC165-0B25-4576-9C5E-14192C916F1F}">
      <dsp:nvSpPr>
        <dsp:cNvPr id="0" name=""/>
        <dsp:cNvSpPr/>
      </dsp:nvSpPr>
      <dsp:spPr>
        <a:xfrm rot="15120000">
          <a:off x="1667707" y="1870280"/>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718045" y="1972130"/>
        <a:ext cx="179453" cy="195835"/>
      </dsp:txXfrm>
    </dsp:sp>
    <dsp:sp modelId="{1EC530F5-D01C-4748-B2DB-889A45D69E4B}">
      <dsp:nvSpPr>
        <dsp:cNvPr id="0" name=""/>
        <dsp:cNvSpPr/>
      </dsp:nvSpPr>
      <dsp:spPr>
        <a:xfrm>
          <a:off x="1085945" y="853142"/>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Akademski radovi</a:t>
          </a:r>
        </a:p>
      </dsp:txBody>
      <dsp:txXfrm>
        <a:off x="1227571" y="994768"/>
        <a:ext cx="683833" cy="683833"/>
      </dsp:txXfrm>
    </dsp:sp>
    <dsp:sp modelId="{A847E75C-63BD-4593-8E51-2A79224ECC32}">
      <dsp:nvSpPr>
        <dsp:cNvPr id="0" name=""/>
        <dsp:cNvSpPr/>
      </dsp:nvSpPr>
      <dsp:spPr>
        <a:xfrm rot="19440000">
          <a:off x="2022292" y="75137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F9CF-2438-4129-96A4-4E6C9CD9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27026</Words>
  <Characters>154049</Characters>
  <Application>Microsoft Office Word</Application>
  <DocSecurity>0</DocSecurity>
  <Lines>1283</Lines>
  <Paragraphs>361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Ljubo Pavicevic</cp:lastModifiedBy>
  <cp:revision>5</cp:revision>
  <cp:lastPrinted>2025-05-08T14:43:00Z</cp:lastPrinted>
  <dcterms:created xsi:type="dcterms:W3CDTF">2025-09-16T09:44:00Z</dcterms:created>
  <dcterms:modified xsi:type="dcterms:W3CDTF">2025-09-16T12:34:00Z</dcterms:modified>
</cp:coreProperties>
</file>