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5Dark-Accent1"/>
        <w:tblW w:w="13040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3685"/>
        <w:gridCol w:w="3685"/>
      </w:tblGrid>
      <w:tr w:rsidR="00D36046" w:rsidRPr="0058184A" w14:paraId="69D1C8DF" w14:textId="77777777" w:rsidTr="00536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FBF45C3" w14:textId="77777777" w:rsidR="00D36046" w:rsidRPr="0058184A" w:rsidRDefault="00D36046" w:rsidP="006751B7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</w:pPr>
            <w:r w:rsidRPr="0058184A"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  <w:t>Koordinator projekta</w:t>
            </w:r>
          </w:p>
        </w:tc>
        <w:tc>
          <w:tcPr>
            <w:tcW w:w="2835" w:type="dxa"/>
          </w:tcPr>
          <w:p w14:paraId="07E4100D" w14:textId="77777777" w:rsidR="00D36046" w:rsidRPr="0058184A" w:rsidRDefault="00D36046" w:rsidP="006751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</w:pPr>
            <w:r w:rsidRPr="0058184A"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  <w:t>Partner</w:t>
            </w:r>
          </w:p>
        </w:tc>
        <w:tc>
          <w:tcPr>
            <w:tcW w:w="3685" w:type="dxa"/>
          </w:tcPr>
          <w:p w14:paraId="53487DC4" w14:textId="77777777" w:rsidR="00D36046" w:rsidRPr="0058184A" w:rsidRDefault="00D36046" w:rsidP="006751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</w:pPr>
            <w:r w:rsidRPr="0058184A"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  <w:t>Naziv projekta ENG</w:t>
            </w:r>
          </w:p>
        </w:tc>
        <w:tc>
          <w:tcPr>
            <w:tcW w:w="3685" w:type="dxa"/>
          </w:tcPr>
          <w:p w14:paraId="1F0DA724" w14:textId="77777777" w:rsidR="00D36046" w:rsidRPr="0058184A" w:rsidRDefault="00D36046" w:rsidP="006751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</w:pPr>
            <w:r w:rsidRPr="0058184A">
              <w:rPr>
                <w:rFonts w:ascii="Arial" w:hAnsi="Arial" w:cs="Arial"/>
                <w:b w:val="0"/>
                <w:bCs w:val="0"/>
                <w:sz w:val="20"/>
                <w:szCs w:val="20"/>
                <w:lang w:val="sr-Latn-ME"/>
              </w:rPr>
              <w:t>Naziv projekta CG</w:t>
            </w:r>
          </w:p>
        </w:tc>
      </w:tr>
      <w:tr w:rsidR="00D36046" w14:paraId="6D0AD5D2" w14:textId="77777777" w:rsidTr="00536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0140714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Asocijacija za demokratski prosperitet - ZID</w:t>
            </w:r>
          </w:p>
        </w:tc>
        <w:tc>
          <w:tcPr>
            <w:tcW w:w="2835" w:type="dxa"/>
            <w:vAlign w:val="center"/>
          </w:tcPr>
          <w:p w14:paraId="0B604B9B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Upbeat Hub</w:t>
            </w:r>
          </w:p>
        </w:tc>
        <w:tc>
          <w:tcPr>
            <w:tcW w:w="3685" w:type="dxa"/>
            <w:vAlign w:val="center"/>
          </w:tcPr>
          <w:p w14:paraId="08413BC6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  <w:t>Exploring green energy transition potential in Montenegrin transport system</w:t>
            </w:r>
          </w:p>
        </w:tc>
        <w:tc>
          <w:tcPr>
            <w:tcW w:w="3685" w:type="dxa"/>
            <w:vAlign w:val="center"/>
          </w:tcPr>
          <w:p w14:paraId="499ED2D3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Istraživanje potencijala prelaska na zelenu energiju u crnogorskom transportnom sistemu</w:t>
            </w:r>
          </w:p>
        </w:tc>
      </w:tr>
      <w:tr w:rsidR="00D36046" w14:paraId="5DD9F983" w14:textId="77777777" w:rsidTr="005361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3B9CC14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Fondacija „</w:t>
            </w: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Biznis start-up centar</w:t>
            </w: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“ Bar (BSC Bar)</w:t>
            </w:r>
          </w:p>
        </w:tc>
        <w:tc>
          <w:tcPr>
            <w:tcW w:w="2835" w:type="dxa"/>
            <w:vAlign w:val="center"/>
          </w:tcPr>
          <w:p w14:paraId="19D6FF99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Barska uljara</w:t>
            </w:r>
          </w:p>
        </w:tc>
        <w:tc>
          <w:tcPr>
            <w:tcW w:w="3685" w:type="dxa"/>
            <w:vAlign w:val="center"/>
          </w:tcPr>
          <w:p w14:paraId="68184C5F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  <w:t>High technology for sustainable autochthonous olive cultivation and innovations in traditional food value chain</w:t>
            </w:r>
          </w:p>
        </w:tc>
        <w:tc>
          <w:tcPr>
            <w:tcW w:w="3685" w:type="dxa"/>
            <w:vAlign w:val="center"/>
          </w:tcPr>
          <w:p w14:paraId="0736D6C5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Visoka tehnologija za održivo autohtono uzgajanje maslina i inovacije u tradicionalnom lancu vrijednosti hrane</w:t>
            </w:r>
          </w:p>
        </w:tc>
      </w:tr>
      <w:tr w:rsidR="00D36046" w14:paraId="5B3A5E19" w14:textId="77777777" w:rsidTr="00536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E460E67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B-One d.o.o.</w:t>
            </w:r>
          </w:p>
        </w:tc>
        <w:tc>
          <w:tcPr>
            <w:tcW w:w="2835" w:type="dxa"/>
            <w:vAlign w:val="center"/>
          </w:tcPr>
          <w:p w14:paraId="30A349E7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3685" w:type="dxa"/>
            <w:vAlign w:val="center"/>
          </w:tcPr>
          <w:p w14:paraId="0356FD83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Enabling seamless integration and secure sharing of electronic health records using blockchain technology - HEALCHAIN</w:t>
            </w:r>
          </w:p>
        </w:tc>
        <w:tc>
          <w:tcPr>
            <w:tcW w:w="3685" w:type="dxa"/>
            <w:vAlign w:val="center"/>
          </w:tcPr>
          <w:p w14:paraId="3B482EDB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 xml:space="preserve">Omogućavanje besprekorne integracije i bezbjednog dijeljenja elektronskih zdravstvenih kartona korišćenjem </w:t>
            </w:r>
            <w:r w:rsidRPr="00201E72"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  <w:t>blockchain</w:t>
            </w: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 xml:space="preserve"> tehnologije - HEALCHAIN</w:t>
            </w:r>
          </w:p>
        </w:tc>
      </w:tr>
      <w:tr w:rsidR="00D36046" w14:paraId="59AF888D" w14:textId="77777777" w:rsidTr="005361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6938DD6A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Novi Volvox d.o.o.</w:t>
            </w:r>
          </w:p>
        </w:tc>
        <w:tc>
          <w:tcPr>
            <w:tcW w:w="2835" w:type="dxa"/>
            <w:vAlign w:val="center"/>
          </w:tcPr>
          <w:p w14:paraId="459320C5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Optimus Consulting d.o.o.</w:t>
            </w:r>
          </w:p>
        </w:tc>
        <w:tc>
          <w:tcPr>
            <w:tcW w:w="3685" w:type="dxa"/>
            <w:vAlign w:val="center"/>
          </w:tcPr>
          <w:p w14:paraId="385D09AC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Artificial int</w:t>
            </w:r>
            <w:bookmarkStart w:id="0" w:name="_GoBack"/>
            <w:bookmarkEnd w:id="0"/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elligence in smart homes</w:t>
            </w:r>
          </w:p>
        </w:tc>
        <w:tc>
          <w:tcPr>
            <w:tcW w:w="3685" w:type="dxa"/>
            <w:vAlign w:val="center"/>
          </w:tcPr>
          <w:p w14:paraId="6448D8BC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Vještačka inteligencija u pametnim domovima</w:t>
            </w:r>
          </w:p>
        </w:tc>
      </w:tr>
      <w:tr w:rsidR="00D36046" w14:paraId="33C8A346" w14:textId="77777777" w:rsidTr="00536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E166469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Regionalna razvojna agencija za Bjelasicu, Komove i</w:t>
            </w: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Prokletije</w:t>
            </w:r>
          </w:p>
        </w:tc>
        <w:tc>
          <w:tcPr>
            <w:tcW w:w="2835" w:type="dxa"/>
            <w:vAlign w:val="center"/>
          </w:tcPr>
          <w:p w14:paraId="7C16EC27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Univerzitet Donja Gorica, Centar izvrsnosti za digitalizaciju procjene rizika u oblasti bezbjednosti hrane i preciznu sertifikaciju autentičnosti prehrambenih proizvoda</w:t>
            </w:r>
          </w:p>
        </w:tc>
        <w:tc>
          <w:tcPr>
            <w:tcW w:w="3685" w:type="dxa"/>
            <w:vAlign w:val="center"/>
          </w:tcPr>
          <w:p w14:paraId="166E9679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Creation of new fruit and vegetable products</w:t>
            </w:r>
          </w:p>
        </w:tc>
        <w:tc>
          <w:tcPr>
            <w:tcW w:w="3685" w:type="dxa"/>
            <w:vAlign w:val="center"/>
          </w:tcPr>
          <w:p w14:paraId="2B8F4EA4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Stvaranje novih proizvoda od voća i povrća</w:t>
            </w:r>
          </w:p>
        </w:tc>
      </w:tr>
      <w:tr w:rsidR="00D36046" w14:paraId="68175433" w14:textId="77777777" w:rsidTr="005361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32C8906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Business Universal Media</w:t>
            </w: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d.o.o.</w:t>
            </w:r>
          </w:p>
        </w:tc>
        <w:tc>
          <w:tcPr>
            <w:tcW w:w="2835" w:type="dxa"/>
            <w:vAlign w:val="center"/>
          </w:tcPr>
          <w:p w14:paraId="4E9187CA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Asocijacija menadžera Crne Gore (AMM)</w:t>
            </w:r>
          </w:p>
        </w:tc>
        <w:tc>
          <w:tcPr>
            <w:tcW w:w="3685" w:type="dxa"/>
            <w:vAlign w:val="center"/>
          </w:tcPr>
          <w:p w14:paraId="40133DB4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Oxiom FinBot – an innovative concept that unites companies and science</w:t>
            </w:r>
          </w:p>
        </w:tc>
        <w:tc>
          <w:tcPr>
            <w:tcW w:w="3685" w:type="dxa"/>
            <w:vAlign w:val="center"/>
          </w:tcPr>
          <w:p w14:paraId="3D32FCC1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Oxiom FinBot - inovativni koncept koji ujedinjuje kompanije i nauku</w:t>
            </w:r>
          </w:p>
        </w:tc>
      </w:tr>
      <w:tr w:rsidR="00D36046" w14:paraId="38E5AD94" w14:textId="77777777" w:rsidTr="00536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62060B6E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Fakultet za međunarodnu ekonomiju, finansije i biznis</w:t>
            </w: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, Univerzitet Donja Gorica</w:t>
            </w:r>
          </w:p>
        </w:tc>
        <w:tc>
          <w:tcPr>
            <w:tcW w:w="2835" w:type="dxa"/>
            <w:vAlign w:val="center"/>
          </w:tcPr>
          <w:p w14:paraId="1CF1722D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Institut Mihajlo Pupin Beograd;</w:t>
            </w:r>
          </w:p>
          <w:p w14:paraId="59E495CC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</w:p>
          <w:p w14:paraId="75B5DB72" w14:textId="3B196FD8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Katolički univerzitet Portugala</w:t>
            </w:r>
          </w:p>
        </w:tc>
        <w:tc>
          <w:tcPr>
            <w:tcW w:w="3685" w:type="dxa"/>
            <w:vAlign w:val="center"/>
          </w:tcPr>
          <w:p w14:paraId="5CB09FF8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Reinforce and connect absorption capacity in companies for new research and innovation solution, through the process of empowerment of the human resource management models and tools based on identified gap – EmpowerHR4Inno</w:t>
            </w:r>
          </w:p>
        </w:tc>
        <w:tc>
          <w:tcPr>
            <w:tcW w:w="3685" w:type="dxa"/>
            <w:vAlign w:val="center"/>
          </w:tcPr>
          <w:p w14:paraId="7EF5DB29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Jačanje i povezivanje apsorpcionih kapaciteta u kompanijama za nova istraživačka i inovativna rješenja, kroz proces osnaživanja modela i alata upravljanja ljudskim resursima na osnovu identifikovanog jaza – EmpoverHR4Inno</w:t>
            </w:r>
          </w:p>
        </w:tc>
      </w:tr>
      <w:tr w:rsidR="00D36046" w14:paraId="61862F28" w14:textId="77777777" w:rsidTr="005361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E40E001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>Univerzitet Donja Gorica</w:t>
            </w:r>
          </w:p>
        </w:tc>
        <w:tc>
          <w:tcPr>
            <w:tcW w:w="2835" w:type="dxa"/>
            <w:vAlign w:val="center"/>
          </w:tcPr>
          <w:p w14:paraId="79DE6D03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3685" w:type="dxa"/>
            <w:vAlign w:val="center"/>
          </w:tcPr>
          <w:p w14:paraId="65090672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Building scientific and innovation potential to utilize HPC and AI for Smart Specialization in Montenegro (HPC4S3ME)</w:t>
            </w:r>
          </w:p>
        </w:tc>
        <w:tc>
          <w:tcPr>
            <w:tcW w:w="3685" w:type="dxa"/>
            <w:vAlign w:val="center"/>
          </w:tcPr>
          <w:p w14:paraId="26493515" w14:textId="77777777" w:rsidR="00D36046" w:rsidRPr="00201E72" w:rsidRDefault="00D36046" w:rsidP="00D3604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Izgradnja naučnog i inovacionog potencijala za korišćenje računarstva visokih performansi i vještačku inteligenciju za pametnu specijalizaciju u Crnoj Gori (</w:t>
            </w: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HPC4S3ME)</w:t>
            </w:r>
          </w:p>
        </w:tc>
      </w:tr>
      <w:tr w:rsidR="00D36046" w14:paraId="0FD7185E" w14:textId="77777777" w:rsidTr="00536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3CC0B23" w14:textId="77777777" w:rsidR="00D36046" w:rsidRPr="00201E72" w:rsidRDefault="00D36046" w:rsidP="00D36046">
            <w:pPr>
              <w:spacing w:before="60" w:after="60"/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Regionalna razvojna agencija za Bjelasicu, Komove i</w:t>
            </w:r>
            <w:r w:rsidRPr="00201E72">
              <w:rPr>
                <w:rFonts w:ascii="Arial" w:hAnsi="Arial" w:cs="Arial"/>
                <w:bCs w:val="0"/>
                <w:sz w:val="20"/>
                <w:szCs w:val="20"/>
                <w:lang w:val="sr-Latn-ME"/>
              </w:rPr>
              <w:t xml:space="preserve"> Prokletije</w:t>
            </w:r>
          </w:p>
        </w:tc>
        <w:tc>
          <w:tcPr>
            <w:tcW w:w="2835" w:type="dxa"/>
            <w:vAlign w:val="center"/>
          </w:tcPr>
          <w:p w14:paraId="75D43659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sz w:val="20"/>
                <w:szCs w:val="20"/>
                <w:lang w:val="sr-Latn-ME"/>
              </w:rPr>
              <w:t>Naučni Institut „Panarchy 11 - Research for Resilience“</w:t>
            </w:r>
          </w:p>
        </w:tc>
        <w:tc>
          <w:tcPr>
            <w:tcW w:w="3685" w:type="dxa"/>
            <w:vAlign w:val="center"/>
          </w:tcPr>
          <w:p w14:paraId="6935DF41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</w:pPr>
            <w:r w:rsidRPr="00201E72"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ME"/>
              </w:rPr>
              <w:t>Innovation and research for off-grid settlements</w:t>
            </w:r>
          </w:p>
        </w:tc>
        <w:tc>
          <w:tcPr>
            <w:tcW w:w="3685" w:type="dxa"/>
            <w:vAlign w:val="center"/>
          </w:tcPr>
          <w:p w14:paraId="52C2A23E" w14:textId="77777777" w:rsidR="00D36046" w:rsidRPr="00201E72" w:rsidRDefault="00D36046" w:rsidP="00D3604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 xml:space="preserve">Inovacije i istraživanja za </w:t>
            </w:r>
            <w:r w:rsidRPr="00201E72">
              <w:rPr>
                <w:rFonts w:ascii="Arial" w:hAnsi="Arial" w:cs="Arial"/>
                <w:i/>
                <w:iCs/>
                <w:sz w:val="20"/>
                <w:szCs w:val="20"/>
                <w:lang w:val="sr-Latn-ME"/>
              </w:rPr>
              <w:t xml:space="preserve">off-grid </w:t>
            </w:r>
            <w:r w:rsidRPr="00201E72">
              <w:rPr>
                <w:rFonts w:ascii="Arial" w:hAnsi="Arial" w:cs="Arial"/>
                <w:sz w:val="20"/>
                <w:szCs w:val="20"/>
                <w:lang w:val="sr-Latn-ME"/>
              </w:rPr>
              <w:t>naselja</w:t>
            </w:r>
          </w:p>
        </w:tc>
      </w:tr>
    </w:tbl>
    <w:p w14:paraId="49CE7A95" w14:textId="77777777" w:rsidR="004C5821" w:rsidRDefault="004C5821"/>
    <w:sectPr w:rsidR="004C5821" w:rsidSect="00D3604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46"/>
    <w:rsid w:val="00201E72"/>
    <w:rsid w:val="004C5821"/>
    <w:rsid w:val="005361BE"/>
    <w:rsid w:val="00D05B8F"/>
    <w:rsid w:val="00D36046"/>
    <w:rsid w:val="00DA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00AEB"/>
  <w15:chartTrackingRefBased/>
  <w15:docId w15:val="{30CF3B22-DB58-4822-9D8C-DADECDB5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046"/>
    <w:pPr>
      <w:spacing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3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6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0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046"/>
    <w:rPr>
      <w:sz w:val="20"/>
      <w:szCs w:val="20"/>
    </w:rPr>
  </w:style>
  <w:style w:type="table" w:styleId="GridTable7Colorful-Accent1">
    <w:name w:val="Grid Table 7 Colorful Accent 1"/>
    <w:basedOn w:val="TableNormal"/>
    <w:uiPriority w:val="52"/>
    <w:rsid w:val="00D3604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D360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D3604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1">
    <w:name w:val="Grid Table 2 Accent 1"/>
    <w:basedOn w:val="TableNormal"/>
    <w:uiPriority w:val="47"/>
    <w:rsid w:val="00D3604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D360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D360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Vukčević</dc:creator>
  <cp:keywords/>
  <dc:description/>
  <cp:lastModifiedBy>IVANA-PC</cp:lastModifiedBy>
  <cp:revision>3</cp:revision>
  <dcterms:created xsi:type="dcterms:W3CDTF">2022-12-27T07:49:00Z</dcterms:created>
  <dcterms:modified xsi:type="dcterms:W3CDTF">2022-12-27T08:03:00Z</dcterms:modified>
</cp:coreProperties>
</file>