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85D" w:rsidRPr="00C024E9" w:rsidRDefault="009B252D">
      <w:pPr>
        <w:rPr>
          <w:b/>
          <w:sz w:val="48"/>
          <w:szCs w:val="48"/>
        </w:rPr>
      </w:pPr>
      <w:bookmarkStart w:id="0" w:name="_GoBack"/>
      <w:bookmarkEnd w:id="0"/>
      <w:r>
        <w:rPr>
          <w:noProof/>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42545</wp:posOffset>
                </wp:positionV>
                <wp:extent cx="2999104" cy="1059814"/>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4" cy="1059814"/>
                        </a:xfrm>
                        <a:prstGeom prst="rect">
                          <a:avLst/>
                        </a:prstGeom>
                        <a:solidFill>
                          <a:srgbClr val="FFFFFF"/>
                        </a:solidFill>
                        <a:ln w="9525">
                          <a:noFill/>
                          <a:miter lim="800000"/>
                          <a:headEnd/>
                          <a:tailEnd/>
                        </a:ln>
                      </wps:spPr>
                      <wps:txbx>
                        <w:txbxContent>
                          <w:p w:rsidR="006A02EE" w:rsidRDefault="006A02EE" w:rsidP="005D7E95">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 </w:t>
                            </w:r>
                          </w:p>
                          <w:p w:rsidR="006A02EE" w:rsidRDefault="006A02EE" w:rsidP="005D7E95">
                            <w:pPr>
                              <w:jc w:val="right"/>
                              <w:rPr>
                                <w:sz w:val="20"/>
                              </w:rPr>
                            </w:pPr>
                            <w:r>
                              <w:rPr>
                                <w:sz w:val="20"/>
                              </w:rPr>
                              <w:t xml:space="preserve">81000 Podgorica, </w:t>
                            </w:r>
                            <w:proofErr w:type="spellStart"/>
                            <w:r>
                              <w:rPr>
                                <w:sz w:val="20"/>
                              </w:rPr>
                              <w:t>Crna</w:t>
                            </w:r>
                            <w:proofErr w:type="spellEnd"/>
                            <w:r>
                              <w:rPr>
                                <w:sz w:val="20"/>
                              </w:rPr>
                              <w:t xml:space="preserve"> Gora</w:t>
                            </w:r>
                          </w:p>
                          <w:p w:rsidR="006A02EE" w:rsidRDefault="006A02EE" w:rsidP="005D7E95">
                            <w:pPr>
                              <w:jc w:val="right"/>
                              <w:rPr>
                                <w:sz w:val="20"/>
                              </w:rPr>
                            </w:pPr>
                            <w:proofErr w:type="spellStart"/>
                            <w:r>
                              <w:rPr>
                                <w:sz w:val="20"/>
                              </w:rPr>
                              <w:t>tel</w:t>
                            </w:r>
                            <w:proofErr w:type="spellEnd"/>
                            <w:r>
                              <w:rPr>
                                <w:sz w:val="20"/>
                              </w:rPr>
                              <w:t>: +382 20 446 200</w:t>
                            </w:r>
                          </w:p>
                          <w:p w:rsidR="006A02EE" w:rsidRDefault="006A02EE" w:rsidP="005D7E95">
                            <w:pPr>
                              <w:jc w:val="right"/>
                              <w:rPr>
                                <w:sz w:val="20"/>
                              </w:rPr>
                            </w:pPr>
                            <w:r>
                              <w:rPr>
                                <w:sz w:val="20"/>
                              </w:rPr>
                              <w:t>+382 20 446 339</w:t>
                            </w:r>
                          </w:p>
                          <w:p w:rsidR="006A02EE" w:rsidRDefault="006A02EE" w:rsidP="005D7E95">
                            <w:pPr>
                              <w:jc w:val="right"/>
                              <w:rPr>
                                <w:sz w:val="20"/>
                              </w:rPr>
                            </w:pPr>
                            <w:r>
                              <w:rPr>
                                <w:sz w:val="20"/>
                              </w:rPr>
                              <w:t>fax: +382 20 446 215</w:t>
                            </w:r>
                          </w:p>
                          <w:p w:rsidR="006A02EE" w:rsidRDefault="006A02EE" w:rsidP="005D7E95">
                            <w:pPr>
                              <w:jc w:val="right"/>
                              <w:rPr>
                                <w:color w:val="0070C0"/>
                                <w:sz w:val="20"/>
                              </w:rPr>
                            </w:pPr>
                            <w:r>
                              <w:rPr>
                                <w:color w:val="0070C0"/>
                                <w:sz w:val="20"/>
                              </w:rPr>
                              <w:t>www.m</w:t>
                            </w:r>
                            <w:r w:rsidR="005D7E95">
                              <w:rPr>
                                <w:color w:val="0070C0"/>
                                <w:sz w:val="20"/>
                              </w:rPr>
                              <w:t>dup</w:t>
                            </w:r>
                            <w:r>
                              <w:rPr>
                                <w:color w:val="0070C0"/>
                                <w:sz w:val="20"/>
                              </w:rPr>
                              <w:t>.gov.me</w:t>
                            </w:r>
                          </w:p>
                          <w:p w:rsidR="006A02EE" w:rsidRDefault="006A02EE" w:rsidP="00063D4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4.95pt;margin-top:3.35pt;width:236.15pt;height:83.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" stroked="f">
                <v:textbox>
                  <w:txbxContent>
                    <w:p w:rsidR="006A02EE" w:rsidRDefault="006A02EE" w:rsidP="005D7E95">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 </w:t>
                      </w:r>
                    </w:p>
                    <w:p w:rsidR="006A02EE" w:rsidRDefault="006A02EE" w:rsidP="005D7E95">
                      <w:pPr>
                        <w:jc w:val="right"/>
                        <w:rPr>
                          <w:sz w:val="20"/>
                        </w:rPr>
                      </w:pPr>
                      <w:r>
                        <w:rPr>
                          <w:sz w:val="20"/>
                        </w:rPr>
                        <w:t xml:space="preserve">81000 Podgorica, </w:t>
                      </w:r>
                      <w:proofErr w:type="spellStart"/>
                      <w:r>
                        <w:rPr>
                          <w:sz w:val="20"/>
                        </w:rPr>
                        <w:t>Crna</w:t>
                      </w:r>
                      <w:proofErr w:type="spellEnd"/>
                      <w:r>
                        <w:rPr>
                          <w:sz w:val="20"/>
                        </w:rPr>
                        <w:t xml:space="preserve"> Gora</w:t>
                      </w:r>
                    </w:p>
                    <w:p w:rsidR="006A02EE" w:rsidRDefault="006A02EE" w:rsidP="005D7E95">
                      <w:pPr>
                        <w:jc w:val="right"/>
                        <w:rPr>
                          <w:sz w:val="20"/>
                        </w:rPr>
                      </w:pPr>
                      <w:proofErr w:type="spellStart"/>
                      <w:r>
                        <w:rPr>
                          <w:sz w:val="20"/>
                        </w:rPr>
                        <w:t>tel</w:t>
                      </w:r>
                      <w:proofErr w:type="spellEnd"/>
                      <w:r>
                        <w:rPr>
                          <w:sz w:val="20"/>
                        </w:rPr>
                        <w:t>: +382 20 446 200</w:t>
                      </w:r>
                    </w:p>
                    <w:p w:rsidR="006A02EE" w:rsidRDefault="006A02EE" w:rsidP="005D7E95">
                      <w:pPr>
                        <w:jc w:val="right"/>
                        <w:rPr>
                          <w:sz w:val="20"/>
                        </w:rPr>
                      </w:pPr>
                      <w:r>
                        <w:rPr>
                          <w:sz w:val="20"/>
                        </w:rPr>
                        <w:t>+382 20 446 339</w:t>
                      </w:r>
                    </w:p>
                    <w:p w:rsidR="006A02EE" w:rsidRDefault="006A02EE" w:rsidP="005D7E95">
                      <w:pPr>
                        <w:jc w:val="right"/>
                        <w:rPr>
                          <w:sz w:val="20"/>
                        </w:rPr>
                      </w:pPr>
                      <w:r>
                        <w:rPr>
                          <w:sz w:val="20"/>
                        </w:rPr>
                        <w:t>fax: +382 20 446 215</w:t>
                      </w:r>
                    </w:p>
                    <w:p w:rsidR="006A02EE" w:rsidRDefault="006A02EE" w:rsidP="005D7E95">
                      <w:pPr>
                        <w:jc w:val="right"/>
                        <w:rPr>
                          <w:color w:val="0070C0"/>
                          <w:sz w:val="20"/>
                        </w:rPr>
                      </w:pPr>
                      <w:r>
                        <w:rPr>
                          <w:color w:val="0070C0"/>
                          <w:sz w:val="20"/>
                        </w:rPr>
                        <w:t>www.m</w:t>
                      </w:r>
                      <w:r w:rsidR="005D7E95">
                        <w:rPr>
                          <w:color w:val="0070C0"/>
                          <w:sz w:val="20"/>
                        </w:rPr>
                        <w:t>dup</w:t>
                      </w:r>
                      <w:r>
                        <w:rPr>
                          <w:color w:val="0070C0"/>
                          <w:sz w:val="20"/>
                        </w:rPr>
                        <w:t>.gov.me</w:t>
                      </w:r>
                    </w:p>
                    <w:p w:rsidR="006A02EE" w:rsidRDefault="006A02EE" w:rsidP="00063D42">
                      <w:pPr>
                        <w:rPr>
                          <w:sz w:val="20"/>
                        </w:rPr>
                      </w:pPr>
                    </w:p>
                  </w:txbxContent>
                </v:textbox>
                <w10:wrap anchorx="margin"/>
              </v:shape>
            </w:pict>
          </mc:Fallback>
        </mc:AlternateContent>
      </w:r>
    </w:p>
    <w:p w:rsidR="00063D42" w:rsidRDefault="00063D42" w:rsidP="005D7E95">
      <w:pPr>
        <w:ind w:left="1134"/>
        <w:rPr>
          <w:rFonts w:eastAsiaTheme="majorEastAsia" w:cstheme="majorBidi"/>
          <w:noProof/>
          <w:spacing w:val="-10"/>
          <w:kern w:val="28"/>
          <w:sz w:val="24"/>
          <w:szCs w:val="24"/>
        </w:rPr>
      </w:pPr>
      <w:r>
        <w:rPr>
          <w:noProof/>
        </w:rPr>
        <w:drawing>
          <wp:anchor distT="0" distB="0" distL="114300" distR="114300" simplePos="0" relativeHeight="251665408" behindDoc="1" locked="0" layoutInCell="1" allowOverlap="1">
            <wp:simplePos x="0" y="0"/>
            <wp:positionH relativeFrom="column">
              <wp:posOffset>-19050</wp:posOffset>
            </wp:positionH>
            <wp:positionV relativeFrom="paragraph">
              <wp:posOffset>81280</wp:posOffset>
            </wp:positionV>
            <wp:extent cx="542290"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216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622300</wp:posOffset>
                </wp:positionH>
                <wp:positionV relativeFrom="paragraph">
                  <wp:posOffset>52705</wp:posOffset>
                </wp:positionV>
                <wp:extent cx="0" cy="635000"/>
                <wp:effectExtent l="0" t="0" r="38100" b="31750"/>
                <wp:wrapNone/>
                <wp:docPr id="5" name="Straight Connector 5"/>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C1E13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im4DJMcBAAB0AwAADgAAAAAAAAAAAAAAAAAu&#10;AgAAZHJzL2Uyb0RvYy54bWxQSwECLQAUAAYACAAAACEAIB7+tNcAAAAHAQAADwAAAAAAAAAAAAAA&#10;AAAhBAAAZHJzL2Rvd25yZXYueG1sUEsFBgAAAAAEAAQA8wAAACUFAAAAAA==&#10;" strokecolor="#d5b03d" strokeweight="1.5pt">
                <v:stroke joinstyle="miter"/>
              </v:line>
            </w:pict>
          </mc:Fallback>
        </mc:AlternateContent>
      </w:r>
      <w:r>
        <w:rPr>
          <w:rFonts w:eastAsia="Times New Roman" w:cs="Times New Roman"/>
          <w:noProof/>
          <w:spacing w:val="-10"/>
          <w:kern w:val="28"/>
          <w:sz w:val="24"/>
          <w:szCs w:val="24"/>
        </w:rPr>
        <w:t>Crna Gora</w:t>
      </w:r>
    </w:p>
    <w:p w:rsidR="00063D42" w:rsidRDefault="00063D42" w:rsidP="005D7E95">
      <w:pPr>
        <w:ind w:left="1134"/>
        <w:rPr>
          <w:rFonts w:eastAsia="Times New Roman" w:cs="Times New Roman"/>
          <w:noProof/>
          <w:spacing w:val="-10"/>
          <w:kern w:val="28"/>
          <w:sz w:val="24"/>
          <w:szCs w:val="24"/>
        </w:rPr>
      </w:pPr>
      <w:r>
        <w:rPr>
          <w:rFonts w:eastAsia="Times New Roman" w:cs="Times New Roman"/>
          <w:noProof/>
          <w:spacing w:val="-10"/>
          <w:kern w:val="28"/>
          <w:sz w:val="24"/>
          <w:szCs w:val="24"/>
        </w:rPr>
        <w:t xml:space="preserve">Ministarstvo </w:t>
      </w:r>
      <w:r w:rsidR="005D7E95">
        <w:rPr>
          <w:rFonts w:eastAsia="Times New Roman" w:cs="Times New Roman"/>
          <w:noProof/>
          <w:spacing w:val="-10"/>
          <w:kern w:val="28"/>
          <w:sz w:val="24"/>
          <w:szCs w:val="24"/>
        </w:rPr>
        <w:t>urbanizma</w:t>
      </w:r>
      <w:r>
        <w:rPr>
          <w:rFonts w:eastAsia="Times New Roman" w:cs="Times New Roman"/>
          <w:noProof/>
          <w:spacing w:val="-10"/>
          <w:kern w:val="28"/>
          <w:sz w:val="24"/>
          <w:szCs w:val="24"/>
        </w:rPr>
        <w:t xml:space="preserve">, </w:t>
      </w:r>
    </w:p>
    <w:p w:rsidR="00063D42" w:rsidRDefault="00063D42" w:rsidP="005D7E95">
      <w:pPr>
        <w:ind w:left="1134"/>
        <w:rPr>
          <w:rFonts w:eastAsia="Times New Roman" w:cs="Times New Roman"/>
          <w:noProof/>
          <w:spacing w:val="-10"/>
          <w:kern w:val="28"/>
          <w:sz w:val="24"/>
          <w:szCs w:val="24"/>
        </w:rPr>
      </w:pPr>
      <w:r>
        <w:rPr>
          <w:rFonts w:eastAsia="Times New Roman" w:cs="Times New Roman"/>
          <w:noProof/>
          <w:spacing w:val="-10"/>
          <w:kern w:val="28"/>
          <w:sz w:val="24"/>
          <w:szCs w:val="24"/>
        </w:rPr>
        <w:t>prostornog planiranja</w:t>
      </w:r>
      <w:r w:rsidR="005D7E95">
        <w:rPr>
          <w:rFonts w:eastAsia="Times New Roman" w:cs="Times New Roman"/>
          <w:noProof/>
          <w:spacing w:val="-10"/>
          <w:kern w:val="28"/>
          <w:sz w:val="24"/>
          <w:szCs w:val="24"/>
        </w:rPr>
        <w:t xml:space="preserve"> i državne imovine</w:t>
      </w:r>
    </w:p>
    <w:p w:rsidR="00063D42" w:rsidRDefault="00063D42" w:rsidP="00063D42">
      <w:pPr>
        <w:spacing w:after="160" w:line="256" w:lineRule="auto"/>
      </w:pPr>
    </w:p>
    <w:p w:rsidR="00063D42" w:rsidRDefault="00063D42" w:rsidP="005842C9">
      <w:pPr>
        <w:jc w:val="both"/>
        <w:rPr>
          <w:rFonts w:cs="Arial"/>
          <w:sz w:val="24"/>
          <w:szCs w:val="24"/>
          <w:lang w:val="sr-Latn-ME"/>
        </w:rPr>
      </w:pPr>
    </w:p>
    <w:p w:rsidR="00063D42" w:rsidRDefault="00063D42" w:rsidP="005842C9">
      <w:pPr>
        <w:jc w:val="both"/>
        <w:rPr>
          <w:rFonts w:eastAsia="Calibri" w:cstheme="minorHAnsi"/>
          <w:sz w:val="24"/>
          <w:szCs w:val="24"/>
          <w:lang w:val="sl-SI"/>
        </w:rPr>
      </w:pPr>
      <w:r w:rsidRPr="006E7D07">
        <w:rPr>
          <w:rFonts w:eastAsia="Calibri" w:cs="Calibri"/>
          <w:sz w:val="24"/>
          <w:szCs w:val="24"/>
          <w:lang w:val="sl-SI"/>
        </w:rPr>
        <w:t xml:space="preserve">Broj: </w:t>
      </w:r>
      <w:r w:rsidR="006E7D07" w:rsidRPr="006E7D07">
        <w:rPr>
          <w:rFonts w:eastAsia="Calibri" w:cs="Calibri"/>
          <w:sz w:val="24"/>
          <w:szCs w:val="24"/>
          <w:lang w:val="sl-SI"/>
        </w:rPr>
        <w:t>01</w:t>
      </w:r>
      <w:r w:rsidR="006E7D07">
        <w:rPr>
          <w:rFonts w:eastAsia="Calibri" w:cs="Calibri"/>
          <w:sz w:val="24"/>
          <w:szCs w:val="24"/>
          <w:lang w:val="sl-SI"/>
        </w:rPr>
        <w:t>—056/24-4518/2</w:t>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sidRPr="005842C9">
        <w:rPr>
          <w:rFonts w:eastAsia="Calibri" w:cs="Calibri"/>
          <w:sz w:val="24"/>
          <w:szCs w:val="24"/>
          <w:lang w:val="sl-SI"/>
        </w:rPr>
        <w:t xml:space="preserve">                                                        </w:t>
      </w:r>
      <w:r w:rsidRPr="005842C9">
        <w:rPr>
          <w:rFonts w:eastAsia="Calibri" w:cstheme="minorHAnsi"/>
          <w:sz w:val="24"/>
          <w:szCs w:val="24"/>
          <w:lang w:val="sl-SI"/>
        </w:rPr>
        <w:tab/>
      </w:r>
      <w:r w:rsidRPr="005842C9">
        <w:rPr>
          <w:rFonts w:eastAsia="Calibri" w:cstheme="minorHAnsi"/>
          <w:sz w:val="24"/>
          <w:szCs w:val="24"/>
          <w:lang w:val="sl-SI"/>
        </w:rPr>
        <w:tab/>
      </w:r>
      <w:r w:rsidR="005D7E95">
        <w:rPr>
          <w:rFonts w:eastAsia="Calibri" w:cstheme="minorHAnsi"/>
          <w:sz w:val="24"/>
          <w:szCs w:val="24"/>
          <w:lang w:val="sl-SI"/>
        </w:rPr>
        <w:t>30</w:t>
      </w:r>
      <w:r w:rsidRPr="005842C9">
        <w:rPr>
          <w:rFonts w:eastAsia="Calibri" w:cstheme="minorHAnsi"/>
          <w:sz w:val="24"/>
          <w:szCs w:val="24"/>
          <w:lang w:val="sl-SI"/>
        </w:rPr>
        <w:t>.</w:t>
      </w:r>
      <w:r w:rsidR="005842C9" w:rsidRPr="005842C9">
        <w:rPr>
          <w:rFonts w:eastAsia="Calibri" w:cstheme="minorHAnsi"/>
          <w:sz w:val="24"/>
          <w:szCs w:val="24"/>
          <w:lang w:val="sl-SI"/>
        </w:rPr>
        <w:t xml:space="preserve">  april</w:t>
      </w:r>
      <w:r w:rsidRPr="005842C9">
        <w:rPr>
          <w:rFonts w:eastAsia="Calibri" w:cstheme="minorHAnsi"/>
          <w:sz w:val="24"/>
          <w:szCs w:val="24"/>
          <w:lang w:val="sl-SI"/>
        </w:rPr>
        <w:t xml:space="preserve">  202</w:t>
      </w:r>
      <w:r w:rsidR="00243503">
        <w:rPr>
          <w:rFonts w:eastAsia="Calibri" w:cstheme="minorHAnsi"/>
          <w:sz w:val="24"/>
          <w:szCs w:val="24"/>
          <w:lang w:val="sl-SI"/>
        </w:rPr>
        <w:t>4</w:t>
      </w:r>
      <w:r w:rsidRPr="005842C9">
        <w:rPr>
          <w:rFonts w:eastAsia="Calibri" w:cstheme="minorHAnsi"/>
          <w:sz w:val="24"/>
          <w:szCs w:val="24"/>
          <w:lang w:val="sl-SI"/>
        </w:rPr>
        <w:t>. godine</w:t>
      </w:r>
    </w:p>
    <w:p w:rsidR="00063D42" w:rsidRDefault="00063D42" w:rsidP="00063D42">
      <w:pPr>
        <w:spacing w:after="200"/>
        <w:rPr>
          <w:rFonts w:eastAsia="MS Mincho" w:cstheme="minorHAnsi"/>
          <w:sz w:val="24"/>
          <w:szCs w:val="24"/>
          <w:lang w:val="sr-Latn-ME" w:eastAsia="ja-JP"/>
        </w:rPr>
      </w:pPr>
      <w:r>
        <w:rPr>
          <w:rFonts w:eastAsia="MS Mincho" w:cstheme="minorHAnsi"/>
          <w:sz w:val="24"/>
          <w:szCs w:val="24"/>
          <w:lang w:val="sr-Latn-ME" w:eastAsia="ja-JP"/>
        </w:rPr>
        <w:t xml:space="preserve">    </w:t>
      </w:r>
    </w:p>
    <w:p w:rsidR="00063D42" w:rsidRDefault="00063D42" w:rsidP="00063D42">
      <w:pPr>
        <w:spacing w:after="200"/>
        <w:jc w:val="center"/>
        <w:rPr>
          <w:rFonts w:eastAsia="MS Mincho" w:cs="Calibri"/>
          <w:b/>
          <w:sz w:val="24"/>
          <w:szCs w:val="24"/>
          <w:lang w:val="sr-Latn-ME" w:eastAsia="ja-JP"/>
        </w:rPr>
      </w:pPr>
      <w:r>
        <w:rPr>
          <w:rFonts w:eastAsia="MS Mincho" w:cs="Calibri"/>
          <w:b/>
          <w:sz w:val="24"/>
          <w:szCs w:val="24"/>
          <w:lang w:val="sr-Latn-ME" w:eastAsia="ja-JP"/>
        </w:rPr>
        <w:t>S E K T O R S K A   A N A L I Z A</w:t>
      </w:r>
      <w:r>
        <w:rPr>
          <w:rFonts w:eastAsia="MS Mincho" w:cs="Calibri"/>
          <w:b/>
          <w:sz w:val="24"/>
          <w:szCs w:val="24"/>
          <w:lang w:val="sr-Latn-ME" w:eastAsia="ja-JP"/>
        </w:rPr>
        <w:br/>
        <w:t xml:space="preserve">za utvrđivanje predloga prioritetnih oblasti od javnog interesa i potrebnih sredstava </w:t>
      </w:r>
      <w:r>
        <w:rPr>
          <w:rFonts w:eastAsia="MS Mincho" w:cs="Calibri"/>
          <w:b/>
          <w:sz w:val="24"/>
          <w:szCs w:val="24"/>
          <w:lang w:val="sr-Latn-ME" w:eastAsia="ja-JP"/>
        </w:rPr>
        <w:br/>
        <w:t>za finansiranje projekata i programa nevladinih organizacija</w:t>
      </w:r>
      <w:r>
        <w:rPr>
          <w:rFonts w:eastAsia="MS Mincho" w:cs="Calibri"/>
          <w:b/>
          <w:sz w:val="24"/>
          <w:szCs w:val="24"/>
          <w:lang w:val="sr-Latn-ME" w:eastAsia="ja-JP"/>
        </w:rPr>
        <w:br/>
        <w:t>iz Budžeta Crne Gore u 202</w:t>
      </w:r>
      <w:r w:rsidR="00243503">
        <w:rPr>
          <w:rFonts w:eastAsia="MS Mincho" w:cs="Calibri"/>
          <w:b/>
          <w:sz w:val="24"/>
          <w:szCs w:val="24"/>
          <w:lang w:val="sr-Latn-ME" w:eastAsia="ja-JP"/>
        </w:rPr>
        <w:t>5</w:t>
      </w:r>
      <w:r>
        <w:rPr>
          <w:rFonts w:eastAsia="MS Mincho" w:cs="Calibri"/>
          <w:b/>
          <w:sz w:val="24"/>
          <w:szCs w:val="24"/>
          <w:lang w:val="sr-Latn-ME" w:eastAsia="ja-JP"/>
        </w:rPr>
        <w:t>. godini</w:t>
      </w:r>
    </w:p>
    <w:tbl>
      <w:tblPr>
        <w:tblStyle w:val="TableGrid"/>
        <w:tblW w:w="0" w:type="auto"/>
        <w:jc w:val="center"/>
        <w:tblLook w:val="04A0" w:firstRow="1" w:lastRow="0" w:firstColumn="1" w:lastColumn="0" w:noHBand="0" w:noVBand="1"/>
      </w:tblPr>
      <w:tblGrid>
        <w:gridCol w:w="13490"/>
      </w:tblGrid>
      <w:tr w:rsidR="00063D42" w:rsidTr="00063D42">
        <w:trPr>
          <w:jc w:val="center"/>
        </w:trPr>
        <w:tc>
          <w:tcPr>
            <w:tcW w:w="15394" w:type="dxa"/>
            <w:tcBorders>
              <w:top w:val="single" w:sz="4" w:space="0" w:color="auto"/>
              <w:left w:val="single" w:sz="4" w:space="0" w:color="auto"/>
              <w:bottom w:val="single" w:sz="18" w:space="0" w:color="auto"/>
              <w:right w:val="single" w:sz="4" w:space="0" w:color="auto"/>
            </w:tcBorders>
            <w:tcMar>
              <w:top w:w="57" w:type="dxa"/>
              <w:left w:w="108" w:type="dxa"/>
              <w:bottom w:w="57" w:type="dxa"/>
              <w:right w:w="108" w:type="dxa"/>
            </w:tcMar>
            <w:hideMark/>
          </w:tcPr>
          <w:p w:rsidR="00063D42" w:rsidRDefault="00063D42">
            <w:pPr>
              <w:jc w:val="both"/>
              <w:rPr>
                <w:rFonts w:asciiTheme="minorHAnsi" w:hAnsiTheme="minorHAnsi" w:cs="Calibri"/>
                <w:i/>
                <w:sz w:val="24"/>
                <w:szCs w:val="24"/>
                <w:lang w:val="sr-Latn-ME" w:eastAsia="ja-JP"/>
              </w:rPr>
            </w:pPr>
            <w:r>
              <w:rPr>
                <w:rFonts w:asciiTheme="minorHAnsi" w:hAnsiTheme="minorHAnsi" w:cs="Calibri"/>
                <w:i/>
                <w:sz w:val="24"/>
                <w:szCs w:val="24"/>
                <w:lang w:val="sr-Latn-ME" w:eastAsia="ja-JP"/>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063D42" w:rsidRDefault="00063D42" w:rsidP="00063D42">
      <w:pPr>
        <w:spacing w:after="200"/>
        <w:rPr>
          <w:rFonts w:eastAsia="MS Mincho" w:cs="Times New Roman"/>
          <w:sz w:val="24"/>
          <w:szCs w:val="24"/>
          <w:lang w:val="sr-Latn-ME" w:eastAsia="ja-JP"/>
        </w:rPr>
      </w:pPr>
    </w:p>
    <w:p w:rsidR="00063D42" w:rsidRDefault="00063D42" w:rsidP="00063D42">
      <w:pPr>
        <w:numPr>
          <w:ilvl w:val="0"/>
          <w:numId w:val="13"/>
        </w:numPr>
        <w:spacing w:after="200" w:line="256" w:lineRule="auto"/>
        <w:contextualSpacing/>
        <w:rPr>
          <w:rFonts w:eastAsia="MS Mincho" w:cs="Calibri"/>
          <w:b/>
          <w:sz w:val="24"/>
          <w:szCs w:val="24"/>
          <w:u w:val="single"/>
          <w:lang w:val="sr-Latn-ME" w:eastAsia="ja-JP"/>
        </w:rPr>
      </w:pPr>
      <w:r>
        <w:rPr>
          <w:rFonts w:eastAsia="MS Mincho" w:cs="Calibri"/>
          <w:b/>
          <w:sz w:val="24"/>
          <w:szCs w:val="24"/>
          <w:u w:val="single"/>
          <w:lang w:val="sr-Latn-ME" w:eastAsia="ja-JP"/>
        </w:rPr>
        <w:t>OBLASTI OD JAVNOG INTERESA U KOJIMA SE PLANIRA FINANSIJSKA PODRŠKA ZA PROJEKTE I PROGRAME NVO</w:t>
      </w:r>
    </w:p>
    <w:p w:rsidR="00063D42" w:rsidRDefault="00063D42" w:rsidP="00063D42">
      <w:pPr>
        <w:numPr>
          <w:ilvl w:val="1"/>
          <w:numId w:val="13"/>
        </w:numPr>
        <w:spacing w:after="200" w:line="256" w:lineRule="auto"/>
        <w:contextualSpacing/>
        <w:rPr>
          <w:rFonts w:eastAsia="MS Mincho" w:cs="Times New Roman"/>
          <w:sz w:val="24"/>
          <w:szCs w:val="24"/>
          <w:lang w:val="sr-Latn-ME" w:eastAsia="ja-JP"/>
        </w:rPr>
      </w:pPr>
      <w:r>
        <w:rPr>
          <w:rFonts w:eastAsia="MS Mincho" w:cs="Calibri"/>
          <w:sz w:val="24"/>
          <w:szCs w:val="24"/>
          <w:lang w:val="sr-Latn-ME" w:eastAsia="ja-JP"/>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63D42" w:rsidTr="00063D42">
        <w:trPr>
          <w:cantSplit/>
        </w:trPr>
        <w:tc>
          <w:tcPr>
            <w:tcW w:w="496" w:type="dxa"/>
            <w:tcBorders>
              <w:top w:val="single" w:sz="18"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socijalna i zdravstvena zaštita</w:t>
            </w:r>
          </w:p>
        </w:tc>
        <w:tc>
          <w:tcPr>
            <w:tcW w:w="568" w:type="dxa"/>
            <w:tcBorders>
              <w:top w:val="single" w:sz="18"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razvoj civilnog društva i volonterizma</w:t>
            </w:r>
          </w:p>
        </w:tc>
        <w:tc>
          <w:tcPr>
            <w:tcW w:w="568" w:type="dxa"/>
            <w:tcBorders>
              <w:top w:val="single" w:sz="18"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zaštita životne sredine</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smanjenje siromaštva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evroatlantske i evropske integracije Crne Gore</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poljoprivreda i ruralni razvoj</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b/>
                <w:sz w:val="16"/>
                <w:szCs w:val="16"/>
                <w:lang w:val="sr-Latn-ME" w:eastAsia="ja-JP"/>
              </w:rPr>
            </w:pPr>
            <w:r>
              <w:rPr>
                <w:rFonts w:eastAsia="MS Mincho" w:cs="Arial"/>
                <w:b/>
                <w:sz w:val="16"/>
                <w:szCs w:val="16"/>
                <w:lang w:val="sr-Latn-ME" w:eastAsia="ja-JP"/>
              </w:rPr>
              <w:sym w:font="Times New Roman" w:char="F06F"/>
            </w:r>
            <w:r>
              <w:rPr>
                <w:rFonts w:eastAsia="MS Mincho" w:cs="Arial"/>
                <w:b/>
                <w:sz w:val="16"/>
                <w:szCs w:val="16"/>
                <w:lang w:val="sr-Latn-ME" w:eastAsia="ja-JP"/>
              </w:rPr>
              <w:sym w:font="Times New Roman" w:char="F078"/>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b/>
                <w:sz w:val="16"/>
                <w:szCs w:val="16"/>
                <w:lang w:val="sr-Latn-ME" w:eastAsia="ja-JP"/>
              </w:rPr>
            </w:pPr>
            <w:r>
              <w:rPr>
                <w:rFonts w:eastAsia="MS Mincho" w:cs="Arial"/>
                <w:b/>
                <w:sz w:val="16"/>
                <w:szCs w:val="16"/>
                <w:lang w:val="sr-Latn-ME" w:eastAsia="ja-JP"/>
              </w:rPr>
              <w:t>zaštita lica sa invaliditetom</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institucionalno i vaninstitucionalno obrazovanje</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održivi razvoj</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društvena briga o djeci i mladima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nauka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zaštita potrošača</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lastRenderedPageBreak/>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pomoć starijim licima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umjetnost</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rodna ravnopravnost</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zaštita i promovisanje ljudskih i manjinskih  prava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kultura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borba protiv korupcije i organizovanog kriminala</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vladavina  prava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tehnička kultura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borba  protiv  bolesti  zavisnosti</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13980" w:type="dxa"/>
            <w:gridSpan w:val="5"/>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druge  oblasti  od  javnog  interesa  utvrđene posebnim zakonom (navesti koje):  ____________________________________________________________________________________________________________</w:t>
            </w:r>
          </w:p>
        </w:tc>
      </w:tr>
    </w:tbl>
    <w:p w:rsidR="00063D42" w:rsidRDefault="00063D42" w:rsidP="00063D42">
      <w:pPr>
        <w:spacing w:after="200"/>
        <w:ind w:left="360"/>
        <w:contextualSpacing/>
        <w:rPr>
          <w:rFonts w:eastAsia="MS Mincho" w:cs="Times New Roman"/>
          <w:b/>
          <w:color w:val="FF0000"/>
          <w:sz w:val="24"/>
          <w:szCs w:val="24"/>
          <w:lang w:val="sr-Latn-ME" w:eastAsia="ja-JP"/>
        </w:rPr>
      </w:pPr>
    </w:p>
    <w:p w:rsidR="00063D42" w:rsidRDefault="00063D42" w:rsidP="00063D42">
      <w:pPr>
        <w:numPr>
          <w:ilvl w:val="0"/>
          <w:numId w:val="13"/>
        </w:numPr>
        <w:spacing w:after="200" w:line="256" w:lineRule="auto"/>
        <w:contextualSpacing/>
        <w:rPr>
          <w:rFonts w:eastAsia="MS Mincho" w:cs="Calibri"/>
          <w:b/>
          <w:sz w:val="24"/>
          <w:szCs w:val="24"/>
          <w:lang w:val="sr-Latn-ME" w:eastAsia="ja-JP"/>
        </w:rPr>
      </w:pPr>
      <w:r>
        <w:rPr>
          <w:rFonts w:eastAsia="MS Mincho" w:cs="Calibri"/>
          <w:b/>
          <w:sz w:val="24"/>
          <w:szCs w:val="24"/>
          <w:lang w:val="sr-Latn-ME" w:eastAsia="ja-JP"/>
        </w:rPr>
        <w:t>PRIORITETNI PROBLEMI I POTREBE KOJE TREBA RIJEŠITI U 202</w:t>
      </w:r>
      <w:r w:rsidR="00903C0D">
        <w:rPr>
          <w:rFonts w:eastAsia="MS Mincho" w:cs="Calibri"/>
          <w:b/>
          <w:sz w:val="24"/>
          <w:szCs w:val="24"/>
          <w:lang w:val="sr-Latn-ME" w:eastAsia="ja-JP"/>
        </w:rPr>
        <w:t>5</w:t>
      </w:r>
      <w:r>
        <w:rPr>
          <w:rFonts w:eastAsia="MS Mincho" w:cs="Calibri"/>
          <w:b/>
          <w:sz w:val="24"/>
          <w:szCs w:val="24"/>
          <w:lang w:val="sr-Latn-ME" w:eastAsia="ja-JP"/>
        </w:rPr>
        <w:t>. GODINI FINANSIRANJEM PROJEKATA I PROGRAMA NVO</w:t>
      </w: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14654" w:type="dxa"/>
        <w:tblInd w:w="-5" w:type="dxa"/>
        <w:tblLook w:val="04A0" w:firstRow="1" w:lastRow="0" w:firstColumn="1" w:lastColumn="0" w:noHBand="0" w:noVBand="1"/>
      </w:tblPr>
      <w:tblGrid>
        <w:gridCol w:w="6884"/>
        <w:gridCol w:w="7770"/>
      </w:tblGrid>
      <w:tr w:rsidR="00063D42" w:rsidTr="006930AD">
        <w:tc>
          <w:tcPr>
            <w:tcW w:w="14654" w:type="dxa"/>
            <w:gridSpan w:val="2"/>
            <w:tcBorders>
              <w:top w:val="single" w:sz="18"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tcPr>
          <w:p w:rsidR="005819D9" w:rsidRDefault="005819D9" w:rsidP="00FD7CC7">
            <w:pPr>
              <w:spacing w:after="200"/>
              <w:jc w:val="both"/>
              <w:rPr>
                <w:rFonts w:asciiTheme="minorHAnsi" w:hAnsiTheme="minorHAnsi"/>
                <w:sz w:val="24"/>
                <w:szCs w:val="24"/>
                <w:lang w:val="sr-Latn-ME" w:eastAsia="ja-JP"/>
              </w:rPr>
            </w:pPr>
            <w:bookmarkStart w:id="1" w:name="_Hlk165369161"/>
          </w:p>
          <w:p w:rsidR="006A1AD2" w:rsidRDefault="00063D42" w:rsidP="00FD7CC7">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 xml:space="preserve">Opis problema: </w:t>
            </w:r>
          </w:p>
          <w:p w:rsidR="005819D9" w:rsidRDefault="005819D9" w:rsidP="005819D9">
            <w:pPr>
              <w:spacing w:after="200"/>
              <w:jc w:val="both"/>
              <w:rPr>
                <w:rFonts w:ascii="Source Sans Pro" w:hAnsi="Source Sans Pro"/>
                <w:color w:val="0000FF"/>
                <w:sz w:val="24"/>
                <w:szCs w:val="24"/>
                <w:u w:val="single"/>
                <w:shd w:val="clear" w:color="auto" w:fill="DFF6FC"/>
              </w:rPr>
            </w:pPr>
            <w:proofErr w:type="spellStart"/>
            <w:r>
              <w:rPr>
                <w:rFonts w:ascii="Arial" w:hAnsi="Arial" w:cs="Arial"/>
                <w:b/>
                <w:bCs/>
                <w:color w:val="202122"/>
                <w:sz w:val="21"/>
                <w:szCs w:val="21"/>
                <w:shd w:val="clear" w:color="auto" w:fill="FFFFFF"/>
              </w:rPr>
              <w:t>Ljudska</w:t>
            </w:r>
            <w:proofErr w:type="spellEnd"/>
            <w:r>
              <w:rPr>
                <w:rFonts w:ascii="Arial" w:hAnsi="Arial" w:cs="Arial"/>
                <w:b/>
                <w:bCs/>
                <w:color w:val="202122"/>
                <w:sz w:val="21"/>
                <w:szCs w:val="21"/>
                <w:shd w:val="clear" w:color="auto" w:fill="FFFFFF"/>
              </w:rPr>
              <w:t xml:space="preserve"> </w:t>
            </w:r>
            <w:proofErr w:type="spellStart"/>
            <w:r>
              <w:rPr>
                <w:rFonts w:ascii="Arial" w:hAnsi="Arial" w:cs="Arial"/>
                <w:b/>
                <w:bCs/>
                <w:color w:val="202122"/>
                <w:sz w:val="21"/>
                <w:szCs w:val="21"/>
                <w:shd w:val="clear" w:color="auto" w:fill="FFFFFF"/>
              </w:rPr>
              <w:t>prava</w:t>
            </w:r>
            <w:proofErr w:type="spellEnd"/>
            <w:r>
              <w:rPr>
                <w:rFonts w:ascii="Arial" w:hAnsi="Arial" w:cs="Arial"/>
                <w:color w:val="202122"/>
                <w:sz w:val="21"/>
                <w:szCs w:val="21"/>
                <w:shd w:val="clear" w:color="auto" w:fill="FFFFFF"/>
              </w:rPr>
              <w:t xml:space="preserve"> se </w:t>
            </w:r>
            <w:proofErr w:type="spellStart"/>
            <w:r>
              <w:rPr>
                <w:rFonts w:ascii="Arial" w:hAnsi="Arial" w:cs="Arial"/>
                <w:color w:val="202122"/>
                <w:sz w:val="21"/>
                <w:szCs w:val="21"/>
                <w:shd w:val="clear" w:color="auto" w:fill="FFFFFF"/>
              </w:rPr>
              <w:t>odnose</w:t>
            </w:r>
            <w:proofErr w:type="spellEnd"/>
            <w:r>
              <w:rPr>
                <w:rFonts w:ascii="Arial" w:hAnsi="Arial" w:cs="Arial"/>
                <w:color w:val="202122"/>
                <w:sz w:val="21"/>
                <w:szCs w:val="21"/>
                <w:shd w:val="clear" w:color="auto" w:fill="FFFFFF"/>
              </w:rPr>
              <w:t xml:space="preserve"> na </w:t>
            </w:r>
            <w:proofErr w:type="spellStart"/>
            <w:r>
              <w:rPr>
                <w:rFonts w:ascii="Arial" w:hAnsi="Arial" w:cs="Arial"/>
                <w:color w:val="202122"/>
                <w:sz w:val="21"/>
                <w:szCs w:val="21"/>
                <w:shd w:val="clear" w:color="auto" w:fill="FFFFFF"/>
              </w:rPr>
              <w:t>pravnu</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filozofsku</w:t>
            </w:r>
            <w:proofErr w:type="spellEnd"/>
            <w:r>
              <w:rPr>
                <w:rFonts w:ascii="Arial" w:hAnsi="Arial" w:cs="Arial"/>
                <w:color w:val="202122"/>
                <w:sz w:val="21"/>
                <w:szCs w:val="21"/>
                <w:shd w:val="clear" w:color="auto" w:fill="FFFFFF"/>
              </w:rPr>
              <w:t xml:space="preserve"> i </w:t>
            </w:r>
            <w:proofErr w:type="spellStart"/>
            <w:r>
              <w:rPr>
                <w:rFonts w:ascii="Arial" w:hAnsi="Arial" w:cs="Arial"/>
                <w:color w:val="202122"/>
                <w:sz w:val="21"/>
                <w:szCs w:val="21"/>
                <w:shd w:val="clear" w:color="auto" w:fill="FFFFFF"/>
              </w:rPr>
              <w:t>političku</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ideju</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prema</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kojoj</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svako</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ljudsko</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biće</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samim</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činom</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rođenja</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stiče</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određena</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neotuđiva</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prava</w:t>
            </w:r>
            <w:proofErr w:type="spellEnd"/>
            <w:r>
              <w:rPr>
                <w:rFonts w:ascii="Arial" w:hAnsi="Arial" w:cs="Arial"/>
                <w:color w:val="202122"/>
                <w:sz w:val="21"/>
                <w:szCs w:val="21"/>
                <w:shd w:val="clear" w:color="auto" w:fill="FFFFFF"/>
              </w:rPr>
              <w:t>.</w:t>
            </w:r>
            <w:r w:rsidRPr="004450F9">
              <w:rPr>
                <w:rFonts w:asciiTheme="minorHAnsi" w:eastAsiaTheme="minorHAnsi" w:hAnsiTheme="minorHAnsi" w:cstheme="minorBidi"/>
                <w:sz w:val="22"/>
                <w:szCs w:val="22"/>
              </w:rPr>
              <w:t xml:space="preserve"> </w:t>
            </w:r>
            <w:hyperlink r:id="rId9" w:history="1">
              <w:r w:rsidRPr="00F1765F">
                <w:rPr>
                  <w:rFonts w:ascii="Source Sans Pro" w:eastAsiaTheme="minorHAnsi" w:hAnsi="Source Sans Pro" w:cstheme="minorBidi"/>
                  <w:color w:val="0000FF"/>
                  <w:sz w:val="24"/>
                  <w:szCs w:val="24"/>
                  <w:u w:val="single"/>
                  <w:shd w:val="clear" w:color="auto" w:fill="DFF6FC"/>
                </w:rPr>
                <w:t>https://creativecommons.org/licenses/by-sa/4.0/</w:t>
              </w:r>
            </w:hyperlink>
          </w:p>
          <w:p w:rsidR="000D096F" w:rsidRPr="00067E44" w:rsidRDefault="000D096F" w:rsidP="005819D9">
            <w:pPr>
              <w:spacing w:after="200"/>
              <w:jc w:val="both"/>
              <w:rPr>
                <w:rFonts w:ascii="Arial" w:hAnsi="Arial" w:cs="Arial"/>
                <w:sz w:val="21"/>
                <w:szCs w:val="21"/>
                <w:shd w:val="clear" w:color="auto" w:fill="FFFFFF"/>
              </w:rPr>
            </w:pPr>
            <w:proofErr w:type="spellStart"/>
            <w:r w:rsidRPr="00067E44">
              <w:rPr>
                <w:rFonts w:ascii="Arial" w:hAnsi="Arial" w:cs="Arial"/>
                <w:spacing w:val="15"/>
                <w:shd w:val="clear" w:color="auto" w:fill="F2F2F2"/>
              </w:rPr>
              <w:t>Lica</w:t>
            </w:r>
            <w:proofErr w:type="spellEnd"/>
            <w:r w:rsidRPr="00067E44">
              <w:rPr>
                <w:rFonts w:ascii="Arial" w:hAnsi="Arial" w:cs="Arial"/>
                <w:spacing w:val="15"/>
                <w:shd w:val="clear" w:color="auto" w:fill="F2F2F2"/>
              </w:rPr>
              <w:t xml:space="preserve"> sa </w:t>
            </w:r>
            <w:proofErr w:type="spellStart"/>
            <w:r w:rsidRPr="00067E44">
              <w:rPr>
                <w:rFonts w:ascii="Arial" w:hAnsi="Arial" w:cs="Arial"/>
                <w:spacing w:val="15"/>
                <w:shd w:val="clear" w:color="auto" w:fill="F2F2F2"/>
              </w:rPr>
              <w:t>invaliditetom</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jedna</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su</w:t>
            </w:r>
            <w:proofErr w:type="spellEnd"/>
            <w:r w:rsidRPr="00067E44">
              <w:rPr>
                <w:rFonts w:ascii="Arial" w:hAnsi="Arial" w:cs="Arial"/>
                <w:spacing w:val="15"/>
                <w:shd w:val="clear" w:color="auto" w:fill="F2F2F2"/>
              </w:rPr>
              <w:t xml:space="preserve"> od </w:t>
            </w:r>
            <w:proofErr w:type="spellStart"/>
            <w:r w:rsidRPr="00067E44">
              <w:rPr>
                <w:rFonts w:ascii="Arial" w:hAnsi="Arial" w:cs="Arial"/>
                <w:spacing w:val="15"/>
                <w:shd w:val="clear" w:color="auto" w:fill="F2F2F2"/>
              </w:rPr>
              <w:t>najranjivijih</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društvenih</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grupa</w:t>
            </w:r>
            <w:proofErr w:type="spellEnd"/>
            <w:r w:rsidRPr="00067E44">
              <w:rPr>
                <w:rFonts w:ascii="Arial" w:hAnsi="Arial" w:cs="Arial"/>
                <w:spacing w:val="15"/>
                <w:shd w:val="clear" w:color="auto" w:fill="F2F2F2"/>
              </w:rPr>
              <w:t xml:space="preserve"> u </w:t>
            </w:r>
            <w:proofErr w:type="spellStart"/>
            <w:r w:rsidRPr="00067E44">
              <w:rPr>
                <w:rFonts w:ascii="Arial" w:hAnsi="Arial" w:cs="Arial"/>
                <w:spacing w:val="15"/>
                <w:shd w:val="clear" w:color="auto" w:fill="F2F2F2"/>
              </w:rPr>
              <w:t>pogledu</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izloženosti</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riziku</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od</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diskriminacije</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koja</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ih</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pogađa</w:t>
            </w:r>
            <w:proofErr w:type="spellEnd"/>
            <w:r w:rsidRPr="00067E44">
              <w:rPr>
                <w:rFonts w:ascii="Arial" w:hAnsi="Arial" w:cs="Arial"/>
                <w:spacing w:val="15"/>
                <w:shd w:val="clear" w:color="auto" w:fill="F2F2F2"/>
              </w:rPr>
              <w:t xml:space="preserve"> u </w:t>
            </w:r>
            <w:proofErr w:type="spellStart"/>
            <w:r w:rsidRPr="00067E44">
              <w:rPr>
                <w:rFonts w:ascii="Arial" w:hAnsi="Arial" w:cs="Arial"/>
                <w:spacing w:val="15"/>
                <w:shd w:val="clear" w:color="auto" w:fill="F2F2F2"/>
              </w:rPr>
              <w:t>svim</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područjima</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života</w:t>
            </w:r>
            <w:proofErr w:type="spellEnd"/>
            <w:r w:rsidRPr="00067E44">
              <w:rPr>
                <w:rFonts w:ascii="Arial" w:hAnsi="Arial" w:cs="Arial"/>
                <w:spacing w:val="15"/>
                <w:shd w:val="clear" w:color="auto" w:fill="F2F2F2"/>
              </w:rPr>
              <w:t xml:space="preserve">, </w:t>
            </w:r>
            <w:proofErr w:type="gramStart"/>
            <w:r w:rsidRPr="00067E44">
              <w:rPr>
                <w:rFonts w:ascii="Arial" w:hAnsi="Arial" w:cs="Arial"/>
                <w:spacing w:val="15"/>
                <w:shd w:val="clear" w:color="auto" w:fill="F2F2F2"/>
              </w:rPr>
              <w:t xml:space="preserve">a  </w:t>
            </w:r>
            <w:proofErr w:type="spellStart"/>
            <w:r w:rsidRPr="00067E44">
              <w:rPr>
                <w:rFonts w:ascii="Arial" w:hAnsi="Arial" w:cs="Arial"/>
                <w:spacing w:val="15"/>
                <w:shd w:val="clear" w:color="auto" w:fill="F2F2F2"/>
              </w:rPr>
              <w:t>veoma</w:t>
            </w:r>
            <w:proofErr w:type="spellEnd"/>
            <w:proofErr w:type="gramEnd"/>
            <w:r w:rsidRPr="00067E44">
              <w:rPr>
                <w:rFonts w:ascii="Arial" w:hAnsi="Arial" w:cs="Arial"/>
                <w:spacing w:val="15"/>
                <w:shd w:val="clear" w:color="auto" w:fill="F2F2F2"/>
              </w:rPr>
              <w:t xml:space="preserve"> je </w:t>
            </w:r>
            <w:proofErr w:type="spellStart"/>
            <w:r w:rsidRPr="00067E44">
              <w:rPr>
                <w:rFonts w:ascii="Arial" w:hAnsi="Arial" w:cs="Arial"/>
                <w:spacing w:val="15"/>
                <w:shd w:val="clear" w:color="auto" w:fill="F2F2F2"/>
              </w:rPr>
              <w:t>izražena</w:t>
            </w:r>
            <w:proofErr w:type="spellEnd"/>
            <w:r w:rsidRPr="00067E44">
              <w:rPr>
                <w:rFonts w:ascii="Arial" w:hAnsi="Arial" w:cs="Arial"/>
                <w:spacing w:val="15"/>
                <w:shd w:val="clear" w:color="auto" w:fill="F2F2F2"/>
              </w:rPr>
              <w:t xml:space="preserve"> u </w:t>
            </w:r>
            <w:proofErr w:type="spellStart"/>
            <w:r w:rsidRPr="00067E44">
              <w:rPr>
                <w:rFonts w:ascii="Arial" w:hAnsi="Arial" w:cs="Arial"/>
                <w:spacing w:val="15"/>
                <w:shd w:val="clear" w:color="auto" w:fill="F2F2F2"/>
              </w:rPr>
              <w:t>oblasti</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pristupačnosti</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objektima</w:t>
            </w:r>
            <w:proofErr w:type="spellEnd"/>
            <w:r w:rsidRPr="00067E44">
              <w:rPr>
                <w:rFonts w:ascii="Arial" w:hAnsi="Arial" w:cs="Arial"/>
                <w:spacing w:val="15"/>
                <w:shd w:val="clear" w:color="auto" w:fill="F2F2F2"/>
              </w:rPr>
              <w:t xml:space="preserve"> u </w:t>
            </w:r>
            <w:proofErr w:type="spellStart"/>
            <w:r w:rsidRPr="00067E44">
              <w:rPr>
                <w:rFonts w:ascii="Arial" w:hAnsi="Arial" w:cs="Arial"/>
                <w:spacing w:val="15"/>
                <w:shd w:val="clear" w:color="auto" w:fill="F2F2F2"/>
              </w:rPr>
              <w:t>javnoj</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upotrebi</w:t>
            </w:r>
            <w:proofErr w:type="spellEnd"/>
            <w:r w:rsidRPr="00067E44">
              <w:rPr>
                <w:rFonts w:ascii="Arial" w:hAnsi="Arial" w:cs="Arial"/>
                <w:spacing w:val="15"/>
                <w:shd w:val="clear" w:color="auto" w:fill="F2F2F2"/>
              </w:rPr>
              <w:t xml:space="preserve">  I </w:t>
            </w:r>
            <w:proofErr w:type="spellStart"/>
            <w:r w:rsidRPr="00067E44">
              <w:rPr>
                <w:rFonts w:ascii="Arial" w:hAnsi="Arial" w:cs="Arial"/>
                <w:spacing w:val="15"/>
                <w:shd w:val="clear" w:color="auto" w:fill="F2F2F2"/>
              </w:rPr>
              <w:t>fizičkom</w:t>
            </w:r>
            <w:proofErr w:type="spellEnd"/>
            <w:r w:rsidRPr="00067E44">
              <w:rPr>
                <w:rFonts w:ascii="Arial" w:hAnsi="Arial" w:cs="Arial"/>
                <w:spacing w:val="15"/>
                <w:shd w:val="clear" w:color="auto" w:fill="F2F2F2"/>
              </w:rPr>
              <w:t xml:space="preserve"> </w:t>
            </w:r>
            <w:proofErr w:type="spellStart"/>
            <w:r w:rsidRPr="00067E44">
              <w:rPr>
                <w:rFonts w:ascii="Arial" w:hAnsi="Arial" w:cs="Arial"/>
                <w:spacing w:val="15"/>
                <w:shd w:val="clear" w:color="auto" w:fill="F2F2F2"/>
              </w:rPr>
              <w:t>okruženju</w:t>
            </w:r>
            <w:proofErr w:type="spellEnd"/>
          </w:p>
          <w:p w:rsidR="005819D9" w:rsidRPr="00240C8F" w:rsidRDefault="005819D9" w:rsidP="005819D9">
            <w:pPr>
              <w:spacing w:after="200"/>
              <w:jc w:val="both"/>
              <w:rPr>
                <w:rFonts w:ascii="Arial" w:hAnsi="Arial" w:cs="Arial"/>
                <w:spacing w:val="15"/>
                <w:shd w:val="clear" w:color="auto" w:fill="F2F2F2"/>
              </w:rPr>
            </w:pPr>
            <w:proofErr w:type="spellStart"/>
            <w:r w:rsidRPr="00240C8F">
              <w:rPr>
                <w:rFonts w:ascii="Arial" w:hAnsi="Arial" w:cs="Arial"/>
                <w:spacing w:val="15"/>
                <w:shd w:val="clear" w:color="auto" w:fill="F2F2F2"/>
              </w:rPr>
              <w:t>Kako</w:t>
            </w:r>
            <w:proofErr w:type="spellEnd"/>
            <w:r w:rsidRPr="00240C8F">
              <w:rPr>
                <w:rFonts w:ascii="Arial" w:hAnsi="Arial" w:cs="Arial"/>
                <w:spacing w:val="15"/>
                <w:shd w:val="clear" w:color="auto" w:fill="F2F2F2"/>
              </w:rPr>
              <w:t xml:space="preserve"> je </w:t>
            </w:r>
            <w:proofErr w:type="spellStart"/>
            <w:r w:rsidRPr="00240C8F">
              <w:rPr>
                <w:rFonts w:ascii="Arial" w:hAnsi="Arial" w:cs="Arial"/>
                <w:spacing w:val="15"/>
                <w:shd w:val="clear" w:color="auto" w:fill="F2F2F2"/>
              </w:rPr>
              <w:t>navedeno</w:t>
            </w:r>
            <w:proofErr w:type="spellEnd"/>
            <w:r w:rsidRPr="00240C8F">
              <w:rPr>
                <w:rFonts w:ascii="Arial" w:hAnsi="Arial" w:cs="Arial"/>
                <w:spacing w:val="15"/>
                <w:shd w:val="clear" w:color="auto" w:fill="F2F2F2"/>
              </w:rPr>
              <w:t xml:space="preserve"> u </w:t>
            </w:r>
            <w:r w:rsidRPr="002F4941">
              <w:rPr>
                <w:rFonts w:ascii="Arial" w:hAnsi="Arial" w:cs="Arial"/>
                <w:b/>
                <w:spacing w:val="15"/>
                <w:shd w:val="clear" w:color="auto" w:fill="F2F2F2"/>
              </w:rPr>
              <w:t xml:space="preserve">Izvještaju o napretku Crne Gore za 2022. </w:t>
            </w:r>
            <w:proofErr w:type="spellStart"/>
            <w:r w:rsidRPr="002F4941">
              <w:rPr>
                <w:rFonts w:ascii="Arial" w:hAnsi="Arial" w:cs="Arial"/>
                <w:b/>
                <w:spacing w:val="15"/>
                <w:shd w:val="clear" w:color="auto" w:fill="F2F2F2"/>
              </w:rPr>
              <w:t>godinu</w:t>
            </w:r>
            <w:proofErr w:type="spellEnd"/>
            <w:r w:rsidRPr="00240C8F">
              <w:rPr>
                <w:rFonts w:ascii="Arial" w:hAnsi="Arial" w:cs="Arial"/>
                <w:spacing w:val="15"/>
                <w:shd w:val="clear" w:color="auto" w:fill="F2F2F2"/>
              </w:rPr>
              <w:t>,</w:t>
            </w:r>
            <w:r w:rsidR="00F1765F">
              <w:t xml:space="preserve"> </w:t>
            </w:r>
            <w:hyperlink r:id="rId10" w:history="1">
              <w:r w:rsidR="00F1765F" w:rsidRPr="00667314">
                <w:rPr>
                  <w:rFonts w:ascii="Arial" w:hAnsi="Arial" w:cs="Arial"/>
                  <w:color w:val="0000FF"/>
                  <w:u w:val="single"/>
                  <w:lang w:val="sr-Latn-ME"/>
                </w:rPr>
                <w:t>Montenegro Report 2022.pdf (europa.eu)</w:t>
              </w:r>
            </w:hyperlink>
            <w:r w:rsidRPr="00240C8F">
              <w:rPr>
                <w:rFonts w:ascii="Arial" w:hAnsi="Arial" w:cs="Arial"/>
                <w:spacing w:val="15"/>
                <w:shd w:val="clear" w:color="auto" w:fill="F2F2F2"/>
              </w:rPr>
              <w:t xml:space="preserve"> po pitanju temeljnih prava, Crna Gora je umjereno napredovala u oblasti temeljnih prava. </w:t>
            </w:r>
            <w:proofErr w:type="spellStart"/>
            <w:r w:rsidRPr="00240C8F">
              <w:rPr>
                <w:rFonts w:ascii="Arial" w:hAnsi="Arial" w:cs="Arial"/>
                <w:spacing w:val="15"/>
                <w:shd w:val="clear" w:color="auto" w:fill="F2F2F2"/>
              </w:rPr>
              <w:t>Zakonodavni</w:t>
            </w:r>
            <w:proofErr w:type="spellEnd"/>
            <w:r w:rsidRPr="00240C8F">
              <w:rPr>
                <w:rFonts w:ascii="Arial" w:hAnsi="Arial" w:cs="Arial"/>
                <w:spacing w:val="15"/>
                <w:shd w:val="clear" w:color="auto" w:fill="F2F2F2"/>
              </w:rPr>
              <w:t xml:space="preserve"> i </w:t>
            </w:r>
            <w:proofErr w:type="spellStart"/>
            <w:r w:rsidRPr="00240C8F">
              <w:rPr>
                <w:rFonts w:ascii="Arial" w:hAnsi="Arial" w:cs="Arial"/>
                <w:spacing w:val="15"/>
                <w:shd w:val="clear" w:color="auto" w:fill="F2F2F2"/>
              </w:rPr>
              <w:t>institucionalni</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okvir</w:t>
            </w:r>
            <w:proofErr w:type="spellEnd"/>
            <w:r w:rsidRPr="00240C8F">
              <w:rPr>
                <w:rFonts w:ascii="Arial" w:hAnsi="Arial" w:cs="Arial"/>
                <w:spacing w:val="15"/>
                <w:shd w:val="clear" w:color="auto" w:fill="F2F2F2"/>
              </w:rPr>
              <w:t xml:space="preserve"> je </w:t>
            </w:r>
            <w:proofErr w:type="spellStart"/>
            <w:r w:rsidRPr="00240C8F">
              <w:rPr>
                <w:rFonts w:ascii="Arial" w:hAnsi="Arial" w:cs="Arial"/>
                <w:spacing w:val="15"/>
                <w:shd w:val="clear" w:color="auto" w:fill="F2F2F2"/>
              </w:rPr>
              <w:t>velikim</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dijelom</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uspostavljen</w:t>
            </w:r>
            <w:proofErr w:type="spellEnd"/>
            <w:r w:rsidRPr="00240C8F">
              <w:rPr>
                <w:rFonts w:ascii="Arial" w:hAnsi="Arial" w:cs="Arial"/>
                <w:spacing w:val="15"/>
                <w:shd w:val="clear" w:color="auto" w:fill="F2F2F2"/>
              </w:rPr>
              <w:t xml:space="preserve"> i </w:t>
            </w:r>
            <w:proofErr w:type="spellStart"/>
            <w:r w:rsidRPr="00240C8F">
              <w:rPr>
                <w:rFonts w:ascii="Arial" w:hAnsi="Arial" w:cs="Arial"/>
                <w:spacing w:val="15"/>
                <w:shd w:val="clear" w:color="auto" w:fill="F2F2F2"/>
              </w:rPr>
              <w:t>uglavnom</w:t>
            </w:r>
            <w:proofErr w:type="spellEnd"/>
            <w:r w:rsidRPr="00240C8F">
              <w:rPr>
                <w:rFonts w:ascii="Arial" w:hAnsi="Arial" w:cs="Arial"/>
                <w:spacing w:val="15"/>
                <w:shd w:val="clear" w:color="auto" w:fill="F2F2F2"/>
              </w:rPr>
              <w:t xml:space="preserve"> je </w:t>
            </w:r>
            <w:proofErr w:type="spellStart"/>
            <w:r w:rsidRPr="00240C8F">
              <w:rPr>
                <w:rFonts w:ascii="Arial" w:hAnsi="Arial" w:cs="Arial"/>
                <w:spacing w:val="15"/>
                <w:shd w:val="clear" w:color="auto" w:fill="F2F2F2"/>
              </w:rPr>
              <w:t>usklađen</w:t>
            </w:r>
            <w:proofErr w:type="spellEnd"/>
            <w:r w:rsidRPr="00240C8F">
              <w:rPr>
                <w:rFonts w:ascii="Arial" w:hAnsi="Arial" w:cs="Arial"/>
                <w:spacing w:val="15"/>
                <w:shd w:val="clear" w:color="auto" w:fill="F2F2F2"/>
              </w:rPr>
              <w:t xml:space="preserve"> s </w:t>
            </w:r>
            <w:proofErr w:type="spellStart"/>
            <w:r w:rsidRPr="00240C8F">
              <w:rPr>
                <w:rFonts w:ascii="Arial" w:hAnsi="Arial" w:cs="Arial"/>
                <w:spacing w:val="15"/>
                <w:shd w:val="clear" w:color="auto" w:fill="F2F2F2"/>
              </w:rPr>
              <w:t>relevantnim</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međunarodnim</w:t>
            </w:r>
            <w:proofErr w:type="spellEnd"/>
            <w:r w:rsidRPr="00240C8F">
              <w:rPr>
                <w:rFonts w:ascii="Arial" w:hAnsi="Arial" w:cs="Arial"/>
                <w:spacing w:val="15"/>
                <w:shd w:val="clear" w:color="auto" w:fill="F2F2F2"/>
              </w:rPr>
              <w:t xml:space="preserve"> i </w:t>
            </w:r>
            <w:proofErr w:type="spellStart"/>
            <w:r w:rsidRPr="00240C8F">
              <w:rPr>
                <w:rFonts w:ascii="Arial" w:hAnsi="Arial" w:cs="Arial"/>
                <w:spacing w:val="15"/>
                <w:shd w:val="clear" w:color="auto" w:fill="F2F2F2"/>
              </w:rPr>
              <w:t>evropskim</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standardima</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Međutim</w:t>
            </w:r>
            <w:proofErr w:type="spellEnd"/>
            <w:r w:rsidRPr="00240C8F">
              <w:rPr>
                <w:rFonts w:ascii="Arial" w:hAnsi="Arial" w:cs="Arial"/>
                <w:spacing w:val="15"/>
                <w:shd w:val="clear" w:color="auto" w:fill="F2F2F2"/>
              </w:rPr>
              <w:t xml:space="preserve">, i </w:t>
            </w:r>
            <w:proofErr w:type="spellStart"/>
            <w:r w:rsidRPr="00240C8F">
              <w:rPr>
                <w:rFonts w:ascii="Arial" w:hAnsi="Arial" w:cs="Arial"/>
                <w:spacing w:val="15"/>
                <w:shd w:val="clear" w:color="auto" w:fill="F2F2F2"/>
              </w:rPr>
              <w:t>dalje</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su</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potrebni</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dodatni</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napori</w:t>
            </w:r>
            <w:proofErr w:type="spellEnd"/>
            <w:r w:rsidRPr="00240C8F">
              <w:rPr>
                <w:rFonts w:ascii="Arial" w:hAnsi="Arial" w:cs="Arial"/>
                <w:spacing w:val="15"/>
                <w:shd w:val="clear" w:color="auto" w:fill="F2F2F2"/>
              </w:rPr>
              <w:t xml:space="preserve"> da se on u </w:t>
            </w:r>
            <w:proofErr w:type="spellStart"/>
            <w:r w:rsidRPr="00240C8F">
              <w:rPr>
                <w:rFonts w:ascii="Arial" w:hAnsi="Arial" w:cs="Arial"/>
                <w:spacing w:val="15"/>
                <w:shd w:val="clear" w:color="auto" w:fill="F2F2F2"/>
              </w:rPr>
              <w:t>potpunosti</w:t>
            </w:r>
            <w:proofErr w:type="spellEnd"/>
            <w:r w:rsidRPr="00240C8F">
              <w:rPr>
                <w:rFonts w:ascii="Arial" w:hAnsi="Arial" w:cs="Arial"/>
                <w:spacing w:val="15"/>
                <w:shd w:val="clear" w:color="auto" w:fill="F2F2F2"/>
              </w:rPr>
              <w:t xml:space="preserve"> </w:t>
            </w:r>
            <w:proofErr w:type="spellStart"/>
            <w:r w:rsidRPr="00240C8F">
              <w:rPr>
                <w:rFonts w:ascii="Arial" w:hAnsi="Arial" w:cs="Arial"/>
                <w:spacing w:val="15"/>
                <w:shd w:val="clear" w:color="auto" w:fill="F2F2F2"/>
              </w:rPr>
              <w:t>implementira</w:t>
            </w:r>
            <w:proofErr w:type="spellEnd"/>
            <w:r w:rsidR="002F4941">
              <w:rPr>
                <w:rFonts w:ascii="Arial" w:hAnsi="Arial" w:cs="Arial"/>
                <w:spacing w:val="15"/>
                <w:shd w:val="clear" w:color="auto" w:fill="F2F2F2"/>
              </w:rPr>
              <w:t>.</w:t>
            </w:r>
            <w:r w:rsidR="00240C8F" w:rsidRPr="00240C8F">
              <w:rPr>
                <w:rFonts w:ascii="Arial" w:hAnsi="Arial" w:cs="Arial"/>
                <w:spacing w:val="15"/>
                <w:shd w:val="clear" w:color="auto" w:fill="F2F2F2"/>
              </w:rPr>
              <w:t xml:space="preserve"> </w:t>
            </w:r>
          </w:p>
          <w:p w:rsidR="00063D42" w:rsidRPr="007D5AE7" w:rsidRDefault="00C80B41" w:rsidP="00FD7CC7">
            <w:pPr>
              <w:spacing w:after="200"/>
              <w:jc w:val="both"/>
              <w:rPr>
                <w:rFonts w:ascii="Arial" w:hAnsi="Arial" w:cs="Arial"/>
                <w:spacing w:val="15"/>
                <w:shd w:val="clear" w:color="auto" w:fill="F2F2F2"/>
              </w:rPr>
            </w:pPr>
            <w:proofErr w:type="spellStart"/>
            <w:r w:rsidRPr="007D5AE7">
              <w:rPr>
                <w:rFonts w:ascii="Arial" w:hAnsi="Arial" w:cs="Arial"/>
                <w:b/>
                <w:spacing w:val="15"/>
                <w:shd w:val="clear" w:color="auto" w:fill="F2F2F2"/>
              </w:rPr>
              <w:t>Ustav</w:t>
            </w:r>
            <w:proofErr w:type="spellEnd"/>
            <w:r w:rsidRPr="007D5AE7">
              <w:rPr>
                <w:rFonts w:ascii="Arial" w:hAnsi="Arial" w:cs="Arial"/>
                <w:b/>
                <w:spacing w:val="15"/>
                <w:shd w:val="clear" w:color="auto" w:fill="F2F2F2"/>
              </w:rPr>
              <w:t xml:space="preserve"> Crne </w:t>
            </w:r>
            <w:proofErr w:type="gramStart"/>
            <w:r w:rsidRPr="007D5AE7">
              <w:rPr>
                <w:rFonts w:ascii="Arial" w:hAnsi="Arial" w:cs="Arial"/>
                <w:b/>
                <w:spacing w:val="15"/>
                <w:shd w:val="clear" w:color="auto" w:fill="F2F2F2"/>
              </w:rPr>
              <w:t>Gore</w:t>
            </w:r>
            <w:r w:rsidRPr="007D5AE7">
              <w:rPr>
                <w:rFonts w:ascii="Arial" w:hAnsi="Arial" w:cs="Arial"/>
                <w:spacing w:val="15"/>
                <w:shd w:val="clear" w:color="auto" w:fill="F2F2F2"/>
              </w:rPr>
              <w:t xml:space="preserve"> </w:t>
            </w:r>
            <w:r w:rsidR="00EA304D"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garantuje</w:t>
            </w:r>
            <w:proofErr w:type="spellEnd"/>
            <w:proofErr w:type="gramEnd"/>
            <w:r w:rsidR="00EA304D" w:rsidRPr="007D5AE7">
              <w:rPr>
                <w:rFonts w:ascii="Arial" w:hAnsi="Arial" w:cs="Arial"/>
                <w:spacing w:val="15"/>
                <w:shd w:val="clear" w:color="auto" w:fill="F2F2F2"/>
              </w:rPr>
              <w:t xml:space="preserve"> </w:t>
            </w:r>
            <w:proofErr w:type="spellStart"/>
            <w:r w:rsidRPr="007D5AE7">
              <w:rPr>
                <w:rFonts w:ascii="Arial" w:hAnsi="Arial" w:cs="Arial"/>
                <w:spacing w:val="15"/>
                <w:shd w:val="clear" w:color="auto" w:fill="F2F2F2"/>
              </w:rPr>
              <w:t>posebn</w:t>
            </w:r>
            <w:r w:rsidR="00EA304D" w:rsidRPr="007D5AE7">
              <w:rPr>
                <w:rFonts w:ascii="Arial" w:hAnsi="Arial" w:cs="Arial"/>
                <w:spacing w:val="15"/>
                <w:shd w:val="clear" w:color="auto" w:fill="F2F2F2"/>
              </w:rPr>
              <w:t>u</w:t>
            </w:r>
            <w:proofErr w:type="spellEnd"/>
            <w:r w:rsidRPr="007D5AE7">
              <w:rPr>
                <w:rFonts w:ascii="Arial" w:hAnsi="Arial" w:cs="Arial"/>
                <w:spacing w:val="15"/>
                <w:shd w:val="clear" w:color="auto" w:fill="F2F2F2"/>
              </w:rPr>
              <w:t xml:space="preserve"> </w:t>
            </w:r>
            <w:proofErr w:type="spellStart"/>
            <w:r w:rsidRPr="007D5AE7">
              <w:rPr>
                <w:rFonts w:ascii="Arial" w:hAnsi="Arial" w:cs="Arial"/>
                <w:spacing w:val="15"/>
                <w:shd w:val="clear" w:color="auto" w:fill="F2F2F2"/>
              </w:rPr>
              <w:t>zaštit</w:t>
            </w:r>
            <w:r w:rsidR="00EA304D" w:rsidRPr="007D5AE7">
              <w:rPr>
                <w:rFonts w:ascii="Arial" w:hAnsi="Arial" w:cs="Arial"/>
                <w:spacing w:val="15"/>
                <w:shd w:val="clear" w:color="auto" w:fill="F2F2F2"/>
              </w:rPr>
              <w:t>u</w:t>
            </w:r>
            <w:proofErr w:type="spellEnd"/>
            <w:r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lica</w:t>
            </w:r>
            <w:proofErr w:type="spellEnd"/>
            <w:r w:rsidRPr="007D5AE7">
              <w:rPr>
                <w:rFonts w:ascii="Arial" w:hAnsi="Arial" w:cs="Arial"/>
                <w:spacing w:val="15"/>
                <w:shd w:val="clear" w:color="auto" w:fill="F2F2F2"/>
              </w:rPr>
              <w:t xml:space="preserve"> s </w:t>
            </w:r>
            <w:proofErr w:type="spellStart"/>
            <w:r w:rsidRPr="007D5AE7">
              <w:rPr>
                <w:rFonts w:ascii="Arial" w:hAnsi="Arial" w:cs="Arial"/>
                <w:spacing w:val="15"/>
                <w:shd w:val="clear" w:color="auto" w:fill="F2F2F2"/>
              </w:rPr>
              <w:t>invaliditetom</w:t>
            </w:r>
            <w:proofErr w:type="spellEnd"/>
            <w:r w:rsidR="00EA304D" w:rsidRPr="007D5AE7">
              <w:rPr>
                <w:rFonts w:ascii="Arial" w:hAnsi="Arial" w:cs="Arial"/>
                <w:spacing w:val="15"/>
                <w:shd w:val="clear" w:color="auto" w:fill="F2F2F2"/>
              </w:rPr>
              <w:t>.</w:t>
            </w:r>
          </w:p>
          <w:p w:rsidR="00063D42" w:rsidRDefault="00063D42" w:rsidP="00FD7CC7">
            <w:pPr>
              <w:spacing w:before="100" w:beforeAutospacing="1" w:after="100" w:afterAutospacing="1"/>
              <w:jc w:val="both"/>
              <w:rPr>
                <w:rStyle w:val="Hyperlink"/>
                <w:rFonts w:ascii="Times New Roman" w:eastAsia="Times New Roman" w:hAnsi="Times New Roman"/>
                <w:lang w:val="sr-Latn-RS"/>
              </w:rPr>
            </w:pPr>
            <w:proofErr w:type="spellStart"/>
            <w:r>
              <w:rPr>
                <w:rFonts w:asciiTheme="minorHAnsi" w:hAnsiTheme="minorHAnsi" w:cstheme="minorHAnsi"/>
                <w:b/>
                <w:sz w:val="24"/>
                <w:szCs w:val="24"/>
                <w:lang w:val="en-GB" w:eastAsia="ja-JP"/>
              </w:rPr>
              <w:t>Konvencija</w:t>
            </w:r>
            <w:proofErr w:type="spellEnd"/>
            <w:r w:rsidR="00D1680C">
              <w:rPr>
                <w:rFonts w:asciiTheme="minorHAnsi" w:hAnsiTheme="minorHAnsi" w:cstheme="minorHAnsi"/>
                <w:b/>
                <w:sz w:val="24"/>
                <w:szCs w:val="24"/>
                <w:lang w:val="en-GB" w:eastAsia="ja-JP"/>
              </w:rPr>
              <w:t xml:space="preserve"> </w:t>
            </w:r>
            <w:r>
              <w:rPr>
                <w:rFonts w:asciiTheme="minorHAnsi" w:hAnsiTheme="minorHAnsi" w:cstheme="minorHAnsi"/>
                <w:b/>
                <w:sz w:val="24"/>
                <w:szCs w:val="24"/>
                <w:lang w:val="en-GB" w:eastAsia="ja-JP"/>
              </w:rPr>
              <w:t xml:space="preserve">UN o </w:t>
            </w:r>
            <w:proofErr w:type="spellStart"/>
            <w:r>
              <w:rPr>
                <w:rFonts w:asciiTheme="minorHAnsi" w:hAnsiTheme="minorHAnsi" w:cstheme="minorHAnsi"/>
                <w:b/>
                <w:sz w:val="24"/>
                <w:szCs w:val="24"/>
                <w:lang w:val="en-GB" w:eastAsia="ja-JP"/>
              </w:rPr>
              <w:t>pravima</w:t>
            </w:r>
            <w:proofErr w:type="spellEnd"/>
            <w:r>
              <w:rPr>
                <w:rFonts w:asciiTheme="minorHAnsi" w:hAnsiTheme="minorHAnsi" w:cstheme="minorHAnsi"/>
                <w:b/>
                <w:sz w:val="24"/>
                <w:szCs w:val="24"/>
                <w:lang w:val="en-GB" w:eastAsia="ja-JP"/>
              </w:rPr>
              <w:t xml:space="preserve"> </w:t>
            </w:r>
            <w:proofErr w:type="spellStart"/>
            <w:r>
              <w:rPr>
                <w:rFonts w:asciiTheme="minorHAnsi" w:hAnsiTheme="minorHAnsi" w:cstheme="minorHAnsi"/>
                <w:b/>
                <w:sz w:val="24"/>
                <w:szCs w:val="24"/>
                <w:lang w:val="en-GB" w:eastAsia="ja-JP"/>
              </w:rPr>
              <w:t>lica</w:t>
            </w:r>
            <w:proofErr w:type="spellEnd"/>
            <w:r>
              <w:rPr>
                <w:rFonts w:asciiTheme="minorHAnsi" w:hAnsiTheme="minorHAnsi" w:cstheme="minorHAnsi"/>
                <w:b/>
                <w:sz w:val="24"/>
                <w:szCs w:val="24"/>
                <w:lang w:val="en-GB" w:eastAsia="ja-JP"/>
              </w:rPr>
              <w:t xml:space="preserve"> sa </w:t>
            </w:r>
            <w:proofErr w:type="spellStart"/>
            <w:r>
              <w:rPr>
                <w:rFonts w:asciiTheme="minorHAnsi" w:hAnsiTheme="minorHAnsi" w:cstheme="minorHAnsi"/>
                <w:b/>
                <w:sz w:val="24"/>
                <w:szCs w:val="24"/>
                <w:lang w:val="en-GB" w:eastAsia="ja-JP"/>
              </w:rPr>
              <w:t>invaliditetom</w:t>
            </w:r>
            <w:proofErr w:type="spellEnd"/>
            <w:r>
              <w:rPr>
                <w:sz w:val="24"/>
                <w:szCs w:val="24"/>
                <w:lang w:val="en-GB" w:eastAsia="ja-JP"/>
              </w:rPr>
              <w:t>,</w:t>
            </w:r>
            <w:r w:rsidR="00D1680C">
              <w:rPr>
                <w:sz w:val="24"/>
                <w:szCs w:val="24"/>
                <w:lang w:val="en-GB" w:eastAsia="ja-JP"/>
              </w:rPr>
              <w:t xml:space="preserve"> </w:t>
            </w:r>
            <w:hyperlink r:id="rId11" w:history="1">
              <w:r w:rsidR="00D1680C" w:rsidRPr="00B768F8">
                <w:rPr>
                  <w:rStyle w:val="Hyperlink"/>
                  <w:rFonts w:ascii="Calibri" w:hAnsi="Calibri" w:cs="Calibri"/>
                  <w:sz w:val="24"/>
                  <w:szCs w:val="24"/>
                  <w:lang w:val="en-GB" w:eastAsia="ja-JP"/>
                </w:rPr>
                <w:t>https://www.gov.me/dokumenta/b3db3202-9de1-4b25-8cda-29dea4c97dbb</w:t>
              </w:r>
            </w:hyperlink>
            <w:r w:rsidRPr="00B768F8">
              <w:rPr>
                <w:rFonts w:ascii="Calibri" w:eastAsia="Times New Roman" w:hAnsi="Calibri" w:cs="Calibri"/>
                <w:sz w:val="24"/>
                <w:szCs w:val="24"/>
                <w:lang w:val="sr-Latn-RS"/>
              </w:rPr>
              <w:t> </w:t>
            </w:r>
            <w:r>
              <w:rPr>
                <w:rFonts w:asciiTheme="minorHAnsi" w:eastAsia="Times New Roman" w:hAnsiTheme="minorHAnsi" w:cstheme="minorHAnsi"/>
                <w:sz w:val="24"/>
                <w:szCs w:val="24"/>
                <w:lang w:val="sr-Latn-RS"/>
              </w:rPr>
              <w:t>definiše pristupačnost  </w:t>
            </w:r>
            <w:r>
              <w:rPr>
                <w:rFonts w:asciiTheme="minorHAnsi" w:eastAsia="Times New Roman" w:hAnsiTheme="minorHAnsi" w:cstheme="minorHAnsi"/>
                <w:b/>
                <w:bCs/>
                <w:sz w:val="24"/>
                <w:szCs w:val="24"/>
                <w:lang w:val="sr-Latn-RS"/>
              </w:rPr>
              <w:t>kao jedan od osnovnih principa</w:t>
            </w:r>
            <w:r>
              <w:rPr>
                <w:rFonts w:asciiTheme="minorHAnsi" w:eastAsia="Times New Roman" w:hAnsiTheme="minorHAnsi" w:cstheme="minorHAnsi"/>
                <w:sz w:val="24"/>
                <w:szCs w:val="24"/>
                <w:lang w:val="sr-Latn-RS"/>
              </w:rPr>
              <w:t>, pa je potrebno, ali i neophodno da se i u Crnoj Gori promjene dešavaju u tom smjeru</w:t>
            </w:r>
            <w:r>
              <w:rPr>
                <w:rFonts w:ascii="Times New Roman" w:eastAsia="Times New Roman" w:hAnsi="Times New Roman"/>
                <w:sz w:val="24"/>
                <w:szCs w:val="24"/>
                <w:lang w:val="sr-Latn-RS"/>
              </w:rPr>
              <w:t>. </w:t>
            </w:r>
          </w:p>
          <w:p w:rsidR="00063D42" w:rsidRDefault="00063D42" w:rsidP="00FD7CC7">
            <w:pPr>
              <w:jc w:val="both"/>
              <w:rPr>
                <w:rFonts w:asciiTheme="minorHAnsi" w:eastAsia="Times New Roman" w:hAnsiTheme="minorHAnsi" w:cstheme="minorHAnsi"/>
                <w:sz w:val="24"/>
                <w:szCs w:val="24"/>
                <w:lang w:val="sr-Latn-RS"/>
              </w:rPr>
            </w:pPr>
            <w:r>
              <w:rPr>
                <w:rFonts w:asciiTheme="minorHAnsi" w:eastAsia="Times New Roman" w:hAnsiTheme="minorHAnsi" w:cstheme="minorHAnsi"/>
                <w:sz w:val="24"/>
                <w:szCs w:val="24"/>
                <w:lang w:val="sr-Latn-RS"/>
              </w:rPr>
              <w:t xml:space="preserve">U skladu s članom 9 Konvencije UN o pravima osoba s invaliditetom, definisana je pristupačnost na način da se države potpisnice obavezuju da „osiguraju pristup izgrađenom okruženju, prevozu, informacijama i komunikacijama, uključujući informacione i komunikacione tehnologije i sisteme, </w:t>
            </w:r>
            <w:r>
              <w:rPr>
                <w:rFonts w:asciiTheme="minorHAnsi" w:eastAsia="Times New Roman" w:hAnsiTheme="minorHAnsi" w:cstheme="minorHAnsi"/>
                <w:sz w:val="24"/>
                <w:szCs w:val="24"/>
                <w:lang w:val="sr-Latn-RS"/>
              </w:rPr>
              <w:lastRenderedPageBreak/>
              <w:t>kao i drugim uslugama i objektima namijenjenim javnosti, kako u urbanim tako i u ruralnim sredinama. Ove mjere uključuju  identifikaciju i uklanjanje prepreka i barijera na zgradama, putevima, prevozu, uključujući škole, stambene objekte, medicinska zdanja i radna mjesta.“</w:t>
            </w:r>
          </w:p>
          <w:p w:rsidR="00990474" w:rsidRPr="008B1ECF" w:rsidRDefault="00990474" w:rsidP="00FD7CC7">
            <w:pPr>
              <w:jc w:val="both"/>
              <w:rPr>
                <w:rFonts w:asciiTheme="minorHAnsi" w:hAnsiTheme="minorHAnsi"/>
                <w:sz w:val="24"/>
                <w:szCs w:val="24"/>
                <w:lang w:val="sr-Latn-ME" w:eastAsia="ja-JP"/>
              </w:rPr>
            </w:pPr>
            <w:r w:rsidRPr="005C0ED8">
              <w:rPr>
                <w:rFonts w:asciiTheme="minorHAnsi" w:eastAsia="Times New Roman" w:hAnsiTheme="minorHAnsi" w:cstheme="minorHAnsi"/>
                <w:sz w:val="24"/>
                <w:szCs w:val="24"/>
                <w:lang w:val="sr-Latn-RS"/>
              </w:rPr>
              <w:t>Član 31</w:t>
            </w:r>
            <w:r w:rsidR="00826888">
              <w:rPr>
                <w:rFonts w:asciiTheme="minorHAnsi" w:eastAsia="Times New Roman" w:hAnsiTheme="minorHAnsi" w:cstheme="minorHAnsi"/>
                <w:sz w:val="24"/>
                <w:szCs w:val="24"/>
                <w:lang w:val="sr-Latn-RS"/>
              </w:rPr>
              <w:t xml:space="preserve"> navedene konvencije</w:t>
            </w:r>
            <w:r w:rsidR="00BA7F2A">
              <w:rPr>
                <w:rFonts w:asciiTheme="minorHAnsi" w:eastAsia="Times New Roman" w:hAnsiTheme="minorHAnsi" w:cstheme="minorHAnsi"/>
                <w:sz w:val="24"/>
                <w:szCs w:val="24"/>
                <w:lang w:val="sr-Latn-RS"/>
              </w:rPr>
              <w:t xml:space="preserve"> u dijelu</w:t>
            </w:r>
            <w:r w:rsidRPr="005C0ED8">
              <w:rPr>
                <w:rFonts w:asciiTheme="minorHAnsi" w:eastAsia="Times New Roman" w:hAnsiTheme="minorHAnsi" w:cstheme="minorHAnsi"/>
                <w:sz w:val="24"/>
                <w:szCs w:val="24"/>
                <w:lang w:val="sr-Latn-RS"/>
              </w:rPr>
              <w:t xml:space="preserve"> </w:t>
            </w:r>
            <w:r w:rsidRPr="00BA7F2A">
              <w:rPr>
                <w:rFonts w:asciiTheme="minorHAnsi" w:eastAsia="Times New Roman" w:hAnsiTheme="minorHAnsi" w:cstheme="minorHAnsi"/>
                <w:i/>
                <w:sz w:val="24"/>
                <w:szCs w:val="24"/>
                <w:lang w:val="sr-Latn-RS"/>
              </w:rPr>
              <w:t>Prikupljanje statističkih podataka</w:t>
            </w:r>
            <w:r w:rsidRPr="005C0ED8">
              <w:rPr>
                <w:rFonts w:asciiTheme="minorHAnsi" w:eastAsia="Times New Roman" w:hAnsiTheme="minorHAnsi" w:cstheme="minorHAnsi"/>
                <w:sz w:val="24"/>
                <w:szCs w:val="24"/>
                <w:lang w:val="sr-Latn-RS"/>
              </w:rPr>
              <w:t xml:space="preserve"> 1. Države potpisnice obavezuju se da prikupljaju odgovarajuće informacije, uključujući statističke i podatke za istraživanja, kako bi bile u stanju da formulišu i sprovode politike usmjerene na ostvarivanje ove Konvencije. Proces prikupljanja i održavanja podataka će biti: (a) U skladu sa pravno ustanovljenim mehanizmima zaštite, uključujući zakonodavstvo o zaštiti podataka, kako bi osigurale poverljivost i poštovanje privatnosti lica sa invaliditetom; (b) U skladu sa međunarodno prihvaćenim normama o zaštiti ljudskih prava i osnovnih sloboda i etičkim principima prikupljanja i upotrebe statističkih podataka. 2. Podaci prikupljeni u skladu sa odredbama ovog člana biće segregirani prema potrebi i korišćeni da bi se državama potpisnicama olakšalo ocjenjivanje sprovođenja obaveza preuzetih ovom Konvencijom, kao i da bi se identifikovale prepreke sa kojima se lica sa invaliditetom suočavaju u ostvarivanju svojih prava. 3. Države potpisnice preuzeće odgovornost za distribuciju ovih statističkih podataka i osiguravanje da oni budu pristupačni licima sa invaliditetom</w:t>
            </w:r>
            <w:r w:rsidRPr="00AF28FF">
              <w:rPr>
                <w:sz w:val="32"/>
                <w:szCs w:val="32"/>
              </w:rPr>
              <w:t xml:space="preserve">. </w:t>
            </w:r>
          </w:p>
          <w:p w:rsidR="00A3040A" w:rsidRDefault="00063D42" w:rsidP="00FD7CC7">
            <w:pPr>
              <w:spacing w:before="100" w:beforeAutospacing="1" w:after="100" w:afterAutospacing="1"/>
              <w:jc w:val="both"/>
              <w:rPr>
                <w:rFonts w:asciiTheme="minorHAnsi" w:eastAsia="Times New Roman" w:hAnsiTheme="minorHAnsi" w:cstheme="minorHAnsi"/>
                <w:sz w:val="24"/>
                <w:szCs w:val="24"/>
                <w:lang w:val="sr-Latn-RS"/>
              </w:rPr>
            </w:pPr>
            <w:r>
              <w:rPr>
                <w:rFonts w:asciiTheme="minorHAnsi" w:eastAsia="Times New Roman" w:hAnsiTheme="minorHAnsi" w:cstheme="minorHAnsi"/>
                <w:b/>
                <w:bCs/>
                <w:sz w:val="24"/>
                <w:szCs w:val="24"/>
                <w:lang w:val="sr-Latn-RS"/>
              </w:rPr>
              <w:t xml:space="preserve">Opštim komentarom Komiteta UN </w:t>
            </w:r>
            <w:r>
              <w:rPr>
                <w:rFonts w:asciiTheme="minorHAnsi" w:eastAsia="Times New Roman" w:hAnsiTheme="minorHAnsi" w:cstheme="minorHAnsi"/>
                <w:bCs/>
                <w:sz w:val="24"/>
                <w:szCs w:val="24"/>
                <w:lang w:val="sr-Latn-RS"/>
              </w:rPr>
              <w:t>br. 2 o pravu na pristupačnost</w:t>
            </w:r>
            <w:r>
              <w:rPr>
                <w:rFonts w:asciiTheme="minorHAnsi" w:eastAsia="Times New Roman" w:hAnsiTheme="minorHAnsi" w:cstheme="minorHAnsi"/>
                <w:sz w:val="24"/>
                <w:szCs w:val="24"/>
                <w:lang w:val="sr-Latn-RS"/>
              </w:rPr>
              <w:t> navodi se da „bez pristupa fizičkom okruženju, prevozu, informacijama i komunikacijama, uključujući informacione i komunikacione tehnologije i sisteme, kao i drugim objektima i uslugama otvorenim ili obezbijeđenim za javnost, osobe s invaliditetom ne bi imale jednake mogućnosti učešća u društvu u kojem žive“. Takođe se navodi da su vlasti dužne da obezbijede pristupačnost kao </w:t>
            </w:r>
            <w:r>
              <w:rPr>
                <w:rFonts w:asciiTheme="minorHAnsi" w:eastAsia="Times New Roman" w:hAnsiTheme="minorHAnsi" w:cstheme="minorHAnsi"/>
                <w:i/>
                <w:iCs/>
                <w:sz w:val="24"/>
                <w:szCs w:val="24"/>
                <w:lang w:val="sr-Latn-RS"/>
              </w:rPr>
              <w:t>ex ante dužnost</w:t>
            </w:r>
            <w:r>
              <w:rPr>
                <w:rFonts w:asciiTheme="minorHAnsi" w:eastAsia="Times New Roman" w:hAnsiTheme="minorHAnsi" w:cstheme="minorHAnsi"/>
                <w:sz w:val="24"/>
                <w:szCs w:val="24"/>
                <w:lang w:val="sr-Latn-RS"/>
              </w:rPr>
              <w:t xml:space="preserve"> (dužnost koja prethodi), što znači i prije dobijanja pojedinačnog zahtjeva od strane OSI da pristupi i koristi neki prostor ili uslugu. Na osnovu svega navedenog, jasno je zašto je pristupačnost </w:t>
            </w:r>
            <w:r w:rsidRPr="002977EB">
              <w:rPr>
                <w:rFonts w:asciiTheme="minorHAnsi" w:eastAsia="Times New Roman" w:hAnsiTheme="minorHAnsi" w:cstheme="minorHAnsi"/>
                <w:sz w:val="24"/>
                <w:szCs w:val="24"/>
                <w:lang w:val="sr-Latn-RS"/>
              </w:rPr>
              <w:t>i načelo i pravo</w:t>
            </w:r>
            <w:r>
              <w:rPr>
                <w:rFonts w:asciiTheme="minorHAnsi" w:eastAsia="Times New Roman" w:hAnsiTheme="minorHAnsi" w:cstheme="minorHAnsi"/>
                <w:sz w:val="24"/>
                <w:szCs w:val="24"/>
                <w:lang w:val="sr-Latn-RS"/>
              </w:rPr>
              <w:t>. Pristupačnost treba posmatrati ne samo u kontekstu jednakosti i nediskriminacije, nego i kao način ulaganja u društvo i kao sastavni dio Agende za održivi razvoj. Osobe s invaliditetom treba da imaju jednak pristup svim dobrima, proizvodima i uslugama otvorenim ili namijenjenim za javnost na način koji će osigurati ravnopravno i efikasno korišćenje i poštovati njihovo dostojanstvo. </w:t>
            </w:r>
            <w:r w:rsidR="00A3040A" w:rsidRPr="002977EB">
              <w:rPr>
                <w:rFonts w:asciiTheme="minorHAnsi" w:eastAsia="Times New Roman" w:hAnsiTheme="minorHAnsi" w:cstheme="minorHAnsi"/>
                <w:sz w:val="24"/>
                <w:szCs w:val="24"/>
                <w:lang w:val="sr-Latn-RS"/>
              </w:rPr>
              <w:t>Komitet u čl.8 b) preporučuje državi da preduzme efektivne korake da uključi obavezne elemente prava lica sa invaliditetom s posebnim fokusom na univerzalni dizajn u kurikulume za studente arhitekture i građevinarstva. Organizovanje edukacija i kampanja o univerzalnom dizajnu i primjeni univerzalnog dizajna jedan je od modela rješavanja ovog pitanja iz domena nadležnosti Ministarstva prostornog planiranja, urbanizma i državne imovine</w:t>
            </w:r>
            <w:r w:rsidR="006D53ED">
              <w:rPr>
                <w:rFonts w:ascii="Arial" w:hAnsi="Arial" w:cs="Arial"/>
                <w:sz w:val="22"/>
                <w:szCs w:val="22"/>
                <w:lang w:val="sr-Latn-RS"/>
              </w:rPr>
              <w:t>.</w:t>
            </w:r>
          </w:p>
          <w:p w:rsidR="00990474" w:rsidRDefault="00063D42" w:rsidP="00FD7CC7">
            <w:pPr>
              <w:spacing w:after="200"/>
              <w:jc w:val="both"/>
              <w:rPr>
                <w:rFonts w:asciiTheme="minorHAnsi" w:hAnsiTheme="minorHAnsi"/>
                <w:sz w:val="24"/>
                <w:szCs w:val="24"/>
                <w:lang w:val="sr-Latn-ME" w:eastAsia="ja-JP"/>
              </w:rPr>
            </w:pPr>
            <w:r w:rsidRPr="0092660D">
              <w:rPr>
                <w:rFonts w:asciiTheme="minorHAnsi" w:hAnsiTheme="minorHAnsi"/>
                <w:b/>
                <w:sz w:val="24"/>
                <w:szCs w:val="24"/>
                <w:lang w:val="sr-Latn-ME" w:eastAsia="ja-JP"/>
              </w:rPr>
              <w:t>Evropska strategija pristupačnosti</w:t>
            </w:r>
            <w:r>
              <w:rPr>
                <w:rFonts w:asciiTheme="minorHAnsi" w:hAnsiTheme="minorHAnsi"/>
                <w:sz w:val="24"/>
                <w:szCs w:val="24"/>
                <w:lang w:val="sr-Latn-ME" w:eastAsia="ja-JP"/>
              </w:rPr>
              <w:t xml:space="preserve"> navodi da svaka šesta osoba u Evropskoj uniji (EU) ima neki oblik invaliditeta koji se kreće od blagog do            ozbiljnog oblika invaliditeta. Preko trećine ljudi starijih od 75 godina ima invaliditet koji ih donekle ograničava i </w:t>
            </w:r>
            <w:r w:rsidRPr="002D0704">
              <w:rPr>
                <w:rFonts w:asciiTheme="minorHAnsi" w:hAnsiTheme="minorHAnsi"/>
                <w:sz w:val="24"/>
                <w:szCs w:val="24"/>
                <w:lang w:val="sr-Latn-ME" w:eastAsia="ja-JP"/>
              </w:rPr>
              <w:t>preko 20% je znatno ograničeno</w:t>
            </w:r>
            <w:r>
              <w:rPr>
                <w:rFonts w:asciiTheme="minorHAnsi" w:hAnsiTheme="minorHAnsi"/>
                <w:sz w:val="24"/>
                <w:szCs w:val="24"/>
                <w:lang w:val="sr-Latn-ME" w:eastAsia="ja-JP"/>
              </w:rPr>
              <w:t>. Štaviše, očekuje se da će ovi brojevi verovatno rasti imajući u vidu  da u EU stanovništvo stari.</w:t>
            </w:r>
          </w:p>
          <w:p w:rsidR="00067E44" w:rsidRPr="00067E44" w:rsidRDefault="00067E44" w:rsidP="0092660D">
            <w:pPr>
              <w:spacing w:after="200"/>
              <w:jc w:val="both"/>
              <w:rPr>
                <w:rFonts w:asciiTheme="minorHAnsi" w:hAnsiTheme="minorHAnsi"/>
                <w:sz w:val="24"/>
                <w:szCs w:val="24"/>
                <w:lang w:val="sr-Latn-ME" w:eastAsia="ja-JP"/>
              </w:rPr>
            </w:pPr>
            <w:r w:rsidRPr="0092660D">
              <w:rPr>
                <w:rFonts w:asciiTheme="minorHAnsi" w:hAnsiTheme="minorHAnsi"/>
                <w:sz w:val="24"/>
                <w:szCs w:val="24"/>
                <w:lang w:val="sr-Latn-ME" w:eastAsia="ja-JP"/>
              </w:rPr>
              <w:t>U pogledu unaprjeđenja strateškog okvira</w:t>
            </w:r>
            <w:r w:rsidR="00AD0770">
              <w:rPr>
                <w:rFonts w:asciiTheme="minorHAnsi" w:hAnsiTheme="minorHAnsi"/>
                <w:sz w:val="24"/>
                <w:szCs w:val="24"/>
                <w:lang w:val="sr-Latn-ME" w:eastAsia="ja-JP"/>
              </w:rPr>
              <w:t xml:space="preserve"> u oblasti pristupačnosti u Crnoj Gori</w:t>
            </w:r>
            <w:r w:rsidRPr="0092660D">
              <w:rPr>
                <w:rFonts w:asciiTheme="minorHAnsi" w:hAnsiTheme="minorHAnsi"/>
                <w:sz w:val="24"/>
                <w:szCs w:val="24"/>
                <w:lang w:val="sr-Latn-ME" w:eastAsia="ja-JP"/>
              </w:rPr>
              <w:t xml:space="preserve">, usvojena je </w:t>
            </w:r>
            <w:r w:rsidRPr="00067E44">
              <w:rPr>
                <w:rFonts w:asciiTheme="minorHAnsi" w:hAnsiTheme="minorHAnsi"/>
                <w:b/>
                <w:sz w:val="24"/>
                <w:szCs w:val="24"/>
                <w:lang w:val="sr-Latn-ME" w:eastAsia="ja-JP"/>
              </w:rPr>
              <w:t>Strategija za zaštitu lica sa invaliditetom od diskriminacije i promociju jednakosti 2022-2027</w:t>
            </w:r>
            <w:r w:rsidR="00AD0770">
              <w:rPr>
                <w:rFonts w:asciiTheme="minorHAnsi" w:hAnsiTheme="minorHAnsi"/>
                <w:b/>
                <w:sz w:val="24"/>
                <w:szCs w:val="24"/>
                <w:lang w:val="sr-Latn-ME" w:eastAsia="ja-JP"/>
              </w:rPr>
              <w:t>,</w:t>
            </w:r>
            <w:r w:rsidRPr="0092660D">
              <w:rPr>
                <w:rFonts w:asciiTheme="minorHAnsi" w:hAnsiTheme="minorHAnsi"/>
                <w:sz w:val="24"/>
                <w:szCs w:val="24"/>
                <w:lang w:val="sr-Latn-ME" w:eastAsia="ja-JP"/>
              </w:rPr>
              <w:t xml:space="preserve"> koja je primarno bazirana na pristupu zasnovanom na poštovanju ljudskih prava lica sa invaliditetom, kroz stvaranje uslova za obezbjeđenje učešća lica sa invaliditetom u svim sferama društvenog života. Kao novina u ovoj strategiji izdvaja se posebna zaštita i promocija ljudskih prava lica sa invaliditetom koja se ne sastoji samo u pružanju usluga isključivo vezanih za fenomen invaliditeta, već u stvaranju </w:t>
            </w:r>
            <w:r w:rsidRPr="0092660D">
              <w:rPr>
                <w:rFonts w:asciiTheme="minorHAnsi" w:hAnsiTheme="minorHAnsi"/>
                <w:sz w:val="24"/>
                <w:szCs w:val="24"/>
                <w:lang w:val="sr-Latn-ME" w:eastAsia="ja-JP"/>
              </w:rPr>
              <w:lastRenderedPageBreak/>
              <w:t>uslova za promjenu društvenog pristupa i ponašanja manifestovanog u barijerama i preprekama koje stigmatizuju i marginalizuju lica sa invaliditetom i onemogućavaju njihovo redovno funkcionisanje</w:t>
            </w:r>
            <w:r>
              <w:rPr>
                <w:rFonts w:asciiTheme="minorHAnsi" w:hAnsiTheme="minorHAnsi"/>
                <w:sz w:val="24"/>
                <w:szCs w:val="24"/>
                <w:lang w:val="sr-Latn-ME" w:eastAsia="ja-JP"/>
              </w:rPr>
              <w:t>.</w:t>
            </w:r>
          </w:p>
          <w:p w:rsidR="00063D42" w:rsidRDefault="00990474" w:rsidP="00FD7CC7">
            <w:pPr>
              <w:spacing w:after="200"/>
              <w:jc w:val="both"/>
              <w:rPr>
                <w:rFonts w:asciiTheme="minorHAnsi" w:hAnsiTheme="minorHAnsi"/>
                <w:sz w:val="24"/>
                <w:szCs w:val="24"/>
                <w:lang w:val="sr-Latn-ME" w:eastAsia="ja-JP"/>
              </w:rPr>
            </w:pPr>
            <w:r w:rsidRPr="00067E44">
              <w:rPr>
                <w:rFonts w:asciiTheme="minorHAnsi" w:hAnsiTheme="minorHAnsi"/>
                <w:sz w:val="24"/>
                <w:szCs w:val="24"/>
                <w:lang w:val="sr-Latn-ME" w:eastAsia="ja-JP"/>
              </w:rPr>
              <w:t>Strategija za zaštitu lica sa invaliditetom od diskriminacije i promociju jednakosti za period 2022-2027</w:t>
            </w:r>
            <w:r w:rsidRPr="0092660D">
              <w:rPr>
                <w:rFonts w:asciiTheme="minorHAnsi" w:hAnsiTheme="minorHAnsi"/>
                <w:sz w:val="24"/>
                <w:szCs w:val="24"/>
                <w:lang w:val="sr-Latn-ME" w:eastAsia="ja-JP"/>
              </w:rPr>
              <w:t>. godine predstavlja drugi strateški dokument koji stavlja primarni akcenat na efektivno suzbijanje svih oblika diskriminacije, kao i stvaranje uslova za uživanje jednakih prava u svim oblastima života licima sa invaliditetom. Takođe,  mjere i aktivnosti  koje su  definisane ovom Strategijom između ostalog,  predstavljaju  izazov i važna  su smjernica za realizaciju preporuka Komiteta UN, a samim tim i  definisanje aktivnosti i mjera  za  Konkurs za finansiranje projekata / programa  za lica sa invaliditetom za 202</w:t>
            </w:r>
            <w:r w:rsidR="00067E44">
              <w:rPr>
                <w:rFonts w:asciiTheme="minorHAnsi" w:hAnsiTheme="minorHAnsi"/>
                <w:sz w:val="24"/>
                <w:szCs w:val="24"/>
                <w:lang w:val="sr-Latn-ME" w:eastAsia="ja-JP"/>
              </w:rPr>
              <w:t>5</w:t>
            </w:r>
            <w:r w:rsidRPr="0092660D">
              <w:rPr>
                <w:rFonts w:asciiTheme="minorHAnsi" w:hAnsiTheme="minorHAnsi"/>
                <w:sz w:val="24"/>
                <w:szCs w:val="24"/>
                <w:lang w:val="sr-Latn-ME" w:eastAsia="ja-JP"/>
              </w:rPr>
              <w:t>. godinu.</w:t>
            </w:r>
            <w:r w:rsidR="00632510">
              <w:rPr>
                <w:rFonts w:asciiTheme="minorHAnsi" w:hAnsiTheme="minorHAnsi"/>
                <w:sz w:val="24"/>
                <w:szCs w:val="24"/>
                <w:lang w:val="sr-Latn-ME" w:eastAsia="ja-JP"/>
              </w:rPr>
              <w:t xml:space="preserve"> </w:t>
            </w:r>
            <w:r w:rsidR="00063D42" w:rsidRPr="00067E44">
              <w:rPr>
                <w:rFonts w:asciiTheme="minorHAnsi" w:hAnsiTheme="minorHAnsi"/>
                <w:sz w:val="24"/>
                <w:szCs w:val="24"/>
                <w:lang w:val="sr-Latn-ME" w:eastAsia="ja-JP"/>
              </w:rPr>
              <w:t xml:space="preserve">Strategija </w:t>
            </w:r>
            <w:r w:rsidR="00063D42">
              <w:rPr>
                <w:rFonts w:asciiTheme="minorHAnsi" w:hAnsiTheme="minorHAnsi"/>
                <w:sz w:val="24"/>
                <w:szCs w:val="24"/>
                <w:lang w:val="sr-Latn-ME" w:eastAsia="ja-JP"/>
              </w:rPr>
              <w:t xml:space="preserve">konstatovala je da je </w:t>
            </w:r>
            <w:r w:rsidR="00C82D82">
              <w:rPr>
                <w:rFonts w:asciiTheme="minorHAnsi" w:hAnsiTheme="minorHAnsi"/>
                <w:sz w:val="24"/>
                <w:szCs w:val="24"/>
                <w:lang w:val="sr-Latn-ME" w:eastAsia="ja-JP"/>
              </w:rPr>
              <w:t>o</w:t>
            </w:r>
            <w:r w:rsidR="00063D42">
              <w:rPr>
                <w:rFonts w:asciiTheme="minorHAnsi" w:hAnsiTheme="minorHAnsi"/>
                <w:sz w:val="24"/>
                <w:szCs w:val="24"/>
                <w:lang w:val="sr-Latn-ME" w:eastAsia="ja-JP"/>
              </w:rPr>
              <w:t xml:space="preserve">d 20 objekata </w:t>
            </w:r>
            <w:r w:rsidR="00632510">
              <w:rPr>
                <w:rFonts w:asciiTheme="minorHAnsi" w:hAnsiTheme="minorHAnsi"/>
                <w:sz w:val="24"/>
                <w:szCs w:val="24"/>
                <w:lang w:val="sr-Latn-ME" w:eastAsia="ja-JP"/>
              </w:rPr>
              <w:t>C</w:t>
            </w:r>
            <w:r w:rsidR="00063D42">
              <w:rPr>
                <w:rFonts w:asciiTheme="minorHAnsi" w:hAnsiTheme="minorHAnsi"/>
                <w:sz w:val="24"/>
                <w:szCs w:val="24"/>
                <w:lang w:val="sr-Latn-ME" w:eastAsia="ja-JP"/>
              </w:rPr>
              <w:t>entara za socijalni rad, samo jedan je pristupačan licima s invaliditetom, 11 je djelimično pristupačno, a 8 je nepristupačno. Najviše 16 osnovnih škola od 163 su potpuno pristupačne, dok su najviše tri srednje škole od 50 potpuno pristupačne</w:t>
            </w:r>
            <w:r w:rsidR="00063D42">
              <w:rPr>
                <w:rFonts w:asciiTheme="minorHAnsi" w:hAnsiTheme="minorHAnsi"/>
                <w:b/>
                <w:sz w:val="24"/>
                <w:szCs w:val="24"/>
                <w:lang w:val="sr-Latn-ME" w:eastAsia="ja-JP"/>
              </w:rPr>
              <w:t>.</w:t>
            </w:r>
          </w:p>
          <w:p w:rsidR="00063D42" w:rsidRDefault="00063D42" w:rsidP="00FD7CC7">
            <w:pPr>
              <w:spacing w:after="200"/>
              <w:jc w:val="both"/>
              <w:rPr>
                <w:rFonts w:ascii="Calibri" w:eastAsia="Calibri" w:hAnsi="Calibri"/>
                <w:sz w:val="24"/>
                <w:szCs w:val="24"/>
                <w:lang w:val="sr-Latn-ME"/>
              </w:rPr>
            </w:pPr>
            <w:r>
              <w:rPr>
                <w:rFonts w:ascii="Calibri" w:eastAsia="Calibri" w:hAnsi="Calibri"/>
                <w:b/>
                <w:sz w:val="24"/>
                <w:szCs w:val="24"/>
                <w:lang w:val="sr-Latn-ME"/>
              </w:rPr>
              <w:t>Strategija</w:t>
            </w:r>
            <w:r>
              <w:rPr>
                <w:rFonts w:ascii="Calibri" w:eastAsia="Calibri" w:hAnsi="Calibri"/>
                <w:sz w:val="24"/>
                <w:szCs w:val="24"/>
                <w:lang w:val="sr-Latn-ME"/>
              </w:rPr>
              <w:t xml:space="preserve"> navodi da, prema rezultatima istraživanjima javnosti, 60% lica sa invaliditetom nasuprot 50% opšte javnosti smatra da objekti u javnoj upotrebi nisu ili su nedovoljno prilagođeni za lica s invaliditetom. Kao Operativni cilj 2 u oblasti 2 „Diskriminacija u oblasti pristupačnosti“  definisan je „ravnopravan pristup licima sa invaliditetom u oblasti: pristupa objektima u javnoj upotrebi“ a kao indikator učinka , da se smanji procenat jaza između građana i lica  sa invaliditetom koji smatraju da objekti u javnoj upotrebi nisu ili su nedovoljno prilagođeni za lica sa invaliditetom do 10%. </w:t>
            </w:r>
          </w:p>
          <w:p w:rsidR="005C0ED8" w:rsidRPr="00B11924" w:rsidRDefault="005C0ED8" w:rsidP="00FD7CC7">
            <w:pPr>
              <w:spacing w:after="200"/>
              <w:jc w:val="both"/>
              <w:rPr>
                <w:rFonts w:ascii="Calibri" w:eastAsia="Calibri" w:hAnsi="Calibri"/>
                <w:sz w:val="24"/>
                <w:szCs w:val="24"/>
                <w:lang w:val="sr-Latn-ME"/>
              </w:rPr>
            </w:pPr>
            <w:r w:rsidRPr="00B11924">
              <w:rPr>
                <w:rFonts w:ascii="Calibri" w:eastAsia="Calibri" w:hAnsi="Calibri"/>
                <w:sz w:val="24"/>
                <w:szCs w:val="24"/>
                <w:lang w:val="sr-Latn-ME"/>
              </w:rPr>
              <w:t xml:space="preserve">Zatim, </w:t>
            </w:r>
            <w:r w:rsidRPr="0092660D">
              <w:rPr>
                <w:rFonts w:ascii="Calibri" w:eastAsia="Calibri" w:hAnsi="Calibri"/>
                <w:b/>
                <w:sz w:val="24"/>
                <w:szCs w:val="24"/>
                <w:lang w:val="sr-Latn-ME"/>
              </w:rPr>
              <w:t>Strategija razvoja turizma Crne Gore 2022-2027</w:t>
            </w:r>
            <w:r w:rsidRPr="00B11924">
              <w:rPr>
                <w:rFonts w:ascii="Calibri" w:eastAsia="Calibri" w:hAnsi="Calibri"/>
                <w:sz w:val="24"/>
                <w:szCs w:val="24"/>
                <w:lang w:val="sr-Latn-ME"/>
              </w:rPr>
              <w:t xml:space="preserve"> sadrži dio koji se odnosi na inkluzivni turizam i pojašnjava da isti predstavlja tendenciju da turizam bude pristupačan svima, da svi ljudi, bez razlike, imaju pravo da uživaju u turističkim iskustvima.</w:t>
            </w:r>
          </w:p>
          <w:p w:rsidR="0006451C" w:rsidRDefault="0006451C" w:rsidP="0006451C">
            <w:pPr>
              <w:spacing w:after="200"/>
              <w:jc w:val="both"/>
              <w:rPr>
                <w:rFonts w:asciiTheme="minorHAnsi" w:hAnsiTheme="minorHAnsi"/>
                <w:sz w:val="24"/>
                <w:szCs w:val="24"/>
                <w:lang w:val="sr-Latn-ME" w:eastAsia="ja-JP"/>
              </w:rPr>
            </w:pPr>
            <w:r>
              <w:rPr>
                <w:rFonts w:asciiTheme="minorHAnsi" w:hAnsiTheme="minorHAnsi" w:cstheme="minorHAnsi"/>
                <w:b/>
                <w:sz w:val="24"/>
                <w:szCs w:val="24"/>
                <w:lang w:val="sr-Latn-ME" w:eastAsia="ja-JP"/>
              </w:rPr>
              <w:t>Prema podacima MONSTAT-a</w:t>
            </w:r>
            <w:r>
              <w:rPr>
                <w:rFonts w:asciiTheme="minorHAnsi" w:hAnsiTheme="minorHAnsi" w:cstheme="minorHAnsi"/>
                <w:b/>
                <w:sz w:val="24"/>
                <w:szCs w:val="24"/>
                <w:lang w:val="en-GB" w:eastAsia="ja-JP"/>
              </w:rPr>
              <w:t xml:space="preserve"> </w:t>
            </w:r>
            <w:proofErr w:type="spellStart"/>
            <w:r>
              <w:rPr>
                <w:rFonts w:asciiTheme="minorHAnsi" w:hAnsiTheme="minorHAnsi" w:cstheme="minorHAnsi"/>
                <w:b/>
                <w:sz w:val="24"/>
                <w:szCs w:val="24"/>
                <w:lang w:val="en-GB" w:eastAsia="ja-JP"/>
              </w:rPr>
              <w:t>iz</w:t>
            </w:r>
            <w:proofErr w:type="spellEnd"/>
            <w:r>
              <w:rPr>
                <w:rFonts w:asciiTheme="minorHAnsi" w:hAnsiTheme="minorHAnsi" w:cstheme="minorHAnsi"/>
                <w:b/>
                <w:sz w:val="24"/>
                <w:szCs w:val="24"/>
                <w:lang w:val="en-GB" w:eastAsia="ja-JP"/>
              </w:rPr>
              <w:t xml:space="preserve"> 2011. </w:t>
            </w:r>
            <w:proofErr w:type="spellStart"/>
            <w:r>
              <w:rPr>
                <w:rFonts w:asciiTheme="minorHAnsi" w:hAnsiTheme="minorHAnsi" w:cstheme="minorHAnsi"/>
                <w:b/>
                <w:sz w:val="24"/>
                <w:szCs w:val="24"/>
                <w:lang w:val="en-GB" w:eastAsia="ja-JP"/>
              </w:rPr>
              <w:t>godine</w:t>
            </w:r>
            <w:proofErr w:type="spellEnd"/>
            <w:r>
              <w:rPr>
                <w:rFonts w:asciiTheme="minorHAnsi" w:hAnsiTheme="minorHAnsi" w:cstheme="minorHAnsi"/>
                <w:sz w:val="24"/>
                <w:szCs w:val="24"/>
                <w:lang w:val="en-GB" w:eastAsia="ja-JP"/>
              </w:rPr>
              <w:t xml:space="preserve">, </w:t>
            </w:r>
            <w:r>
              <w:rPr>
                <w:rFonts w:asciiTheme="minorHAnsi" w:hAnsiTheme="minorHAnsi" w:cstheme="minorHAnsi"/>
                <w:b/>
                <w:sz w:val="24"/>
                <w:szCs w:val="24"/>
                <w:lang w:val="en-GB" w:eastAsia="ja-JP"/>
              </w:rPr>
              <w:t>“</w:t>
            </w:r>
            <w:proofErr w:type="spellStart"/>
            <w:r>
              <w:rPr>
                <w:rFonts w:asciiTheme="minorHAnsi" w:hAnsiTheme="minorHAnsi"/>
                <w:b/>
                <w:sz w:val="24"/>
                <w:szCs w:val="24"/>
                <w:lang w:val="en-GB" w:eastAsia="ja-JP"/>
              </w:rPr>
              <w:t>Stanovništvo</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koje</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ima</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smetnje</w:t>
            </w:r>
            <w:proofErr w:type="spellEnd"/>
            <w:r>
              <w:rPr>
                <w:rFonts w:asciiTheme="minorHAnsi" w:hAnsiTheme="minorHAnsi"/>
                <w:b/>
                <w:sz w:val="24"/>
                <w:szCs w:val="24"/>
                <w:lang w:val="en-GB" w:eastAsia="ja-JP"/>
              </w:rPr>
              <w:t xml:space="preserve"> u </w:t>
            </w:r>
            <w:proofErr w:type="spellStart"/>
            <w:r>
              <w:rPr>
                <w:rFonts w:asciiTheme="minorHAnsi" w:hAnsiTheme="minorHAnsi"/>
                <w:b/>
                <w:sz w:val="24"/>
                <w:szCs w:val="24"/>
                <w:lang w:val="en-GB" w:eastAsia="ja-JP"/>
              </w:rPr>
              <w:t>obavljanju</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svakodnevnih</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aktivnosti</w:t>
            </w:r>
            <w:proofErr w:type="spellEnd"/>
            <w:r>
              <w:rPr>
                <w:rFonts w:asciiTheme="minorHAnsi" w:hAnsiTheme="minorHAnsi"/>
                <w:b/>
                <w:sz w:val="24"/>
                <w:szCs w:val="24"/>
                <w:lang w:val="en-GB" w:eastAsia="ja-JP"/>
              </w:rPr>
              <w:t xml:space="preserve">, po </w:t>
            </w:r>
            <w:proofErr w:type="spellStart"/>
            <w:r>
              <w:rPr>
                <w:rFonts w:asciiTheme="minorHAnsi" w:hAnsiTheme="minorHAnsi"/>
                <w:b/>
                <w:sz w:val="24"/>
                <w:szCs w:val="24"/>
                <w:lang w:val="en-GB" w:eastAsia="ja-JP"/>
              </w:rPr>
              <w:t>opštinama</w:t>
            </w:r>
            <w:proofErr w:type="spellEnd"/>
            <w:r>
              <w:rPr>
                <w:rFonts w:asciiTheme="minorHAnsi" w:hAnsiTheme="minorHAnsi"/>
                <w:b/>
                <w:sz w:val="24"/>
                <w:szCs w:val="24"/>
                <w:lang w:val="en-GB" w:eastAsia="ja-JP"/>
              </w:rPr>
              <w:t xml:space="preserve"> u </w:t>
            </w:r>
            <w:proofErr w:type="spellStart"/>
            <w:r>
              <w:rPr>
                <w:rFonts w:asciiTheme="minorHAnsi" w:hAnsiTheme="minorHAnsi"/>
                <w:b/>
                <w:sz w:val="24"/>
                <w:szCs w:val="24"/>
                <w:lang w:val="en-GB" w:eastAsia="ja-JP"/>
              </w:rPr>
              <w:t>Crnoj</w:t>
            </w:r>
            <w:proofErr w:type="spellEnd"/>
            <w:r>
              <w:rPr>
                <w:rFonts w:asciiTheme="minorHAnsi" w:hAnsiTheme="minorHAnsi"/>
                <w:b/>
                <w:sz w:val="24"/>
                <w:szCs w:val="24"/>
                <w:lang w:val="en-GB" w:eastAsia="ja-JP"/>
              </w:rPr>
              <w:t xml:space="preserve"> Gori</w:t>
            </w:r>
            <w:r>
              <w:rPr>
                <w:rFonts w:asciiTheme="minorHAnsi" w:hAnsiTheme="minorHAnsi"/>
                <w:sz w:val="24"/>
                <w:szCs w:val="24"/>
                <w:lang w:val="en-GB" w:eastAsia="ja-JP"/>
              </w:rPr>
              <w:t xml:space="preserve">”, </w:t>
            </w:r>
            <w:r>
              <w:rPr>
                <w:rFonts w:asciiTheme="minorHAnsi" w:hAnsiTheme="minorHAnsi"/>
                <w:sz w:val="24"/>
                <w:szCs w:val="24"/>
                <w:lang w:val="sr-Latn-ME" w:eastAsia="ja-JP"/>
              </w:rPr>
              <w:t xml:space="preserve"> </w:t>
            </w:r>
            <w:hyperlink r:id="rId12" w:history="1">
              <w:r>
                <w:rPr>
                  <w:rStyle w:val="Hyperlink"/>
                  <w:rFonts w:asciiTheme="minorHAnsi" w:hAnsiTheme="minorHAnsi"/>
                  <w:sz w:val="24"/>
                  <w:szCs w:val="24"/>
                  <w:lang w:val="en-GB" w:eastAsia="ja-JP"/>
                </w:rPr>
                <w:t>http://monstat.org/userfiles/file/popis2011/saopstenje/Smetnje%20u%20obavljenju%20svakodnevnih%20aktivnosti%20popis%202011.pdf</w:t>
              </w:r>
            </w:hyperlink>
            <w:r>
              <w:rPr>
                <w:rFonts w:asciiTheme="minorHAnsi" w:hAnsiTheme="minorHAnsi"/>
                <w:sz w:val="24"/>
                <w:szCs w:val="24"/>
                <w:lang w:val="sr-Latn-ME" w:eastAsia="ja-JP"/>
              </w:rPr>
              <w:t xml:space="preserve"> od ukupnog broja stanovnika, 11% (68.064) osoba ima smetnje pri obavljanju svakodnevnih aktivnosti zbog dugotrajne bolesti, invaliditeta ili starosti, 5% crnogorske populacije ima problem sa kretanjem, 2%  sa vidom iako koristi naočare i sočiva, a od ukupnog broja stanovnika 1% stanovništva ima problem sa sluhom i pored korišćenja slušnih aparata. Smetnje sa pamćenjem, koncetracijom ili za vrijeme sporazumijevanja sa drugima ima 1% stanovništva, dok 4% stanovništva osjeća teškoće druge vrste. </w:t>
            </w:r>
          </w:p>
          <w:p w:rsidR="0006451C" w:rsidRDefault="0006451C" w:rsidP="0006451C">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 xml:space="preserve">Posmatrano prema starosnim grupama, procenat stanovništva koji ima smetnje u obavljanju svakodnevnih aktivnosti, raste. U starosnoj grupi mlađoj od 29 godina, 1% populacije se izjasnilo da ima poteškoce ili smetnje zbog neke dugotrajne bolesti ili invalidnosti, 40% u u starosnoj grupi od 65 do 84 godine starosti, a 61% u populaciji starijoj od 85 godina. Najčešći uzrok za otežano obavljanje svakodnevnih aktivnosti kod 6% populacije je bolest, dok se 2% stanovništva izjasnilo da je razlog starost, 1,2% lica ima neko profesionalno oštećenje stečeno povredom na radu ili oboljenje stečeno na radu. Povrede kao uzrok smetnje, a koje nisu stečene na radu ili u saobraćajnoj nesreći ima 3914 lica. Urođene smetnje ima 3488 stanovnika, 0,3% od ukupnog broja stanovnika  povredu je steklo u saobraćajnoj nesreći, dok 0,2% populacije ne zna uzrok teškoća koje ima. Od ukupnog broja lica sa </w:t>
            </w:r>
            <w:r>
              <w:rPr>
                <w:rFonts w:asciiTheme="minorHAnsi" w:hAnsiTheme="minorHAnsi"/>
                <w:sz w:val="24"/>
                <w:szCs w:val="24"/>
                <w:lang w:val="sr-Latn-ME" w:eastAsia="ja-JP"/>
              </w:rPr>
              <w:lastRenderedPageBreak/>
              <w:t>smetnjama 54% su žene, a 46% muškarci. Od ukupnog broja ženske populacije, 12% ima smetnje tokom obavljanja svakodnevnih aktivnosti, dok taj procenat kod muškaraca iznosi 10%.</w:t>
            </w:r>
          </w:p>
          <w:p w:rsidR="0006451C" w:rsidRDefault="0006451C" w:rsidP="0006451C">
            <w:pPr>
              <w:shd w:val="clear" w:color="auto" w:fill="FFFFFF" w:themeFill="background1"/>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Napominjemo da su podaci MONSTATA iz 2011, ali to su jedini zvanično raspoloživi podaci.</w:t>
            </w:r>
          </w:p>
          <w:p w:rsidR="0006451C" w:rsidRDefault="0006451C" w:rsidP="0006451C">
            <w:pPr>
              <w:shd w:val="clear" w:color="auto" w:fill="FFFFFF" w:themeFill="background1"/>
              <w:jc w:val="both"/>
              <w:rPr>
                <w:rFonts w:asciiTheme="minorHAnsi" w:hAnsiTheme="minorHAnsi" w:cstheme="minorHAnsi"/>
                <w:noProof/>
                <w:sz w:val="24"/>
                <w:szCs w:val="24"/>
                <w:lang w:val="sr-Latn-ME"/>
              </w:rPr>
            </w:pPr>
            <w:proofErr w:type="spellStart"/>
            <w:r>
              <w:rPr>
                <w:rFonts w:asciiTheme="minorHAnsi" w:eastAsia="Calibri" w:hAnsiTheme="minorHAnsi" w:cstheme="minorHAnsi"/>
                <w:b/>
                <w:sz w:val="24"/>
                <w:szCs w:val="24"/>
                <w:lang w:val="en-GB"/>
              </w:rPr>
              <w:t>Zaštitnik</w:t>
            </w:r>
            <w:proofErr w:type="spellEnd"/>
            <w:r>
              <w:rPr>
                <w:rFonts w:asciiTheme="minorHAnsi" w:eastAsia="Calibri" w:hAnsiTheme="minorHAnsi" w:cstheme="minorHAnsi"/>
                <w:b/>
                <w:sz w:val="24"/>
                <w:szCs w:val="24"/>
                <w:lang w:val="en-GB"/>
              </w:rPr>
              <w:t xml:space="preserve"> </w:t>
            </w:r>
            <w:proofErr w:type="spellStart"/>
            <w:r>
              <w:rPr>
                <w:rFonts w:asciiTheme="minorHAnsi" w:eastAsia="Calibri" w:hAnsiTheme="minorHAnsi" w:cstheme="minorHAnsi"/>
                <w:b/>
                <w:sz w:val="24"/>
                <w:szCs w:val="24"/>
                <w:lang w:val="en-GB"/>
              </w:rPr>
              <w:t>ljudskih</w:t>
            </w:r>
            <w:proofErr w:type="spellEnd"/>
            <w:r>
              <w:rPr>
                <w:rFonts w:asciiTheme="minorHAnsi" w:eastAsia="Calibri" w:hAnsiTheme="minorHAnsi" w:cstheme="minorHAnsi"/>
                <w:b/>
                <w:sz w:val="24"/>
                <w:szCs w:val="24"/>
                <w:lang w:val="en-GB"/>
              </w:rPr>
              <w:t xml:space="preserve"> </w:t>
            </w:r>
            <w:proofErr w:type="spellStart"/>
            <w:r>
              <w:rPr>
                <w:rFonts w:asciiTheme="minorHAnsi" w:eastAsia="Calibri" w:hAnsiTheme="minorHAnsi" w:cstheme="minorHAnsi"/>
                <w:b/>
                <w:sz w:val="24"/>
                <w:szCs w:val="24"/>
                <w:lang w:val="en-GB"/>
              </w:rPr>
              <w:t>prava</w:t>
            </w:r>
            <w:proofErr w:type="spellEnd"/>
            <w:r>
              <w:rPr>
                <w:rFonts w:asciiTheme="minorHAnsi" w:eastAsia="Calibri" w:hAnsiTheme="minorHAnsi" w:cstheme="minorHAnsi"/>
                <w:b/>
                <w:sz w:val="24"/>
                <w:szCs w:val="24"/>
                <w:lang w:val="en-GB"/>
              </w:rPr>
              <w:t xml:space="preserve"> i </w:t>
            </w:r>
            <w:proofErr w:type="spellStart"/>
            <w:r>
              <w:rPr>
                <w:rFonts w:asciiTheme="minorHAnsi" w:eastAsia="Calibri" w:hAnsiTheme="minorHAnsi" w:cstheme="minorHAnsi"/>
                <w:b/>
                <w:sz w:val="24"/>
                <w:szCs w:val="24"/>
                <w:lang w:val="en-GB"/>
              </w:rPr>
              <w:t>sloboda</w:t>
            </w:r>
            <w:proofErr w:type="spellEnd"/>
            <w:r>
              <w:rPr>
                <w:rFonts w:asciiTheme="minorHAnsi" w:eastAsia="Calibri" w:hAnsiTheme="minorHAnsi" w:cstheme="minorHAnsi"/>
                <w:b/>
                <w:sz w:val="24"/>
                <w:szCs w:val="24"/>
                <w:lang w:val="en-GB"/>
              </w:rPr>
              <w:t xml:space="preserve">, </w:t>
            </w:r>
            <w:hyperlink r:id="rId13" w:history="1">
              <w:r w:rsidRPr="00FB08EA">
                <w:rPr>
                  <w:rStyle w:val="Hyperlink"/>
                  <w:rFonts w:ascii="Calibri" w:eastAsia="Calibri" w:hAnsi="Calibri"/>
                  <w:b/>
                  <w:sz w:val="24"/>
                  <w:szCs w:val="24"/>
                </w:rPr>
                <w:t>https://www.ombudsman.co.me/docs/1619074992_izvjestaj_ 01042021.pdf</w:t>
              </w:r>
            </w:hyperlink>
            <w:r w:rsidRPr="00FB08EA">
              <w:rPr>
                <w:noProof/>
                <w:sz w:val="24"/>
                <w:szCs w:val="24"/>
                <w:lang w:val="sr-Latn-ME"/>
              </w:rPr>
              <w:t xml:space="preserve"> </w:t>
            </w:r>
            <w:r>
              <w:rPr>
                <w:rFonts w:asciiTheme="minorHAnsi" w:eastAsia="Calibri" w:hAnsiTheme="minorHAnsi" w:cstheme="minorHAnsi"/>
                <w:b/>
                <w:sz w:val="24"/>
                <w:szCs w:val="24"/>
                <w:lang w:val="en-GB"/>
              </w:rPr>
              <w:t xml:space="preserve">u </w:t>
            </w:r>
            <w:proofErr w:type="spellStart"/>
            <w:r>
              <w:rPr>
                <w:rFonts w:asciiTheme="minorHAnsi" w:eastAsia="Calibri" w:hAnsiTheme="minorHAnsi" w:cstheme="minorHAnsi"/>
                <w:sz w:val="24"/>
                <w:szCs w:val="24"/>
                <w:lang w:val="en-GB"/>
              </w:rPr>
              <w:t>svom</w:t>
            </w:r>
            <w:proofErr w:type="spellEnd"/>
            <w:r>
              <w:rPr>
                <w:rFonts w:asciiTheme="minorHAnsi" w:eastAsia="Calibri" w:hAnsiTheme="minorHAnsi" w:cstheme="minorHAnsi"/>
                <w:sz w:val="24"/>
                <w:szCs w:val="24"/>
                <w:lang w:val="en-GB"/>
              </w:rPr>
              <w:t xml:space="preserve"> </w:t>
            </w:r>
            <w:proofErr w:type="spellStart"/>
            <w:r>
              <w:rPr>
                <w:rFonts w:asciiTheme="minorHAnsi" w:eastAsia="Calibri" w:hAnsiTheme="minorHAnsi" w:cstheme="minorHAnsi"/>
                <w:sz w:val="24"/>
                <w:szCs w:val="24"/>
                <w:lang w:val="en-GB"/>
              </w:rPr>
              <w:t>godišnjem</w:t>
            </w:r>
            <w:proofErr w:type="spellEnd"/>
            <w:r>
              <w:rPr>
                <w:rFonts w:asciiTheme="minorHAnsi" w:eastAsia="Calibri" w:hAnsiTheme="minorHAnsi" w:cstheme="minorHAnsi"/>
                <w:sz w:val="24"/>
                <w:szCs w:val="24"/>
                <w:lang w:val="en-GB"/>
              </w:rPr>
              <w:t xml:space="preserve"> </w:t>
            </w:r>
            <w:proofErr w:type="spellStart"/>
            <w:r>
              <w:rPr>
                <w:rFonts w:asciiTheme="minorHAnsi" w:eastAsia="Calibri" w:hAnsiTheme="minorHAnsi" w:cstheme="minorHAnsi"/>
                <w:sz w:val="24"/>
                <w:szCs w:val="24"/>
                <w:lang w:val="en-GB"/>
              </w:rPr>
              <w:t>Izvještaju</w:t>
            </w:r>
            <w:proofErr w:type="spellEnd"/>
            <w:r>
              <w:rPr>
                <w:rFonts w:asciiTheme="minorHAnsi" w:eastAsia="Calibri" w:hAnsiTheme="minorHAnsi" w:cstheme="minorHAnsi"/>
                <w:sz w:val="24"/>
                <w:szCs w:val="24"/>
                <w:lang w:val="en-GB"/>
              </w:rPr>
              <w:t xml:space="preserve"> o radu,  </w:t>
            </w:r>
            <w:r>
              <w:rPr>
                <w:sz w:val="24"/>
                <w:szCs w:val="24"/>
                <w:lang w:val="en-GB"/>
              </w:rPr>
              <w:t>n</w:t>
            </w:r>
            <w:r>
              <w:rPr>
                <w:noProof/>
                <w:sz w:val="24"/>
                <w:szCs w:val="24"/>
                <w:lang w:val="sr-Latn-ME"/>
              </w:rPr>
              <w:t xml:space="preserve">avodi </w:t>
            </w:r>
            <w:r>
              <w:rPr>
                <w:rFonts w:asciiTheme="minorHAnsi" w:hAnsiTheme="minorHAnsi" w:cstheme="minorHAnsi"/>
                <w:noProof/>
                <w:sz w:val="24"/>
                <w:szCs w:val="24"/>
                <w:lang w:val="sr-Latn-ME"/>
              </w:rPr>
              <w:t xml:space="preserve"> da su učinjeni napori na unaprijeđenju zakonodavnog okvira, međutim problemi sa kojima se suočavaju lica s invaliditetom u svakodnevnom životu u oblasti pristupačnosti i dalje postoje u velikoj mjeri. Jedan od problema je i nedostatak preciznih podataka koji bi jasno ukazali na nivo diskriminacije sa kojim se suočavaju lica s invaliditetom u oblasti pristupačnosti. U pogledu pitanja pristupačnosti objektima i dalje postoji značajan broj objekata u javnoj upotrebi koji nijesu pristupačni licima s invaliditetom. </w:t>
            </w:r>
            <w:r w:rsidRPr="006560DE">
              <w:rPr>
                <w:rFonts w:asciiTheme="minorHAnsi" w:hAnsiTheme="minorHAnsi" w:cstheme="minorHAnsi"/>
                <w:noProof/>
                <w:sz w:val="24"/>
                <w:szCs w:val="24"/>
                <w:lang w:val="sr-Latn-ME"/>
              </w:rPr>
              <w:t>Preporuke Zaštitnika</w:t>
            </w:r>
            <w:r>
              <w:rPr>
                <w:rFonts w:asciiTheme="minorHAnsi" w:hAnsiTheme="minorHAnsi" w:cstheme="minorHAnsi"/>
                <w:noProof/>
                <w:sz w:val="24"/>
                <w:szCs w:val="24"/>
                <w:lang w:val="sr-Latn-ME"/>
              </w:rPr>
              <w:t xml:space="preserve"> je „d</w:t>
            </w:r>
            <w:r w:rsidRPr="006560DE">
              <w:rPr>
                <w:rFonts w:asciiTheme="minorHAnsi" w:hAnsiTheme="minorHAnsi" w:cstheme="minorHAnsi"/>
                <w:noProof/>
                <w:sz w:val="24"/>
                <w:szCs w:val="24"/>
                <w:lang w:val="sr-Latn-ME"/>
              </w:rPr>
              <w:t>a se dosljedno primjenjuju propisi koji regulišu pristupačnost objekata i površina u javnoj upotrebi, ali i pristupačnost informacija i komunikacija, kao i javnog prevoza, u smislu obezbjeđenja minimalnih uslova za dostizanje jednakosti sa drugima.</w:t>
            </w:r>
            <w:r>
              <w:rPr>
                <w:rFonts w:asciiTheme="minorHAnsi" w:hAnsiTheme="minorHAnsi" w:cstheme="minorHAnsi"/>
                <w:noProof/>
                <w:sz w:val="24"/>
                <w:szCs w:val="24"/>
                <w:lang w:val="sr-Latn-ME"/>
              </w:rPr>
              <w:t>“</w:t>
            </w:r>
          </w:p>
          <w:p w:rsidR="0006451C" w:rsidRDefault="0006451C" w:rsidP="0006451C">
            <w:pPr>
              <w:shd w:val="clear" w:color="auto" w:fill="FFFFFF" w:themeFill="background1"/>
              <w:jc w:val="both"/>
              <w:rPr>
                <w:rFonts w:asciiTheme="minorHAnsi" w:hAnsiTheme="minorHAnsi" w:cstheme="minorHAnsi"/>
                <w:noProof/>
                <w:sz w:val="24"/>
                <w:szCs w:val="24"/>
                <w:lang w:val="sr-Latn-ME"/>
              </w:rPr>
            </w:pPr>
          </w:p>
          <w:p w:rsidR="0006451C" w:rsidRPr="00654093" w:rsidRDefault="0006451C" w:rsidP="0006451C">
            <w:pPr>
              <w:shd w:val="clear" w:color="auto" w:fill="FFFFFF" w:themeFill="background1"/>
              <w:spacing w:after="200"/>
              <w:jc w:val="both"/>
              <w:rPr>
                <w:rFonts w:asciiTheme="minorHAnsi" w:hAnsiTheme="minorHAnsi"/>
                <w:b/>
                <w:sz w:val="24"/>
                <w:szCs w:val="24"/>
                <w:lang w:val="sr-Latn-ME" w:eastAsia="ja-JP"/>
              </w:rPr>
            </w:pPr>
            <w:r>
              <w:rPr>
                <w:rFonts w:asciiTheme="minorHAnsi" w:hAnsiTheme="minorHAnsi"/>
                <w:b/>
                <w:sz w:val="24"/>
                <w:szCs w:val="24"/>
                <w:lang w:val="sr-Latn-ME" w:eastAsia="ja-JP"/>
              </w:rPr>
              <w:t>U okviru istraživanja koje je sprovelo NVO „Udruženje mladih sa hendikepom Crne Gore“, “Istraživanje o sprovođenju Strategije za zaštitu od diskriminacije lica s invaliditetom i promociju jednakosti</w:t>
            </w:r>
            <w:r>
              <w:rPr>
                <w:rFonts w:asciiTheme="minorHAnsi" w:hAnsiTheme="minorHAnsi"/>
                <w:b/>
                <w:color w:val="2F5496" w:themeColor="accent1" w:themeShade="BF"/>
                <w:sz w:val="24"/>
                <w:szCs w:val="24"/>
                <w:lang w:val="sr-Latn-ME" w:eastAsia="ja-JP"/>
              </w:rPr>
              <w:t>”</w:t>
            </w:r>
            <w:r>
              <w:rPr>
                <w:rFonts w:asciiTheme="minorHAnsi" w:hAnsiTheme="minorHAnsi"/>
                <w:b/>
                <w:color w:val="2F5496" w:themeColor="accent1" w:themeShade="BF"/>
                <w:sz w:val="24"/>
                <w:szCs w:val="24"/>
                <w:vertAlign w:val="superscript"/>
                <w:lang w:val="sr-Latn-ME" w:eastAsia="ja-JP"/>
              </w:rPr>
              <w:t xml:space="preserve"> </w:t>
            </w:r>
            <w:r>
              <w:rPr>
                <w:rFonts w:asciiTheme="minorHAnsi" w:hAnsiTheme="minorHAnsi"/>
                <w:b/>
                <w:color w:val="2F5496" w:themeColor="accent1" w:themeShade="BF"/>
                <w:sz w:val="24"/>
                <w:szCs w:val="24"/>
                <w:lang w:val="sr-Latn-ME" w:eastAsia="ja-JP"/>
              </w:rPr>
              <w:t xml:space="preserve"> C:\Users\38269\Downloads\7-X-19-UMHCG-istraÅ¾ivanje-sistematizacija-podataka-final (1).pdf  </w:t>
            </w:r>
            <w:r>
              <w:rPr>
                <w:rFonts w:asciiTheme="minorHAnsi" w:hAnsiTheme="minorHAnsi"/>
                <w:sz w:val="24"/>
                <w:szCs w:val="24"/>
                <w:lang w:val="sr-Latn-ME" w:eastAsia="ja-JP"/>
              </w:rPr>
              <w:t>navedeno je da se lica s invaliditetom najviše osjećaju diskriminisani prilikom pristupa javnim objektima i površinama, što je stav koji je zastupljen i kod samih lica s invaliditetom, kao i kod njihovih porodica i organizacija koje se bave zaštitom njihovih prava.</w:t>
            </w:r>
          </w:p>
          <w:p w:rsidR="0006451C" w:rsidRPr="00654093" w:rsidRDefault="0006451C" w:rsidP="0006451C">
            <w:pPr>
              <w:shd w:val="clear" w:color="auto" w:fill="FFFFFF" w:themeFill="background1"/>
              <w:spacing w:after="160" w:line="256" w:lineRule="auto"/>
              <w:jc w:val="both"/>
              <w:rPr>
                <w:rFonts w:ascii="Calibri" w:eastAsia="Calibri" w:hAnsi="Calibri"/>
                <w:sz w:val="24"/>
                <w:szCs w:val="24"/>
              </w:rPr>
            </w:pPr>
            <w:proofErr w:type="spellStart"/>
            <w:r w:rsidRPr="00654093">
              <w:rPr>
                <w:rFonts w:ascii="Calibri" w:eastAsia="Calibri" w:hAnsi="Calibri"/>
                <w:sz w:val="24"/>
                <w:szCs w:val="24"/>
              </w:rPr>
              <w:t>Takođe</w:t>
            </w:r>
            <w:proofErr w:type="spellEnd"/>
            <w:r w:rsidRPr="00654093">
              <w:rPr>
                <w:rFonts w:ascii="Calibri" w:eastAsia="Calibri" w:hAnsi="Calibri"/>
                <w:sz w:val="24"/>
                <w:szCs w:val="24"/>
              </w:rPr>
              <w:t>,</w:t>
            </w:r>
            <w:r>
              <w:rPr>
                <w:rFonts w:ascii="Calibri" w:eastAsia="Calibri" w:hAnsi="Calibri"/>
                <w:sz w:val="24"/>
                <w:szCs w:val="24"/>
              </w:rPr>
              <w:t xml:space="preserve"> </w:t>
            </w:r>
            <w:r w:rsidRPr="00E476D6">
              <w:rPr>
                <w:rFonts w:ascii="Calibri" w:eastAsia="Calibri" w:hAnsi="Calibri"/>
                <w:b/>
                <w:sz w:val="24"/>
                <w:szCs w:val="24"/>
              </w:rPr>
              <w:t xml:space="preserve">NVO </w:t>
            </w:r>
            <w:r>
              <w:rPr>
                <w:rFonts w:ascii="Calibri" w:eastAsia="Calibri" w:hAnsi="Calibri"/>
                <w:b/>
                <w:sz w:val="24"/>
                <w:szCs w:val="24"/>
              </w:rPr>
              <w:t>“</w:t>
            </w:r>
            <w:r w:rsidRPr="0093707B">
              <w:rPr>
                <w:rFonts w:ascii="Calibri" w:eastAsia="Calibri" w:hAnsi="Calibri"/>
                <w:b/>
                <w:sz w:val="24"/>
                <w:szCs w:val="24"/>
              </w:rPr>
              <w:t xml:space="preserve">Udruženje </w:t>
            </w:r>
            <w:proofErr w:type="spellStart"/>
            <w:r w:rsidRPr="0093707B">
              <w:rPr>
                <w:rFonts w:ascii="Calibri" w:eastAsia="Calibri" w:hAnsi="Calibri"/>
                <w:b/>
                <w:sz w:val="24"/>
                <w:szCs w:val="24"/>
              </w:rPr>
              <w:t>mladih</w:t>
            </w:r>
            <w:proofErr w:type="spellEnd"/>
            <w:r w:rsidRPr="0093707B">
              <w:rPr>
                <w:rFonts w:ascii="Calibri" w:eastAsia="Calibri" w:hAnsi="Calibri"/>
                <w:b/>
                <w:sz w:val="24"/>
                <w:szCs w:val="24"/>
              </w:rPr>
              <w:t xml:space="preserve"> sa </w:t>
            </w:r>
            <w:proofErr w:type="spellStart"/>
            <w:r w:rsidRPr="0093707B">
              <w:rPr>
                <w:rFonts w:ascii="Calibri" w:eastAsia="Calibri" w:hAnsi="Calibri"/>
                <w:b/>
                <w:sz w:val="24"/>
                <w:szCs w:val="24"/>
              </w:rPr>
              <w:t>hendikepom</w:t>
            </w:r>
            <w:proofErr w:type="spellEnd"/>
            <w:r w:rsidRPr="0093707B">
              <w:rPr>
                <w:rFonts w:ascii="Calibri" w:eastAsia="Calibri" w:hAnsi="Calibri"/>
                <w:b/>
                <w:sz w:val="24"/>
                <w:szCs w:val="24"/>
              </w:rPr>
              <w:t xml:space="preserve"> Crne Gore</w:t>
            </w:r>
            <w:r>
              <w:rPr>
                <w:rFonts w:ascii="Calibri" w:eastAsia="Calibri" w:hAnsi="Calibri"/>
                <w:b/>
                <w:sz w:val="24"/>
                <w:szCs w:val="24"/>
              </w:rPr>
              <w:t>”</w:t>
            </w:r>
            <w:r w:rsidRPr="0093707B">
              <w:rPr>
                <w:rFonts w:ascii="Calibri" w:eastAsia="Calibri" w:hAnsi="Calibri"/>
                <w:b/>
                <w:sz w:val="24"/>
                <w:szCs w:val="24"/>
              </w:rPr>
              <w:t xml:space="preserve"> (UMHCG)</w:t>
            </w:r>
            <w:r>
              <w:rPr>
                <w:rFonts w:ascii="Calibri" w:eastAsia="Calibri" w:hAnsi="Calibri"/>
                <w:b/>
                <w:sz w:val="24"/>
                <w:szCs w:val="24"/>
              </w:rPr>
              <w:t xml:space="preserve"> 2022 </w:t>
            </w:r>
            <w:hyperlink r:id="rId14" w:history="1">
              <w:proofErr w:type="spellStart"/>
              <w:r w:rsidRPr="0093707B">
                <w:rPr>
                  <w:rStyle w:val="Hyperlink"/>
                  <w:rFonts w:ascii="Calibri" w:eastAsia="Calibri" w:hAnsi="Calibri"/>
                  <w:b/>
                  <w:sz w:val="24"/>
                  <w:szCs w:val="24"/>
                </w:rPr>
                <w:t>Publikacije</w:t>
              </w:r>
              <w:proofErr w:type="spellEnd"/>
              <w:r w:rsidRPr="0093707B">
                <w:rPr>
                  <w:rStyle w:val="Hyperlink"/>
                  <w:rFonts w:ascii="Calibri" w:eastAsia="Calibri" w:hAnsi="Calibri"/>
                  <w:b/>
                  <w:sz w:val="24"/>
                  <w:szCs w:val="24"/>
                </w:rPr>
                <w:t xml:space="preserve"> | UMHCG - Udruženje </w:t>
              </w:r>
              <w:proofErr w:type="spellStart"/>
              <w:r w:rsidRPr="0093707B">
                <w:rPr>
                  <w:rStyle w:val="Hyperlink"/>
                  <w:rFonts w:ascii="Calibri" w:eastAsia="Calibri" w:hAnsi="Calibri"/>
                  <w:b/>
                  <w:sz w:val="24"/>
                  <w:szCs w:val="24"/>
                </w:rPr>
                <w:t>mladih</w:t>
              </w:r>
              <w:proofErr w:type="spellEnd"/>
              <w:r w:rsidRPr="0093707B">
                <w:rPr>
                  <w:rStyle w:val="Hyperlink"/>
                  <w:rFonts w:ascii="Calibri" w:eastAsia="Calibri" w:hAnsi="Calibri"/>
                  <w:b/>
                  <w:sz w:val="24"/>
                  <w:szCs w:val="24"/>
                </w:rPr>
                <w:t xml:space="preserve"> sa </w:t>
              </w:r>
              <w:proofErr w:type="spellStart"/>
              <w:r w:rsidRPr="0093707B">
                <w:rPr>
                  <w:rStyle w:val="Hyperlink"/>
                  <w:rFonts w:ascii="Calibri" w:eastAsia="Calibri" w:hAnsi="Calibri"/>
                  <w:b/>
                  <w:sz w:val="24"/>
                  <w:szCs w:val="24"/>
                </w:rPr>
                <w:t>hendikepom</w:t>
              </w:r>
              <w:proofErr w:type="spellEnd"/>
              <w:r w:rsidRPr="0093707B">
                <w:rPr>
                  <w:rStyle w:val="Hyperlink"/>
                  <w:rFonts w:ascii="Calibri" w:eastAsia="Calibri" w:hAnsi="Calibri"/>
                  <w:b/>
                  <w:sz w:val="24"/>
                  <w:szCs w:val="24"/>
                </w:rPr>
                <w:t xml:space="preserve"> Crne Gore</w:t>
              </w:r>
            </w:hyperlink>
            <w:r>
              <w:rPr>
                <w:rFonts w:ascii="Calibri" w:eastAsia="Calibri" w:hAnsi="Calibri"/>
                <w:b/>
                <w:sz w:val="24"/>
                <w:szCs w:val="24"/>
              </w:rPr>
              <w:t xml:space="preserve">  </w:t>
            </w:r>
            <w:proofErr w:type="spellStart"/>
            <w:r>
              <w:rPr>
                <w:rFonts w:ascii="Calibri" w:eastAsia="Calibri" w:hAnsi="Calibri"/>
                <w:b/>
                <w:sz w:val="24"/>
                <w:szCs w:val="24"/>
              </w:rPr>
              <w:t>sprovelo</w:t>
            </w:r>
            <w:proofErr w:type="spellEnd"/>
            <w:r>
              <w:rPr>
                <w:rFonts w:ascii="Calibri" w:eastAsia="Calibri" w:hAnsi="Calibri"/>
                <w:b/>
                <w:sz w:val="24"/>
                <w:szCs w:val="24"/>
              </w:rPr>
              <w:t xml:space="preserve"> je </w:t>
            </w:r>
            <w:proofErr w:type="spellStart"/>
            <w:r>
              <w:rPr>
                <w:rFonts w:ascii="Calibri" w:eastAsia="Calibri" w:hAnsi="Calibri"/>
                <w:b/>
                <w:sz w:val="24"/>
                <w:szCs w:val="24"/>
              </w:rPr>
              <w:t>i</w:t>
            </w:r>
            <w:r w:rsidRPr="0093707B">
              <w:rPr>
                <w:rFonts w:ascii="Calibri" w:eastAsia="Calibri" w:hAnsi="Calibri"/>
                <w:b/>
                <w:sz w:val="24"/>
                <w:szCs w:val="24"/>
              </w:rPr>
              <w:t>straživanje</w:t>
            </w:r>
            <w:proofErr w:type="spellEnd"/>
            <w:r w:rsidRPr="0093707B">
              <w:rPr>
                <w:rFonts w:ascii="Calibri" w:eastAsia="Calibri" w:hAnsi="Calibri"/>
                <w:b/>
                <w:sz w:val="24"/>
                <w:szCs w:val="24"/>
              </w:rPr>
              <w:t xml:space="preserve"> o </w:t>
            </w:r>
            <w:proofErr w:type="spellStart"/>
            <w:r w:rsidRPr="0093707B">
              <w:rPr>
                <w:rFonts w:ascii="Calibri" w:eastAsia="Calibri" w:hAnsi="Calibri"/>
                <w:b/>
                <w:sz w:val="24"/>
                <w:szCs w:val="24"/>
              </w:rPr>
              <w:t>diskriminaciji</w:t>
            </w:r>
            <w:proofErr w:type="spellEnd"/>
            <w:r w:rsidRPr="0093707B">
              <w:rPr>
                <w:rFonts w:ascii="Calibri" w:eastAsia="Calibri" w:hAnsi="Calibri"/>
                <w:b/>
                <w:sz w:val="24"/>
                <w:szCs w:val="24"/>
              </w:rPr>
              <w:t xml:space="preserve"> OSI, </w:t>
            </w:r>
            <w:proofErr w:type="spellStart"/>
            <w:r w:rsidRPr="0093707B">
              <w:rPr>
                <w:rFonts w:ascii="Calibri" w:eastAsia="Calibri" w:hAnsi="Calibri"/>
                <w:b/>
                <w:sz w:val="24"/>
                <w:szCs w:val="24"/>
              </w:rPr>
              <w:t>članova</w:t>
            </w:r>
            <w:proofErr w:type="spellEnd"/>
            <w:r w:rsidRPr="0093707B">
              <w:rPr>
                <w:rFonts w:ascii="Calibri" w:eastAsia="Calibri" w:hAnsi="Calibri"/>
                <w:b/>
                <w:sz w:val="24"/>
                <w:szCs w:val="24"/>
              </w:rPr>
              <w:t xml:space="preserve"> </w:t>
            </w:r>
            <w:proofErr w:type="spellStart"/>
            <w:r w:rsidRPr="0093707B">
              <w:rPr>
                <w:rFonts w:ascii="Calibri" w:eastAsia="Calibri" w:hAnsi="Calibri"/>
                <w:b/>
                <w:sz w:val="24"/>
                <w:szCs w:val="24"/>
              </w:rPr>
              <w:t>porodica</w:t>
            </w:r>
            <w:proofErr w:type="spellEnd"/>
            <w:r w:rsidRPr="0093707B">
              <w:rPr>
                <w:rFonts w:ascii="Calibri" w:eastAsia="Calibri" w:hAnsi="Calibri"/>
                <w:b/>
                <w:sz w:val="24"/>
                <w:szCs w:val="24"/>
              </w:rPr>
              <w:t xml:space="preserve"> OSI, </w:t>
            </w:r>
            <w:proofErr w:type="spellStart"/>
            <w:r w:rsidRPr="0093707B">
              <w:rPr>
                <w:rFonts w:ascii="Calibri" w:eastAsia="Calibri" w:hAnsi="Calibri"/>
                <w:b/>
                <w:sz w:val="24"/>
                <w:szCs w:val="24"/>
              </w:rPr>
              <w:t>poznanika</w:t>
            </w:r>
            <w:proofErr w:type="spellEnd"/>
            <w:r w:rsidRPr="0093707B">
              <w:rPr>
                <w:rFonts w:ascii="Calibri" w:eastAsia="Calibri" w:hAnsi="Calibri"/>
                <w:b/>
                <w:sz w:val="24"/>
                <w:szCs w:val="24"/>
              </w:rPr>
              <w:t xml:space="preserve">/ca </w:t>
            </w:r>
            <w:proofErr w:type="spellStart"/>
            <w:r w:rsidRPr="0093707B">
              <w:rPr>
                <w:rFonts w:ascii="Calibri" w:eastAsia="Calibri" w:hAnsi="Calibri"/>
                <w:b/>
                <w:sz w:val="24"/>
                <w:szCs w:val="24"/>
              </w:rPr>
              <w:t>ili</w:t>
            </w:r>
            <w:proofErr w:type="spellEnd"/>
            <w:r w:rsidRPr="0093707B">
              <w:rPr>
                <w:rFonts w:ascii="Calibri" w:eastAsia="Calibri" w:hAnsi="Calibri"/>
                <w:b/>
                <w:sz w:val="24"/>
                <w:szCs w:val="24"/>
              </w:rPr>
              <w:t xml:space="preserve"> </w:t>
            </w:r>
            <w:proofErr w:type="spellStart"/>
            <w:r w:rsidRPr="0093707B">
              <w:rPr>
                <w:rFonts w:ascii="Calibri" w:eastAsia="Calibri" w:hAnsi="Calibri"/>
                <w:b/>
                <w:sz w:val="24"/>
                <w:szCs w:val="24"/>
              </w:rPr>
              <w:t>srodnika</w:t>
            </w:r>
            <w:proofErr w:type="spellEnd"/>
            <w:r w:rsidRPr="0093707B">
              <w:rPr>
                <w:rFonts w:ascii="Calibri" w:eastAsia="Calibri" w:hAnsi="Calibri"/>
                <w:b/>
                <w:sz w:val="24"/>
                <w:szCs w:val="24"/>
              </w:rPr>
              <w:t xml:space="preserve">/- ca OSI  </w:t>
            </w:r>
            <w:proofErr w:type="spellStart"/>
            <w:r w:rsidRPr="0093707B">
              <w:rPr>
                <w:rFonts w:ascii="Calibri" w:eastAsia="Calibri" w:hAnsi="Calibri"/>
                <w:b/>
                <w:sz w:val="24"/>
                <w:szCs w:val="24"/>
              </w:rPr>
              <w:t>kroz</w:t>
            </w:r>
            <w:proofErr w:type="spellEnd"/>
            <w:r w:rsidRPr="0093707B">
              <w:rPr>
                <w:rFonts w:ascii="Calibri" w:eastAsia="Calibri" w:hAnsi="Calibri"/>
                <w:b/>
                <w:sz w:val="24"/>
                <w:szCs w:val="24"/>
              </w:rPr>
              <w:t xml:space="preserve"> </w:t>
            </w:r>
            <w:proofErr w:type="spellStart"/>
            <w:r w:rsidRPr="0093707B">
              <w:rPr>
                <w:rFonts w:ascii="Calibri" w:eastAsia="Calibri" w:hAnsi="Calibri"/>
                <w:b/>
                <w:sz w:val="24"/>
                <w:szCs w:val="24"/>
              </w:rPr>
              <w:t>projekat</w:t>
            </w:r>
            <w:proofErr w:type="spellEnd"/>
            <w:r w:rsidRPr="0093707B">
              <w:rPr>
                <w:rFonts w:ascii="Calibri" w:eastAsia="Calibri" w:hAnsi="Calibri"/>
                <w:b/>
                <w:sz w:val="24"/>
                <w:szCs w:val="24"/>
              </w:rPr>
              <w:t xml:space="preserve"> P(O)(S)</w:t>
            </w:r>
            <w:proofErr w:type="spellStart"/>
            <w:r w:rsidRPr="0093707B">
              <w:rPr>
                <w:rFonts w:ascii="Calibri" w:eastAsia="Calibri" w:hAnsi="Calibri"/>
                <w:b/>
                <w:sz w:val="24"/>
                <w:szCs w:val="24"/>
              </w:rPr>
              <w:t>tupc</w:t>
            </w:r>
            <w:proofErr w:type="spellEnd"/>
            <w:r w:rsidRPr="0093707B">
              <w:rPr>
                <w:rFonts w:ascii="Calibri" w:eastAsia="Calibri" w:hAnsi="Calibri"/>
                <w:b/>
                <w:sz w:val="24"/>
                <w:szCs w:val="24"/>
              </w:rPr>
              <w:t xml:space="preserve">(I)ma do </w:t>
            </w:r>
            <w:proofErr w:type="spellStart"/>
            <w:r w:rsidRPr="0093707B">
              <w:rPr>
                <w:rFonts w:ascii="Calibri" w:eastAsia="Calibri" w:hAnsi="Calibri"/>
                <w:b/>
                <w:sz w:val="24"/>
                <w:szCs w:val="24"/>
              </w:rPr>
              <w:t>prava</w:t>
            </w:r>
            <w:proofErr w:type="spellEnd"/>
            <w:r w:rsidRPr="0093707B">
              <w:rPr>
                <w:rFonts w:ascii="Calibri" w:eastAsia="Calibri" w:hAnsi="Calibri"/>
                <w:b/>
                <w:sz w:val="24"/>
                <w:szCs w:val="24"/>
              </w:rPr>
              <w:t xml:space="preserve"> OSI, </w:t>
            </w:r>
            <w:proofErr w:type="spellStart"/>
            <w:r w:rsidRPr="00654093">
              <w:rPr>
                <w:rFonts w:ascii="Calibri" w:eastAsia="Calibri" w:hAnsi="Calibri"/>
                <w:sz w:val="24"/>
                <w:szCs w:val="24"/>
              </w:rPr>
              <w:t>uz</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finansijsku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podršku</w:t>
            </w:r>
            <w:proofErr w:type="spellEnd"/>
            <w:r w:rsidRPr="00654093">
              <w:rPr>
                <w:rFonts w:ascii="Calibri" w:eastAsia="Calibri" w:hAnsi="Calibri"/>
                <w:sz w:val="24"/>
                <w:szCs w:val="24"/>
              </w:rPr>
              <w:t xml:space="preserve"> Ministarstva </w:t>
            </w:r>
            <w:proofErr w:type="spellStart"/>
            <w:r w:rsidRPr="00654093">
              <w:rPr>
                <w:rFonts w:ascii="Calibri" w:eastAsia="Calibri" w:hAnsi="Calibri"/>
                <w:sz w:val="24"/>
                <w:szCs w:val="24"/>
              </w:rPr>
              <w:t>ljudskih</w:t>
            </w:r>
            <w:proofErr w:type="spellEnd"/>
            <w:r w:rsidRPr="00654093">
              <w:rPr>
                <w:rFonts w:ascii="Calibri" w:eastAsia="Calibri" w:hAnsi="Calibri"/>
                <w:sz w:val="24"/>
                <w:szCs w:val="24"/>
              </w:rPr>
              <w:t xml:space="preserve"> i </w:t>
            </w:r>
            <w:proofErr w:type="spellStart"/>
            <w:r w:rsidRPr="00654093">
              <w:rPr>
                <w:rFonts w:ascii="Calibri" w:eastAsia="Calibri" w:hAnsi="Calibri"/>
                <w:sz w:val="24"/>
                <w:szCs w:val="24"/>
              </w:rPr>
              <w:t>manjinskih</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prava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posredstvom</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Konkursa</w:t>
            </w:r>
            <w:proofErr w:type="spellEnd"/>
            <w:r w:rsidRPr="00654093">
              <w:rPr>
                <w:rFonts w:ascii="Calibri" w:eastAsia="Calibri" w:hAnsi="Calibri"/>
                <w:sz w:val="24"/>
                <w:szCs w:val="24"/>
              </w:rPr>
              <w:t xml:space="preserve"> za NVO u 2021. u </w:t>
            </w:r>
            <w:proofErr w:type="spellStart"/>
            <w:r w:rsidRPr="00654093">
              <w:rPr>
                <w:rFonts w:ascii="Calibri" w:eastAsia="Calibri" w:hAnsi="Calibri"/>
                <w:sz w:val="24"/>
                <w:szCs w:val="24"/>
              </w:rPr>
              <w:t>oblasti</w:t>
            </w:r>
            <w:proofErr w:type="spellEnd"/>
            <w:r w:rsidRPr="00654093">
              <w:rPr>
                <w:rFonts w:ascii="Calibri" w:eastAsia="Calibri" w:hAnsi="Calibri"/>
                <w:sz w:val="24"/>
                <w:szCs w:val="24"/>
              </w:rPr>
              <w:t xml:space="preserve"> zaštite </w:t>
            </w:r>
            <w:proofErr w:type="spellStart"/>
            <w:r w:rsidRPr="00654093">
              <w:rPr>
                <w:rFonts w:ascii="Calibri" w:eastAsia="Calibri" w:hAnsi="Calibri"/>
                <w:sz w:val="24"/>
                <w:szCs w:val="24"/>
              </w:rPr>
              <w:t>lica</w:t>
            </w:r>
            <w:proofErr w:type="spellEnd"/>
            <w:r w:rsidRPr="00654093">
              <w:rPr>
                <w:rFonts w:ascii="Calibri" w:eastAsia="Calibri" w:hAnsi="Calibri"/>
                <w:sz w:val="24"/>
                <w:szCs w:val="24"/>
              </w:rPr>
              <w:t xml:space="preserve"> sa </w:t>
            </w:r>
            <w:proofErr w:type="spellStart"/>
            <w:r w:rsidRPr="00654093">
              <w:rPr>
                <w:rFonts w:ascii="Calibri" w:eastAsia="Calibri" w:hAnsi="Calibri"/>
                <w:sz w:val="24"/>
                <w:szCs w:val="24"/>
              </w:rPr>
              <w:t>invaliditetom</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od</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diskriminacije</w:t>
            </w:r>
            <w:proofErr w:type="spellEnd"/>
            <w:r w:rsidRPr="00654093">
              <w:rPr>
                <w:rFonts w:ascii="Calibri" w:eastAsia="Calibri" w:hAnsi="Calibri"/>
                <w:sz w:val="24"/>
                <w:szCs w:val="24"/>
              </w:rPr>
              <w:t xml:space="preserve"> i </w:t>
            </w:r>
            <w:proofErr w:type="spellStart"/>
            <w:r w:rsidRPr="00654093">
              <w:rPr>
                <w:rFonts w:ascii="Calibri" w:eastAsia="Calibri" w:hAnsi="Calibri"/>
                <w:sz w:val="24"/>
                <w:szCs w:val="24"/>
              </w:rPr>
              <w:t>promociju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jednakosti</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Istraživanje</w:t>
            </w:r>
            <w:proofErr w:type="spellEnd"/>
            <w:r w:rsidRPr="00654093">
              <w:rPr>
                <w:rFonts w:ascii="Calibri" w:eastAsia="Calibri" w:hAnsi="Calibri"/>
                <w:sz w:val="24"/>
                <w:szCs w:val="24"/>
              </w:rPr>
              <w:t xml:space="preserve"> je </w:t>
            </w:r>
            <w:proofErr w:type="spellStart"/>
            <w:r w:rsidRPr="00654093">
              <w:rPr>
                <w:rFonts w:ascii="Calibri" w:eastAsia="Calibri" w:hAnsi="Calibri"/>
                <w:sz w:val="24"/>
                <w:szCs w:val="24"/>
              </w:rPr>
              <w:t>sprovedeno</w:t>
            </w:r>
            <w:proofErr w:type="spellEnd"/>
            <w:r w:rsidRPr="00654093">
              <w:rPr>
                <w:rFonts w:ascii="Calibri" w:eastAsia="Calibri" w:hAnsi="Calibri"/>
                <w:sz w:val="24"/>
                <w:szCs w:val="24"/>
              </w:rPr>
              <w:t xml:space="preserve"> s </w:t>
            </w:r>
            <w:proofErr w:type="spellStart"/>
            <w:r w:rsidRPr="00654093">
              <w:rPr>
                <w:rFonts w:ascii="Calibri" w:eastAsia="Calibri" w:hAnsi="Calibri"/>
                <w:sz w:val="24"/>
                <w:szCs w:val="24"/>
              </w:rPr>
              <w:t>ciljem</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ispitivanja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percepcije</w:t>
            </w:r>
            <w:proofErr w:type="spellEnd"/>
            <w:r w:rsidRPr="00654093">
              <w:rPr>
                <w:rFonts w:ascii="Calibri" w:eastAsia="Calibri" w:hAnsi="Calibri"/>
                <w:sz w:val="24"/>
                <w:szCs w:val="24"/>
              </w:rPr>
              <w:t xml:space="preserve"> i </w:t>
            </w:r>
            <w:proofErr w:type="spellStart"/>
            <w:r w:rsidRPr="00654093">
              <w:rPr>
                <w:rFonts w:ascii="Calibri" w:eastAsia="Calibri" w:hAnsi="Calibri"/>
                <w:sz w:val="24"/>
                <w:szCs w:val="24"/>
              </w:rPr>
              <w:t>iskustava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diskriminacije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osoba</w:t>
            </w:r>
            <w:proofErr w:type="spellEnd"/>
            <w:r w:rsidRPr="00654093">
              <w:rPr>
                <w:rFonts w:ascii="Calibri" w:eastAsia="Calibri" w:hAnsi="Calibri"/>
                <w:sz w:val="24"/>
                <w:szCs w:val="24"/>
              </w:rPr>
              <w:t xml:space="preserve"> s </w:t>
            </w:r>
            <w:proofErr w:type="spellStart"/>
            <w:r w:rsidRPr="00654093">
              <w:rPr>
                <w:rFonts w:ascii="Calibri" w:eastAsia="Calibri" w:hAnsi="Calibri"/>
                <w:sz w:val="24"/>
                <w:szCs w:val="24"/>
              </w:rPr>
              <w:t>invaliditetom</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među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osobama</w:t>
            </w:r>
            <w:proofErr w:type="spellEnd"/>
            <w:r w:rsidRPr="00654093">
              <w:rPr>
                <w:rFonts w:ascii="Calibri" w:eastAsia="Calibri" w:hAnsi="Calibri"/>
                <w:sz w:val="24"/>
                <w:szCs w:val="24"/>
              </w:rPr>
              <w:t xml:space="preserve"> s </w:t>
            </w:r>
            <w:proofErr w:type="spellStart"/>
            <w:r w:rsidRPr="00654093">
              <w:rPr>
                <w:rFonts w:ascii="Calibri" w:eastAsia="Calibri" w:hAnsi="Calibri"/>
                <w:sz w:val="24"/>
                <w:szCs w:val="24"/>
              </w:rPr>
              <w:t>invaliditetom</w:t>
            </w:r>
            <w:proofErr w:type="spellEnd"/>
            <w:r w:rsidRPr="00654093">
              <w:rPr>
                <w:rFonts w:ascii="Calibri" w:eastAsia="Calibri" w:hAnsi="Calibri"/>
                <w:sz w:val="24"/>
                <w:szCs w:val="24"/>
              </w:rPr>
              <w:t xml:space="preserve"> na </w:t>
            </w:r>
            <w:proofErr w:type="spellStart"/>
            <w:r w:rsidRPr="00654093">
              <w:rPr>
                <w:rFonts w:ascii="Calibri" w:eastAsia="Calibri" w:hAnsi="Calibri"/>
                <w:sz w:val="24"/>
                <w:szCs w:val="24"/>
              </w:rPr>
              <w:t>teritoriji</w:t>
            </w:r>
            <w:proofErr w:type="spellEnd"/>
            <w:r w:rsidRPr="00654093">
              <w:rPr>
                <w:rFonts w:ascii="Calibri" w:eastAsia="Calibri" w:hAnsi="Calibri"/>
                <w:sz w:val="24"/>
                <w:szCs w:val="24"/>
              </w:rPr>
              <w:t xml:space="preserve"> Crne Gore, </w:t>
            </w:r>
            <w:proofErr w:type="spellStart"/>
            <w:r w:rsidRPr="00654093">
              <w:rPr>
                <w:rFonts w:ascii="Calibri" w:eastAsia="Calibri" w:hAnsi="Calibri"/>
                <w:sz w:val="24"/>
                <w:szCs w:val="24"/>
              </w:rPr>
              <w:t>članovima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njihovih</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porodica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poznanika</w:t>
            </w:r>
            <w:proofErr w:type="spellEnd"/>
            <w:r w:rsidRPr="00654093">
              <w:rPr>
                <w:rFonts w:ascii="Calibri" w:eastAsia="Calibri" w:hAnsi="Calibri"/>
                <w:sz w:val="24"/>
                <w:szCs w:val="24"/>
              </w:rPr>
              <w:t xml:space="preserve">/ca </w:t>
            </w:r>
            <w:proofErr w:type="spellStart"/>
            <w:r w:rsidRPr="00654093">
              <w:rPr>
                <w:rFonts w:ascii="Calibri" w:eastAsia="Calibri" w:hAnsi="Calibri"/>
                <w:sz w:val="24"/>
                <w:szCs w:val="24"/>
              </w:rPr>
              <w:t>ili</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srodnika</w:t>
            </w:r>
            <w:proofErr w:type="spellEnd"/>
            <w:r w:rsidRPr="00654093">
              <w:rPr>
                <w:rFonts w:ascii="Calibri" w:eastAsia="Calibri" w:hAnsi="Calibri"/>
                <w:sz w:val="24"/>
                <w:szCs w:val="24"/>
              </w:rPr>
              <w:t xml:space="preserve">/ca OSI, na </w:t>
            </w:r>
            <w:proofErr w:type="spellStart"/>
            <w:r w:rsidRPr="00654093">
              <w:rPr>
                <w:rFonts w:ascii="Calibri" w:eastAsia="Calibri" w:hAnsi="Calibri"/>
                <w:sz w:val="24"/>
                <w:szCs w:val="24"/>
              </w:rPr>
              <w:t>uzorku</w:t>
            </w:r>
            <w:proofErr w:type="spellEnd"/>
            <w:r w:rsidRPr="00654093">
              <w:rPr>
                <w:rFonts w:ascii="Calibri" w:eastAsia="Calibri" w:hAnsi="Calibri"/>
                <w:sz w:val="24"/>
                <w:szCs w:val="24"/>
              </w:rPr>
              <w:t xml:space="preserve"> od 200 </w:t>
            </w:r>
            <w:proofErr w:type="spellStart"/>
            <w:r w:rsidRPr="00654093">
              <w:rPr>
                <w:rFonts w:ascii="Calibri" w:eastAsia="Calibri" w:hAnsi="Calibri"/>
                <w:sz w:val="24"/>
                <w:szCs w:val="24"/>
              </w:rPr>
              <w:t>ispitanika</w:t>
            </w:r>
            <w:proofErr w:type="spellEnd"/>
            <w:r w:rsidRPr="00654093">
              <w:rPr>
                <w:rFonts w:ascii="Calibri" w:eastAsia="Calibri" w:hAnsi="Calibri"/>
                <w:sz w:val="24"/>
                <w:szCs w:val="24"/>
              </w:rPr>
              <w:t xml:space="preserve">/ca, od </w:t>
            </w:r>
            <w:proofErr w:type="spellStart"/>
            <w:r w:rsidRPr="00654093">
              <w:rPr>
                <w:rFonts w:ascii="Calibri" w:eastAsia="Calibri" w:hAnsi="Calibri"/>
                <w:sz w:val="24"/>
                <w:szCs w:val="24"/>
              </w:rPr>
              <w:t>čega</w:t>
            </w:r>
            <w:proofErr w:type="spellEnd"/>
            <w:r w:rsidRPr="00654093">
              <w:rPr>
                <w:rFonts w:ascii="Calibri" w:eastAsia="Calibri" w:hAnsi="Calibri"/>
                <w:sz w:val="24"/>
                <w:szCs w:val="24"/>
              </w:rPr>
              <w:t xml:space="preserve"> 100 </w:t>
            </w:r>
            <w:proofErr w:type="spellStart"/>
            <w:r w:rsidRPr="00654093">
              <w:rPr>
                <w:rFonts w:ascii="Calibri" w:eastAsia="Calibri" w:hAnsi="Calibri"/>
                <w:sz w:val="24"/>
                <w:szCs w:val="24"/>
              </w:rPr>
              <w:t>ispitanika</w:t>
            </w:r>
            <w:proofErr w:type="spellEnd"/>
            <w:r w:rsidRPr="00654093">
              <w:rPr>
                <w:rFonts w:ascii="Calibri" w:eastAsia="Calibri" w:hAnsi="Calibri"/>
                <w:sz w:val="24"/>
                <w:szCs w:val="24"/>
              </w:rPr>
              <w:t xml:space="preserve">/ca </w:t>
            </w:r>
            <w:proofErr w:type="spellStart"/>
            <w:r w:rsidRPr="00654093">
              <w:rPr>
                <w:rFonts w:ascii="Calibri" w:eastAsia="Calibri" w:hAnsi="Calibri"/>
                <w:sz w:val="24"/>
                <w:szCs w:val="24"/>
              </w:rPr>
              <w:t>čine</w:t>
            </w:r>
            <w:proofErr w:type="spellEnd"/>
            <w:r w:rsidRPr="00654093">
              <w:rPr>
                <w:rFonts w:ascii="Calibri" w:eastAsia="Calibri" w:hAnsi="Calibri"/>
                <w:sz w:val="24"/>
                <w:szCs w:val="24"/>
              </w:rPr>
              <w:t xml:space="preserve"> OSI (47% </w:t>
            </w:r>
            <w:proofErr w:type="spellStart"/>
            <w:r w:rsidRPr="00654093">
              <w:rPr>
                <w:rFonts w:ascii="Calibri" w:eastAsia="Calibri" w:hAnsi="Calibri"/>
                <w:sz w:val="24"/>
                <w:szCs w:val="24"/>
              </w:rPr>
              <w:t>žene</w:t>
            </w:r>
            <w:proofErr w:type="spellEnd"/>
            <w:r w:rsidRPr="00654093">
              <w:rPr>
                <w:rFonts w:ascii="Calibri" w:eastAsia="Calibri" w:hAnsi="Calibri"/>
                <w:sz w:val="24"/>
                <w:szCs w:val="24"/>
              </w:rPr>
              <w:t xml:space="preserve">, 53% </w:t>
            </w:r>
            <w:proofErr w:type="spellStart"/>
            <w:r w:rsidRPr="00654093">
              <w:rPr>
                <w:rFonts w:ascii="Calibri" w:eastAsia="Calibri" w:hAnsi="Calibri"/>
                <w:sz w:val="24"/>
                <w:szCs w:val="24"/>
              </w:rPr>
              <w:t>muškarici</w:t>
            </w:r>
            <w:proofErr w:type="spellEnd"/>
            <w:r w:rsidRPr="00654093">
              <w:rPr>
                <w:rFonts w:ascii="Calibri" w:eastAsia="Calibri" w:hAnsi="Calibri"/>
                <w:sz w:val="24"/>
                <w:szCs w:val="24"/>
              </w:rPr>
              <w:t xml:space="preserve">) i 100 </w:t>
            </w:r>
            <w:proofErr w:type="spellStart"/>
            <w:r w:rsidRPr="00654093">
              <w:rPr>
                <w:rFonts w:ascii="Calibri" w:eastAsia="Calibri" w:hAnsi="Calibri"/>
                <w:sz w:val="24"/>
                <w:szCs w:val="24"/>
              </w:rPr>
              <w:t>ispitanika</w:t>
            </w:r>
            <w:proofErr w:type="spellEnd"/>
            <w:r w:rsidRPr="00654093">
              <w:rPr>
                <w:rFonts w:ascii="Calibri" w:eastAsia="Calibri" w:hAnsi="Calibri"/>
                <w:sz w:val="24"/>
                <w:szCs w:val="24"/>
              </w:rPr>
              <w:t xml:space="preserve">/ca </w:t>
            </w:r>
            <w:proofErr w:type="spellStart"/>
            <w:r w:rsidRPr="00654093">
              <w:rPr>
                <w:rFonts w:ascii="Calibri" w:eastAsia="Calibri" w:hAnsi="Calibri"/>
                <w:sz w:val="24"/>
                <w:szCs w:val="24"/>
              </w:rPr>
              <w:t>članovi</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porodica</w:t>
            </w:r>
            <w:proofErr w:type="spellEnd"/>
            <w:r w:rsidRPr="00654093">
              <w:rPr>
                <w:rFonts w:ascii="Calibri" w:eastAsia="Calibri" w:hAnsi="Calibri"/>
                <w:sz w:val="24"/>
                <w:szCs w:val="24"/>
              </w:rPr>
              <w:t xml:space="preserve"> OSI, </w:t>
            </w:r>
            <w:proofErr w:type="spellStart"/>
            <w:r w:rsidRPr="00654093">
              <w:rPr>
                <w:rFonts w:ascii="Calibri" w:eastAsia="Calibri" w:hAnsi="Calibri"/>
                <w:sz w:val="24"/>
                <w:szCs w:val="24"/>
              </w:rPr>
              <w:t>poznanici</w:t>
            </w:r>
            <w:proofErr w:type="spellEnd"/>
            <w:r w:rsidRPr="00654093">
              <w:rPr>
                <w:rFonts w:ascii="Calibri" w:eastAsia="Calibri" w:hAnsi="Calibri"/>
                <w:sz w:val="24"/>
                <w:szCs w:val="24"/>
              </w:rPr>
              <w:t xml:space="preserve">/e </w:t>
            </w:r>
            <w:proofErr w:type="spellStart"/>
            <w:r w:rsidRPr="00654093">
              <w:rPr>
                <w:rFonts w:ascii="Calibri" w:eastAsia="Calibri" w:hAnsi="Calibri"/>
                <w:sz w:val="24"/>
                <w:szCs w:val="24"/>
              </w:rPr>
              <w:t>ili</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srodnici</w:t>
            </w:r>
            <w:proofErr w:type="spellEnd"/>
            <w:r w:rsidRPr="00654093">
              <w:rPr>
                <w:rFonts w:ascii="Calibri" w:eastAsia="Calibri" w:hAnsi="Calibri"/>
                <w:sz w:val="24"/>
                <w:szCs w:val="24"/>
              </w:rPr>
              <w:t xml:space="preserve">/e OSI (62,6 </w:t>
            </w:r>
            <w:proofErr w:type="spellStart"/>
            <w:r w:rsidRPr="00654093">
              <w:rPr>
                <w:rFonts w:ascii="Calibri" w:eastAsia="Calibri" w:hAnsi="Calibri"/>
                <w:sz w:val="24"/>
                <w:szCs w:val="24"/>
              </w:rPr>
              <w:t>žene</w:t>
            </w:r>
            <w:proofErr w:type="spellEnd"/>
            <w:r w:rsidRPr="00654093">
              <w:rPr>
                <w:rFonts w:ascii="Calibri" w:eastAsia="Calibri" w:hAnsi="Calibri"/>
                <w:sz w:val="24"/>
                <w:szCs w:val="24"/>
              </w:rPr>
              <w:t xml:space="preserve"> i 37,4 </w:t>
            </w:r>
            <w:proofErr w:type="spellStart"/>
            <w:r w:rsidRPr="00654093">
              <w:rPr>
                <w:rFonts w:ascii="Calibri" w:eastAsia="Calibri" w:hAnsi="Calibri"/>
                <w:sz w:val="24"/>
                <w:szCs w:val="24"/>
              </w:rPr>
              <w:t>muskarci</w:t>
            </w:r>
            <w:proofErr w:type="spellEnd"/>
            <w:r w:rsidRPr="00654093">
              <w:rPr>
                <w:rFonts w:ascii="Calibri" w:eastAsia="Calibri" w:hAnsi="Calibri"/>
                <w:sz w:val="24"/>
                <w:szCs w:val="24"/>
              </w:rPr>
              <w:t xml:space="preserve">). </w:t>
            </w:r>
          </w:p>
          <w:p w:rsidR="0006451C" w:rsidRDefault="0006451C" w:rsidP="0006451C">
            <w:pPr>
              <w:spacing w:after="160" w:line="256" w:lineRule="auto"/>
              <w:jc w:val="both"/>
              <w:rPr>
                <w:rFonts w:ascii="Calibri" w:eastAsia="Calibri" w:hAnsi="Calibri"/>
                <w:sz w:val="24"/>
                <w:szCs w:val="24"/>
              </w:rPr>
            </w:pPr>
            <w:r w:rsidRPr="00654093">
              <w:rPr>
                <w:rFonts w:ascii="Calibri" w:eastAsia="Calibri" w:hAnsi="Calibri"/>
                <w:sz w:val="24"/>
                <w:szCs w:val="24"/>
              </w:rPr>
              <w:t xml:space="preserve"> I ta </w:t>
            </w:r>
            <w:proofErr w:type="spellStart"/>
            <w:r w:rsidRPr="00654093">
              <w:rPr>
                <w:rFonts w:ascii="Calibri" w:eastAsia="Calibri" w:hAnsi="Calibri"/>
                <w:sz w:val="24"/>
                <w:szCs w:val="24"/>
              </w:rPr>
              <w:t>Istraživanja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su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pokazala</w:t>
            </w:r>
            <w:proofErr w:type="spellEnd"/>
            <w:r w:rsidRPr="00654093">
              <w:rPr>
                <w:rFonts w:ascii="Calibri" w:eastAsia="Calibri" w:hAnsi="Calibri"/>
                <w:sz w:val="24"/>
                <w:szCs w:val="24"/>
              </w:rPr>
              <w:t xml:space="preserve"> da </w:t>
            </w:r>
            <w:proofErr w:type="spellStart"/>
            <w:r w:rsidRPr="00654093">
              <w:rPr>
                <w:rFonts w:ascii="Calibri" w:eastAsia="Calibri" w:hAnsi="Calibri"/>
                <w:sz w:val="24"/>
                <w:szCs w:val="24"/>
              </w:rPr>
              <w:t>su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osobe</w:t>
            </w:r>
            <w:proofErr w:type="spellEnd"/>
            <w:r w:rsidRPr="00654093">
              <w:rPr>
                <w:rFonts w:ascii="Calibri" w:eastAsia="Calibri" w:hAnsi="Calibri"/>
                <w:sz w:val="24"/>
                <w:szCs w:val="24"/>
              </w:rPr>
              <w:t xml:space="preserve"> s </w:t>
            </w:r>
            <w:proofErr w:type="spellStart"/>
            <w:r w:rsidRPr="00654093">
              <w:rPr>
                <w:rFonts w:ascii="Calibri" w:eastAsia="Calibri" w:hAnsi="Calibri"/>
                <w:sz w:val="24"/>
                <w:szCs w:val="24"/>
              </w:rPr>
              <w:t>invaliditetom</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najviše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diskriminisane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između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ostalog</w:t>
            </w:r>
            <w:proofErr w:type="spellEnd"/>
            <w:r w:rsidRPr="00654093">
              <w:rPr>
                <w:rFonts w:ascii="Calibri" w:eastAsia="Calibri" w:hAnsi="Calibri"/>
                <w:sz w:val="24"/>
                <w:szCs w:val="24"/>
              </w:rPr>
              <w:t xml:space="preserve"> i u </w:t>
            </w:r>
            <w:proofErr w:type="spellStart"/>
            <w:r w:rsidRPr="00654093">
              <w:rPr>
                <w:rFonts w:ascii="Calibri" w:eastAsia="Calibri" w:hAnsi="Calibri"/>
                <w:sz w:val="24"/>
                <w:szCs w:val="24"/>
              </w:rPr>
              <w:t>oblasti</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pristupa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objektima</w:t>
            </w:r>
            <w:proofErr w:type="spellEnd"/>
            <w:r w:rsidRPr="00654093">
              <w:rPr>
                <w:rFonts w:ascii="Calibri" w:eastAsia="Calibri" w:hAnsi="Calibri"/>
                <w:sz w:val="24"/>
                <w:szCs w:val="24"/>
              </w:rPr>
              <w:t xml:space="preserve"> i </w:t>
            </w:r>
            <w:proofErr w:type="spellStart"/>
            <w:r w:rsidRPr="00654093">
              <w:rPr>
                <w:rFonts w:ascii="Calibri" w:eastAsia="Calibri" w:hAnsi="Calibri"/>
                <w:sz w:val="24"/>
                <w:szCs w:val="24"/>
              </w:rPr>
              <w:t>površinama</w:t>
            </w:r>
            <w:proofErr w:type="spellEnd"/>
            <w:r w:rsidRPr="00654093">
              <w:rPr>
                <w:rFonts w:ascii="Calibri" w:eastAsia="Calibri" w:hAnsi="Calibri"/>
                <w:sz w:val="24"/>
                <w:szCs w:val="24"/>
              </w:rPr>
              <w:t xml:space="preserve"> u </w:t>
            </w:r>
            <w:proofErr w:type="spellStart"/>
            <w:r w:rsidRPr="00654093">
              <w:rPr>
                <w:rFonts w:ascii="Calibri" w:eastAsia="Calibri" w:hAnsi="Calibri"/>
                <w:sz w:val="24"/>
                <w:szCs w:val="24"/>
              </w:rPr>
              <w:t>javnoj</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upotrebi</w:t>
            </w:r>
            <w:proofErr w:type="spellEnd"/>
            <w:r w:rsidRPr="00654093">
              <w:rPr>
                <w:rFonts w:ascii="Calibri" w:eastAsia="Calibri" w:hAnsi="Calibri"/>
                <w:sz w:val="24"/>
                <w:szCs w:val="24"/>
              </w:rPr>
              <w:t xml:space="preserve">. Za </w:t>
            </w:r>
            <w:proofErr w:type="spellStart"/>
            <w:r w:rsidRPr="00654093">
              <w:rPr>
                <w:rFonts w:ascii="Calibri" w:eastAsia="Calibri" w:hAnsi="Calibri"/>
                <w:sz w:val="24"/>
                <w:szCs w:val="24"/>
              </w:rPr>
              <w:t>tu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opciju</w:t>
            </w:r>
            <w:proofErr w:type="spellEnd"/>
            <w:r w:rsidRPr="00654093">
              <w:rPr>
                <w:rFonts w:ascii="Calibri" w:eastAsia="Calibri" w:hAnsi="Calibri"/>
                <w:sz w:val="24"/>
                <w:szCs w:val="24"/>
              </w:rPr>
              <w:t xml:space="preserve"> se </w:t>
            </w:r>
            <w:proofErr w:type="spellStart"/>
            <w:r w:rsidRPr="00654093">
              <w:rPr>
                <w:rFonts w:ascii="Calibri" w:eastAsia="Calibri" w:hAnsi="Calibri"/>
                <w:sz w:val="24"/>
                <w:szCs w:val="24"/>
              </w:rPr>
              <w:t>izjasnilo</w:t>
            </w:r>
            <w:proofErr w:type="spellEnd"/>
            <w:r w:rsidRPr="00654093">
              <w:rPr>
                <w:rFonts w:ascii="Calibri" w:eastAsia="Calibri" w:hAnsi="Calibri"/>
                <w:sz w:val="24"/>
                <w:szCs w:val="24"/>
              </w:rPr>
              <w:t xml:space="preserve"> 49 od </w:t>
            </w:r>
            <w:proofErr w:type="spellStart"/>
            <w:r w:rsidRPr="00654093">
              <w:rPr>
                <w:rFonts w:ascii="Calibri" w:eastAsia="Calibri" w:hAnsi="Calibri"/>
                <w:sz w:val="24"/>
                <w:szCs w:val="24"/>
              </w:rPr>
              <w:t>ukupno</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cca</w:t>
            </w:r>
            <w:proofErr w:type="spellEnd"/>
            <w:r w:rsidRPr="00654093">
              <w:rPr>
                <w:rFonts w:ascii="Calibri" w:eastAsia="Calibri" w:hAnsi="Calibri"/>
                <w:sz w:val="24"/>
                <w:szCs w:val="24"/>
              </w:rPr>
              <w:t xml:space="preserve"> 100 </w:t>
            </w:r>
            <w:proofErr w:type="spellStart"/>
            <w:r w:rsidRPr="00654093">
              <w:rPr>
                <w:rFonts w:ascii="Calibri" w:eastAsia="Calibri" w:hAnsi="Calibri"/>
                <w:sz w:val="24"/>
                <w:szCs w:val="24"/>
              </w:rPr>
              <w:t>ispitanika</w:t>
            </w:r>
            <w:proofErr w:type="spellEnd"/>
            <w:r w:rsidRPr="00654093">
              <w:rPr>
                <w:rFonts w:ascii="Calibri" w:eastAsia="Calibri" w:hAnsi="Calibri"/>
                <w:sz w:val="24"/>
                <w:szCs w:val="24"/>
              </w:rPr>
              <w:t xml:space="preserve"> OSI. 55,5% se </w:t>
            </w:r>
            <w:proofErr w:type="spellStart"/>
            <w:r w:rsidRPr="00654093">
              <w:rPr>
                <w:rFonts w:ascii="Calibri" w:eastAsia="Calibri" w:hAnsi="Calibri"/>
                <w:sz w:val="24"/>
                <w:szCs w:val="24"/>
              </w:rPr>
              <w:t>izjasnilo</w:t>
            </w:r>
            <w:proofErr w:type="spellEnd"/>
            <w:r w:rsidRPr="00654093">
              <w:rPr>
                <w:rFonts w:ascii="Calibri" w:eastAsia="Calibri" w:hAnsi="Calibri"/>
                <w:sz w:val="24"/>
                <w:szCs w:val="24"/>
              </w:rPr>
              <w:t xml:space="preserve"> da se </w:t>
            </w:r>
            <w:proofErr w:type="spellStart"/>
            <w:r w:rsidRPr="00654093">
              <w:rPr>
                <w:rFonts w:ascii="Calibri" w:eastAsia="Calibri" w:hAnsi="Calibri"/>
                <w:sz w:val="24"/>
                <w:szCs w:val="24"/>
              </w:rPr>
              <w:t>barijere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odnose</w:t>
            </w:r>
            <w:proofErr w:type="spellEnd"/>
            <w:r w:rsidRPr="00654093">
              <w:rPr>
                <w:rFonts w:ascii="Calibri" w:eastAsia="Calibri" w:hAnsi="Calibri"/>
                <w:sz w:val="24"/>
                <w:szCs w:val="24"/>
              </w:rPr>
              <w:t xml:space="preserve"> na </w:t>
            </w:r>
            <w:proofErr w:type="spellStart"/>
            <w:r w:rsidRPr="00654093">
              <w:rPr>
                <w:rFonts w:ascii="Calibri" w:eastAsia="Calibri" w:hAnsi="Calibri"/>
                <w:sz w:val="24"/>
                <w:szCs w:val="24"/>
              </w:rPr>
              <w:t>arhitektonske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barijere</w:t>
            </w:r>
            <w:proofErr w:type="spellEnd"/>
            <w:r w:rsidRPr="00654093">
              <w:rPr>
                <w:rFonts w:ascii="Calibri" w:eastAsia="Calibri" w:hAnsi="Calibri"/>
                <w:sz w:val="24"/>
                <w:szCs w:val="24"/>
              </w:rPr>
              <w:t>.</w:t>
            </w:r>
          </w:p>
          <w:p w:rsidR="00187621" w:rsidRPr="00156E20" w:rsidRDefault="00156E20" w:rsidP="0006451C">
            <w:pPr>
              <w:spacing w:after="160" w:line="256" w:lineRule="auto"/>
              <w:jc w:val="both"/>
              <w:rPr>
                <w:rFonts w:asciiTheme="minorHAnsi" w:hAnsiTheme="minorHAnsi" w:cstheme="minorHAnsi"/>
                <w:sz w:val="24"/>
                <w:szCs w:val="24"/>
              </w:rPr>
            </w:pPr>
            <w:proofErr w:type="spellStart"/>
            <w:r>
              <w:rPr>
                <w:rFonts w:ascii="Calibri" w:eastAsia="Calibri" w:hAnsi="Calibri"/>
                <w:b/>
                <w:sz w:val="24"/>
                <w:szCs w:val="24"/>
              </w:rPr>
              <w:t>Takođe,</w:t>
            </w:r>
            <w:r w:rsidR="00187621" w:rsidRPr="00E476D6">
              <w:rPr>
                <w:rFonts w:ascii="Calibri" w:eastAsia="Calibri" w:hAnsi="Calibri"/>
                <w:b/>
                <w:sz w:val="24"/>
                <w:szCs w:val="24"/>
              </w:rPr>
              <w:t>NVO</w:t>
            </w:r>
            <w:proofErr w:type="spellEnd"/>
            <w:r w:rsidR="00187621" w:rsidRPr="00E476D6">
              <w:rPr>
                <w:rFonts w:ascii="Calibri" w:eastAsia="Calibri" w:hAnsi="Calibri"/>
                <w:b/>
                <w:sz w:val="24"/>
                <w:szCs w:val="24"/>
              </w:rPr>
              <w:t xml:space="preserve"> </w:t>
            </w:r>
            <w:r w:rsidR="00187621">
              <w:rPr>
                <w:rFonts w:ascii="Calibri" w:eastAsia="Calibri" w:hAnsi="Calibri"/>
                <w:b/>
                <w:sz w:val="24"/>
                <w:szCs w:val="24"/>
              </w:rPr>
              <w:t>“</w:t>
            </w:r>
            <w:r w:rsidR="00187621" w:rsidRPr="0093707B">
              <w:rPr>
                <w:rFonts w:ascii="Calibri" w:eastAsia="Calibri" w:hAnsi="Calibri"/>
                <w:b/>
                <w:sz w:val="24"/>
                <w:szCs w:val="24"/>
              </w:rPr>
              <w:t xml:space="preserve">Udruženje </w:t>
            </w:r>
            <w:proofErr w:type="spellStart"/>
            <w:r w:rsidR="00187621" w:rsidRPr="0093707B">
              <w:rPr>
                <w:rFonts w:ascii="Calibri" w:eastAsia="Calibri" w:hAnsi="Calibri"/>
                <w:b/>
                <w:sz w:val="24"/>
                <w:szCs w:val="24"/>
              </w:rPr>
              <w:t>mladih</w:t>
            </w:r>
            <w:proofErr w:type="spellEnd"/>
            <w:r w:rsidR="00187621" w:rsidRPr="0093707B">
              <w:rPr>
                <w:rFonts w:ascii="Calibri" w:eastAsia="Calibri" w:hAnsi="Calibri"/>
                <w:b/>
                <w:sz w:val="24"/>
                <w:szCs w:val="24"/>
              </w:rPr>
              <w:t xml:space="preserve"> sa </w:t>
            </w:r>
            <w:proofErr w:type="spellStart"/>
            <w:r w:rsidR="00187621" w:rsidRPr="0093707B">
              <w:rPr>
                <w:rFonts w:ascii="Calibri" w:eastAsia="Calibri" w:hAnsi="Calibri"/>
                <w:b/>
                <w:sz w:val="24"/>
                <w:szCs w:val="24"/>
              </w:rPr>
              <w:t>hendikepom</w:t>
            </w:r>
            <w:proofErr w:type="spellEnd"/>
            <w:r w:rsidR="00187621" w:rsidRPr="0093707B">
              <w:rPr>
                <w:rFonts w:ascii="Calibri" w:eastAsia="Calibri" w:hAnsi="Calibri"/>
                <w:b/>
                <w:sz w:val="24"/>
                <w:szCs w:val="24"/>
              </w:rPr>
              <w:t xml:space="preserve"> Crne Gore</w:t>
            </w:r>
            <w:r w:rsidR="00187621">
              <w:rPr>
                <w:rFonts w:ascii="Calibri" w:eastAsia="Calibri" w:hAnsi="Calibri"/>
                <w:b/>
                <w:sz w:val="24"/>
                <w:szCs w:val="24"/>
              </w:rPr>
              <w:t>”</w:t>
            </w:r>
            <w:r w:rsidR="00187621" w:rsidRPr="0093707B">
              <w:rPr>
                <w:rFonts w:ascii="Calibri" w:eastAsia="Calibri" w:hAnsi="Calibri"/>
                <w:b/>
                <w:sz w:val="24"/>
                <w:szCs w:val="24"/>
              </w:rPr>
              <w:t xml:space="preserve"> (UMHCG)</w:t>
            </w:r>
            <w:r w:rsidR="00187621">
              <w:rPr>
                <w:rFonts w:ascii="Calibri" w:eastAsia="Calibri" w:hAnsi="Calibri"/>
                <w:b/>
                <w:sz w:val="24"/>
                <w:szCs w:val="24"/>
              </w:rPr>
              <w:t xml:space="preserve"> </w:t>
            </w:r>
            <w:hyperlink r:id="rId15" w:history="1">
              <w:r w:rsidRPr="009B7881">
                <w:rPr>
                  <w:rStyle w:val="Hyperlink"/>
                  <w:sz w:val="24"/>
                  <w:lang w:val="sr-Latn-ME" w:eastAsia="ja-JP"/>
                </w:rPr>
                <w:t>http://umhcg.com/wp-content/uploads/2020/01/11-VI-19-Analiza-pristupa%C4%8Dnosti-srednjih-%C5%A1kola-u-%C5%A1est-crnogorskih-gradova-UMHCG.pdf</w:t>
              </w:r>
            </w:hyperlink>
            <w:r w:rsidR="00187621">
              <w:rPr>
                <w:rFonts w:ascii="Calibri" w:eastAsia="Calibri" w:hAnsi="Calibri"/>
                <w:b/>
                <w:sz w:val="24"/>
                <w:szCs w:val="24"/>
              </w:rPr>
              <w:t xml:space="preserve">  </w:t>
            </w:r>
            <w:proofErr w:type="spellStart"/>
            <w:r w:rsidRPr="00156E20">
              <w:rPr>
                <w:rFonts w:asciiTheme="minorHAnsi" w:hAnsiTheme="minorHAnsi" w:cstheme="minorHAnsi"/>
                <w:sz w:val="24"/>
                <w:szCs w:val="24"/>
              </w:rPr>
              <w:t>sprove</w:t>
            </w:r>
            <w:r>
              <w:rPr>
                <w:rFonts w:asciiTheme="minorHAnsi" w:hAnsiTheme="minorHAnsi" w:cstheme="minorHAnsi"/>
                <w:sz w:val="24"/>
                <w:szCs w:val="24"/>
              </w:rPr>
              <w:t>la</w:t>
            </w:r>
            <w:proofErr w:type="spellEnd"/>
            <w:r>
              <w:rPr>
                <w:rFonts w:asciiTheme="minorHAnsi" w:hAnsiTheme="minorHAnsi" w:cstheme="minorHAnsi"/>
                <w:sz w:val="24"/>
                <w:szCs w:val="24"/>
              </w:rPr>
              <w:t xml:space="preserve"> </w:t>
            </w:r>
            <w:r w:rsidRPr="00156E20">
              <w:rPr>
                <w:rFonts w:asciiTheme="minorHAnsi" w:hAnsiTheme="minorHAnsi" w:cstheme="minorHAnsi"/>
                <w:sz w:val="24"/>
                <w:szCs w:val="24"/>
              </w:rPr>
              <w:t xml:space="preserve"> je monitoring </w:t>
            </w:r>
            <w:proofErr w:type="spellStart"/>
            <w:r w:rsidRPr="00156E20">
              <w:rPr>
                <w:rFonts w:asciiTheme="minorHAnsi" w:hAnsiTheme="minorHAnsi" w:cstheme="minorHAnsi"/>
                <w:sz w:val="24"/>
                <w:szCs w:val="24"/>
              </w:rPr>
              <w:t>srednjih</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šest</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crnogorskih</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gradova</w:t>
            </w:r>
            <w:proofErr w:type="spellEnd"/>
            <w:r w:rsidRPr="00156E20">
              <w:rPr>
                <w:rFonts w:asciiTheme="minorHAnsi" w:hAnsiTheme="minorHAnsi" w:cstheme="minorHAnsi"/>
                <w:sz w:val="24"/>
                <w:szCs w:val="24"/>
              </w:rPr>
              <w:t xml:space="preserve"> i to u </w:t>
            </w:r>
            <w:proofErr w:type="spellStart"/>
            <w:r w:rsidRPr="00156E20">
              <w:rPr>
                <w:rFonts w:asciiTheme="minorHAnsi" w:hAnsiTheme="minorHAnsi" w:cstheme="minorHAnsi"/>
                <w:sz w:val="24"/>
                <w:szCs w:val="24"/>
              </w:rPr>
              <w:t>Podgorici</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Nikšiću</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Bijelom</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Polju</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Baru</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Beranama</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Budvi</w:t>
            </w:r>
            <w:proofErr w:type="spellEnd"/>
            <w:r w:rsidRPr="00156E20">
              <w:rPr>
                <w:rFonts w:asciiTheme="minorHAnsi" w:hAnsiTheme="minorHAnsi" w:cstheme="minorHAnsi"/>
                <w:sz w:val="24"/>
                <w:szCs w:val="24"/>
              </w:rPr>
              <w:t xml:space="preserve">. Tom </w:t>
            </w:r>
            <w:proofErr w:type="spellStart"/>
            <w:r w:rsidRPr="00156E20">
              <w:rPr>
                <w:rFonts w:asciiTheme="minorHAnsi" w:hAnsiTheme="minorHAnsi" w:cstheme="minorHAnsi"/>
                <w:sz w:val="24"/>
                <w:szCs w:val="24"/>
              </w:rPr>
              <w:t>prilikom</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obuhvaćene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su</w:t>
            </w:r>
            <w:proofErr w:type="spellEnd"/>
            <w:r w:rsidRPr="00156E20">
              <w:rPr>
                <w:rFonts w:asciiTheme="minorHAnsi" w:hAnsiTheme="minorHAnsi" w:cstheme="minorHAnsi"/>
                <w:sz w:val="24"/>
                <w:szCs w:val="24"/>
              </w:rPr>
              <w:t xml:space="preserve"> 23 </w:t>
            </w:r>
            <w:proofErr w:type="spellStart"/>
            <w:r w:rsidRPr="00156E20">
              <w:rPr>
                <w:rFonts w:asciiTheme="minorHAnsi" w:hAnsiTheme="minorHAnsi" w:cstheme="minorHAnsi"/>
                <w:sz w:val="24"/>
                <w:szCs w:val="24"/>
              </w:rPr>
              <w:t>srednje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škole</w:t>
            </w:r>
            <w:proofErr w:type="spellEnd"/>
            <w:r w:rsidRPr="00156E20">
              <w:rPr>
                <w:rFonts w:asciiTheme="minorHAnsi" w:hAnsiTheme="minorHAnsi" w:cstheme="minorHAnsi"/>
                <w:sz w:val="24"/>
                <w:szCs w:val="24"/>
              </w:rPr>
              <w:t xml:space="preserve"> i to: </w:t>
            </w:r>
            <w:r w:rsidRPr="00156E20">
              <w:rPr>
                <w:rFonts w:asciiTheme="minorHAnsi" w:hAnsiTheme="minorHAnsi" w:cstheme="minorHAnsi"/>
                <w:sz w:val="24"/>
                <w:szCs w:val="24"/>
              </w:rPr>
              <w:sym w:font="Symbol" w:char="F0D8"/>
            </w:r>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Podgorici</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lastRenderedPageBreak/>
              <w:t>osam</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srednih</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gimnazija</w:t>
            </w:r>
            <w:proofErr w:type="spellEnd"/>
            <w:r w:rsidRPr="00156E20">
              <w:rPr>
                <w:rFonts w:asciiTheme="minorHAnsi" w:hAnsiTheme="minorHAnsi" w:cstheme="minorHAnsi"/>
                <w:sz w:val="24"/>
                <w:szCs w:val="24"/>
              </w:rPr>
              <w:t xml:space="preserve"> „Slobodan </w:t>
            </w:r>
            <w:proofErr w:type="spellStart"/>
            <w:r w:rsidRPr="00156E20">
              <w:rPr>
                <w:rFonts w:asciiTheme="minorHAnsi" w:hAnsiTheme="minorHAnsi" w:cstheme="minorHAnsi"/>
                <w:sz w:val="24"/>
                <w:szCs w:val="24"/>
              </w:rPr>
              <w:t>Škerović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medicinska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ekonomska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„Mirko </w:t>
            </w:r>
            <w:proofErr w:type="spellStart"/>
            <w:r w:rsidRPr="00156E20">
              <w:rPr>
                <w:rFonts w:asciiTheme="minorHAnsi" w:hAnsiTheme="minorHAnsi" w:cstheme="minorHAnsi"/>
                <w:sz w:val="24"/>
                <w:szCs w:val="24"/>
              </w:rPr>
              <w:t>Vešović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za </w:t>
            </w:r>
            <w:proofErr w:type="spellStart"/>
            <w:r w:rsidRPr="00156E20">
              <w:rPr>
                <w:rFonts w:asciiTheme="minorHAnsi" w:hAnsiTheme="minorHAnsi" w:cstheme="minorHAnsi"/>
                <w:sz w:val="24"/>
                <w:szCs w:val="24"/>
              </w:rPr>
              <w:t>srednje</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više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stručno</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obrazovanje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Sergije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Stanić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Spasoje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Raspopović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elektrotehnička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Vaso</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Aligrudić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građevinsko-geodetska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inž</w:t>
            </w:r>
            <w:proofErr w:type="spellEnd"/>
            <w:r w:rsidRPr="00156E20">
              <w:rPr>
                <w:rFonts w:asciiTheme="minorHAnsi" w:hAnsiTheme="minorHAnsi" w:cstheme="minorHAnsi"/>
                <w:sz w:val="24"/>
                <w:szCs w:val="24"/>
              </w:rPr>
              <w:t xml:space="preserve"> Marko </w:t>
            </w:r>
            <w:proofErr w:type="spellStart"/>
            <w:r w:rsidRPr="00156E20">
              <w:rPr>
                <w:rFonts w:asciiTheme="minorHAnsi" w:hAnsiTheme="minorHAnsi" w:cstheme="minorHAnsi"/>
                <w:sz w:val="24"/>
                <w:szCs w:val="24"/>
              </w:rPr>
              <w:t>Radević</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„Ivan </w:t>
            </w:r>
            <w:proofErr w:type="spellStart"/>
            <w:r w:rsidRPr="00156E20">
              <w:rPr>
                <w:rFonts w:asciiTheme="minorHAnsi" w:hAnsiTheme="minorHAnsi" w:cstheme="minorHAnsi"/>
                <w:sz w:val="24"/>
                <w:szCs w:val="24"/>
              </w:rPr>
              <w:t>Uskoković</w:t>
            </w:r>
            <w:proofErr w:type="spellEnd"/>
            <w:r w:rsidRPr="00156E20">
              <w:rPr>
                <w:rFonts w:asciiTheme="minorHAnsi" w:hAnsiTheme="minorHAnsi" w:cstheme="minorHAnsi"/>
                <w:sz w:val="24"/>
                <w:szCs w:val="24"/>
              </w:rPr>
              <w:t xml:space="preserve">“, </w:t>
            </w:r>
            <w:r w:rsidRPr="00156E20">
              <w:rPr>
                <w:rFonts w:asciiTheme="minorHAnsi" w:hAnsiTheme="minorHAnsi" w:cstheme="minorHAnsi"/>
                <w:sz w:val="24"/>
                <w:szCs w:val="24"/>
              </w:rPr>
              <w:sym w:font="Symbol" w:char="F0D8"/>
            </w:r>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Nikšiću</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četiri</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gimnazija</w:t>
            </w:r>
            <w:proofErr w:type="spellEnd"/>
            <w:r w:rsidRPr="00156E20">
              <w:rPr>
                <w:rFonts w:asciiTheme="minorHAnsi" w:hAnsiTheme="minorHAnsi" w:cstheme="minorHAnsi"/>
                <w:sz w:val="24"/>
                <w:szCs w:val="24"/>
              </w:rPr>
              <w:t xml:space="preserve"> „Stojan </w:t>
            </w:r>
            <w:proofErr w:type="spellStart"/>
            <w:r w:rsidRPr="00156E20">
              <w:rPr>
                <w:rFonts w:asciiTheme="minorHAnsi" w:hAnsiTheme="minorHAnsi" w:cstheme="minorHAnsi"/>
                <w:sz w:val="24"/>
                <w:szCs w:val="24"/>
              </w:rPr>
              <w:t>Cerović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ekonomsko</w:t>
            </w:r>
            <w:proofErr w:type="spellEnd"/>
            <w:r w:rsidRPr="00156E20">
              <w:rPr>
                <w:rFonts w:asciiTheme="minorHAnsi" w:hAnsiTheme="minorHAnsi" w:cstheme="minorHAnsi"/>
                <w:sz w:val="24"/>
                <w:szCs w:val="24"/>
              </w:rPr>
              <w:t/>
            </w:r>
            <w:proofErr w:type="spellStart"/>
            <w:r w:rsidRPr="00156E20">
              <w:rPr>
                <w:rFonts w:asciiTheme="minorHAnsi" w:hAnsiTheme="minorHAnsi" w:cstheme="minorHAnsi"/>
                <w:sz w:val="24"/>
                <w:szCs w:val="24"/>
              </w:rPr>
              <w:t>ugostiteljska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Prva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r w:rsidRPr="00156E20">
              <w:rPr>
                <w:rFonts w:asciiTheme="minorHAnsi" w:hAnsiTheme="minorHAnsi" w:cstheme="minorHAnsi"/>
                <w:sz w:val="24"/>
                <w:szCs w:val="24"/>
              </w:rPr>
              <w:sym w:font="Symbol" w:char="F0D8"/>
            </w:r>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Beranama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četiri</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Vukadin</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Vukadinović</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medicinska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dr</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Branko</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Zogović</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gimnazija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Panto</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Mališić</w:t>
            </w:r>
            <w:proofErr w:type="spellEnd"/>
            <w:r w:rsidRPr="00156E20">
              <w:rPr>
                <w:rFonts w:asciiTheme="minorHAnsi" w:hAnsiTheme="minorHAnsi" w:cstheme="minorHAnsi"/>
                <w:sz w:val="24"/>
                <w:szCs w:val="24"/>
              </w:rPr>
              <w:t xml:space="preserve">“, </w:t>
            </w:r>
            <w:r w:rsidRPr="00156E20">
              <w:rPr>
                <w:rFonts w:asciiTheme="minorHAnsi" w:hAnsiTheme="minorHAnsi" w:cstheme="minorHAnsi"/>
                <w:sz w:val="24"/>
                <w:szCs w:val="24"/>
              </w:rPr>
              <w:sym w:font="Symbol" w:char="F0D8"/>
            </w:r>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Bijelom</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Polju</w:t>
            </w:r>
            <w:proofErr w:type="spellEnd"/>
            <w:r w:rsidRPr="00156E20">
              <w:rPr>
                <w:rFonts w:asciiTheme="minorHAnsi" w:hAnsiTheme="minorHAnsi" w:cstheme="minorHAnsi"/>
                <w:sz w:val="24"/>
                <w:szCs w:val="24"/>
              </w:rPr>
              <w:t xml:space="preserve"> tri </w:t>
            </w:r>
            <w:proofErr w:type="spellStart"/>
            <w:r w:rsidRPr="00156E20">
              <w:rPr>
                <w:rFonts w:asciiTheme="minorHAnsi" w:hAnsiTheme="minorHAnsi" w:cstheme="minorHAnsi"/>
                <w:sz w:val="24"/>
                <w:szCs w:val="24"/>
              </w:rPr>
              <w:t>srednje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gimnazija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Miloje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Dobrašinović</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elektro-ekonomska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r w:rsidRPr="00156E20">
              <w:rPr>
                <w:rFonts w:asciiTheme="minorHAnsi" w:hAnsiTheme="minorHAnsi" w:cstheme="minorHAnsi"/>
                <w:sz w:val="24"/>
                <w:szCs w:val="24"/>
              </w:rPr>
              <w:sym w:font="Symbol" w:char="F0D8"/>
            </w:r>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Baru</w:t>
            </w:r>
            <w:proofErr w:type="spellEnd"/>
            <w:r w:rsidRPr="00156E20">
              <w:rPr>
                <w:rFonts w:asciiTheme="minorHAnsi" w:hAnsiTheme="minorHAnsi" w:cstheme="minorHAnsi"/>
                <w:sz w:val="24"/>
                <w:szCs w:val="24"/>
              </w:rPr>
              <w:t xml:space="preserve"> tri </w:t>
            </w:r>
            <w:proofErr w:type="spellStart"/>
            <w:r w:rsidRPr="00156E20">
              <w:rPr>
                <w:rFonts w:asciiTheme="minorHAnsi" w:hAnsiTheme="minorHAnsi" w:cstheme="minorHAnsi"/>
                <w:sz w:val="24"/>
                <w:szCs w:val="24"/>
              </w:rPr>
              <w:t>srednje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škole</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stručna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Bar, </w:t>
            </w:r>
            <w:proofErr w:type="spellStart"/>
            <w:r w:rsidRPr="00156E20">
              <w:rPr>
                <w:rFonts w:asciiTheme="minorHAnsi" w:hAnsiTheme="minorHAnsi" w:cstheme="minorHAnsi"/>
                <w:sz w:val="24"/>
                <w:szCs w:val="24"/>
              </w:rPr>
              <w:t>gimnazija</w:t>
            </w:r>
            <w:proofErr w:type="spellEnd"/>
            <w:r w:rsidRPr="00156E20">
              <w:rPr>
                <w:rFonts w:asciiTheme="minorHAnsi" w:hAnsiTheme="minorHAnsi" w:cstheme="minorHAnsi"/>
                <w:sz w:val="24"/>
                <w:szCs w:val="24"/>
              </w:rPr>
              <w:t xml:space="preserve"> „Niko </w:t>
            </w:r>
            <w:proofErr w:type="spellStart"/>
            <w:r w:rsidRPr="00156E20">
              <w:rPr>
                <w:rFonts w:asciiTheme="minorHAnsi" w:hAnsiTheme="minorHAnsi" w:cstheme="minorHAnsi"/>
                <w:sz w:val="24"/>
                <w:szCs w:val="24"/>
              </w:rPr>
              <w:t>Rolović</w:t>
            </w:r>
            <w:proofErr w:type="spellEnd"/>
            <w:r w:rsidRPr="00156E20">
              <w:rPr>
                <w:rFonts w:asciiTheme="minorHAnsi" w:hAnsiTheme="minorHAnsi" w:cstheme="minorHAnsi"/>
                <w:sz w:val="24"/>
                <w:szCs w:val="24"/>
              </w:rPr>
              <w:t xml:space="preserve">“ i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ekonomska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w:t>
            </w:r>
            <w:r w:rsidRPr="00156E20">
              <w:rPr>
                <w:rFonts w:asciiTheme="minorHAnsi" w:hAnsiTheme="minorHAnsi" w:cstheme="minorHAnsi"/>
                <w:sz w:val="24"/>
                <w:szCs w:val="24"/>
              </w:rPr>
              <w:sym w:font="Symbol" w:char="F0D8"/>
            </w:r>
            <w:r w:rsidRPr="00156E20">
              <w:rPr>
                <w:rFonts w:asciiTheme="minorHAnsi" w:hAnsiTheme="minorHAnsi" w:cstheme="minorHAnsi"/>
                <w:sz w:val="24"/>
                <w:szCs w:val="24"/>
              </w:rPr>
              <w:t xml:space="preserve"> u </w:t>
            </w:r>
            <w:proofErr w:type="spellStart"/>
            <w:r w:rsidRPr="00156E20">
              <w:rPr>
                <w:rFonts w:asciiTheme="minorHAnsi" w:hAnsiTheme="minorHAnsi" w:cstheme="minorHAnsi"/>
                <w:sz w:val="24"/>
                <w:szCs w:val="24"/>
              </w:rPr>
              <w:t>Budvi</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Srednja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mješovita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škola</w:t>
            </w:r>
            <w:proofErr w:type="spellEnd"/>
            <w:r w:rsidRPr="00156E20">
              <w:rPr>
                <w:rFonts w:asciiTheme="minorHAnsi" w:hAnsiTheme="minorHAnsi" w:cstheme="minorHAnsi"/>
                <w:sz w:val="24"/>
                <w:szCs w:val="24"/>
              </w:rPr>
              <w:t xml:space="preserve"> „Danilo </w:t>
            </w:r>
            <w:proofErr w:type="spellStart"/>
            <w:r w:rsidRPr="00156E20">
              <w:rPr>
                <w:rFonts w:asciiTheme="minorHAnsi" w:hAnsiTheme="minorHAnsi" w:cstheme="minorHAnsi"/>
                <w:sz w:val="24"/>
                <w:szCs w:val="24"/>
              </w:rPr>
              <w:t>Kiš</w:t>
            </w:r>
            <w:proofErr w:type="spellEnd"/>
            <w:r>
              <w:rPr>
                <w:rFonts w:asciiTheme="minorHAnsi" w:hAnsiTheme="minorHAnsi" w:cstheme="minorHAnsi"/>
                <w:sz w:val="24"/>
                <w:szCs w:val="24"/>
              </w:rPr>
              <w:t>.</w:t>
            </w:r>
            <w:r w:rsidR="005F74F5">
              <w:rPr>
                <w:rFonts w:asciiTheme="minorHAnsi" w:hAnsiTheme="minorHAnsi" w:cstheme="minorHAnsi"/>
                <w:sz w:val="24"/>
                <w:szCs w:val="24"/>
              </w:rPr>
              <w:t xml:space="preserve"> U </w:t>
            </w:r>
            <w:proofErr w:type="spellStart"/>
            <w:r w:rsidR="005F74F5">
              <w:rPr>
                <w:rFonts w:asciiTheme="minorHAnsi" w:hAnsiTheme="minorHAnsi" w:cstheme="minorHAnsi"/>
                <w:sz w:val="24"/>
                <w:szCs w:val="24"/>
              </w:rPr>
              <w:t>zaključku</w:t>
            </w:r>
            <w:proofErr w:type="spellEnd"/>
            <w:r w:rsidR="005F74F5">
              <w:rPr>
                <w:rFonts w:asciiTheme="minorHAnsi" w:hAnsiTheme="minorHAnsi" w:cstheme="minorHAnsi"/>
                <w:sz w:val="24"/>
                <w:szCs w:val="24"/>
              </w:rPr>
              <w:t xml:space="preserve"> je </w:t>
            </w:r>
            <w:proofErr w:type="spellStart"/>
            <w:proofErr w:type="gramStart"/>
            <w:r w:rsidR="005F74F5">
              <w:rPr>
                <w:rFonts w:asciiTheme="minorHAnsi" w:hAnsiTheme="minorHAnsi" w:cstheme="minorHAnsi"/>
                <w:sz w:val="24"/>
                <w:szCs w:val="24"/>
              </w:rPr>
              <w:t>konstatovano</w:t>
            </w:r>
            <w:proofErr w:type="spellEnd"/>
            <w:r w:rsidR="005F74F5">
              <w:rPr>
                <w:rFonts w:asciiTheme="minorHAnsi" w:hAnsiTheme="minorHAnsi" w:cstheme="minorHAnsi"/>
                <w:sz w:val="24"/>
                <w:szCs w:val="24"/>
              </w:rPr>
              <w:t xml:space="preserve"> </w:t>
            </w:r>
            <w:r w:rsidR="005F74F5" w:rsidRPr="005F74F5">
              <w:rPr>
                <w:rFonts w:asciiTheme="minorHAnsi" w:hAnsiTheme="minorHAnsi" w:cstheme="minorHAnsi"/>
                <w:sz w:val="24"/>
                <w:szCs w:val="24"/>
              </w:rPr>
              <w:t xml:space="preserve"> da</w:t>
            </w:r>
            <w:proofErr w:type="gramEnd"/>
            <w:r w:rsidR="005F74F5" w:rsidRPr="005F74F5">
              <w:rPr>
                <w:rFonts w:asciiTheme="minorHAnsi" w:hAnsiTheme="minorHAnsi" w:cstheme="minorHAnsi"/>
                <w:sz w:val="24"/>
                <w:szCs w:val="24"/>
              </w:rPr>
              <w:t xml:space="preserve"> </w:t>
            </w:r>
            <w:r w:rsidR="005F74F5">
              <w:rPr>
                <w:rFonts w:asciiTheme="minorHAnsi" w:hAnsiTheme="minorHAnsi" w:cstheme="minorHAnsi"/>
                <w:sz w:val="24"/>
                <w:szCs w:val="24"/>
              </w:rPr>
              <w:t>“</w:t>
            </w:r>
            <w:proofErr w:type="spellStart"/>
            <w:r w:rsidR="005F74F5" w:rsidRPr="005F74F5">
              <w:rPr>
                <w:rFonts w:asciiTheme="minorHAnsi" w:hAnsiTheme="minorHAnsi" w:cstheme="minorHAnsi"/>
                <w:sz w:val="24"/>
                <w:szCs w:val="24"/>
              </w:rPr>
              <w:t>pristupačnost</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srednjih</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škola</w:t>
            </w:r>
            <w:proofErr w:type="spellEnd"/>
            <w:r w:rsidR="005F74F5" w:rsidRPr="005F74F5">
              <w:rPr>
                <w:rFonts w:asciiTheme="minorHAnsi" w:hAnsiTheme="minorHAnsi" w:cstheme="minorHAnsi"/>
                <w:sz w:val="24"/>
                <w:szCs w:val="24"/>
              </w:rPr>
              <w:t xml:space="preserve"> u </w:t>
            </w:r>
            <w:proofErr w:type="spellStart"/>
            <w:r w:rsidR="005F74F5" w:rsidRPr="005F74F5">
              <w:rPr>
                <w:rFonts w:asciiTheme="minorHAnsi" w:hAnsiTheme="minorHAnsi" w:cstheme="minorHAnsi"/>
                <w:sz w:val="24"/>
                <w:szCs w:val="24"/>
              </w:rPr>
              <w:t>navedenim</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gradovima</w:t>
            </w:r>
            <w:proofErr w:type="spellEnd"/>
            <w:r w:rsidR="005F74F5" w:rsidRPr="005F74F5">
              <w:rPr>
                <w:rFonts w:asciiTheme="minorHAnsi" w:hAnsiTheme="minorHAnsi" w:cstheme="minorHAnsi"/>
                <w:sz w:val="24"/>
                <w:szCs w:val="24"/>
              </w:rPr>
              <w:t xml:space="preserve"> se </w:t>
            </w:r>
            <w:proofErr w:type="spellStart"/>
            <w:r w:rsidR="005F74F5" w:rsidRPr="005F74F5">
              <w:rPr>
                <w:rFonts w:asciiTheme="minorHAnsi" w:hAnsiTheme="minorHAnsi" w:cstheme="minorHAnsi"/>
                <w:sz w:val="24"/>
                <w:szCs w:val="24"/>
              </w:rPr>
              <w:t>završava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samo</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postavljanjem</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najčešće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improvizovane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rampe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ili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rampe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koja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nije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izrađena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prema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standardima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Takođe</w:t>
            </w:r>
            <w:proofErr w:type="spellEnd"/>
            <w:r w:rsidR="005F74F5" w:rsidRPr="005F74F5">
              <w:rPr>
                <w:rFonts w:asciiTheme="minorHAnsi" w:hAnsiTheme="minorHAnsi" w:cstheme="minorHAnsi"/>
                <w:sz w:val="24"/>
                <w:szCs w:val="24"/>
              </w:rPr>
              <w:t xml:space="preserve">, </w:t>
            </w:r>
            <w:proofErr w:type="spellStart"/>
            <w:r w:rsidR="005F74F5">
              <w:rPr>
                <w:rFonts w:asciiTheme="minorHAnsi" w:hAnsiTheme="minorHAnsi" w:cstheme="minorHAnsi"/>
                <w:sz w:val="24"/>
                <w:szCs w:val="24"/>
              </w:rPr>
              <w:t>čak</w:t>
            </w:r>
            <w:proofErr w:type="spellEnd"/>
            <w:r w:rsidR="005F74F5" w:rsidRPr="005F74F5">
              <w:rPr>
                <w:rFonts w:asciiTheme="minorHAnsi" w:hAnsiTheme="minorHAnsi" w:cstheme="minorHAnsi"/>
                <w:sz w:val="24"/>
                <w:szCs w:val="24"/>
              </w:rPr>
              <w:t xml:space="preserve"> i u </w:t>
            </w:r>
            <w:proofErr w:type="spellStart"/>
            <w:r w:rsidR="005F74F5" w:rsidRPr="005F74F5">
              <w:rPr>
                <w:rFonts w:asciiTheme="minorHAnsi" w:hAnsiTheme="minorHAnsi" w:cstheme="minorHAnsi"/>
                <w:sz w:val="24"/>
                <w:szCs w:val="24"/>
              </w:rPr>
              <w:t>onim</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školama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koje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su</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renovirane</w:t>
            </w:r>
            <w:proofErr w:type="spellEnd"/>
            <w:r w:rsidR="005F74F5" w:rsidRPr="005F74F5">
              <w:rPr>
                <w:rFonts w:asciiTheme="minorHAnsi" w:hAnsiTheme="minorHAnsi" w:cstheme="minorHAnsi"/>
                <w:sz w:val="24"/>
                <w:szCs w:val="24"/>
              </w:rPr>
              <w:t xml:space="preserve"> i </w:t>
            </w:r>
            <w:proofErr w:type="spellStart"/>
            <w:r w:rsidR="005F74F5" w:rsidRPr="005F74F5">
              <w:rPr>
                <w:rFonts w:asciiTheme="minorHAnsi" w:hAnsiTheme="minorHAnsi" w:cstheme="minorHAnsi"/>
                <w:sz w:val="24"/>
                <w:szCs w:val="24"/>
              </w:rPr>
              <w:t>dalje</w:t>
            </w:r>
            <w:proofErr w:type="spellEnd"/>
            <w:r w:rsidR="005F74F5" w:rsidRPr="005F74F5">
              <w:rPr>
                <w:rFonts w:asciiTheme="minorHAnsi" w:hAnsiTheme="minorHAnsi" w:cstheme="minorHAnsi"/>
                <w:sz w:val="24"/>
                <w:szCs w:val="24"/>
              </w:rPr>
              <w:t xml:space="preserve"> ne </w:t>
            </w:r>
            <w:proofErr w:type="spellStart"/>
            <w:r w:rsidR="005F74F5" w:rsidRPr="005F74F5">
              <w:rPr>
                <w:rFonts w:asciiTheme="minorHAnsi" w:hAnsiTheme="minorHAnsi" w:cstheme="minorHAnsi"/>
                <w:sz w:val="24"/>
                <w:szCs w:val="24"/>
              </w:rPr>
              <w:t>postoje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svi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elementi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pristupačnosti</w:t>
            </w:r>
            <w:proofErr w:type="spellEnd"/>
            <w:r w:rsidR="005F74F5" w:rsidRPr="005F74F5">
              <w:rPr>
                <w:rFonts w:asciiTheme="minorHAnsi" w:hAnsiTheme="minorHAnsi" w:cstheme="minorHAnsi"/>
                <w:sz w:val="24"/>
                <w:szCs w:val="24"/>
              </w:rPr>
              <w:t xml:space="preserve"> i/</w:t>
            </w:r>
            <w:proofErr w:type="spellStart"/>
            <w:r w:rsidR="005F74F5" w:rsidRPr="005F74F5">
              <w:rPr>
                <w:rFonts w:asciiTheme="minorHAnsi" w:hAnsiTheme="minorHAnsi" w:cstheme="minorHAnsi"/>
                <w:sz w:val="24"/>
                <w:szCs w:val="24"/>
              </w:rPr>
              <w:t>ili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postoje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ali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najčešće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nijesu</w:t>
            </w:r>
            <w:proofErr w:type="spellEnd"/>
            <w:r w:rsidR="005F74F5" w:rsidRPr="005F74F5">
              <w:rPr>
                <w:rFonts w:asciiTheme="minorHAnsi" w:hAnsiTheme="minorHAnsi" w:cstheme="minorHAnsi"/>
                <w:sz w:val="24"/>
                <w:szCs w:val="24"/>
              </w:rPr>
              <w:t xml:space="preserve"> u </w:t>
            </w:r>
            <w:proofErr w:type="spellStart"/>
            <w:r w:rsidR="005F74F5" w:rsidRPr="005F74F5">
              <w:rPr>
                <w:rFonts w:asciiTheme="minorHAnsi" w:hAnsiTheme="minorHAnsi" w:cstheme="minorHAnsi"/>
                <w:sz w:val="24"/>
                <w:szCs w:val="24"/>
              </w:rPr>
              <w:t>upotrebi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toaleti</w:t>
            </w:r>
            <w:proofErr w:type="spellEnd"/>
            <w:r w:rsidR="005F74F5" w:rsidRPr="005F74F5">
              <w:rPr>
                <w:rFonts w:asciiTheme="minorHAnsi" w:hAnsiTheme="minorHAnsi" w:cstheme="minorHAnsi"/>
                <w:sz w:val="24"/>
                <w:szCs w:val="24"/>
              </w:rPr>
              <w:t xml:space="preserve">, lift). Pored </w:t>
            </w:r>
            <w:proofErr w:type="spellStart"/>
            <w:r w:rsidR="005F74F5" w:rsidRPr="005F74F5">
              <w:rPr>
                <w:rFonts w:asciiTheme="minorHAnsi" w:hAnsiTheme="minorHAnsi" w:cstheme="minorHAnsi"/>
                <w:sz w:val="24"/>
                <w:szCs w:val="24"/>
              </w:rPr>
              <w:t>navedenog</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neki</w:t>
            </w:r>
            <w:proofErr w:type="spellEnd"/>
            <w:r w:rsidR="005F74F5" w:rsidRPr="005F74F5">
              <w:rPr>
                <w:rFonts w:asciiTheme="minorHAnsi" w:hAnsiTheme="minorHAnsi" w:cstheme="minorHAnsi"/>
                <w:sz w:val="24"/>
                <w:szCs w:val="24"/>
              </w:rPr>
              <w:t xml:space="preserve"> od </w:t>
            </w:r>
            <w:proofErr w:type="spellStart"/>
            <w:r w:rsidR="005F74F5" w:rsidRPr="005F74F5">
              <w:rPr>
                <w:rFonts w:asciiTheme="minorHAnsi" w:hAnsiTheme="minorHAnsi" w:cstheme="minorHAnsi"/>
                <w:sz w:val="24"/>
                <w:szCs w:val="24"/>
              </w:rPr>
              <w:t>elementa</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pristupačnlosti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uopšte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nijesu</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prisutni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ni</w:t>
            </w:r>
            <w:proofErr w:type="spellEnd"/>
            <w:r w:rsidR="005F74F5" w:rsidRPr="005F74F5">
              <w:rPr>
                <w:rFonts w:asciiTheme="minorHAnsi" w:hAnsiTheme="minorHAnsi" w:cstheme="minorHAnsi"/>
                <w:sz w:val="24"/>
                <w:szCs w:val="24"/>
              </w:rPr>
              <w:t xml:space="preserve"> u </w:t>
            </w:r>
            <w:proofErr w:type="spellStart"/>
            <w:r w:rsidR="005F74F5" w:rsidRPr="005F74F5">
              <w:rPr>
                <w:rFonts w:asciiTheme="minorHAnsi" w:hAnsiTheme="minorHAnsi" w:cstheme="minorHAnsi"/>
                <w:sz w:val="24"/>
                <w:szCs w:val="24"/>
              </w:rPr>
              <w:t>jednoj</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srednjoj</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školi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što</w:t>
            </w:r>
            <w:proofErr w:type="spellEnd"/>
            <w:r w:rsidR="005F74F5" w:rsidRPr="005F74F5">
              <w:rPr>
                <w:rFonts w:asciiTheme="minorHAnsi" w:hAnsiTheme="minorHAnsi" w:cstheme="minorHAnsi"/>
                <w:sz w:val="24"/>
                <w:szCs w:val="24"/>
              </w:rPr>
              <w:t xml:space="preserve"> se </w:t>
            </w:r>
            <w:proofErr w:type="spellStart"/>
            <w:r w:rsidR="005F74F5" w:rsidRPr="005F74F5">
              <w:rPr>
                <w:rFonts w:asciiTheme="minorHAnsi" w:hAnsiTheme="minorHAnsi" w:cstheme="minorHAnsi"/>
                <w:sz w:val="24"/>
                <w:szCs w:val="24"/>
              </w:rPr>
              <w:t>održava</w:t>
            </w:r>
            <w:proofErr w:type="spellEnd"/>
            <w:r w:rsidR="005F74F5" w:rsidRPr="005F74F5">
              <w:rPr>
                <w:rFonts w:asciiTheme="minorHAnsi" w:hAnsiTheme="minorHAnsi" w:cstheme="minorHAnsi"/>
                <w:sz w:val="24"/>
                <w:szCs w:val="24"/>
              </w:rPr>
              <w:t xml:space="preserve"> i na </w:t>
            </w:r>
            <w:proofErr w:type="spellStart"/>
            <w:r w:rsidR="005F74F5" w:rsidRPr="005F74F5">
              <w:rPr>
                <w:rFonts w:asciiTheme="minorHAnsi" w:hAnsiTheme="minorHAnsi" w:cstheme="minorHAnsi"/>
                <w:sz w:val="24"/>
                <w:szCs w:val="24"/>
              </w:rPr>
              <w:t>broj</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učenika</w:t>
            </w:r>
            <w:proofErr w:type="spellEnd"/>
            <w:r w:rsidR="005F74F5" w:rsidRPr="005F74F5">
              <w:rPr>
                <w:rFonts w:asciiTheme="minorHAnsi" w:hAnsiTheme="minorHAnsi" w:cstheme="minorHAnsi"/>
                <w:sz w:val="24"/>
                <w:szCs w:val="24"/>
              </w:rPr>
              <w:t xml:space="preserve"> s </w:t>
            </w:r>
            <w:proofErr w:type="spellStart"/>
            <w:r w:rsidR="005F74F5" w:rsidRPr="005F74F5">
              <w:rPr>
                <w:rFonts w:asciiTheme="minorHAnsi" w:hAnsiTheme="minorHAnsi" w:cstheme="minorHAnsi"/>
                <w:sz w:val="24"/>
                <w:szCs w:val="24"/>
              </w:rPr>
              <w:t>invaliditetom</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koji</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su</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uključeni</w:t>
            </w:r>
            <w:proofErr w:type="spellEnd"/>
            <w:r w:rsidR="005F74F5" w:rsidRPr="005F74F5">
              <w:rPr>
                <w:rFonts w:asciiTheme="minorHAnsi" w:hAnsiTheme="minorHAnsi" w:cstheme="minorHAnsi"/>
                <w:sz w:val="24"/>
                <w:szCs w:val="24"/>
              </w:rPr>
              <w:t xml:space="preserve"> u </w:t>
            </w:r>
            <w:proofErr w:type="spellStart"/>
            <w:r w:rsidR="005F74F5" w:rsidRPr="005F74F5">
              <w:rPr>
                <w:rFonts w:asciiTheme="minorHAnsi" w:hAnsiTheme="minorHAnsi" w:cstheme="minorHAnsi"/>
                <w:sz w:val="24"/>
                <w:szCs w:val="24"/>
              </w:rPr>
              <w:t>srednje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obrazovanje</w:t>
            </w:r>
            <w:proofErr w:type="spellEnd"/>
            <w:r w:rsidR="005F74F5" w:rsidRPr="005F74F5">
              <w:rPr>
                <w:rFonts w:asciiTheme="minorHAnsi" w:hAnsiTheme="minorHAnsi" w:cstheme="minorHAnsi"/>
                <w:sz w:val="24"/>
                <w:szCs w:val="24"/>
              </w:rPr>
              <w:t xml:space="preserve"> i </w:t>
            </w:r>
            <w:proofErr w:type="spellStart"/>
            <w:r w:rsidR="005F74F5" w:rsidRPr="005F74F5">
              <w:rPr>
                <w:rFonts w:asciiTheme="minorHAnsi" w:hAnsiTheme="minorHAnsi" w:cstheme="minorHAnsi"/>
                <w:sz w:val="24"/>
                <w:szCs w:val="24"/>
              </w:rPr>
              <w:t>njihov</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izbor</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srednje</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škole</w:t>
            </w:r>
            <w:proofErr w:type="spellEnd"/>
            <w:r w:rsidR="005F74F5" w:rsidRPr="005F74F5">
              <w:rPr>
                <w:rFonts w:asciiTheme="minorHAnsi" w:hAnsiTheme="minorHAnsi" w:cstheme="minorHAnsi"/>
                <w:sz w:val="24"/>
                <w:szCs w:val="24"/>
              </w:rPr>
              <w:t xml:space="preserve"> a </w:t>
            </w:r>
            <w:proofErr w:type="spellStart"/>
            <w:r w:rsidR="005F74F5" w:rsidRPr="005F74F5">
              <w:rPr>
                <w:rFonts w:asciiTheme="minorHAnsi" w:hAnsiTheme="minorHAnsi" w:cstheme="minorHAnsi"/>
                <w:sz w:val="24"/>
                <w:szCs w:val="24"/>
              </w:rPr>
              <w:t>kasnije</w:t>
            </w:r>
            <w:proofErr w:type="spellEnd"/>
            <w:r w:rsidR="005F74F5" w:rsidRPr="005F74F5">
              <w:rPr>
                <w:rFonts w:asciiTheme="minorHAnsi" w:hAnsiTheme="minorHAnsi" w:cstheme="minorHAnsi"/>
                <w:sz w:val="24"/>
                <w:szCs w:val="24"/>
              </w:rPr>
              <w:t xml:space="preserve"> i </w:t>
            </w:r>
            <w:proofErr w:type="spellStart"/>
            <w:r w:rsidR="005F74F5" w:rsidRPr="005F74F5">
              <w:rPr>
                <w:rFonts w:asciiTheme="minorHAnsi" w:hAnsiTheme="minorHAnsi" w:cstheme="minorHAnsi"/>
                <w:sz w:val="24"/>
                <w:szCs w:val="24"/>
              </w:rPr>
              <w:t>izbor</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visokog</w:t>
            </w:r>
            <w:proofErr w:type="spellEnd"/>
            <w:r w:rsidR="005F74F5" w:rsidRPr="005F74F5">
              <w:rPr>
                <w:rFonts w:asciiTheme="minorHAnsi" w:hAnsiTheme="minorHAnsi" w:cstheme="minorHAnsi"/>
                <w:sz w:val="24"/>
                <w:szCs w:val="24"/>
              </w:rPr>
              <w:t xml:space="preserve"> </w:t>
            </w:r>
            <w:proofErr w:type="spellStart"/>
            <w:r w:rsidR="005F74F5" w:rsidRPr="005F74F5">
              <w:rPr>
                <w:rFonts w:asciiTheme="minorHAnsi" w:hAnsiTheme="minorHAnsi" w:cstheme="minorHAnsi"/>
                <w:sz w:val="24"/>
                <w:szCs w:val="24"/>
              </w:rPr>
              <w:t>obraovanja</w:t>
            </w:r>
            <w:proofErr w:type="spellEnd"/>
            <w:r w:rsidR="005F74F5" w:rsidRPr="005F74F5">
              <w:rPr>
                <w:rFonts w:asciiTheme="minorHAnsi" w:hAnsiTheme="minorHAnsi" w:cstheme="minorHAnsi"/>
                <w:sz w:val="24"/>
                <w:szCs w:val="24"/>
              </w:rPr>
              <w:t>.</w:t>
            </w:r>
            <w:r w:rsidR="005F74F5">
              <w:rPr>
                <w:rFonts w:asciiTheme="minorHAnsi" w:hAnsiTheme="minorHAnsi" w:cstheme="minorHAnsi"/>
                <w:sz w:val="24"/>
                <w:szCs w:val="24"/>
              </w:rPr>
              <w:t>”</w:t>
            </w:r>
          </w:p>
          <w:p w:rsidR="0006451C" w:rsidRDefault="0006451C" w:rsidP="0006451C">
            <w:pPr>
              <w:spacing w:after="160" w:line="256" w:lineRule="auto"/>
              <w:jc w:val="both"/>
              <w:rPr>
                <w:rFonts w:ascii="Calibri" w:eastAsia="Calibri" w:hAnsi="Calibri"/>
                <w:sz w:val="24"/>
                <w:szCs w:val="24"/>
                <w:lang w:val="sr-Latn-ME"/>
              </w:rPr>
            </w:pPr>
            <w:r w:rsidRPr="00156E20">
              <w:rPr>
                <w:rFonts w:asciiTheme="minorHAnsi" w:hAnsiTheme="minorHAnsi" w:cstheme="minorHAnsi"/>
                <w:sz w:val="24"/>
                <w:szCs w:val="24"/>
              </w:rPr>
              <w:t xml:space="preserve">Prema </w:t>
            </w:r>
            <w:proofErr w:type="spellStart"/>
            <w:r w:rsidRPr="00156E20">
              <w:rPr>
                <w:rFonts w:asciiTheme="minorHAnsi" w:hAnsiTheme="minorHAnsi" w:cstheme="minorHAnsi"/>
                <w:sz w:val="24"/>
                <w:szCs w:val="24"/>
              </w:rPr>
              <w:t>istraživanju</w:t>
            </w:r>
            <w:proofErr w:type="spellEnd"/>
            <w:r w:rsidRPr="00156E20">
              <w:rPr>
                <w:rFonts w:asciiTheme="minorHAnsi" w:hAnsiTheme="minorHAnsi" w:cstheme="minorHAnsi"/>
                <w:sz w:val="24"/>
                <w:szCs w:val="24"/>
              </w:rPr>
              <w:t xml:space="preserve"> NVO “</w:t>
            </w:r>
            <w:proofErr w:type="spellStart"/>
            <w:r w:rsidRPr="00156E20">
              <w:rPr>
                <w:rFonts w:asciiTheme="minorHAnsi" w:hAnsiTheme="minorHAnsi" w:cstheme="minorHAnsi"/>
                <w:sz w:val="24"/>
                <w:szCs w:val="24"/>
              </w:rPr>
              <w:t>Saveza</w:t>
            </w:r>
            <w:proofErr w:type="spellEnd"/>
            <w:r w:rsidRPr="00156E20">
              <w:rPr>
                <w:rFonts w:asciiTheme="minorHAnsi" w:hAnsiTheme="minorHAnsi" w:cstheme="minorHAnsi"/>
                <w:sz w:val="24"/>
                <w:szCs w:val="24"/>
              </w:rPr>
              <w:t xml:space="preserve"> </w:t>
            </w:r>
            <w:proofErr w:type="spellStart"/>
            <w:r w:rsidRPr="00156E20">
              <w:rPr>
                <w:rFonts w:asciiTheme="minorHAnsi" w:hAnsiTheme="minorHAnsi" w:cstheme="minorHAnsi"/>
                <w:sz w:val="24"/>
                <w:szCs w:val="24"/>
              </w:rPr>
              <w:t>slijepih</w:t>
            </w:r>
            <w:proofErr w:type="spellEnd"/>
            <w:r w:rsidRPr="00156E20">
              <w:rPr>
                <w:rFonts w:asciiTheme="minorHAnsi" w:hAnsiTheme="minorHAnsi" w:cstheme="minorHAnsi"/>
                <w:sz w:val="24"/>
                <w:szCs w:val="24"/>
              </w:rPr>
              <w:t xml:space="preserve"> Crne Gore”, “</w:t>
            </w:r>
            <w:proofErr w:type="spellStart"/>
            <w:r w:rsidRPr="00156E20">
              <w:rPr>
                <w:rFonts w:asciiTheme="minorHAnsi" w:hAnsiTheme="minorHAnsi" w:cstheme="minorHAnsi"/>
                <w:sz w:val="24"/>
                <w:szCs w:val="24"/>
              </w:rPr>
              <w:t>Istraživanje</w:t>
            </w:r>
            <w:proofErr w:type="spellEnd"/>
            <w:r w:rsidRPr="00156E20">
              <w:rPr>
                <w:rFonts w:asciiTheme="minorHAnsi" w:hAnsiTheme="minorHAnsi" w:cstheme="minorHAnsi"/>
                <w:sz w:val="24"/>
                <w:szCs w:val="24"/>
              </w:rPr>
              <w:t xml:space="preserve"> o </w:t>
            </w:r>
            <w:proofErr w:type="spellStart"/>
            <w:r w:rsidRPr="00156E20">
              <w:rPr>
                <w:rFonts w:asciiTheme="minorHAnsi" w:hAnsiTheme="minorHAnsi" w:cstheme="minorHAnsi"/>
                <w:sz w:val="24"/>
                <w:szCs w:val="24"/>
              </w:rPr>
              <w:t>diskriminaciji</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osoba</w:t>
            </w:r>
            <w:proofErr w:type="spellEnd"/>
            <w:r>
              <w:rPr>
                <w:rFonts w:asciiTheme="minorHAnsi" w:hAnsiTheme="minorHAnsi" w:cstheme="minorHAnsi"/>
                <w:b/>
                <w:sz w:val="24"/>
                <w:szCs w:val="24"/>
              </w:rPr>
              <w:t xml:space="preserve"> sa </w:t>
            </w:r>
            <w:proofErr w:type="spellStart"/>
            <w:r>
              <w:rPr>
                <w:rFonts w:asciiTheme="minorHAnsi" w:hAnsiTheme="minorHAnsi" w:cstheme="minorHAnsi"/>
                <w:b/>
                <w:sz w:val="24"/>
                <w:szCs w:val="24"/>
              </w:rPr>
              <w:t>invaliditetom</w:t>
            </w:r>
            <w:proofErr w:type="spellEnd"/>
            <w:r>
              <w:rPr>
                <w:rFonts w:asciiTheme="minorHAnsi" w:hAnsiTheme="minorHAnsi" w:cstheme="minorHAnsi"/>
                <w:b/>
                <w:sz w:val="24"/>
                <w:szCs w:val="24"/>
              </w:rPr>
              <w:t>”,</w:t>
            </w:r>
            <w:r>
              <w:rPr>
                <w:rFonts w:asciiTheme="minorHAnsi" w:hAnsiTheme="minorHAnsi" w:cstheme="minorHAnsi"/>
                <w:b/>
                <w:sz w:val="24"/>
                <w:szCs w:val="24"/>
                <w:lang w:val="en-GB"/>
              </w:rPr>
              <w:t xml:space="preserve"> </w:t>
            </w:r>
            <w:hyperlink r:id="rId16" w:history="1">
              <w:r>
                <w:rPr>
                  <w:rStyle w:val="Hyperlink"/>
                  <w:rFonts w:asciiTheme="minorHAnsi" w:hAnsiTheme="minorHAnsi" w:cstheme="minorHAnsi"/>
                  <w:b/>
                  <w:sz w:val="24"/>
                  <w:szCs w:val="24"/>
                  <w:lang w:val="en-GB"/>
                </w:rPr>
                <w:t>https://ss-cg.org/wp-content/uploads/2020/12/25-IX-19-SSCG-istrazivanje-2019-OSI.pdf</w:t>
              </w:r>
            </w:hyperlink>
            <w:r>
              <w:rPr>
                <w:sz w:val="24"/>
                <w:szCs w:val="24"/>
              </w:rPr>
              <w:t>,</w:t>
            </w:r>
            <w:r>
              <w:rPr>
                <w:rFonts w:ascii="Calibri" w:eastAsia="Calibri" w:hAnsi="Calibri"/>
                <w:sz w:val="24"/>
                <w:szCs w:val="24"/>
                <w:lang w:val="sr-Latn-ME"/>
              </w:rPr>
              <w:t xml:space="preserve"> čak 52,9% lica s invaliditetom smatra da su najugroženija i najmarginalizovanija grupa, 44,3% smatra da su licima s invaliditetom garantovana manja prava nego ostalim građanima, dok 82,9% smatra da lica s invaliditetom ostvaruju manja prava u praksi. Državne institucije su jedva prepoznate u borbi za prava lica s invaliditetom- 1,4%. Kada su u pitanju pojedinačne oblasti diskriminacije, 57,1% zapošljavanje; 51,6% pristup objektima i površinama u javnoj upotrebi; 45,3% samostalan život, život u zajednici i životni standard; 43,8% zdravlje, lična pokretljivost, kvalitet pomagala i opreme; 43,6% u postupcima pred organima.</w:t>
            </w:r>
          </w:p>
          <w:p w:rsidR="0006451C" w:rsidRPr="00C26D96" w:rsidRDefault="0006451C" w:rsidP="0006451C">
            <w:pPr>
              <w:spacing w:after="160" w:line="256" w:lineRule="auto"/>
              <w:jc w:val="both"/>
              <w:rPr>
                <w:rFonts w:ascii="Calibri" w:eastAsia="Calibri" w:hAnsi="Calibri"/>
                <w:sz w:val="24"/>
                <w:szCs w:val="24"/>
                <w:lang w:val="sr-Latn-ME"/>
              </w:rPr>
            </w:pPr>
            <w:r>
              <w:rPr>
                <w:rFonts w:ascii="Calibri" w:eastAsia="Calibri" w:hAnsi="Calibri"/>
                <w:sz w:val="24"/>
                <w:szCs w:val="24"/>
                <w:lang w:val="sr-Latn-ME"/>
              </w:rPr>
              <w:t xml:space="preserve">Takođe, </w:t>
            </w:r>
            <w:r w:rsidRPr="008D73C2">
              <w:rPr>
                <w:rFonts w:ascii="Calibri" w:eastAsia="Calibri" w:hAnsi="Calibri"/>
                <w:b/>
                <w:sz w:val="24"/>
                <w:szCs w:val="24"/>
                <w:lang w:val="sr-Latn-ME"/>
              </w:rPr>
              <w:t>istraživanja</w:t>
            </w:r>
            <w:r>
              <w:rPr>
                <w:rFonts w:ascii="Calibri" w:eastAsia="Calibri" w:hAnsi="Calibri"/>
                <w:b/>
                <w:sz w:val="24"/>
                <w:szCs w:val="24"/>
                <w:lang w:val="sr-Latn-ME"/>
              </w:rPr>
              <w:t xml:space="preserve">  NVO „</w:t>
            </w:r>
            <w:r w:rsidRPr="008D73C2">
              <w:rPr>
                <w:rFonts w:ascii="Calibri" w:eastAsia="Calibri" w:hAnsi="Calibri"/>
                <w:b/>
                <w:sz w:val="24"/>
                <w:szCs w:val="24"/>
                <w:lang w:val="sr-Latn-ME"/>
              </w:rPr>
              <w:t>Saveza slijepih Crne Gore</w:t>
            </w:r>
            <w:r>
              <w:rPr>
                <w:rFonts w:ascii="Calibri" w:eastAsia="Calibri" w:hAnsi="Calibri"/>
                <w:b/>
                <w:sz w:val="24"/>
                <w:szCs w:val="24"/>
                <w:lang w:val="sr-Latn-ME"/>
              </w:rPr>
              <w:t>“</w:t>
            </w:r>
            <w:r w:rsidRPr="00556962">
              <w:rPr>
                <w:rFonts w:ascii="Calibri" w:eastAsia="Calibri" w:hAnsi="Calibri"/>
                <w:sz w:val="24"/>
                <w:szCs w:val="24"/>
                <w:lang w:val="sr-Latn-ME"/>
              </w:rPr>
              <w:t>, “</w:t>
            </w:r>
            <w:r w:rsidRPr="00E50F22">
              <w:rPr>
                <w:rFonts w:ascii="Calibri" w:eastAsia="Calibri" w:hAnsi="Calibri"/>
                <w:b/>
                <w:sz w:val="24"/>
                <w:szCs w:val="24"/>
                <w:lang w:val="sr-Latn-ME"/>
              </w:rPr>
              <w:t xml:space="preserve">Lokalne samouprave neposredno diskriminišu osobe oštećenog vida”, </w:t>
            </w:r>
            <w:hyperlink r:id="rId17" w:history="1">
              <w:r w:rsidRPr="00956C4A">
                <w:rPr>
                  <w:b/>
                  <w:color w:val="4472C4" w:themeColor="accent1"/>
                  <w:sz w:val="24"/>
                  <w:szCs w:val="24"/>
                  <w:lang w:val="sr-Latn-ME"/>
                </w:rPr>
                <w:t>https://ss-cg.org/?p=2141</w:t>
              </w:r>
            </w:hyperlink>
            <w:r>
              <w:rPr>
                <w:rFonts w:ascii="Calibri" w:eastAsia="Calibri" w:hAnsi="Calibri"/>
                <w:sz w:val="24"/>
                <w:szCs w:val="24"/>
                <w:lang w:val="sr-Latn-ME"/>
              </w:rPr>
              <w:t>,</w:t>
            </w:r>
            <w:r w:rsidRPr="00556962">
              <w:rPr>
                <w:rFonts w:ascii="Calibri" w:eastAsia="Calibri" w:hAnsi="Calibri"/>
                <w:sz w:val="24"/>
                <w:szCs w:val="24"/>
                <w:lang w:val="sr-Latn-ME"/>
              </w:rPr>
              <w:t xml:space="preserve"> ukazuju da nijedna institucija u Crnoj Gori nema u potpunosti elemente pristupačnosti za osobe oštećenog vida. Od javnih ustanova najviše elemenata pristupačnosti imaju institucije zdravstva, Domovi zdravlja, Opšte bolnice, Specijalne bolnice, JU Centri za socijalni rad, dok je najmanji nivo pristupačnosti zastupljen u lokalnim samoupravama. Jedan od prepoznatih problema kroz navedena istraživanja,  jeste i nedovoljan nivo poznavanja, od strane državnih službenika i namještenika, problema u oblasti pristupačnosti objektima sa kojima se suočavaju lica s invaliditetom. S tim u vezi, u narednom periodu je potrebno staviti akcenat na  sprovođenje edukativnih aktivnosti državnih službenika i namještenika, sve u cilju jačanja kapaciteta i svijesti o problemima i preprekama sa kojima se suočavaju lica s invaliditetom prilikom pristupa objektima u kojima su smještene državne institucije. Takođe, potrebno je istaći i preporuku Komiteta UN za prava lica s invaliditetom koji je prepoznao navedene probleme i ukazao na potrebu promocije univerzalnog dizajna za sve javne ustanove, javne usluge i javni prevoz, s posebnim osvrtom na primjenljiva ICT rješenja u konsultacijama sa licima s invaliditetom i njihovim predstavničkim organizacijama, gdje je poseban akcenat stavljen na lokalni nivo. Univerzalni dizajn je dizajn i sastav okruženja tako da mu svi ljudi mogu pristupiti, razumjeti ga i koristiti u najvećoj mogućoj mjeri, bez obzira na njihovu starost, uzrast, </w:t>
            </w:r>
            <w:r w:rsidRPr="00556962">
              <w:rPr>
                <w:rFonts w:ascii="Calibri" w:eastAsia="Calibri" w:hAnsi="Calibri"/>
                <w:sz w:val="24"/>
                <w:szCs w:val="24"/>
                <w:lang w:val="sr-Latn-ME"/>
              </w:rPr>
              <w:lastRenderedPageBreak/>
              <w:t>sposobnost ili invaliditet. Okruženje (ili bilo koja zgrada, proizvod ili usluga u tom okruženju) treba da bude dizajnirano da zadovolji potrebe svih ljudi koji žele da ga koriste. Ovo nije poseban zahtjev, niti je u korist samo manjine stanovništva, to je osnovni uslov dobrog dizajna. Ako je okruženje pristupačno, upotrebljivo, pogodno i zadovoljstvo ga je koristiti, svi imaju koristi.</w:t>
            </w:r>
          </w:p>
          <w:p w:rsidR="0006451C" w:rsidRDefault="0006451C" w:rsidP="0006451C">
            <w:pPr>
              <w:spacing w:after="160" w:line="256" w:lineRule="auto"/>
              <w:jc w:val="both"/>
              <w:rPr>
                <w:rFonts w:ascii="Calibri" w:eastAsia="Calibri" w:hAnsi="Calibri"/>
                <w:sz w:val="24"/>
                <w:szCs w:val="24"/>
                <w:lang w:val="sr-Latn-ME"/>
              </w:rPr>
            </w:pPr>
            <w:r w:rsidRPr="00556962">
              <w:rPr>
                <w:rFonts w:ascii="Calibri" w:eastAsia="Calibri" w:hAnsi="Calibri"/>
                <w:sz w:val="24"/>
                <w:szCs w:val="24"/>
                <w:lang w:val="sr-Latn-ME"/>
              </w:rPr>
              <w:t>Kada govorimo o stavovima građana u pogledu pristupačnosti objekata licima s invaliditetom, istraživanje CGO-a pokazuje da su stavovi građana podijeljeni, međutim, značajno je istaći da polovina učesnika istraživanja smatra da su objekti u potpunosti ili uglavnom nepristupačni za lica s invaliditetom.</w:t>
            </w:r>
          </w:p>
          <w:p w:rsidR="0006451C" w:rsidRDefault="0006451C" w:rsidP="0006451C">
            <w:pPr>
              <w:spacing w:after="160" w:line="256" w:lineRule="auto"/>
              <w:jc w:val="both"/>
              <w:rPr>
                <w:rFonts w:ascii="Calibri" w:eastAsia="Calibri" w:hAnsi="Calibri"/>
                <w:noProof/>
                <w:sz w:val="24"/>
                <w:szCs w:val="24"/>
                <w:lang w:val="sr-Latn-ME"/>
              </w:rPr>
            </w:pPr>
            <w:r>
              <w:rPr>
                <w:rFonts w:ascii="Calibri" w:eastAsia="Calibri" w:hAnsi="Calibri"/>
                <w:b/>
                <w:noProof/>
                <w:sz w:val="24"/>
                <w:szCs w:val="24"/>
                <w:lang w:val="sr-Latn-ME"/>
              </w:rPr>
              <w:t>Istraživanje  NVO „Centra  za građansko obrazovanje“</w:t>
            </w:r>
            <w:r>
              <w:rPr>
                <w:rFonts w:ascii="Calibri" w:eastAsia="Calibri" w:hAnsi="Calibri"/>
                <w:sz w:val="24"/>
                <w:szCs w:val="24"/>
                <w:lang w:val="en-GB"/>
              </w:rPr>
              <w:t xml:space="preserve">  “</w:t>
            </w:r>
            <w:proofErr w:type="spellStart"/>
            <w:r>
              <w:rPr>
                <w:rFonts w:ascii="Calibri" w:eastAsia="Calibri" w:hAnsi="Calibri"/>
                <w:b/>
                <w:sz w:val="24"/>
                <w:szCs w:val="24"/>
                <w:lang w:val="en-GB"/>
              </w:rPr>
              <w:t>Stavovi</w:t>
            </w:r>
            <w:proofErr w:type="spellEnd"/>
            <w:r>
              <w:rPr>
                <w:rFonts w:ascii="Calibri" w:eastAsia="Calibri" w:hAnsi="Calibri"/>
                <w:b/>
                <w:sz w:val="24"/>
                <w:szCs w:val="24"/>
                <w:lang w:val="en-GB"/>
              </w:rPr>
              <w:t xml:space="preserve"> </w:t>
            </w:r>
            <w:proofErr w:type="spellStart"/>
            <w:r>
              <w:rPr>
                <w:rFonts w:ascii="Calibri" w:eastAsia="Calibri" w:hAnsi="Calibri"/>
                <w:b/>
                <w:sz w:val="24"/>
                <w:szCs w:val="24"/>
                <w:lang w:val="en-GB"/>
              </w:rPr>
              <w:t>prema</w:t>
            </w:r>
            <w:proofErr w:type="spellEnd"/>
            <w:r>
              <w:rPr>
                <w:rFonts w:ascii="Calibri" w:eastAsia="Calibri" w:hAnsi="Calibri"/>
                <w:b/>
                <w:sz w:val="24"/>
                <w:szCs w:val="24"/>
                <w:lang w:val="en-GB"/>
              </w:rPr>
              <w:t xml:space="preserve"> </w:t>
            </w:r>
            <w:proofErr w:type="spellStart"/>
            <w:r>
              <w:rPr>
                <w:rFonts w:ascii="Calibri" w:eastAsia="Calibri" w:hAnsi="Calibri"/>
                <w:b/>
                <w:sz w:val="24"/>
                <w:szCs w:val="24"/>
                <w:lang w:val="en-GB"/>
              </w:rPr>
              <w:t>osobama</w:t>
            </w:r>
            <w:proofErr w:type="spellEnd"/>
            <w:r>
              <w:rPr>
                <w:rFonts w:ascii="Calibri" w:eastAsia="Calibri" w:hAnsi="Calibri"/>
                <w:b/>
                <w:sz w:val="24"/>
                <w:szCs w:val="24"/>
                <w:lang w:val="en-GB"/>
              </w:rPr>
              <w:t xml:space="preserve"> sa </w:t>
            </w:r>
            <w:proofErr w:type="spellStart"/>
            <w:r>
              <w:rPr>
                <w:rFonts w:ascii="Calibri" w:eastAsia="Calibri" w:hAnsi="Calibri"/>
                <w:b/>
                <w:sz w:val="24"/>
                <w:szCs w:val="24"/>
                <w:lang w:val="en-GB"/>
              </w:rPr>
              <w:t>invaliditetom</w:t>
            </w:r>
            <w:proofErr w:type="spellEnd"/>
            <w:r>
              <w:rPr>
                <w:rFonts w:ascii="Calibri" w:eastAsia="Calibri" w:hAnsi="Calibri"/>
                <w:b/>
                <w:sz w:val="24"/>
                <w:szCs w:val="24"/>
                <w:lang w:val="en-GB"/>
              </w:rPr>
              <w:t>”</w:t>
            </w:r>
            <w:r>
              <w:rPr>
                <w:rFonts w:ascii="Calibri" w:eastAsia="Calibri" w:hAnsi="Calibri"/>
                <w:sz w:val="24"/>
                <w:szCs w:val="24"/>
                <w:lang w:val="en-GB"/>
              </w:rPr>
              <w:t xml:space="preserve">, </w:t>
            </w:r>
            <w:hyperlink r:id="rId18" w:history="1">
              <w:r>
                <w:rPr>
                  <w:rStyle w:val="Hyperlink"/>
                  <w:rFonts w:ascii="Calibri" w:eastAsia="Calibri" w:hAnsi="Calibri"/>
                  <w:color w:val="0563C1"/>
                  <w:sz w:val="24"/>
                  <w:szCs w:val="24"/>
                  <w:lang w:val="en-GB"/>
                </w:rPr>
                <w:t>http://media.cgo-cce.org/2020/03/CGO_Odnos-prema-osobama-s-invaliditetom-FF.pdf</w:t>
              </w:r>
            </w:hyperlink>
            <w:r>
              <w:rPr>
                <w:rFonts w:ascii="Calibri" w:eastAsia="Calibri" w:hAnsi="Calibri"/>
                <w:noProof/>
                <w:sz w:val="24"/>
                <w:szCs w:val="24"/>
                <w:lang w:val="sr-Latn-ME"/>
              </w:rPr>
              <w:t xml:space="preserve"> pokazuje da su stavovi građana podijeljeni, međutim, polovina učesnika istraživanja smatra da su objekti u potpunosti ili uglavnom nepristupačni za lica s invaliditetom</w:t>
            </w:r>
            <w:r>
              <w:rPr>
                <w:rFonts w:ascii="Calibri" w:eastAsia="Calibri" w:hAnsi="Calibri"/>
                <w:noProof/>
                <w:lang w:val="sr-Latn-ME"/>
              </w:rPr>
              <w:t xml:space="preserve">. </w:t>
            </w:r>
            <w:r>
              <w:rPr>
                <w:rFonts w:ascii="Calibri" w:eastAsia="Calibri" w:hAnsi="Calibri"/>
                <w:noProof/>
                <w:sz w:val="24"/>
                <w:szCs w:val="24"/>
                <w:lang w:val="sr-Latn-ME"/>
              </w:rPr>
              <w:t xml:space="preserve">Od ukupne ciljne populacije, prema istraživanjima Centra za građansko obrazovanje  5% smatra da su objekti </w:t>
            </w:r>
            <w:r>
              <w:rPr>
                <w:rFonts w:ascii="Calibri" w:eastAsia="Calibri" w:hAnsi="Calibri"/>
                <w:i/>
                <w:noProof/>
                <w:sz w:val="24"/>
                <w:szCs w:val="24"/>
                <w:lang w:val="sr-Latn-ME"/>
              </w:rPr>
              <w:t>u potpunosti pristupačni</w:t>
            </w:r>
            <w:r>
              <w:rPr>
                <w:rFonts w:ascii="Calibri" w:eastAsia="Calibri" w:hAnsi="Calibri"/>
                <w:noProof/>
                <w:sz w:val="24"/>
                <w:szCs w:val="24"/>
                <w:lang w:val="sr-Latn-ME"/>
              </w:rPr>
              <w:t xml:space="preserve"> , 42% </w:t>
            </w:r>
            <w:r>
              <w:rPr>
                <w:rFonts w:ascii="Calibri" w:eastAsia="Calibri" w:hAnsi="Calibri"/>
                <w:i/>
                <w:noProof/>
                <w:sz w:val="24"/>
                <w:szCs w:val="24"/>
                <w:lang w:val="sr-Latn-ME"/>
              </w:rPr>
              <w:t>uglavno da</w:t>
            </w:r>
            <w:r>
              <w:rPr>
                <w:rFonts w:ascii="Calibri" w:eastAsia="Calibri" w:hAnsi="Calibri"/>
                <w:noProof/>
                <w:sz w:val="24"/>
                <w:szCs w:val="24"/>
                <w:lang w:val="sr-Latn-ME"/>
              </w:rPr>
              <w:t xml:space="preserve">, 47% </w:t>
            </w:r>
            <w:r>
              <w:rPr>
                <w:rFonts w:ascii="Calibri" w:eastAsia="Calibri" w:hAnsi="Calibri"/>
                <w:i/>
                <w:noProof/>
                <w:sz w:val="24"/>
                <w:szCs w:val="24"/>
                <w:lang w:val="sr-Latn-ME"/>
              </w:rPr>
              <w:t>uglavnom</w:t>
            </w:r>
            <w:r>
              <w:rPr>
                <w:rFonts w:ascii="Calibri" w:eastAsia="Calibri" w:hAnsi="Calibri"/>
                <w:noProof/>
                <w:sz w:val="24"/>
                <w:szCs w:val="24"/>
                <w:lang w:val="sr-Latn-ME"/>
              </w:rPr>
              <w:t xml:space="preserve"> </w:t>
            </w:r>
            <w:r>
              <w:rPr>
                <w:rFonts w:ascii="Calibri" w:eastAsia="Calibri" w:hAnsi="Calibri"/>
                <w:i/>
                <w:noProof/>
                <w:sz w:val="24"/>
                <w:szCs w:val="24"/>
                <w:lang w:val="sr-Latn-ME"/>
              </w:rPr>
              <w:t xml:space="preserve">da </w:t>
            </w:r>
            <w:r>
              <w:rPr>
                <w:rFonts w:ascii="Calibri" w:eastAsia="Calibri" w:hAnsi="Calibri"/>
                <w:noProof/>
                <w:sz w:val="24"/>
                <w:szCs w:val="24"/>
                <w:lang w:val="sr-Latn-ME"/>
              </w:rPr>
              <w:t>i</w:t>
            </w:r>
            <w:r>
              <w:rPr>
                <w:rFonts w:ascii="Calibri" w:eastAsia="Calibri" w:hAnsi="Calibri"/>
                <w:i/>
                <w:noProof/>
                <w:sz w:val="24"/>
                <w:szCs w:val="24"/>
                <w:lang w:val="sr-Latn-ME"/>
              </w:rPr>
              <w:t xml:space="preserve"> da u potpunosti</w:t>
            </w:r>
            <w:r>
              <w:rPr>
                <w:rFonts w:ascii="Calibri" w:eastAsia="Calibri" w:hAnsi="Calibri"/>
                <w:noProof/>
                <w:sz w:val="24"/>
                <w:szCs w:val="24"/>
                <w:lang w:val="sr-Latn-ME"/>
              </w:rPr>
              <w:t xml:space="preserve">, 50% uglavno </w:t>
            </w:r>
            <w:r>
              <w:rPr>
                <w:rFonts w:ascii="Calibri" w:eastAsia="Calibri" w:hAnsi="Calibri"/>
                <w:i/>
                <w:noProof/>
                <w:sz w:val="24"/>
                <w:szCs w:val="24"/>
                <w:lang w:val="sr-Latn-ME"/>
              </w:rPr>
              <w:t>ne</w:t>
            </w:r>
            <w:r>
              <w:rPr>
                <w:rFonts w:ascii="Calibri" w:eastAsia="Calibri" w:hAnsi="Calibri"/>
                <w:noProof/>
                <w:sz w:val="24"/>
                <w:szCs w:val="24"/>
                <w:lang w:val="sr-Latn-ME"/>
              </w:rPr>
              <w:t xml:space="preserve">  i </w:t>
            </w:r>
            <w:r>
              <w:rPr>
                <w:rFonts w:ascii="Calibri" w:eastAsia="Calibri" w:hAnsi="Calibri"/>
                <w:i/>
                <w:noProof/>
                <w:sz w:val="24"/>
                <w:szCs w:val="24"/>
                <w:lang w:val="sr-Latn-ME"/>
              </w:rPr>
              <w:t>uopšte ne</w:t>
            </w:r>
            <w:r>
              <w:rPr>
                <w:rFonts w:ascii="Calibri" w:eastAsia="Calibri" w:hAnsi="Calibri"/>
                <w:noProof/>
                <w:sz w:val="24"/>
                <w:szCs w:val="24"/>
                <w:lang w:val="sr-Latn-ME"/>
              </w:rPr>
              <w:t xml:space="preserve">, 36% </w:t>
            </w:r>
            <w:r>
              <w:rPr>
                <w:rFonts w:ascii="Calibri" w:eastAsia="Calibri" w:hAnsi="Calibri"/>
                <w:i/>
                <w:noProof/>
                <w:sz w:val="24"/>
                <w:szCs w:val="24"/>
                <w:lang w:val="sr-Latn-ME"/>
              </w:rPr>
              <w:t>uglavno ne</w:t>
            </w:r>
            <w:r>
              <w:rPr>
                <w:rFonts w:ascii="Calibri" w:eastAsia="Calibri" w:hAnsi="Calibri"/>
                <w:noProof/>
                <w:sz w:val="24"/>
                <w:szCs w:val="24"/>
                <w:lang w:val="sr-Latn-ME"/>
              </w:rPr>
              <w:t xml:space="preserve"> , 14% </w:t>
            </w:r>
            <w:r>
              <w:rPr>
                <w:rFonts w:ascii="Calibri" w:eastAsia="Calibri" w:hAnsi="Calibri"/>
                <w:i/>
                <w:noProof/>
                <w:sz w:val="24"/>
                <w:szCs w:val="24"/>
                <w:lang w:val="sr-Latn-ME"/>
              </w:rPr>
              <w:t>uopšte ne</w:t>
            </w:r>
            <w:r>
              <w:rPr>
                <w:rFonts w:ascii="Calibri" w:eastAsia="Calibri" w:hAnsi="Calibri"/>
                <w:noProof/>
                <w:sz w:val="24"/>
                <w:szCs w:val="24"/>
                <w:lang w:val="sr-Latn-ME"/>
              </w:rPr>
              <w:t xml:space="preserve"> i 4%  odbilo da odgovori.</w:t>
            </w:r>
          </w:p>
          <w:p w:rsidR="0006451C" w:rsidRPr="00747B5A" w:rsidRDefault="0006451C" w:rsidP="00747B5A">
            <w:pPr>
              <w:spacing w:after="160" w:line="256" w:lineRule="auto"/>
              <w:jc w:val="both"/>
              <w:rPr>
                <w:rFonts w:ascii="Calibri" w:eastAsia="Calibri" w:hAnsi="Calibri"/>
                <w:b/>
                <w:noProof/>
                <w:sz w:val="24"/>
                <w:szCs w:val="24"/>
                <w:lang w:val="sr-Latn-ME"/>
              </w:rPr>
            </w:pPr>
            <w:r w:rsidRPr="006800EE">
              <w:rPr>
                <w:rFonts w:ascii="Calibri" w:eastAsia="Calibri" w:hAnsi="Calibri"/>
                <w:b/>
                <w:noProof/>
                <w:sz w:val="24"/>
                <w:szCs w:val="24"/>
                <w:lang w:val="sr-Latn-ME"/>
              </w:rPr>
              <w:t>Istraživanja</w:t>
            </w:r>
            <w:r>
              <w:rPr>
                <w:rFonts w:ascii="Calibri" w:eastAsia="Calibri" w:hAnsi="Calibri"/>
                <w:noProof/>
                <w:sz w:val="24"/>
                <w:szCs w:val="24"/>
                <w:lang w:val="sr-Latn-ME"/>
              </w:rPr>
              <w:t xml:space="preserve"> </w:t>
            </w:r>
            <w:r w:rsidRPr="00E476D6">
              <w:rPr>
                <w:rFonts w:ascii="Calibri" w:eastAsia="Calibri" w:hAnsi="Calibri"/>
                <w:b/>
                <w:noProof/>
                <w:sz w:val="24"/>
                <w:szCs w:val="24"/>
                <w:lang w:val="sr-Latn-ME"/>
              </w:rPr>
              <w:t>NVO „Ekvivalent</w:t>
            </w:r>
            <w:r>
              <w:rPr>
                <w:rFonts w:ascii="Calibri" w:eastAsia="Calibri" w:hAnsi="Calibri"/>
                <w:noProof/>
                <w:sz w:val="24"/>
                <w:szCs w:val="24"/>
                <w:lang w:val="sr-Latn-ME"/>
              </w:rPr>
              <w:t>“ su sproveden</w:t>
            </w:r>
            <w:r w:rsidR="00852B0D">
              <w:rPr>
                <w:rFonts w:ascii="Calibri" w:eastAsia="Calibri" w:hAnsi="Calibri"/>
                <w:noProof/>
                <w:sz w:val="24"/>
                <w:szCs w:val="24"/>
                <w:lang w:val="sr-Latn-ME"/>
              </w:rPr>
              <w:t>a</w:t>
            </w:r>
            <w:r>
              <w:rPr>
                <w:rFonts w:ascii="Calibri" w:eastAsia="Calibri" w:hAnsi="Calibri"/>
                <w:noProof/>
                <w:sz w:val="24"/>
                <w:szCs w:val="24"/>
                <w:lang w:val="sr-Latn-ME"/>
              </w:rPr>
              <w:t xml:space="preserve"> u okviru realizacije projekta „</w:t>
            </w:r>
            <w:r w:rsidRPr="00956C4A">
              <w:rPr>
                <w:rFonts w:ascii="Calibri" w:eastAsia="Calibri" w:hAnsi="Calibri"/>
                <w:b/>
                <w:noProof/>
                <w:sz w:val="24"/>
                <w:szCs w:val="24"/>
                <w:lang w:val="sr-Latn-ME"/>
              </w:rPr>
              <w:t>Pristupačan turizam za lica sa invaliditetom“</w:t>
            </w:r>
            <w:r>
              <w:rPr>
                <w:rFonts w:ascii="Calibri" w:eastAsia="Calibri" w:hAnsi="Calibri"/>
                <w:b/>
                <w:noProof/>
                <w:sz w:val="24"/>
                <w:szCs w:val="24"/>
                <w:lang w:val="sr-Latn-ME"/>
              </w:rPr>
              <w:t xml:space="preserve"> </w:t>
            </w:r>
            <w:hyperlink r:id="rId19" w:history="1">
              <w:r w:rsidR="00747B5A" w:rsidRPr="00265ACB">
                <w:rPr>
                  <w:rStyle w:val="Hyperlink"/>
                  <w:rFonts w:ascii="Calibri" w:eastAsia="Calibri" w:hAnsi="Calibri"/>
                  <w:noProof/>
                  <w:sz w:val="24"/>
                  <w:szCs w:val="24"/>
                  <w:lang w:val="sr-Latn-ME"/>
                </w:rPr>
                <w:t>https://nvoekvivalent.me/biblioteka-2/</w:t>
              </w:r>
            </w:hyperlink>
            <w:r w:rsidR="00747B5A">
              <w:rPr>
                <w:rFonts w:ascii="Calibri" w:eastAsia="Calibri" w:hAnsi="Calibri"/>
                <w:noProof/>
                <w:color w:val="4472C4" w:themeColor="accent1"/>
                <w:sz w:val="24"/>
                <w:szCs w:val="24"/>
                <w:lang w:val="sr-Latn-ME"/>
              </w:rPr>
              <w:t xml:space="preserve"> </w:t>
            </w:r>
            <w:proofErr w:type="spellStart"/>
            <w:r w:rsidR="00D22297" w:rsidRPr="00654093">
              <w:rPr>
                <w:rFonts w:ascii="Calibri" w:eastAsia="Calibri" w:hAnsi="Calibri"/>
                <w:sz w:val="24"/>
                <w:szCs w:val="24"/>
              </w:rPr>
              <w:t>uz</w:t>
            </w:r>
            <w:proofErr w:type="spellEnd"/>
            <w:r w:rsidR="00D22297" w:rsidRPr="00654093">
              <w:rPr>
                <w:rFonts w:ascii="Calibri" w:eastAsia="Calibri" w:hAnsi="Calibri"/>
                <w:sz w:val="24"/>
                <w:szCs w:val="24"/>
              </w:rPr>
              <w:t xml:space="preserve"> </w:t>
            </w:r>
            <w:proofErr w:type="spellStart"/>
            <w:r w:rsidR="00D22297" w:rsidRPr="00654093">
              <w:rPr>
                <w:rFonts w:ascii="Calibri" w:eastAsia="Calibri" w:hAnsi="Calibri"/>
                <w:sz w:val="24"/>
                <w:szCs w:val="24"/>
              </w:rPr>
              <w:t>finansijsku</w:t>
            </w:r>
            <w:proofErr w:type="spellEnd"/>
            <w:r w:rsidR="00D22297" w:rsidRPr="00654093">
              <w:rPr>
                <w:rFonts w:ascii="Calibri" w:eastAsia="Calibri" w:hAnsi="Calibri"/>
                <w:sz w:val="24"/>
                <w:szCs w:val="24"/>
              </w:rPr>
              <w:t xml:space="preserve"> </w:t>
            </w:r>
            <w:proofErr w:type="spellStart"/>
            <w:r w:rsidR="00D22297" w:rsidRPr="00654093">
              <w:rPr>
                <w:rFonts w:ascii="Calibri" w:eastAsia="Calibri" w:hAnsi="Calibri"/>
                <w:sz w:val="24"/>
                <w:szCs w:val="24"/>
              </w:rPr>
              <w:t>podršku</w:t>
            </w:r>
            <w:proofErr w:type="spellEnd"/>
            <w:r w:rsidR="00D22297" w:rsidRPr="00654093">
              <w:rPr>
                <w:rFonts w:ascii="Calibri" w:eastAsia="Calibri" w:hAnsi="Calibri"/>
                <w:sz w:val="24"/>
                <w:szCs w:val="24"/>
              </w:rPr>
              <w:t xml:space="preserve"> Ministarstva</w:t>
            </w:r>
            <w:r w:rsidR="00852B0D">
              <w:rPr>
                <w:rFonts w:ascii="Calibri" w:eastAsia="Calibri" w:hAnsi="Calibri"/>
                <w:sz w:val="24"/>
                <w:szCs w:val="24"/>
              </w:rPr>
              <w:t xml:space="preserve"> ekologije, urbanizma</w:t>
            </w:r>
            <w:r w:rsidR="003F1A79">
              <w:rPr>
                <w:rFonts w:ascii="Calibri" w:eastAsia="Calibri" w:hAnsi="Calibri"/>
                <w:sz w:val="24"/>
                <w:szCs w:val="24"/>
              </w:rPr>
              <w:t xml:space="preserve"> </w:t>
            </w:r>
            <w:r w:rsidR="00852B0D">
              <w:rPr>
                <w:rFonts w:ascii="Calibri" w:eastAsia="Calibri" w:hAnsi="Calibri"/>
                <w:sz w:val="24"/>
                <w:szCs w:val="24"/>
              </w:rPr>
              <w:t>i</w:t>
            </w:r>
            <w:r w:rsidR="00D22297" w:rsidRPr="00654093">
              <w:rPr>
                <w:rFonts w:ascii="Calibri" w:eastAsia="Calibri" w:hAnsi="Calibri"/>
                <w:sz w:val="24"/>
                <w:szCs w:val="24"/>
              </w:rPr>
              <w:t xml:space="preserve"> </w:t>
            </w:r>
            <w:proofErr w:type="spellStart"/>
            <w:r w:rsidR="00852B0D">
              <w:rPr>
                <w:rFonts w:ascii="Calibri" w:eastAsia="Calibri" w:hAnsi="Calibri"/>
                <w:sz w:val="24"/>
                <w:szCs w:val="24"/>
              </w:rPr>
              <w:t>prostornog</w:t>
            </w:r>
            <w:proofErr w:type="spellEnd"/>
            <w:r w:rsidR="00852B0D">
              <w:rPr>
                <w:rFonts w:ascii="Calibri" w:eastAsia="Calibri" w:hAnsi="Calibri"/>
                <w:sz w:val="24"/>
                <w:szCs w:val="24"/>
              </w:rPr>
              <w:t xml:space="preserve"> planiranja</w:t>
            </w:r>
            <w:r w:rsidR="00D22297" w:rsidRPr="00654093">
              <w:rPr>
                <w:rFonts w:ascii="Calibri" w:eastAsia="Calibri" w:hAnsi="Calibri"/>
                <w:sz w:val="24"/>
                <w:szCs w:val="24"/>
              </w:rPr>
              <w:t xml:space="preserve"> </w:t>
            </w:r>
            <w:proofErr w:type="spellStart"/>
            <w:r w:rsidR="00D22297" w:rsidRPr="00654093">
              <w:rPr>
                <w:rFonts w:ascii="Calibri" w:eastAsia="Calibri" w:hAnsi="Calibri"/>
                <w:sz w:val="24"/>
                <w:szCs w:val="24"/>
              </w:rPr>
              <w:t>posredstvom</w:t>
            </w:r>
            <w:proofErr w:type="spellEnd"/>
            <w:r w:rsidR="00D22297" w:rsidRPr="00654093">
              <w:rPr>
                <w:rFonts w:ascii="Calibri" w:eastAsia="Calibri" w:hAnsi="Calibri"/>
                <w:sz w:val="24"/>
                <w:szCs w:val="24"/>
              </w:rPr>
              <w:t xml:space="preserve"> </w:t>
            </w:r>
            <w:proofErr w:type="spellStart"/>
            <w:r w:rsidR="00D22297" w:rsidRPr="00654093">
              <w:rPr>
                <w:rFonts w:ascii="Calibri" w:eastAsia="Calibri" w:hAnsi="Calibri"/>
                <w:sz w:val="24"/>
                <w:szCs w:val="24"/>
              </w:rPr>
              <w:t>Konkursa</w:t>
            </w:r>
            <w:proofErr w:type="spellEnd"/>
            <w:r w:rsidR="00D22297" w:rsidRPr="00654093">
              <w:rPr>
                <w:rFonts w:ascii="Calibri" w:eastAsia="Calibri" w:hAnsi="Calibri"/>
                <w:sz w:val="24"/>
                <w:szCs w:val="24"/>
              </w:rPr>
              <w:t xml:space="preserve"> za NVO u 2021. u </w:t>
            </w:r>
            <w:proofErr w:type="spellStart"/>
            <w:r w:rsidR="00D22297" w:rsidRPr="00654093">
              <w:rPr>
                <w:rFonts w:ascii="Calibri" w:eastAsia="Calibri" w:hAnsi="Calibri"/>
                <w:sz w:val="24"/>
                <w:szCs w:val="24"/>
              </w:rPr>
              <w:t>oblasti</w:t>
            </w:r>
            <w:proofErr w:type="spellEnd"/>
            <w:r w:rsidR="00D22297" w:rsidRPr="00654093">
              <w:rPr>
                <w:rFonts w:ascii="Calibri" w:eastAsia="Calibri" w:hAnsi="Calibri"/>
                <w:sz w:val="24"/>
                <w:szCs w:val="24"/>
              </w:rPr>
              <w:t xml:space="preserve"> zaštite </w:t>
            </w:r>
            <w:proofErr w:type="spellStart"/>
            <w:r w:rsidR="00D22297" w:rsidRPr="00654093">
              <w:rPr>
                <w:rFonts w:ascii="Calibri" w:eastAsia="Calibri" w:hAnsi="Calibri"/>
                <w:sz w:val="24"/>
                <w:szCs w:val="24"/>
              </w:rPr>
              <w:t>lica</w:t>
            </w:r>
            <w:proofErr w:type="spellEnd"/>
            <w:r w:rsidR="00D22297" w:rsidRPr="00654093">
              <w:rPr>
                <w:rFonts w:ascii="Calibri" w:eastAsia="Calibri" w:hAnsi="Calibri"/>
                <w:sz w:val="24"/>
                <w:szCs w:val="24"/>
              </w:rPr>
              <w:t xml:space="preserve"> sa </w:t>
            </w:r>
            <w:proofErr w:type="spellStart"/>
            <w:r w:rsidR="00D22297" w:rsidRPr="00654093">
              <w:rPr>
                <w:rFonts w:ascii="Calibri" w:eastAsia="Calibri" w:hAnsi="Calibri"/>
                <w:sz w:val="24"/>
                <w:szCs w:val="24"/>
              </w:rPr>
              <w:t>invaliditetom</w:t>
            </w:r>
            <w:proofErr w:type="spellEnd"/>
            <w:r w:rsidR="00D22297" w:rsidRPr="00654093">
              <w:rPr>
                <w:rFonts w:ascii="Calibri" w:eastAsia="Calibri" w:hAnsi="Calibri"/>
                <w:sz w:val="24"/>
                <w:szCs w:val="24"/>
              </w:rPr>
              <w:t xml:space="preserve">. </w:t>
            </w:r>
            <w:proofErr w:type="spellStart"/>
            <w:r w:rsidR="00D22297" w:rsidRPr="00654093">
              <w:rPr>
                <w:rFonts w:ascii="Calibri" w:eastAsia="Calibri" w:hAnsi="Calibri"/>
                <w:sz w:val="24"/>
                <w:szCs w:val="24"/>
              </w:rPr>
              <w:t>Istraživanj</w:t>
            </w:r>
            <w:r w:rsidR="00852B0D">
              <w:rPr>
                <w:rFonts w:ascii="Calibri" w:eastAsia="Calibri" w:hAnsi="Calibri"/>
                <w:sz w:val="24"/>
                <w:szCs w:val="24"/>
              </w:rPr>
              <w:t>e</w:t>
            </w:r>
            <w:proofErr w:type="spellEnd"/>
            <w:r w:rsidR="00D22297" w:rsidRPr="00654093">
              <w:rPr>
                <w:rFonts w:ascii="Calibri" w:eastAsia="Calibri" w:hAnsi="Calibri"/>
                <w:sz w:val="24"/>
                <w:szCs w:val="24"/>
              </w:rPr>
              <w:t xml:space="preserve"> je </w:t>
            </w:r>
            <w:proofErr w:type="spellStart"/>
            <w:proofErr w:type="gramStart"/>
            <w:r w:rsidR="00D22297" w:rsidRPr="00654093">
              <w:rPr>
                <w:rFonts w:ascii="Calibri" w:eastAsia="Calibri" w:hAnsi="Calibri"/>
                <w:sz w:val="24"/>
                <w:szCs w:val="24"/>
              </w:rPr>
              <w:t>sprovedeno</w:t>
            </w:r>
            <w:proofErr w:type="spellEnd"/>
            <w:r w:rsidR="00D22297" w:rsidRPr="00654093">
              <w:rPr>
                <w:rFonts w:ascii="Calibri" w:eastAsia="Calibri" w:hAnsi="Calibri"/>
                <w:sz w:val="24"/>
                <w:szCs w:val="24"/>
              </w:rPr>
              <w:t xml:space="preserve"> </w:t>
            </w:r>
            <w:r>
              <w:rPr>
                <w:rFonts w:asciiTheme="minorHAnsi" w:hAnsiTheme="minorHAnsi"/>
                <w:sz w:val="24"/>
                <w:szCs w:val="24"/>
                <w:lang w:val="sr-Latn-ME" w:eastAsia="ja-JP"/>
              </w:rPr>
              <w:t xml:space="preserve"> putem</w:t>
            </w:r>
            <w:proofErr w:type="gramEnd"/>
            <w:r>
              <w:rPr>
                <w:rFonts w:asciiTheme="minorHAnsi" w:hAnsiTheme="minorHAnsi"/>
                <w:sz w:val="24"/>
                <w:szCs w:val="24"/>
                <w:lang w:val="sr-Latn-ME" w:eastAsia="ja-JP"/>
              </w:rPr>
              <w:t xml:space="preserve"> t</w:t>
            </w:r>
            <w:r w:rsidRPr="00C363AD">
              <w:rPr>
                <w:rFonts w:asciiTheme="minorHAnsi" w:hAnsiTheme="minorHAnsi"/>
                <w:sz w:val="24"/>
                <w:szCs w:val="24"/>
                <w:lang w:val="sr-Latn-ME" w:eastAsia="ja-JP"/>
              </w:rPr>
              <w:t>erensk</w:t>
            </w:r>
            <w:r>
              <w:rPr>
                <w:rFonts w:asciiTheme="minorHAnsi" w:hAnsiTheme="minorHAnsi"/>
                <w:sz w:val="24"/>
                <w:szCs w:val="24"/>
                <w:lang w:val="sr-Latn-ME" w:eastAsia="ja-JP"/>
              </w:rPr>
              <w:t xml:space="preserve">og rada uz pomoć ček listi za evidentiranje elemenata pristupačnosti predmetnog istraživanja. Tom prilikom </w:t>
            </w:r>
            <w:r w:rsidRPr="00C363AD">
              <w:rPr>
                <w:rFonts w:asciiTheme="minorHAnsi" w:hAnsiTheme="minorHAnsi"/>
                <w:sz w:val="24"/>
                <w:szCs w:val="24"/>
                <w:lang w:val="sr-Latn-ME" w:eastAsia="ja-JP"/>
              </w:rPr>
              <w:t>obuhvaćena su 4 turistička rizorta 85 hotela sa četiri zvezdice, 15 hotela sa pet zvezdica, 1 ustanova zdravstveno-turističkog tipa, 128 ugostiteljskih objekata i 9 turističkih lokaliteta.</w:t>
            </w:r>
            <w:r>
              <w:rPr>
                <w:rFonts w:asciiTheme="minorHAnsi" w:hAnsiTheme="minorHAnsi"/>
                <w:sz w:val="24"/>
                <w:szCs w:val="24"/>
                <w:lang w:val="sr-Latn-ME" w:eastAsia="ja-JP"/>
              </w:rPr>
              <w:t xml:space="preserve"> Pri tome je konstatovano da od 33 smeštajnih kapaciteta</w:t>
            </w:r>
            <w:r w:rsidR="00D8123F">
              <w:rPr>
                <w:rFonts w:asciiTheme="minorHAnsi" w:hAnsiTheme="minorHAnsi"/>
                <w:sz w:val="24"/>
                <w:szCs w:val="24"/>
                <w:lang w:val="sr-Latn-ME" w:eastAsia="ja-JP"/>
              </w:rPr>
              <w:t xml:space="preserve"> </w:t>
            </w:r>
            <w:r>
              <w:rPr>
                <w:rFonts w:asciiTheme="minorHAnsi" w:hAnsiTheme="minorHAnsi"/>
                <w:sz w:val="24"/>
                <w:szCs w:val="24"/>
                <w:lang w:val="sr-Latn-ME" w:eastAsia="ja-JP"/>
              </w:rPr>
              <w:t>(hoteli, turistički rizorti, zdravstveni institut)</w:t>
            </w:r>
            <w:r w:rsidR="00D8123F">
              <w:rPr>
                <w:rFonts w:asciiTheme="minorHAnsi" w:hAnsiTheme="minorHAnsi"/>
                <w:sz w:val="24"/>
                <w:szCs w:val="24"/>
                <w:lang w:val="sr-Latn-ME" w:eastAsia="ja-JP"/>
              </w:rPr>
              <w:t xml:space="preserve"> </w:t>
            </w:r>
            <w:r>
              <w:rPr>
                <w:rFonts w:asciiTheme="minorHAnsi" w:hAnsiTheme="minorHAnsi"/>
                <w:sz w:val="24"/>
                <w:szCs w:val="24"/>
                <w:lang w:val="sr-Latn-ME" w:eastAsia="ja-JP"/>
              </w:rPr>
              <w:t xml:space="preserve">koji su djelimično ili u potpunosti </w:t>
            </w:r>
            <w:r w:rsidR="00D8123F">
              <w:rPr>
                <w:rFonts w:asciiTheme="minorHAnsi" w:hAnsiTheme="minorHAnsi"/>
                <w:sz w:val="24"/>
                <w:szCs w:val="24"/>
                <w:lang w:val="sr-Latn-ME" w:eastAsia="ja-JP"/>
              </w:rPr>
              <w:t xml:space="preserve">pristupačni </w:t>
            </w:r>
            <w:r>
              <w:rPr>
                <w:rFonts w:asciiTheme="minorHAnsi" w:hAnsiTheme="minorHAnsi"/>
                <w:sz w:val="24"/>
                <w:szCs w:val="24"/>
                <w:lang w:val="sr-Latn-ME" w:eastAsia="ja-JP"/>
              </w:rPr>
              <w:t>osobama sa invaliditetom nijedan od njih nema kategorizaciju manju od 4 zvezdice</w:t>
            </w:r>
            <w:r w:rsidR="00D8123F">
              <w:rPr>
                <w:rFonts w:asciiTheme="minorHAnsi" w:hAnsiTheme="minorHAnsi"/>
                <w:sz w:val="24"/>
                <w:szCs w:val="24"/>
                <w:lang w:val="sr-Latn-ME" w:eastAsia="ja-JP"/>
              </w:rPr>
              <w:t>.</w:t>
            </w:r>
            <w:r>
              <w:rPr>
                <w:rFonts w:asciiTheme="minorHAnsi" w:hAnsiTheme="minorHAnsi"/>
                <w:sz w:val="24"/>
                <w:szCs w:val="24"/>
                <w:lang w:val="sr-Latn-ME" w:eastAsia="ja-JP"/>
              </w:rPr>
              <w:t xml:space="preserve"> Njih 33 %  su  smještajni kapaciteti sa kategorizacijom od 5 zvezdica, a čak 67% su smještajni kapaciteti sa 4 zvezdice. Ugostiteljski objekti (restoran/lanč bar) koji su pristupačni licima sa invaliditetom posjeduju pristupačan prilaz, ulaz , toalet i restoranski prostor namjenjen za goste. Istraživanjem je obuhvaćeno 128 ugostiteljskih objekata, od kojih su 3 djelimično pristupačni, 9 u potpunosti , a 116 ugostiteljskih objekata je nepristupačno licima sa invaliditetom.</w:t>
            </w:r>
          </w:p>
          <w:p w:rsidR="0006451C" w:rsidRDefault="0006451C" w:rsidP="0006451C">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Istraživanjem je obuhvaćeno 9 turističkih lokaliteta, od kojih je 5 djelimično pristupačno licima sa invaliditetom.</w:t>
            </w:r>
          </w:p>
          <w:p w:rsidR="005C0ED8" w:rsidRDefault="0006451C" w:rsidP="00FD7CC7">
            <w:pPr>
              <w:spacing w:after="200"/>
              <w:jc w:val="both"/>
              <w:rPr>
                <w:rFonts w:asciiTheme="minorHAnsi" w:hAnsiTheme="minorHAnsi"/>
                <w:sz w:val="24"/>
                <w:szCs w:val="24"/>
                <w:lang w:val="sr-Latn-ME" w:eastAsia="ja-JP"/>
              </w:rPr>
            </w:pPr>
            <w:r w:rsidRPr="006800EE">
              <w:rPr>
                <w:rFonts w:asciiTheme="minorHAnsi" w:hAnsiTheme="minorHAnsi"/>
                <w:b/>
                <w:sz w:val="24"/>
                <w:szCs w:val="24"/>
                <w:lang w:val="sr-Latn-ME" w:eastAsia="ja-JP"/>
              </w:rPr>
              <w:t>Istraživanja NVO „ Savez udruženja paraplegičara Crne Gore</w:t>
            </w:r>
            <w:r>
              <w:rPr>
                <w:rFonts w:asciiTheme="minorHAnsi" w:hAnsiTheme="minorHAnsi"/>
                <w:sz w:val="24"/>
                <w:szCs w:val="24"/>
                <w:lang w:val="sr-Latn-ME" w:eastAsia="ja-JP"/>
              </w:rPr>
              <w:t xml:space="preserve">“ koja su sprovedena, u okviru realizacije projekta „ </w:t>
            </w:r>
            <w:r w:rsidRPr="00D8123F">
              <w:rPr>
                <w:rFonts w:asciiTheme="minorHAnsi" w:hAnsiTheme="minorHAnsi"/>
                <w:b/>
                <w:sz w:val="24"/>
                <w:szCs w:val="24"/>
                <w:lang w:val="sr-Latn-ME" w:eastAsia="ja-JP"/>
              </w:rPr>
              <w:t xml:space="preserve">Crna Gora i OSI-pristupačnost za </w:t>
            </w:r>
            <w:r w:rsidRPr="00187621">
              <w:rPr>
                <w:rFonts w:asciiTheme="minorHAnsi" w:hAnsiTheme="minorHAnsi"/>
                <w:b/>
                <w:sz w:val="24"/>
                <w:szCs w:val="24"/>
                <w:lang w:val="sr-Latn-ME" w:eastAsia="ja-JP"/>
              </w:rPr>
              <w:t>sve</w:t>
            </w:r>
            <w:r>
              <w:rPr>
                <w:rFonts w:asciiTheme="minorHAnsi" w:hAnsiTheme="minorHAnsi"/>
                <w:sz w:val="24"/>
                <w:szCs w:val="24"/>
                <w:lang w:val="sr-Latn-ME" w:eastAsia="ja-JP"/>
              </w:rPr>
              <w:t>“</w:t>
            </w:r>
            <w:r w:rsidR="00BC06A5" w:rsidRPr="00654093">
              <w:rPr>
                <w:rFonts w:ascii="Calibri" w:eastAsia="Calibri" w:hAnsi="Calibri"/>
                <w:sz w:val="24"/>
                <w:szCs w:val="24"/>
              </w:rPr>
              <w:t xml:space="preserve"> </w:t>
            </w:r>
            <w:proofErr w:type="spellStart"/>
            <w:r w:rsidR="00BC06A5" w:rsidRPr="00654093">
              <w:rPr>
                <w:rFonts w:ascii="Calibri" w:eastAsia="Calibri" w:hAnsi="Calibri"/>
                <w:sz w:val="24"/>
                <w:szCs w:val="24"/>
              </w:rPr>
              <w:t>uz</w:t>
            </w:r>
            <w:proofErr w:type="spellEnd"/>
            <w:r w:rsidR="00BC06A5" w:rsidRPr="00654093">
              <w:rPr>
                <w:rFonts w:ascii="Calibri" w:eastAsia="Calibri" w:hAnsi="Calibri"/>
                <w:sz w:val="24"/>
                <w:szCs w:val="24"/>
              </w:rPr>
              <w:t xml:space="preserve"> </w:t>
            </w:r>
            <w:proofErr w:type="spellStart"/>
            <w:r w:rsidR="00BC06A5" w:rsidRPr="00654093">
              <w:rPr>
                <w:rFonts w:ascii="Calibri" w:eastAsia="Calibri" w:hAnsi="Calibri"/>
                <w:sz w:val="24"/>
                <w:szCs w:val="24"/>
              </w:rPr>
              <w:t>finansijsku</w:t>
            </w:r>
            <w:proofErr w:type="spellEnd"/>
            <w:r w:rsidR="00BC06A5" w:rsidRPr="00654093">
              <w:rPr>
                <w:rFonts w:ascii="Calibri" w:eastAsia="Calibri" w:hAnsi="Calibri"/>
                <w:sz w:val="24"/>
                <w:szCs w:val="24"/>
              </w:rPr>
              <w:t xml:space="preserve"> </w:t>
            </w:r>
            <w:proofErr w:type="spellStart"/>
            <w:r w:rsidR="00BC06A5" w:rsidRPr="00654093">
              <w:rPr>
                <w:rFonts w:ascii="Calibri" w:eastAsia="Calibri" w:hAnsi="Calibri"/>
                <w:sz w:val="24"/>
                <w:szCs w:val="24"/>
              </w:rPr>
              <w:t>podršku</w:t>
            </w:r>
            <w:proofErr w:type="spellEnd"/>
            <w:r w:rsidR="00BC06A5" w:rsidRPr="00654093">
              <w:rPr>
                <w:rFonts w:ascii="Calibri" w:eastAsia="Calibri" w:hAnsi="Calibri"/>
                <w:sz w:val="24"/>
                <w:szCs w:val="24"/>
              </w:rPr>
              <w:t xml:space="preserve"> Ministarstva</w:t>
            </w:r>
            <w:r w:rsidR="00BC06A5">
              <w:rPr>
                <w:rFonts w:ascii="Calibri" w:eastAsia="Calibri" w:hAnsi="Calibri"/>
                <w:sz w:val="24"/>
                <w:szCs w:val="24"/>
              </w:rPr>
              <w:t xml:space="preserve"> ekologije, urbanizma i</w:t>
            </w:r>
            <w:r w:rsidR="00BC06A5" w:rsidRPr="00654093">
              <w:rPr>
                <w:rFonts w:ascii="Calibri" w:eastAsia="Calibri" w:hAnsi="Calibri"/>
                <w:sz w:val="24"/>
                <w:szCs w:val="24"/>
              </w:rPr>
              <w:t xml:space="preserve"> </w:t>
            </w:r>
            <w:proofErr w:type="spellStart"/>
            <w:r w:rsidR="00BC06A5">
              <w:rPr>
                <w:rFonts w:ascii="Calibri" w:eastAsia="Calibri" w:hAnsi="Calibri"/>
                <w:sz w:val="24"/>
                <w:szCs w:val="24"/>
              </w:rPr>
              <w:t>prostornog</w:t>
            </w:r>
            <w:proofErr w:type="spellEnd"/>
            <w:r w:rsidR="00BC06A5">
              <w:rPr>
                <w:rFonts w:ascii="Calibri" w:eastAsia="Calibri" w:hAnsi="Calibri"/>
                <w:sz w:val="24"/>
                <w:szCs w:val="24"/>
              </w:rPr>
              <w:t xml:space="preserve"> planiranja</w:t>
            </w:r>
            <w:r w:rsidR="00BC06A5" w:rsidRPr="00654093">
              <w:rPr>
                <w:rFonts w:ascii="Calibri" w:eastAsia="Calibri" w:hAnsi="Calibri"/>
                <w:sz w:val="24"/>
                <w:szCs w:val="24"/>
              </w:rPr>
              <w:t xml:space="preserve"> </w:t>
            </w:r>
            <w:proofErr w:type="spellStart"/>
            <w:r w:rsidR="00BC06A5" w:rsidRPr="00654093">
              <w:rPr>
                <w:rFonts w:ascii="Calibri" w:eastAsia="Calibri" w:hAnsi="Calibri"/>
                <w:sz w:val="24"/>
                <w:szCs w:val="24"/>
              </w:rPr>
              <w:t>posredstvom</w:t>
            </w:r>
            <w:proofErr w:type="spellEnd"/>
            <w:r w:rsidR="00BC06A5" w:rsidRPr="00654093">
              <w:rPr>
                <w:rFonts w:ascii="Calibri" w:eastAsia="Calibri" w:hAnsi="Calibri"/>
                <w:sz w:val="24"/>
                <w:szCs w:val="24"/>
              </w:rPr>
              <w:t xml:space="preserve"> </w:t>
            </w:r>
            <w:proofErr w:type="spellStart"/>
            <w:r w:rsidR="00187621">
              <w:rPr>
                <w:rFonts w:ascii="Calibri" w:eastAsia="Calibri" w:hAnsi="Calibri"/>
                <w:sz w:val="24"/>
                <w:szCs w:val="24"/>
              </w:rPr>
              <w:t>k</w:t>
            </w:r>
            <w:r w:rsidR="00BC06A5" w:rsidRPr="00654093">
              <w:rPr>
                <w:rFonts w:ascii="Calibri" w:eastAsia="Calibri" w:hAnsi="Calibri"/>
                <w:sz w:val="24"/>
                <w:szCs w:val="24"/>
              </w:rPr>
              <w:t>onkursa</w:t>
            </w:r>
            <w:proofErr w:type="spellEnd"/>
            <w:r w:rsidR="00BC06A5" w:rsidRPr="00654093">
              <w:rPr>
                <w:rFonts w:ascii="Calibri" w:eastAsia="Calibri" w:hAnsi="Calibri"/>
                <w:sz w:val="24"/>
                <w:szCs w:val="24"/>
              </w:rPr>
              <w:t xml:space="preserve"> za NVO u 2021. u </w:t>
            </w:r>
            <w:proofErr w:type="spellStart"/>
            <w:r w:rsidR="00BC06A5" w:rsidRPr="00654093">
              <w:rPr>
                <w:rFonts w:ascii="Calibri" w:eastAsia="Calibri" w:hAnsi="Calibri"/>
                <w:sz w:val="24"/>
                <w:szCs w:val="24"/>
              </w:rPr>
              <w:t>oblasti</w:t>
            </w:r>
            <w:proofErr w:type="spellEnd"/>
            <w:r w:rsidR="00BC06A5" w:rsidRPr="00654093">
              <w:rPr>
                <w:rFonts w:ascii="Calibri" w:eastAsia="Calibri" w:hAnsi="Calibri"/>
                <w:sz w:val="24"/>
                <w:szCs w:val="24"/>
              </w:rPr>
              <w:t xml:space="preserve"> zaštite </w:t>
            </w:r>
            <w:proofErr w:type="spellStart"/>
            <w:r w:rsidR="00BC06A5" w:rsidRPr="00654093">
              <w:rPr>
                <w:rFonts w:ascii="Calibri" w:eastAsia="Calibri" w:hAnsi="Calibri"/>
                <w:sz w:val="24"/>
                <w:szCs w:val="24"/>
              </w:rPr>
              <w:t>lica</w:t>
            </w:r>
            <w:proofErr w:type="spellEnd"/>
            <w:r w:rsidR="00BC06A5" w:rsidRPr="00654093">
              <w:rPr>
                <w:rFonts w:ascii="Calibri" w:eastAsia="Calibri" w:hAnsi="Calibri"/>
                <w:sz w:val="24"/>
                <w:szCs w:val="24"/>
              </w:rPr>
              <w:t xml:space="preserve"> sa </w:t>
            </w:r>
            <w:proofErr w:type="spellStart"/>
            <w:r w:rsidR="00BC06A5" w:rsidRPr="00654093">
              <w:rPr>
                <w:rFonts w:ascii="Calibri" w:eastAsia="Calibri" w:hAnsi="Calibri"/>
                <w:sz w:val="24"/>
                <w:szCs w:val="24"/>
              </w:rPr>
              <w:t>invaliditetom</w:t>
            </w:r>
            <w:proofErr w:type="spellEnd"/>
            <w:r w:rsidR="00BC06A5">
              <w:rPr>
                <w:rFonts w:ascii="Calibri" w:eastAsia="Calibri" w:hAnsi="Calibri"/>
                <w:sz w:val="24"/>
                <w:szCs w:val="24"/>
              </w:rPr>
              <w:t>,</w:t>
            </w:r>
            <w:r>
              <w:rPr>
                <w:rFonts w:asciiTheme="minorHAnsi" w:hAnsiTheme="minorHAnsi"/>
                <w:sz w:val="24"/>
                <w:szCs w:val="24"/>
                <w:lang w:val="sr-Latn-ME" w:eastAsia="ja-JP"/>
              </w:rPr>
              <w:t xml:space="preserve"> pokazala su da od ukupno 108 analiziranih poštanskih objekata, 47 nema prepreka prilikom ulaska u isti, od kojih 22 imaju rampu na ulazu. Od objekata koji imaju rampu na ulazu, 10 imaju dužinu koja je odgovarajuća u odnosu na visinu prepreke koja se savladava, dok je 12 rampi </w:t>
            </w:r>
            <w:r>
              <w:rPr>
                <w:rFonts w:asciiTheme="minorHAnsi" w:hAnsiTheme="minorHAnsi"/>
                <w:sz w:val="24"/>
                <w:szCs w:val="24"/>
                <w:lang w:val="sr-Latn-ME" w:eastAsia="ja-JP"/>
              </w:rPr>
              <w:lastRenderedPageBreak/>
              <w:t>neophodno produžiti, zbog nedozvoljenog nagiba. Iz navedenog,</w:t>
            </w:r>
            <w:r w:rsidR="00D8123F">
              <w:rPr>
                <w:rFonts w:asciiTheme="minorHAnsi" w:hAnsiTheme="minorHAnsi"/>
                <w:sz w:val="24"/>
                <w:szCs w:val="24"/>
                <w:lang w:val="sr-Latn-ME" w:eastAsia="ja-JP"/>
              </w:rPr>
              <w:t xml:space="preserve"> </w:t>
            </w:r>
            <w:r>
              <w:rPr>
                <w:rFonts w:asciiTheme="minorHAnsi" w:hAnsiTheme="minorHAnsi"/>
                <w:sz w:val="24"/>
                <w:szCs w:val="24"/>
                <w:lang w:val="sr-Latn-ME" w:eastAsia="ja-JP"/>
              </w:rPr>
              <w:t>zaključuje se da 61 objekat nema adekvatan ulaz, odnosno imaju stepenice bez urađenih rampi ( 49 objekata) ili prag ( 12 objekata) u visini iznad dozvoljenog standarda ( 2 cm) na ulazu koji otežava ulazak lica koji su korisnici kolica.</w:t>
            </w:r>
          </w:p>
          <w:p w:rsidR="00BC06A5" w:rsidRPr="001F36AB" w:rsidRDefault="00BC06A5" w:rsidP="00FD7CC7">
            <w:pPr>
              <w:spacing w:after="200"/>
              <w:jc w:val="both"/>
              <w:rPr>
                <w:rFonts w:asciiTheme="minorHAnsi" w:hAnsiTheme="minorHAnsi"/>
                <w:sz w:val="24"/>
                <w:szCs w:val="24"/>
                <w:lang w:val="sr-Latn-ME" w:eastAsia="ja-JP"/>
              </w:rPr>
            </w:pPr>
          </w:p>
          <w:p w:rsidR="00063D42" w:rsidRDefault="00063D42" w:rsidP="00FD7CC7">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Ministarstvo ekologije, prostornog planiranja i urbanizma, donošenjem Zakona o planiranju prostora i izgradnji objekata („Službeni list Crne Gore", br. 64/17, 44/18, 63/18 i 82/20) stvorilo je neophodne normativne pretpostavke za izgradnju pristupačnih objekata za lica sa invaliditetom.</w:t>
            </w:r>
          </w:p>
          <w:p w:rsidR="00063D42" w:rsidRDefault="00063D42" w:rsidP="00FD7CC7">
            <w:pPr>
              <w:spacing w:after="200"/>
              <w:jc w:val="both"/>
              <w:rPr>
                <w:rFonts w:asciiTheme="minorHAnsi" w:hAnsiTheme="minorHAnsi"/>
                <w:sz w:val="24"/>
                <w:szCs w:val="24"/>
                <w:lang w:val="sr-Latn-ME" w:eastAsia="ja-JP"/>
              </w:rPr>
            </w:pPr>
            <w:r w:rsidRPr="008D73C2">
              <w:rPr>
                <w:rFonts w:asciiTheme="minorHAnsi" w:hAnsiTheme="minorHAnsi"/>
                <w:b/>
                <w:sz w:val="24"/>
                <w:szCs w:val="24"/>
                <w:lang w:val="sr-Latn-ME" w:eastAsia="ja-JP"/>
              </w:rPr>
              <w:t>Zakonom o planiranju prostora i izgradnji objekata</w:t>
            </w:r>
            <w:r>
              <w:rPr>
                <w:rFonts w:asciiTheme="minorHAnsi" w:hAnsiTheme="minorHAnsi"/>
                <w:sz w:val="24"/>
                <w:szCs w:val="24"/>
                <w:lang w:val="sr-Latn-ME" w:eastAsia="ja-JP"/>
              </w:rPr>
              <w:t xml:space="preserve"> („Službeni list Crne Gore", br. 64/17; 44/18, 82/20</w:t>
            </w:r>
            <w:r w:rsidR="006210B9">
              <w:rPr>
                <w:rFonts w:asciiTheme="minorHAnsi" w:hAnsiTheme="minorHAnsi"/>
                <w:sz w:val="24"/>
                <w:szCs w:val="24"/>
                <w:lang w:val="sr-Latn-ME" w:eastAsia="ja-JP"/>
              </w:rPr>
              <w:t>,</w:t>
            </w:r>
            <w:r w:rsidR="00860C93">
              <w:rPr>
                <w:rFonts w:asciiTheme="minorHAnsi" w:hAnsiTheme="minorHAnsi"/>
                <w:sz w:val="24"/>
                <w:szCs w:val="24"/>
                <w:lang w:val="sr-Latn-ME" w:eastAsia="ja-JP"/>
              </w:rPr>
              <w:t xml:space="preserve"> 86/22 i 4/23</w:t>
            </w:r>
            <w:r>
              <w:rPr>
                <w:rFonts w:asciiTheme="minorHAnsi" w:hAnsiTheme="minorHAnsi"/>
                <w:sz w:val="24"/>
                <w:szCs w:val="24"/>
                <w:lang w:val="sr-Latn-ME" w:eastAsia="ja-JP"/>
              </w:rPr>
              <w:t xml:space="preserve">), definisani su uslovi za pristup i kretanje lica sa invaliditetom i lica smanjene pokretljivosti. U članu 71 navedenog zakona definisano da se izgradnja objekata u </w:t>
            </w:r>
            <w:r>
              <w:rPr>
                <w:rFonts w:asciiTheme="minorHAnsi" w:hAnsiTheme="minorHAnsi"/>
                <w:b/>
                <w:i/>
                <w:sz w:val="24"/>
                <w:szCs w:val="24"/>
                <w:lang w:val="sr-Latn-ME" w:eastAsia="ja-JP"/>
              </w:rPr>
              <w:t>javnoj upotrebi</w:t>
            </w:r>
            <w:r>
              <w:rPr>
                <w:rFonts w:asciiTheme="minorHAnsi" w:hAnsiTheme="minorHAnsi"/>
                <w:sz w:val="24"/>
                <w:szCs w:val="24"/>
                <w:lang w:val="sr-Latn-ME" w:eastAsia="ja-JP"/>
              </w:rPr>
              <w:t xml:space="preserve"> vrši se na način kojim se licima smanjene pokretljivosti i licima sa invaliditetom obezbjeđuje nesmetan pristup, kretanje, boravak i rad. Objektima u </w:t>
            </w:r>
            <w:r>
              <w:rPr>
                <w:rFonts w:asciiTheme="minorHAnsi" w:hAnsiTheme="minorHAnsi"/>
                <w:b/>
                <w:i/>
                <w:sz w:val="24"/>
                <w:szCs w:val="24"/>
                <w:lang w:val="sr-Latn-ME" w:eastAsia="ja-JP"/>
              </w:rPr>
              <w:t>javnoj upotrebi</w:t>
            </w:r>
            <w:r>
              <w:rPr>
                <w:rFonts w:asciiTheme="minorHAnsi" w:hAnsiTheme="minorHAnsi"/>
                <w:sz w:val="24"/>
                <w:szCs w:val="24"/>
                <w:lang w:val="sr-Latn-ME" w:eastAsia="ja-JP"/>
              </w:rPr>
              <w:t xml:space="preserve"> smatraju se objekti namijenjeni za javno korišćenje (objekti državnih organa i lokalne samouprave, zdravstva, obrazovanja, kulture, otvoreni i zatvoreni sportski i rekreativni objekti, saobraćajni terminali, pošte).</w:t>
            </w:r>
          </w:p>
          <w:p w:rsidR="00063D42" w:rsidRDefault="00063D42" w:rsidP="00FD7CC7">
            <w:pPr>
              <w:spacing w:after="200"/>
              <w:jc w:val="both"/>
              <w:rPr>
                <w:rFonts w:asciiTheme="minorHAnsi" w:hAnsiTheme="minorHAnsi"/>
                <w:i/>
                <w:sz w:val="24"/>
                <w:szCs w:val="24"/>
                <w:lang w:val="sr-Latn-ME" w:eastAsia="ja-JP"/>
              </w:rPr>
            </w:pPr>
            <w:r>
              <w:rPr>
                <w:rFonts w:asciiTheme="minorHAnsi" w:hAnsiTheme="minorHAnsi"/>
                <w:sz w:val="24"/>
                <w:szCs w:val="24"/>
                <w:lang w:val="sr-Latn-ME" w:eastAsia="ja-JP"/>
              </w:rPr>
              <w:t xml:space="preserve"> Takođe, Zakon je definisao da se planiranje i izgradnja objekata zasniva na </w:t>
            </w:r>
            <w:r>
              <w:rPr>
                <w:rFonts w:asciiTheme="minorHAnsi" w:hAnsiTheme="minorHAnsi"/>
                <w:b/>
                <w:i/>
                <w:sz w:val="24"/>
                <w:szCs w:val="24"/>
                <w:lang w:val="sr-Latn-ME" w:eastAsia="ja-JP"/>
              </w:rPr>
              <w:t>načelima</w:t>
            </w:r>
            <w:r>
              <w:rPr>
                <w:rFonts w:asciiTheme="minorHAnsi" w:hAnsiTheme="minorHAnsi"/>
                <w:sz w:val="24"/>
                <w:szCs w:val="24"/>
                <w:lang w:val="sr-Latn-ME" w:eastAsia="ja-JP"/>
              </w:rPr>
              <w:t xml:space="preserve">. Jedno od načela pri planiranju i izgradnji objekata je i </w:t>
            </w:r>
            <w:r>
              <w:rPr>
                <w:rFonts w:asciiTheme="minorHAnsi" w:hAnsiTheme="minorHAnsi"/>
                <w:i/>
                <w:sz w:val="24"/>
                <w:szCs w:val="24"/>
                <w:lang w:val="sr-Latn-ME" w:eastAsia="ja-JP"/>
              </w:rPr>
              <w:t>zabrana diskriminacije u skladu sa posebnim propisima.</w:t>
            </w:r>
          </w:p>
          <w:p w:rsidR="00063D42" w:rsidRDefault="00063D42" w:rsidP="00FD7CC7">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Kao jedan od  osnovnih  zahtjeva koje objekat, zavisno od svoje namjene, mora da ispuni, to je da objekat mora  biti projektovan i izveden na način da se obezbijedi pristupačnost licima sa invaliditetom i licima smanjene pokretljivosti. Pristup, kretanje i boravak</w:t>
            </w:r>
            <w:r w:rsidR="004047FF">
              <w:rPr>
                <w:rFonts w:asciiTheme="minorHAnsi" w:hAnsiTheme="minorHAnsi"/>
                <w:sz w:val="24"/>
                <w:szCs w:val="24"/>
                <w:lang w:val="sr-Latn-ME" w:eastAsia="ja-JP"/>
              </w:rPr>
              <w:t xml:space="preserve"> i rad</w:t>
            </w:r>
            <w:r>
              <w:rPr>
                <w:rFonts w:asciiTheme="minorHAnsi" w:hAnsiTheme="minorHAnsi"/>
                <w:sz w:val="24"/>
                <w:szCs w:val="24"/>
                <w:lang w:val="sr-Latn-ME" w:eastAsia="ja-JP"/>
              </w:rPr>
              <w:t xml:space="preserve"> lica smanjene pokretljivosti i lica sa invaliditetom dužan je da obezbijedi vlasnik objekta u javnoj upotrebi.</w:t>
            </w:r>
          </w:p>
          <w:p w:rsidR="00063D42" w:rsidRDefault="00063D42" w:rsidP="00FD7CC7">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I pored jasno definisanih zakonskih odredbi, veliki broj objekata u javnoj upotrebi nijesu ili su djelimično pristupačni. Poseban problem predstavlja to što je određeni broj ustanova sa javnim ovlašćenjima kao i veliki broj državnih institucija smješten u starim zgradama koje su izgrađene po propisima koji su važili u vrijeme izgradnje tih objekata, a koji nisu prepoznali pristupačnost kao cilj pri planiranju i izgradnji objekata.</w:t>
            </w:r>
            <w:r>
              <w:rPr>
                <w:rFonts w:asciiTheme="minorHAnsi" w:hAnsiTheme="minorHAnsi"/>
                <w:sz w:val="24"/>
                <w:szCs w:val="24"/>
                <w:lang w:val="sr-Latn-ME" w:eastAsia="ja-JP"/>
              </w:rPr>
              <w:tab/>
            </w:r>
          </w:p>
          <w:p w:rsidR="00063D42" w:rsidRDefault="00063D42" w:rsidP="00FD7CC7">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Uslijed ograničenih kapaciteta inspekcijskih organa i monitoringa primjene zakona u praksi, pored nepristupačnosti ranije sagrađenih objekata, evidentan je problem nepoštovanja standarda pristupačnosti i prilikom izgradnje novih objekata. Podaci NVO ukazuju da inspekcije u ovom dijelu ne vode evidencije koje su specifične i koje se odnose na podatke u vezi sa standardima pristupačnosti.</w:t>
            </w:r>
          </w:p>
          <w:p w:rsidR="00063D42" w:rsidRPr="006930AD" w:rsidRDefault="00063D42" w:rsidP="00FD7CC7">
            <w:pPr>
              <w:shd w:val="clear" w:color="auto" w:fill="FFFFFF" w:themeFill="background1"/>
              <w:spacing w:after="200"/>
              <w:jc w:val="both"/>
              <w:rPr>
                <w:rFonts w:asciiTheme="minorHAnsi" w:hAnsiTheme="minorHAnsi"/>
                <w:sz w:val="24"/>
                <w:szCs w:val="24"/>
                <w:lang w:val="sr-Latn-ME" w:eastAsia="ja-JP"/>
              </w:rPr>
            </w:pPr>
            <w:r w:rsidRPr="006930AD">
              <w:rPr>
                <w:rFonts w:asciiTheme="minorHAnsi" w:hAnsiTheme="minorHAnsi"/>
                <w:sz w:val="24"/>
                <w:szCs w:val="24"/>
                <w:lang w:val="sr-Latn-ME" w:eastAsia="ja-JP"/>
              </w:rPr>
              <w:t>U Crnoj Gori prepoznat je nedostatak adekvatnih evidencija o pristupačnim objektima u javnoj upotrebi,</w:t>
            </w:r>
            <w:r w:rsidR="0071778F" w:rsidRPr="006930AD">
              <w:rPr>
                <w:rFonts w:asciiTheme="minorHAnsi" w:hAnsiTheme="minorHAnsi"/>
                <w:sz w:val="24"/>
                <w:szCs w:val="24"/>
                <w:lang w:val="sr-Latn-ME" w:eastAsia="ja-JP"/>
              </w:rPr>
              <w:t xml:space="preserve"> </w:t>
            </w:r>
            <w:r w:rsidRPr="006930AD">
              <w:rPr>
                <w:rFonts w:asciiTheme="minorHAnsi" w:hAnsiTheme="minorHAnsi"/>
                <w:sz w:val="24"/>
                <w:szCs w:val="24"/>
                <w:lang w:val="sr-Latn-ME" w:eastAsia="ja-JP"/>
              </w:rPr>
              <w:t>odnosno baze podataka pristupačnih objekata-interaktivne mape koja bi omogućila lakše snalaženje i orijentaciju licima sa invaliditetom.</w:t>
            </w:r>
          </w:p>
          <w:p w:rsidR="00063D42" w:rsidRPr="006930AD" w:rsidRDefault="00063D42" w:rsidP="00FD7CC7">
            <w:pPr>
              <w:shd w:val="clear" w:color="auto" w:fill="FFFFFF" w:themeFill="background1"/>
              <w:spacing w:after="200"/>
              <w:jc w:val="both"/>
              <w:rPr>
                <w:rFonts w:asciiTheme="minorHAnsi" w:hAnsiTheme="minorHAnsi"/>
                <w:sz w:val="24"/>
                <w:szCs w:val="24"/>
                <w:lang w:val="sr-Latn-ME" w:eastAsia="ja-JP"/>
              </w:rPr>
            </w:pPr>
            <w:r w:rsidRPr="006930AD">
              <w:rPr>
                <w:rFonts w:asciiTheme="minorHAnsi" w:hAnsiTheme="minorHAnsi"/>
                <w:sz w:val="24"/>
                <w:szCs w:val="24"/>
                <w:lang w:val="sr-Latn-ME" w:eastAsia="ja-JP"/>
              </w:rPr>
              <w:lastRenderedPageBreak/>
              <w:t>Na aerodromima, autobuskim i željezničkim stanicama ne postoje interaktivne mape sa evidentiranim pristupačnim objektima za lica sa invaliditetom, koje bi omogućile svima a posebno turistima-licima sa invaliditetom, da se lakše informišu o pristpačnim hotelima, kafićima, restoranima, parkovima, i objektima u javnoj upotrebi.</w:t>
            </w:r>
          </w:p>
          <w:p w:rsidR="006A1AD2" w:rsidRDefault="00063D42" w:rsidP="00FD7CC7">
            <w:pPr>
              <w:shd w:val="clear" w:color="auto" w:fill="FFFFFF" w:themeFill="background1"/>
              <w:spacing w:after="200"/>
              <w:jc w:val="both"/>
              <w:rPr>
                <w:rFonts w:asciiTheme="minorHAnsi" w:hAnsiTheme="minorHAnsi"/>
                <w:sz w:val="24"/>
                <w:szCs w:val="24"/>
                <w:lang w:val="sr-Latn-ME" w:eastAsia="ja-JP"/>
              </w:rPr>
            </w:pPr>
            <w:r w:rsidRPr="006930AD">
              <w:rPr>
                <w:rFonts w:asciiTheme="minorHAnsi" w:hAnsiTheme="minorHAnsi"/>
                <w:sz w:val="24"/>
                <w:szCs w:val="24"/>
                <w:lang w:val="sr-Latn-ME" w:eastAsia="ja-JP"/>
              </w:rPr>
              <w:t>U oblasti turizma, konstatovano je da veliki broj turističkih objekata sa akcentom na plaže i nacionalne parkove, nijesu prilagođeni licima sa invaliditetom.</w:t>
            </w:r>
            <w:r>
              <w:rPr>
                <w:rFonts w:asciiTheme="minorHAnsi" w:hAnsiTheme="minorHAnsi"/>
                <w:sz w:val="24"/>
                <w:szCs w:val="24"/>
                <w:lang w:val="sr-Latn-ME" w:eastAsia="ja-JP"/>
              </w:rPr>
              <w:t xml:space="preserve"> </w:t>
            </w:r>
          </w:p>
          <w:p w:rsidR="00063D42" w:rsidRDefault="00063D42" w:rsidP="00FD7CC7">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Takođe uočena je i nedovoljna informisanost stručne javnosti, investitora, kao i vlasnika, odnosno korisnika objekata, državnih i lokalnih službenika i namještenika kao i vršioca javnih fukcija, o zakonskoj obavezi da se objekti u javnoj upotrebi učine pristupačnim kao i o značaju pristupačnosti objekata za lica sa invaliditetom i njihovu integrisanost u svakodnevni život. Kao posljedica nepristupačnih objekata i nedostupnih informacija o pristupačnim objektima, licima sa invaliditetom je onemogućeno kretanje i ostvarivanje prava učešća u zajednici na ravnopravnoj osnovi sa drugima.</w:t>
            </w:r>
          </w:p>
          <w:p w:rsidR="00063D42" w:rsidRDefault="00063D42" w:rsidP="00FD7CC7">
            <w:pPr>
              <w:pStyle w:val="ListParagraph"/>
              <w:jc w:val="both"/>
              <w:rPr>
                <w:rFonts w:asciiTheme="minorHAnsi" w:hAnsiTheme="minorHAnsi" w:cstheme="minorHAnsi"/>
                <w:sz w:val="24"/>
                <w:szCs w:val="24"/>
                <w:lang w:val="sr-Latn-ME" w:eastAsia="ja-JP"/>
              </w:rPr>
            </w:pPr>
            <w:r>
              <w:rPr>
                <w:rFonts w:asciiTheme="minorHAnsi" w:hAnsiTheme="minorHAnsi"/>
                <w:sz w:val="24"/>
                <w:szCs w:val="24"/>
                <w:lang w:val="sr-Latn-ME" w:eastAsia="ja-JP"/>
              </w:rPr>
              <w:t xml:space="preserve">U </w:t>
            </w:r>
            <w:r w:rsidRPr="00382DDF">
              <w:rPr>
                <w:rFonts w:asciiTheme="minorHAnsi" w:hAnsiTheme="minorHAnsi" w:cstheme="minorHAnsi"/>
                <w:sz w:val="24"/>
                <w:szCs w:val="24"/>
                <w:lang w:val="sr-Latn-ME" w:eastAsia="ja-JP"/>
              </w:rPr>
              <w:t>skladu sa navedenim, neophodno je da se kroz projekte nevladinih organizacija finansiraju projekti koji će</w:t>
            </w:r>
            <w:r w:rsidR="009B06FE" w:rsidRPr="00382DDF">
              <w:rPr>
                <w:rFonts w:asciiTheme="minorHAnsi" w:hAnsiTheme="minorHAnsi" w:cstheme="minorHAnsi"/>
                <w:sz w:val="24"/>
                <w:szCs w:val="24"/>
                <w:lang w:val="sr-Latn-ME" w:eastAsia="ja-JP"/>
              </w:rPr>
              <w:t xml:space="preserve"> u</w:t>
            </w:r>
            <w:r w:rsidRPr="00382DDF">
              <w:rPr>
                <w:rFonts w:asciiTheme="minorHAnsi" w:hAnsiTheme="minorHAnsi" w:cstheme="minorHAnsi"/>
                <w:sz w:val="24"/>
                <w:szCs w:val="24"/>
                <w:lang w:val="sr-Latn-ME" w:eastAsia="ja-JP"/>
              </w:rPr>
              <w:t>naprijediti oblast pristupačnosti objekata u javnoj upotrebi, kroz</w:t>
            </w:r>
            <w:r w:rsidR="00187621">
              <w:rPr>
                <w:rFonts w:asciiTheme="minorHAnsi" w:hAnsiTheme="minorHAnsi" w:cstheme="minorHAnsi"/>
                <w:sz w:val="24"/>
                <w:szCs w:val="24"/>
                <w:lang w:val="sr-Latn-ME" w:eastAsia="ja-JP"/>
              </w:rPr>
              <w:t>:</w:t>
            </w:r>
          </w:p>
          <w:p w:rsidR="00C727C2" w:rsidRDefault="00C727C2" w:rsidP="00FD7CC7">
            <w:pPr>
              <w:pStyle w:val="ListParagraph"/>
              <w:jc w:val="both"/>
              <w:rPr>
                <w:rFonts w:asciiTheme="minorHAnsi" w:hAnsiTheme="minorHAnsi" w:cstheme="minorHAnsi"/>
                <w:sz w:val="24"/>
                <w:szCs w:val="24"/>
                <w:lang w:val="sr-Latn-ME" w:eastAsia="ja-JP"/>
              </w:rPr>
            </w:pPr>
          </w:p>
          <w:p w:rsidR="00C727C2" w:rsidRPr="00597E35" w:rsidRDefault="00C727C2" w:rsidP="00C727C2">
            <w:pPr>
              <w:pStyle w:val="ListParagraph"/>
              <w:numPr>
                <w:ilvl w:val="0"/>
                <w:numId w:val="14"/>
              </w:numPr>
              <w:jc w:val="both"/>
              <w:rPr>
                <w:rFonts w:ascii="Verdana" w:hAnsi="Verdana"/>
                <w:lang w:val="sr-Latn-ME"/>
              </w:rPr>
            </w:pPr>
            <w:r w:rsidRPr="00597E35">
              <w:rPr>
                <w:rFonts w:ascii="Verdana" w:hAnsi="Verdana"/>
                <w:lang w:val="sr-Latn-ME"/>
              </w:rPr>
              <w:t xml:space="preserve">sprovođenje istraživanja o položaju lica sa invaliditetom  vezano za arhitektonske barijere i fizičku pristupačnost objektima u javnoj upotrebi; </w:t>
            </w:r>
          </w:p>
          <w:p w:rsidR="001A0AAA" w:rsidRDefault="00C727C2" w:rsidP="00C727C2">
            <w:pPr>
              <w:pStyle w:val="ListParagraph"/>
              <w:numPr>
                <w:ilvl w:val="0"/>
                <w:numId w:val="14"/>
              </w:numPr>
              <w:jc w:val="both"/>
              <w:rPr>
                <w:rFonts w:ascii="Verdana" w:hAnsi="Verdana"/>
                <w:lang w:val="sr-Latn-ME"/>
              </w:rPr>
            </w:pPr>
            <w:r w:rsidRPr="00597E35">
              <w:rPr>
                <w:rFonts w:ascii="Verdana" w:hAnsi="Verdana"/>
                <w:lang w:val="sr-Latn-ME"/>
              </w:rPr>
              <w:t>aktivnosti koje doprinose smanjenju diskriminacije lica sa invaliditetom sa posebnim akcentom na arhitektonske barijere objekata u javnoj upotrebi;</w:t>
            </w:r>
          </w:p>
          <w:p w:rsidR="00477886" w:rsidRDefault="00C727C2" w:rsidP="00C727C2">
            <w:pPr>
              <w:pStyle w:val="ListParagraph"/>
              <w:numPr>
                <w:ilvl w:val="0"/>
                <w:numId w:val="14"/>
              </w:numPr>
              <w:jc w:val="both"/>
              <w:rPr>
                <w:rFonts w:ascii="Verdana" w:hAnsi="Verdana"/>
                <w:lang w:val="sr-Latn-ME"/>
              </w:rPr>
            </w:pPr>
            <w:r w:rsidRPr="00597E35">
              <w:rPr>
                <w:rFonts w:ascii="Verdana" w:hAnsi="Verdana"/>
                <w:lang w:val="sr-Latn-ME"/>
              </w:rPr>
              <w:t>organizovanje Konferencije</w:t>
            </w:r>
            <w:r>
              <w:rPr>
                <w:rFonts w:ascii="Verdana" w:hAnsi="Verdana"/>
                <w:lang w:val="sr-Latn-ME"/>
              </w:rPr>
              <w:t xml:space="preserve">  sa predstavnicima zemalja iz okruženja, stručne i zainteresovane javnosti, sa ciljem </w:t>
            </w:r>
            <w:r w:rsidRPr="00597E35">
              <w:rPr>
                <w:rFonts w:ascii="Verdana" w:hAnsi="Verdana"/>
                <w:lang w:val="sr-Latn-ME"/>
              </w:rPr>
              <w:t xml:space="preserve">razmjene </w:t>
            </w:r>
            <w:r w:rsidR="00477886">
              <w:rPr>
                <w:rFonts w:ascii="Verdana" w:hAnsi="Verdana"/>
                <w:lang w:val="sr-Latn-ME"/>
              </w:rPr>
              <w:t xml:space="preserve">međunarodnih </w:t>
            </w:r>
          </w:p>
          <w:p w:rsidR="00C727C2" w:rsidRPr="00477886" w:rsidRDefault="00C727C2" w:rsidP="00477886">
            <w:pPr>
              <w:pStyle w:val="ListParagraph"/>
              <w:jc w:val="both"/>
              <w:rPr>
                <w:rFonts w:ascii="Verdana" w:hAnsi="Verdana"/>
                <w:lang w:val="sr-Latn-ME"/>
              </w:rPr>
            </w:pPr>
            <w:r w:rsidRPr="00477886">
              <w:rPr>
                <w:rFonts w:ascii="Verdana" w:hAnsi="Verdana"/>
                <w:lang w:val="sr-Latn-ME"/>
              </w:rPr>
              <w:t>iskustava i prenošenja znanja iz oblasti pristupačnosti objektima u javnoj upotrebi -primjeri dobre i loše prakse;</w:t>
            </w:r>
          </w:p>
          <w:p w:rsidR="00C727C2" w:rsidRPr="00C727C2" w:rsidRDefault="00C727C2" w:rsidP="00C727C2">
            <w:pPr>
              <w:pStyle w:val="ListParagraph"/>
              <w:numPr>
                <w:ilvl w:val="0"/>
                <w:numId w:val="14"/>
              </w:numPr>
              <w:jc w:val="both"/>
              <w:rPr>
                <w:rFonts w:ascii="Verdana" w:hAnsi="Verdana"/>
                <w:lang w:val="sr-Latn-ME"/>
              </w:rPr>
            </w:pPr>
            <w:r w:rsidRPr="00897F88">
              <w:rPr>
                <w:rFonts w:asciiTheme="minorHAnsi" w:hAnsiTheme="minorHAnsi" w:cstheme="minorHAnsi"/>
                <w:sz w:val="24"/>
                <w:szCs w:val="24"/>
                <w:lang w:val="sr-Latn-ME" w:eastAsia="ja-JP"/>
              </w:rPr>
              <w:t xml:space="preserve">organizovanje </w:t>
            </w:r>
            <w:r>
              <w:rPr>
                <w:rFonts w:asciiTheme="minorHAnsi" w:hAnsiTheme="minorHAnsi" w:cstheme="minorHAnsi"/>
                <w:sz w:val="24"/>
                <w:szCs w:val="24"/>
                <w:lang w:val="sr-Latn-ME" w:eastAsia="ja-JP"/>
              </w:rPr>
              <w:t>K</w:t>
            </w:r>
            <w:r w:rsidRPr="00897F88">
              <w:rPr>
                <w:rFonts w:asciiTheme="minorHAnsi" w:hAnsiTheme="minorHAnsi" w:cstheme="minorHAnsi"/>
                <w:sz w:val="24"/>
                <w:szCs w:val="24"/>
                <w:lang w:val="sr-Latn-ME" w:eastAsia="ja-JP"/>
              </w:rPr>
              <w:t xml:space="preserve">onferencije na temu </w:t>
            </w:r>
            <w:r w:rsidRPr="00597E35">
              <w:rPr>
                <w:rFonts w:ascii="Verdana" w:hAnsi="Verdana"/>
                <w:lang w:val="sr-Latn-ME"/>
              </w:rPr>
              <w:t>razumnog prilagođavanja i univerzalnog dizajna;</w:t>
            </w:r>
          </w:p>
          <w:p w:rsidR="001A0AAA" w:rsidRPr="00AE66DB" w:rsidRDefault="001A0AAA" w:rsidP="001A0AAA">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aktivnosti (okrugli sto, radionice, tribine, javni čas) za različite ciljne grupe koje će doprinijeti povećanju nivoa znanja</w:t>
            </w:r>
            <w:r>
              <w:rPr>
                <w:rFonts w:asciiTheme="minorHAnsi" w:hAnsiTheme="minorHAnsi" w:cstheme="minorHAnsi"/>
                <w:sz w:val="24"/>
                <w:szCs w:val="24"/>
                <w:lang w:val="sr-Latn-ME" w:eastAsia="ja-JP"/>
              </w:rPr>
              <w:t xml:space="preserve"> </w:t>
            </w:r>
            <w:r w:rsidRPr="00B276E0">
              <w:rPr>
                <w:rFonts w:asciiTheme="minorHAnsi" w:hAnsiTheme="minorHAnsi" w:cstheme="minorHAnsi"/>
                <w:sz w:val="24"/>
                <w:szCs w:val="24"/>
                <w:lang w:val="sr-Latn-ME" w:eastAsia="ja-JP"/>
              </w:rPr>
              <w:t>u oblasti pristupačnosti objektima u javnoj upotrebi  shodno različitim parametrima (pol, starost, vrsta invaliditeta</w:t>
            </w:r>
            <w:r w:rsidR="005A1535" w:rsidRPr="00B276E0">
              <w:rPr>
                <w:rFonts w:asciiTheme="minorHAnsi" w:hAnsiTheme="minorHAnsi" w:cstheme="minorHAnsi"/>
                <w:sz w:val="24"/>
                <w:szCs w:val="24"/>
                <w:lang w:val="sr-Latn-ME" w:eastAsia="ja-JP"/>
              </w:rPr>
              <w:t>);</w:t>
            </w:r>
          </w:p>
          <w:p w:rsidR="00C727C2" w:rsidRDefault="001A0AAA" w:rsidP="00C727C2">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organizovanje 2 okrugla stola, radionica i seminara za lica sa invaliditetom i njihove porodice u lokalnim zajedicama uz učešće predstavnika NVO i građana na temu</w:t>
            </w:r>
            <w:r>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w:t>
            </w:r>
            <w:r>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ukljanjanje arhitektonskih, administartivnih i drugih barijera koje onemogućavaju ravnopravan položaj lica sa invaliditetom u društvu;</w:t>
            </w:r>
            <w:r w:rsidR="00C727C2">
              <w:rPr>
                <w:rFonts w:asciiTheme="minorHAnsi" w:hAnsiTheme="minorHAnsi" w:cstheme="minorHAnsi"/>
                <w:sz w:val="24"/>
                <w:szCs w:val="24"/>
                <w:lang w:val="sr-Latn-ME" w:eastAsia="ja-JP"/>
              </w:rPr>
              <w:t xml:space="preserve"> </w:t>
            </w:r>
          </w:p>
          <w:p w:rsidR="00C727C2" w:rsidRPr="00AE66DB" w:rsidRDefault="00C727C2" w:rsidP="00C727C2">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edukaciju 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p w:rsidR="001A0AAA" w:rsidRPr="00897F88" w:rsidRDefault="00C727C2" w:rsidP="001A0AAA">
            <w:pPr>
              <w:pStyle w:val="ListParagraph"/>
              <w:numPr>
                <w:ilvl w:val="0"/>
                <w:numId w:val="14"/>
              </w:numPr>
              <w:jc w:val="both"/>
              <w:rPr>
                <w:rFonts w:asciiTheme="minorHAnsi" w:hAnsiTheme="minorHAnsi" w:cstheme="minorHAnsi"/>
                <w:sz w:val="24"/>
                <w:szCs w:val="24"/>
                <w:lang w:val="sr-Latn-ME" w:eastAsia="ja-JP"/>
              </w:rPr>
            </w:pPr>
            <w:r w:rsidRPr="00597E35">
              <w:rPr>
                <w:rFonts w:ascii="Verdana" w:hAnsi="Verdana"/>
                <w:lang w:val="sr-Latn-ME"/>
              </w:rPr>
              <w:t>aktivnosti sa vlasnicima ili korisnicima objekata u javnoj upotrebi , kao i svim učesnicima u izgradnji, u cilju obezbjeđenja nesmetanog pristupa, kretanja, boravka i rada u istim, licima smanjene pokretljivosti i licima sa invaliditetom</w:t>
            </w:r>
          </w:p>
          <w:p w:rsidR="001A0AAA" w:rsidRPr="00C727C2" w:rsidRDefault="001A0AAA" w:rsidP="00C727C2">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lastRenderedPageBreak/>
              <w:t xml:space="preserve">organizovanje sastanaka sa predstavnicima lokalnih samouprava i lokalnih nevladinih organizacija o implementaciji </w:t>
            </w:r>
            <w:r w:rsidR="005A1535">
              <w:rPr>
                <w:rFonts w:asciiTheme="minorHAnsi" w:hAnsiTheme="minorHAnsi" w:cstheme="minorHAnsi"/>
                <w:sz w:val="24"/>
                <w:szCs w:val="24"/>
                <w:lang w:val="sr-Latn-ME" w:eastAsia="ja-JP"/>
              </w:rPr>
              <w:t>S</w:t>
            </w:r>
            <w:r w:rsidRPr="00897F88">
              <w:rPr>
                <w:rFonts w:asciiTheme="minorHAnsi" w:hAnsiTheme="minorHAnsi" w:cstheme="minorHAnsi"/>
                <w:sz w:val="24"/>
                <w:szCs w:val="24"/>
                <w:lang w:val="sr-Latn-ME" w:eastAsia="ja-JP"/>
              </w:rPr>
              <w:t>trategije na lokalnom nivou</w:t>
            </w:r>
            <w:r w:rsidR="005A1535">
              <w:rPr>
                <w:rFonts w:asciiTheme="minorHAnsi" w:hAnsiTheme="minorHAnsi" w:cstheme="minorHAnsi"/>
                <w:sz w:val="24"/>
                <w:szCs w:val="24"/>
                <w:lang w:val="sr-Latn-ME" w:eastAsia="ja-JP"/>
              </w:rPr>
              <w:t xml:space="preserve">; </w:t>
            </w:r>
          </w:p>
          <w:p w:rsidR="001A0AAA" w:rsidRPr="00477886" w:rsidRDefault="001A0AAA" w:rsidP="00477886">
            <w:pPr>
              <w:pStyle w:val="ListParagraph"/>
              <w:numPr>
                <w:ilvl w:val="0"/>
                <w:numId w:val="14"/>
              </w:numPr>
              <w:jc w:val="both"/>
              <w:rPr>
                <w:rFonts w:ascii="Verdana" w:hAnsi="Verdana"/>
                <w:lang w:val="sr-Latn-ME"/>
              </w:rPr>
            </w:pPr>
            <w:r w:rsidRPr="00597E35">
              <w:rPr>
                <w:rFonts w:ascii="Verdana" w:hAnsi="Verdana"/>
                <w:lang w:val="sr-Latn-ME"/>
              </w:rPr>
              <w:t>organizova</w:t>
            </w:r>
            <w:r w:rsidR="00441DB1" w:rsidRPr="00597E35">
              <w:rPr>
                <w:rFonts w:ascii="Verdana" w:hAnsi="Verdana"/>
                <w:lang w:val="sr-Latn-ME"/>
              </w:rPr>
              <w:t>nje</w:t>
            </w:r>
            <w:r w:rsidRPr="00597E35">
              <w:rPr>
                <w:rFonts w:ascii="Verdana" w:hAnsi="Verdana"/>
                <w:lang w:val="sr-Latn-ME"/>
              </w:rPr>
              <w:t xml:space="preserve"> seminar</w:t>
            </w:r>
            <w:r w:rsidR="00441DB1" w:rsidRPr="00597E35">
              <w:rPr>
                <w:rFonts w:ascii="Verdana" w:hAnsi="Verdana"/>
                <w:lang w:val="sr-Latn-ME"/>
              </w:rPr>
              <w:t>a</w:t>
            </w:r>
            <w:r w:rsidRPr="00597E35">
              <w:rPr>
                <w:rFonts w:ascii="Verdana" w:hAnsi="Verdana"/>
                <w:lang w:val="sr-Latn-ME"/>
              </w:rPr>
              <w:t xml:space="preserve"> predstavnika javnih i privatnih medija o poznavanju Konvencije UN o pravima lica sa invaliditetom sa posebnim akcentom na pristupu zasnovanom na ljudskim pravima prema invaliditetu; </w:t>
            </w:r>
          </w:p>
          <w:p w:rsidR="00A14972" w:rsidRDefault="001A0AAA" w:rsidP="00A14972">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 xml:space="preserve">izradu </w:t>
            </w:r>
            <w:r w:rsidR="00A14972">
              <w:rPr>
                <w:rFonts w:asciiTheme="minorHAnsi" w:hAnsiTheme="minorHAnsi" w:cstheme="minorHAnsi"/>
                <w:sz w:val="24"/>
                <w:szCs w:val="24"/>
                <w:lang w:val="sr-Latn-ME" w:eastAsia="ja-JP"/>
              </w:rPr>
              <w:t xml:space="preserve">stručnih </w:t>
            </w:r>
            <w:r>
              <w:rPr>
                <w:rFonts w:asciiTheme="minorHAnsi" w:hAnsiTheme="minorHAnsi" w:cstheme="minorHAnsi"/>
                <w:sz w:val="24"/>
                <w:szCs w:val="24"/>
                <w:lang w:val="sr-Latn-ME" w:eastAsia="ja-JP"/>
              </w:rPr>
              <w:t>analize pristupačnih objekata u javnoj upotrebi u cilju ažuriranja interaktivnih mapa-baze podataka istih</w:t>
            </w:r>
            <w:r w:rsidRPr="007A7D20">
              <w:rPr>
                <w:rFonts w:asciiTheme="minorHAnsi" w:hAnsiTheme="minorHAnsi" w:cstheme="minorHAnsi"/>
                <w:sz w:val="24"/>
                <w:szCs w:val="24"/>
                <w:lang w:val="sr-Latn-ME" w:eastAsia="ja-JP"/>
              </w:rPr>
              <w:t xml:space="preserve">; </w:t>
            </w:r>
          </w:p>
          <w:p w:rsidR="00A14972" w:rsidRDefault="00A14972" w:rsidP="00A14972">
            <w:pPr>
              <w:pStyle w:val="ListParagraph"/>
              <w:numPr>
                <w:ilvl w:val="0"/>
                <w:numId w:val="14"/>
              </w:numPr>
              <w:jc w:val="both"/>
              <w:rPr>
                <w:rFonts w:asciiTheme="minorHAnsi" w:hAnsiTheme="minorHAnsi" w:cstheme="minorHAnsi"/>
                <w:sz w:val="24"/>
                <w:szCs w:val="24"/>
                <w:lang w:val="sr-Latn-ME" w:eastAsia="ja-JP"/>
              </w:rPr>
            </w:pPr>
            <w:r w:rsidRPr="002424DD">
              <w:rPr>
                <w:rFonts w:asciiTheme="minorHAnsi" w:hAnsiTheme="minorHAnsi" w:cstheme="minorHAnsi"/>
                <w:sz w:val="24"/>
                <w:szCs w:val="24"/>
                <w:lang w:val="sr-Latn-ME" w:eastAsia="ja-JP"/>
              </w:rPr>
              <w:t>postavljanje interaktivne mape sa pristupačnim objektima za lica sa invaliditetom na aerodromima, autobuskim i željezničkim stanicama;</w:t>
            </w:r>
          </w:p>
          <w:p w:rsidR="001A0AAA" w:rsidRPr="00CA065D" w:rsidRDefault="001A0AAA" w:rsidP="00A14972">
            <w:pPr>
              <w:pStyle w:val="ListParagraph"/>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 xml:space="preserve">   </w:t>
            </w:r>
          </w:p>
          <w:p w:rsidR="001A0AAA" w:rsidRPr="00AE66DB" w:rsidRDefault="00441DB1" w:rsidP="001A0AAA">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aktivnosti</w:t>
            </w:r>
            <w:r w:rsidR="001A0AAA" w:rsidRPr="007A7D20">
              <w:rPr>
                <w:rFonts w:asciiTheme="minorHAnsi" w:hAnsiTheme="minorHAnsi" w:cstheme="minorHAnsi"/>
                <w:sz w:val="24"/>
                <w:szCs w:val="24"/>
                <w:lang w:val="sr-Latn-ME" w:eastAsia="ja-JP"/>
              </w:rPr>
              <w:t xml:space="preserve"> na pr</w:t>
            </w:r>
            <w:r w:rsidR="002424DD">
              <w:rPr>
                <w:rFonts w:asciiTheme="minorHAnsi" w:hAnsiTheme="minorHAnsi" w:cstheme="minorHAnsi"/>
                <w:sz w:val="24"/>
                <w:szCs w:val="24"/>
                <w:lang w:val="sr-Latn-ME" w:eastAsia="ja-JP"/>
              </w:rPr>
              <w:t>omociji</w:t>
            </w:r>
            <w:r w:rsidR="001A0AAA" w:rsidRPr="007A7D20">
              <w:rPr>
                <w:rFonts w:asciiTheme="minorHAnsi" w:hAnsiTheme="minorHAnsi" w:cstheme="minorHAnsi"/>
                <w:sz w:val="24"/>
                <w:szCs w:val="24"/>
                <w:lang w:val="sr-Latn-ME" w:eastAsia="ja-JP"/>
              </w:rPr>
              <w:t xml:space="preserve"> pr</w:t>
            </w:r>
            <w:r w:rsidR="002424DD">
              <w:rPr>
                <w:rFonts w:asciiTheme="minorHAnsi" w:hAnsiTheme="minorHAnsi" w:cstheme="minorHAnsi"/>
                <w:sz w:val="24"/>
                <w:szCs w:val="24"/>
                <w:lang w:val="sr-Latn-ME" w:eastAsia="ja-JP"/>
              </w:rPr>
              <w:t>istupačnosti</w:t>
            </w:r>
            <w:r w:rsidR="001A0AAA" w:rsidRPr="007A7D20">
              <w:rPr>
                <w:rFonts w:asciiTheme="minorHAnsi" w:hAnsiTheme="minorHAnsi" w:cstheme="minorHAnsi"/>
                <w:sz w:val="24"/>
                <w:szCs w:val="24"/>
                <w:lang w:val="sr-Latn-ME" w:eastAsia="ja-JP"/>
              </w:rPr>
              <w:t xml:space="preserve"> </w:t>
            </w:r>
            <w:r w:rsidR="002424DD">
              <w:rPr>
                <w:rFonts w:asciiTheme="minorHAnsi" w:hAnsiTheme="minorHAnsi" w:cstheme="minorHAnsi"/>
                <w:sz w:val="24"/>
                <w:szCs w:val="24"/>
                <w:lang w:val="sr-Latn-ME" w:eastAsia="ja-JP"/>
              </w:rPr>
              <w:t xml:space="preserve">objektima </w:t>
            </w:r>
            <w:r w:rsidR="001A0AAA" w:rsidRPr="007A7D20">
              <w:rPr>
                <w:rFonts w:asciiTheme="minorHAnsi" w:hAnsiTheme="minorHAnsi" w:cstheme="minorHAnsi"/>
                <w:sz w:val="24"/>
                <w:szCs w:val="24"/>
                <w:lang w:val="sr-Latn-ME" w:eastAsia="ja-JP"/>
              </w:rPr>
              <w:t>putem slike, organizacija likovnih sekcija i izložbi;</w:t>
            </w:r>
          </w:p>
          <w:p w:rsidR="001A0AAA" w:rsidRDefault="00441DB1" w:rsidP="001A0AAA">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p</w:t>
            </w:r>
            <w:r w:rsidR="001A0AAA" w:rsidRPr="007A7D20">
              <w:rPr>
                <w:rFonts w:asciiTheme="minorHAnsi" w:hAnsiTheme="minorHAnsi" w:cstheme="minorHAnsi"/>
                <w:sz w:val="24"/>
                <w:szCs w:val="24"/>
                <w:lang w:val="sr-Latn-ME" w:eastAsia="ja-JP"/>
              </w:rPr>
              <w:t>romocij</w:t>
            </w:r>
            <w:r>
              <w:rPr>
                <w:rFonts w:asciiTheme="minorHAnsi" w:hAnsiTheme="minorHAnsi" w:cstheme="minorHAnsi"/>
                <w:sz w:val="24"/>
                <w:szCs w:val="24"/>
                <w:lang w:val="sr-Latn-ME" w:eastAsia="ja-JP"/>
              </w:rPr>
              <w:t>u</w:t>
            </w:r>
            <w:r w:rsidR="001A0AAA" w:rsidRPr="007A7D20">
              <w:rPr>
                <w:rFonts w:asciiTheme="minorHAnsi" w:hAnsiTheme="minorHAnsi" w:cstheme="minorHAnsi"/>
                <w:sz w:val="24"/>
                <w:szCs w:val="24"/>
                <w:lang w:val="sr-Latn-ME" w:eastAsia="ja-JP"/>
              </w:rPr>
              <w:t xml:space="preserve"> snimanja kratkometražnih filmova na temu</w:t>
            </w:r>
            <w:r>
              <w:rPr>
                <w:rFonts w:asciiTheme="minorHAnsi" w:hAnsiTheme="minorHAnsi" w:cstheme="minorHAnsi"/>
                <w:sz w:val="24"/>
                <w:szCs w:val="24"/>
                <w:lang w:val="sr-Latn-ME" w:eastAsia="ja-JP"/>
              </w:rPr>
              <w:t xml:space="preserve"> pristupačnosti objekata u javnoj upotrebi</w:t>
            </w:r>
            <w:r w:rsidR="001A0AAA" w:rsidRPr="007A7D20">
              <w:rPr>
                <w:rFonts w:asciiTheme="minorHAnsi" w:hAnsiTheme="minorHAnsi" w:cstheme="minorHAnsi"/>
                <w:sz w:val="24"/>
                <w:szCs w:val="24"/>
                <w:lang w:val="sr-Latn-ME" w:eastAsia="ja-JP"/>
              </w:rPr>
              <w:t xml:space="preserve"> u trajanju od 5 minuta</w:t>
            </w:r>
            <w:r>
              <w:rPr>
                <w:rFonts w:asciiTheme="minorHAnsi" w:hAnsiTheme="minorHAnsi" w:cstheme="minorHAnsi"/>
                <w:sz w:val="24"/>
                <w:szCs w:val="24"/>
                <w:lang w:val="sr-Latn-ME" w:eastAsia="ja-JP"/>
              </w:rPr>
              <w:t>;</w:t>
            </w:r>
          </w:p>
          <w:p w:rsidR="00E31B3A" w:rsidRPr="00E31B3A" w:rsidRDefault="00E31B3A" w:rsidP="00E31B3A">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s</w:t>
            </w:r>
            <w:r w:rsidRPr="007A7D20">
              <w:rPr>
                <w:rFonts w:asciiTheme="minorHAnsi" w:hAnsiTheme="minorHAnsi" w:cstheme="minorHAnsi"/>
                <w:sz w:val="24"/>
                <w:szCs w:val="24"/>
                <w:lang w:val="sr-Latn-ME" w:eastAsia="ja-JP"/>
              </w:rPr>
              <w:t>pro</w:t>
            </w:r>
            <w:r>
              <w:rPr>
                <w:rFonts w:asciiTheme="minorHAnsi" w:hAnsiTheme="minorHAnsi" w:cstheme="minorHAnsi"/>
                <w:sz w:val="24"/>
                <w:szCs w:val="24"/>
                <w:lang w:val="sr-Latn-ME" w:eastAsia="ja-JP"/>
              </w:rPr>
              <w:t>vođenje</w:t>
            </w:r>
            <w:r w:rsidRPr="007A7D20">
              <w:rPr>
                <w:rFonts w:asciiTheme="minorHAnsi" w:hAnsiTheme="minorHAnsi" w:cstheme="minorHAnsi"/>
                <w:sz w:val="24"/>
                <w:szCs w:val="24"/>
                <w:lang w:val="sr-Latn-ME" w:eastAsia="ja-JP"/>
              </w:rPr>
              <w:t xml:space="preserve"> odgovarajuć</w:t>
            </w:r>
            <w:r>
              <w:rPr>
                <w:rFonts w:asciiTheme="minorHAnsi" w:hAnsiTheme="minorHAnsi" w:cstheme="minorHAnsi"/>
                <w:sz w:val="24"/>
                <w:szCs w:val="24"/>
                <w:lang w:val="sr-Latn-ME" w:eastAsia="ja-JP"/>
              </w:rPr>
              <w:t>e</w:t>
            </w:r>
            <w:r w:rsidRPr="007A7D20">
              <w:rPr>
                <w:rFonts w:asciiTheme="minorHAnsi" w:hAnsiTheme="minorHAnsi" w:cstheme="minorHAnsi"/>
                <w:sz w:val="24"/>
                <w:szCs w:val="24"/>
                <w:lang w:val="sr-Latn-ME" w:eastAsia="ja-JP"/>
              </w:rPr>
              <w:t xml:space="preserve"> medijsk</w:t>
            </w:r>
            <w:r>
              <w:rPr>
                <w:rFonts w:asciiTheme="minorHAnsi" w:hAnsiTheme="minorHAnsi" w:cstheme="minorHAnsi"/>
                <w:sz w:val="24"/>
                <w:szCs w:val="24"/>
                <w:lang w:val="sr-Latn-ME" w:eastAsia="ja-JP"/>
              </w:rPr>
              <w:t>e</w:t>
            </w:r>
            <w:r w:rsidRPr="007A7D20">
              <w:rPr>
                <w:rFonts w:asciiTheme="minorHAnsi" w:hAnsiTheme="minorHAnsi" w:cstheme="minorHAnsi"/>
                <w:sz w:val="24"/>
                <w:szCs w:val="24"/>
                <w:lang w:val="sr-Latn-ME" w:eastAsia="ja-JP"/>
              </w:rPr>
              <w:t xml:space="preserve"> kampanj</w:t>
            </w:r>
            <w:r>
              <w:rPr>
                <w:rFonts w:asciiTheme="minorHAnsi" w:hAnsiTheme="minorHAnsi" w:cstheme="minorHAnsi"/>
                <w:sz w:val="24"/>
                <w:szCs w:val="24"/>
                <w:lang w:val="sr-Latn-ME" w:eastAsia="ja-JP"/>
              </w:rPr>
              <w:t>e</w:t>
            </w:r>
            <w:r w:rsidRPr="007A7D20">
              <w:rPr>
                <w:rFonts w:asciiTheme="minorHAnsi" w:hAnsiTheme="minorHAnsi" w:cstheme="minorHAnsi"/>
                <w:sz w:val="24"/>
                <w:szCs w:val="24"/>
                <w:lang w:val="sr-Latn-ME" w:eastAsia="ja-JP"/>
              </w:rPr>
              <w:t xml:space="preserve"> usmjeren</w:t>
            </w:r>
            <w:r>
              <w:rPr>
                <w:rFonts w:asciiTheme="minorHAnsi" w:hAnsiTheme="minorHAnsi" w:cstheme="minorHAnsi"/>
                <w:sz w:val="24"/>
                <w:szCs w:val="24"/>
                <w:lang w:val="sr-Latn-ME" w:eastAsia="ja-JP"/>
              </w:rPr>
              <w:t>e</w:t>
            </w:r>
            <w:r w:rsidRPr="007A7D20">
              <w:rPr>
                <w:rFonts w:asciiTheme="minorHAnsi" w:hAnsiTheme="minorHAnsi" w:cstheme="minorHAnsi"/>
                <w:sz w:val="24"/>
                <w:szCs w:val="24"/>
                <w:lang w:val="sr-Latn-ME" w:eastAsia="ja-JP"/>
              </w:rPr>
              <w:t xml:space="preserve"> na popularizaciju pristupačnosti objektima svih učesnika </w:t>
            </w:r>
            <w:r>
              <w:rPr>
                <w:rFonts w:asciiTheme="minorHAnsi" w:hAnsiTheme="minorHAnsi" w:cstheme="minorHAnsi"/>
                <w:sz w:val="24"/>
                <w:szCs w:val="24"/>
                <w:lang w:val="sr-Latn-ME" w:eastAsia="ja-JP"/>
              </w:rPr>
              <w:t>k</w:t>
            </w:r>
            <w:r w:rsidRPr="007A7D20">
              <w:rPr>
                <w:rFonts w:asciiTheme="minorHAnsi" w:hAnsiTheme="minorHAnsi" w:cstheme="minorHAnsi"/>
                <w:sz w:val="24"/>
                <w:szCs w:val="24"/>
                <w:lang w:val="sr-Latn-ME" w:eastAsia="ja-JP"/>
              </w:rPr>
              <w:t>roz televizijske spotove edukativno plasirati sadržaje koji ukazuju na drastične primjere kršenja pravila pristupačnosti...(nepristupačni prilazi školama, domovima zdravlja, tržnim centrima</w:t>
            </w:r>
            <w:r>
              <w:rPr>
                <w:rFonts w:asciiTheme="minorHAnsi" w:hAnsiTheme="minorHAnsi" w:cstheme="minorHAnsi"/>
                <w:sz w:val="24"/>
                <w:szCs w:val="24"/>
                <w:lang w:val="sr-Latn-ME" w:eastAsia="ja-JP"/>
              </w:rPr>
              <w:t>, plažama</w:t>
            </w:r>
            <w:r w:rsidRPr="007A7D20">
              <w:rPr>
                <w:rFonts w:asciiTheme="minorHAnsi" w:hAnsiTheme="minorHAnsi" w:cstheme="minorHAnsi"/>
                <w:sz w:val="24"/>
                <w:szCs w:val="24"/>
                <w:lang w:val="sr-Latn-ME" w:eastAsia="ja-JP"/>
              </w:rPr>
              <w:t>..)  i posledice izazvane takvim pona</w:t>
            </w:r>
            <w:r>
              <w:rPr>
                <w:rFonts w:asciiTheme="minorHAnsi" w:hAnsiTheme="minorHAnsi" w:cstheme="minorHAnsi"/>
                <w:sz w:val="24"/>
                <w:szCs w:val="24"/>
                <w:lang w:val="sr-Latn-ME" w:eastAsia="ja-JP"/>
              </w:rPr>
              <w:t>š</w:t>
            </w:r>
            <w:r w:rsidRPr="007A7D20">
              <w:rPr>
                <w:rFonts w:asciiTheme="minorHAnsi" w:hAnsiTheme="minorHAnsi" w:cstheme="minorHAnsi"/>
                <w:sz w:val="24"/>
                <w:szCs w:val="24"/>
                <w:lang w:val="sr-Latn-ME" w:eastAsia="ja-JP"/>
              </w:rPr>
              <w:t>anjem učesnika</w:t>
            </w:r>
            <w:r>
              <w:rPr>
                <w:rFonts w:asciiTheme="minorHAnsi" w:hAnsiTheme="minorHAnsi" w:cstheme="minorHAnsi"/>
                <w:sz w:val="24"/>
                <w:szCs w:val="24"/>
                <w:lang w:val="sr-Latn-ME" w:eastAsia="ja-JP"/>
              </w:rPr>
              <w:t>;</w:t>
            </w:r>
          </w:p>
          <w:p w:rsidR="001A0AAA" w:rsidRPr="00F22C8C" w:rsidRDefault="00441DB1" w:rsidP="00F22C8C">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u</w:t>
            </w:r>
            <w:r w:rsidR="001A0AAA" w:rsidRPr="007A7D20">
              <w:rPr>
                <w:rFonts w:asciiTheme="minorHAnsi" w:hAnsiTheme="minorHAnsi" w:cstheme="minorHAnsi"/>
                <w:sz w:val="24"/>
                <w:szCs w:val="24"/>
                <w:lang w:val="sr-Latn-ME" w:eastAsia="ja-JP"/>
              </w:rPr>
              <w:t>ključivanje savremene tehnologije u izradi nekog idejnog rješenja na primjer:</w:t>
            </w:r>
            <w:r w:rsidR="00F22C8C">
              <w:rPr>
                <w:rFonts w:asciiTheme="minorHAnsi" w:hAnsiTheme="minorHAnsi" w:cstheme="minorHAnsi"/>
                <w:sz w:val="24"/>
                <w:szCs w:val="24"/>
                <w:lang w:val="sr-Latn-ME" w:eastAsia="ja-JP"/>
              </w:rPr>
              <w:t xml:space="preserve"> primjena VI AR ( virtuelna stvarnost) tehnologije ili</w:t>
            </w:r>
            <w:r w:rsidR="001A0AAA" w:rsidRPr="007A7D20">
              <w:rPr>
                <w:rFonts w:asciiTheme="minorHAnsi" w:hAnsiTheme="minorHAnsi" w:cstheme="minorHAnsi"/>
                <w:sz w:val="24"/>
                <w:szCs w:val="24"/>
                <w:lang w:val="sr-Latn-ME" w:eastAsia="ja-JP"/>
              </w:rPr>
              <w:t xml:space="preserve"> aplikacija za promociju pristupačnosti objektima u javnoj upotrebi</w:t>
            </w:r>
            <w:r w:rsidR="00F22C8C">
              <w:rPr>
                <w:rFonts w:asciiTheme="minorHAnsi" w:hAnsiTheme="minorHAnsi" w:cstheme="minorHAnsi"/>
                <w:sz w:val="24"/>
                <w:szCs w:val="24"/>
                <w:lang w:val="sr-Latn-ME" w:eastAsia="ja-JP"/>
              </w:rPr>
              <w:t>;</w:t>
            </w:r>
          </w:p>
          <w:p w:rsidR="00A14972" w:rsidRPr="00C033C7" w:rsidRDefault="00A14972" w:rsidP="00C033C7">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w:t>
            </w:r>
            <w:r w:rsidRPr="007A7D20">
              <w:rPr>
                <w:rFonts w:asciiTheme="minorHAnsi" w:hAnsiTheme="minorHAnsi" w:cstheme="minorHAnsi"/>
                <w:sz w:val="24"/>
                <w:szCs w:val="24"/>
                <w:lang w:val="sr-Latn-ME" w:eastAsia="ja-JP"/>
              </w:rPr>
              <w:t>zrad</w:t>
            </w:r>
            <w:r>
              <w:rPr>
                <w:rFonts w:asciiTheme="minorHAnsi" w:hAnsiTheme="minorHAnsi" w:cstheme="minorHAnsi"/>
                <w:sz w:val="24"/>
                <w:szCs w:val="24"/>
                <w:lang w:val="sr-Latn-ME" w:eastAsia="ja-JP"/>
              </w:rPr>
              <w:t>u</w:t>
            </w:r>
            <w:r w:rsidRPr="007A7D20">
              <w:rPr>
                <w:rFonts w:asciiTheme="minorHAnsi" w:hAnsiTheme="minorHAnsi" w:cstheme="minorHAnsi"/>
                <w:sz w:val="24"/>
                <w:szCs w:val="24"/>
                <w:lang w:val="sr-Latn-ME" w:eastAsia="ja-JP"/>
              </w:rPr>
              <w:t xml:space="preserve"> portala, publikacija koja predstavlja vrstu vodiča za građane u kojem oni mogu pronaći veliki broj korisnih informacija vezano za pristupačnost objektima u javnoj upotrebi, koje će im pomagati u svakodnevnom životu ( odlazak  u domove zdravlja, bolnice , škole, objekte k</w:t>
            </w:r>
            <w:r>
              <w:rPr>
                <w:rFonts w:asciiTheme="minorHAnsi" w:hAnsiTheme="minorHAnsi" w:cstheme="minorHAnsi"/>
                <w:sz w:val="24"/>
                <w:szCs w:val="24"/>
                <w:lang w:val="sr-Latn-ME" w:eastAsia="ja-JP"/>
              </w:rPr>
              <w:t>u</w:t>
            </w:r>
            <w:r w:rsidRPr="007A7D20">
              <w:rPr>
                <w:rFonts w:asciiTheme="minorHAnsi" w:hAnsiTheme="minorHAnsi" w:cstheme="minorHAnsi"/>
                <w:sz w:val="24"/>
                <w:szCs w:val="24"/>
                <w:lang w:val="sr-Latn-ME" w:eastAsia="ja-JP"/>
              </w:rPr>
              <w:t>lture , pozorišta , bioskope , biblioteke,  pijace, plaže, parkove...)</w:t>
            </w:r>
          </w:p>
        </w:tc>
      </w:tr>
      <w:bookmarkEnd w:id="1"/>
      <w:tr w:rsidR="00063D42" w:rsidTr="009B252D">
        <w:tc>
          <w:tcPr>
            <w:tcW w:w="146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63D42" w:rsidRDefault="00063D42">
            <w:pPr>
              <w:rPr>
                <w:rFonts w:asciiTheme="minorHAnsi" w:hAnsiTheme="minorHAnsi"/>
                <w:sz w:val="24"/>
                <w:szCs w:val="24"/>
                <w:lang w:val="sr-Latn-ME" w:eastAsia="ja-JP"/>
              </w:rPr>
            </w:pPr>
          </w:p>
        </w:tc>
      </w:tr>
      <w:tr w:rsidR="00063D42" w:rsidTr="009B252D">
        <w:tc>
          <w:tcPr>
            <w:tcW w:w="6884" w:type="dxa"/>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Podaci (analize, studije, statistički izvještaji, itd.) koji pojašnjavaju navedeni problem</w:t>
            </w:r>
          </w:p>
        </w:tc>
        <w:tc>
          <w:tcPr>
            <w:tcW w:w="7770" w:type="dxa"/>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Izvor(i) podataka</w:t>
            </w:r>
          </w:p>
        </w:tc>
      </w:tr>
      <w:tr w:rsidR="00063D42" w:rsidTr="009B252D">
        <w:tc>
          <w:tcPr>
            <w:tcW w:w="68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67199" w:rsidRDefault="000046E3" w:rsidP="00CE550D">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t>Preporuke Komiteta UN  o pravima lica sa invaliditetom</w:t>
            </w:r>
            <w:r w:rsidR="00C67199" w:rsidRPr="00CE550D">
              <w:rPr>
                <w:rFonts w:asciiTheme="minorHAnsi" w:hAnsiTheme="minorHAnsi"/>
                <w:sz w:val="24"/>
                <w:lang w:val="sr-Latn-ME" w:eastAsia="ja-JP"/>
              </w:rPr>
              <w:t xml:space="preserve"> ( CRPD/C/MNE/CO/1) </w:t>
            </w:r>
          </w:p>
          <w:p w:rsidR="00CE550D" w:rsidRDefault="00CE550D" w:rsidP="00CE550D">
            <w:pPr>
              <w:ind w:left="366"/>
              <w:contextualSpacing/>
              <w:jc w:val="both"/>
              <w:rPr>
                <w:rFonts w:asciiTheme="minorHAnsi" w:hAnsiTheme="minorHAnsi"/>
                <w:sz w:val="24"/>
                <w:lang w:val="sr-Latn-ME" w:eastAsia="ja-JP"/>
              </w:rPr>
            </w:pPr>
          </w:p>
          <w:p w:rsidR="00CE550D" w:rsidRDefault="00CE550D" w:rsidP="00CE550D">
            <w:pPr>
              <w:ind w:left="366"/>
              <w:contextualSpacing/>
              <w:jc w:val="both"/>
              <w:rPr>
                <w:rFonts w:asciiTheme="minorHAnsi" w:hAnsiTheme="minorHAnsi"/>
                <w:sz w:val="24"/>
                <w:lang w:val="sr-Latn-ME" w:eastAsia="ja-JP"/>
              </w:rPr>
            </w:pPr>
          </w:p>
          <w:p w:rsidR="00CE550D" w:rsidRDefault="00CE550D" w:rsidP="00CE550D">
            <w:pPr>
              <w:ind w:left="366"/>
              <w:contextualSpacing/>
              <w:jc w:val="both"/>
              <w:rPr>
                <w:rFonts w:asciiTheme="minorHAnsi" w:hAnsiTheme="minorHAnsi"/>
                <w:sz w:val="24"/>
                <w:lang w:val="sr-Latn-ME" w:eastAsia="ja-JP"/>
              </w:rPr>
            </w:pPr>
          </w:p>
          <w:p w:rsidR="00C033C7" w:rsidRPr="00CE550D" w:rsidRDefault="00C033C7" w:rsidP="00CE550D">
            <w:pPr>
              <w:ind w:left="366"/>
              <w:contextualSpacing/>
              <w:jc w:val="both"/>
              <w:rPr>
                <w:rFonts w:asciiTheme="minorHAnsi" w:hAnsiTheme="minorHAnsi"/>
                <w:sz w:val="24"/>
                <w:lang w:val="sr-Latn-ME" w:eastAsia="ja-JP"/>
              </w:rPr>
            </w:pPr>
          </w:p>
          <w:p w:rsidR="00D2439A" w:rsidRPr="00CE550D" w:rsidRDefault="00C67199" w:rsidP="00CE550D">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t>Izvještaj o implementaciji AP za sprovodjenje Strategije za zaštitu lica sa invaliditetom i promociju jednakosti 2017-2021 za 2021 godinu</w:t>
            </w:r>
          </w:p>
          <w:p w:rsidR="00CE550D" w:rsidRPr="00CE550D" w:rsidRDefault="00CE550D" w:rsidP="00C033C7">
            <w:pPr>
              <w:contextualSpacing/>
              <w:jc w:val="both"/>
              <w:rPr>
                <w:rFonts w:asciiTheme="minorHAnsi" w:hAnsiTheme="minorHAnsi"/>
                <w:sz w:val="24"/>
                <w:lang w:val="sr-Latn-ME" w:eastAsia="ja-JP"/>
              </w:rPr>
            </w:pPr>
          </w:p>
          <w:p w:rsidR="00D2439A" w:rsidRPr="00CE550D" w:rsidRDefault="00D2439A" w:rsidP="00CE550D">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lastRenderedPageBreak/>
              <w:t xml:space="preserve">Strategije za zaštitu lica sa invaliditetom i promociju jednakosti 2022-2027 </w:t>
            </w:r>
          </w:p>
          <w:p w:rsidR="000046E3" w:rsidRPr="00CE550D" w:rsidRDefault="000046E3" w:rsidP="00CE550D">
            <w:pPr>
              <w:ind w:left="148"/>
              <w:contextualSpacing/>
              <w:jc w:val="both"/>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szCs w:val="22"/>
                <w:lang w:val="sr-Latn-ME" w:eastAsia="ja-JP"/>
              </w:rPr>
            </w:pPr>
            <w:r>
              <w:rPr>
                <w:rFonts w:asciiTheme="minorHAnsi" w:hAnsiTheme="minorHAnsi"/>
                <w:sz w:val="24"/>
                <w:lang w:val="sr-Latn-ME" w:eastAsia="ja-JP"/>
              </w:rPr>
              <w:t>Analiza objekata organa državne uprave sa aspekta pristupačnosti  licima smanjene pokretljivosti i licima sa invaliditetom;</w:t>
            </w:r>
          </w:p>
          <w:p w:rsidR="00063D42" w:rsidRDefault="00063D42">
            <w:pPr>
              <w:jc w:val="both"/>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Akcioni plan prilagođavanja objekata u javnoj upotrebi za pristup, kretanje i upotrebu licima sa invaliditetom i licima smanjene pokretljivosti 2019-2020;</w:t>
            </w:r>
          </w:p>
          <w:p w:rsidR="00063D42" w:rsidRDefault="00063D42">
            <w:pPr>
              <w:ind w:left="366" w:hanging="218"/>
              <w:contextualSpacing/>
              <w:jc w:val="both"/>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Analiza monitoringa o pristupačnosti srednjih škola  na području Podgorice, Nikšića, Bijelog Polja, Bara, Berana i Budve-Udruženje mladih sa hendikepom Crne Gore;</w:t>
            </w:r>
          </w:p>
          <w:p w:rsidR="00063D42" w:rsidRDefault="00063D42">
            <w:pPr>
              <w:ind w:left="366" w:hanging="218"/>
              <w:contextualSpacing/>
              <w:jc w:val="both"/>
              <w:rPr>
                <w:rFonts w:asciiTheme="minorHAnsi" w:hAnsiTheme="minorHAnsi"/>
                <w:sz w:val="24"/>
                <w:lang w:val="sr-Latn-ME" w:eastAsia="ja-JP"/>
              </w:rPr>
            </w:pPr>
          </w:p>
          <w:p w:rsidR="00063D42" w:rsidRDefault="00063D42" w:rsidP="00195363">
            <w:pPr>
              <w:numPr>
                <w:ilvl w:val="0"/>
                <w:numId w:val="16"/>
              </w:numPr>
              <w:shd w:val="clear" w:color="auto" w:fill="FFFFFF" w:themeFill="background1"/>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 xml:space="preserve">CRNA GORA ZAŠTITNIK LJUDSKIH PRAVA I SLOBODA- Izvještaj o radu </w:t>
            </w:r>
          </w:p>
          <w:p w:rsidR="00063D42" w:rsidRDefault="00063D42">
            <w:pPr>
              <w:ind w:left="366" w:hanging="218"/>
              <w:contextualSpacing/>
              <w:jc w:val="both"/>
              <w:rPr>
                <w:rFonts w:asciiTheme="minorHAnsi" w:hAnsiTheme="minorHAnsi"/>
                <w:sz w:val="24"/>
                <w:lang w:val="sr-Latn-ME" w:eastAsia="ja-JP"/>
              </w:rPr>
            </w:pPr>
          </w:p>
          <w:p w:rsidR="00063D42" w:rsidRDefault="00063D42" w:rsidP="00195363">
            <w:pPr>
              <w:numPr>
                <w:ilvl w:val="0"/>
                <w:numId w:val="16"/>
              </w:numPr>
              <w:shd w:val="clear" w:color="auto" w:fill="FFFFFF" w:themeFill="background1"/>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Analiza pristupačnosti javnih objekata i površina u prijestonici Cetinje osobama sa invaliditetom;</w:t>
            </w:r>
          </w:p>
          <w:p w:rsidR="00063D42" w:rsidRDefault="00063D42">
            <w:pPr>
              <w:ind w:left="366" w:hanging="218"/>
              <w:contextualSpacing/>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Analiza pristupačnosti objekata u javnoj upotrebi na lokalnom nivou: Andrijevica, Bar , Berane, Bijelo Polje, Budva, Cetinje, Danilovgrad, Gusinje, Herceg Novi, Kolašin, Mojkovac, Nikšić, Petnjica, Plav, Plužine, Pljevlja, Podgorica, Rožaje, Šavnik, Tivat i Žabljak</w:t>
            </w:r>
          </w:p>
        </w:tc>
        <w:tc>
          <w:tcPr>
            <w:tcW w:w="77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67199" w:rsidRPr="00C033C7" w:rsidRDefault="00C67199">
            <w:pPr>
              <w:rPr>
                <w:rStyle w:val="Hyperlink"/>
                <w:sz w:val="24"/>
                <w:lang w:val="sr-Latn-ME" w:eastAsia="ja-JP"/>
              </w:rPr>
            </w:pPr>
            <w:r w:rsidRPr="00C033C7">
              <w:rPr>
                <w:rStyle w:val="Hyperlink"/>
                <w:sz w:val="24"/>
                <w:lang w:val="sr-Latn-ME" w:eastAsia="ja-JP"/>
              </w:rPr>
              <w:lastRenderedPageBreak/>
              <w:t xml:space="preserve">CRPD/C/MNE/CO/1 od 20 </w:t>
            </w:r>
            <w:proofErr w:type="spellStart"/>
            <w:r w:rsidRPr="00C033C7">
              <w:rPr>
                <w:rStyle w:val="Hyperlink"/>
                <w:sz w:val="24"/>
                <w:lang w:val="sr-Latn-ME" w:eastAsia="ja-JP"/>
              </w:rPr>
              <w:t>avgusta</w:t>
            </w:r>
            <w:proofErr w:type="spellEnd"/>
            <w:r w:rsidRPr="00C033C7">
              <w:rPr>
                <w:rStyle w:val="Hyperlink"/>
                <w:sz w:val="24"/>
                <w:lang w:val="sr-Latn-ME" w:eastAsia="ja-JP"/>
              </w:rPr>
              <w:t xml:space="preserve"> 2017</w:t>
            </w:r>
          </w:p>
          <w:p w:rsidR="00C67199" w:rsidRPr="00C033C7" w:rsidRDefault="00C67199">
            <w:pPr>
              <w:rPr>
                <w:rStyle w:val="Hyperlink"/>
                <w:sz w:val="24"/>
                <w:lang w:val="sr-Latn-ME" w:eastAsia="ja-JP"/>
              </w:rPr>
            </w:pPr>
          </w:p>
          <w:p w:rsidR="00063D42" w:rsidRPr="00C033C7" w:rsidRDefault="006A02EE">
            <w:pPr>
              <w:rPr>
                <w:rStyle w:val="Hyperlink"/>
                <w:sz w:val="24"/>
                <w:lang w:val="sr-Latn-ME" w:eastAsia="ja-JP"/>
              </w:rPr>
            </w:pPr>
            <w:hyperlink r:id="rId20" w:history="1">
              <w:r w:rsidR="00C67199" w:rsidRPr="00A132F2">
                <w:rPr>
                  <w:rStyle w:val="Hyperlink"/>
                  <w:sz w:val="24"/>
                  <w:lang w:val="sr-Latn-ME" w:eastAsia="ja-JP"/>
                </w:rPr>
                <w:t>http://www.mrt.gov.me/rubrike/pristupacnost/173092/Analiza-objekata-organa-drzavne-uprave-sa-aspekta-pristupacnosti-licima-smanjene-poretljivosti-i-licima-sa-invaliditetom.html</w:t>
              </w:r>
            </w:hyperlink>
          </w:p>
          <w:p w:rsidR="00C67199" w:rsidRPr="00C033C7" w:rsidRDefault="00C67199">
            <w:pPr>
              <w:rPr>
                <w:rStyle w:val="Hyperlink"/>
                <w:sz w:val="24"/>
                <w:lang w:val="sr-Latn-ME" w:eastAsia="ja-JP"/>
              </w:rPr>
            </w:pPr>
          </w:p>
          <w:p w:rsidR="00C67199" w:rsidRPr="00C033C7" w:rsidRDefault="006A02EE">
            <w:pPr>
              <w:rPr>
                <w:rStyle w:val="Hyperlink"/>
                <w:sz w:val="24"/>
                <w:lang w:val="sr-Latn-ME" w:eastAsia="ja-JP"/>
              </w:rPr>
            </w:pPr>
            <w:hyperlink r:id="rId21" w:history="1">
              <w:r w:rsidR="00C67199" w:rsidRPr="00C033C7">
                <w:rPr>
                  <w:rStyle w:val="Hyperlink"/>
                  <w:sz w:val="24"/>
                  <w:lang w:val="sr-Latn-ME" w:eastAsia="ja-JP"/>
                </w:rPr>
                <w:t>http://www.gov.me-članak-zaključna</w:t>
              </w:r>
            </w:hyperlink>
            <w:r w:rsidR="00C67199" w:rsidRPr="00C033C7">
              <w:rPr>
                <w:rStyle w:val="Hyperlink"/>
                <w:sz w:val="24"/>
                <w:lang w:val="sr-Latn-ME" w:eastAsia="ja-JP"/>
              </w:rPr>
              <w:t xml:space="preserve"> -</w:t>
            </w:r>
            <w:proofErr w:type="spellStart"/>
            <w:r w:rsidR="00C67199" w:rsidRPr="00C033C7">
              <w:rPr>
                <w:rStyle w:val="Hyperlink"/>
                <w:sz w:val="24"/>
                <w:lang w:val="sr-Latn-ME" w:eastAsia="ja-JP"/>
              </w:rPr>
              <w:t>zapazanja</w:t>
            </w:r>
            <w:proofErr w:type="spellEnd"/>
            <w:r w:rsidR="00C67199" w:rsidRPr="00C033C7">
              <w:rPr>
                <w:rStyle w:val="Hyperlink"/>
                <w:sz w:val="24"/>
                <w:lang w:val="sr-Latn-ME" w:eastAsia="ja-JP"/>
              </w:rPr>
              <w:t>-</w:t>
            </w:r>
            <w:proofErr w:type="spellStart"/>
            <w:r w:rsidR="00C67199" w:rsidRPr="00C033C7">
              <w:rPr>
                <w:rStyle w:val="Hyperlink"/>
                <w:sz w:val="24"/>
                <w:lang w:val="sr-Latn-ME" w:eastAsia="ja-JP"/>
              </w:rPr>
              <w:t>komiteta</w:t>
            </w:r>
            <w:proofErr w:type="spellEnd"/>
            <w:r w:rsidR="00C67199" w:rsidRPr="00C033C7">
              <w:rPr>
                <w:rStyle w:val="Hyperlink"/>
                <w:sz w:val="24"/>
                <w:lang w:val="sr-Latn-ME" w:eastAsia="ja-JP"/>
              </w:rPr>
              <w:t>-za-</w:t>
            </w:r>
            <w:proofErr w:type="spellStart"/>
            <w:r w:rsidR="00C67199" w:rsidRPr="00C033C7">
              <w:rPr>
                <w:rStyle w:val="Hyperlink"/>
                <w:sz w:val="24"/>
                <w:lang w:val="sr-Latn-ME" w:eastAsia="ja-JP"/>
              </w:rPr>
              <w:t>prava</w:t>
            </w:r>
            <w:proofErr w:type="spellEnd"/>
            <w:r w:rsidR="00C67199" w:rsidRPr="00C033C7">
              <w:rPr>
                <w:rStyle w:val="Hyperlink"/>
                <w:sz w:val="24"/>
                <w:lang w:val="sr-Latn-ME" w:eastAsia="ja-JP"/>
              </w:rPr>
              <w:t>-</w:t>
            </w:r>
            <w:proofErr w:type="spellStart"/>
            <w:r w:rsidR="00C67199" w:rsidRPr="00C033C7">
              <w:rPr>
                <w:rStyle w:val="Hyperlink"/>
                <w:sz w:val="24"/>
                <w:lang w:val="sr-Latn-ME" w:eastAsia="ja-JP"/>
              </w:rPr>
              <w:t>osoba</w:t>
            </w:r>
            <w:proofErr w:type="spellEnd"/>
            <w:r w:rsidR="00C67199" w:rsidRPr="00C033C7">
              <w:rPr>
                <w:rStyle w:val="Hyperlink"/>
                <w:sz w:val="24"/>
                <w:lang w:val="sr-Latn-ME" w:eastAsia="ja-JP"/>
              </w:rPr>
              <w:t xml:space="preserve">-sa </w:t>
            </w:r>
            <w:proofErr w:type="spellStart"/>
            <w:r w:rsidR="00C67199" w:rsidRPr="00C033C7">
              <w:rPr>
                <w:rStyle w:val="Hyperlink"/>
                <w:sz w:val="24"/>
                <w:lang w:val="sr-Latn-ME" w:eastAsia="ja-JP"/>
              </w:rPr>
              <w:t>invaliditetom</w:t>
            </w:r>
            <w:proofErr w:type="spellEnd"/>
            <w:r w:rsidR="00C67199" w:rsidRPr="00C033C7">
              <w:rPr>
                <w:rStyle w:val="Hyperlink"/>
                <w:sz w:val="24"/>
                <w:lang w:val="sr-Latn-ME" w:eastAsia="ja-JP"/>
              </w:rPr>
              <w:t>-o -</w:t>
            </w:r>
            <w:proofErr w:type="spellStart"/>
            <w:r w:rsidR="00C67199" w:rsidRPr="00C033C7">
              <w:rPr>
                <w:rStyle w:val="Hyperlink"/>
                <w:sz w:val="24"/>
                <w:lang w:val="sr-Latn-ME" w:eastAsia="ja-JP"/>
              </w:rPr>
              <w:t>izvještaju</w:t>
            </w:r>
            <w:proofErr w:type="spellEnd"/>
            <w:r w:rsidR="00C67199" w:rsidRPr="00C033C7">
              <w:rPr>
                <w:rStyle w:val="Hyperlink"/>
                <w:sz w:val="24"/>
                <w:lang w:val="sr-Latn-ME" w:eastAsia="ja-JP"/>
              </w:rPr>
              <w:t xml:space="preserve"> Crne Gore-2017</w:t>
            </w:r>
          </w:p>
          <w:p w:rsidR="00C67199" w:rsidRPr="00C033C7" w:rsidRDefault="00C67199">
            <w:pPr>
              <w:rPr>
                <w:rStyle w:val="Hyperlink"/>
                <w:sz w:val="24"/>
                <w:lang w:val="sr-Latn-ME" w:eastAsia="ja-JP"/>
              </w:rPr>
            </w:pPr>
          </w:p>
          <w:p w:rsidR="00D2439A" w:rsidRPr="00C033C7" w:rsidRDefault="00D2439A">
            <w:pPr>
              <w:rPr>
                <w:rStyle w:val="Hyperlink"/>
                <w:sz w:val="24"/>
                <w:lang w:val="sr-Latn-ME" w:eastAsia="ja-JP"/>
              </w:rPr>
            </w:pPr>
          </w:p>
          <w:p w:rsidR="00D2439A" w:rsidRPr="00C033C7" w:rsidRDefault="006A02EE">
            <w:pPr>
              <w:rPr>
                <w:rStyle w:val="Hyperlink"/>
                <w:sz w:val="24"/>
                <w:lang w:val="sr-Latn-ME" w:eastAsia="ja-JP"/>
              </w:rPr>
            </w:pPr>
            <w:hyperlink r:id="rId22" w:history="1">
              <w:r w:rsidR="00D2439A" w:rsidRPr="00C033C7">
                <w:rPr>
                  <w:rStyle w:val="Hyperlink"/>
                  <w:sz w:val="24"/>
                  <w:lang w:val="sr-Latn-ME" w:eastAsia="ja-JP"/>
                </w:rPr>
                <w:t>http://www.gov.me-dokumenta/</w:t>
              </w:r>
            </w:hyperlink>
            <w:r w:rsidR="00D2439A" w:rsidRPr="00C033C7">
              <w:rPr>
                <w:rStyle w:val="Hyperlink"/>
                <w:sz w:val="24"/>
                <w:lang w:val="sr-Latn-ME" w:eastAsia="ja-JP"/>
              </w:rPr>
              <w:t xml:space="preserve"> 22924add-ebf3-4a86-9032-9b6b66071367</w:t>
            </w:r>
          </w:p>
          <w:p w:rsidR="00D2439A" w:rsidRPr="00C033C7" w:rsidRDefault="00D2439A">
            <w:pPr>
              <w:rPr>
                <w:rStyle w:val="Hyperlink"/>
                <w:sz w:val="24"/>
                <w:lang w:val="sr-Latn-ME" w:eastAsia="ja-JP"/>
              </w:rPr>
            </w:pPr>
          </w:p>
          <w:p w:rsidR="00D2439A" w:rsidRPr="00C033C7" w:rsidRDefault="00D2439A">
            <w:pPr>
              <w:rPr>
                <w:rStyle w:val="Hyperlink"/>
                <w:sz w:val="24"/>
                <w:lang w:val="sr-Latn-ME" w:eastAsia="ja-JP"/>
              </w:rPr>
            </w:pPr>
          </w:p>
          <w:p w:rsidR="00063D42" w:rsidRPr="00C033C7" w:rsidRDefault="006A02EE">
            <w:pPr>
              <w:rPr>
                <w:rStyle w:val="Hyperlink"/>
              </w:rPr>
            </w:pPr>
            <w:hyperlink r:id="rId23" w:history="1">
              <w:r w:rsidR="00C67199" w:rsidRPr="00A132F2">
                <w:rPr>
                  <w:rStyle w:val="Hyperlink"/>
                  <w:sz w:val="24"/>
                  <w:lang w:val="sr-Latn-ME" w:eastAsia="ja-JP"/>
                </w:rPr>
                <w:t>http://www.mrt.gov.me/rubrike/pristupacnost/pristupacnost-strategijski_okvir</w:t>
              </w:r>
            </w:hyperlink>
          </w:p>
          <w:p w:rsidR="00063D42" w:rsidRDefault="00063D42">
            <w:pPr>
              <w:rPr>
                <w:rFonts w:asciiTheme="minorHAnsi" w:hAnsiTheme="minorHAnsi"/>
                <w:sz w:val="24"/>
                <w:lang w:val="sr-Latn-ME" w:eastAsia="ja-JP"/>
              </w:rPr>
            </w:pPr>
          </w:p>
          <w:p w:rsidR="00187621" w:rsidRDefault="00187621"/>
          <w:p w:rsidR="00063D42" w:rsidRDefault="006A02EE">
            <w:pPr>
              <w:rPr>
                <w:rFonts w:asciiTheme="minorHAnsi" w:hAnsiTheme="minorHAnsi"/>
                <w:color w:val="0000FF"/>
                <w:sz w:val="24"/>
                <w:u w:val="single"/>
                <w:lang w:val="sr-Latn-ME" w:eastAsia="ja-JP"/>
              </w:rPr>
            </w:pPr>
            <w:hyperlink r:id="rId24" w:history="1">
              <w:r w:rsidR="00063D42">
                <w:rPr>
                  <w:rStyle w:val="Hyperlink"/>
                  <w:rFonts w:asciiTheme="minorHAnsi" w:hAnsiTheme="minorHAnsi"/>
                  <w:color w:val="0000FF"/>
                  <w:sz w:val="24"/>
                  <w:lang w:val="sr-Latn-ME" w:eastAsia="ja-JP"/>
                </w:rPr>
                <w:t>http://www.mrt.gov.me/rubrike/pristupacnost/pristupacnost-zakonodavni_okvir</w:t>
              </w:r>
            </w:hyperlink>
          </w:p>
          <w:p w:rsidR="00063D42" w:rsidRDefault="00063D42">
            <w:pPr>
              <w:rPr>
                <w:rFonts w:asciiTheme="minorHAnsi" w:hAnsiTheme="minorHAnsi"/>
                <w:color w:val="0000FF"/>
                <w:sz w:val="24"/>
                <w:u w:val="single"/>
                <w:lang w:val="sr-Latn-ME" w:eastAsia="ja-JP"/>
              </w:rPr>
            </w:pPr>
          </w:p>
          <w:p w:rsidR="00063D42" w:rsidRDefault="006A02EE">
            <w:pPr>
              <w:rPr>
                <w:rFonts w:asciiTheme="minorHAnsi" w:hAnsiTheme="minorHAnsi"/>
                <w:color w:val="0000FF"/>
                <w:sz w:val="24"/>
                <w:u w:val="single"/>
                <w:lang w:val="sr-Latn-ME" w:eastAsia="ja-JP"/>
              </w:rPr>
            </w:pPr>
            <w:hyperlink r:id="rId25" w:tgtFrame="_blank" w:history="1">
              <w:r w:rsidR="00063D42">
                <w:rPr>
                  <w:rStyle w:val="Hyperlink"/>
                  <w:rFonts w:asciiTheme="minorHAnsi" w:hAnsiTheme="minorHAnsi"/>
                  <w:color w:val="0000FF"/>
                  <w:sz w:val="24"/>
                  <w:lang w:val="sr-Latn-ME" w:eastAsia="ja-JP"/>
                </w:rPr>
                <w:t>http://umhcg.com/wp-content/uploads/2020/01/11-VI-19-Analiza-pristupa%C4%8Dnosti-srednjih-%C5%A1kola-u-%C5%A1est-crnogorskih-gradova-UMHCG.pdf</w:t>
              </w:r>
            </w:hyperlink>
            <w:r w:rsidR="00063D42">
              <w:rPr>
                <w:rFonts w:asciiTheme="minorHAnsi" w:hAnsiTheme="minorHAnsi"/>
                <w:color w:val="0000FF"/>
                <w:sz w:val="24"/>
                <w:u w:val="single"/>
                <w:lang w:val="sr-Latn-ME" w:eastAsia="ja-JP"/>
              </w:rPr>
              <w:t xml:space="preserve"> </w:t>
            </w:r>
          </w:p>
          <w:p w:rsidR="00063D42" w:rsidRDefault="00063D42">
            <w:pPr>
              <w:rPr>
                <w:rFonts w:asciiTheme="minorHAnsi" w:hAnsiTheme="minorHAnsi"/>
                <w:color w:val="0000FF"/>
                <w:sz w:val="24"/>
                <w:u w:val="single"/>
                <w:lang w:val="sr-Latn-ME" w:eastAsia="ja-JP"/>
              </w:rPr>
            </w:pPr>
          </w:p>
          <w:p w:rsidR="00063D42" w:rsidRDefault="006A02EE">
            <w:pPr>
              <w:rPr>
                <w:rFonts w:asciiTheme="minorHAnsi" w:hAnsiTheme="minorHAnsi"/>
                <w:color w:val="0000FF"/>
                <w:sz w:val="24"/>
                <w:szCs w:val="24"/>
                <w:u w:val="single"/>
                <w:lang w:val="sr-Latn-ME" w:eastAsia="ja-JP"/>
              </w:rPr>
            </w:pPr>
            <w:hyperlink r:id="rId26" w:history="1">
              <w:r w:rsidR="00063D42">
                <w:rPr>
                  <w:rStyle w:val="Hyperlink"/>
                  <w:rFonts w:asciiTheme="minorHAnsi" w:hAnsiTheme="minorHAnsi"/>
                  <w:color w:val="0000FF"/>
                  <w:sz w:val="24"/>
                  <w:szCs w:val="24"/>
                  <w:lang w:val="sr-Latn-ME" w:eastAsia="ja-JP"/>
                </w:rPr>
                <w:t>https://www.ombudsman.co.me/docs/1619074992_izvjestaj_ 01042021.pdf</w:t>
              </w:r>
            </w:hyperlink>
          </w:p>
          <w:p w:rsidR="00063D42" w:rsidRDefault="00063D42">
            <w:pPr>
              <w:rPr>
                <w:rFonts w:asciiTheme="minorHAnsi" w:hAnsiTheme="minorHAnsi"/>
                <w:color w:val="0000FF"/>
                <w:sz w:val="24"/>
                <w:szCs w:val="22"/>
                <w:u w:val="single"/>
                <w:lang w:val="sr-Latn-ME" w:eastAsia="ja-JP"/>
              </w:rPr>
            </w:pPr>
          </w:p>
          <w:p w:rsidR="00063D42" w:rsidRDefault="006A02EE">
            <w:pPr>
              <w:rPr>
                <w:rFonts w:asciiTheme="minorHAnsi" w:hAnsiTheme="minorHAnsi"/>
                <w:color w:val="0000FF"/>
                <w:sz w:val="24"/>
                <w:u w:val="single"/>
                <w:lang w:val="sr-Latn-ME" w:eastAsia="ja-JP"/>
              </w:rPr>
            </w:pPr>
            <w:hyperlink r:id="rId27" w:tgtFrame="_blank" w:history="1">
              <w:r w:rsidR="00063D42">
                <w:rPr>
                  <w:rStyle w:val="Hyperlink"/>
                  <w:rFonts w:asciiTheme="minorHAnsi" w:hAnsiTheme="minorHAnsi"/>
                  <w:color w:val="0000FF"/>
                  <w:sz w:val="24"/>
                  <w:lang w:val="sr-Latn-ME" w:eastAsia="ja-JP"/>
                </w:rPr>
                <w:t>http://umhcg.com/wp-content/uploads/2018/06/Izvjestaj-MNE.pdf</w:t>
              </w:r>
            </w:hyperlink>
            <w:r w:rsidR="00063D42">
              <w:rPr>
                <w:rFonts w:asciiTheme="minorHAnsi" w:hAnsiTheme="minorHAnsi"/>
                <w:color w:val="0000FF"/>
                <w:sz w:val="24"/>
                <w:u w:val="single"/>
                <w:lang w:val="sr-Latn-ME" w:eastAsia="ja-JP"/>
              </w:rPr>
              <w:t> </w:t>
            </w:r>
          </w:p>
          <w:p w:rsidR="00063D42" w:rsidRDefault="00063D42">
            <w:pPr>
              <w:rPr>
                <w:rFonts w:asciiTheme="minorHAnsi" w:hAnsiTheme="minorHAnsi"/>
                <w:color w:val="0000FF"/>
                <w:sz w:val="24"/>
                <w:u w:val="single"/>
                <w:lang w:val="sr-Latn-ME" w:eastAsia="ja-JP"/>
              </w:rPr>
            </w:pPr>
          </w:p>
          <w:p w:rsidR="000F6745" w:rsidRDefault="000F6745">
            <w:pPr>
              <w:rPr>
                <w:rFonts w:asciiTheme="minorHAnsi" w:hAnsiTheme="minorHAnsi"/>
                <w:color w:val="0000FF"/>
                <w:sz w:val="24"/>
                <w:u w:val="single"/>
                <w:lang w:val="sr-Latn-ME" w:eastAsia="ja-JP"/>
              </w:rPr>
            </w:pPr>
          </w:p>
          <w:p w:rsidR="00063D42" w:rsidRDefault="006A02EE">
            <w:pPr>
              <w:rPr>
                <w:rFonts w:asciiTheme="minorHAnsi" w:hAnsiTheme="minorHAnsi"/>
                <w:color w:val="0000FF"/>
                <w:sz w:val="24"/>
                <w:u w:val="single"/>
                <w:lang w:val="sr-Latn-ME" w:eastAsia="ja-JP"/>
              </w:rPr>
            </w:pPr>
            <w:hyperlink r:id="rId28" w:tgtFrame="_blank" w:history="1">
              <w:r w:rsidR="00063D42">
                <w:rPr>
                  <w:rStyle w:val="Hyperlink"/>
                  <w:rFonts w:asciiTheme="minorHAnsi" w:hAnsiTheme="minorHAnsi"/>
                  <w:color w:val="0000FF"/>
                  <w:sz w:val="24"/>
                  <w:lang w:val="sr-Latn-ME" w:eastAsia="ja-JP"/>
                </w:rPr>
                <w:t>https://issuu.com/aktivnazona/docs/zajednica_bez_barijera</w:t>
              </w:r>
            </w:hyperlink>
            <w:r w:rsidR="00063D42">
              <w:rPr>
                <w:rFonts w:asciiTheme="minorHAnsi" w:hAnsiTheme="minorHAnsi"/>
                <w:color w:val="0000FF"/>
                <w:sz w:val="24"/>
                <w:u w:val="single"/>
                <w:lang w:val="sr-Latn-ME" w:eastAsia="ja-JP"/>
              </w:rPr>
              <w:t xml:space="preserve"> </w:t>
            </w:r>
          </w:p>
          <w:p w:rsidR="000F6745" w:rsidRDefault="000F6745">
            <w:pPr>
              <w:rPr>
                <w:color w:val="0000FF"/>
              </w:rPr>
            </w:pPr>
          </w:p>
          <w:p w:rsidR="000F6745" w:rsidRDefault="000F6745">
            <w:pPr>
              <w:rPr>
                <w:rFonts w:asciiTheme="minorHAnsi" w:hAnsiTheme="minorHAnsi"/>
                <w:color w:val="0000FF"/>
                <w:sz w:val="24"/>
                <w:u w:val="single"/>
                <w:lang w:val="sr-Latn-ME" w:eastAsia="ja-JP"/>
              </w:rPr>
            </w:pPr>
          </w:p>
          <w:p w:rsidR="00063D42" w:rsidRDefault="00063D42">
            <w:pPr>
              <w:rPr>
                <w:rFonts w:asciiTheme="minorHAnsi" w:hAnsiTheme="minorHAnsi"/>
                <w:sz w:val="24"/>
              </w:rPr>
            </w:pPr>
          </w:p>
          <w:p w:rsidR="00063D42" w:rsidRDefault="006A02EE">
            <w:pPr>
              <w:rPr>
                <w:rFonts w:asciiTheme="minorHAnsi" w:eastAsia="Calibri" w:hAnsiTheme="minorHAnsi"/>
                <w:sz w:val="24"/>
              </w:rPr>
            </w:pPr>
            <w:hyperlink r:id="rId29" w:tgtFrame="_blank" w:history="1">
              <w:r w:rsidR="00063D42">
                <w:rPr>
                  <w:rStyle w:val="Hyperlink"/>
                  <w:rFonts w:asciiTheme="minorHAnsi" w:hAnsiTheme="minorHAnsi"/>
                  <w:color w:val="0000FF"/>
                  <w:sz w:val="24"/>
                  <w:lang w:val="sr-Latn-ME" w:eastAsia="ja-JP"/>
                </w:rPr>
                <w:t>http://www.mrt.gov.me/rubrike/pristupacnost/pristupacnost-saopstenja/197089/Saopstenje-Analiza-pristupacnosti-objekata-u-javnoj-upotrebi-na-lokalnom-nivou.html</w:t>
              </w:r>
            </w:hyperlink>
            <w:r w:rsidR="00063D42">
              <w:rPr>
                <w:rFonts w:asciiTheme="minorHAnsi" w:eastAsia="Calibri" w:hAnsiTheme="minorHAnsi"/>
                <w:sz w:val="24"/>
                <w:lang w:val="sr-Latn-ME"/>
              </w:rPr>
              <w:t xml:space="preserve"> </w:t>
            </w:r>
          </w:p>
        </w:tc>
      </w:tr>
    </w:tbl>
    <w:p w:rsidR="00063D42" w:rsidRDefault="00063D42" w:rsidP="00063D42">
      <w:pPr>
        <w:spacing w:after="200"/>
        <w:ind w:left="792"/>
        <w:rPr>
          <w:rFonts w:eastAsia="MS Mincho" w:cs="Times New Roman"/>
          <w:sz w:val="24"/>
          <w:szCs w:val="24"/>
          <w:lang w:val="sr-Latn-ME" w:eastAsia="ja-JP"/>
        </w:rPr>
      </w:pPr>
    </w:p>
    <w:tbl>
      <w:tblPr>
        <w:tblStyle w:val="TableGrid"/>
        <w:tblpPr w:leftFromText="180" w:rightFromText="180" w:vertAnchor="text" w:horzAnchor="margin" w:tblpY="24"/>
        <w:tblW w:w="14512" w:type="dxa"/>
        <w:tblLook w:val="04A0" w:firstRow="1" w:lastRow="0" w:firstColumn="1" w:lastColumn="0" w:noHBand="0" w:noVBand="1"/>
      </w:tblPr>
      <w:tblGrid>
        <w:gridCol w:w="6716"/>
        <w:gridCol w:w="7796"/>
      </w:tblGrid>
      <w:tr w:rsidR="009B252D" w:rsidTr="009B252D">
        <w:tc>
          <w:tcPr>
            <w:tcW w:w="6716"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Naziv strateškog/planskog dokumenta/propisa</w:t>
            </w:r>
          </w:p>
        </w:tc>
        <w:tc>
          <w:tcPr>
            <w:tcW w:w="7796"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Naziv poglavlja/ mjere/ aktivnosti</w:t>
            </w:r>
          </w:p>
        </w:tc>
      </w:tr>
      <w:tr w:rsidR="009B252D" w:rsidTr="009B252D">
        <w:trPr>
          <w:trHeight w:val="594"/>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B6D34" w:rsidRDefault="00BB6D34" w:rsidP="00BB6D34">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lastRenderedPageBreak/>
              <w:t xml:space="preserve">Preporuke Komiteta UN  o pravima lica sa invaliditetom ( CRPD/C/MNE/CO/1) </w:t>
            </w:r>
            <w:r>
              <w:rPr>
                <w:rFonts w:asciiTheme="minorHAnsi" w:hAnsiTheme="minorHAnsi"/>
                <w:sz w:val="24"/>
                <w:lang w:val="sr-Latn-ME" w:eastAsia="ja-JP"/>
              </w:rPr>
              <w:t>od 29. avgusta 2017</w:t>
            </w:r>
          </w:p>
          <w:p w:rsidR="00BB6D34" w:rsidRDefault="00BB6D34" w:rsidP="00BB6D34">
            <w:pPr>
              <w:ind w:left="366"/>
              <w:contextualSpacing/>
              <w:jc w:val="both"/>
              <w:rPr>
                <w:rFonts w:asciiTheme="minorHAnsi" w:hAnsiTheme="minorHAnsi"/>
                <w:sz w:val="24"/>
                <w:lang w:val="sr-Latn-ME" w:eastAsia="ja-JP"/>
              </w:rPr>
            </w:pPr>
          </w:p>
          <w:p w:rsidR="00BB6D34" w:rsidRDefault="00BB6D34" w:rsidP="00BB6D34">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Konvencije UN o pravima lica sa invaliditetom</w:t>
            </w:r>
          </w:p>
          <w:p w:rsidR="00BB6D34" w:rsidRPr="00D90A92" w:rsidRDefault="00BB6D34" w:rsidP="00D90A92">
            <w:pPr>
              <w:ind w:left="720"/>
              <w:jc w:val="both"/>
              <w:rPr>
                <w:rFonts w:asciiTheme="minorHAnsi" w:eastAsia="Calibri" w:hAnsiTheme="minorHAnsi" w:cs="Arial"/>
                <w:color w:val="000000"/>
                <w:sz w:val="24"/>
                <w:szCs w:val="24"/>
                <w:lang w:val="sr-Latn-ME" w:eastAsia="ja-JP"/>
              </w:rPr>
            </w:pPr>
          </w:p>
          <w:p w:rsidR="009B252D" w:rsidRDefault="009B252D" w:rsidP="009B252D">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Zakon o ratifikaciji Konvencije UN o pravima lica sa invaliditetom</w:t>
            </w:r>
          </w:p>
          <w:p w:rsidR="009B252D" w:rsidRDefault="009B252D" w:rsidP="009B252D">
            <w:pPr>
              <w:jc w:val="both"/>
              <w:rPr>
                <w:rFonts w:asciiTheme="minorHAnsi" w:eastAsia="Calibri" w:hAnsiTheme="minorHAnsi" w:cs="Arial"/>
                <w:color w:val="000000"/>
                <w:sz w:val="24"/>
                <w:szCs w:val="24"/>
                <w:lang w:val="sr-Latn-ME" w:eastAsia="ja-JP"/>
              </w:rPr>
            </w:pPr>
          </w:p>
          <w:p w:rsidR="009B252D" w:rsidRDefault="009B252D" w:rsidP="009B252D">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Zakon o zabrani diskriminacije</w:t>
            </w:r>
          </w:p>
          <w:p w:rsidR="009B252D" w:rsidRDefault="009B252D" w:rsidP="009B252D">
            <w:pPr>
              <w:jc w:val="both"/>
              <w:rPr>
                <w:rFonts w:asciiTheme="minorHAnsi" w:eastAsia="Calibri" w:hAnsiTheme="minorHAnsi" w:cs="Arial"/>
                <w:color w:val="000000"/>
                <w:sz w:val="24"/>
                <w:szCs w:val="24"/>
                <w:lang w:val="sr-Latn-ME" w:eastAsia="ja-JP"/>
              </w:rPr>
            </w:pPr>
          </w:p>
          <w:p w:rsidR="009B252D" w:rsidRDefault="009B252D" w:rsidP="009B252D">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Zakon o zabrani diskriminacije lica sa invaliditetom</w:t>
            </w:r>
          </w:p>
          <w:p w:rsidR="009B252D" w:rsidRDefault="009B252D" w:rsidP="009B252D">
            <w:pPr>
              <w:jc w:val="both"/>
              <w:rPr>
                <w:rFonts w:asciiTheme="minorHAnsi" w:eastAsia="Calibri" w:hAnsiTheme="minorHAnsi" w:cs="Arial"/>
                <w:color w:val="000000"/>
                <w:sz w:val="24"/>
                <w:szCs w:val="24"/>
                <w:lang w:val="sr-Latn-ME" w:eastAsia="ja-JP"/>
              </w:rPr>
            </w:pP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B6D34" w:rsidRDefault="00BB6D34" w:rsidP="009B252D">
            <w:pPr>
              <w:rPr>
                <w:rFonts w:asciiTheme="minorHAnsi" w:hAnsiTheme="minorHAnsi"/>
                <w:sz w:val="24"/>
                <w:szCs w:val="24"/>
                <w:lang w:val="sr-Latn-ME" w:eastAsia="ja-JP"/>
              </w:rPr>
            </w:pPr>
            <w:r>
              <w:rPr>
                <w:rFonts w:asciiTheme="minorHAnsi" w:hAnsiTheme="minorHAnsi"/>
                <w:sz w:val="24"/>
                <w:szCs w:val="24"/>
                <w:lang w:val="sr-Latn-ME" w:eastAsia="ja-JP"/>
              </w:rPr>
              <w:t xml:space="preserve">Jednakost i nediskiminacija (čl5); </w:t>
            </w: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r>
              <w:rPr>
                <w:rFonts w:asciiTheme="minorHAnsi" w:hAnsiTheme="minorHAnsi"/>
                <w:sz w:val="24"/>
                <w:szCs w:val="24"/>
                <w:lang w:val="sr-Latn-ME" w:eastAsia="ja-JP"/>
              </w:rPr>
              <w:t>Čl.5,6,</w:t>
            </w:r>
            <w:r w:rsidR="00D90A92">
              <w:rPr>
                <w:rFonts w:asciiTheme="minorHAnsi" w:hAnsiTheme="minorHAnsi"/>
                <w:sz w:val="24"/>
                <w:szCs w:val="24"/>
                <w:lang w:val="sr-Latn-ME" w:eastAsia="ja-JP"/>
              </w:rPr>
              <w:t>7,8,9</w:t>
            </w: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p>
          <w:p w:rsidR="009B252D" w:rsidRDefault="00BB6D34" w:rsidP="009B252D">
            <w:pPr>
              <w:rPr>
                <w:rFonts w:asciiTheme="minorHAnsi" w:hAnsiTheme="minorHAnsi"/>
                <w:sz w:val="24"/>
                <w:szCs w:val="24"/>
                <w:lang w:val="sr-Latn-ME" w:eastAsia="ja-JP"/>
              </w:rPr>
            </w:pPr>
            <w:r>
              <w:rPr>
                <w:rFonts w:asciiTheme="minorHAnsi" w:hAnsiTheme="minorHAnsi"/>
                <w:sz w:val="24"/>
                <w:szCs w:val="24"/>
                <w:lang w:val="sr-Latn-ME" w:eastAsia="ja-JP"/>
              </w:rPr>
              <w:t>Č</w:t>
            </w:r>
            <w:r w:rsidR="009B252D">
              <w:rPr>
                <w:rFonts w:asciiTheme="minorHAnsi" w:hAnsiTheme="minorHAnsi"/>
                <w:sz w:val="24"/>
                <w:szCs w:val="24"/>
                <w:lang w:val="sr-Latn-ME" w:eastAsia="ja-JP"/>
              </w:rPr>
              <w:t>lan 3 Opšta načela; član 9 Pristupačnost; član 19 Samostalni život i uključenost u lokalnu zajednicu; član 5 Jednakost i nediskriminacija i član 8 Podizanje svijesti o pitanjima invalidnosti</w:t>
            </w:r>
          </w:p>
          <w:p w:rsidR="009B252D" w:rsidRDefault="009B252D" w:rsidP="009B252D">
            <w:pPr>
              <w:rPr>
                <w:rFonts w:asciiTheme="minorHAnsi" w:hAnsiTheme="minorHAnsi"/>
                <w:sz w:val="24"/>
                <w:szCs w:val="24"/>
                <w:lang w:val="sr-Latn-ME" w:eastAsia="ja-JP"/>
              </w:rPr>
            </w:pPr>
          </w:p>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član 18</w:t>
            </w:r>
          </w:p>
          <w:p w:rsidR="009B252D" w:rsidRDefault="009B252D" w:rsidP="009B252D">
            <w:pPr>
              <w:rPr>
                <w:rFonts w:asciiTheme="minorHAnsi" w:hAnsiTheme="minorHAnsi"/>
                <w:sz w:val="24"/>
                <w:szCs w:val="24"/>
                <w:lang w:val="sr-Latn-ME" w:eastAsia="ja-JP"/>
              </w:rPr>
            </w:pPr>
          </w:p>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član 11 i član 14</w:t>
            </w:r>
          </w:p>
        </w:tc>
      </w:tr>
      <w:tr w:rsidR="009B252D" w:rsidTr="009B252D">
        <w:trPr>
          <w:trHeight w:val="515"/>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numPr>
                <w:ilvl w:val="0"/>
                <w:numId w:val="18"/>
              </w:numPr>
              <w:shd w:val="clear" w:color="auto" w:fill="FFFFFF" w:themeFill="background1"/>
              <w:rPr>
                <w:rFonts w:asciiTheme="minorHAnsi" w:hAnsiTheme="minorHAnsi"/>
                <w:sz w:val="24"/>
                <w:szCs w:val="24"/>
                <w:lang w:val="sr-Latn-ME" w:eastAsia="ja-JP"/>
              </w:rPr>
            </w:pPr>
            <w:r>
              <w:rPr>
                <w:rFonts w:asciiTheme="minorHAnsi" w:hAnsiTheme="minorHAnsi"/>
                <w:sz w:val="24"/>
                <w:szCs w:val="24"/>
                <w:lang w:val="sr-Latn-ME" w:eastAsia="ja-JP"/>
              </w:rPr>
              <w:t>Strategija za zaštitu lica sa invaliditetom  od diskriminacije i promociju jednakosti  za period 2022-2027;</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hd w:val="clear" w:color="auto" w:fill="FFFFFF" w:themeFill="background1"/>
              <w:rPr>
                <w:rFonts w:asciiTheme="minorHAnsi" w:hAnsiTheme="minorHAnsi"/>
                <w:sz w:val="24"/>
                <w:szCs w:val="24"/>
                <w:lang w:val="sr-Latn-ME" w:eastAsia="ja-JP"/>
              </w:rPr>
            </w:pPr>
            <w:r>
              <w:rPr>
                <w:rFonts w:asciiTheme="minorHAnsi" w:hAnsiTheme="minorHAnsi"/>
                <w:sz w:val="24"/>
                <w:szCs w:val="24"/>
                <w:lang w:val="sr-Latn-ME" w:eastAsia="ja-JP"/>
              </w:rPr>
              <w:t xml:space="preserve">Akcioni  plan Strategije za zaštitu lica sa invaliditetom od diskriminacije i promociju jednakosti za period 2022-2023 </w:t>
            </w:r>
          </w:p>
          <w:p w:rsidR="009B252D" w:rsidRDefault="009B252D" w:rsidP="009B252D">
            <w:pPr>
              <w:shd w:val="clear" w:color="auto" w:fill="FFFFFF" w:themeFill="background1"/>
              <w:rPr>
                <w:rFonts w:asciiTheme="minorHAnsi" w:hAnsiTheme="minorHAnsi"/>
                <w:sz w:val="24"/>
                <w:szCs w:val="24"/>
                <w:lang w:val="sr-Latn-ME" w:eastAsia="ja-JP"/>
              </w:rPr>
            </w:pPr>
          </w:p>
          <w:p w:rsidR="009B252D" w:rsidRDefault="009B252D" w:rsidP="009B252D">
            <w:pPr>
              <w:shd w:val="clear" w:color="auto" w:fill="FFFFFF" w:themeFill="background1"/>
              <w:rPr>
                <w:rFonts w:asciiTheme="minorHAnsi" w:hAnsiTheme="minorHAnsi"/>
                <w:sz w:val="24"/>
                <w:szCs w:val="24"/>
                <w:lang w:val="sr-Latn-ME" w:eastAsia="ja-JP"/>
              </w:rPr>
            </w:pPr>
            <w:r>
              <w:rPr>
                <w:rFonts w:asciiTheme="minorHAnsi" w:hAnsiTheme="minorHAnsi"/>
                <w:sz w:val="24"/>
                <w:szCs w:val="24"/>
                <w:lang w:val="sr-Latn-ME" w:eastAsia="ja-JP"/>
              </w:rPr>
              <w:t>OBLAST: DISKRIMINACIJA U OBLASTI PRISTUPAČNOSTI</w:t>
            </w:r>
          </w:p>
          <w:p w:rsidR="009B252D" w:rsidRDefault="009B252D" w:rsidP="009B252D">
            <w:pPr>
              <w:shd w:val="clear" w:color="auto" w:fill="FFFFFF" w:themeFill="background1"/>
              <w:rPr>
                <w:rFonts w:asciiTheme="minorHAnsi" w:hAnsiTheme="minorHAnsi"/>
                <w:b/>
                <w:i/>
                <w:sz w:val="24"/>
                <w:szCs w:val="24"/>
                <w:lang w:val="sr-Latn-ME" w:eastAsia="ja-JP"/>
              </w:rPr>
            </w:pPr>
          </w:p>
          <w:p w:rsidR="009B252D" w:rsidRDefault="009B252D" w:rsidP="009B252D">
            <w:pPr>
              <w:shd w:val="clear" w:color="auto" w:fill="FFFFFF" w:themeFill="background1"/>
              <w:rPr>
                <w:rFonts w:asciiTheme="minorHAnsi" w:hAnsiTheme="minorHAnsi"/>
                <w:sz w:val="24"/>
                <w:szCs w:val="24"/>
                <w:lang w:val="sr-Latn-ME" w:eastAsia="ja-JP"/>
              </w:rPr>
            </w:pPr>
            <w:r>
              <w:rPr>
                <w:rFonts w:ascii="Calibri" w:eastAsia="Calibri" w:hAnsi="Calibri"/>
                <w:sz w:val="24"/>
                <w:szCs w:val="24"/>
                <w:lang w:val="sr-Latn-ME"/>
              </w:rPr>
              <w:t>Kao Operativni cilj 2 u oblasti 2 „Diskriminacija u oblasti pristupačnosti“  definisan je „ravnopravan pristup licima sa invaliditetom u oblasti: pristupa objektima u javnoj upotrebi“ a kao indikator učinka , da se smanji procenat jaza između građana i lica  sa invaliditetom koji smatraju da objekti u javnoj upotrebi nisu ili su nedovoljno prilagođeni za lica sa invaliditetom do 10%.</w:t>
            </w:r>
          </w:p>
        </w:tc>
      </w:tr>
      <w:tr w:rsidR="009B252D" w:rsidTr="009B252D">
        <w:trPr>
          <w:trHeight w:val="933"/>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pacing w:after="200"/>
              <w:ind w:left="720"/>
              <w:contextualSpacing/>
              <w:rPr>
                <w:rFonts w:asciiTheme="minorHAnsi" w:hAnsiTheme="minorHAnsi"/>
                <w:sz w:val="24"/>
                <w:szCs w:val="24"/>
                <w:lang w:val="sr-Latn-ME" w:eastAsia="ja-JP"/>
              </w:rPr>
            </w:pPr>
          </w:p>
          <w:p w:rsidR="009B252D" w:rsidRDefault="009B252D" w:rsidP="009B252D">
            <w:pPr>
              <w:numPr>
                <w:ilvl w:val="0"/>
                <w:numId w:val="18"/>
              </w:numPr>
              <w:spacing w:after="200"/>
              <w:contextualSpacing/>
              <w:rPr>
                <w:rFonts w:asciiTheme="minorHAnsi" w:hAnsiTheme="minorHAnsi"/>
                <w:sz w:val="24"/>
                <w:szCs w:val="24"/>
                <w:lang w:val="sr-Latn-ME" w:eastAsia="ja-JP"/>
              </w:rPr>
            </w:pPr>
            <w:r>
              <w:rPr>
                <w:rFonts w:asciiTheme="minorHAnsi" w:hAnsiTheme="minorHAnsi"/>
                <w:sz w:val="24"/>
                <w:szCs w:val="24"/>
                <w:lang w:val="sr-Latn-ME" w:eastAsia="ja-JP"/>
              </w:rPr>
              <w:t>Zakon o planiranju  prostora i izgradnji objekata;</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spacing w:after="200"/>
              <w:rPr>
                <w:rFonts w:asciiTheme="minorHAnsi" w:hAnsiTheme="minorHAnsi"/>
                <w:sz w:val="24"/>
                <w:szCs w:val="24"/>
                <w:lang w:val="sr-Latn-ME" w:eastAsia="ja-JP"/>
              </w:rPr>
            </w:pPr>
            <w:r>
              <w:rPr>
                <w:rFonts w:asciiTheme="minorHAnsi" w:hAnsiTheme="minorHAnsi"/>
                <w:sz w:val="24"/>
                <w:szCs w:val="24"/>
                <w:lang w:val="sr-Latn-ME" w:eastAsia="ja-JP"/>
              </w:rPr>
              <w:t>Uslovi za pristup i kretanje lica smanjene pokretljivosti</w:t>
            </w:r>
          </w:p>
          <w:p w:rsidR="009B252D" w:rsidRDefault="009B252D" w:rsidP="009B252D">
            <w:pPr>
              <w:spacing w:after="200"/>
              <w:rPr>
                <w:rFonts w:asciiTheme="minorHAnsi" w:hAnsiTheme="minorHAnsi"/>
                <w:b/>
                <w:sz w:val="24"/>
                <w:szCs w:val="24"/>
                <w:lang w:val="sr-Latn-ME" w:eastAsia="ja-JP"/>
              </w:rPr>
            </w:pPr>
            <w:r>
              <w:rPr>
                <w:rFonts w:asciiTheme="minorHAnsi" w:hAnsiTheme="minorHAnsi"/>
                <w:sz w:val="24"/>
                <w:szCs w:val="24"/>
                <w:lang w:val="sr-Latn-ME" w:eastAsia="ja-JP"/>
              </w:rPr>
              <w:t>Član 71</w:t>
            </w:r>
          </w:p>
        </w:tc>
      </w:tr>
      <w:tr w:rsidR="009B252D" w:rsidTr="009B252D">
        <w:trPr>
          <w:trHeight w:val="875"/>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numPr>
                <w:ilvl w:val="0"/>
                <w:numId w:val="18"/>
              </w:numPr>
              <w:spacing w:after="200"/>
              <w:contextualSpacing/>
              <w:rPr>
                <w:rFonts w:asciiTheme="minorHAnsi" w:hAnsiTheme="minorHAnsi"/>
                <w:sz w:val="24"/>
                <w:szCs w:val="24"/>
                <w:lang w:val="sr-Latn-ME" w:eastAsia="ja-JP"/>
              </w:rPr>
            </w:pPr>
            <w:r>
              <w:rPr>
                <w:rFonts w:asciiTheme="minorHAnsi" w:hAnsiTheme="minorHAnsi"/>
                <w:sz w:val="24"/>
                <w:szCs w:val="24"/>
                <w:lang w:val="sr-Latn-ME" w:eastAsia="ja-JP"/>
              </w:rPr>
              <w:lastRenderedPageBreak/>
              <w:t>Pravilnik o bližim uslovima i načinu prilagođavanja objekata za pristup i kretanje lica smanjene pokretljivosti i lica sa invaliditetom;</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pacing w:after="200"/>
              <w:rPr>
                <w:rFonts w:asciiTheme="minorHAnsi" w:hAnsiTheme="minorHAnsi"/>
                <w:b/>
                <w:i/>
                <w:sz w:val="24"/>
                <w:szCs w:val="24"/>
                <w:lang w:val="sr-Latn-ME" w:eastAsia="ja-JP"/>
              </w:rPr>
            </w:pPr>
          </w:p>
        </w:tc>
      </w:tr>
      <w:tr w:rsidR="009B252D" w:rsidTr="009B252D">
        <w:trPr>
          <w:trHeight w:val="1288"/>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numPr>
                <w:ilvl w:val="0"/>
                <w:numId w:val="18"/>
              </w:numPr>
              <w:spacing w:after="200"/>
              <w:contextualSpacing/>
              <w:rPr>
                <w:rFonts w:asciiTheme="minorHAnsi" w:hAnsiTheme="minorHAnsi"/>
                <w:sz w:val="24"/>
                <w:szCs w:val="24"/>
                <w:lang w:val="sr-Latn-ME" w:eastAsia="ja-JP"/>
              </w:rPr>
            </w:pPr>
            <w:r>
              <w:rPr>
                <w:rFonts w:asciiTheme="minorHAnsi" w:hAnsiTheme="minorHAnsi"/>
                <w:sz w:val="24"/>
                <w:szCs w:val="24"/>
                <w:lang w:val="sr-Latn-ME" w:eastAsia="ja-JP"/>
              </w:rPr>
              <w:t>Odluke o uslovima za postavljanje, građenje i uklanjanje pristupnih rampi, liftova i sličnih objekata za pristup i kretanje lica smanjene pokretljivosti i lica sa invaliditetom</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pacing w:after="200"/>
              <w:rPr>
                <w:rFonts w:asciiTheme="minorHAnsi" w:hAnsiTheme="minorHAnsi"/>
                <w:b/>
                <w:i/>
                <w:sz w:val="24"/>
                <w:szCs w:val="24"/>
                <w:lang w:val="sr-Latn-ME" w:eastAsia="ja-JP"/>
              </w:rPr>
            </w:pPr>
          </w:p>
        </w:tc>
      </w:tr>
    </w:tbl>
    <w:p w:rsidR="00063D42" w:rsidRPr="00017629" w:rsidRDefault="00063D42" w:rsidP="00063D42">
      <w:pPr>
        <w:spacing w:after="200"/>
        <w:rPr>
          <w:rFonts w:eastAsia="MS Mincho" w:cs="Times New Roman"/>
          <w:color w:val="FF0000"/>
          <w:sz w:val="24"/>
          <w:szCs w:val="24"/>
          <w:lang w:val="sr-Latn-ME" w:eastAsia="ja-JP"/>
        </w:rPr>
      </w:pP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Obrazložiti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14514" w:type="dxa"/>
        <w:tblInd w:w="-5" w:type="dxa"/>
        <w:tblLook w:val="04A0" w:firstRow="1" w:lastRow="0" w:firstColumn="1" w:lastColumn="0" w:noHBand="0" w:noVBand="1"/>
      </w:tblPr>
      <w:tblGrid>
        <w:gridCol w:w="4932"/>
        <w:gridCol w:w="5443"/>
        <w:gridCol w:w="4139"/>
      </w:tblGrid>
      <w:tr w:rsidR="00063D42" w:rsidTr="009B252D">
        <w:trPr>
          <w:trHeight w:val="783"/>
        </w:trPr>
        <w:tc>
          <w:tcPr>
            <w:tcW w:w="493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Opis načina doprinosa nevladinih organizacija u rješavanju problema</w:t>
            </w:r>
          </w:p>
        </w:tc>
        <w:tc>
          <w:tcPr>
            <w:tcW w:w="5443"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Konkretni mjerljivi pokazatelji doprinosa nevladinih organizacija</w:t>
            </w:r>
          </w:p>
        </w:tc>
        <w:tc>
          <w:tcPr>
            <w:tcW w:w="4139" w:type="dxa"/>
            <w:tcBorders>
              <w:top w:val="single" w:sz="18" w:space="0" w:color="auto"/>
              <w:left w:val="single" w:sz="2" w:space="0" w:color="auto"/>
              <w:bottom w:val="single" w:sz="4" w:space="0" w:color="auto"/>
              <w:right w:val="single" w:sz="4" w:space="0" w:color="auto"/>
            </w:tcBorders>
            <w:shd w:val="clear" w:color="auto" w:fill="F2F2F2"/>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Izvor(i) podataka</w:t>
            </w:r>
          </w:p>
        </w:tc>
      </w:tr>
      <w:tr w:rsidR="00063D42" w:rsidRPr="007A7D20" w:rsidTr="009B252D">
        <w:tc>
          <w:tcPr>
            <w:tcW w:w="493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817EC6" w:rsidRDefault="00063D42" w:rsidP="00AE66DB">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Nevladine organizacija u oblasti pristupačnosti objekata svoj doprinos mogu dati kroz:</w:t>
            </w:r>
          </w:p>
          <w:p w:rsidR="00B276E0" w:rsidRPr="00597E35" w:rsidRDefault="00B276E0" w:rsidP="00B276E0">
            <w:pPr>
              <w:pStyle w:val="ListParagraph"/>
              <w:numPr>
                <w:ilvl w:val="0"/>
                <w:numId w:val="14"/>
              </w:numPr>
              <w:jc w:val="both"/>
              <w:rPr>
                <w:rFonts w:ascii="Verdana" w:hAnsi="Verdana"/>
                <w:lang w:val="sr-Latn-ME"/>
              </w:rPr>
            </w:pPr>
            <w:r w:rsidRPr="00597E35">
              <w:rPr>
                <w:rFonts w:ascii="Verdana" w:hAnsi="Verdana"/>
                <w:lang w:val="sr-Latn-ME"/>
              </w:rPr>
              <w:t xml:space="preserve">sprovođenje istraživanja o položaju lica sa invaliditetom  vezano za arhitektonske barijere i fizičku pristupačnost objektima u javnoj upotrebi; </w:t>
            </w:r>
          </w:p>
          <w:p w:rsidR="00B276E0" w:rsidRDefault="00B276E0" w:rsidP="00B276E0">
            <w:pPr>
              <w:pStyle w:val="ListParagraph"/>
              <w:numPr>
                <w:ilvl w:val="0"/>
                <w:numId w:val="14"/>
              </w:numPr>
              <w:jc w:val="both"/>
              <w:rPr>
                <w:rFonts w:ascii="Verdana" w:hAnsi="Verdana"/>
                <w:lang w:val="sr-Latn-ME"/>
              </w:rPr>
            </w:pPr>
            <w:r w:rsidRPr="00597E35">
              <w:rPr>
                <w:rFonts w:ascii="Verdana" w:hAnsi="Verdana"/>
                <w:lang w:val="sr-Latn-ME"/>
              </w:rPr>
              <w:t>aktivnosti koje doprinose smanjenju diskriminacije lica sa invaliditetom sa posebnim akcentom na arhitektonske barijere objekata u javnoj upotrebi;</w:t>
            </w:r>
          </w:p>
          <w:p w:rsidR="00B276E0" w:rsidRDefault="00B276E0" w:rsidP="00B276E0">
            <w:pPr>
              <w:pStyle w:val="ListParagraph"/>
              <w:numPr>
                <w:ilvl w:val="0"/>
                <w:numId w:val="14"/>
              </w:numPr>
              <w:jc w:val="both"/>
              <w:rPr>
                <w:rFonts w:ascii="Verdana" w:hAnsi="Verdana"/>
                <w:lang w:val="sr-Latn-ME"/>
              </w:rPr>
            </w:pPr>
            <w:r w:rsidRPr="00597E35">
              <w:rPr>
                <w:rFonts w:ascii="Verdana" w:hAnsi="Verdana"/>
                <w:lang w:val="sr-Latn-ME"/>
              </w:rPr>
              <w:t>organizovanje Konferencije</w:t>
            </w:r>
            <w:r>
              <w:rPr>
                <w:rFonts w:ascii="Verdana" w:hAnsi="Verdana"/>
                <w:lang w:val="sr-Latn-ME"/>
              </w:rPr>
              <w:t xml:space="preserve">  sa predstavnicima zemalja iz okruženja, stručne i zainteresovane javnosti, sa ciljem </w:t>
            </w:r>
            <w:r w:rsidRPr="00597E35">
              <w:rPr>
                <w:rFonts w:ascii="Verdana" w:hAnsi="Verdana"/>
                <w:lang w:val="sr-Latn-ME"/>
              </w:rPr>
              <w:t xml:space="preserve">razmjene </w:t>
            </w:r>
            <w:r>
              <w:rPr>
                <w:rFonts w:ascii="Verdana" w:hAnsi="Verdana"/>
                <w:lang w:val="sr-Latn-ME"/>
              </w:rPr>
              <w:t xml:space="preserve">međunarodnih </w:t>
            </w:r>
          </w:p>
          <w:p w:rsidR="00B276E0" w:rsidRPr="00477886" w:rsidRDefault="00B276E0" w:rsidP="00B276E0">
            <w:pPr>
              <w:pStyle w:val="ListParagraph"/>
              <w:jc w:val="both"/>
              <w:rPr>
                <w:rFonts w:ascii="Verdana" w:hAnsi="Verdana"/>
                <w:lang w:val="sr-Latn-ME"/>
              </w:rPr>
            </w:pPr>
            <w:r w:rsidRPr="00477886">
              <w:rPr>
                <w:rFonts w:ascii="Verdana" w:hAnsi="Verdana"/>
                <w:lang w:val="sr-Latn-ME"/>
              </w:rPr>
              <w:lastRenderedPageBreak/>
              <w:t>iskustava i prenošenja znanja iz oblasti pristupačnosti objektima u javnoj upotrebi-primjeri dobre i loše prakse;</w:t>
            </w:r>
          </w:p>
          <w:p w:rsidR="00B276E0" w:rsidRPr="00C727C2" w:rsidRDefault="00B276E0" w:rsidP="00B276E0">
            <w:pPr>
              <w:pStyle w:val="ListParagraph"/>
              <w:numPr>
                <w:ilvl w:val="0"/>
                <w:numId w:val="14"/>
              </w:numPr>
              <w:jc w:val="both"/>
              <w:rPr>
                <w:rFonts w:ascii="Verdana" w:hAnsi="Verdana"/>
                <w:lang w:val="sr-Latn-ME"/>
              </w:rPr>
            </w:pPr>
            <w:r w:rsidRPr="00897F88">
              <w:rPr>
                <w:rFonts w:asciiTheme="minorHAnsi" w:hAnsiTheme="minorHAnsi" w:cstheme="minorHAnsi"/>
                <w:sz w:val="24"/>
                <w:szCs w:val="24"/>
                <w:lang w:val="sr-Latn-ME" w:eastAsia="ja-JP"/>
              </w:rPr>
              <w:t xml:space="preserve">organizovanje </w:t>
            </w:r>
            <w:r>
              <w:rPr>
                <w:rFonts w:asciiTheme="minorHAnsi" w:hAnsiTheme="minorHAnsi" w:cstheme="minorHAnsi"/>
                <w:sz w:val="24"/>
                <w:szCs w:val="24"/>
                <w:lang w:val="sr-Latn-ME" w:eastAsia="ja-JP"/>
              </w:rPr>
              <w:t>K</w:t>
            </w:r>
            <w:r w:rsidRPr="00897F88">
              <w:rPr>
                <w:rFonts w:asciiTheme="minorHAnsi" w:hAnsiTheme="minorHAnsi" w:cstheme="minorHAnsi"/>
                <w:sz w:val="24"/>
                <w:szCs w:val="24"/>
                <w:lang w:val="sr-Latn-ME" w:eastAsia="ja-JP"/>
              </w:rPr>
              <w:t xml:space="preserve">onferencije na temu </w:t>
            </w:r>
            <w:r w:rsidRPr="00597E35">
              <w:rPr>
                <w:rFonts w:ascii="Verdana" w:hAnsi="Verdana"/>
                <w:lang w:val="sr-Latn-ME"/>
              </w:rPr>
              <w:t>razumnog prilagođavanja i univerzalnog dizajna;</w:t>
            </w:r>
          </w:p>
          <w:p w:rsidR="00B276E0" w:rsidRPr="00AE66DB" w:rsidRDefault="00B276E0" w:rsidP="00B276E0">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aktivnosti (okrugli sto, radionice, tribine, javni čas) za različite ciljne grupe koje će doprinijeti povećanju nivoa znanja</w:t>
            </w:r>
            <w:r>
              <w:rPr>
                <w:rFonts w:asciiTheme="minorHAnsi" w:hAnsiTheme="minorHAnsi" w:cstheme="minorHAnsi"/>
                <w:sz w:val="24"/>
                <w:szCs w:val="24"/>
                <w:lang w:val="sr-Latn-ME" w:eastAsia="ja-JP"/>
              </w:rPr>
              <w:t xml:space="preserve"> </w:t>
            </w:r>
            <w:r w:rsidRPr="00B276E0">
              <w:rPr>
                <w:rFonts w:asciiTheme="minorHAnsi" w:hAnsiTheme="minorHAnsi" w:cstheme="minorHAnsi"/>
                <w:sz w:val="24"/>
                <w:szCs w:val="24"/>
                <w:lang w:val="sr-Latn-ME" w:eastAsia="ja-JP"/>
              </w:rPr>
              <w:t>u oblasti pristupačnosti objektima u javnoj upotrebi  shodno različitim parametrima (pol, starost, vrsta invaliditeta);</w:t>
            </w:r>
          </w:p>
          <w:p w:rsidR="00B276E0" w:rsidRDefault="00B276E0" w:rsidP="00B276E0">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organizovanje 2 okrugla stola, radionica i seminara za lica sa invaliditetom i njihove porodice u lokalnim zajedicama uz učešće predstavnika NVO i građana na temu</w:t>
            </w:r>
            <w:r>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w:t>
            </w:r>
            <w:r>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ukljanjanje arhitektonskih, administartivnih i drugih barijera koje onemogućavaju ravnopravan položaj lica sa invaliditetom u društvu;</w:t>
            </w:r>
            <w:r>
              <w:rPr>
                <w:rFonts w:asciiTheme="minorHAnsi" w:hAnsiTheme="minorHAnsi" w:cstheme="minorHAnsi"/>
                <w:sz w:val="24"/>
                <w:szCs w:val="24"/>
                <w:lang w:val="sr-Latn-ME" w:eastAsia="ja-JP"/>
              </w:rPr>
              <w:t xml:space="preserve"> </w:t>
            </w:r>
          </w:p>
          <w:p w:rsidR="00B276E0" w:rsidRPr="00AE66DB" w:rsidRDefault="00B276E0" w:rsidP="00B276E0">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edukaciju 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p w:rsidR="00B276E0" w:rsidRPr="00897F88" w:rsidRDefault="00B276E0" w:rsidP="00B276E0">
            <w:pPr>
              <w:pStyle w:val="ListParagraph"/>
              <w:numPr>
                <w:ilvl w:val="0"/>
                <w:numId w:val="14"/>
              </w:numPr>
              <w:jc w:val="both"/>
              <w:rPr>
                <w:rFonts w:asciiTheme="minorHAnsi" w:hAnsiTheme="minorHAnsi" w:cstheme="minorHAnsi"/>
                <w:sz w:val="24"/>
                <w:szCs w:val="24"/>
                <w:lang w:val="sr-Latn-ME" w:eastAsia="ja-JP"/>
              </w:rPr>
            </w:pPr>
            <w:r w:rsidRPr="00597E35">
              <w:rPr>
                <w:rFonts w:ascii="Verdana" w:hAnsi="Verdana"/>
                <w:lang w:val="sr-Latn-ME"/>
              </w:rPr>
              <w:t xml:space="preserve">aktivnosti sa vlasnicima ili korisnicima objekata u javnoj upotrebi , kao i svim </w:t>
            </w:r>
            <w:r w:rsidRPr="00597E35">
              <w:rPr>
                <w:rFonts w:ascii="Verdana" w:hAnsi="Verdana"/>
                <w:lang w:val="sr-Latn-ME"/>
              </w:rPr>
              <w:lastRenderedPageBreak/>
              <w:t>učesnicima u izgradnji, u cilju obezbjeđenja nesmetanog pristupa, kretanja, boravka i rada u istim, licima smanjene pokretljivosti i licima sa invaliditetom</w:t>
            </w:r>
          </w:p>
          <w:p w:rsidR="00B276E0" w:rsidRPr="00C727C2" w:rsidRDefault="00B276E0" w:rsidP="00B276E0">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 xml:space="preserve">organizovanje sastanaka sa predstavnicima lokalnih samouprava i lokalnih nevladinih organizacija o implementaciji </w:t>
            </w:r>
            <w:r>
              <w:rPr>
                <w:rFonts w:asciiTheme="minorHAnsi" w:hAnsiTheme="minorHAnsi" w:cstheme="minorHAnsi"/>
                <w:sz w:val="24"/>
                <w:szCs w:val="24"/>
                <w:lang w:val="sr-Latn-ME" w:eastAsia="ja-JP"/>
              </w:rPr>
              <w:t>S</w:t>
            </w:r>
            <w:r w:rsidRPr="00897F88">
              <w:rPr>
                <w:rFonts w:asciiTheme="minorHAnsi" w:hAnsiTheme="minorHAnsi" w:cstheme="minorHAnsi"/>
                <w:sz w:val="24"/>
                <w:szCs w:val="24"/>
                <w:lang w:val="sr-Latn-ME" w:eastAsia="ja-JP"/>
              </w:rPr>
              <w:t>trategije na lokalnom nivou</w:t>
            </w:r>
            <w:r>
              <w:rPr>
                <w:rFonts w:asciiTheme="minorHAnsi" w:hAnsiTheme="minorHAnsi" w:cstheme="minorHAnsi"/>
                <w:sz w:val="24"/>
                <w:szCs w:val="24"/>
                <w:lang w:val="sr-Latn-ME" w:eastAsia="ja-JP"/>
              </w:rPr>
              <w:t xml:space="preserve">; </w:t>
            </w:r>
          </w:p>
          <w:p w:rsidR="00B276E0" w:rsidRPr="00477886" w:rsidRDefault="00B276E0" w:rsidP="00B276E0">
            <w:pPr>
              <w:pStyle w:val="ListParagraph"/>
              <w:numPr>
                <w:ilvl w:val="0"/>
                <w:numId w:val="14"/>
              </w:numPr>
              <w:jc w:val="both"/>
              <w:rPr>
                <w:rFonts w:ascii="Verdana" w:hAnsi="Verdana"/>
                <w:lang w:val="sr-Latn-ME"/>
              </w:rPr>
            </w:pPr>
            <w:r w:rsidRPr="00597E35">
              <w:rPr>
                <w:rFonts w:ascii="Verdana" w:hAnsi="Verdana"/>
                <w:lang w:val="sr-Latn-ME"/>
              </w:rPr>
              <w:t>organizovanje seminara</w:t>
            </w:r>
            <w:r w:rsidR="00331054">
              <w:rPr>
                <w:rFonts w:ascii="Verdana" w:hAnsi="Verdana"/>
                <w:lang w:val="sr-Latn-ME"/>
              </w:rPr>
              <w:t xml:space="preserve"> sa</w:t>
            </w:r>
            <w:r w:rsidRPr="00597E35">
              <w:rPr>
                <w:rFonts w:ascii="Verdana" w:hAnsi="Verdana"/>
                <w:lang w:val="sr-Latn-ME"/>
              </w:rPr>
              <w:t xml:space="preserve"> predstavni</w:t>
            </w:r>
            <w:r w:rsidR="00331054">
              <w:rPr>
                <w:rFonts w:ascii="Verdana" w:hAnsi="Verdana"/>
                <w:lang w:val="sr-Latn-ME"/>
              </w:rPr>
              <w:t>cima</w:t>
            </w:r>
            <w:r w:rsidRPr="00597E35">
              <w:rPr>
                <w:rFonts w:ascii="Verdana" w:hAnsi="Verdana"/>
                <w:lang w:val="sr-Latn-ME"/>
              </w:rPr>
              <w:t xml:space="preserve"> javnih i privatnih medija o poznavanju Konvencije UN o pravima lica sa invaliditetom; </w:t>
            </w:r>
          </w:p>
          <w:p w:rsidR="00B276E0" w:rsidRDefault="00B276E0" w:rsidP="00B276E0">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izradu stručnih analize pristupačnih objekata u javnoj upotrebi u cilju ažuriranja interaktivnih mapa-baze podataka istih</w:t>
            </w:r>
            <w:r w:rsidRPr="007A7D20">
              <w:rPr>
                <w:rFonts w:asciiTheme="minorHAnsi" w:hAnsiTheme="minorHAnsi" w:cstheme="minorHAnsi"/>
                <w:sz w:val="24"/>
                <w:szCs w:val="24"/>
                <w:lang w:val="sr-Latn-ME" w:eastAsia="ja-JP"/>
              </w:rPr>
              <w:t xml:space="preserve">; </w:t>
            </w:r>
          </w:p>
          <w:p w:rsidR="00B276E0" w:rsidRDefault="00B276E0" w:rsidP="00B276E0">
            <w:pPr>
              <w:pStyle w:val="ListParagraph"/>
              <w:numPr>
                <w:ilvl w:val="0"/>
                <w:numId w:val="14"/>
              </w:numPr>
              <w:jc w:val="both"/>
              <w:rPr>
                <w:rFonts w:asciiTheme="minorHAnsi" w:hAnsiTheme="minorHAnsi" w:cstheme="minorHAnsi"/>
                <w:sz w:val="24"/>
                <w:szCs w:val="24"/>
                <w:lang w:val="sr-Latn-ME" w:eastAsia="ja-JP"/>
              </w:rPr>
            </w:pPr>
            <w:r w:rsidRPr="002424DD">
              <w:rPr>
                <w:rFonts w:asciiTheme="minorHAnsi" w:hAnsiTheme="minorHAnsi" w:cstheme="minorHAnsi"/>
                <w:sz w:val="24"/>
                <w:szCs w:val="24"/>
                <w:lang w:val="sr-Latn-ME" w:eastAsia="ja-JP"/>
              </w:rPr>
              <w:t>postavljanje interaktivne mape sa pristupačnim objektima za lica sa invaliditetom na aerodromima, autobuskim i željezničkim stanicama;</w:t>
            </w:r>
          </w:p>
          <w:p w:rsidR="00B276E0" w:rsidRPr="00B276E0" w:rsidRDefault="00B276E0" w:rsidP="00B276E0">
            <w:pPr>
              <w:pStyle w:val="ListParagraph"/>
              <w:numPr>
                <w:ilvl w:val="0"/>
                <w:numId w:val="14"/>
              </w:numPr>
              <w:jc w:val="both"/>
              <w:rPr>
                <w:rFonts w:asciiTheme="minorHAnsi" w:hAnsiTheme="minorHAnsi" w:cstheme="minorHAnsi"/>
                <w:sz w:val="24"/>
                <w:szCs w:val="24"/>
                <w:lang w:val="sr-Latn-ME" w:eastAsia="ja-JP"/>
              </w:rPr>
            </w:pPr>
            <w:r w:rsidRPr="00B276E0">
              <w:rPr>
                <w:rFonts w:asciiTheme="minorHAnsi" w:hAnsiTheme="minorHAnsi" w:cstheme="minorHAnsi"/>
                <w:sz w:val="24"/>
                <w:szCs w:val="24"/>
                <w:lang w:val="sr-Latn-ME" w:eastAsia="ja-JP"/>
              </w:rPr>
              <w:t>aktivnosti na promociji pristupačnosti objektima putem slike, organizacija likovnih sekcija i izložbi;</w:t>
            </w:r>
          </w:p>
          <w:p w:rsidR="00B276E0" w:rsidRDefault="00B276E0" w:rsidP="00B276E0">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p</w:t>
            </w:r>
            <w:r w:rsidRPr="007A7D20">
              <w:rPr>
                <w:rFonts w:asciiTheme="minorHAnsi" w:hAnsiTheme="minorHAnsi" w:cstheme="minorHAnsi"/>
                <w:sz w:val="24"/>
                <w:szCs w:val="24"/>
                <w:lang w:val="sr-Latn-ME" w:eastAsia="ja-JP"/>
              </w:rPr>
              <w:t>romocij</w:t>
            </w:r>
            <w:r>
              <w:rPr>
                <w:rFonts w:asciiTheme="minorHAnsi" w:hAnsiTheme="minorHAnsi" w:cstheme="minorHAnsi"/>
                <w:sz w:val="24"/>
                <w:szCs w:val="24"/>
                <w:lang w:val="sr-Latn-ME" w:eastAsia="ja-JP"/>
              </w:rPr>
              <w:t>u</w:t>
            </w:r>
            <w:r w:rsidRPr="007A7D20">
              <w:rPr>
                <w:rFonts w:asciiTheme="minorHAnsi" w:hAnsiTheme="minorHAnsi" w:cstheme="minorHAnsi"/>
                <w:sz w:val="24"/>
                <w:szCs w:val="24"/>
                <w:lang w:val="sr-Latn-ME" w:eastAsia="ja-JP"/>
              </w:rPr>
              <w:t xml:space="preserve"> snimanja kratkometražnih filmova na temu</w:t>
            </w:r>
            <w:r>
              <w:rPr>
                <w:rFonts w:asciiTheme="minorHAnsi" w:hAnsiTheme="minorHAnsi" w:cstheme="minorHAnsi"/>
                <w:sz w:val="24"/>
                <w:szCs w:val="24"/>
                <w:lang w:val="sr-Latn-ME" w:eastAsia="ja-JP"/>
              </w:rPr>
              <w:t xml:space="preserve"> pristupačnosti objekata u javnoj upotrebi</w:t>
            </w:r>
            <w:r w:rsidRPr="007A7D20">
              <w:rPr>
                <w:rFonts w:asciiTheme="minorHAnsi" w:hAnsiTheme="minorHAnsi" w:cstheme="minorHAnsi"/>
                <w:sz w:val="24"/>
                <w:szCs w:val="24"/>
                <w:lang w:val="sr-Latn-ME" w:eastAsia="ja-JP"/>
              </w:rPr>
              <w:t xml:space="preserve"> u trajanju od 5 minuta</w:t>
            </w:r>
            <w:r>
              <w:rPr>
                <w:rFonts w:asciiTheme="minorHAnsi" w:hAnsiTheme="minorHAnsi" w:cstheme="minorHAnsi"/>
                <w:sz w:val="24"/>
                <w:szCs w:val="24"/>
                <w:lang w:val="sr-Latn-ME" w:eastAsia="ja-JP"/>
              </w:rPr>
              <w:t>;</w:t>
            </w:r>
          </w:p>
          <w:p w:rsidR="000D260E" w:rsidRPr="00A46ACE" w:rsidRDefault="00B276E0" w:rsidP="00A46ACE">
            <w:pPr>
              <w:pStyle w:val="ListParagraph"/>
              <w:numPr>
                <w:ilvl w:val="0"/>
                <w:numId w:val="14"/>
              </w:numPr>
              <w:jc w:val="both"/>
              <w:rPr>
                <w:rFonts w:asciiTheme="minorHAnsi" w:hAnsiTheme="minorHAnsi" w:cstheme="minorHAnsi"/>
                <w:sz w:val="24"/>
                <w:szCs w:val="24"/>
                <w:lang w:val="sr-Latn-ME" w:eastAsia="ja-JP"/>
              </w:rPr>
            </w:pPr>
            <w:r w:rsidRPr="000D260E">
              <w:rPr>
                <w:rFonts w:asciiTheme="minorHAnsi" w:hAnsiTheme="minorHAnsi" w:cstheme="minorHAnsi"/>
                <w:sz w:val="24"/>
                <w:szCs w:val="24"/>
                <w:lang w:val="sr-Latn-ME" w:eastAsia="ja-JP"/>
              </w:rPr>
              <w:t>sprovođenje odgovarajuće medijske kampanje usmjerene na popularizaciju pristupačnosti objektima</w:t>
            </w:r>
          </w:p>
          <w:p w:rsidR="00B276E0" w:rsidRPr="000D260E" w:rsidRDefault="00B276E0" w:rsidP="009217E7">
            <w:pPr>
              <w:pStyle w:val="ListParagraph"/>
              <w:numPr>
                <w:ilvl w:val="0"/>
                <w:numId w:val="14"/>
              </w:numPr>
              <w:jc w:val="both"/>
              <w:rPr>
                <w:rFonts w:asciiTheme="minorHAnsi" w:hAnsiTheme="minorHAnsi" w:cstheme="minorHAnsi"/>
                <w:sz w:val="24"/>
                <w:szCs w:val="24"/>
                <w:lang w:val="sr-Latn-ME" w:eastAsia="ja-JP"/>
              </w:rPr>
            </w:pPr>
            <w:r w:rsidRPr="000D260E">
              <w:rPr>
                <w:rFonts w:asciiTheme="minorHAnsi" w:hAnsiTheme="minorHAnsi" w:cstheme="minorHAnsi"/>
                <w:sz w:val="24"/>
                <w:szCs w:val="24"/>
                <w:lang w:val="sr-Latn-ME" w:eastAsia="ja-JP"/>
              </w:rPr>
              <w:lastRenderedPageBreak/>
              <w:t xml:space="preserve"> uključivanje savremene tehnologije u izradi nekog idejnog rješenja na primjer: primjena VI AR ( virtuelna stvarnost) tehnologije ili aplikacija za promociju pristupačnosti objektima u javnoj upotrebi;</w:t>
            </w:r>
          </w:p>
          <w:p w:rsidR="00B276E0" w:rsidRPr="00AE66DB" w:rsidRDefault="00B276E0" w:rsidP="00B276E0">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w:t>
            </w:r>
            <w:r w:rsidRPr="007A7D20">
              <w:rPr>
                <w:rFonts w:asciiTheme="minorHAnsi" w:hAnsiTheme="minorHAnsi" w:cstheme="minorHAnsi"/>
                <w:sz w:val="24"/>
                <w:szCs w:val="24"/>
                <w:lang w:val="sr-Latn-ME" w:eastAsia="ja-JP"/>
              </w:rPr>
              <w:t>zrad</w:t>
            </w:r>
            <w:r>
              <w:rPr>
                <w:rFonts w:asciiTheme="minorHAnsi" w:hAnsiTheme="minorHAnsi" w:cstheme="minorHAnsi"/>
                <w:sz w:val="24"/>
                <w:szCs w:val="24"/>
                <w:lang w:val="sr-Latn-ME" w:eastAsia="ja-JP"/>
              </w:rPr>
              <w:t>u</w:t>
            </w:r>
            <w:r w:rsidRPr="007A7D20">
              <w:rPr>
                <w:rFonts w:asciiTheme="minorHAnsi" w:hAnsiTheme="minorHAnsi" w:cstheme="minorHAnsi"/>
                <w:sz w:val="24"/>
                <w:szCs w:val="24"/>
                <w:lang w:val="sr-Latn-ME" w:eastAsia="ja-JP"/>
              </w:rPr>
              <w:t xml:space="preserve"> portala, publikacija koja predstavlja vrstu vodiča za građane u kojem oni mogu pronaći veliki broj korisnih informacija vezano za pristupačnost objektima u javnoj upotrebi, koje će im pomagati u svakodnevnom životu ( odlazak  u domove zdravlja, bolnice , škole, objekte k</w:t>
            </w:r>
            <w:r>
              <w:rPr>
                <w:rFonts w:asciiTheme="minorHAnsi" w:hAnsiTheme="minorHAnsi" w:cstheme="minorHAnsi"/>
                <w:sz w:val="24"/>
                <w:szCs w:val="24"/>
                <w:lang w:val="sr-Latn-ME" w:eastAsia="ja-JP"/>
              </w:rPr>
              <w:t>u</w:t>
            </w:r>
            <w:r w:rsidRPr="007A7D20">
              <w:rPr>
                <w:rFonts w:asciiTheme="minorHAnsi" w:hAnsiTheme="minorHAnsi" w:cstheme="minorHAnsi"/>
                <w:sz w:val="24"/>
                <w:szCs w:val="24"/>
                <w:lang w:val="sr-Latn-ME" w:eastAsia="ja-JP"/>
              </w:rPr>
              <w:t>lture , pozorišta , bioskope , biblioteke,  pijace, plaže, parkove...)</w:t>
            </w:r>
          </w:p>
          <w:p w:rsidR="00243503" w:rsidRPr="00B276E0" w:rsidRDefault="00243503" w:rsidP="00B276E0">
            <w:pPr>
              <w:ind w:left="360"/>
              <w:jc w:val="both"/>
              <w:rPr>
                <w:rFonts w:cstheme="minorHAnsi"/>
                <w:sz w:val="24"/>
                <w:szCs w:val="24"/>
                <w:lang w:val="sr-Latn-ME" w:eastAsia="ja-JP"/>
              </w:rPr>
            </w:pPr>
          </w:p>
        </w:tc>
        <w:tc>
          <w:tcPr>
            <w:tcW w:w="5443"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tcPr>
          <w:p w:rsidR="004D538D" w:rsidRDefault="004D538D" w:rsidP="00331054">
            <w:pPr>
              <w:jc w:val="both"/>
              <w:rPr>
                <w:rFonts w:cstheme="minorHAnsi"/>
                <w:sz w:val="24"/>
                <w:szCs w:val="24"/>
                <w:lang w:val="sr-Latn-ME" w:eastAsia="ja-JP"/>
              </w:rPr>
            </w:pPr>
          </w:p>
          <w:p w:rsidR="000D260E" w:rsidRDefault="000D260E" w:rsidP="00331054">
            <w:pPr>
              <w:jc w:val="both"/>
              <w:rPr>
                <w:rFonts w:cstheme="minorHAnsi"/>
                <w:sz w:val="24"/>
                <w:szCs w:val="24"/>
                <w:lang w:val="sr-Latn-ME" w:eastAsia="ja-JP"/>
              </w:rPr>
            </w:pPr>
          </w:p>
          <w:p w:rsidR="000D260E" w:rsidRPr="007A7D20" w:rsidRDefault="000D260E" w:rsidP="000D260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i vrsta finansiranih i realizovanih projekata;</w:t>
            </w:r>
          </w:p>
          <w:p w:rsidR="00331054" w:rsidRPr="000D260E" w:rsidRDefault="000D260E" w:rsidP="00331054">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učesnika obuhvaćenih  održanim seminarima, radionicama, okruglim stolovima, obukama;</w:t>
            </w:r>
          </w:p>
          <w:p w:rsidR="004D538D" w:rsidRPr="000D260E" w:rsidRDefault="004D538D" w:rsidP="000D260E">
            <w:pPr>
              <w:pStyle w:val="ListParagraph"/>
              <w:numPr>
                <w:ilvl w:val="0"/>
                <w:numId w:val="14"/>
              </w:numPr>
              <w:jc w:val="both"/>
              <w:rPr>
                <w:rFonts w:ascii="Verdana" w:hAnsi="Verdana"/>
                <w:lang w:val="sr-Latn-ME"/>
              </w:rPr>
            </w:pPr>
            <w:r w:rsidRPr="00597E35">
              <w:rPr>
                <w:rFonts w:ascii="Verdana" w:hAnsi="Verdana"/>
                <w:lang w:val="sr-Latn-ME"/>
              </w:rPr>
              <w:t>sprov</w:t>
            </w:r>
            <w:r>
              <w:rPr>
                <w:rFonts w:ascii="Verdana" w:hAnsi="Verdana"/>
                <w:lang w:val="sr-Latn-ME"/>
              </w:rPr>
              <w:t>edena</w:t>
            </w:r>
            <w:r w:rsidRPr="00597E35">
              <w:rPr>
                <w:rFonts w:ascii="Verdana" w:hAnsi="Verdana"/>
                <w:lang w:val="sr-Latn-ME"/>
              </w:rPr>
              <w:t xml:space="preserve"> istraživanja o položaju lica sa invaliditetom  vezano za arhitektonske barijere i fizičku pristupačnost objektima u javnoj upotrebi; </w:t>
            </w:r>
          </w:p>
          <w:p w:rsidR="004D538D" w:rsidRPr="000D260E" w:rsidRDefault="004D538D" w:rsidP="000D260E">
            <w:pPr>
              <w:pStyle w:val="ListParagraph"/>
              <w:numPr>
                <w:ilvl w:val="0"/>
                <w:numId w:val="14"/>
              </w:numPr>
              <w:jc w:val="both"/>
              <w:rPr>
                <w:rFonts w:asciiTheme="minorHAnsi" w:hAnsiTheme="minorHAnsi" w:cstheme="minorHAnsi"/>
                <w:sz w:val="24"/>
                <w:szCs w:val="24"/>
                <w:lang w:val="sr-Latn-ME" w:eastAsia="ja-JP"/>
              </w:rPr>
            </w:pPr>
            <w:r w:rsidRPr="00597E35">
              <w:rPr>
                <w:rFonts w:ascii="Verdana" w:hAnsi="Verdana"/>
                <w:lang w:val="sr-Latn-ME"/>
              </w:rPr>
              <w:t>smanjen</w:t>
            </w:r>
            <w:r>
              <w:rPr>
                <w:rFonts w:ascii="Verdana" w:hAnsi="Verdana"/>
                <w:lang w:val="sr-Latn-ME"/>
              </w:rPr>
              <w:t>a</w:t>
            </w:r>
            <w:r w:rsidRPr="00597E35">
              <w:rPr>
                <w:rFonts w:ascii="Verdana" w:hAnsi="Verdana"/>
                <w:lang w:val="sr-Latn-ME"/>
              </w:rPr>
              <w:t xml:space="preserve"> diskriminacij</w:t>
            </w:r>
            <w:r>
              <w:rPr>
                <w:rFonts w:ascii="Verdana" w:hAnsi="Verdana"/>
                <w:lang w:val="sr-Latn-ME"/>
              </w:rPr>
              <w:t>a</w:t>
            </w:r>
            <w:r w:rsidRPr="00597E35">
              <w:rPr>
                <w:rFonts w:ascii="Verdana" w:hAnsi="Verdana"/>
                <w:lang w:val="sr-Latn-ME"/>
              </w:rPr>
              <w:t xml:space="preserve"> lica sa invaliditetom sa posebnim akcentom na arhitektonske barijere objekata u javnoj upotrebi</w:t>
            </w:r>
          </w:p>
          <w:p w:rsidR="004D538D" w:rsidRPr="000D260E" w:rsidRDefault="004D538D" w:rsidP="00331054">
            <w:pPr>
              <w:pStyle w:val="ListParagraph"/>
              <w:numPr>
                <w:ilvl w:val="0"/>
                <w:numId w:val="14"/>
              </w:numPr>
              <w:jc w:val="both"/>
              <w:rPr>
                <w:rFonts w:ascii="Verdana" w:hAnsi="Verdana"/>
                <w:lang w:val="sr-Latn-ME"/>
              </w:rPr>
            </w:pPr>
            <w:r w:rsidRPr="00597E35">
              <w:rPr>
                <w:rFonts w:ascii="Verdana" w:hAnsi="Verdana"/>
                <w:lang w:val="sr-Latn-ME"/>
              </w:rPr>
              <w:lastRenderedPageBreak/>
              <w:t>organizova</w:t>
            </w:r>
            <w:r>
              <w:rPr>
                <w:rFonts w:ascii="Verdana" w:hAnsi="Verdana"/>
                <w:lang w:val="sr-Latn-ME"/>
              </w:rPr>
              <w:t>na</w:t>
            </w:r>
            <w:r w:rsidRPr="00597E35">
              <w:rPr>
                <w:rFonts w:ascii="Verdana" w:hAnsi="Verdana"/>
                <w:lang w:val="sr-Latn-ME"/>
              </w:rPr>
              <w:t xml:space="preserve"> Konferencij</w:t>
            </w:r>
            <w:r>
              <w:rPr>
                <w:rFonts w:ascii="Verdana" w:hAnsi="Verdana"/>
                <w:lang w:val="sr-Latn-ME"/>
              </w:rPr>
              <w:t>a</w:t>
            </w:r>
            <w:r>
              <w:rPr>
                <w:rFonts w:ascii="Verdana" w:hAnsi="Verdana"/>
                <w:lang w:val="sr-Latn-ME"/>
              </w:rPr>
              <w:t xml:space="preserve">  sa predstavnicima zemalja iz okruženja, stručne i zainteresovane javnosti, </w:t>
            </w:r>
          </w:p>
          <w:p w:rsidR="004D538D" w:rsidRPr="00C727C2" w:rsidRDefault="004D538D" w:rsidP="004D538D">
            <w:pPr>
              <w:pStyle w:val="ListParagraph"/>
              <w:numPr>
                <w:ilvl w:val="0"/>
                <w:numId w:val="14"/>
              </w:numPr>
              <w:jc w:val="both"/>
              <w:rPr>
                <w:rFonts w:ascii="Verdana" w:hAnsi="Verdana"/>
                <w:lang w:val="sr-Latn-ME"/>
              </w:rPr>
            </w:pPr>
            <w:r w:rsidRPr="00897F88">
              <w:rPr>
                <w:rFonts w:asciiTheme="minorHAnsi" w:hAnsiTheme="minorHAnsi" w:cstheme="minorHAnsi"/>
                <w:sz w:val="24"/>
                <w:szCs w:val="24"/>
                <w:lang w:val="sr-Latn-ME" w:eastAsia="ja-JP"/>
              </w:rPr>
              <w:t>organizovan</w:t>
            </w:r>
            <w:r>
              <w:rPr>
                <w:rFonts w:asciiTheme="minorHAnsi" w:hAnsiTheme="minorHAnsi" w:cstheme="minorHAnsi"/>
                <w:sz w:val="24"/>
                <w:szCs w:val="24"/>
                <w:lang w:val="sr-Latn-ME" w:eastAsia="ja-JP"/>
              </w:rPr>
              <w:t>a</w:t>
            </w:r>
            <w:r w:rsidRPr="00897F88">
              <w:rPr>
                <w:rFonts w:asciiTheme="minorHAnsi" w:hAnsiTheme="minorHAnsi" w:cstheme="minorHAnsi"/>
                <w:sz w:val="24"/>
                <w:szCs w:val="24"/>
                <w:lang w:val="sr-Latn-ME" w:eastAsia="ja-JP"/>
              </w:rPr>
              <w:t xml:space="preserve"> </w:t>
            </w:r>
            <w:r>
              <w:rPr>
                <w:rFonts w:asciiTheme="minorHAnsi" w:hAnsiTheme="minorHAnsi" w:cstheme="minorHAnsi"/>
                <w:sz w:val="24"/>
                <w:szCs w:val="24"/>
                <w:lang w:val="sr-Latn-ME" w:eastAsia="ja-JP"/>
              </w:rPr>
              <w:t>K</w:t>
            </w:r>
            <w:r w:rsidRPr="00897F88">
              <w:rPr>
                <w:rFonts w:asciiTheme="minorHAnsi" w:hAnsiTheme="minorHAnsi" w:cstheme="minorHAnsi"/>
                <w:sz w:val="24"/>
                <w:szCs w:val="24"/>
                <w:lang w:val="sr-Latn-ME" w:eastAsia="ja-JP"/>
              </w:rPr>
              <w:t>onferencij</w:t>
            </w:r>
            <w:r>
              <w:rPr>
                <w:rFonts w:asciiTheme="minorHAnsi" w:hAnsiTheme="minorHAnsi" w:cstheme="minorHAnsi"/>
                <w:sz w:val="24"/>
                <w:szCs w:val="24"/>
                <w:lang w:val="sr-Latn-ME" w:eastAsia="ja-JP"/>
              </w:rPr>
              <w:t>a</w:t>
            </w:r>
            <w:r w:rsidRPr="00897F88">
              <w:rPr>
                <w:rFonts w:asciiTheme="minorHAnsi" w:hAnsiTheme="minorHAnsi" w:cstheme="minorHAnsi"/>
                <w:sz w:val="24"/>
                <w:szCs w:val="24"/>
                <w:lang w:val="sr-Latn-ME" w:eastAsia="ja-JP"/>
              </w:rPr>
              <w:t xml:space="preserve"> na temu </w:t>
            </w:r>
            <w:r w:rsidRPr="00597E35">
              <w:rPr>
                <w:rFonts w:ascii="Verdana" w:hAnsi="Verdana"/>
                <w:lang w:val="sr-Latn-ME"/>
              </w:rPr>
              <w:t>razumnog prilagođavanja i univerzalnog dizajna;</w:t>
            </w:r>
          </w:p>
          <w:p w:rsidR="004D538D" w:rsidRPr="004D538D" w:rsidRDefault="004D538D" w:rsidP="004D538D">
            <w:pPr>
              <w:jc w:val="both"/>
              <w:rPr>
                <w:rFonts w:cstheme="minorHAnsi"/>
                <w:sz w:val="24"/>
                <w:szCs w:val="24"/>
                <w:lang w:val="sr-Latn-ME" w:eastAsia="ja-JP"/>
              </w:rPr>
            </w:pPr>
          </w:p>
          <w:p w:rsidR="004D538D" w:rsidRDefault="004D538D" w:rsidP="004D538D">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organizovan</w:t>
            </w:r>
            <w:r>
              <w:rPr>
                <w:rFonts w:asciiTheme="minorHAnsi" w:hAnsiTheme="minorHAnsi" w:cstheme="minorHAnsi"/>
                <w:sz w:val="24"/>
                <w:szCs w:val="24"/>
                <w:lang w:val="sr-Latn-ME" w:eastAsia="ja-JP"/>
              </w:rPr>
              <w:t>a</w:t>
            </w:r>
            <w:r w:rsidRPr="00897F88">
              <w:rPr>
                <w:rFonts w:asciiTheme="minorHAnsi" w:hAnsiTheme="minorHAnsi" w:cstheme="minorHAnsi"/>
                <w:sz w:val="24"/>
                <w:szCs w:val="24"/>
                <w:lang w:val="sr-Latn-ME" w:eastAsia="ja-JP"/>
              </w:rPr>
              <w:t xml:space="preserve"> 2</w:t>
            </w:r>
            <w:r>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 xml:space="preserve">okrugla stola, </w:t>
            </w:r>
            <w:r>
              <w:rPr>
                <w:rFonts w:asciiTheme="minorHAnsi" w:hAnsiTheme="minorHAnsi" w:cstheme="minorHAnsi"/>
                <w:sz w:val="24"/>
                <w:szCs w:val="24"/>
                <w:lang w:val="sr-Latn-ME" w:eastAsia="ja-JP"/>
              </w:rPr>
              <w:t>2</w:t>
            </w:r>
            <w:r w:rsidR="00A46ACE">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radionic</w:t>
            </w:r>
            <w:r>
              <w:rPr>
                <w:rFonts w:asciiTheme="minorHAnsi" w:hAnsiTheme="minorHAnsi" w:cstheme="minorHAnsi"/>
                <w:sz w:val="24"/>
                <w:szCs w:val="24"/>
                <w:lang w:val="sr-Latn-ME" w:eastAsia="ja-JP"/>
              </w:rPr>
              <w:t>e</w:t>
            </w:r>
            <w:r w:rsidRPr="00897F88">
              <w:rPr>
                <w:rFonts w:asciiTheme="minorHAnsi" w:hAnsiTheme="minorHAnsi" w:cstheme="minorHAnsi"/>
                <w:sz w:val="24"/>
                <w:szCs w:val="24"/>
                <w:lang w:val="sr-Latn-ME" w:eastAsia="ja-JP"/>
              </w:rPr>
              <w:t xml:space="preserve"> i</w:t>
            </w:r>
            <w:r>
              <w:rPr>
                <w:rFonts w:asciiTheme="minorHAnsi" w:hAnsiTheme="minorHAnsi" w:cstheme="minorHAnsi"/>
                <w:sz w:val="24"/>
                <w:szCs w:val="24"/>
                <w:lang w:val="sr-Latn-ME" w:eastAsia="ja-JP"/>
              </w:rPr>
              <w:t xml:space="preserve"> tribina </w:t>
            </w:r>
            <w:r w:rsidR="00A46ACE" w:rsidRPr="00897F88">
              <w:rPr>
                <w:rFonts w:asciiTheme="minorHAnsi" w:hAnsiTheme="minorHAnsi" w:cstheme="minorHAnsi"/>
                <w:sz w:val="24"/>
                <w:szCs w:val="24"/>
                <w:lang w:val="sr-Latn-ME" w:eastAsia="ja-JP"/>
              </w:rPr>
              <w:t xml:space="preserve">za različite ciljne grupe </w:t>
            </w:r>
            <w:r>
              <w:rPr>
                <w:rFonts w:asciiTheme="minorHAnsi" w:hAnsiTheme="minorHAnsi" w:cstheme="minorHAnsi"/>
                <w:sz w:val="24"/>
                <w:szCs w:val="24"/>
                <w:lang w:val="sr-Latn-ME" w:eastAsia="ja-JP"/>
              </w:rPr>
              <w:t>sa minimum 20 učesnika</w:t>
            </w:r>
            <w:r w:rsidR="007617ED">
              <w:rPr>
                <w:rFonts w:asciiTheme="minorHAnsi" w:hAnsiTheme="minorHAnsi" w:cstheme="minorHAnsi"/>
                <w:sz w:val="24"/>
                <w:szCs w:val="24"/>
                <w:lang w:val="sr-Latn-ME" w:eastAsia="ja-JP"/>
              </w:rPr>
              <w:t>;</w:t>
            </w:r>
          </w:p>
          <w:p w:rsidR="007617ED" w:rsidRPr="00123E06" w:rsidRDefault="007617ED" w:rsidP="00123E06">
            <w:pPr>
              <w:jc w:val="both"/>
              <w:rPr>
                <w:rFonts w:cstheme="minorHAnsi"/>
                <w:sz w:val="24"/>
                <w:szCs w:val="24"/>
                <w:lang w:val="sr-Latn-ME" w:eastAsia="ja-JP"/>
              </w:rPr>
            </w:pPr>
          </w:p>
          <w:p w:rsidR="004D538D" w:rsidRDefault="004D538D" w:rsidP="004D538D">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t>organizovan</w:t>
            </w:r>
            <w:r>
              <w:rPr>
                <w:rFonts w:asciiTheme="minorHAnsi" w:hAnsiTheme="minorHAnsi" w:cstheme="minorHAnsi"/>
                <w:sz w:val="24"/>
                <w:szCs w:val="24"/>
                <w:lang w:val="sr-Latn-ME" w:eastAsia="ja-JP"/>
              </w:rPr>
              <w:t>a</w:t>
            </w:r>
            <w:r w:rsidRPr="00897F88">
              <w:rPr>
                <w:rFonts w:asciiTheme="minorHAnsi" w:hAnsiTheme="minorHAnsi" w:cstheme="minorHAnsi"/>
                <w:sz w:val="24"/>
                <w:szCs w:val="24"/>
                <w:lang w:val="sr-Latn-ME" w:eastAsia="ja-JP"/>
              </w:rPr>
              <w:t xml:space="preserve"> 2</w:t>
            </w:r>
            <w:r>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 xml:space="preserve">okrugla stola, </w:t>
            </w:r>
            <w:r>
              <w:rPr>
                <w:rFonts w:asciiTheme="minorHAnsi" w:hAnsiTheme="minorHAnsi" w:cstheme="minorHAnsi"/>
                <w:sz w:val="24"/>
                <w:szCs w:val="24"/>
                <w:lang w:val="sr-Latn-ME" w:eastAsia="ja-JP"/>
              </w:rPr>
              <w:t>2</w:t>
            </w:r>
            <w:r w:rsidR="00A46ACE">
              <w:rPr>
                <w:rFonts w:asciiTheme="minorHAnsi" w:hAnsiTheme="minorHAnsi" w:cstheme="minorHAnsi"/>
                <w:sz w:val="24"/>
                <w:szCs w:val="24"/>
                <w:lang w:val="sr-Latn-ME" w:eastAsia="ja-JP"/>
              </w:rPr>
              <w:t xml:space="preserve"> </w:t>
            </w:r>
            <w:r w:rsidRPr="00897F88">
              <w:rPr>
                <w:rFonts w:asciiTheme="minorHAnsi" w:hAnsiTheme="minorHAnsi" w:cstheme="minorHAnsi"/>
                <w:sz w:val="24"/>
                <w:szCs w:val="24"/>
                <w:lang w:val="sr-Latn-ME" w:eastAsia="ja-JP"/>
              </w:rPr>
              <w:t>radionic</w:t>
            </w:r>
            <w:r>
              <w:rPr>
                <w:rFonts w:asciiTheme="minorHAnsi" w:hAnsiTheme="minorHAnsi" w:cstheme="minorHAnsi"/>
                <w:sz w:val="24"/>
                <w:szCs w:val="24"/>
                <w:lang w:val="sr-Latn-ME" w:eastAsia="ja-JP"/>
              </w:rPr>
              <w:t>e</w:t>
            </w:r>
            <w:r w:rsidRPr="00897F88">
              <w:rPr>
                <w:rFonts w:asciiTheme="minorHAnsi" w:hAnsiTheme="minorHAnsi" w:cstheme="minorHAnsi"/>
                <w:sz w:val="24"/>
                <w:szCs w:val="24"/>
                <w:lang w:val="sr-Latn-ME" w:eastAsia="ja-JP"/>
              </w:rPr>
              <w:t xml:space="preserve"> i</w:t>
            </w:r>
            <w:r>
              <w:rPr>
                <w:rFonts w:asciiTheme="minorHAnsi" w:hAnsiTheme="minorHAnsi" w:cstheme="minorHAnsi"/>
                <w:sz w:val="24"/>
                <w:szCs w:val="24"/>
                <w:lang w:val="sr-Latn-ME" w:eastAsia="ja-JP"/>
              </w:rPr>
              <w:t xml:space="preserve"> </w:t>
            </w:r>
            <w:r>
              <w:rPr>
                <w:rFonts w:asciiTheme="minorHAnsi" w:hAnsiTheme="minorHAnsi" w:cstheme="minorHAnsi"/>
                <w:sz w:val="24"/>
                <w:szCs w:val="24"/>
                <w:lang w:val="sr-Latn-ME" w:eastAsia="ja-JP"/>
              </w:rPr>
              <w:t xml:space="preserve">seminar </w:t>
            </w:r>
            <w:r w:rsidR="00A46ACE" w:rsidRPr="00897F88">
              <w:rPr>
                <w:rFonts w:asciiTheme="minorHAnsi" w:hAnsiTheme="minorHAnsi" w:cstheme="minorHAnsi"/>
                <w:sz w:val="24"/>
                <w:szCs w:val="24"/>
                <w:lang w:val="sr-Latn-ME" w:eastAsia="ja-JP"/>
              </w:rPr>
              <w:t>za lica sa invaliditetom i njihove porodice u lokalnim zajedicama uz učešće predstavnika NVO i građana na temu</w:t>
            </w:r>
            <w:r w:rsidR="00A46ACE">
              <w:rPr>
                <w:rFonts w:asciiTheme="minorHAnsi" w:hAnsiTheme="minorHAnsi" w:cstheme="minorHAnsi"/>
                <w:sz w:val="24"/>
                <w:szCs w:val="24"/>
                <w:lang w:val="sr-Latn-ME" w:eastAsia="ja-JP"/>
              </w:rPr>
              <w:t xml:space="preserve"> </w:t>
            </w:r>
            <w:r>
              <w:rPr>
                <w:rFonts w:asciiTheme="minorHAnsi" w:hAnsiTheme="minorHAnsi" w:cstheme="minorHAnsi"/>
                <w:sz w:val="24"/>
                <w:szCs w:val="24"/>
                <w:lang w:val="sr-Latn-ME" w:eastAsia="ja-JP"/>
              </w:rPr>
              <w:t xml:space="preserve">sa minimum </w:t>
            </w:r>
            <w:r>
              <w:rPr>
                <w:rFonts w:asciiTheme="minorHAnsi" w:hAnsiTheme="minorHAnsi" w:cstheme="minorHAnsi"/>
                <w:sz w:val="24"/>
                <w:szCs w:val="24"/>
                <w:lang w:val="sr-Latn-ME" w:eastAsia="ja-JP"/>
              </w:rPr>
              <w:t>15</w:t>
            </w:r>
            <w:r>
              <w:rPr>
                <w:rFonts w:asciiTheme="minorHAnsi" w:hAnsiTheme="minorHAnsi" w:cstheme="minorHAnsi"/>
                <w:sz w:val="24"/>
                <w:szCs w:val="24"/>
                <w:lang w:val="sr-Latn-ME" w:eastAsia="ja-JP"/>
              </w:rPr>
              <w:t xml:space="preserve"> učesnika</w:t>
            </w:r>
            <w:r w:rsidR="007617ED">
              <w:rPr>
                <w:rFonts w:asciiTheme="minorHAnsi" w:hAnsiTheme="minorHAnsi" w:cstheme="minorHAnsi"/>
                <w:sz w:val="24"/>
                <w:szCs w:val="24"/>
                <w:lang w:val="sr-Latn-ME" w:eastAsia="ja-JP"/>
              </w:rPr>
              <w:t>;</w:t>
            </w:r>
          </w:p>
          <w:p w:rsidR="007617ED" w:rsidRPr="00A46ACE" w:rsidRDefault="007617ED" w:rsidP="007617ED">
            <w:pPr>
              <w:pStyle w:val="ListParagraph"/>
              <w:jc w:val="both"/>
              <w:rPr>
                <w:rFonts w:asciiTheme="minorHAnsi" w:hAnsiTheme="minorHAnsi" w:cstheme="minorHAnsi"/>
                <w:sz w:val="24"/>
                <w:szCs w:val="24"/>
                <w:lang w:val="sr-Latn-ME" w:eastAsia="ja-JP"/>
              </w:rPr>
            </w:pPr>
          </w:p>
          <w:p w:rsidR="00331054" w:rsidRDefault="00A46ACE" w:rsidP="004D538D">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b</w:t>
            </w:r>
            <w:r w:rsidR="000D260E" w:rsidRPr="007A7D20">
              <w:rPr>
                <w:rFonts w:asciiTheme="minorHAnsi" w:hAnsiTheme="minorHAnsi" w:cstheme="minorHAnsi"/>
                <w:sz w:val="24"/>
                <w:szCs w:val="24"/>
                <w:lang w:val="sr-Latn-ME" w:eastAsia="ja-JP"/>
              </w:rPr>
              <w:t>roj relevantnih organizacija, udruženja, institucija koji su obuhvaćeni projektnim aktivnostima 20</w:t>
            </w:r>
            <w:r w:rsidR="007617ED">
              <w:rPr>
                <w:rFonts w:asciiTheme="minorHAnsi" w:hAnsiTheme="minorHAnsi" w:cstheme="minorHAnsi"/>
                <w:sz w:val="24"/>
                <w:szCs w:val="24"/>
                <w:lang w:val="sr-Latn-ME" w:eastAsia="ja-JP"/>
              </w:rPr>
              <w:t>;</w:t>
            </w:r>
          </w:p>
          <w:p w:rsidR="007617ED" w:rsidRPr="007617ED" w:rsidRDefault="007617ED" w:rsidP="007617ED">
            <w:pPr>
              <w:pStyle w:val="ListParagraph"/>
              <w:rPr>
                <w:rFonts w:cstheme="minorHAnsi"/>
                <w:sz w:val="24"/>
                <w:szCs w:val="24"/>
                <w:lang w:val="sr-Latn-ME" w:eastAsia="ja-JP"/>
              </w:rPr>
            </w:pPr>
          </w:p>
          <w:p w:rsidR="007617ED" w:rsidRPr="00A46ACE" w:rsidRDefault="007617ED" w:rsidP="007617ED">
            <w:pPr>
              <w:pStyle w:val="ListParagraph"/>
              <w:jc w:val="both"/>
              <w:rPr>
                <w:rFonts w:asciiTheme="minorHAnsi" w:hAnsiTheme="minorHAnsi" w:cstheme="minorHAnsi"/>
                <w:sz w:val="24"/>
                <w:szCs w:val="24"/>
                <w:lang w:val="sr-Latn-ME" w:eastAsia="ja-JP"/>
              </w:rPr>
            </w:pPr>
          </w:p>
          <w:p w:rsidR="00331054" w:rsidRDefault="00331054" w:rsidP="00331054">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organizovanih aktivnosti i manifestacija u cilju promocije pristupačnosti objekata u javnoj upotrebi</w:t>
            </w:r>
            <w:r>
              <w:rPr>
                <w:rFonts w:asciiTheme="minorHAnsi" w:hAnsiTheme="minorHAnsi" w:cstheme="minorHAnsi"/>
                <w:sz w:val="24"/>
                <w:szCs w:val="24"/>
                <w:lang w:val="sr-Latn-ME" w:eastAsia="ja-JP"/>
              </w:rPr>
              <w:t xml:space="preserve"> 20</w:t>
            </w:r>
            <w:r w:rsidR="007617ED">
              <w:rPr>
                <w:rFonts w:asciiTheme="minorHAnsi" w:hAnsiTheme="minorHAnsi" w:cstheme="minorHAnsi"/>
                <w:sz w:val="24"/>
                <w:szCs w:val="24"/>
                <w:lang w:val="sr-Latn-ME" w:eastAsia="ja-JP"/>
              </w:rPr>
              <w:t>;</w:t>
            </w:r>
          </w:p>
          <w:p w:rsidR="007617ED" w:rsidRPr="007617ED" w:rsidRDefault="007617ED" w:rsidP="007617ED">
            <w:pPr>
              <w:pStyle w:val="ListParagraph"/>
              <w:jc w:val="both"/>
              <w:rPr>
                <w:rFonts w:asciiTheme="minorHAnsi" w:hAnsiTheme="minorHAnsi" w:cstheme="minorHAnsi"/>
                <w:sz w:val="24"/>
                <w:szCs w:val="24"/>
                <w:lang w:val="sr-Latn-ME" w:eastAsia="ja-JP"/>
              </w:rPr>
            </w:pPr>
          </w:p>
          <w:p w:rsidR="00331054" w:rsidRDefault="00331054" w:rsidP="00331054">
            <w:pPr>
              <w:pStyle w:val="ListParagraph"/>
              <w:numPr>
                <w:ilvl w:val="0"/>
                <w:numId w:val="14"/>
              </w:numPr>
              <w:jc w:val="both"/>
              <w:rPr>
                <w:rFonts w:asciiTheme="minorHAnsi" w:hAnsiTheme="minorHAnsi" w:cstheme="minorHAnsi"/>
                <w:sz w:val="24"/>
                <w:szCs w:val="24"/>
                <w:lang w:val="sr-Latn-ME" w:eastAsia="ja-JP"/>
              </w:rPr>
            </w:pPr>
            <w:r w:rsidRPr="00A46ACE">
              <w:rPr>
                <w:rFonts w:asciiTheme="minorHAnsi" w:hAnsiTheme="minorHAnsi" w:cstheme="minorHAnsi"/>
                <w:sz w:val="24"/>
                <w:szCs w:val="24"/>
                <w:lang w:val="sr-Latn-ME" w:eastAsia="ja-JP"/>
              </w:rPr>
              <w:t xml:space="preserve">Uradjeni elementi pristupačnosti na objektima u javnoj upotrebi; </w:t>
            </w:r>
          </w:p>
          <w:p w:rsidR="007617ED" w:rsidRPr="007617ED" w:rsidRDefault="007617ED" w:rsidP="007617ED">
            <w:pPr>
              <w:pStyle w:val="ListParagraph"/>
              <w:rPr>
                <w:rFonts w:cstheme="minorHAnsi"/>
                <w:sz w:val="24"/>
                <w:szCs w:val="24"/>
                <w:lang w:val="sr-Latn-ME" w:eastAsia="ja-JP"/>
              </w:rPr>
            </w:pPr>
          </w:p>
          <w:p w:rsidR="007617ED" w:rsidRPr="00A46ACE" w:rsidRDefault="007617ED" w:rsidP="00331054">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Organizovani sastanci sa vlasnicima-korisnicima objekata</w:t>
            </w:r>
            <w:r w:rsidR="00123E06">
              <w:rPr>
                <w:rFonts w:asciiTheme="minorHAnsi" w:hAnsiTheme="minorHAnsi" w:cstheme="minorHAnsi"/>
                <w:sz w:val="24"/>
                <w:szCs w:val="24"/>
                <w:lang w:val="sr-Latn-ME" w:eastAsia="ja-JP"/>
              </w:rPr>
              <w:t xml:space="preserve"> kao i svim učesicima u izgradnji;</w:t>
            </w:r>
          </w:p>
          <w:p w:rsidR="00331054" w:rsidRPr="000D260E" w:rsidRDefault="00331054" w:rsidP="000D260E">
            <w:pPr>
              <w:jc w:val="both"/>
              <w:rPr>
                <w:rFonts w:cstheme="minorHAnsi"/>
                <w:sz w:val="24"/>
                <w:szCs w:val="24"/>
                <w:lang w:val="sr-Latn-ME" w:eastAsia="ja-JP"/>
              </w:rPr>
            </w:pPr>
          </w:p>
          <w:p w:rsidR="00331054" w:rsidRDefault="00331054" w:rsidP="00331054">
            <w:pPr>
              <w:pStyle w:val="ListParagraph"/>
              <w:numPr>
                <w:ilvl w:val="0"/>
                <w:numId w:val="14"/>
              </w:numPr>
              <w:jc w:val="both"/>
              <w:rPr>
                <w:rFonts w:asciiTheme="minorHAnsi" w:hAnsiTheme="minorHAnsi" w:cstheme="minorHAnsi"/>
                <w:sz w:val="24"/>
                <w:szCs w:val="24"/>
                <w:lang w:val="sr-Latn-ME" w:eastAsia="ja-JP"/>
              </w:rPr>
            </w:pPr>
            <w:r w:rsidRPr="00897F88">
              <w:rPr>
                <w:rFonts w:asciiTheme="minorHAnsi" w:hAnsiTheme="minorHAnsi" w:cstheme="minorHAnsi"/>
                <w:sz w:val="24"/>
                <w:szCs w:val="24"/>
                <w:lang w:val="sr-Latn-ME" w:eastAsia="ja-JP"/>
              </w:rPr>
              <w:lastRenderedPageBreak/>
              <w:t>organizovan</w:t>
            </w:r>
            <w:r>
              <w:rPr>
                <w:rFonts w:asciiTheme="minorHAnsi" w:hAnsiTheme="minorHAnsi" w:cstheme="minorHAnsi"/>
                <w:sz w:val="24"/>
                <w:szCs w:val="24"/>
                <w:lang w:val="sr-Latn-ME" w:eastAsia="ja-JP"/>
              </w:rPr>
              <w:t>i</w:t>
            </w:r>
            <w:r w:rsidRPr="00897F88">
              <w:rPr>
                <w:rFonts w:asciiTheme="minorHAnsi" w:hAnsiTheme="minorHAnsi" w:cstheme="minorHAnsi"/>
                <w:sz w:val="24"/>
                <w:szCs w:val="24"/>
                <w:lang w:val="sr-Latn-ME" w:eastAsia="ja-JP"/>
              </w:rPr>
              <w:t xml:space="preserve"> sastana</w:t>
            </w:r>
            <w:r>
              <w:rPr>
                <w:rFonts w:asciiTheme="minorHAnsi" w:hAnsiTheme="minorHAnsi" w:cstheme="minorHAnsi"/>
                <w:sz w:val="24"/>
                <w:szCs w:val="24"/>
                <w:lang w:val="sr-Latn-ME" w:eastAsia="ja-JP"/>
              </w:rPr>
              <w:t>ci</w:t>
            </w:r>
            <w:r w:rsidRPr="00897F88">
              <w:rPr>
                <w:rFonts w:asciiTheme="minorHAnsi" w:hAnsiTheme="minorHAnsi" w:cstheme="minorHAnsi"/>
                <w:sz w:val="24"/>
                <w:szCs w:val="24"/>
                <w:lang w:val="sr-Latn-ME" w:eastAsia="ja-JP"/>
              </w:rPr>
              <w:t xml:space="preserve"> sa predstavnicima lokalnih samouprava i lokalnih nevladinih organizacija o implementaciji </w:t>
            </w:r>
            <w:r>
              <w:rPr>
                <w:rFonts w:asciiTheme="minorHAnsi" w:hAnsiTheme="minorHAnsi" w:cstheme="minorHAnsi"/>
                <w:sz w:val="24"/>
                <w:szCs w:val="24"/>
                <w:lang w:val="sr-Latn-ME" w:eastAsia="ja-JP"/>
              </w:rPr>
              <w:t>S</w:t>
            </w:r>
            <w:r w:rsidRPr="00897F88">
              <w:rPr>
                <w:rFonts w:asciiTheme="minorHAnsi" w:hAnsiTheme="minorHAnsi" w:cstheme="minorHAnsi"/>
                <w:sz w:val="24"/>
                <w:szCs w:val="24"/>
                <w:lang w:val="sr-Latn-ME" w:eastAsia="ja-JP"/>
              </w:rPr>
              <w:t>trategije na lokalnom nivou</w:t>
            </w:r>
            <w:r>
              <w:rPr>
                <w:rFonts w:asciiTheme="minorHAnsi" w:hAnsiTheme="minorHAnsi" w:cstheme="minorHAnsi"/>
                <w:sz w:val="24"/>
                <w:szCs w:val="24"/>
                <w:lang w:val="sr-Latn-ME" w:eastAsia="ja-JP"/>
              </w:rPr>
              <w:t xml:space="preserve">; </w:t>
            </w:r>
          </w:p>
          <w:p w:rsidR="00331054" w:rsidRPr="00C727C2" w:rsidRDefault="00331054" w:rsidP="007617ED">
            <w:pPr>
              <w:pStyle w:val="ListParagraph"/>
              <w:jc w:val="both"/>
              <w:rPr>
                <w:rFonts w:asciiTheme="minorHAnsi" w:hAnsiTheme="minorHAnsi" w:cstheme="minorHAnsi"/>
                <w:sz w:val="24"/>
                <w:szCs w:val="24"/>
                <w:lang w:val="sr-Latn-ME" w:eastAsia="ja-JP"/>
              </w:rPr>
            </w:pPr>
          </w:p>
          <w:p w:rsidR="00331054" w:rsidRDefault="00331054" w:rsidP="00331054">
            <w:pPr>
              <w:pStyle w:val="ListParagraph"/>
              <w:numPr>
                <w:ilvl w:val="0"/>
                <w:numId w:val="14"/>
              </w:numPr>
              <w:jc w:val="both"/>
              <w:rPr>
                <w:rFonts w:asciiTheme="minorHAnsi" w:hAnsiTheme="minorHAnsi" w:cstheme="minorHAnsi"/>
                <w:sz w:val="24"/>
                <w:szCs w:val="24"/>
                <w:lang w:val="sr-Latn-ME" w:eastAsia="ja-JP"/>
              </w:rPr>
            </w:pPr>
            <w:r w:rsidRPr="00597E35">
              <w:rPr>
                <w:rFonts w:ascii="Verdana" w:hAnsi="Verdana"/>
                <w:lang w:val="sr-Latn-ME"/>
              </w:rPr>
              <w:t>organizovan</w:t>
            </w:r>
            <w:r>
              <w:rPr>
                <w:rFonts w:ascii="Verdana" w:hAnsi="Verdana"/>
                <w:lang w:val="sr-Latn-ME"/>
              </w:rPr>
              <w:t>i</w:t>
            </w:r>
            <w:r w:rsidRPr="00597E35">
              <w:rPr>
                <w:rFonts w:ascii="Verdana" w:hAnsi="Verdana"/>
                <w:lang w:val="sr-Latn-ME"/>
              </w:rPr>
              <w:t xml:space="preserve"> seminar</w:t>
            </w:r>
            <w:r>
              <w:rPr>
                <w:rFonts w:ascii="Verdana" w:hAnsi="Verdana"/>
                <w:lang w:val="sr-Latn-ME"/>
              </w:rPr>
              <w:t>i</w:t>
            </w:r>
            <w:r>
              <w:rPr>
                <w:rFonts w:ascii="Verdana" w:hAnsi="Verdana"/>
                <w:lang w:val="sr-Latn-ME"/>
              </w:rPr>
              <w:t xml:space="preserve"> sa</w:t>
            </w:r>
            <w:r w:rsidRPr="00597E35">
              <w:rPr>
                <w:rFonts w:ascii="Verdana" w:hAnsi="Verdana"/>
                <w:lang w:val="sr-Latn-ME"/>
              </w:rPr>
              <w:t xml:space="preserve"> predstavni</w:t>
            </w:r>
            <w:r>
              <w:rPr>
                <w:rFonts w:ascii="Verdana" w:hAnsi="Verdana"/>
                <w:lang w:val="sr-Latn-ME"/>
              </w:rPr>
              <w:t>cima</w:t>
            </w:r>
            <w:r w:rsidRPr="00597E35">
              <w:rPr>
                <w:rFonts w:ascii="Verdana" w:hAnsi="Verdana"/>
                <w:lang w:val="sr-Latn-ME"/>
              </w:rPr>
              <w:t xml:space="preserve"> javnih i privatnih medija </w:t>
            </w:r>
          </w:p>
          <w:p w:rsidR="00A46ACE" w:rsidRDefault="00A46AC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 xml:space="preserve">Broj i vrsta  i namjena štampanog materijala sa motivima pristupačnosti objektima: flajeri , posteri , brošure,hemijke olovke , rokovnici , kalendari , privjesci i sl. </w:t>
            </w:r>
            <w:r>
              <w:rPr>
                <w:rFonts w:asciiTheme="minorHAnsi" w:hAnsiTheme="minorHAnsi" w:cstheme="minorHAnsi"/>
                <w:sz w:val="24"/>
                <w:szCs w:val="24"/>
                <w:lang w:val="sr-Latn-ME" w:eastAsia="ja-JP"/>
              </w:rPr>
              <w:t>1</w:t>
            </w:r>
            <w:r w:rsidRPr="007A7D20">
              <w:rPr>
                <w:rFonts w:asciiTheme="minorHAnsi" w:hAnsiTheme="minorHAnsi" w:cstheme="minorHAnsi"/>
                <w:sz w:val="24"/>
                <w:szCs w:val="24"/>
                <w:lang w:val="sr-Latn-ME" w:eastAsia="ja-JP"/>
              </w:rPr>
              <w:t>000</w:t>
            </w:r>
          </w:p>
          <w:p w:rsidR="00A46ACE" w:rsidRPr="00A46ACE" w:rsidRDefault="00A46ACE" w:rsidP="00A46ACE">
            <w:pPr>
              <w:pStyle w:val="ListParagraph"/>
              <w:numPr>
                <w:ilvl w:val="0"/>
                <w:numId w:val="14"/>
              </w:numPr>
              <w:jc w:val="both"/>
              <w:rPr>
                <w:rFonts w:asciiTheme="minorHAnsi" w:hAnsiTheme="minorHAnsi" w:cstheme="minorHAnsi"/>
                <w:sz w:val="24"/>
                <w:szCs w:val="24"/>
                <w:lang w:val="sr-Latn-ME" w:eastAsia="ja-JP"/>
              </w:rPr>
            </w:pPr>
            <w:r w:rsidRPr="00A46ACE">
              <w:rPr>
                <w:rFonts w:asciiTheme="minorHAnsi" w:hAnsiTheme="minorHAnsi" w:cstheme="minorHAnsi"/>
                <w:sz w:val="24"/>
                <w:szCs w:val="24"/>
                <w:lang w:val="sr-Latn-ME" w:eastAsia="ja-JP"/>
              </w:rPr>
              <w:t>Fotografije i video zapisi sa događaja;</w:t>
            </w:r>
            <w:r w:rsidRPr="00A46ACE">
              <w:rPr>
                <w:rFonts w:asciiTheme="minorHAnsi" w:hAnsiTheme="minorHAnsi" w:cstheme="minorHAnsi"/>
                <w:sz w:val="24"/>
                <w:szCs w:val="24"/>
                <w:lang w:val="sr-Latn-ME" w:eastAsia="ja-JP"/>
              </w:rPr>
              <w:t xml:space="preserve"> </w:t>
            </w:r>
          </w:p>
          <w:p w:rsidR="00A46ACE" w:rsidRPr="007A7D20" w:rsidRDefault="00A46AC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izrađenog informativnog materijala;</w:t>
            </w:r>
          </w:p>
          <w:p w:rsidR="00A46ACE" w:rsidRPr="00A46ACE" w:rsidRDefault="00A46AC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informisanih građana;</w:t>
            </w:r>
          </w:p>
          <w:p w:rsidR="00331054" w:rsidRPr="00123E06" w:rsidRDefault="00A46ACE" w:rsidP="00123E06">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i vrsta materijala koji se koriste u sprovođenju projektnih aktivnosti</w:t>
            </w:r>
          </w:p>
          <w:p w:rsidR="00331054" w:rsidRPr="007617ED" w:rsidRDefault="00331054" w:rsidP="00331054">
            <w:pPr>
              <w:pStyle w:val="ListParagraph"/>
              <w:numPr>
                <w:ilvl w:val="0"/>
                <w:numId w:val="14"/>
              </w:numPr>
              <w:jc w:val="both"/>
              <w:rPr>
                <w:rFonts w:asciiTheme="minorHAnsi" w:hAnsiTheme="minorHAnsi" w:cstheme="minorHAnsi"/>
                <w:sz w:val="24"/>
                <w:szCs w:val="24"/>
                <w:lang w:val="sr-Latn-ME" w:eastAsia="ja-JP"/>
              </w:rPr>
            </w:pPr>
            <w:r w:rsidRPr="007617ED">
              <w:rPr>
                <w:rFonts w:asciiTheme="minorHAnsi" w:hAnsiTheme="minorHAnsi" w:cstheme="minorHAnsi"/>
                <w:sz w:val="24"/>
                <w:szCs w:val="24"/>
                <w:lang w:val="sr-Latn-ME" w:eastAsia="ja-JP"/>
              </w:rPr>
              <w:t xml:space="preserve">uradjena analize pristupačnih objekata u javnoj upotrebi sa akcentom na objekte sporta i kulture u cilju ažuriranja interaktivnih mapa-baze podataka istih;    </w:t>
            </w:r>
          </w:p>
          <w:p w:rsidR="00331054" w:rsidRPr="007617ED" w:rsidRDefault="00331054" w:rsidP="00331054">
            <w:pPr>
              <w:pStyle w:val="ListParagraph"/>
              <w:numPr>
                <w:ilvl w:val="0"/>
                <w:numId w:val="14"/>
              </w:numPr>
              <w:jc w:val="both"/>
              <w:rPr>
                <w:rFonts w:asciiTheme="minorHAnsi" w:hAnsiTheme="minorHAnsi" w:cstheme="minorHAnsi"/>
                <w:sz w:val="24"/>
                <w:szCs w:val="24"/>
                <w:lang w:val="sr-Latn-ME" w:eastAsia="ja-JP"/>
              </w:rPr>
            </w:pPr>
            <w:r w:rsidRPr="007617ED">
              <w:rPr>
                <w:rFonts w:asciiTheme="minorHAnsi" w:hAnsiTheme="minorHAnsi" w:cstheme="minorHAnsi"/>
                <w:sz w:val="24"/>
                <w:szCs w:val="24"/>
                <w:lang w:val="sr-Latn-ME" w:eastAsia="ja-JP"/>
              </w:rPr>
              <w:t>P</w:t>
            </w:r>
            <w:r w:rsidRPr="007617ED">
              <w:rPr>
                <w:rFonts w:asciiTheme="minorHAnsi" w:hAnsiTheme="minorHAnsi" w:cstheme="minorHAnsi"/>
                <w:sz w:val="24"/>
                <w:szCs w:val="24"/>
                <w:lang w:val="sr-Latn-ME" w:eastAsia="ja-JP"/>
              </w:rPr>
              <w:t>ostavljen</w:t>
            </w:r>
            <w:r w:rsidRPr="007617ED">
              <w:rPr>
                <w:rFonts w:asciiTheme="minorHAnsi" w:hAnsiTheme="minorHAnsi" w:cstheme="minorHAnsi"/>
                <w:sz w:val="24"/>
                <w:szCs w:val="24"/>
                <w:lang w:val="sr-Latn-ME" w:eastAsia="ja-JP"/>
              </w:rPr>
              <w:t xml:space="preserve">a </w:t>
            </w:r>
            <w:r w:rsidRPr="007617ED">
              <w:rPr>
                <w:rFonts w:asciiTheme="minorHAnsi" w:hAnsiTheme="minorHAnsi" w:cstheme="minorHAnsi"/>
                <w:sz w:val="24"/>
                <w:szCs w:val="24"/>
                <w:lang w:val="sr-Latn-ME" w:eastAsia="ja-JP"/>
              </w:rPr>
              <w:t xml:space="preserve"> interaktivn</w:t>
            </w:r>
            <w:r w:rsidRPr="007617ED">
              <w:rPr>
                <w:rFonts w:asciiTheme="minorHAnsi" w:hAnsiTheme="minorHAnsi" w:cstheme="minorHAnsi"/>
                <w:sz w:val="24"/>
                <w:szCs w:val="24"/>
                <w:lang w:val="sr-Latn-ME" w:eastAsia="ja-JP"/>
              </w:rPr>
              <w:t>a</w:t>
            </w:r>
            <w:r w:rsidRPr="007617ED">
              <w:rPr>
                <w:rFonts w:asciiTheme="minorHAnsi" w:hAnsiTheme="minorHAnsi" w:cstheme="minorHAnsi"/>
                <w:sz w:val="24"/>
                <w:szCs w:val="24"/>
                <w:lang w:val="sr-Latn-ME" w:eastAsia="ja-JP"/>
              </w:rPr>
              <w:t xml:space="preserve"> map</w:t>
            </w:r>
            <w:r w:rsidRPr="007617ED">
              <w:rPr>
                <w:rFonts w:asciiTheme="minorHAnsi" w:hAnsiTheme="minorHAnsi" w:cstheme="minorHAnsi"/>
                <w:sz w:val="24"/>
                <w:szCs w:val="24"/>
                <w:lang w:val="sr-Latn-ME" w:eastAsia="ja-JP"/>
              </w:rPr>
              <w:t>a</w:t>
            </w:r>
            <w:r w:rsidRPr="007617ED">
              <w:rPr>
                <w:rFonts w:asciiTheme="minorHAnsi" w:hAnsiTheme="minorHAnsi" w:cstheme="minorHAnsi"/>
                <w:sz w:val="24"/>
                <w:szCs w:val="24"/>
                <w:lang w:val="sr-Latn-ME" w:eastAsia="ja-JP"/>
              </w:rPr>
              <w:t xml:space="preserve"> sa pristupačnim objektima za lica sa invaliditetom na aerodromima, autobuskim i željezničkim stanicama;</w:t>
            </w:r>
          </w:p>
          <w:p w:rsidR="00331054" w:rsidRDefault="00331054" w:rsidP="00331054">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Organizovane  likovne sekcije i izložbe sa slikama pristupačnih objekata</w:t>
            </w:r>
          </w:p>
          <w:p w:rsidR="00331054" w:rsidRPr="000D260E" w:rsidRDefault="00331054" w:rsidP="000D260E">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Snimljen kratkometražni fil</w:t>
            </w:r>
            <w:r w:rsidR="000D260E">
              <w:rPr>
                <w:rFonts w:asciiTheme="minorHAnsi" w:hAnsiTheme="minorHAnsi" w:cstheme="minorHAnsi"/>
                <w:sz w:val="24"/>
                <w:szCs w:val="24"/>
                <w:lang w:val="sr-Latn-ME" w:eastAsia="ja-JP"/>
              </w:rPr>
              <w:t>m</w:t>
            </w:r>
            <w:r w:rsidRPr="007A7D20">
              <w:rPr>
                <w:rFonts w:asciiTheme="minorHAnsi" w:hAnsiTheme="minorHAnsi" w:cstheme="minorHAnsi"/>
                <w:sz w:val="24"/>
                <w:szCs w:val="24"/>
                <w:lang w:val="sr-Latn-ME" w:eastAsia="ja-JP"/>
              </w:rPr>
              <w:t xml:space="preserve"> na temu</w:t>
            </w:r>
            <w:r>
              <w:rPr>
                <w:rFonts w:asciiTheme="minorHAnsi" w:hAnsiTheme="minorHAnsi" w:cstheme="minorHAnsi"/>
                <w:sz w:val="24"/>
                <w:szCs w:val="24"/>
                <w:lang w:val="sr-Latn-ME" w:eastAsia="ja-JP"/>
              </w:rPr>
              <w:t xml:space="preserve"> pristupačnosti objekata u javnoj upotrebi</w:t>
            </w:r>
            <w:r w:rsidRPr="007A7D20">
              <w:rPr>
                <w:rFonts w:asciiTheme="minorHAnsi" w:hAnsiTheme="minorHAnsi" w:cstheme="minorHAnsi"/>
                <w:sz w:val="24"/>
                <w:szCs w:val="24"/>
                <w:lang w:val="sr-Latn-ME" w:eastAsia="ja-JP"/>
              </w:rPr>
              <w:t xml:space="preserve"> </w:t>
            </w:r>
          </w:p>
          <w:p w:rsidR="000D260E" w:rsidRPr="00123E06" w:rsidRDefault="00331054" w:rsidP="00123E06">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učesnika u manifestacijama koje se održavaju u cilju promocije pristupačnosti objekata u javnoj upotrebi;</w:t>
            </w:r>
          </w:p>
          <w:p w:rsidR="000D260E" w:rsidRPr="007A7D20" w:rsidRDefault="000D260E" w:rsidP="000D260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lastRenderedPageBreak/>
              <w:t>Broj i vrsta oglašavanja u medijima,</w:t>
            </w:r>
            <w:r>
              <w:rPr>
                <w:rFonts w:asciiTheme="minorHAnsi" w:hAnsiTheme="minorHAnsi" w:cstheme="minorHAnsi"/>
                <w:sz w:val="24"/>
                <w:szCs w:val="24"/>
                <w:lang w:val="sr-Latn-ME" w:eastAsia="ja-JP"/>
              </w:rPr>
              <w:t xml:space="preserve"> </w:t>
            </w:r>
            <w:r w:rsidRPr="007A7D20">
              <w:rPr>
                <w:rFonts w:asciiTheme="minorHAnsi" w:hAnsiTheme="minorHAnsi" w:cstheme="minorHAnsi"/>
                <w:sz w:val="24"/>
                <w:szCs w:val="24"/>
                <w:lang w:val="sr-Latn-ME" w:eastAsia="ja-JP"/>
              </w:rPr>
              <w:t>pisanim, elektronskim, radio-difuznim i slično 50 različitih objava</w:t>
            </w:r>
          </w:p>
          <w:p w:rsidR="000D260E" w:rsidRPr="00A46ACE" w:rsidRDefault="000D260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medijskih objava za vrijeme sprovođenja projektnih aktivnosti 40</w:t>
            </w:r>
          </w:p>
          <w:p w:rsidR="00A46ACE" w:rsidRPr="007A7D20" w:rsidRDefault="00A46AC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video materijala na konkretnu temu;</w:t>
            </w:r>
          </w:p>
          <w:p w:rsidR="00A46ACE" w:rsidRPr="007A7D20" w:rsidRDefault="00A46AC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izrađenih aplikacija;</w:t>
            </w:r>
          </w:p>
          <w:p w:rsidR="000D260E" w:rsidRPr="00A46ACE" w:rsidRDefault="00A46ACE" w:rsidP="00A46ACE">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izrađenih studija ili istraživanja na temu pristupačnosti</w:t>
            </w:r>
          </w:p>
          <w:p w:rsidR="000D260E" w:rsidRPr="00E31B3A" w:rsidRDefault="000D260E" w:rsidP="000D260E">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snimljen</w:t>
            </w:r>
            <w:r w:rsidRPr="007A7D20">
              <w:rPr>
                <w:rFonts w:asciiTheme="minorHAnsi" w:hAnsiTheme="minorHAnsi" w:cstheme="minorHAnsi"/>
                <w:sz w:val="24"/>
                <w:szCs w:val="24"/>
                <w:lang w:val="sr-Latn-ME" w:eastAsia="ja-JP"/>
              </w:rPr>
              <w:t xml:space="preserve"> televizijsk</w:t>
            </w:r>
            <w:r>
              <w:rPr>
                <w:rFonts w:asciiTheme="minorHAnsi" w:hAnsiTheme="minorHAnsi" w:cstheme="minorHAnsi"/>
                <w:sz w:val="24"/>
                <w:szCs w:val="24"/>
                <w:lang w:val="sr-Latn-ME" w:eastAsia="ja-JP"/>
              </w:rPr>
              <w:t>i</w:t>
            </w:r>
            <w:r w:rsidRPr="007A7D20">
              <w:rPr>
                <w:rFonts w:asciiTheme="minorHAnsi" w:hAnsiTheme="minorHAnsi" w:cstheme="minorHAnsi"/>
                <w:sz w:val="24"/>
                <w:szCs w:val="24"/>
                <w:lang w:val="sr-Latn-ME" w:eastAsia="ja-JP"/>
              </w:rPr>
              <w:t xml:space="preserve"> spot</w:t>
            </w:r>
            <w:r>
              <w:rPr>
                <w:rFonts w:asciiTheme="minorHAnsi" w:hAnsiTheme="minorHAnsi" w:cstheme="minorHAnsi"/>
                <w:sz w:val="24"/>
                <w:szCs w:val="24"/>
                <w:lang w:val="sr-Latn-ME" w:eastAsia="ja-JP"/>
              </w:rPr>
              <w:t xml:space="preserve"> i</w:t>
            </w:r>
            <w:r w:rsidRPr="007A7D20">
              <w:rPr>
                <w:rFonts w:asciiTheme="minorHAnsi" w:hAnsiTheme="minorHAnsi" w:cstheme="minorHAnsi"/>
                <w:sz w:val="24"/>
                <w:szCs w:val="24"/>
                <w:lang w:val="sr-Latn-ME" w:eastAsia="ja-JP"/>
              </w:rPr>
              <w:t xml:space="preserve">  plasira</w:t>
            </w:r>
            <w:r>
              <w:rPr>
                <w:rFonts w:asciiTheme="minorHAnsi" w:hAnsiTheme="minorHAnsi" w:cstheme="minorHAnsi"/>
                <w:sz w:val="24"/>
                <w:szCs w:val="24"/>
                <w:lang w:val="sr-Latn-ME" w:eastAsia="ja-JP"/>
              </w:rPr>
              <w:t xml:space="preserve">n </w:t>
            </w:r>
            <w:r w:rsidRPr="007A7D20">
              <w:rPr>
                <w:rFonts w:asciiTheme="minorHAnsi" w:hAnsiTheme="minorHAnsi" w:cstheme="minorHAnsi"/>
                <w:sz w:val="24"/>
                <w:szCs w:val="24"/>
                <w:lang w:val="sr-Latn-ME" w:eastAsia="ja-JP"/>
              </w:rPr>
              <w:t xml:space="preserve"> sadržaj koji ukazuj</w:t>
            </w:r>
            <w:r>
              <w:rPr>
                <w:rFonts w:asciiTheme="minorHAnsi" w:hAnsiTheme="minorHAnsi" w:cstheme="minorHAnsi"/>
                <w:sz w:val="24"/>
                <w:szCs w:val="24"/>
                <w:lang w:val="sr-Latn-ME" w:eastAsia="ja-JP"/>
              </w:rPr>
              <w:t>e</w:t>
            </w:r>
            <w:r w:rsidRPr="007A7D20">
              <w:rPr>
                <w:rFonts w:asciiTheme="minorHAnsi" w:hAnsiTheme="minorHAnsi" w:cstheme="minorHAnsi"/>
                <w:sz w:val="24"/>
                <w:szCs w:val="24"/>
                <w:lang w:val="sr-Latn-ME" w:eastAsia="ja-JP"/>
              </w:rPr>
              <w:t xml:space="preserve"> na drastične primjere kršenja pravila pristupačnosti...(nepristupačni prilazi školama, domovima zdravlja, tržnim centrima</w:t>
            </w:r>
            <w:r>
              <w:rPr>
                <w:rFonts w:asciiTheme="minorHAnsi" w:hAnsiTheme="minorHAnsi" w:cstheme="minorHAnsi"/>
                <w:sz w:val="24"/>
                <w:szCs w:val="24"/>
                <w:lang w:val="sr-Latn-ME" w:eastAsia="ja-JP"/>
              </w:rPr>
              <w:t>, plažama</w:t>
            </w:r>
            <w:r w:rsidRPr="007A7D20">
              <w:rPr>
                <w:rFonts w:asciiTheme="minorHAnsi" w:hAnsiTheme="minorHAnsi" w:cstheme="minorHAnsi"/>
                <w:sz w:val="24"/>
                <w:szCs w:val="24"/>
                <w:lang w:val="sr-Latn-ME" w:eastAsia="ja-JP"/>
              </w:rPr>
              <w:t>..)  i posledice izazvane takvim pona</w:t>
            </w:r>
            <w:r>
              <w:rPr>
                <w:rFonts w:asciiTheme="minorHAnsi" w:hAnsiTheme="minorHAnsi" w:cstheme="minorHAnsi"/>
                <w:sz w:val="24"/>
                <w:szCs w:val="24"/>
                <w:lang w:val="sr-Latn-ME" w:eastAsia="ja-JP"/>
              </w:rPr>
              <w:t>š</w:t>
            </w:r>
            <w:r w:rsidRPr="007A7D20">
              <w:rPr>
                <w:rFonts w:asciiTheme="minorHAnsi" w:hAnsiTheme="minorHAnsi" w:cstheme="minorHAnsi"/>
                <w:sz w:val="24"/>
                <w:szCs w:val="24"/>
                <w:lang w:val="sr-Latn-ME" w:eastAsia="ja-JP"/>
              </w:rPr>
              <w:t>anjem učesnika</w:t>
            </w:r>
            <w:r>
              <w:rPr>
                <w:rFonts w:asciiTheme="minorHAnsi" w:hAnsiTheme="minorHAnsi" w:cstheme="minorHAnsi"/>
                <w:sz w:val="24"/>
                <w:szCs w:val="24"/>
                <w:lang w:val="sr-Latn-ME" w:eastAsia="ja-JP"/>
              </w:rPr>
              <w:t>;</w:t>
            </w:r>
          </w:p>
          <w:p w:rsidR="002F010E" w:rsidRPr="000F2FC3" w:rsidRDefault="000D260E" w:rsidP="002F010E">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w:t>
            </w:r>
            <w:r w:rsidRPr="007A7D20">
              <w:rPr>
                <w:rFonts w:asciiTheme="minorHAnsi" w:hAnsiTheme="minorHAnsi" w:cstheme="minorHAnsi"/>
                <w:sz w:val="24"/>
                <w:szCs w:val="24"/>
                <w:lang w:val="sr-Latn-ME" w:eastAsia="ja-JP"/>
              </w:rPr>
              <w:t>zra</w:t>
            </w:r>
            <w:r>
              <w:rPr>
                <w:rFonts w:asciiTheme="minorHAnsi" w:hAnsiTheme="minorHAnsi" w:cstheme="minorHAnsi"/>
                <w:sz w:val="24"/>
                <w:szCs w:val="24"/>
                <w:lang w:val="sr-Latn-ME" w:eastAsia="ja-JP"/>
              </w:rPr>
              <w:t>đen</w:t>
            </w:r>
            <w:r w:rsidRPr="007A7D20">
              <w:rPr>
                <w:rFonts w:asciiTheme="minorHAnsi" w:hAnsiTheme="minorHAnsi" w:cstheme="minorHAnsi"/>
                <w:sz w:val="24"/>
                <w:szCs w:val="24"/>
                <w:lang w:val="sr-Latn-ME" w:eastAsia="ja-JP"/>
              </w:rPr>
              <w:t xml:space="preserve"> portal, publikacija koja predstavlja vrstu vodiča za građane</w:t>
            </w:r>
            <w:r>
              <w:rPr>
                <w:rFonts w:asciiTheme="minorHAnsi" w:hAnsiTheme="minorHAnsi" w:cstheme="minorHAnsi"/>
                <w:sz w:val="24"/>
                <w:szCs w:val="24"/>
                <w:lang w:val="sr-Latn-ME" w:eastAsia="ja-JP"/>
              </w:rPr>
              <w:t xml:space="preserve"> o pristupačnim objektima u javnoj upotrebi</w:t>
            </w:r>
          </w:p>
          <w:p w:rsidR="003716EC" w:rsidRPr="00A46ACE" w:rsidRDefault="003716EC" w:rsidP="00A46ACE">
            <w:pPr>
              <w:jc w:val="both"/>
              <w:rPr>
                <w:rFonts w:cstheme="minorHAnsi"/>
                <w:sz w:val="24"/>
                <w:szCs w:val="24"/>
                <w:lang w:val="sr-Latn-ME" w:eastAsia="ja-JP"/>
              </w:rPr>
            </w:pPr>
          </w:p>
        </w:tc>
        <w:tc>
          <w:tcPr>
            <w:tcW w:w="4139" w:type="dxa"/>
            <w:tcBorders>
              <w:top w:val="single" w:sz="4" w:space="0" w:color="auto"/>
              <w:left w:val="single" w:sz="2" w:space="0" w:color="auto"/>
              <w:bottom w:val="single" w:sz="4" w:space="0" w:color="auto"/>
              <w:right w:val="single" w:sz="4" w:space="0" w:color="auto"/>
            </w:tcBorders>
          </w:tcPr>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lastRenderedPageBreak/>
              <w:t>narativni izvještaji  o realizaciji aktivnosti u okviru projekata finansiranih putem konkursa;</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finansijski izvještaji  o utrošenim sredstvima nevladinih organizacija finansiranih putem konkursa;</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fotografije;</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preskliping-izvještaj medija;</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štampani materijali;</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spisak učesnika;</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agende;</w:t>
            </w:r>
          </w:p>
          <w:p w:rsidR="00063D42" w:rsidRPr="007A7D20" w:rsidRDefault="00063D42"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izvještaj-anliza pristupačnih objekata u javnoj upotrebi sa aspekta pristupačnosti.</w:t>
            </w:r>
          </w:p>
          <w:p w:rsidR="00063D42" w:rsidRPr="007A7D20" w:rsidRDefault="00C242E1"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Linkovi;</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Video zapisi</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Promotivni materijal</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Ankete</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Analize stanja</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Nivo propraćenosti od strane medija</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Lista učesnika</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Zastupljenost na društvenim mrežama ( facebook,instagram) broj pregleda, lajkova, podjela linka</w:t>
            </w:r>
            <w:r w:rsidR="002929C2">
              <w:rPr>
                <w:rFonts w:asciiTheme="minorHAnsi" w:hAnsiTheme="minorHAnsi" w:cstheme="minorHAnsi"/>
                <w:sz w:val="24"/>
                <w:szCs w:val="24"/>
                <w:lang w:val="sr-Latn-ME" w:eastAsia="ja-JP"/>
              </w:rPr>
              <w:t xml:space="preserve"> </w:t>
            </w:r>
            <w:r w:rsidR="00230163">
              <w:rPr>
                <w:rFonts w:asciiTheme="minorHAnsi" w:hAnsiTheme="minorHAnsi" w:cstheme="minorHAnsi"/>
                <w:sz w:val="24"/>
                <w:szCs w:val="24"/>
                <w:lang w:val="sr-Latn-ME" w:eastAsia="ja-JP"/>
              </w:rPr>
              <w:t>aktivnosti.</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Linkovi saopštenja;</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Izvještaj sa programskih događaja;</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Broj kreiranih aplikacija;</w:t>
            </w:r>
          </w:p>
          <w:p w:rsidR="00B3380F" w:rsidRPr="007A7D20" w:rsidRDefault="00B3380F" w:rsidP="007A7D20">
            <w:pPr>
              <w:pStyle w:val="ListParagraph"/>
              <w:numPr>
                <w:ilvl w:val="0"/>
                <w:numId w:val="14"/>
              </w:numPr>
              <w:jc w:val="both"/>
              <w:rPr>
                <w:rFonts w:asciiTheme="minorHAnsi" w:hAnsiTheme="minorHAnsi" w:cstheme="minorHAnsi"/>
                <w:sz w:val="24"/>
                <w:szCs w:val="24"/>
                <w:lang w:val="sr-Latn-ME" w:eastAsia="ja-JP"/>
              </w:rPr>
            </w:pPr>
            <w:r w:rsidRPr="007A7D20">
              <w:rPr>
                <w:rFonts w:asciiTheme="minorHAnsi" w:hAnsiTheme="minorHAnsi" w:cstheme="minorHAnsi"/>
                <w:sz w:val="24"/>
                <w:szCs w:val="24"/>
                <w:lang w:val="sr-Latn-ME" w:eastAsia="ja-JP"/>
              </w:rPr>
              <w:t>Radovi likovnih sekcija</w:t>
            </w:r>
          </w:p>
        </w:tc>
      </w:tr>
    </w:tbl>
    <w:p w:rsidR="00063D42" w:rsidRPr="007A7D20" w:rsidRDefault="00063D42" w:rsidP="007A7D20">
      <w:pPr>
        <w:pStyle w:val="ListParagraph"/>
        <w:jc w:val="both"/>
        <w:rPr>
          <w:rFonts w:eastAsia="MS Mincho" w:cstheme="minorHAnsi"/>
          <w:sz w:val="24"/>
          <w:szCs w:val="24"/>
          <w:lang w:val="sr-Latn-ME" w:eastAsia="ja-JP"/>
        </w:rPr>
      </w:pPr>
    </w:p>
    <w:p w:rsidR="00063D42" w:rsidRDefault="00063D42" w:rsidP="00063D42">
      <w:pPr>
        <w:numPr>
          <w:ilvl w:val="0"/>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OSTVARIVANJE STRATEŠKIH CILJEVA</w:t>
      </w:r>
    </w:p>
    <w:p w:rsidR="00063D42" w:rsidRDefault="00063D42" w:rsidP="00063D42">
      <w:pPr>
        <w:numPr>
          <w:ilvl w:val="1"/>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Navesti ključne strateške ciljeve iz sektorske nadležnosti čijem će ostvarenju u 202</w:t>
      </w:r>
      <w:r w:rsidR="00CD561F">
        <w:rPr>
          <w:rFonts w:eastAsia="MS Mincho" w:cs="Times New Roman"/>
          <w:sz w:val="24"/>
          <w:szCs w:val="24"/>
          <w:lang w:val="sr-Latn-ME" w:eastAsia="ja-JP"/>
        </w:rPr>
        <w:t>5</w:t>
      </w:r>
      <w:r>
        <w:rPr>
          <w:rFonts w:eastAsia="MS Mincho" w:cs="Times New Roman"/>
          <w:sz w:val="24"/>
          <w:szCs w:val="24"/>
          <w:lang w:val="sr-Latn-ME" w:eastAsia="ja-JP"/>
        </w:rPr>
        <w:t>. godini doprinijeti projekti i programi nevladinih organizacija.</w:t>
      </w:r>
    </w:p>
    <w:tbl>
      <w:tblPr>
        <w:tblStyle w:val="TableGrid"/>
        <w:tblW w:w="0" w:type="auto"/>
        <w:tblInd w:w="792" w:type="dxa"/>
        <w:tblLook w:val="04A0" w:firstRow="1" w:lastRow="0" w:firstColumn="1" w:lastColumn="0" w:noHBand="0" w:noVBand="1"/>
      </w:tblPr>
      <w:tblGrid>
        <w:gridCol w:w="5784"/>
        <w:gridCol w:w="6914"/>
      </w:tblGrid>
      <w:tr w:rsidR="00063D42" w:rsidTr="00063D42">
        <w:tc>
          <w:tcPr>
            <w:tcW w:w="6574"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Strateški cilj(evi) čijem ostvarenju će doprinijeti javni konkurs za projekte i programe nevladinih organizacija u 2023. godini</w:t>
            </w:r>
          </w:p>
          <w:p w:rsidR="00063D42" w:rsidRDefault="00063D42">
            <w:pPr>
              <w:rPr>
                <w:rFonts w:asciiTheme="minorHAnsi" w:hAnsiTheme="minorHAnsi"/>
                <w:sz w:val="24"/>
                <w:szCs w:val="24"/>
                <w:lang w:val="sr-Latn-ME" w:eastAsia="ja-JP"/>
              </w:rPr>
            </w:pPr>
          </w:p>
        </w:tc>
        <w:tc>
          <w:tcPr>
            <w:tcW w:w="7938"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Način na koji će javni konkurs za projekte i programe nevladinih organizacija doprinijeti ostvarenju strateških ciljeva (ukratko opisati)</w:t>
            </w:r>
          </w:p>
        </w:tc>
      </w:tr>
      <w:tr w:rsidR="00063D42" w:rsidTr="00063D42">
        <w:tc>
          <w:tcPr>
            <w:tcW w:w="65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63D42" w:rsidRDefault="00063D42" w:rsidP="00063D42">
            <w:pPr>
              <w:numPr>
                <w:ilvl w:val="0"/>
                <w:numId w:val="21"/>
              </w:numPr>
              <w:jc w:val="both"/>
              <w:rPr>
                <w:rFonts w:asciiTheme="minorHAnsi" w:hAnsiTheme="minorHAnsi"/>
                <w:sz w:val="24"/>
                <w:szCs w:val="24"/>
                <w:lang w:val="sr-Latn-ME" w:eastAsia="ja-JP"/>
              </w:rPr>
            </w:pPr>
            <w:r>
              <w:rPr>
                <w:rFonts w:asciiTheme="minorHAnsi" w:hAnsiTheme="minorHAnsi"/>
                <w:sz w:val="24"/>
                <w:szCs w:val="24"/>
                <w:lang w:val="sr-Latn-ME" w:eastAsia="ja-JP"/>
              </w:rPr>
              <w:t xml:space="preserve">Opšti cilj - doprinos povećanju ravnopravnosti lica sa invaliditetom sa drugim licima u skladu sa </w:t>
            </w:r>
            <w:r>
              <w:rPr>
                <w:rFonts w:asciiTheme="minorHAnsi" w:hAnsiTheme="minorHAnsi"/>
                <w:sz w:val="24"/>
                <w:szCs w:val="24"/>
                <w:lang w:val="sr-Latn-ME" w:eastAsia="ja-JP"/>
              </w:rPr>
              <w:lastRenderedPageBreak/>
              <w:t>načelima UN Konvencije o pravima lica sa invaliditetom, Ustavom Crne Gore i zakonom;</w:t>
            </w:r>
          </w:p>
          <w:p w:rsidR="00063D42" w:rsidRDefault="00063D42" w:rsidP="00063D42">
            <w:pPr>
              <w:numPr>
                <w:ilvl w:val="0"/>
                <w:numId w:val="21"/>
              </w:numPr>
              <w:jc w:val="both"/>
              <w:rPr>
                <w:rFonts w:asciiTheme="minorHAnsi" w:hAnsiTheme="minorHAnsi"/>
                <w:sz w:val="24"/>
                <w:szCs w:val="24"/>
                <w:lang w:val="sr-Latn-ME" w:eastAsia="ja-JP"/>
              </w:rPr>
            </w:pPr>
            <w:r>
              <w:rPr>
                <w:rFonts w:asciiTheme="minorHAnsi" w:hAnsiTheme="minorHAnsi"/>
                <w:sz w:val="24"/>
                <w:szCs w:val="24"/>
                <w:lang w:val="sr-Latn-ME" w:eastAsia="ja-JP"/>
              </w:rPr>
              <w:t>pristupačniji objekti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poboljšana primjena propisa radi povećanja opšteg nivoa pristupačnosti objekata u javnoj upotrebi;</w:t>
            </w:r>
          </w:p>
          <w:p w:rsidR="00063D42" w:rsidRDefault="00063D42" w:rsidP="00063D42">
            <w:pPr>
              <w:numPr>
                <w:ilvl w:val="0"/>
                <w:numId w:val="20"/>
              </w:numPr>
              <w:rPr>
                <w:rFonts w:asciiTheme="minorHAnsi" w:hAnsiTheme="minorHAnsi"/>
                <w:color w:val="000000"/>
                <w:sz w:val="24"/>
                <w:szCs w:val="24"/>
                <w:lang w:val="sr-Latn-ME" w:eastAsia="ja-JP"/>
              </w:rPr>
            </w:pPr>
            <w:r>
              <w:rPr>
                <w:rFonts w:asciiTheme="minorHAnsi" w:hAnsiTheme="minorHAnsi"/>
                <w:color w:val="000000"/>
                <w:sz w:val="24"/>
                <w:szCs w:val="24"/>
                <w:lang w:val="sr-Latn-ME" w:eastAsia="ja-JP"/>
              </w:rPr>
              <w:t>dostupne informacije o pristupačnim objektima u javnoj upotrebi i turizmu</w:t>
            </w:r>
          </w:p>
          <w:p w:rsidR="00063D42" w:rsidRDefault="00063D42">
            <w:pPr>
              <w:autoSpaceDE w:val="0"/>
              <w:autoSpaceDN w:val="0"/>
              <w:adjustRightInd w:val="0"/>
              <w:spacing w:after="240"/>
              <w:ind w:left="360"/>
              <w:jc w:val="both"/>
              <w:rPr>
                <w:rFonts w:asciiTheme="minorHAnsi" w:hAnsiTheme="minorHAnsi"/>
                <w:sz w:val="24"/>
                <w:szCs w:val="24"/>
                <w:lang w:val="sr-Latn-ME" w:eastAsia="ja-JP"/>
              </w:rPr>
            </w:pP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lastRenderedPageBreak/>
              <w:t>Uradjeni elementi pristupačnosti na objektima u javnoj upotrebi;</w:t>
            </w:r>
          </w:p>
          <w:p w:rsidR="00063D42" w:rsidRDefault="008D73C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lastRenderedPageBreak/>
              <w:t>Ažurirana</w:t>
            </w:r>
            <w:r w:rsidR="00063D42">
              <w:rPr>
                <w:rFonts w:asciiTheme="minorHAnsi" w:hAnsiTheme="minorHAnsi"/>
                <w:sz w:val="24"/>
                <w:szCs w:val="24"/>
                <w:lang w:val="sr-Latn-ME" w:eastAsia="ja-JP"/>
              </w:rPr>
              <w:t xml:space="preserve"> interaktivna mapa-baza podataka pristupačnih objekata u javnoj upotrebi  koja će omogućiti bolju informisanost o pristupačnim objektima svim zainteresovanim subjektima a posebno licima sa invaliditetom;</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podizanje</w:t>
            </w:r>
            <w:r w:rsidR="00E21024">
              <w:rPr>
                <w:rFonts w:asciiTheme="minorHAnsi" w:hAnsiTheme="minorHAnsi"/>
                <w:sz w:val="24"/>
                <w:szCs w:val="24"/>
                <w:lang w:val="sr-Latn-ME" w:eastAsia="ja-JP"/>
              </w:rPr>
              <w:t xml:space="preserve"> nivoa </w:t>
            </w:r>
            <w:r>
              <w:rPr>
                <w:rFonts w:asciiTheme="minorHAnsi" w:hAnsiTheme="minorHAnsi"/>
                <w:sz w:val="24"/>
                <w:szCs w:val="24"/>
                <w:lang w:val="sr-Latn-ME" w:eastAsia="ja-JP"/>
              </w:rPr>
              <w:t xml:space="preserve"> svijesti vlasnika i korisnika objekata u javnoj upotrebi o  neophodnosti izgradnje  pristupačnih objekata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edukaciju vlasnika, korisnika odnosno investitora  objekta u javnoj upotrebi, o neophodnosti poštovanja odredbi Zakona o planiranju prostora i izgradnji objekata sa posebnim akcentom na pristupačnost objekata za lica sa invaliditetom i lica smanjene pokretljivosti, kao i neophodnosti primjene Pravilnika o bližim uslovima i načinu prilagođavanja objekata za pristup i kretanje lica smanjene pokretljivosti i lica sa invaliditetom u postupku izgradnje novog objekta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 xml:space="preserve">Kroz </w:t>
            </w:r>
            <w:r w:rsidRPr="00041577">
              <w:rPr>
                <w:rFonts w:asciiTheme="minorHAnsi" w:hAnsiTheme="minorHAnsi"/>
                <w:sz w:val="24"/>
                <w:szCs w:val="24"/>
                <w:lang w:val="sr-Latn-ME" w:eastAsia="ja-JP"/>
              </w:rPr>
              <w:t xml:space="preserve">podizanje </w:t>
            </w:r>
            <w:r w:rsidR="00B55E9E" w:rsidRPr="00041577">
              <w:rPr>
                <w:rFonts w:asciiTheme="minorHAnsi" w:hAnsiTheme="minorHAnsi"/>
                <w:sz w:val="24"/>
                <w:szCs w:val="24"/>
                <w:lang w:val="sr-Latn-ME" w:eastAsia="ja-JP"/>
              </w:rPr>
              <w:t xml:space="preserve"> nivoa </w:t>
            </w:r>
            <w:r>
              <w:rPr>
                <w:rFonts w:asciiTheme="minorHAnsi" w:hAnsiTheme="minorHAnsi"/>
                <w:sz w:val="24"/>
                <w:szCs w:val="24"/>
                <w:lang w:val="sr-Latn-ME" w:eastAsia="ja-JP"/>
              </w:rPr>
              <w:t>svijesti i edukaciju  učesnika u izgradnji objekata (projektanata, revidenata, izvođača radova, nadzora nad izgradnjom objekata, arhitekata, građevinskih inženjera) o primjeni Zakona o planiranju prostora i izgradnji objekata sa posebnim akcentom na pristupačnost objekata u javnoj upotrebi za lica sa invaliditetom i lica smanjene pokretljivosti, kao i primjeni Pravilnika o bližim uslovima i načinu prilagođavanja objekata za pristup i kretanje lica smanjene pokretljivosti i lica sa invaliditetom prilikom izgradnje novih objekata odnosno rekonstrukcije postojećih;</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 xml:space="preserve">Kroz </w:t>
            </w:r>
            <w:r w:rsidRPr="00041577">
              <w:rPr>
                <w:rFonts w:asciiTheme="minorHAnsi" w:hAnsiTheme="minorHAnsi"/>
                <w:sz w:val="24"/>
                <w:szCs w:val="24"/>
                <w:lang w:val="sr-Latn-ME" w:eastAsia="ja-JP"/>
              </w:rPr>
              <w:t xml:space="preserve">podizanje </w:t>
            </w:r>
            <w:r w:rsidR="00B55E9E" w:rsidRPr="00041577">
              <w:rPr>
                <w:rFonts w:asciiTheme="minorHAnsi" w:hAnsiTheme="minorHAnsi"/>
                <w:sz w:val="24"/>
                <w:szCs w:val="24"/>
                <w:lang w:val="sr-Latn-ME" w:eastAsia="ja-JP"/>
              </w:rPr>
              <w:t xml:space="preserve"> nivoa </w:t>
            </w:r>
            <w:r>
              <w:rPr>
                <w:rFonts w:asciiTheme="minorHAnsi" w:hAnsiTheme="minorHAnsi"/>
                <w:sz w:val="24"/>
                <w:szCs w:val="24"/>
                <w:lang w:val="sr-Latn-ME" w:eastAsia="ja-JP"/>
              </w:rPr>
              <w:t>svijesti i edukaciju studenata arhitekture i građevinskih inženjera o važnosti  izgradnje pristupačnih objekata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lastRenderedPageBreak/>
              <w:t xml:space="preserve">Kroz </w:t>
            </w:r>
            <w:r w:rsidRPr="00041577">
              <w:rPr>
                <w:rFonts w:asciiTheme="minorHAnsi" w:hAnsiTheme="minorHAnsi"/>
                <w:sz w:val="24"/>
                <w:szCs w:val="24"/>
                <w:lang w:val="sr-Latn-ME" w:eastAsia="ja-JP"/>
              </w:rPr>
              <w:t>podizanje</w:t>
            </w:r>
            <w:r w:rsidR="00B55E9E" w:rsidRPr="00041577">
              <w:rPr>
                <w:rFonts w:asciiTheme="minorHAnsi" w:hAnsiTheme="minorHAnsi"/>
                <w:sz w:val="24"/>
                <w:szCs w:val="24"/>
                <w:lang w:val="sr-Latn-ME" w:eastAsia="ja-JP"/>
              </w:rPr>
              <w:t xml:space="preserve"> nivoa </w:t>
            </w:r>
            <w:r w:rsidRPr="00041577">
              <w:rPr>
                <w:rFonts w:asciiTheme="minorHAnsi" w:hAnsiTheme="minorHAnsi"/>
                <w:sz w:val="24"/>
                <w:szCs w:val="24"/>
                <w:lang w:val="sr-Latn-ME" w:eastAsia="ja-JP"/>
              </w:rPr>
              <w:t xml:space="preserve"> </w:t>
            </w:r>
            <w:r>
              <w:rPr>
                <w:rFonts w:asciiTheme="minorHAnsi" w:hAnsiTheme="minorHAnsi"/>
                <w:sz w:val="24"/>
                <w:szCs w:val="24"/>
                <w:lang w:val="sr-Latn-ME" w:eastAsia="ja-JP"/>
              </w:rPr>
              <w:t>svijesti javnosti o važnosti izgradnje  pristupačnih objekata u javnoj upotrebi,</w:t>
            </w:r>
            <w:r>
              <w:rPr>
                <w:rFonts w:asciiTheme="minorHAnsi" w:hAnsiTheme="minorHAnsi"/>
                <w:color w:val="000000" w:themeColor="text1"/>
                <w:sz w:val="24"/>
                <w:szCs w:val="24"/>
                <w:lang w:val="sr-Latn-ME" w:eastAsia="ja-JP"/>
              </w:rPr>
              <w:t xml:space="preserve"> kao i značaju pristupačnosti objekata za lica sa invaliditetom i njihovu integrisanost u svakodnevni život</w:t>
            </w:r>
            <w:r>
              <w:rPr>
                <w:rFonts w:asciiTheme="minorHAnsi" w:hAnsiTheme="minorHAnsi"/>
                <w:sz w:val="24"/>
                <w:szCs w:val="24"/>
                <w:lang w:val="sr-Latn-ME" w:eastAsia="ja-JP"/>
              </w:rPr>
              <w:t>.;</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 xml:space="preserve"> Kroz sprovođenje istraživanja o pristupačnim objektima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monitoring nad primjenom Zakona o planiranju prostora i izgradnji objekata sa posebnim akcentom na pristupačnost objekata u javnoj upotrebi za lica sa invaliditetom i lica smanjene pokretljivosti;</w:t>
            </w:r>
          </w:p>
          <w:p w:rsidR="00063D42" w:rsidRDefault="00063D42">
            <w:pPr>
              <w:rPr>
                <w:rFonts w:asciiTheme="minorHAnsi" w:hAnsiTheme="minorHAnsi"/>
                <w:color w:val="000000"/>
                <w:sz w:val="24"/>
                <w:szCs w:val="24"/>
                <w:lang w:val="sr-Latn-ME" w:eastAsia="ja-JP"/>
              </w:rPr>
            </w:pPr>
          </w:p>
          <w:p w:rsidR="00063D42" w:rsidRDefault="00063D42">
            <w:pPr>
              <w:rPr>
                <w:rFonts w:asciiTheme="minorHAnsi" w:hAnsiTheme="minorHAnsi"/>
                <w:sz w:val="24"/>
                <w:szCs w:val="24"/>
                <w:lang w:val="sr-Latn-ME" w:eastAsia="ja-JP"/>
              </w:rPr>
            </w:pPr>
          </w:p>
        </w:tc>
      </w:tr>
    </w:tbl>
    <w:p w:rsidR="00063D42" w:rsidRDefault="00063D42" w:rsidP="00063D42">
      <w:pPr>
        <w:numPr>
          <w:ilvl w:val="0"/>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lastRenderedPageBreak/>
        <w:t>JAVNI KONKURSI ZA FINANSIRANJE PROJEKATA I PROGRAMA NVO - DOPRINOS OSTVARENJU STRATEŠKIH CILJEVA IZ SEKTORSKE NADLEŽNOSTI MINISTARSTVA</w:t>
      </w:r>
    </w:p>
    <w:p w:rsidR="00063D42" w:rsidRDefault="00063D42" w:rsidP="00063D42">
      <w:pPr>
        <w:spacing w:after="160" w:line="256" w:lineRule="auto"/>
        <w:ind w:left="360"/>
        <w:contextualSpacing/>
        <w:rPr>
          <w:rFonts w:eastAsia="MS Mincho" w:cs="Times New Roman"/>
          <w:sz w:val="24"/>
          <w:szCs w:val="24"/>
          <w:lang w:val="sr-Latn-ME" w:eastAsia="ja-JP"/>
        </w:rPr>
      </w:pPr>
    </w:p>
    <w:p w:rsidR="00063D42" w:rsidRDefault="00063D42" w:rsidP="00063D42">
      <w:pPr>
        <w:numPr>
          <w:ilvl w:val="1"/>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Navesti javne konkurse koji se predlažu za objavljivanje u 202</w:t>
      </w:r>
      <w:r w:rsidR="004E464E">
        <w:rPr>
          <w:rFonts w:eastAsia="MS Mincho" w:cs="Times New Roman"/>
          <w:sz w:val="24"/>
          <w:szCs w:val="24"/>
          <w:lang w:val="sr-Latn-ME" w:eastAsia="ja-JP"/>
        </w:rPr>
        <w:t>5</w:t>
      </w:r>
      <w:r>
        <w:rPr>
          <w:rFonts w:eastAsia="MS Mincho" w:cs="Times New Roman"/>
          <w:sz w:val="24"/>
          <w:szCs w:val="24"/>
          <w:lang w:val="sr-Latn-ME" w:eastAsia="ja-JP"/>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5360"/>
        <w:gridCol w:w="1683"/>
        <w:gridCol w:w="5655"/>
      </w:tblGrid>
      <w:tr w:rsidR="00063D42" w:rsidTr="00063D42">
        <w:tc>
          <w:tcPr>
            <w:tcW w:w="613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 xml:space="preserve">Naziv javnog konkursa </w:t>
            </w:r>
          </w:p>
          <w:p w:rsidR="00063D42" w:rsidRDefault="00063D42">
            <w:pPr>
              <w:rPr>
                <w:rFonts w:asciiTheme="minorHAnsi" w:hAnsiTheme="minorHAnsi"/>
                <w:sz w:val="24"/>
                <w:szCs w:val="24"/>
                <w:lang w:val="sr-Latn-ME" w:eastAsia="ja-JP"/>
              </w:rPr>
            </w:pPr>
          </w:p>
        </w:tc>
        <w:tc>
          <w:tcPr>
            <w:tcW w:w="1846"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Iznos</w:t>
            </w:r>
          </w:p>
          <w:p w:rsidR="00063D42" w:rsidRDefault="00063D42">
            <w:pPr>
              <w:rPr>
                <w:rFonts w:asciiTheme="minorHAnsi" w:hAnsiTheme="minorHAnsi"/>
                <w:sz w:val="24"/>
                <w:szCs w:val="24"/>
                <w:lang w:val="sr-Latn-ME" w:eastAsia="ja-JP"/>
              </w:rPr>
            </w:pPr>
          </w:p>
        </w:tc>
        <w:tc>
          <w:tcPr>
            <w:tcW w:w="6534" w:type="dxa"/>
            <w:tcBorders>
              <w:top w:val="single" w:sz="18" w:space="0" w:color="auto"/>
              <w:left w:val="single" w:sz="2" w:space="0" w:color="auto"/>
              <w:bottom w:val="single" w:sz="4" w:space="0" w:color="auto"/>
              <w:right w:val="single" w:sz="4" w:space="0" w:color="auto"/>
            </w:tcBorders>
            <w:shd w:val="clear" w:color="auto" w:fill="F2F2F2"/>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Drugi donatori s kojima je potrebno koordinirati oblasti finansiranja</w:t>
            </w:r>
          </w:p>
        </w:tc>
      </w:tr>
      <w:tr w:rsidR="00063D42" w:rsidTr="00550B5E">
        <w:tc>
          <w:tcPr>
            <w:tcW w:w="613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D60A5F" w:rsidRPr="00D60A5F" w:rsidRDefault="004E464E">
            <w:pPr>
              <w:rPr>
                <w:rFonts w:asciiTheme="minorHAnsi" w:hAnsiTheme="minorHAnsi"/>
                <w:b/>
                <w:sz w:val="24"/>
                <w:szCs w:val="24"/>
                <w:lang w:val="sr-Latn-ME" w:eastAsia="ja-JP"/>
              </w:rPr>
            </w:pPr>
            <w:r>
              <w:rPr>
                <w:rFonts w:asciiTheme="minorHAnsi" w:hAnsiTheme="minorHAnsi"/>
                <w:b/>
                <w:sz w:val="24"/>
                <w:szCs w:val="24"/>
                <w:lang w:val="sr-Latn-RS"/>
              </w:rPr>
              <w:t>„</w:t>
            </w:r>
            <w:r w:rsidR="00067E44">
              <w:rPr>
                <w:rFonts w:asciiTheme="minorHAnsi" w:eastAsia="Times New Roman" w:hAnsiTheme="minorHAnsi" w:cstheme="minorHAnsi"/>
                <w:b/>
                <w:sz w:val="24"/>
                <w:szCs w:val="24"/>
                <w:lang w:val="sr-Latn-RS"/>
              </w:rPr>
              <w:t xml:space="preserve"> P</w:t>
            </w:r>
            <w:r w:rsidR="00D60A5F" w:rsidRPr="00D60A5F">
              <w:rPr>
                <w:rFonts w:asciiTheme="minorHAnsi" w:eastAsia="Times New Roman" w:hAnsiTheme="minorHAnsi" w:cstheme="minorHAnsi"/>
                <w:b/>
                <w:sz w:val="24"/>
                <w:szCs w:val="24"/>
                <w:lang w:val="sr-Latn-RS"/>
              </w:rPr>
              <w:t>ristupačnost kao </w:t>
            </w:r>
            <w:r w:rsidR="00D60A5F" w:rsidRPr="00D60A5F">
              <w:rPr>
                <w:rFonts w:asciiTheme="minorHAnsi" w:eastAsia="Times New Roman" w:hAnsiTheme="minorHAnsi" w:cstheme="minorHAnsi"/>
                <w:b/>
                <w:i/>
                <w:iCs/>
                <w:sz w:val="24"/>
                <w:szCs w:val="24"/>
                <w:lang w:val="sr-Latn-RS"/>
              </w:rPr>
              <w:t>ex ante dužnost</w:t>
            </w:r>
            <w:r w:rsidR="00D60A5F" w:rsidRPr="00D60A5F">
              <w:rPr>
                <w:rFonts w:asciiTheme="minorHAnsi" w:eastAsia="Times New Roman" w:hAnsiTheme="minorHAnsi" w:cstheme="minorHAnsi"/>
                <w:b/>
                <w:sz w:val="24"/>
                <w:szCs w:val="24"/>
                <w:lang w:val="sr-Latn-RS"/>
              </w:rPr>
              <w:t> </w:t>
            </w:r>
            <w:r>
              <w:rPr>
                <w:rFonts w:asciiTheme="minorHAnsi" w:eastAsia="Times New Roman" w:hAnsiTheme="minorHAnsi" w:cstheme="minorHAnsi"/>
                <w:b/>
                <w:sz w:val="24"/>
                <w:szCs w:val="24"/>
                <w:lang w:val="sr-Latn-RS"/>
              </w:rPr>
              <w:t>„</w:t>
            </w:r>
          </w:p>
          <w:p w:rsidR="00A1715E" w:rsidRDefault="00A1715E">
            <w:pPr>
              <w:rPr>
                <w:rFonts w:asciiTheme="minorHAnsi" w:hAnsiTheme="minorHAnsi"/>
                <w:b/>
                <w:sz w:val="24"/>
                <w:szCs w:val="24"/>
                <w:lang w:val="sr-Latn-ME" w:eastAsia="ja-JP"/>
              </w:rPr>
            </w:pPr>
          </w:p>
        </w:tc>
        <w:tc>
          <w:tcPr>
            <w:tcW w:w="1846"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rsidR="00063D42" w:rsidRDefault="00B879E3">
            <w:pPr>
              <w:rPr>
                <w:rFonts w:asciiTheme="minorHAnsi" w:hAnsiTheme="minorHAnsi"/>
                <w:b/>
                <w:sz w:val="24"/>
                <w:szCs w:val="24"/>
                <w:lang w:val="sr-Latn-ME" w:eastAsia="ja-JP"/>
              </w:rPr>
            </w:pPr>
            <w:r>
              <w:rPr>
                <w:rFonts w:asciiTheme="minorHAnsi" w:hAnsiTheme="minorHAnsi"/>
                <w:b/>
                <w:sz w:val="24"/>
                <w:szCs w:val="24"/>
                <w:lang w:val="sr-Latn-ME" w:eastAsia="ja-JP"/>
              </w:rPr>
              <w:t>1</w:t>
            </w:r>
            <w:r w:rsidR="00067E44">
              <w:rPr>
                <w:rFonts w:asciiTheme="minorHAnsi" w:hAnsiTheme="minorHAnsi"/>
                <w:b/>
                <w:sz w:val="24"/>
                <w:szCs w:val="24"/>
                <w:lang w:val="sr-Latn-ME" w:eastAsia="ja-JP"/>
              </w:rPr>
              <w:t>7</w:t>
            </w:r>
            <w:r w:rsidR="00063D42">
              <w:rPr>
                <w:rFonts w:asciiTheme="minorHAnsi" w:hAnsiTheme="minorHAnsi"/>
                <w:b/>
                <w:sz w:val="24"/>
                <w:szCs w:val="24"/>
                <w:lang w:val="sr-Latn-ME" w:eastAsia="ja-JP"/>
              </w:rPr>
              <w:t>0. 000,00 €</w:t>
            </w:r>
          </w:p>
        </w:tc>
        <w:tc>
          <w:tcPr>
            <w:tcW w:w="6534" w:type="dxa"/>
            <w:tcBorders>
              <w:top w:val="single" w:sz="4" w:space="0" w:color="auto"/>
              <w:left w:val="single" w:sz="2" w:space="0" w:color="auto"/>
              <w:bottom w:val="single" w:sz="4" w:space="0" w:color="auto"/>
              <w:right w:val="single" w:sz="4" w:space="0" w:color="auto"/>
            </w:tcBorders>
          </w:tcPr>
          <w:p w:rsidR="00063D42" w:rsidRDefault="00063D42">
            <w:pPr>
              <w:rPr>
                <w:rFonts w:asciiTheme="minorHAnsi" w:hAnsiTheme="minorHAnsi"/>
                <w:sz w:val="24"/>
                <w:szCs w:val="24"/>
                <w:lang w:val="sr-Latn-ME" w:eastAsia="ja-JP"/>
              </w:rPr>
            </w:pPr>
          </w:p>
        </w:tc>
      </w:tr>
    </w:tbl>
    <w:p w:rsidR="00063D42" w:rsidRDefault="00063D42" w:rsidP="00063D42">
      <w:pPr>
        <w:rPr>
          <w:rFonts w:eastAsia="MS Mincho" w:cs="Times New Roman"/>
          <w:sz w:val="24"/>
          <w:szCs w:val="24"/>
          <w:lang w:val="sr-Latn-ME" w:eastAsia="ja-JP"/>
        </w:rPr>
      </w:pPr>
    </w:p>
    <w:p w:rsidR="00063D42" w:rsidRDefault="00063D42" w:rsidP="00063D42">
      <w:pPr>
        <w:rPr>
          <w:rFonts w:eastAsia="MS Mincho" w:cs="Times New Roman"/>
          <w:sz w:val="24"/>
          <w:szCs w:val="24"/>
          <w:lang w:val="sr-Latn-ME" w:eastAsia="ja-JP"/>
        </w:rPr>
      </w:pPr>
    </w:p>
    <w:p w:rsidR="00063D42" w:rsidRDefault="00063D42" w:rsidP="00063D42">
      <w:pPr>
        <w:numPr>
          <w:ilvl w:val="1"/>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Navesti ko su predviđeni glavni korisnici projekata i programa koji će se finansirati putem javnog konkursa. Ukratko navesti glavna obilježja svake grupe korisnika, njihov broj i njihove potrebe na koje projekti i programi treba da odgovore u 202</w:t>
      </w:r>
      <w:r w:rsidR="004E464E">
        <w:rPr>
          <w:rFonts w:eastAsia="MS Mincho" w:cs="Times New Roman"/>
          <w:sz w:val="24"/>
          <w:szCs w:val="24"/>
          <w:lang w:val="sr-Latn-ME" w:eastAsia="ja-JP"/>
        </w:rPr>
        <w:t>5</w:t>
      </w:r>
      <w:r>
        <w:rPr>
          <w:rFonts w:eastAsia="MS Mincho" w:cs="Times New Roman"/>
          <w:sz w:val="24"/>
          <w:szCs w:val="24"/>
          <w:lang w:val="sr-Latn-ME" w:eastAsia="ja-JP"/>
        </w:rPr>
        <w:t>. godini.</w:t>
      </w:r>
    </w:p>
    <w:tbl>
      <w:tblPr>
        <w:tblStyle w:val="TableGrid"/>
        <w:tblW w:w="0" w:type="auto"/>
        <w:tblInd w:w="792" w:type="dxa"/>
        <w:tblLook w:val="04A0" w:firstRow="1" w:lastRow="0" w:firstColumn="1" w:lastColumn="0" w:noHBand="0" w:noVBand="1"/>
      </w:tblPr>
      <w:tblGrid>
        <w:gridCol w:w="12698"/>
      </w:tblGrid>
      <w:tr w:rsidR="00063D42" w:rsidTr="00063D42">
        <w:tc>
          <w:tcPr>
            <w:tcW w:w="1451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Opis glavnih grupa korisnika, njihov broj i potrebe</w:t>
            </w:r>
          </w:p>
        </w:tc>
      </w:tr>
      <w:tr w:rsidR="00063D42" w:rsidTr="00063D42">
        <w:tc>
          <w:tcPr>
            <w:tcW w:w="145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tcPr>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lica sa invaliditetom- lica koja koriste objekte u javnoj upotrebi za ostvarivanje osnovnih ljudskih prava;</w:t>
            </w:r>
          </w:p>
          <w:p w:rsidR="00063D42" w:rsidRPr="00E21024" w:rsidRDefault="00063D42" w:rsidP="00E21024">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lastRenderedPageBreak/>
              <w:t>vlasnici - korisnici objekata u javnoj upotrebi;</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učesnici u izgradnji objekata (investitori, projektanti, revidenti, izvođači radova, vršioci stručnog nadzora);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studenti arhitektonskog i građevinskog fakulteta;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 xml:space="preserve">državni i lokalni službenici; </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 xml:space="preserve">vršioci javnih fukcija; </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predstavnici medija;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zainteresovana javnost.</w:t>
            </w:r>
          </w:p>
          <w:p w:rsidR="00063D42" w:rsidRDefault="00063D42">
            <w:pPr>
              <w:rPr>
                <w:rFonts w:asciiTheme="minorHAnsi" w:hAnsiTheme="minorHAnsi"/>
                <w:sz w:val="24"/>
                <w:szCs w:val="24"/>
                <w:lang w:val="sr-Latn-ME" w:eastAsia="ja-JP"/>
              </w:rPr>
            </w:pPr>
          </w:p>
          <w:p w:rsidR="00063D42" w:rsidRPr="001F5617" w:rsidRDefault="001F5617" w:rsidP="001F5617">
            <w:pPr>
              <w:pStyle w:val="ListParagraph"/>
              <w:numPr>
                <w:ilvl w:val="0"/>
                <w:numId w:val="23"/>
              </w:numPr>
              <w:shd w:val="clear" w:color="auto" w:fill="FFFFFF" w:themeFill="background1"/>
              <w:jc w:val="both"/>
              <w:rPr>
                <w:rFonts w:asciiTheme="minorHAnsi" w:hAnsiTheme="minorHAnsi"/>
                <w:sz w:val="24"/>
                <w:szCs w:val="24"/>
                <w:lang w:val="sr-Latn-ME" w:eastAsia="ja-JP"/>
              </w:rPr>
            </w:pPr>
            <w:r>
              <w:rPr>
                <w:rFonts w:asciiTheme="minorHAnsi" w:hAnsiTheme="minorHAnsi" w:cstheme="minorHAnsi"/>
                <w:sz w:val="24"/>
                <w:szCs w:val="24"/>
                <w:lang w:val="sr-Latn-ME" w:eastAsia="ja-JP"/>
              </w:rPr>
              <w:t xml:space="preserve">Potrebe  lica sa invaliditetom su da objekti u javnoj upotrebi budu pristupačni. </w:t>
            </w:r>
            <w:r w:rsidR="00063D42">
              <w:rPr>
                <w:rFonts w:asciiTheme="minorHAnsi" w:hAnsiTheme="minorHAnsi" w:cstheme="minorHAnsi"/>
                <w:sz w:val="24"/>
                <w:szCs w:val="24"/>
                <w:lang w:val="sr-Latn-ME" w:eastAsia="ja-JP"/>
              </w:rPr>
              <w:t>Izradom elemenata pristupačnosti na postojećim objektima u javnoj upotrebi</w:t>
            </w:r>
            <w:r w:rsidR="003E4455">
              <w:rPr>
                <w:rFonts w:asciiTheme="minorHAnsi" w:hAnsiTheme="minorHAnsi" w:cstheme="minorHAnsi"/>
                <w:sz w:val="24"/>
                <w:szCs w:val="24"/>
                <w:lang w:val="sr-Latn-ME" w:eastAsia="ja-JP"/>
              </w:rPr>
              <w:t xml:space="preserve"> </w:t>
            </w:r>
            <w:r w:rsidR="00063D42">
              <w:rPr>
                <w:rFonts w:asciiTheme="minorHAnsi" w:hAnsiTheme="minorHAnsi" w:cstheme="minorHAnsi"/>
                <w:sz w:val="24"/>
                <w:szCs w:val="24"/>
                <w:lang w:val="sr-Latn-ME" w:eastAsia="ja-JP"/>
              </w:rPr>
              <w:t>i turističkim obj</w:t>
            </w:r>
            <w:r w:rsidR="003E4455">
              <w:rPr>
                <w:rFonts w:asciiTheme="minorHAnsi" w:hAnsiTheme="minorHAnsi" w:cstheme="minorHAnsi"/>
                <w:sz w:val="24"/>
                <w:szCs w:val="24"/>
                <w:lang w:val="sr-Latn-ME" w:eastAsia="ja-JP"/>
              </w:rPr>
              <w:t>e</w:t>
            </w:r>
            <w:r w:rsidR="00063D42">
              <w:rPr>
                <w:rFonts w:asciiTheme="minorHAnsi" w:hAnsiTheme="minorHAnsi" w:cstheme="minorHAnsi"/>
                <w:sz w:val="24"/>
                <w:szCs w:val="24"/>
                <w:lang w:val="sr-Latn-ME" w:eastAsia="ja-JP"/>
              </w:rPr>
              <w:t xml:space="preserve">ktima dopinijelo bi se poštovanju osnovnih ljudskih prava pri korišćenju istih i omogućilo da OSI  </w:t>
            </w:r>
            <w:r w:rsidR="00063D42">
              <w:rPr>
                <w:rFonts w:asciiTheme="minorHAnsi" w:hAnsiTheme="minorHAnsi" w:cstheme="minorHAnsi"/>
                <w:color w:val="000000" w:themeColor="text1"/>
                <w:sz w:val="24"/>
                <w:szCs w:val="24"/>
                <w:lang w:val="sr-Latn-ME" w:eastAsia="ja-JP"/>
              </w:rPr>
              <w:t>postanu ravnopravni članovi društva u obavljanju svakodnevnih potreba</w:t>
            </w:r>
            <w:r w:rsidR="00063D42">
              <w:rPr>
                <w:rFonts w:asciiTheme="minorHAnsi" w:hAnsiTheme="minorHAnsi" w:cstheme="minorHAnsi"/>
                <w:b/>
                <w:i/>
                <w:color w:val="FF0000"/>
                <w:sz w:val="24"/>
                <w:szCs w:val="24"/>
                <w:lang w:val="sr-Latn-ME" w:eastAsia="ja-JP"/>
              </w:rPr>
              <w:t>.</w:t>
            </w:r>
            <w:r>
              <w:rPr>
                <w:rFonts w:asciiTheme="minorHAnsi" w:hAnsiTheme="minorHAnsi" w:cstheme="minorHAnsi"/>
                <w:b/>
                <w:sz w:val="24"/>
                <w:szCs w:val="24"/>
                <w:lang w:val="en-GB" w:eastAsia="ja-JP"/>
              </w:rPr>
              <w:t xml:space="preserve"> </w:t>
            </w:r>
            <w:proofErr w:type="spellStart"/>
            <w:r w:rsidRPr="001F5617">
              <w:rPr>
                <w:rFonts w:asciiTheme="minorHAnsi" w:hAnsiTheme="minorHAnsi" w:cstheme="minorHAnsi"/>
                <w:sz w:val="24"/>
                <w:szCs w:val="24"/>
                <w:lang w:val="en-GB" w:eastAsia="ja-JP"/>
              </w:rPr>
              <w:t>Prema</w:t>
            </w:r>
            <w:proofErr w:type="spellEnd"/>
            <w:r w:rsidRPr="001F5617">
              <w:rPr>
                <w:rFonts w:asciiTheme="minorHAnsi" w:hAnsiTheme="minorHAnsi" w:cstheme="minorHAnsi"/>
                <w:sz w:val="24"/>
                <w:szCs w:val="24"/>
                <w:lang w:val="en-GB" w:eastAsia="ja-JP"/>
              </w:rPr>
              <w:t xml:space="preserve"> MONSTATU</w:t>
            </w:r>
            <w:r>
              <w:rPr>
                <w:rFonts w:asciiTheme="minorHAnsi" w:hAnsiTheme="minorHAnsi"/>
                <w:sz w:val="24"/>
                <w:szCs w:val="24"/>
                <w:lang w:val="sr-Latn-ME" w:eastAsia="ja-JP"/>
              </w:rPr>
              <w:t xml:space="preserve">, 11% od ukupnog broja stanovnika u Crnoj </w:t>
            </w:r>
            <w:proofErr w:type="gramStart"/>
            <w:r>
              <w:rPr>
                <w:rFonts w:asciiTheme="minorHAnsi" w:hAnsiTheme="minorHAnsi"/>
                <w:sz w:val="24"/>
                <w:szCs w:val="24"/>
                <w:lang w:val="sr-Latn-ME" w:eastAsia="ja-JP"/>
              </w:rPr>
              <w:t>Gori</w:t>
            </w:r>
            <w:r w:rsidRPr="001F5617">
              <w:rPr>
                <w:rFonts w:asciiTheme="minorHAnsi" w:hAnsiTheme="minorHAnsi"/>
                <w:sz w:val="24"/>
                <w:szCs w:val="24"/>
                <w:lang w:val="sr-Latn-ME" w:eastAsia="ja-JP"/>
              </w:rPr>
              <w:t xml:space="preserve"> </w:t>
            </w:r>
            <w:r>
              <w:rPr>
                <w:rFonts w:asciiTheme="minorHAnsi" w:hAnsiTheme="minorHAnsi"/>
                <w:sz w:val="24"/>
                <w:szCs w:val="24"/>
                <w:lang w:val="sr-Latn-ME" w:eastAsia="ja-JP"/>
              </w:rPr>
              <w:t xml:space="preserve"> se</w:t>
            </w:r>
            <w:proofErr w:type="gramEnd"/>
            <w:r>
              <w:rPr>
                <w:rFonts w:asciiTheme="minorHAnsi" w:hAnsiTheme="minorHAnsi"/>
                <w:sz w:val="24"/>
                <w:szCs w:val="24"/>
                <w:lang w:val="sr-Latn-ME" w:eastAsia="ja-JP"/>
              </w:rPr>
              <w:t xml:space="preserve"> izjasnilo da ima problema </w:t>
            </w:r>
            <w:r w:rsidRPr="001F5617">
              <w:rPr>
                <w:rFonts w:asciiTheme="minorHAnsi" w:hAnsiTheme="minorHAnsi"/>
                <w:sz w:val="24"/>
                <w:szCs w:val="24"/>
                <w:lang w:val="sr-Latn-ME" w:eastAsia="ja-JP"/>
              </w:rPr>
              <w:t>u obavljanju svakodnevnih aktivnosti</w:t>
            </w:r>
            <w:r>
              <w:rPr>
                <w:rFonts w:asciiTheme="minorHAnsi" w:hAnsiTheme="minorHAnsi"/>
                <w:sz w:val="24"/>
                <w:szCs w:val="24"/>
                <w:lang w:val="sr-Latn-ME" w:eastAsia="ja-JP"/>
              </w:rPr>
              <w:t>.</w:t>
            </w:r>
          </w:p>
          <w:p w:rsidR="00063D42" w:rsidRDefault="00063D42" w:rsidP="00063D42">
            <w:pPr>
              <w:pStyle w:val="ListParagraph"/>
              <w:numPr>
                <w:ilvl w:val="0"/>
                <w:numId w:val="23"/>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 xml:space="preserve">Lica sa invaliditetom, u cilju ostvarenja osnovnih ljudskih prava, treba da imaju informacije o pristupačnim objektima u javnoj upotrebi . </w:t>
            </w:r>
          </w:p>
          <w:p w:rsidR="00063D42" w:rsidRDefault="00063D42" w:rsidP="00063D42">
            <w:pPr>
              <w:pStyle w:val="ListParagraph"/>
              <w:numPr>
                <w:ilvl w:val="0"/>
                <w:numId w:val="23"/>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Imajući u vidu prava i potrebe lica sa invaliditetom u dijelu pristupačnosti objekata, kao i sugestije NVO sektora da postoji nepoštovanje standarda pristupačnosti prilikom izgradnje</w:t>
            </w:r>
            <w:r w:rsidR="001F5617">
              <w:rPr>
                <w:rFonts w:asciiTheme="minorHAnsi" w:hAnsiTheme="minorHAnsi" w:cstheme="minorHAnsi"/>
                <w:sz w:val="24"/>
                <w:szCs w:val="24"/>
                <w:lang w:val="sr-Latn-ME" w:eastAsia="ja-JP"/>
              </w:rPr>
              <w:t xml:space="preserve"> novih</w:t>
            </w:r>
            <w:r>
              <w:rPr>
                <w:rFonts w:asciiTheme="minorHAnsi" w:hAnsiTheme="minorHAnsi" w:cstheme="minorHAnsi"/>
                <w:sz w:val="24"/>
                <w:szCs w:val="24"/>
                <w:lang w:val="sr-Latn-ME" w:eastAsia="ja-JP"/>
              </w:rPr>
              <w:t xml:space="preserve"> objekata, uspostavljanjem direktne komunikacije između NVO sektora koji se bavi ovim pitanjima i učesnika u procesu izgradnje objekata, kao i državnih i lokalnih službenika i inspekcijskih organa, mogao bi se dati doprinos unapredjenju ove oblasti jer bi navedeni korisnici projekta mogli dobiti informaciju ne samo o važećoj zakonskoj regulativi i  obavezama u skladu sa propisima već i bliže informacije sa kojim se izazovima susreću lica sa invaliditetom prilikom pristupa i upotrebe objekata kao i kako da se </w:t>
            </w:r>
            <w:r w:rsidR="001F5617">
              <w:rPr>
                <w:rFonts w:asciiTheme="minorHAnsi" w:hAnsiTheme="minorHAnsi" w:cstheme="minorHAnsi"/>
                <w:sz w:val="24"/>
                <w:szCs w:val="24"/>
                <w:lang w:val="sr-Latn-ME" w:eastAsia="ja-JP"/>
              </w:rPr>
              <w:t>iz</w:t>
            </w:r>
            <w:r>
              <w:rPr>
                <w:rFonts w:asciiTheme="minorHAnsi" w:hAnsiTheme="minorHAnsi" w:cstheme="minorHAnsi"/>
                <w:sz w:val="24"/>
                <w:szCs w:val="24"/>
                <w:lang w:val="sr-Latn-ME" w:eastAsia="ja-JP"/>
              </w:rPr>
              <w:t>nadju najbolja rješenja za prevazilaženje problema.</w:t>
            </w:r>
          </w:p>
          <w:p w:rsidR="00063D42" w:rsidRDefault="00063D42" w:rsidP="00063D42">
            <w:pPr>
              <w:pStyle w:val="ListParagraph"/>
              <w:numPr>
                <w:ilvl w:val="0"/>
                <w:numId w:val="23"/>
              </w:numPr>
              <w:jc w:val="both"/>
              <w:rPr>
                <w:sz w:val="24"/>
                <w:szCs w:val="24"/>
                <w:lang w:val="sr-Latn-ME" w:eastAsia="ja-JP"/>
              </w:rPr>
            </w:pPr>
            <w:r>
              <w:rPr>
                <w:rFonts w:asciiTheme="minorHAnsi" w:hAnsiTheme="minorHAnsi" w:cstheme="minorHAnsi"/>
                <w:sz w:val="24"/>
                <w:szCs w:val="24"/>
                <w:lang w:val="sr-Latn-ME" w:eastAsia="ja-JP"/>
              </w:rPr>
              <w:t>Veoma značajno je učešće i medija u ovim projektima kako bi mogli da daju doprinos promociji vaznosti pristupačnih objekata</w:t>
            </w:r>
            <w:r>
              <w:rPr>
                <w:sz w:val="24"/>
                <w:szCs w:val="24"/>
                <w:lang w:val="sr-Latn-ME" w:eastAsia="ja-JP"/>
              </w:rPr>
              <w:t>.</w:t>
            </w:r>
          </w:p>
        </w:tc>
      </w:tr>
    </w:tbl>
    <w:p w:rsidR="00063D42" w:rsidRDefault="00063D42" w:rsidP="00063D42">
      <w:pPr>
        <w:spacing w:after="200"/>
        <w:rPr>
          <w:rFonts w:eastAsia="MS Mincho" w:cs="Times New Roman"/>
          <w:sz w:val="24"/>
          <w:szCs w:val="24"/>
          <w:lang w:val="sr-Latn-ME" w:eastAsia="ja-JP"/>
        </w:rPr>
      </w:pPr>
    </w:p>
    <w:p w:rsidR="00063D42" w:rsidRDefault="00063D42" w:rsidP="00063D42">
      <w:pPr>
        <w:numPr>
          <w:ilvl w:val="1"/>
          <w:numId w:val="13"/>
        </w:numPr>
        <w:spacing w:after="200" w:line="256" w:lineRule="auto"/>
        <w:contextualSpacing/>
        <w:rPr>
          <w:rFonts w:eastAsia="MS Mincho" w:cs="Calibri"/>
          <w:sz w:val="24"/>
          <w:szCs w:val="24"/>
          <w:lang w:val="sr-Latn-ME" w:eastAsia="ja-JP"/>
        </w:rPr>
      </w:pPr>
      <w:r>
        <w:rPr>
          <w:rFonts w:eastAsia="MS Mincho" w:cs="Calibri"/>
          <w:sz w:val="24"/>
          <w:szCs w:val="24"/>
          <w:lang w:val="sr-Latn-ME" w:eastAsia="ja-JP"/>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113"/>
        <w:gridCol w:w="6585"/>
      </w:tblGrid>
      <w:tr w:rsidR="00063D42" w:rsidTr="00063D42">
        <w:tc>
          <w:tcPr>
            <w:tcW w:w="14512" w:type="dxa"/>
            <w:gridSpan w:val="2"/>
            <w:tcBorders>
              <w:top w:val="single" w:sz="18" w:space="0" w:color="auto"/>
              <w:left w:val="single" w:sz="4" w:space="0" w:color="auto"/>
              <w:bottom w:val="single" w:sz="2" w:space="0" w:color="auto"/>
              <w:right w:val="single" w:sz="4" w:space="0" w:color="auto"/>
            </w:tcBorders>
            <w:shd w:val="clear" w:color="auto" w:fill="F2F2F2"/>
            <w:tcMar>
              <w:top w:w="57" w:type="dxa"/>
              <w:left w:w="108" w:type="dxa"/>
              <w:bottom w:w="57" w:type="dxa"/>
              <w:right w:w="108" w:type="dxa"/>
            </w:tcMar>
            <w:hideMark/>
          </w:tcPr>
          <w:p w:rsidR="00063D42" w:rsidRDefault="00063D42">
            <w:pPr>
              <w:jc w:val="cente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Očekivani broj projekata koji se planira finansirati / broj ugovora koje se planira zaključiti s NVO</w:t>
            </w:r>
          </w:p>
        </w:tc>
      </w:tr>
      <w:tr w:rsidR="00063D42" w:rsidTr="00063D42">
        <w:tc>
          <w:tcPr>
            <w:tcW w:w="6884"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Naziv javnog konkursa</w:t>
            </w:r>
          </w:p>
          <w:p w:rsidR="004E464E" w:rsidRPr="00D60A5F" w:rsidRDefault="004E464E" w:rsidP="004E464E">
            <w:pPr>
              <w:rPr>
                <w:rFonts w:asciiTheme="minorHAnsi" w:hAnsiTheme="minorHAnsi"/>
                <w:b/>
                <w:sz w:val="24"/>
                <w:szCs w:val="24"/>
                <w:lang w:val="sr-Latn-ME" w:eastAsia="ja-JP"/>
              </w:rPr>
            </w:pPr>
            <w:r>
              <w:rPr>
                <w:rFonts w:asciiTheme="minorHAnsi" w:hAnsiTheme="minorHAnsi"/>
                <w:b/>
                <w:sz w:val="24"/>
                <w:szCs w:val="24"/>
                <w:lang w:val="sr-Latn-RS"/>
              </w:rPr>
              <w:lastRenderedPageBreak/>
              <w:t>„</w:t>
            </w:r>
            <w:r>
              <w:rPr>
                <w:rFonts w:asciiTheme="minorHAnsi" w:eastAsia="Times New Roman" w:hAnsiTheme="minorHAnsi" w:cstheme="minorHAnsi"/>
                <w:b/>
                <w:sz w:val="24"/>
                <w:szCs w:val="24"/>
                <w:lang w:val="sr-Latn-RS"/>
              </w:rPr>
              <w:t xml:space="preserve"> P</w:t>
            </w:r>
            <w:r w:rsidRPr="00D60A5F">
              <w:rPr>
                <w:rFonts w:asciiTheme="minorHAnsi" w:eastAsia="Times New Roman" w:hAnsiTheme="minorHAnsi" w:cstheme="minorHAnsi"/>
                <w:b/>
                <w:sz w:val="24"/>
                <w:szCs w:val="24"/>
                <w:lang w:val="sr-Latn-RS"/>
              </w:rPr>
              <w:t>ristupačnost kao </w:t>
            </w:r>
            <w:r w:rsidRPr="00D60A5F">
              <w:rPr>
                <w:rFonts w:asciiTheme="minorHAnsi" w:eastAsia="Times New Roman" w:hAnsiTheme="minorHAnsi" w:cstheme="minorHAnsi"/>
                <w:b/>
                <w:i/>
                <w:iCs/>
                <w:sz w:val="24"/>
                <w:szCs w:val="24"/>
                <w:lang w:val="sr-Latn-RS"/>
              </w:rPr>
              <w:t>ex ante dužnost</w:t>
            </w:r>
            <w:r w:rsidRPr="00D60A5F">
              <w:rPr>
                <w:rFonts w:asciiTheme="minorHAnsi" w:eastAsia="Times New Roman" w:hAnsiTheme="minorHAnsi" w:cstheme="minorHAnsi"/>
                <w:b/>
                <w:sz w:val="24"/>
                <w:szCs w:val="24"/>
                <w:lang w:val="sr-Latn-RS"/>
              </w:rPr>
              <w:t> </w:t>
            </w:r>
            <w:r>
              <w:rPr>
                <w:rFonts w:asciiTheme="minorHAnsi" w:eastAsia="Times New Roman" w:hAnsiTheme="minorHAnsi" w:cstheme="minorHAnsi"/>
                <w:b/>
                <w:sz w:val="24"/>
                <w:szCs w:val="24"/>
                <w:lang w:val="sr-Latn-RS"/>
              </w:rPr>
              <w:t>„</w:t>
            </w:r>
          </w:p>
          <w:p w:rsidR="00063D42" w:rsidRDefault="00063D42">
            <w:pPr>
              <w:rPr>
                <w:rFonts w:asciiTheme="minorHAnsi" w:hAnsiTheme="minorHAnsi"/>
                <w:color w:val="000000" w:themeColor="text1"/>
                <w:sz w:val="24"/>
                <w:szCs w:val="24"/>
                <w:lang w:val="sr-Latn-ME" w:eastAsia="ja-JP"/>
              </w:rPr>
            </w:pPr>
          </w:p>
        </w:tc>
        <w:tc>
          <w:tcPr>
            <w:tcW w:w="7628"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lastRenderedPageBreak/>
              <w:t>10</w:t>
            </w:r>
          </w:p>
        </w:tc>
      </w:tr>
    </w:tbl>
    <w:p w:rsidR="00063D42" w:rsidRDefault="00063D42" w:rsidP="00063D42">
      <w:pPr>
        <w:rPr>
          <w:rFonts w:eastAsia="MS Mincho" w:cs="Times New Roman"/>
          <w:color w:val="000000" w:themeColor="text1"/>
          <w:sz w:val="24"/>
          <w:szCs w:val="24"/>
          <w:lang w:val="sr-Latn-ME" w:eastAsia="ja-JP"/>
        </w:rPr>
      </w:pPr>
    </w:p>
    <w:p w:rsidR="00063D42" w:rsidRDefault="00063D42" w:rsidP="00063D42">
      <w:pPr>
        <w:numPr>
          <w:ilvl w:val="1"/>
          <w:numId w:val="13"/>
        </w:numPr>
        <w:spacing w:after="160" w:line="256" w:lineRule="auto"/>
        <w:contextualSpacing/>
        <w:rPr>
          <w:rFonts w:eastAsia="MS Mincho" w:cs="Times New Roman"/>
          <w:color w:val="000000" w:themeColor="text1"/>
          <w:sz w:val="24"/>
          <w:szCs w:val="24"/>
          <w:lang w:val="sr-Latn-ME" w:eastAsia="ja-JP"/>
        </w:rPr>
      </w:pPr>
      <w:r>
        <w:rPr>
          <w:rFonts w:eastAsia="MS Mincho" w:cs="Times New Roman"/>
          <w:color w:val="000000" w:themeColor="text1"/>
          <w:sz w:val="24"/>
          <w:szCs w:val="24"/>
          <w:lang w:val="sr-Latn-ME" w:eastAsia="ja-JP"/>
        </w:rPr>
        <w:t>Navesti najviši i najniži iznosi finansijske podrške koju će biti moguće ostvariti na osnovu pojedinačnog javnog konkursa navedenog u tački 4.3</w:t>
      </w:r>
    </w:p>
    <w:tbl>
      <w:tblPr>
        <w:tblStyle w:val="TableGrid"/>
        <w:tblW w:w="0" w:type="auto"/>
        <w:tblInd w:w="792" w:type="dxa"/>
        <w:tblLook w:val="04A0" w:firstRow="1" w:lastRow="0" w:firstColumn="1" w:lastColumn="0" w:noHBand="0" w:noVBand="1"/>
      </w:tblPr>
      <w:tblGrid>
        <w:gridCol w:w="6026"/>
        <w:gridCol w:w="6672"/>
      </w:tblGrid>
      <w:tr w:rsidR="00063D42" w:rsidTr="00854331">
        <w:trPr>
          <w:trHeight w:val="639"/>
        </w:trPr>
        <w:tc>
          <w:tcPr>
            <w:tcW w:w="14512" w:type="dxa"/>
            <w:gridSpan w:val="2"/>
            <w:tcBorders>
              <w:top w:val="single" w:sz="18" w:space="0" w:color="auto"/>
              <w:left w:val="single" w:sz="4" w:space="0" w:color="auto"/>
              <w:bottom w:val="single" w:sz="4" w:space="0" w:color="auto"/>
              <w:right w:val="single" w:sz="4" w:space="0" w:color="auto"/>
            </w:tcBorders>
            <w:shd w:val="clear" w:color="auto" w:fill="F2F2F2"/>
            <w:hideMark/>
          </w:tcPr>
          <w:p w:rsidR="00063D42" w:rsidRPr="004E464E" w:rsidRDefault="00063D42">
            <w:pPr>
              <w:rPr>
                <w:rFonts w:asciiTheme="minorHAnsi" w:hAnsiTheme="minorHAnsi"/>
                <w:b/>
                <w:sz w:val="24"/>
                <w:szCs w:val="24"/>
                <w:lang w:val="sr-Latn-ME" w:eastAsia="ja-JP"/>
              </w:rPr>
            </w:pPr>
            <w:r>
              <w:rPr>
                <w:rFonts w:asciiTheme="minorHAnsi" w:hAnsiTheme="minorHAnsi"/>
                <w:color w:val="000000" w:themeColor="text1"/>
                <w:sz w:val="24"/>
                <w:szCs w:val="24"/>
                <w:lang w:val="sr-Latn-ME" w:eastAsia="ja-JP"/>
              </w:rPr>
              <w:t xml:space="preserve">Naziv javnog konkursa: </w:t>
            </w:r>
            <w:r w:rsidR="004E464E">
              <w:rPr>
                <w:rFonts w:asciiTheme="minorHAnsi" w:hAnsiTheme="minorHAnsi"/>
                <w:b/>
                <w:sz w:val="24"/>
                <w:szCs w:val="24"/>
                <w:lang w:val="sr-Latn-RS"/>
              </w:rPr>
              <w:t>„</w:t>
            </w:r>
            <w:r w:rsidR="004E464E">
              <w:rPr>
                <w:rFonts w:asciiTheme="minorHAnsi" w:eastAsia="Times New Roman" w:hAnsiTheme="minorHAnsi" w:cstheme="minorHAnsi"/>
                <w:b/>
                <w:sz w:val="24"/>
                <w:szCs w:val="24"/>
                <w:lang w:val="sr-Latn-RS"/>
              </w:rPr>
              <w:t xml:space="preserve"> P</w:t>
            </w:r>
            <w:r w:rsidR="004E464E" w:rsidRPr="00D60A5F">
              <w:rPr>
                <w:rFonts w:asciiTheme="minorHAnsi" w:eastAsia="Times New Roman" w:hAnsiTheme="minorHAnsi" w:cstheme="minorHAnsi"/>
                <w:b/>
                <w:sz w:val="24"/>
                <w:szCs w:val="24"/>
                <w:lang w:val="sr-Latn-RS"/>
              </w:rPr>
              <w:t>ristupačnost kao </w:t>
            </w:r>
            <w:r w:rsidR="004E464E" w:rsidRPr="00D60A5F">
              <w:rPr>
                <w:rFonts w:asciiTheme="minorHAnsi" w:eastAsia="Times New Roman" w:hAnsiTheme="minorHAnsi" w:cstheme="minorHAnsi"/>
                <w:b/>
                <w:i/>
                <w:iCs/>
                <w:sz w:val="24"/>
                <w:szCs w:val="24"/>
                <w:lang w:val="sr-Latn-RS"/>
              </w:rPr>
              <w:t>ex ante dužnost</w:t>
            </w:r>
            <w:r w:rsidR="004E464E" w:rsidRPr="00D60A5F">
              <w:rPr>
                <w:rFonts w:asciiTheme="minorHAnsi" w:eastAsia="Times New Roman" w:hAnsiTheme="minorHAnsi" w:cstheme="minorHAnsi"/>
                <w:b/>
                <w:sz w:val="24"/>
                <w:szCs w:val="24"/>
                <w:lang w:val="sr-Latn-RS"/>
              </w:rPr>
              <w:t> </w:t>
            </w:r>
            <w:r w:rsidR="004E464E">
              <w:rPr>
                <w:rFonts w:asciiTheme="minorHAnsi" w:eastAsia="Times New Roman" w:hAnsiTheme="minorHAnsi" w:cstheme="minorHAnsi"/>
                <w:b/>
                <w:sz w:val="24"/>
                <w:szCs w:val="24"/>
                <w:lang w:val="sr-Latn-RS"/>
              </w:rPr>
              <w:t>„</w:t>
            </w:r>
          </w:p>
        </w:tc>
      </w:tr>
      <w:tr w:rsidR="00063D42" w:rsidTr="00854331">
        <w:tc>
          <w:tcPr>
            <w:tcW w:w="68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3D42" w:rsidRPr="00854331" w:rsidRDefault="00063D42">
            <w:pPr>
              <w:rPr>
                <w:rFonts w:asciiTheme="minorHAnsi" w:hAnsiTheme="minorHAnsi"/>
                <w:color w:val="000000" w:themeColor="text1"/>
                <w:sz w:val="24"/>
                <w:szCs w:val="24"/>
                <w:lang w:val="sr-Latn-ME" w:eastAsia="ja-JP"/>
              </w:rPr>
            </w:pPr>
            <w:r w:rsidRPr="00854331">
              <w:rPr>
                <w:rFonts w:asciiTheme="minorHAnsi" w:hAnsiTheme="minorHAnsi"/>
                <w:color w:val="000000" w:themeColor="text1"/>
                <w:sz w:val="24"/>
                <w:szCs w:val="24"/>
                <w:lang w:val="sr-Latn-ME" w:eastAsia="ja-JP"/>
              </w:rPr>
              <w:t>Najniži iznos finansijske podrške koju će biti moguće ostvariti na osnovu javnog konkursa:</w:t>
            </w:r>
          </w:p>
          <w:p w:rsidR="00063D42" w:rsidRPr="00A22311" w:rsidRDefault="00063D42">
            <w:pPr>
              <w:rPr>
                <w:rFonts w:asciiTheme="minorHAnsi" w:hAnsiTheme="minorHAnsi"/>
                <w:color w:val="000000" w:themeColor="text1"/>
                <w:sz w:val="24"/>
                <w:szCs w:val="24"/>
                <w:highlight w:val="yellow"/>
                <w:lang w:val="sr-Latn-ME" w:eastAsia="ja-JP"/>
              </w:rPr>
            </w:pPr>
            <w:r w:rsidRPr="00854331">
              <w:rPr>
                <w:rFonts w:asciiTheme="minorHAnsi" w:hAnsiTheme="minorHAnsi"/>
                <w:color w:val="000000" w:themeColor="text1"/>
                <w:sz w:val="24"/>
                <w:szCs w:val="24"/>
                <w:lang w:val="sr-Latn-ME" w:eastAsia="ja-JP"/>
              </w:rPr>
              <w:t xml:space="preserve">  10. 000,00€</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Pr="00854331" w:rsidRDefault="00063D42">
            <w:pPr>
              <w:rPr>
                <w:rFonts w:asciiTheme="minorHAnsi" w:hAnsiTheme="minorHAnsi"/>
                <w:color w:val="000000" w:themeColor="text1"/>
                <w:sz w:val="24"/>
                <w:szCs w:val="24"/>
                <w:lang w:val="sr-Latn-ME" w:eastAsia="ja-JP"/>
              </w:rPr>
            </w:pPr>
            <w:r w:rsidRPr="00854331">
              <w:rPr>
                <w:rFonts w:asciiTheme="minorHAnsi" w:hAnsiTheme="minorHAnsi"/>
                <w:color w:val="000000" w:themeColor="text1"/>
                <w:sz w:val="24"/>
                <w:szCs w:val="24"/>
                <w:lang w:val="sr-Latn-ME" w:eastAsia="ja-JP"/>
              </w:rPr>
              <w:t xml:space="preserve">Najviši iznos finansijske podrške koju će biti moguće ostvariti na osnovu javnog konkursa:  </w:t>
            </w:r>
          </w:p>
          <w:p w:rsidR="00063D42" w:rsidRPr="00A22311" w:rsidRDefault="007A7D20">
            <w:pPr>
              <w:rPr>
                <w:rFonts w:asciiTheme="minorHAnsi" w:hAnsiTheme="minorHAnsi"/>
                <w:color w:val="000000" w:themeColor="text1"/>
                <w:sz w:val="24"/>
                <w:szCs w:val="24"/>
                <w:highlight w:val="yellow"/>
                <w:lang w:val="sr-Latn-ME" w:eastAsia="ja-JP"/>
              </w:rPr>
            </w:pPr>
            <w:r>
              <w:rPr>
                <w:rFonts w:asciiTheme="minorHAnsi" w:hAnsiTheme="minorHAnsi"/>
                <w:color w:val="000000" w:themeColor="text1"/>
                <w:sz w:val="24"/>
                <w:szCs w:val="24"/>
                <w:lang w:val="sr-Latn-ME" w:eastAsia="ja-JP"/>
              </w:rPr>
              <w:t>20</w:t>
            </w:r>
            <w:r w:rsidR="00063D42" w:rsidRPr="00854331">
              <w:rPr>
                <w:rFonts w:asciiTheme="minorHAnsi" w:hAnsiTheme="minorHAnsi"/>
                <w:color w:val="000000" w:themeColor="text1"/>
                <w:sz w:val="24"/>
                <w:szCs w:val="24"/>
                <w:lang w:val="sr-Latn-ME" w:eastAsia="ja-JP"/>
              </w:rPr>
              <w:t>. 000,</w:t>
            </w:r>
            <w:r>
              <w:rPr>
                <w:rFonts w:asciiTheme="minorHAnsi" w:hAnsiTheme="minorHAnsi"/>
                <w:color w:val="000000" w:themeColor="text1"/>
                <w:sz w:val="24"/>
                <w:szCs w:val="24"/>
                <w:lang w:val="sr-Latn-ME" w:eastAsia="ja-JP"/>
              </w:rPr>
              <w:t xml:space="preserve"> </w:t>
            </w:r>
            <w:r w:rsidR="00063D42" w:rsidRPr="00854331">
              <w:rPr>
                <w:rFonts w:asciiTheme="minorHAnsi" w:hAnsiTheme="minorHAnsi"/>
                <w:color w:val="000000" w:themeColor="text1"/>
                <w:sz w:val="24"/>
                <w:szCs w:val="24"/>
                <w:lang w:val="sr-Latn-ME" w:eastAsia="ja-JP"/>
              </w:rPr>
              <w:t>00 €</w:t>
            </w:r>
          </w:p>
        </w:tc>
      </w:tr>
    </w:tbl>
    <w:p w:rsidR="00063D42" w:rsidRDefault="00063D42" w:rsidP="00063D42">
      <w:pPr>
        <w:spacing w:after="200"/>
        <w:ind w:left="426" w:hanging="426"/>
        <w:rPr>
          <w:rFonts w:eastAsia="MS Mincho" w:cs="Times New Roman"/>
          <w:sz w:val="24"/>
          <w:szCs w:val="24"/>
          <w:lang w:val="sr-Latn-ME" w:eastAsia="ja-JP"/>
        </w:rPr>
      </w:pPr>
    </w:p>
    <w:p w:rsidR="00063D42" w:rsidRPr="00F06396" w:rsidRDefault="00063D42" w:rsidP="00F06396">
      <w:pPr>
        <w:spacing w:after="200"/>
        <w:ind w:left="426"/>
        <w:jc w:val="both"/>
        <w:rPr>
          <w:rFonts w:eastAsia="MS Mincho" w:cs="Calibri"/>
          <w:b/>
          <w:i/>
          <w:sz w:val="24"/>
          <w:szCs w:val="24"/>
          <w:lang w:val="sr-Latn-ME" w:eastAsia="ja-JP"/>
        </w:rPr>
      </w:pPr>
      <w:r>
        <w:rPr>
          <w:rFonts w:eastAsia="MS Mincho" w:cs="Calibri"/>
          <w:b/>
          <w:sz w:val="24"/>
          <w:szCs w:val="24"/>
          <w:lang w:val="sr-Latn-ME" w:eastAsia="ja-JP"/>
        </w:rPr>
        <w:t>NAPOMENA:</w:t>
      </w:r>
      <w:r>
        <w:rPr>
          <w:rFonts w:eastAsia="MS Mincho" w:cs="Calibri"/>
          <w:sz w:val="24"/>
          <w:szCs w:val="24"/>
          <w:lang w:val="sr-Latn-ME" w:eastAsia="ja-JP"/>
        </w:rPr>
        <w:t xml:space="preserve"> stavom 4 člana 32 Zakona o NVO, definisano je: </w:t>
      </w:r>
      <w:r>
        <w:rPr>
          <w:rFonts w:eastAsia="MS Mincho" w:cs="Calibri"/>
          <w:b/>
          <w:i/>
          <w:sz w:val="24"/>
          <w:szCs w:val="24"/>
          <w:lang w:val="sr-Latn-ME" w:eastAsia="ja-JP"/>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063D42" w:rsidRDefault="00063D42" w:rsidP="00063D42">
      <w:pPr>
        <w:numPr>
          <w:ilvl w:val="0"/>
          <w:numId w:val="13"/>
        </w:numPr>
        <w:spacing w:after="200" w:line="256" w:lineRule="auto"/>
        <w:contextualSpacing/>
        <w:rPr>
          <w:rFonts w:eastAsia="MS Mincho" w:cs="Calibri"/>
          <w:b/>
          <w:sz w:val="24"/>
          <w:szCs w:val="24"/>
          <w:lang w:val="sr-Latn-ME" w:eastAsia="ja-JP"/>
        </w:rPr>
      </w:pPr>
      <w:r>
        <w:rPr>
          <w:rFonts w:eastAsia="MS Mincho" w:cs="Calibri"/>
          <w:b/>
          <w:sz w:val="24"/>
          <w:szCs w:val="24"/>
          <w:lang w:val="sr-Latn-ME" w:eastAsia="ja-JP"/>
        </w:rPr>
        <w:t>KONSULTACIJE SA ZAINTERESOVANIM NEVLADINIM ORGANIZAICJAMA</w:t>
      </w: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227"/>
        <w:gridCol w:w="4221"/>
        <w:gridCol w:w="4250"/>
      </w:tblGrid>
      <w:tr w:rsidR="00063D42" w:rsidTr="00063D42">
        <w:tc>
          <w:tcPr>
            <w:tcW w:w="4582" w:type="dxa"/>
            <w:tcBorders>
              <w:top w:val="single" w:sz="18"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Metoda konsultacija (npr. web, email, konsultativni sastanak, itd.)</w:t>
            </w:r>
          </w:p>
        </w:tc>
        <w:tc>
          <w:tcPr>
            <w:tcW w:w="4582" w:type="dxa"/>
            <w:tcBorders>
              <w:top w:val="single" w:sz="18"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Datumi sprovedenih konsultacija</w:t>
            </w:r>
          </w:p>
        </w:tc>
        <w:tc>
          <w:tcPr>
            <w:tcW w:w="4582" w:type="dxa"/>
            <w:tcBorders>
              <w:top w:val="single" w:sz="18" w:space="0" w:color="auto"/>
              <w:left w:val="single" w:sz="2" w:space="0" w:color="auto"/>
              <w:bottom w:val="single" w:sz="4" w:space="0" w:color="auto"/>
              <w:right w:val="single" w:sz="4" w:space="0" w:color="auto"/>
            </w:tcBorders>
            <w:shd w:val="clear" w:color="auto" w:fill="FFFFFF" w:themeFill="background1"/>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Naziv  NVO koje su učestvovale u konsultacijama</w:t>
            </w:r>
          </w:p>
        </w:tc>
      </w:tr>
      <w:tr w:rsidR="00063D42"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Javne on-line konsultacije</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rsidR="00063D42" w:rsidRDefault="00063D42">
            <w:pPr>
              <w:pStyle w:val="ListParagraph"/>
              <w:rPr>
                <w:rFonts w:asciiTheme="minorHAnsi" w:hAnsiTheme="minorHAnsi"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rsidR="00063D42" w:rsidRDefault="00063D42">
            <w:pPr>
              <w:rPr>
                <w:rFonts w:asciiTheme="minorHAnsi" w:hAnsiTheme="minorHAnsi"/>
                <w:sz w:val="24"/>
                <w:szCs w:val="24"/>
                <w:lang w:val="sr-Latn-ME" w:eastAsia="ja-JP"/>
              </w:rPr>
            </w:pPr>
          </w:p>
        </w:tc>
      </w:tr>
      <w:tr w:rsidR="00063D42"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On-line</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rsidR="00063D42" w:rsidRDefault="00063D42">
            <w:pPr>
              <w:rPr>
                <w:rFonts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rsidR="00063D42" w:rsidRDefault="00063D42">
            <w:pPr>
              <w:rPr>
                <w:sz w:val="24"/>
                <w:szCs w:val="24"/>
                <w:lang w:val="sr-Latn-ME" w:eastAsia="ja-JP"/>
              </w:rPr>
            </w:pPr>
          </w:p>
        </w:tc>
      </w:tr>
      <w:tr w:rsidR="00063D42"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e-mail</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rsidR="00063D42" w:rsidRDefault="00063D42">
            <w:pPr>
              <w:rPr>
                <w:rFonts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rsidR="00063D42" w:rsidRDefault="00063D42">
            <w:pPr>
              <w:rPr>
                <w:sz w:val="24"/>
                <w:szCs w:val="24"/>
                <w:lang w:val="sr-Latn-ME" w:eastAsia="ja-JP"/>
              </w:rPr>
            </w:pPr>
          </w:p>
        </w:tc>
      </w:tr>
    </w:tbl>
    <w:p w:rsidR="00063D42" w:rsidRDefault="00063D42" w:rsidP="00063D42">
      <w:pPr>
        <w:spacing w:after="200" w:line="256" w:lineRule="auto"/>
        <w:contextualSpacing/>
        <w:jc w:val="both"/>
        <w:rPr>
          <w:rFonts w:eastAsia="MS Mincho" w:cs="Calibri"/>
          <w:sz w:val="24"/>
          <w:szCs w:val="24"/>
          <w:lang w:val="sr-Latn-ME" w:eastAsia="ja-JP"/>
        </w:rPr>
      </w:pP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4859"/>
        <w:gridCol w:w="3900"/>
        <w:gridCol w:w="4731"/>
      </w:tblGrid>
      <w:tr w:rsidR="00063D42" w:rsidTr="00063D42">
        <w:trPr>
          <w:jc w:val="center"/>
        </w:trPr>
        <w:tc>
          <w:tcPr>
            <w:tcW w:w="4957"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rsidR="00063D42" w:rsidRDefault="00063D42">
            <w:pPr>
              <w:rPr>
                <w:rFonts w:asciiTheme="minorHAnsi" w:hAnsiTheme="minorHAnsi" w:cs="Calibri"/>
                <w:sz w:val="24"/>
                <w:szCs w:val="24"/>
                <w:lang w:val="sr-Latn-ME" w:eastAsia="ja-JP"/>
              </w:rPr>
            </w:pPr>
            <w:r>
              <w:rPr>
                <w:rFonts w:asciiTheme="minorHAnsi" w:hAnsiTheme="minorHAnsi" w:cs="Calibri"/>
                <w:sz w:val="24"/>
                <w:szCs w:val="24"/>
                <w:lang w:val="sr-Latn-ME" w:eastAsia="ja-JP"/>
              </w:rPr>
              <w:lastRenderedPageBreak/>
              <w:t>Naziv javnog konkursa</w:t>
            </w:r>
          </w:p>
          <w:p w:rsidR="00063D42" w:rsidRDefault="00063D42">
            <w:pPr>
              <w:rPr>
                <w:rFonts w:asciiTheme="minorHAnsi" w:hAnsiTheme="minorHAnsi" w:cs="Calibri"/>
                <w:sz w:val="24"/>
                <w:szCs w:val="24"/>
                <w:lang w:val="sr-Latn-ME" w:eastAsia="ja-JP"/>
              </w:rPr>
            </w:pPr>
          </w:p>
        </w:tc>
        <w:tc>
          <w:tcPr>
            <w:tcW w:w="3969"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hideMark/>
          </w:tcPr>
          <w:p w:rsidR="00063D42" w:rsidRDefault="00063D42">
            <w:pPr>
              <w:jc w:val="both"/>
              <w:rPr>
                <w:rFonts w:asciiTheme="minorHAnsi" w:hAnsiTheme="minorHAnsi" w:cs="Calibri"/>
                <w:sz w:val="24"/>
                <w:szCs w:val="24"/>
                <w:lang w:val="sr-Latn-ME" w:eastAsia="ja-JP"/>
              </w:rPr>
            </w:pPr>
            <w:r>
              <w:rPr>
                <w:rFonts w:asciiTheme="minorHAnsi" w:hAnsiTheme="minorHAnsi" w:cs="Calibri"/>
                <w:sz w:val="24"/>
                <w:szCs w:val="24"/>
                <w:lang w:val="sr-Latn-ME" w:eastAsia="ja-JP"/>
              </w:rPr>
              <w:t xml:space="preserve">Broj službenika/ica zaduženih za sprovođenje javnog konkursa i praćenje finansiranih projekata i programa nevladinih organizacija </w:t>
            </w:r>
          </w:p>
        </w:tc>
        <w:tc>
          <w:tcPr>
            <w:tcW w:w="4824" w:type="dxa"/>
            <w:tcBorders>
              <w:top w:val="single" w:sz="18" w:space="0" w:color="auto"/>
              <w:left w:val="single" w:sz="2" w:space="0" w:color="auto"/>
              <w:bottom w:val="single" w:sz="4" w:space="0" w:color="auto"/>
              <w:right w:val="single" w:sz="4" w:space="0" w:color="auto"/>
            </w:tcBorders>
            <w:shd w:val="clear" w:color="auto" w:fill="F2F2F2"/>
            <w:hideMark/>
          </w:tcPr>
          <w:p w:rsidR="00063D42" w:rsidRDefault="00063D42">
            <w:pPr>
              <w:jc w:val="both"/>
              <w:rPr>
                <w:rFonts w:asciiTheme="minorHAnsi" w:hAnsiTheme="minorHAnsi" w:cs="Calibri"/>
                <w:sz w:val="24"/>
                <w:szCs w:val="24"/>
                <w:lang w:val="sr-Latn-ME" w:eastAsia="ja-JP"/>
              </w:rPr>
            </w:pPr>
            <w:r>
              <w:rPr>
                <w:rFonts w:asciiTheme="minorHAnsi" w:hAnsiTheme="minorHAnsi" w:cs="Calibri"/>
                <w:sz w:val="24"/>
                <w:szCs w:val="24"/>
                <w:lang w:val="sr-Latn-ME" w:eastAsia="ja-JP"/>
              </w:rPr>
              <w:t>Imena službenika/ica zaduženih za sprovođenje javnog konkursa i praćenje finansiranih projekata i programa nevladinih organizacija</w:t>
            </w:r>
          </w:p>
        </w:tc>
      </w:tr>
      <w:tr w:rsidR="00063D42" w:rsidTr="00063D42">
        <w:trPr>
          <w:jc w:val="center"/>
        </w:trPr>
        <w:tc>
          <w:tcPr>
            <w:tcW w:w="4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Konkurs za finansiranje projekata za pristupačnost objekata u 202</w:t>
            </w:r>
            <w:r w:rsidR="004E464E">
              <w:rPr>
                <w:rFonts w:asciiTheme="minorHAnsi" w:hAnsiTheme="minorHAnsi" w:cs="Calibri"/>
                <w:color w:val="000000" w:themeColor="text1"/>
                <w:sz w:val="24"/>
                <w:szCs w:val="24"/>
                <w:lang w:val="sr-Latn-ME" w:eastAsia="ja-JP"/>
              </w:rPr>
              <w:t>5</w:t>
            </w:r>
            <w:r>
              <w:rPr>
                <w:rFonts w:asciiTheme="minorHAnsi" w:hAnsiTheme="minorHAnsi" w:cs="Calibri"/>
                <w:color w:val="000000" w:themeColor="text1"/>
                <w:sz w:val="24"/>
                <w:szCs w:val="24"/>
                <w:lang w:val="sr-Latn-ME" w:eastAsia="ja-JP"/>
              </w:rPr>
              <w:t>. godini</w:t>
            </w:r>
          </w:p>
          <w:p w:rsidR="004E464E" w:rsidRPr="00D60A5F" w:rsidRDefault="00063D42" w:rsidP="004E464E">
            <w:pPr>
              <w:rPr>
                <w:rFonts w:asciiTheme="minorHAnsi" w:hAnsiTheme="minorHAnsi"/>
                <w:b/>
                <w:sz w:val="24"/>
                <w:szCs w:val="24"/>
                <w:lang w:val="sr-Latn-ME" w:eastAsia="ja-JP"/>
              </w:rPr>
            </w:pPr>
            <w:r>
              <w:rPr>
                <w:rFonts w:asciiTheme="minorHAnsi" w:hAnsiTheme="minorHAnsi" w:cs="Calibri"/>
                <w:color w:val="000000" w:themeColor="text1"/>
                <w:sz w:val="24"/>
                <w:szCs w:val="24"/>
                <w:lang w:val="sr-Latn-ME" w:eastAsia="ja-JP"/>
              </w:rPr>
              <w:t xml:space="preserve"> </w:t>
            </w:r>
            <w:r w:rsidR="004E464E">
              <w:rPr>
                <w:rFonts w:asciiTheme="minorHAnsi" w:hAnsiTheme="minorHAnsi"/>
                <w:b/>
                <w:sz w:val="24"/>
                <w:szCs w:val="24"/>
                <w:lang w:val="sr-Latn-RS"/>
              </w:rPr>
              <w:t>„</w:t>
            </w:r>
            <w:r w:rsidR="004E464E">
              <w:rPr>
                <w:rFonts w:asciiTheme="minorHAnsi" w:eastAsia="Times New Roman" w:hAnsiTheme="minorHAnsi" w:cstheme="minorHAnsi"/>
                <w:b/>
                <w:sz w:val="24"/>
                <w:szCs w:val="24"/>
                <w:lang w:val="sr-Latn-RS"/>
              </w:rPr>
              <w:t xml:space="preserve"> P</w:t>
            </w:r>
            <w:r w:rsidR="004E464E" w:rsidRPr="00D60A5F">
              <w:rPr>
                <w:rFonts w:asciiTheme="minorHAnsi" w:eastAsia="Times New Roman" w:hAnsiTheme="minorHAnsi" w:cstheme="minorHAnsi"/>
                <w:b/>
                <w:sz w:val="24"/>
                <w:szCs w:val="24"/>
                <w:lang w:val="sr-Latn-RS"/>
              </w:rPr>
              <w:t>ristupačnost kao </w:t>
            </w:r>
            <w:r w:rsidR="004E464E" w:rsidRPr="00D60A5F">
              <w:rPr>
                <w:rFonts w:asciiTheme="minorHAnsi" w:eastAsia="Times New Roman" w:hAnsiTheme="minorHAnsi" w:cstheme="minorHAnsi"/>
                <w:b/>
                <w:i/>
                <w:iCs/>
                <w:sz w:val="24"/>
                <w:szCs w:val="24"/>
                <w:lang w:val="sr-Latn-RS"/>
              </w:rPr>
              <w:t>ex ante dužnost</w:t>
            </w:r>
            <w:r w:rsidR="004E464E" w:rsidRPr="00D60A5F">
              <w:rPr>
                <w:rFonts w:asciiTheme="minorHAnsi" w:eastAsia="Times New Roman" w:hAnsiTheme="minorHAnsi" w:cstheme="minorHAnsi"/>
                <w:b/>
                <w:sz w:val="24"/>
                <w:szCs w:val="24"/>
                <w:lang w:val="sr-Latn-RS"/>
              </w:rPr>
              <w:t> </w:t>
            </w:r>
            <w:r w:rsidR="004E464E">
              <w:rPr>
                <w:rFonts w:asciiTheme="minorHAnsi" w:eastAsia="Times New Roman" w:hAnsiTheme="minorHAnsi" w:cstheme="minorHAnsi"/>
                <w:b/>
                <w:sz w:val="24"/>
                <w:szCs w:val="24"/>
                <w:lang w:val="sr-Latn-RS"/>
              </w:rPr>
              <w:t>„</w:t>
            </w:r>
          </w:p>
          <w:p w:rsidR="00063D42" w:rsidRDefault="00063D42">
            <w:pPr>
              <w:rPr>
                <w:rFonts w:asciiTheme="minorHAnsi" w:hAnsiTheme="minorHAnsi" w:cs="Calibri"/>
                <w:color w:val="000000" w:themeColor="text1"/>
                <w:sz w:val="24"/>
                <w:szCs w:val="24"/>
                <w:lang w:val="sr-Latn-ME" w:eastAsia="ja-JP"/>
              </w:rPr>
            </w:pPr>
          </w:p>
        </w:tc>
        <w:tc>
          <w:tcPr>
            <w:tcW w:w="3969"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3</w:t>
            </w:r>
          </w:p>
        </w:tc>
        <w:tc>
          <w:tcPr>
            <w:tcW w:w="4824" w:type="dxa"/>
            <w:tcBorders>
              <w:top w:val="single" w:sz="4" w:space="0" w:color="auto"/>
              <w:left w:val="single" w:sz="2" w:space="0" w:color="auto"/>
              <w:bottom w:val="single" w:sz="4" w:space="0" w:color="auto"/>
              <w:right w:val="single" w:sz="4" w:space="0" w:color="auto"/>
            </w:tcBorders>
            <w:hideMark/>
          </w:tcPr>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Jelena Raičević</w:t>
            </w:r>
          </w:p>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Božana Lekić</w:t>
            </w:r>
          </w:p>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Dunja Samardžić</w:t>
            </w:r>
          </w:p>
        </w:tc>
      </w:tr>
    </w:tbl>
    <w:p w:rsidR="00063D42" w:rsidRDefault="00063D42" w:rsidP="00063D42">
      <w:pPr>
        <w:spacing w:after="200"/>
        <w:ind w:left="792"/>
        <w:rPr>
          <w:rFonts w:eastAsia="MS Mincho" w:cs="Times New Roman"/>
          <w:sz w:val="24"/>
          <w:szCs w:val="24"/>
          <w:lang w:val="sr-Latn-ME" w:eastAsia="ja-JP"/>
        </w:rPr>
      </w:pPr>
    </w:p>
    <w:p w:rsidR="00063D42" w:rsidRDefault="00063D42" w:rsidP="00063D42">
      <w:pPr>
        <w:spacing w:after="200"/>
        <w:ind w:left="720"/>
        <w:jc w:val="center"/>
        <w:rPr>
          <w:rFonts w:eastAsia="MS Mincho" w:cs="Times New Roman"/>
          <w:b/>
          <w:sz w:val="24"/>
          <w:szCs w:val="24"/>
          <w:lang w:val="sr-Latn-ME" w:eastAsia="ja-JP"/>
        </w:rPr>
      </w:pPr>
      <w:r>
        <w:rPr>
          <w:rFonts w:eastAsia="MS Mincho" w:cs="Times New Roman"/>
          <w:b/>
          <w:sz w:val="24"/>
          <w:szCs w:val="24"/>
          <w:lang w:val="sr-Latn-ME" w:eastAsia="ja-JP"/>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77"/>
        <w:gridCol w:w="3933"/>
        <w:gridCol w:w="4154"/>
        <w:gridCol w:w="4037"/>
        <w:gridCol w:w="235"/>
      </w:tblGrid>
      <w:tr w:rsidR="00063D42" w:rsidTr="00063D42">
        <w:tc>
          <w:tcPr>
            <w:tcW w:w="284" w:type="dxa"/>
            <w:tcBorders>
              <w:top w:val="single" w:sz="18" w:space="0" w:color="auto"/>
              <w:left w:val="single" w:sz="18" w:space="0" w:color="auto"/>
              <w:bottom w:val="nil"/>
              <w:right w:val="nil"/>
            </w:tcBorders>
          </w:tcPr>
          <w:p w:rsidR="00063D42" w:rsidRDefault="00063D42">
            <w:pPr>
              <w:spacing w:after="200"/>
              <w:rPr>
                <w:rFonts w:asciiTheme="minorHAnsi" w:hAnsiTheme="minorHAnsi"/>
                <w:sz w:val="24"/>
                <w:szCs w:val="24"/>
                <w:lang w:val="sr-Latn-ME" w:eastAsia="ja-JP"/>
              </w:rPr>
            </w:pPr>
          </w:p>
        </w:tc>
        <w:tc>
          <w:tcPr>
            <w:tcW w:w="4260" w:type="dxa"/>
            <w:tcBorders>
              <w:top w:val="single" w:sz="18" w:space="0" w:color="auto"/>
              <w:left w:val="nil"/>
              <w:bottom w:val="single" w:sz="4" w:space="0" w:color="auto"/>
              <w:right w:val="nil"/>
            </w:tcBorders>
            <w:hideMark/>
          </w:tcPr>
          <w:p w:rsidR="00063D42" w:rsidRDefault="00063D42">
            <w:pPr>
              <w:spacing w:after="200"/>
              <w:jc w:val="center"/>
              <w:rPr>
                <w:rFonts w:asciiTheme="minorHAnsi" w:hAnsiTheme="minorHAnsi"/>
                <w:b/>
                <w:sz w:val="24"/>
                <w:szCs w:val="24"/>
                <w:lang w:val="sr-Latn-ME" w:eastAsia="ja-JP"/>
              </w:rPr>
            </w:pPr>
          </w:p>
        </w:tc>
        <w:tc>
          <w:tcPr>
            <w:tcW w:w="4544" w:type="dxa"/>
            <w:tcBorders>
              <w:top w:val="single" w:sz="18" w:space="0" w:color="auto"/>
              <w:left w:val="nil"/>
              <w:bottom w:val="nil"/>
              <w:right w:val="nil"/>
            </w:tcBorders>
          </w:tcPr>
          <w:p w:rsidR="00063D42" w:rsidRDefault="00063D42">
            <w:pPr>
              <w:spacing w:after="200"/>
              <w:jc w:val="center"/>
              <w:rPr>
                <w:rFonts w:asciiTheme="minorHAnsi" w:hAnsiTheme="minorHAnsi"/>
                <w:sz w:val="24"/>
                <w:szCs w:val="24"/>
                <w:lang w:val="sr-Latn-ME" w:eastAsia="ja-JP"/>
              </w:rPr>
            </w:pPr>
          </w:p>
          <w:p w:rsidR="00063D42" w:rsidRDefault="00063D42">
            <w:pPr>
              <w:spacing w:after="200"/>
              <w:jc w:val="center"/>
              <w:rPr>
                <w:rFonts w:asciiTheme="minorHAnsi" w:hAnsiTheme="minorHAnsi"/>
                <w:sz w:val="24"/>
                <w:szCs w:val="24"/>
                <w:lang w:val="sr-Latn-ME" w:eastAsia="ja-JP"/>
              </w:rPr>
            </w:pPr>
          </w:p>
        </w:tc>
        <w:tc>
          <w:tcPr>
            <w:tcW w:w="4396" w:type="dxa"/>
            <w:tcBorders>
              <w:top w:val="single" w:sz="18" w:space="0" w:color="auto"/>
              <w:left w:val="nil"/>
              <w:bottom w:val="single" w:sz="4" w:space="0" w:color="auto"/>
              <w:right w:val="nil"/>
            </w:tcBorders>
          </w:tcPr>
          <w:p w:rsidR="00063D42" w:rsidRDefault="00063D42">
            <w:pPr>
              <w:spacing w:after="200"/>
              <w:jc w:val="center"/>
              <w:rPr>
                <w:rFonts w:asciiTheme="minorHAnsi" w:hAnsiTheme="minorHAnsi"/>
                <w:sz w:val="24"/>
                <w:szCs w:val="24"/>
                <w:lang w:val="sr-Latn-ME" w:eastAsia="ja-JP"/>
              </w:rPr>
            </w:pPr>
          </w:p>
        </w:tc>
        <w:tc>
          <w:tcPr>
            <w:tcW w:w="236" w:type="dxa"/>
            <w:tcBorders>
              <w:top w:val="single" w:sz="18" w:space="0" w:color="auto"/>
              <w:left w:val="nil"/>
              <w:bottom w:val="nil"/>
              <w:right w:val="single" w:sz="18" w:space="0" w:color="auto"/>
            </w:tcBorders>
          </w:tcPr>
          <w:p w:rsidR="00063D42" w:rsidRDefault="00063D42">
            <w:pPr>
              <w:spacing w:after="200"/>
              <w:rPr>
                <w:rFonts w:asciiTheme="minorHAnsi" w:hAnsiTheme="minorHAnsi"/>
                <w:sz w:val="24"/>
                <w:szCs w:val="24"/>
                <w:lang w:val="sr-Latn-ME" w:eastAsia="ja-JP"/>
              </w:rPr>
            </w:pPr>
          </w:p>
        </w:tc>
      </w:tr>
      <w:tr w:rsidR="00063D42" w:rsidTr="00063D42">
        <w:tc>
          <w:tcPr>
            <w:tcW w:w="284" w:type="dxa"/>
            <w:tcBorders>
              <w:top w:val="nil"/>
              <w:left w:val="single" w:sz="18" w:space="0" w:color="auto"/>
              <w:bottom w:val="single" w:sz="18" w:space="0" w:color="auto"/>
              <w:right w:val="nil"/>
            </w:tcBorders>
          </w:tcPr>
          <w:p w:rsidR="00063D42" w:rsidRDefault="00063D42">
            <w:pPr>
              <w:spacing w:after="200"/>
              <w:rPr>
                <w:rFonts w:asciiTheme="minorHAnsi" w:hAnsiTheme="minorHAnsi"/>
                <w:sz w:val="24"/>
                <w:szCs w:val="24"/>
                <w:lang w:val="sr-Latn-ME" w:eastAsia="ja-JP"/>
              </w:rPr>
            </w:pPr>
          </w:p>
        </w:tc>
        <w:tc>
          <w:tcPr>
            <w:tcW w:w="4260" w:type="dxa"/>
            <w:tcBorders>
              <w:top w:val="single" w:sz="4" w:space="0" w:color="auto"/>
              <w:left w:val="nil"/>
              <w:bottom w:val="single" w:sz="18" w:space="0" w:color="auto"/>
              <w:right w:val="nil"/>
            </w:tcBorders>
            <w:hideMark/>
          </w:tcPr>
          <w:p w:rsidR="00063D42" w:rsidRDefault="00063D42">
            <w:pPr>
              <w:spacing w:after="200"/>
              <w:jc w:val="center"/>
              <w:rPr>
                <w:rFonts w:asciiTheme="minorHAnsi" w:hAnsiTheme="minorHAnsi" w:cs="Calibri"/>
                <w:sz w:val="24"/>
                <w:szCs w:val="24"/>
                <w:lang w:val="sr-Latn-ME" w:eastAsia="ja-JP"/>
              </w:rPr>
            </w:pPr>
            <w:r>
              <w:rPr>
                <w:rFonts w:asciiTheme="minorHAnsi" w:hAnsiTheme="minorHAnsi" w:cs="Calibri"/>
                <w:sz w:val="24"/>
                <w:szCs w:val="24"/>
                <w:lang w:val="sr-Latn-ME" w:eastAsia="ja-JP"/>
              </w:rPr>
              <w:t>Ime i prezime</w:t>
            </w:r>
          </w:p>
        </w:tc>
        <w:tc>
          <w:tcPr>
            <w:tcW w:w="4544" w:type="dxa"/>
            <w:tcBorders>
              <w:top w:val="nil"/>
              <w:left w:val="nil"/>
              <w:bottom w:val="single" w:sz="18" w:space="0" w:color="auto"/>
              <w:right w:val="nil"/>
            </w:tcBorders>
          </w:tcPr>
          <w:p w:rsidR="00063D42" w:rsidRDefault="00063D42">
            <w:pPr>
              <w:spacing w:after="200"/>
              <w:jc w:val="center"/>
              <w:rPr>
                <w:rFonts w:asciiTheme="minorHAnsi" w:hAnsiTheme="minorHAnsi" w:cs="Calibri"/>
                <w:sz w:val="24"/>
                <w:szCs w:val="24"/>
                <w:lang w:val="sr-Latn-ME" w:eastAsia="ja-JP"/>
              </w:rPr>
            </w:pPr>
            <w:r>
              <w:rPr>
                <w:rFonts w:asciiTheme="minorHAnsi" w:hAnsiTheme="minorHAnsi" w:cs="Calibri"/>
                <w:sz w:val="24"/>
                <w:szCs w:val="24"/>
                <w:lang w:val="sr-Latn-ME" w:eastAsia="ja-JP"/>
              </w:rPr>
              <w:t>M.P.</w:t>
            </w:r>
          </w:p>
          <w:p w:rsidR="00063D42" w:rsidRDefault="00063D42">
            <w:pPr>
              <w:spacing w:after="200"/>
              <w:jc w:val="center"/>
              <w:rPr>
                <w:rFonts w:asciiTheme="minorHAnsi" w:hAnsiTheme="minorHAnsi" w:cs="Calibri"/>
                <w:sz w:val="24"/>
                <w:szCs w:val="24"/>
                <w:lang w:val="sr-Latn-ME" w:eastAsia="ja-JP"/>
              </w:rPr>
            </w:pPr>
          </w:p>
        </w:tc>
        <w:tc>
          <w:tcPr>
            <w:tcW w:w="4396" w:type="dxa"/>
            <w:tcBorders>
              <w:top w:val="single" w:sz="4" w:space="0" w:color="auto"/>
              <w:left w:val="nil"/>
              <w:bottom w:val="single" w:sz="18" w:space="0" w:color="auto"/>
              <w:right w:val="nil"/>
            </w:tcBorders>
            <w:hideMark/>
          </w:tcPr>
          <w:p w:rsidR="00063D42" w:rsidRDefault="00063D42">
            <w:pPr>
              <w:spacing w:after="200"/>
              <w:jc w:val="center"/>
              <w:rPr>
                <w:rFonts w:asciiTheme="minorHAnsi" w:hAnsiTheme="minorHAnsi" w:cs="Calibri"/>
                <w:sz w:val="24"/>
                <w:szCs w:val="24"/>
                <w:lang w:val="sr-Latn-ME" w:eastAsia="ja-JP"/>
              </w:rPr>
            </w:pPr>
            <w:r>
              <w:rPr>
                <w:rFonts w:asciiTheme="minorHAnsi" w:hAnsiTheme="minorHAnsi" w:cs="Calibri"/>
                <w:sz w:val="24"/>
                <w:szCs w:val="24"/>
                <w:lang w:val="sr-Latn-ME" w:eastAsia="ja-JP"/>
              </w:rPr>
              <w:t>Potpis</w:t>
            </w:r>
          </w:p>
        </w:tc>
        <w:tc>
          <w:tcPr>
            <w:tcW w:w="236" w:type="dxa"/>
            <w:tcBorders>
              <w:top w:val="nil"/>
              <w:left w:val="nil"/>
              <w:bottom w:val="single" w:sz="18" w:space="0" w:color="auto"/>
              <w:right w:val="single" w:sz="18" w:space="0" w:color="auto"/>
            </w:tcBorders>
          </w:tcPr>
          <w:p w:rsidR="00063D42" w:rsidRDefault="00063D42">
            <w:pPr>
              <w:spacing w:after="200"/>
              <w:rPr>
                <w:rFonts w:asciiTheme="minorHAnsi" w:hAnsiTheme="minorHAnsi"/>
                <w:sz w:val="24"/>
                <w:szCs w:val="24"/>
                <w:lang w:val="sr-Latn-ME" w:eastAsia="ja-JP"/>
              </w:rPr>
            </w:pPr>
          </w:p>
        </w:tc>
      </w:tr>
    </w:tbl>
    <w:p w:rsidR="00063D42" w:rsidRDefault="00063D42" w:rsidP="00063D42">
      <w:pPr>
        <w:spacing w:after="200"/>
        <w:rPr>
          <w:rFonts w:eastAsia="MS Mincho" w:cs="Times New Roman"/>
          <w:sz w:val="24"/>
          <w:szCs w:val="24"/>
          <w:lang w:val="sr-Latn-ME" w:eastAsia="ja-JP"/>
        </w:rPr>
      </w:pPr>
    </w:p>
    <w:p w:rsidR="00EF2C56" w:rsidRPr="004F6CF4" w:rsidRDefault="00EF2C56">
      <w:pPr>
        <w:rPr>
          <w:b/>
          <w:sz w:val="40"/>
          <w:szCs w:val="40"/>
        </w:rPr>
      </w:pPr>
    </w:p>
    <w:sectPr w:rsidR="00EF2C56" w:rsidRPr="004F6CF4" w:rsidSect="009B252D">
      <w:pgSz w:w="15840" w:h="12240" w:orient="landscape"/>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83" w:rsidRDefault="00F63283" w:rsidP="004F6CF4">
      <w:r>
        <w:separator/>
      </w:r>
    </w:p>
  </w:endnote>
  <w:endnote w:type="continuationSeparator" w:id="0">
    <w:p w:rsidR="00F63283" w:rsidRDefault="00F63283" w:rsidP="004F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Source Sans Pro">
    <w:altName w:val="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83" w:rsidRDefault="00F63283" w:rsidP="004F6CF4">
      <w:r>
        <w:separator/>
      </w:r>
    </w:p>
  </w:footnote>
  <w:footnote w:type="continuationSeparator" w:id="0">
    <w:p w:rsidR="00F63283" w:rsidRDefault="00F63283" w:rsidP="004F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C37"/>
    <w:multiLevelType w:val="hybridMultilevel"/>
    <w:tmpl w:val="918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31A5A"/>
    <w:multiLevelType w:val="hybridMultilevel"/>
    <w:tmpl w:val="4D0AF6E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9B7F09"/>
    <w:multiLevelType w:val="hybridMultilevel"/>
    <w:tmpl w:val="7D189E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E80966"/>
    <w:multiLevelType w:val="hybridMultilevel"/>
    <w:tmpl w:val="6E8E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25CF4"/>
    <w:multiLevelType w:val="hybridMultilevel"/>
    <w:tmpl w:val="6E56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D3364"/>
    <w:multiLevelType w:val="hybridMultilevel"/>
    <w:tmpl w:val="425A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75A27"/>
    <w:multiLevelType w:val="hybridMultilevel"/>
    <w:tmpl w:val="86308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74A21"/>
    <w:multiLevelType w:val="hybridMultilevel"/>
    <w:tmpl w:val="31F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B65C0"/>
    <w:multiLevelType w:val="hybridMultilevel"/>
    <w:tmpl w:val="223CA05E"/>
    <w:lvl w:ilvl="0" w:tplc="F688874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311B0"/>
    <w:multiLevelType w:val="hybridMultilevel"/>
    <w:tmpl w:val="99C4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1466B"/>
    <w:multiLevelType w:val="hybridMultilevel"/>
    <w:tmpl w:val="63307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B47DD4"/>
    <w:multiLevelType w:val="hybridMultilevel"/>
    <w:tmpl w:val="14E85518"/>
    <w:lvl w:ilvl="0" w:tplc="D8C4841C">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4436B"/>
    <w:multiLevelType w:val="hybridMultilevel"/>
    <w:tmpl w:val="4EC8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D6547"/>
    <w:multiLevelType w:val="hybridMultilevel"/>
    <w:tmpl w:val="2FC89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B450C"/>
    <w:multiLevelType w:val="hybridMultilevel"/>
    <w:tmpl w:val="96C2209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6"/>
  </w:num>
  <w:num w:numId="2">
    <w:abstractNumId w:val="14"/>
  </w:num>
  <w:num w:numId="3">
    <w:abstractNumId w:val="9"/>
  </w:num>
  <w:num w:numId="4">
    <w:abstractNumId w:val="2"/>
  </w:num>
  <w:num w:numId="5">
    <w:abstractNumId w:val="8"/>
  </w:num>
  <w:num w:numId="6">
    <w:abstractNumId w:val="5"/>
  </w:num>
  <w:num w:numId="7">
    <w:abstractNumId w:val="15"/>
  </w:num>
  <w:num w:numId="8">
    <w:abstractNumId w:val="4"/>
  </w:num>
  <w:num w:numId="9">
    <w:abstractNumId w:val="10"/>
  </w:num>
  <w:num w:numId="10">
    <w:abstractNumId w:val="13"/>
  </w:num>
  <w:num w:numId="11">
    <w:abstractNumId w:val="0"/>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5"/>
  </w:num>
  <w:num w:numId="17">
    <w:abstractNumId w:val="0"/>
  </w:num>
  <w:num w:numId="18">
    <w:abstractNumId w:val="10"/>
  </w:num>
  <w:num w:numId="19">
    <w:abstractNumId w:val="8"/>
  </w:num>
  <w:num w:numId="20">
    <w:abstractNumId w:val="5"/>
  </w:num>
  <w:num w:numId="21">
    <w:abstractNumId w:val="13"/>
  </w:num>
  <w:num w:numId="22">
    <w:abstractNumId w:val="4"/>
  </w:num>
  <w:num w:numId="23">
    <w:abstractNumId w:val="7"/>
  </w:num>
  <w:num w:numId="24">
    <w:abstractNumId w:val="3"/>
  </w:num>
  <w:num w:numId="25">
    <w:abstractNumId w:val="11"/>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4"/>
    <w:rsid w:val="000046E3"/>
    <w:rsid w:val="00017629"/>
    <w:rsid w:val="00041577"/>
    <w:rsid w:val="00042DF0"/>
    <w:rsid w:val="00044B9A"/>
    <w:rsid w:val="000455D0"/>
    <w:rsid w:val="000573E6"/>
    <w:rsid w:val="00060776"/>
    <w:rsid w:val="00063D42"/>
    <w:rsid w:val="0006451C"/>
    <w:rsid w:val="00067E44"/>
    <w:rsid w:val="00075776"/>
    <w:rsid w:val="00084ED5"/>
    <w:rsid w:val="00092F42"/>
    <w:rsid w:val="00093E7B"/>
    <w:rsid w:val="000A6602"/>
    <w:rsid w:val="000C5F26"/>
    <w:rsid w:val="000C61E5"/>
    <w:rsid w:val="000D096F"/>
    <w:rsid w:val="000D260E"/>
    <w:rsid w:val="000F2FC3"/>
    <w:rsid w:val="000F6745"/>
    <w:rsid w:val="001003E8"/>
    <w:rsid w:val="0010383E"/>
    <w:rsid w:val="00123E06"/>
    <w:rsid w:val="00123F05"/>
    <w:rsid w:val="00145341"/>
    <w:rsid w:val="00156E20"/>
    <w:rsid w:val="00176730"/>
    <w:rsid w:val="00187621"/>
    <w:rsid w:val="0019470C"/>
    <w:rsid w:val="00195363"/>
    <w:rsid w:val="001A0AAA"/>
    <w:rsid w:val="001B0C32"/>
    <w:rsid w:val="001C1063"/>
    <w:rsid w:val="001E6562"/>
    <w:rsid w:val="001F36AB"/>
    <w:rsid w:val="001F5617"/>
    <w:rsid w:val="0021792F"/>
    <w:rsid w:val="00227E85"/>
    <w:rsid w:val="00230163"/>
    <w:rsid w:val="00240C8F"/>
    <w:rsid w:val="002424DD"/>
    <w:rsid w:val="00243503"/>
    <w:rsid w:val="00250182"/>
    <w:rsid w:val="00281CC0"/>
    <w:rsid w:val="0028557E"/>
    <w:rsid w:val="00287CC2"/>
    <w:rsid w:val="00287F3A"/>
    <w:rsid w:val="002929C2"/>
    <w:rsid w:val="002977EB"/>
    <w:rsid w:val="002A5D0B"/>
    <w:rsid w:val="002C1A9B"/>
    <w:rsid w:val="002D0704"/>
    <w:rsid w:val="002E296C"/>
    <w:rsid w:val="002E5D42"/>
    <w:rsid w:val="002F010E"/>
    <w:rsid w:val="002F4941"/>
    <w:rsid w:val="002F5F05"/>
    <w:rsid w:val="00320B9B"/>
    <w:rsid w:val="00331054"/>
    <w:rsid w:val="00334A08"/>
    <w:rsid w:val="00340A07"/>
    <w:rsid w:val="003716EC"/>
    <w:rsid w:val="00375456"/>
    <w:rsid w:val="00381DE4"/>
    <w:rsid w:val="00382DDF"/>
    <w:rsid w:val="003D0DF0"/>
    <w:rsid w:val="003D2300"/>
    <w:rsid w:val="003E4455"/>
    <w:rsid w:val="003F1A79"/>
    <w:rsid w:val="004047FF"/>
    <w:rsid w:val="00424AF0"/>
    <w:rsid w:val="004366CB"/>
    <w:rsid w:val="00441DB1"/>
    <w:rsid w:val="004450F9"/>
    <w:rsid w:val="00457D9E"/>
    <w:rsid w:val="00463F63"/>
    <w:rsid w:val="00474D0F"/>
    <w:rsid w:val="0047757D"/>
    <w:rsid w:val="00477886"/>
    <w:rsid w:val="004A7BFE"/>
    <w:rsid w:val="004C498C"/>
    <w:rsid w:val="004D538D"/>
    <w:rsid w:val="004E05F6"/>
    <w:rsid w:val="004E1BE6"/>
    <w:rsid w:val="004E464E"/>
    <w:rsid w:val="004F6CF4"/>
    <w:rsid w:val="005222ED"/>
    <w:rsid w:val="00542E7B"/>
    <w:rsid w:val="00543313"/>
    <w:rsid w:val="00545FA0"/>
    <w:rsid w:val="00546244"/>
    <w:rsid w:val="00550B5E"/>
    <w:rsid w:val="00556962"/>
    <w:rsid w:val="00562885"/>
    <w:rsid w:val="005819D9"/>
    <w:rsid w:val="005842C9"/>
    <w:rsid w:val="005854CA"/>
    <w:rsid w:val="00597E35"/>
    <w:rsid w:val="005A1535"/>
    <w:rsid w:val="005A3C1C"/>
    <w:rsid w:val="005B3549"/>
    <w:rsid w:val="005C0ED8"/>
    <w:rsid w:val="005C4C2A"/>
    <w:rsid w:val="005D1CC7"/>
    <w:rsid w:val="005D7E95"/>
    <w:rsid w:val="005F0A29"/>
    <w:rsid w:val="005F74F5"/>
    <w:rsid w:val="006210B9"/>
    <w:rsid w:val="006236D2"/>
    <w:rsid w:val="00632510"/>
    <w:rsid w:val="00654093"/>
    <w:rsid w:val="006560DE"/>
    <w:rsid w:val="00665940"/>
    <w:rsid w:val="006666BD"/>
    <w:rsid w:val="00671505"/>
    <w:rsid w:val="006749BC"/>
    <w:rsid w:val="00677357"/>
    <w:rsid w:val="00677CED"/>
    <w:rsid w:val="006800EE"/>
    <w:rsid w:val="00691696"/>
    <w:rsid w:val="006930AD"/>
    <w:rsid w:val="006A02EE"/>
    <w:rsid w:val="006A1AD2"/>
    <w:rsid w:val="006A326D"/>
    <w:rsid w:val="006D53ED"/>
    <w:rsid w:val="006E7D07"/>
    <w:rsid w:val="0070641C"/>
    <w:rsid w:val="00711812"/>
    <w:rsid w:val="0071778F"/>
    <w:rsid w:val="00745DBC"/>
    <w:rsid w:val="00747B5A"/>
    <w:rsid w:val="007617ED"/>
    <w:rsid w:val="007668CE"/>
    <w:rsid w:val="007A7D20"/>
    <w:rsid w:val="007B05F9"/>
    <w:rsid w:val="007D5AE7"/>
    <w:rsid w:val="007D787B"/>
    <w:rsid w:val="00817EC6"/>
    <w:rsid w:val="00820073"/>
    <w:rsid w:val="00826888"/>
    <w:rsid w:val="00844379"/>
    <w:rsid w:val="00845682"/>
    <w:rsid w:val="00852B0D"/>
    <w:rsid w:val="00854331"/>
    <w:rsid w:val="00860C93"/>
    <w:rsid w:val="00884E19"/>
    <w:rsid w:val="008868E1"/>
    <w:rsid w:val="00894449"/>
    <w:rsid w:val="00897F88"/>
    <w:rsid w:val="008A168C"/>
    <w:rsid w:val="008A1937"/>
    <w:rsid w:val="008B1ECF"/>
    <w:rsid w:val="008C1336"/>
    <w:rsid w:val="008C3CAF"/>
    <w:rsid w:val="008D73C2"/>
    <w:rsid w:val="008F4961"/>
    <w:rsid w:val="00902B3A"/>
    <w:rsid w:val="00903C0D"/>
    <w:rsid w:val="00907F4C"/>
    <w:rsid w:val="0092288B"/>
    <w:rsid w:val="0092660D"/>
    <w:rsid w:val="0093707B"/>
    <w:rsid w:val="00956C4A"/>
    <w:rsid w:val="00956CD3"/>
    <w:rsid w:val="00965895"/>
    <w:rsid w:val="00971633"/>
    <w:rsid w:val="00973E39"/>
    <w:rsid w:val="00976104"/>
    <w:rsid w:val="0098780E"/>
    <w:rsid w:val="00990474"/>
    <w:rsid w:val="009931C7"/>
    <w:rsid w:val="009B06FE"/>
    <w:rsid w:val="009B252D"/>
    <w:rsid w:val="009C2166"/>
    <w:rsid w:val="009D7B0B"/>
    <w:rsid w:val="009E085D"/>
    <w:rsid w:val="009E09C3"/>
    <w:rsid w:val="009E2E75"/>
    <w:rsid w:val="009E76A3"/>
    <w:rsid w:val="00A06347"/>
    <w:rsid w:val="00A14972"/>
    <w:rsid w:val="00A1715E"/>
    <w:rsid w:val="00A22106"/>
    <w:rsid w:val="00A22311"/>
    <w:rsid w:val="00A267D2"/>
    <w:rsid w:val="00A3040A"/>
    <w:rsid w:val="00A34A13"/>
    <w:rsid w:val="00A46ACE"/>
    <w:rsid w:val="00A56D95"/>
    <w:rsid w:val="00A628E3"/>
    <w:rsid w:val="00A62EF2"/>
    <w:rsid w:val="00A83C4B"/>
    <w:rsid w:val="00A914CC"/>
    <w:rsid w:val="00A947A5"/>
    <w:rsid w:val="00AD0770"/>
    <w:rsid w:val="00AD1981"/>
    <w:rsid w:val="00AD56A3"/>
    <w:rsid w:val="00AE3039"/>
    <w:rsid w:val="00AE66DB"/>
    <w:rsid w:val="00AF28FF"/>
    <w:rsid w:val="00B03A47"/>
    <w:rsid w:val="00B11924"/>
    <w:rsid w:val="00B276E0"/>
    <w:rsid w:val="00B3380F"/>
    <w:rsid w:val="00B345C7"/>
    <w:rsid w:val="00B55E9E"/>
    <w:rsid w:val="00B607AC"/>
    <w:rsid w:val="00B61FBD"/>
    <w:rsid w:val="00B744CF"/>
    <w:rsid w:val="00B768F8"/>
    <w:rsid w:val="00B879E3"/>
    <w:rsid w:val="00BA7F2A"/>
    <w:rsid w:val="00BB076E"/>
    <w:rsid w:val="00BB5500"/>
    <w:rsid w:val="00BB6D34"/>
    <w:rsid w:val="00BC06A5"/>
    <w:rsid w:val="00BE5BED"/>
    <w:rsid w:val="00BF0FE2"/>
    <w:rsid w:val="00BF38B9"/>
    <w:rsid w:val="00C024E9"/>
    <w:rsid w:val="00C033C7"/>
    <w:rsid w:val="00C242E1"/>
    <w:rsid w:val="00C26D96"/>
    <w:rsid w:val="00C363AD"/>
    <w:rsid w:val="00C46AC0"/>
    <w:rsid w:val="00C67199"/>
    <w:rsid w:val="00C727C2"/>
    <w:rsid w:val="00C75DA6"/>
    <w:rsid w:val="00C80B41"/>
    <w:rsid w:val="00C82D82"/>
    <w:rsid w:val="00C87E97"/>
    <w:rsid w:val="00CA065D"/>
    <w:rsid w:val="00CA08D6"/>
    <w:rsid w:val="00CA1C09"/>
    <w:rsid w:val="00CB4690"/>
    <w:rsid w:val="00CC2165"/>
    <w:rsid w:val="00CD561F"/>
    <w:rsid w:val="00CE550D"/>
    <w:rsid w:val="00D028E3"/>
    <w:rsid w:val="00D033FA"/>
    <w:rsid w:val="00D1450A"/>
    <w:rsid w:val="00D1680C"/>
    <w:rsid w:val="00D22297"/>
    <w:rsid w:val="00D2439A"/>
    <w:rsid w:val="00D60A5F"/>
    <w:rsid w:val="00D707FD"/>
    <w:rsid w:val="00D773C5"/>
    <w:rsid w:val="00D8123F"/>
    <w:rsid w:val="00D90A92"/>
    <w:rsid w:val="00DA1F5E"/>
    <w:rsid w:val="00DA31F3"/>
    <w:rsid w:val="00DA42B7"/>
    <w:rsid w:val="00DB3491"/>
    <w:rsid w:val="00DC1BB7"/>
    <w:rsid w:val="00DD4B8F"/>
    <w:rsid w:val="00DE00E2"/>
    <w:rsid w:val="00DE1A46"/>
    <w:rsid w:val="00DE587F"/>
    <w:rsid w:val="00DF119D"/>
    <w:rsid w:val="00E02925"/>
    <w:rsid w:val="00E10457"/>
    <w:rsid w:val="00E21024"/>
    <w:rsid w:val="00E31B3A"/>
    <w:rsid w:val="00E476D6"/>
    <w:rsid w:val="00E50F22"/>
    <w:rsid w:val="00E51004"/>
    <w:rsid w:val="00EA04CA"/>
    <w:rsid w:val="00EA2821"/>
    <w:rsid w:val="00EA304D"/>
    <w:rsid w:val="00EA7E93"/>
    <w:rsid w:val="00EB566A"/>
    <w:rsid w:val="00EC6433"/>
    <w:rsid w:val="00ED3BD6"/>
    <w:rsid w:val="00EE1E98"/>
    <w:rsid w:val="00EE4551"/>
    <w:rsid w:val="00EF2C56"/>
    <w:rsid w:val="00F06396"/>
    <w:rsid w:val="00F1765F"/>
    <w:rsid w:val="00F22C8C"/>
    <w:rsid w:val="00F4274C"/>
    <w:rsid w:val="00F63283"/>
    <w:rsid w:val="00F73DBB"/>
    <w:rsid w:val="00FB5BA6"/>
    <w:rsid w:val="00FB6733"/>
    <w:rsid w:val="00FB7CB2"/>
    <w:rsid w:val="00FC204D"/>
    <w:rsid w:val="00FC3225"/>
    <w:rsid w:val="00FD7CC7"/>
    <w:rsid w:val="00FE09BD"/>
    <w:rsid w:val="00FE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8EB8"/>
  <w15:chartTrackingRefBased/>
  <w15:docId w15:val="{A364DB88-608E-4C78-93F0-B28D99C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CF4"/>
    <w:pPr>
      <w:spacing w:after="0" w:line="240" w:lineRule="auto"/>
    </w:pPr>
  </w:style>
  <w:style w:type="paragraph" w:styleId="Heading2">
    <w:name w:val="heading 2"/>
    <w:basedOn w:val="Normal"/>
    <w:next w:val="Normal"/>
    <w:link w:val="Heading2Char"/>
    <w:uiPriority w:val="9"/>
    <w:unhideWhenUsed/>
    <w:qFormat/>
    <w:rsid w:val="004F6CF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4F6CF4"/>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CF4"/>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CF4"/>
    <w:pPr>
      <w:ind w:left="720"/>
      <w:contextualSpacing/>
    </w:pPr>
  </w:style>
  <w:style w:type="character" w:styleId="Hyperlink">
    <w:name w:val="Hyperlink"/>
    <w:basedOn w:val="DefaultParagraphFont"/>
    <w:uiPriority w:val="99"/>
    <w:unhideWhenUsed/>
    <w:rsid w:val="004F6CF4"/>
    <w:rPr>
      <w:color w:val="0563C1" w:themeColor="hyperlink"/>
      <w:u w:val="single"/>
    </w:rPr>
  </w:style>
  <w:style w:type="character" w:customStyle="1" w:styleId="Heading2Char">
    <w:name w:val="Heading 2 Char"/>
    <w:basedOn w:val="DefaultParagraphFont"/>
    <w:link w:val="Heading2"/>
    <w:uiPriority w:val="9"/>
    <w:rsid w:val="004F6CF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4F6CF4"/>
    <w:rPr>
      <w:rFonts w:asciiTheme="majorHAnsi" w:eastAsiaTheme="majorEastAsia" w:hAnsiTheme="majorHAnsi" w:cstheme="majorBidi"/>
      <w:color w:val="1F3763" w:themeColor="accent1" w:themeShade="7F"/>
      <w:sz w:val="24"/>
      <w:szCs w:val="24"/>
      <w:lang w:val="en-GB"/>
    </w:rPr>
  </w:style>
  <w:style w:type="paragraph" w:styleId="FootnoteText">
    <w:name w:val="footnote text"/>
    <w:basedOn w:val="Normal"/>
    <w:link w:val="FootnoteTextChar"/>
    <w:uiPriority w:val="99"/>
    <w:semiHidden/>
    <w:unhideWhenUsed/>
    <w:rsid w:val="004F6CF4"/>
    <w:rPr>
      <w:sz w:val="20"/>
      <w:szCs w:val="20"/>
      <w:lang w:val="en-GB"/>
    </w:rPr>
  </w:style>
  <w:style w:type="character" w:customStyle="1" w:styleId="FootnoteTextChar">
    <w:name w:val="Footnote Text Char"/>
    <w:basedOn w:val="DefaultParagraphFont"/>
    <w:link w:val="FootnoteText"/>
    <w:uiPriority w:val="99"/>
    <w:semiHidden/>
    <w:rsid w:val="004F6CF4"/>
    <w:rPr>
      <w:sz w:val="20"/>
      <w:szCs w:val="20"/>
      <w:lang w:val="en-GB"/>
    </w:rPr>
  </w:style>
  <w:style w:type="character" w:styleId="FootnoteReference">
    <w:name w:val="footnote reference"/>
    <w:aliases w:val="ftref,BVI fnr,16 Point,Superscript 6 Point,Footnote text,Ref. de nota al pie1"/>
    <w:basedOn w:val="DefaultParagraphFont"/>
    <w:uiPriority w:val="99"/>
    <w:unhideWhenUsed/>
    <w:rsid w:val="004F6CF4"/>
    <w:rPr>
      <w:vertAlign w:val="superscript"/>
    </w:rPr>
  </w:style>
  <w:style w:type="character" w:styleId="UnresolvedMention">
    <w:name w:val="Unresolved Mention"/>
    <w:basedOn w:val="DefaultParagraphFont"/>
    <w:uiPriority w:val="99"/>
    <w:semiHidden/>
    <w:unhideWhenUsed/>
    <w:rsid w:val="005222ED"/>
    <w:rPr>
      <w:color w:val="605E5C"/>
      <w:shd w:val="clear" w:color="auto" w:fill="E1DFDD"/>
    </w:rPr>
  </w:style>
  <w:style w:type="paragraph" w:styleId="BalloonText">
    <w:name w:val="Balloon Text"/>
    <w:basedOn w:val="Normal"/>
    <w:link w:val="BalloonTextChar"/>
    <w:uiPriority w:val="99"/>
    <w:semiHidden/>
    <w:unhideWhenUsed/>
    <w:rsid w:val="009B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2D"/>
    <w:rPr>
      <w:rFonts w:ascii="Segoe UI" w:hAnsi="Segoe UI" w:cs="Segoe UI"/>
      <w:sz w:val="18"/>
      <w:szCs w:val="18"/>
    </w:rPr>
  </w:style>
  <w:style w:type="paragraph" w:styleId="Header">
    <w:name w:val="header"/>
    <w:basedOn w:val="Normal"/>
    <w:link w:val="HeaderChar"/>
    <w:uiPriority w:val="99"/>
    <w:unhideWhenUsed/>
    <w:rsid w:val="00A83C4B"/>
    <w:pPr>
      <w:tabs>
        <w:tab w:val="center" w:pos="4680"/>
        <w:tab w:val="right" w:pos="9360"/>
      </w:tabs>
    </w:pPr>
  </w:style>
  <w:style w:type="character" w:customStyle="1" w:styleId="HeaderChar">
    <w:name w:val="Header Char"/>
    <w:basedOn w:val="DefaultParagraphFont"/>
    <w:link w:val="Header"/>
    <w:uiPriority w:val="99"/>
    <w:rsid w:val="00A83C4B"/>
  </w:style>
  <w:style w:type="paragraph" w:styleId="Footer">
    <w:name w:val="footer"/>
    <w:basedOn w:val="Normal"/>
    <w:link w:val="FooterChar"/>
    <w:uiPriority w:val="99"/>
    <w:unhideWhenUsed/>
    <w:rsid w:val="00A83C4B"/>
    <w:pPr>
      <w:tabs>
        <w:tab w:val="center" w:pos="4680"/>
        <w:tab w:val="right" w:pos="9360"/>
      </w:tabs>
    </w:pPr>
  </w:style>
  <w:style w:type="character" w:customStyle="1" w:styleId="FooterChar">
    <w:name w:val="Footer Char"/>
    <w:basedOn w:val="DefaultParagraphFont"/>
    <w:link w:val="Footer"/>
    <w:uiPriority w:val="99"/>
    <w:rsid w:val="00A8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7930">
      <w:bodyDiv w:val="1"/>
      <w:marLeft w:val="0"/>
      <w:marRight w:val="0"/>
      <w:marTop w:val="0"/>
      <w:marBottom w:val="0"/>
      <w:divBdr>
        <w:top w:val="none" w:sz="0" w:space="0" w:color="auto"/>
        <w:left w:val="none" w:sz="0" w:space="0" w:color="auto"/>
        <w:bottom w:val="none" w:sz="0" w:space="0" w:color="auto"/>
        <w:right w:val="none" w:sz="0" w:space="0" w:color="auto"/>
      </w:divBdr>
    </w:div>
    <w:div w:id="209457190">
      <w:bodyDiv w:val="1"/>
      <w:marLeft w:val="0"/>
      <w:marRight w:val="0"/>
      <w:marTop w:val="0"/>
      <w:marBottom w:val="0"/>
      <w:divBdr>
        <w:top w:val="none" w:sz="0" w:space="0" w:color="auto"/>
        <w:left w:val="none" w:sz="0" w:space="0" w:color="auto"/>
        <w:bottom w:val="none" w:sz="0" w:space="0" w:color="auto"/>
        <w:right w:val="none" w:sz="0" w:space="0" w:color="auto"/>
      </w:divBdr>
    </w:div>
    <w:div w:id="8035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mbudsman.co.me/docs/1619074992_izvjestaj_%2001042021.pdf" TargetMode="External"/><Relationship Id="rId18" Type="http://schemas.openxmlformats.org/officeDocument/2006/relationships/hyperlink" Target="http://media.cgo-cce.org/2020/03/CGO_Odnos-prema-osobama-s-invaliditetom-FF.pdf" TargetMode="External"/><Relationship Id="rId26" Type="http://schemas.openxmlformats.org/officeDocument/2006/relationships/hyperlink" Target="https://www.ombudsman.co.me/docs/1619074992_izvjestaj_%2001042021.pdf" TargetMode="External"/><Relationship Id="rId3" Type="http://schemas.openxmlformats.org/officeDocument/2006/relationships/styles" Target="styles.xml"/><Relationship Id="rId21" Type="http://schemas.openxmlformats.org/officeDocument/2006/relationships/hyperlink" Target="http://www.gov.me-&#269;lanak-zaklju&#269;na" TargetMode="External"/><Relationship Id="rId7" Type="http://schemas.openxmlformats.org/officeDocument/2006/relationships/endnotes" Target="endnotes.xml"/><Relationship Id="rId12" Type="http://schemas.openxmlformats.org/officeDocument/2006/relationships/hyperlink" Target="http://monstat.org/userfiles/file/popis2011/saopstenje/Smetnje%20u%20obavljenju%20svakodnevnih%20aktivnosti%20popis%202011.pdf" TargetMode="External"/><Relationship Id="rId17" Type="http://schemas.openxmlformats.org/officeDocument/2006/relationships/hyperlink" Target="https://ss-cg.org/?p=2141" TargetMode="External"/><Relationship Id="rId25" Type="http://schemas.openxmlformats.org/officeDocument/2006/relationships/hyperlink" Target="http://umhcg.com/wp-content/uploads/2020/01/11-VI-19-Analiza-pristupa%C4%8Dnosti-srednjih-%C5%A1kola-u-%C5%A1est-crnogorskih-gradova-UMHCG.pdf" TargetMode="External"/><Relationship Id="rId2" Type="http://schemas.openxmlformats.org/officeDocument/2006/relationships/numbering" Target="numbering.xml"/><Relationship Id="rId16" Type="http://schemas.openxmlformats.org/officeDocument/2006/relationships/hyperlink" Target="https://ss-cg.org/wp-content/uploads/2020/12/25-IX-19-SSCG-istrazivanje-2019-OSI.pdf" TargetMode="External"/><Relationship Id="rId20" Type="http://schemas.openxmlformats.org/officeDocument/2006/relationships/hyperlink" Target="http://www.mrt.gov.me/rubrike/pristupacnost/173092/Analiza-objekata-organa-drzavne-uprave-sa-aspekta-pristupacnosti-licima-smanjene-poretljivosti-i-licima-sa-invaliditetom.html" TargetMode="External"/><Relationship Id="rId29" Type="http://schemas.openxmlformats.org/officeDocument/2006/relationships/hyperlink" Target="http://www.mrt.gov.me/rubrike/pristupacnost/pristupacnost-saopstenja/197089/Saopstenje-Analiza-pristupacnosti-objekata-u-javnoj-upotrebi-na-lokalnom-nivo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dokumenta/b3db3202-9de1-4b25-8cda-29dea4c97dbb" TargetMode="External"/><Relationship Id="rId24" Type="http://schemas.openxmlformats.org/officeDocument/2006/relationships/hyperlink" Target="http://www.mrt.gov.me/rubrike/pristupacnost/pristupacnost-zakonodavni_okvir" TargetMode="External"/><Relationship Id="rId5" Type="http://schemas.openxmlformats.org/officeDocument/2006/relationships/webSettings" Target="webSettings.xml"/><Relationship Id="rId15" Type="http://schemas.openxmlformats.org/officeDocument/2006/relationships/hyperlink" Target="http://umhcg.com/wp-content/uploads/2020/01/11-VI-19-Analiza-pristupa%C4%8Dnosti-srednjih-%C5%A1kola-u-%C5%A1est-crnogorskih-gradova-UMHCG.pdf" TargetMode="External"/><Relationship Id="rId23" Type="http://schemas.openxmlformats.org/officeDocument/2006/relationships/hyperlink" Target="http://www.mrt.gov.me/rubrike/pristupacnost/pristupacnost-strategijski_okvir" TargetMode="External"/><Relationship Id="rId28" Type="http://schemas.openxmlformats.org/officeDocument/2006/relationships/hyperlink" Target="https://issuu.com/aktivnazona/docs/zajednica_bez_barijera" TargetMode="External"/><Relationship Id="rId10" Type="http://schemas.openxmlformats.org/officeDocument/2006/relationships/hyperlink" Target="https://neighbourhood-enlargement.ec.europa.eu/system/files/2022-10/Montenegro%20Report%202022.pdf" TargetMode="External"/><Relationship Id="rId19" Type="http://schemas.openxmlformats.org/officeDocument/2006/relationships/hyperlink" Target="https://nvoekvivalent.me/biblioteka-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umhcg.com/publikacije/" TargetMode="External"/><Relationship Id="rId22" Type="http://schemas.openxmlformats.org/officeDocument/2006/relationships/hyperlink" Target="http://www.gov.me-dokumenta/" TargetMode="External"/><Relationship Id="rId27" Type="http://schemas.openxmlformats.org/officeDocument/2006/relationships/hyperlink" Target="http://umhcg.com/wp-content/uploads/2018/06/Izvjestaj-MNE.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9DBA-7EFA-4C9F-8926-9F47AB28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7842</Words>
  <Characters>44702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Raicevic</dc:creator>
  <cp:keywords/>
  <dc:description/>
  <cp:lastModifiedBy>Jelena Raicevic</cp:lastModifiedBy>
  <cp:revision>8</cp:revision>
  <cp:lastPrinted>2023-04-20T11:55:00Z</cp:lastPrinted>
  <dcterms:created xsi:type="dcterms:W3CDTF">2024-04-30T10:46:00Z</dcterms:created>
  <dcterms:modified xsi:type="dcterms:W3CDTF">2024-04-30T11:15:00Z</dcterms:modified>
</cp:coreProperties>
</file>