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38C" w:rsidRPr="002923B3" w:rsidRDefault="0067538C" w:rsidP="005E6DF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 w:themeColor="text1"/>
          <w:sz w:val="20"/>
          <w:szCs w:val="20"/>
          <w:lang w:val="sr-Latn-ME"/>
        </w:rPr>
      </w:pPr>
      <w:bookmarkStart w:id="0" w:name="_GoBack"/>
      <w:bookmarkEnd w:id="0"/>
    </w:p>
    <w:tbl>
      <w:tblPr>
        <w:tblStyle w:val="LightGrid-Accent5"/>
        <w:tblW w:w="9913" w:type="dxa"/>
        <w:tblLayout w:type="fixed"/>
        <w:tblLook w:val="04A0" w:firstRow="1" w:lastRow="0" w:firstColumn="1" w:lastColumn="0" w:noHBand="0" w:noVBand="1"/>
      </w:tblPr>
      <w:tblGrid>
        <w:gridCol w:w="3978"/>
        <w:gridCol w:w="5935"/>
      </w:tblGrid>
      <w:tr w:rsidR="0067538C" w:rsidRPr="002923B3" w:rsidTr="00AB6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2923B3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8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IZVJEŠTAJ O SPROVEDENOJ ANALIZI PROCJENE UTICAJA PROPISA</w:t>
            </w:r>
          </w:p>
        </w:tc>
      </w:tr>
      <w:tr w:rsidR="0067538C" w:rsidRPr="002923B3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67538C" w:rsidRPr="002923B3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PREDLAGAČ PROPISA</w:t>
            </w:r>
          </w:p>
        </w:tc>
        <w:tc>
          <w:tcPr>
            <w:tcW w:w="5935" w:type="dxa"/>
          </w:tcPr>
          <w:p w:rsidR="0067538C" w:rsidRPr="00A4125E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 w:rsidRPr="00A4125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Ministarstvo pravde</w:t>
            </w:r>
          </w:p>
        </w:tc>
      </w:tr>
      <w:tr w:rsidR="0067538C" w:rsidRPr="002923B3" w:rsidTr="002E35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67538C" w:rsidRPr="002923B3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NAZIV PROPISA</w:t>
            </w:r>
          </w:p>
        </w:tc>
        <w:tc>
          <w:tcPr>
            <w:tcW w:w="5935" w:type="dxa"/>
          </w:tcPr>
          <w:p w:rsidR="0067538C" w:rsidRPr="00A4125E" w:rsidRDefault="00991255" w:rsidP="005E6DF6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Nacrt</w:t>
            </w:r>
            <w:r w:rsidR="00C3516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 xml:space="preserve"> zakona o </w:t>
            </w:r>
            <w:r w:rsidR="00A46AB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sr-Latn-ME"/>
              </w:rPr>
              <w:t>sudskim vještacima</w:t>
            </w:r>
          </w:p>
        </w:tc>
      </w:tr>
      <w:tr w:rsidR="0067538C" w:rsidRPr="002923B3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2923B3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1. Definisanje problema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probleme treba da riješi predloženi akt?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su uzroci problema?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su posljedice problema?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su subjekti oštećeni, na koji način i u kojoj mjeri?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Kako bi problem evoluirao bez promjene propisa (“status quo” opcija)?</w:t>
            </w:r>
          </w:p>
        </w:tc>
      </w:tr>
      <w:tr w:rsidR="0067538C" w:rsidRPr="002923B3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C56C6B" w:rsidRDefault="00B43EEF" w:rsidP="004F5F2E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206747917"/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Donošenju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Zakona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o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sudskim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vještacima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pristupilo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se sa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ciljem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unapređenja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važećeg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zakona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odnosno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normativnog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okvira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koji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uređuje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postupak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postavljenja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4E0BE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4E0BE1">
              <w:rPr>
                <w:rFonts w:ascii="Arial" w:hAnsi="Arial" w:cs="Arial"/>
                <w:b w:val="0"/>
                <w:sz w:val="20"/>
                <w:szCs w:val="20"/>
              </w:rPr>
              <w:t>ponovnog</w:t>
            </w:r>
            <w:proofErr w:type="spellEnd"/>
            <w:r w:rsidR="004E0BE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4E0BE1">
              <w:rPr>
                <w:rFonts w:ascii="Arial" w:hAnsi="Arial" w:cs="Arial"/>
                <w:b w:val="0"/>
                <w:sz w:val="20"/>
                <w:szCs w:val="20"/>
              </w:rPr>
              <w:t>postavljenja</w:t>
            </w:r>
            <w:proofErr w:type="spellEnd"/>
            <w:r w:rsidR="004E0BE1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razrješenja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prava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obaveze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i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odgovornost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sudskih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vještaka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kao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i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osnivanj</w:t>
            </w:r>
            <w:r w:rsidR="00991255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Komore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sudskih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vještaka</w:t>
            </w:r>
            <w:proofErr w:type="spellEnd"/>
            <w:r w:rsidR="00991255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Dosadašnja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primjena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Zakona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o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sudskim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vještacima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ukazala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je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određene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probleme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i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nedostatke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vezane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za rad sudskih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vještaka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koji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se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prije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svega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odnose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91255">
              <w:rPr>
                <w:rFonts w:ascii="Arial" w:hAnsi="Arial" w:cs="Arial"/>
                <w:b w:val="0"/>
                <w:sz w:val="20"/>
                <w:szCs w:val="20"/>
              </w:rPr>
              <w:t>statusna</w:t>
            </w:r>
            <w:proofErr w:type="spellEnd"/>
            <w:r w:rsidR="0099125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91255">
              <w:rPr>
                <w:rFonts w:ascii="Arial" w:hAnsi="Arial" w:cs="Arial"/>
                <w:b w:val="0"/>
                <w:sz w:val="20"/>
                <w:szCs w:val="20"/>
              </w:rPr>
              <w:t>pitanja</w:t>
            </w:r>
            <w:proofErr w:type="spellEnd"/>
            <w:r w:rsidR="00991255">
              <w:rPr>
                <w:rFonts w:ascii="Arial" w:hAnsi="Arial" w:cs="Arial"/>
                <w:b w:val="0"/>
                <w:sz w:val="20"/>
                <w:szCs w:val="20"/>
              </w:rPr>
              <w:t xml:space="preserve"> i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utvrđivanje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odgovornosti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Osnovna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namjera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predlagača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je da se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unaprijedi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rad sudskih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vještaka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i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jasno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propiše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njihova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odgovornost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te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osnuje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Komora sudskih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vještaka</w:t>
            </w:r>
            <w:proofErr w:type="spellEnd"/>
            <w:r w:rsidR="004E0BE1">
              <w:rPr>
                <w:rFonts w:ascii="Arial" w:hAnsi="Arial" w:cs="Arial"/>
                <w:b w:val="0"/>
                <w:sz w:val="20"/>
                <w:szCs w:val="20"/>
              </w:rPr>
              <w:t xml:space="preserve"> i </w:t>
            </w:r>
            <w:proofErr w:type="spellStart"/>
            <w:r w:rsidR="004E0BE1">
              <w:rPr>
                <w:rFonts w:ascii="Arial" w:hAnsi="Arial" w:cs="Arial"/>
                <w:b w:val="0"/>
                <w:sz w:val="20"/>
                <w:szCs w:val="20"/>
              </w:rPr>
              <w:t>definiše</w:t>
            </w:r>
            <w:proofErr w:type="spellEnd"/>
            <w:r w:rsidR="004E0BE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4E0BE1">
              <w:rPr>
                <w:rFonts w:ascii="Arial" w:hAnsi="Arial" w:cs="Arial"/>
                <w:b w:val="0"/>
                <w:sz w:val="20"/>
                <w:szCs w:val="20"/>
              </w:rPr>
              <w:t>nadzor</w:t>
            </w:r>
            <w:proofErr w:type="spellEnd"/>
            <w:r w:rsidR="004E0BE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4E0BE1">
              <w:rPr>
                <w:rFonts w:ascii="Arial" w:hAnsi="Arial" w:cs="Arial"/>
                <w:b w:val="0"/>
                <w:sz w:val="20"/>
                <w:szCs w:val="20"/>
              </w:rPr>
              <w:t>nad</w:t>
            </w:r>
            <w:proofErr w:type="spellEnd"/>
            <w:r w:rsidR="004E0BE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4E0BE1">
              <w:rPr>
                <w:rFonts w:ascii="Arial" w:hAnsi="Arial" w:cs="Arial"/>
                <w:b w:val="0"/>
                <w:sz w:val="20"/>
                <w:szCs w:val="20"/>
              </w:rPr>
              <w:t>radom</w:t>
            </w:r>
            <w:proofErr w:type="spellEnd"/>
            <w:r w:rsidR="004E0BE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4E0BE1">
              <w:rPr>
                <w:rFonts w:ascii="Arial" w:hAnsi="Arial" w:cs="Arial"/>
                <w:b w:val="0"/>
                <w:sz w:val="20"/>
                <w:szCs w:val="20"/>
              </w:rPr>
              <w:t>Komore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cilju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uspostavljanja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profesionalnog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transparentnog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i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odgovornog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sistema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sudskog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vještačenja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koji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će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doprinijeti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efikasnijem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funkcionisanju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pravosudnog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sistema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i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jačanju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vladavine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prava</w:t>
            </w:r>
            <w:proofErr w:type="spellEnd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="00A46A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S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tim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vezi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poseban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akcenat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stavljen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je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propisivanju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disciplinske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odgovornosti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kako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bi se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otklonile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ranije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uočene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pravne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praznine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postupcima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kontrole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i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sankcionisanja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nepravilnosti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proofErr w:type="spellStart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radu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 xml:space="preserve">sudskih </w:t>
            </w:r>
            <w:proofErr w:type="spellStart"/>
            <w:r w:rsidR="00A46AB7">
              <w:rPr>
                <w:rFonts w:ascii="Arial" w:hAnsi="Arial" w:cs="Arial"/>
                <w:b w:val="0"/>
                <w:sz w:val="20"/>
                <w:szCs w:val="20"/>
              </w:rPr>
              <w:t>vještaka</w:t>
            </w:r>
            <w:proofErr w:type="spellEnd"/>
            <w:r w:rsidRPr="00B43EEF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bookmarkEnd w:id="1"/>
          <w:p w:rsidR="00C56C6B" w:rsidRDefault="00C56C6B" w:rsidP="005E6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4F5F2E" w:rsidRDefault="00C56C6B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Posljedice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ovog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problema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su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da je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važeći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440C26">
              <w:rPr>
                <w:rFonts w:ascii="Arial" w:hAnsi="Arial" w:cs="Arial"/>
                <w:b w:val="0"/>
                <w:bCs/>
                <w:sz w:val="20"/>
                <w:szCs w:val="20"/>
              </w:rPr>
              <w:t>zakon</w:t>
            </w:r>
            <w:proofErr w:type="spellEnd"/>
            <w:r w:rsidR="00440C26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pokazao</w:t>
            </w:r>
            <w:proofErr w:type="spellEnd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>nedovoljnu</w:t>
            </w:r>
            <w:proofErr w:type="spellEnd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>jasnoću</w:t>
            </w:r>
            <w:proofErr w:type="spellEnd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i </w:t>
            </w:r>
            <w:proofErr w:type="spellStart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>ograničenost</w:t>
            </w:r>
            <w:proofErr w:type="spellEnd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u </w:t>
            </w:r>
            <w:proofErr w:type="spellStart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>definisanju</w:t>
            </w:r>
            <w:proofErr w:type="spellEnd"/>
            <w:r w:rsidRPr="00C56C6B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>svi</w:t>
            </w:r>
            <w:r w:rsidR="004E0BE1">
              <w:rPr>
                <w:rFonts w:ascii="Arial" w:hAnsi="Arial" w:cs="Arial"/>
                <w:b w:val="0"/>
                <w:bCs/>
                <w:sz w:val="20"/>
                <w:szCs w:val="20"/>
              </w:rPr>
              <w:t>h</w:t>
            </w:r>
            <w:proofErr w:type="spellEnd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>normi</w:t>
            </w:r>
            <w:proofErr w:type="spellEnd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>koje</w:t>
            </w:r>
            <w:proofErr w:type="spellEnd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se odnose </w:t>
            </w:r>
            <w:proofErr w:type="spellStart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>na</w:t>
            </w:r>
            <w:proofErr w:type="spellEnd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>postavljenje</w:t>
            </w:r>
            <w:proofErr w:type="spellEnd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>,</w:t>
            </w:r>
            <w:r w:rsidR="004E0BE1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4E0BE1">
              <w:rPr>
                <w:rFonts w:ascii="Arial" w:hAnsi="Arial" w:cs="Arial"/>
                <w:b w:val="0"/>
                <w:bCs/>
                <w:sz w:val="20"/>
                <w:szCs w:val="20"/>
              </w:rPr>
              <w:t>ponovno</w:t>
            </w:r>
            <w:proofErr w:type="spellEnd"/>
            <w:r w:rsidR="004E0BE1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4E0BE1">
              <w:rPr>
                <w:rFonts w:ascii="Arial" w:hAnsi="Arial" w:cs="Arial"/>
                <w:b w:val="0"/>
                <w:bCs/>
                <w:sz w:val="20"/>
                <w:szCs w:val="20"/>
              </w:rPr>
              <w:t>postavljenje</w:t>
            </w:r>
            <w:proofErr w:type="spellEnd"/>
            <w:r w:rsidR="004E0BE1">
              <w:rPr>
                <w:rFonts w:ascii="Arial" w:hAnsi="Arial" w:cs="Arial"/>
                <w:b w:val="0"/>
                <w:bCs/>
                <w:sz w:val="20"/>
                <w:szCs w:val="20"/>
              </w:rPr>
              <w:t>,</w:t>
            </w:r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>razrješenje</w:t>
            </w:r>
            <w:proofErr w:type="spellEnd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>prava</w:t>
            </w:r>
            <w:proofErr w:type="spellEnd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>obaveze</w:t>
            </w:r>
            <w:proofErr w:type="spellEnd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i </w:t>
            </w:r>
            <w:proofErr w:type="spellStart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>odgovornost</w:t>
            </w:r>
            <w:proofErr w:type="spellEnd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sudskih </w:t>
            </w:r>
            <w:proofErr w:type="spellStart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>vje</w:t>
            </w:r>
            <w:r w:rsidR="004E0BE1">
              <w:rPr>
                <w:rFonts w:ascii="Arial" w:hAnsi="Arial" w:cs="Arial"/>
                <w:b w:val="0"/>
                <w:bCs/>
                <w:sz w:val="20"/>
                <w:szCs w:val="20"/>
              </w:rPr>
              <w:t>š</w:t>
            </w:r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>taka</w:t>
            </w:r>
            <w:proofErr w:type="spellEnd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Takođe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važeći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zakon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>predviđa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991255">
              <w:rPr>
                <w:rFonts w:ascii="Arial" w:hAnsi="Arial" w:cs="Arial"/>
                <w:b w:val="0"/>
                <w:bCs/>
                <w:sz w:val="20"/>
                <w:szCs w:val="20"/>
              </w:rPr>
              <w:t>obavezno</w:t>
            </w:r>
            <w:proofErr w:type="spellEnd"/>
            <w:r w:rsidR="00991255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>udruživanje</w:t>
            </w:r>
            <w:proofErr w:type="spellEnd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sudskih </w:t>
            </w:r>
            <w:proofErr w:type="spellStart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>vještaka</w:t>
            </w:r>
            <w:proofErr w:type="spellEnd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, </w:t>
            </w:r>
            <w:proofErr w:type="spellStart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>što</w:t>
            </w:r>
            <w:proofErr w:type="spellEnd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je </w:t>
            </w:r>
            <w:proofErr w:type="spellStart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>značilo</w:t>
            </w:r>
            <w:proofErr w:type="spellEnd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da je </w:t>
            </w:r>
            <w:proofErr w:type="spellStart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>udruživanje</w:t>
            </w:r>
            <w:proofErr w:type="spellEnd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>vještaka</w:t>
            </w:r>
            <w:proofErr w:type="spellEnd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u </w:t>
            </w:r>
            <w:proofErr w:type="spellStart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>razna</w:t>
            </w:r>
            <w:proofErr w:type="spellEnd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>udruženja</w:t>
            </w:r>
            <w:proofErr w:type="spellEnd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>dobrovoljno</w:t>
            </w:r>
            <w:proofErr w:type="spellEnd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i </w:t>
            </w:r>
            <w:proofErr w:type="spellStart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>zakonom</w:t>
            </w:r>
            <w:proofErr w:type="spellEnd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>ne</w:t>
            </w:r>
            <w:r w:rsidR="004E0BE1">
              <w:rPr>
                <w:rFonts w:ascii="Arial" w:hAnsi="Arial" w:cs="Arial"/>
                <w:b w:val="0"/>
                <w:bCs/>
                <w:sz w:val="20"/>
                <w:szCs w:val="20"/>
              </w:rPr>
              <w:t>dovoljno</w:t>
            </w:r>
            <w:proofErr w:type="spellEnd"/>
            <w:r w:rsidR="004E0BE1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proofErr w:type="spellStart"/>
            <w:r w:rsidR="00A46AB7">
              <w:rPr>
                <w:rFonts w:ascii="Arial" w:hAnsi="Arial" w:cs="Arial"/>
                <w:b w:val="0"/>
                <w:bCs/>
                <w:sz w:val="20"/>
                <w:szCs w:val="20"/>
              </w:rPr>
              <w:t>regulisano</w:t>
            </w:r>
            <w:proofErr w:type="spellEnd"/>
            <w:r w:rsidR="001917D4">
              <w:rPr>
                <w:rFonts w:ascii="Arial" w:hAnsi="Arial" w:cs="Arial"/>
                <w:b w:val="0"/>
                <w:bCs/>
                <w:sz w:val="20"/>
                <w:szCs w:val="20"/>
              </w:rPr>
              <w:t>.</w:t>
            </w:r>
            <w:r w:rsidR="001917D4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1917D4" w:rsidRDefault="001917D4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1917D4" w:rsidRDefault="001917D4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1917D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Nepostojanje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jasno</w:t>
            </w:r>
            <w:r w:rsidRPr="001917D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i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precizno formulisanih</w:t>
            </w:r>
            <w:r w:rsidR="00B34E82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odredbi koje se odnose na</w:t>
            </w:r>
            <w:r w:rsidR="004E0BE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uslove za postavljenje, ponovno postavljenje, prava, obaveze,</w:t>
            </w:r>
            <w:r w:rsidR="00B34E82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disciplinsku odgovornost</w:t>
            </w:r>
            <w:r w:rsidR="00A46AB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sudskih vještaka</w:t>
            </w:r>
            <w:r w:rsidR="0099125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i</w:t>
            </w:r>
            <w:r w:rsidR="004E0BE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razrješenje </w:t>
            </w:r>
            <w:r w:rsidR="00B34E82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dove</w:t>
            </w:r>
            <w:r w:rsidR="00A46AB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l</w:t>
            </w:r>
            <w:r w:rsidR="00B34E82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o je pravne nesigurnosti i neujednačene prakse u ovim postupcima, što je uticalo i na rad </w:t>
            </w:r>
            <w:r w:rsidR="00A46AB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sudskih vještaka</w:t>
            </w:r>
            <w:r w:rsidR="00B34E82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  <w:p w:rsidR="00B34E82" w:rsidRDefault="00B34E82" w:rsidP="005E6DF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ED7461" w:rsidRPr="002F1937" w:rsidRDefault="00A20037" w:rsidP="005E6DF6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 w:rsidRPr="0048050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Bez </w:t>
            </w:r>
            <w:r w:rsidR="00D76698" w:rsidRPr="0048050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donošenja </w:t>
            </w:r>
            <w:r w:rsidR="00F52B6A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Zakona o </w:t>
            </w:r>
            <w:r w:rsidR="00A46AB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sudskim vještacima</w:t>
            </w:r>
            <w:r w:rsidR="006E5305" w:rsidRPr="0048050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</w:t>
            </w:r>
            <w:r w:rsidRPr="0048050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(„status quo“ opcija) </w:t>
            </w:r>
            <w:r w:rsidR="00915CDE" w:rsidRPr="0048050F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ne bi se mogli unaprijediti normativni i pravni mehanizmi </w:t>
            </w:r>
            <w:r w:rsidR="00B34E82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za </w:t>
            </w:r>
            <w:r w:rsidR="00A46AB7" w:rsidRPr="00A46AB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postupak postavljenja,</w:t>
            </w:r>
            <w:r w:rsidR="004E0BE1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ponovnog postavljenja,</w:t>
            </w:r>
            <w:r w:rsidR="00A46AB7" w:rsidRPr="00A46AB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razrješenja, prava, obaveze i odgovornost</w:t>
            </w:r>
            <w:r w:rsidR="00A46AB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i</w:t>
            </w:r>
            <w:r w:rsidR="00A46AB7" w:rsidRPr="00A46AB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sudskih vještaka</w:t>
            </w:r>
            <w:r w:rsidR="00A46AB7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.</w:t>
            </w:r>
          </w:p>
        </w:tc>
      </w:tr>
      <w:tr w:rsidR="0067538C" w:rsidRPr="002923B3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2923B3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2. Ciljevi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ciljevi se postižu predloženim propisom?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Navesti usklađenost ovih ciljeva sa postojećim strategijama ili programima Vlade, ako je primjenljivo.</w:t>
            </w:r>
          </w:p>
        </w:tc>
      </w:tr>
      <w:tr w:rsidR="0067538C" w:rsidRPr="002923B3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A46AB7" w:rsidRDefault="002F1937" w:rsidP="00554935">
            <w:pPr>
              <w:spacing w:line="276" w:lineRule="auto"/>
              <w:rPr>
                <w:rFonts w:ascii="Arial" w:eastAsiaTheme="minorHAnsi" w:hAnsi="Arial" w:cs="Arial"/>
                <w:bCs/>
                <w:sz w:val="20"/>
                <w:szCs w:val="20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Predloženim propisom unaprijediće se</w:t>
            </w:r>
            <w:r w:rsidRPr="002F1937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normativni</w:t>
            </w:r>
            <w:r w:rsidRPr="002F1937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okvir koji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m se</w:t>
            </w:r>
            <w:r w:rsidRPr="002F1937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uređuj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u</w:t>
            </w:r>
            <w:r w:rsidRPr="002F1937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A46AB7" w:rsidRPr="00A46AB7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postupak postavljenja,</w:t>
            </w:r>
            <w:r w:rsidR="004E0BE1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ponovnog postavljenja,</w:t>
            </w:r>
            <w:r w:rsidR="00A46AB7" w:rsidRPr="00A46AB7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razrješenja, prava, obaveze i odgovornost sudskih vještaka</w:t>
            </w:r>
            <w:r w:rsidR="00991255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. Takođe,</w:t>
            </w:r>
            <w:r w:rsidR="00A46AB7" w:rsidRPr="00A46AB7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 namjera predlagača je da se unaprijedi rad sudskih vještaka i jasno propiše njihova odgovornost, te osnuje Komora sudskih vještaka u cilju uspostavljanja profesionalnog, transparentnog i odgovornog sistema sudskog vještačenja koji će doprinijeti efikasnijem funkcionisanju pravosudnog sistema i jačanju vladavine prava.</w:t>
            </w:r>
          </w:p>
          <w:p w:rsidR="00A46AB7" w:rsidRDefault="00A46AB7" w:rsidP="005E6DF6">
            <w:pPr>
              <w:spacing w:line="276" w:lineRule="auto"/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</w:pPr>
          </w:p>
          <w:p w:rsidR="002F1937" w:rsidRPr="00B43EEF" w:rsidRDefault="00B34E82" w:rsidP="005E6DF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Donošenjem ovog zakona</w:t>
            </w:r>
            <w:r w:rsidR="002F193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ispuniće se obaveza predviđena</w:t>
            </w:r>
            <w:r w:rsidR="00B43EE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B43EEF" w:rsidRPr="00B43EE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Akcionim planom za sprovođenje Strategije reforme pravosuđa 2024-2027 za period 2024-2025 godine,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definisana </w:t>
            </w:r>
            <w:r w:rsidR="00B43EEF" w:rsidRPr="00B43EE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u okviru strateškog cilja 1 - Jačanje </w:t>
            </w:r>
            <w:r w:rsidR="00B43EEF" w:rsidRPr="00B43EE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lastRenderedPageBreak/>
              <w:t>nezavisnosti, nepristrasnosti i odgovornosti pravosuđa i operativnog cilja 1.7 - Jačanje sistema disciplinske odgovornosti pravosudnih profesija, kao i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aktivnost predviđena</w:t>
            </w:r>
            <w:r w:rsidR="00B43EEF" w:rsidRPr="00B43EE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Programom rada Vlade za 2025. godinu.</w:t>
            </w:r>
            <w:r w:rsidR="002F193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67538C" w:rsidRPr="002923B3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2923B3" w:rsidRDefault="0067538C" w:rsidP="005E6DF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lastRenderedPageBreak/>
              <w:t>3. Opcije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Obrazložiti preferiranu opciju?</w:t>
            </w:r>
          </w:p>
          <w:p w:rsidR="008F5079" w:rsidRPr="002923B3" w:rsidRDefault="008F5079" w:rsidP="005E6DF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3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67538C" w:rsidRPr="002E5942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D24B54" w:rsidRDefault="00D24B54" w:rsidP="005E6DF6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 xml:space="preserve">Donošenje ovog zakona predstavlja jednu od obaveza </w:t>
            </w:r>
            <w:r w:rsidRPr="00D24B54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>predviđen</w:t>
            </w:r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>u</w:t>
            </w:r>
            <w:r w:rsidRPr="00D24B54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 xml:space="preserve"> Akcionim planom za sprovođenje Strategije reforme pravosuđa 2024-2027 za period 2024-2025 godine, u okviru strateškog cilja 1 - Jačanje nezavisnosti, nepristrasnosti i odgovornosti pravosuđa, a operativnog cilja 1.7 - Jačanje sistema disciplinske odgovornosti pravosudnih profesija</w:t>
            </w:r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>, te obavezu predviđenu Programom rada Vlade za 2025. godinu</w:t>
            </w:r>
            <w:r w:rsidR="00CD1B6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>.</w:t>
            </w:r>
          </w:p>
          <w:p w:rsidR="00CD1B6F" w:rsidRDefault="00CD1B6F" w:rsidP="005E6DF6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sr-Latn-ME" w:eastAsia="en-US"/>
              </w:rPr>
            </w:pPr>
          </w:p>
          <w:p w:rsidR="00CD1B6F" w:rsidRDefault="00CD1B6F" w:rsidP="005E6DF6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 xml:space="preserve">Bez donošenja ovog zakona ne bi se ispunile </w:t>
            </w:r>
            <w:r w:rsidRPr="00CD1B6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>obavez</w:t>
            </w:r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>e</w:t>
            </w:r>
            <w:r w:rsidRPr="00CD1B6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 xml:space="preserve"> predviđen</w:t>
            </w:r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>e</w:t>
            </w:r>
            <w:r w:rsidRPr="00CD1B6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 xml:space="preserve"> Akcionim planom za sprovođenje Strategije reforme pravosuđa 2024-2027 za period 2024-2025 godine, u okviru strateškog cilja 1 - Jačanje nezavisnosti, nepristrasnosti i odgovornosti pravosuđa, a operativnog cilja 1.7 - Jačanje sistema disciplinske odgovornosti pravosudnih profesija, </w:t>
            </w:r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>te</w:t>
            </w:r>
            <w:r w:rsidRPr="00CD1B6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 xml:space="preserve"> Programom rada Vlade za 2025. godinu.</w:t>
            </w:r>
          </w:p>
          <w:p w:rsidR="00CD1B6F" w:rsidRDefault="00CD1B6F" w:rsidP="005E6DF6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  <w:lang w:val="sr-Latn-ME" w:eastAsia="en-US"/>
              </w:rPr>
            </w:pPr>
          </w:p>
          <w:p w:rsidR="00E475AB" w:rsidRPr="00CD1B6F" w:rsidRDefault="00CD1B6F" w:rsidP="005E6DF6">
            <w:pPr>
              <w:spacing w:line="276" w:lineRule="auto"/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 xml:space="preserve">Donošenje predloženog propisa je najdjelotvorniji način za ispunjavanje obaveza definisanih </w:t>
            </w:r>
            <w:r w:rsidRPr="00CD1B6F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>Akcionim planom za sprovođenje Strategije reforme pravosuđa 2024-2027 za period 2024-2025 godine, u okviru strateškog cilja 1 - Jačanje nezavisnosti, nepristrasnosti i odgovornosti pravosuđa, a operativnog cilja 1.7 - Jačanje sistema disciplinske odgovornosti pravosudnih profesija, te Programom rada Vlade za 2025. godinu.</w:t>
            </w:r>
          </w:p>
        </w:tc>
      </w:tr>
      <w:tr w:rsidR="0067538C" w:rsidRPr="002923B3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85380D" w:rsidRDefault="0067538C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4. Analiza uticaja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 koga će i kako će najvjerovatnije uticati rješenja u propisu - nabrojati pozitivne i negativne uticaje, direktne i indirektne.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troškove će primjena propisa izazvati građanima i privredi (naročito malim i srednjim preduzećima).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pozitivne posljedice donošenja propisa opravdavaju troškove koje će on stvoriti.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se propisom podržava stvaranje novih privrednih subjekata na tržištu i tržišna konkurencija.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Uključiti procjenu administrativnih opterećenja i biznis barijera.</w:t>
            </w:r>
          </w:p>
        </w:tc>
      </w:tr>
      <w:tr w:rsidR="0067538C" w:rsidRPr="002923B3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C57881" w:rsidRDefault="00C57881" w:rsidP="005E6DF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Donošenje predloženog propisa omogućiće:</w:t>
            </w:r>
          </w:p>
          <w:p w:rsidR="006D05CD" w:rsidRDefault="006D05CD" w:rsidP="005E6DF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- veći stepen objektivnosti u postupku </w:t>
            </w:r>
            <w:r w:rsidR="004E0BE1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postavljenja i ponovnog postavljenja</w:t>
            </w: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="00E9796B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sudskih vještaka</w:t>
            </w: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;</w:t>
            </w:r>
          </w:p>
          <w:p w:rsidR="004E0BE1" w:rsidRPr="006D05CD" w:rsidRDefault="004E0BE1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- obavezu stručnog usavršavanja sudskih vještaka;</w:t>
            </w:r>
          </w:p>
          <w:p w:rsidR="006D05CD" w:rsidRPr="006D05CD" w:rsidRDefault="006D05CD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6D05CD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- efikasniji</w:t>
            </w: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 i objektivniji</w:t>
            </w:r>
            <w:r w:rsidRPr="006D05CD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 postupak utvrđivanja disciplinske odgovornosti </w:t>
            </w:r>
            <w:r w:rsidR="00E9796B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sudskih vještaka</w:t>
            </w: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;</w:t>
            </w:r>
          </w:p>
          <w:p w:rsidR="00C57881" w:rsidRPr="00C57881" w:rsidRDefault="006D05CD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6D05CD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- </w:t>
            </w: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upostavljanje </w:t>
            </w:r>
            <w:r w:rsidR="00E9796B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Komore sudskih vještaka</w:t>
            </w: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.</w:t>
            </w:r>
          </w:p>
          <w:p w:rsidR="00C57881" w:rsidRDefault="00C57881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  <w:p w:rsidR="00A2595F" w:rsidRPr="00A2595F" w:rsidRDefault="00A2595F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A2595F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Efikasna implementacija</w:t>
            </w: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 ovog propisa doprinijeće unapređenju pravne sigurnosti i ukupnim reformama u oblasti pravosuđa, čime će se ostvariti i direktan uticaj na unapređenje poslovnog ambijenta i j</w:t>
            </w:r>
            <w:r w:rsidRPr="00A2595F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ačanje nezavisnosti, nepristrasnosti i odgovornosti pravosuđa</w:t>
            </w: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.</w:t>
            </w:r>
          </w:p>
          <w:p w:rsidR="00A2595F" w:rsidRDefault="00A2595F" w:rsidP="005E6DF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</w:p>
          <w:p w:rsidR="002E5942" w:rsidRPr="0085380D" w:rsidRDefault="002E5942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Donošenjem zakona neće se stvoriti troškovi građanima i privredi.</w:t>
            </w:r>
          </w:p>
          <w:p w:rsidR="002E5942" w:rsidRPr="0085380D" w:rsidRDefault="002E5942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Donošenjem ovog zakona </w:t>
            </w:r>
            <w:r w:rsidR="00A2595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ne podržava se stvaranje novih privrednih subjekata na tržištu i tržišna konkurencija</w:t>
            </w:r>
            <w:r w:rsidRPr="0085380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  <w:p w:rsidR="00ED7461" w:rsidRPr="0085380D" w:rsidRDefault="002E5942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Donošenjem ovog zakona neće se stvoriti </w:t>
            </w:r>
            <w:r w:rsidR="00A2595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administrativna opterećenja i biznis barijere.</w:t>
            </w:r>
          </w:p>
        </w:tc>
      </w:tr>
      <w:tr w:rsidR="0067538C" w:rsidRPr="002923B3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85380D" w:rsidRDefault="0067538C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5. Procjena fiskalnog uticaja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je potrebno obezbjeđenje finansijskih sredstava iz budžeta Crne Gore za implementaciju propisa i u kom iznosu?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je obezbjeđenje finansijskih sredstava jednokratno, ili tokom određenog vremenskog perioda?  Obrazložiti.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implementacijom propisa proizilaze međunarodne finansijske obaveze? Obrazložiti.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lastRenderedPageBreak/>
              <w:t>Da li su neophodna finansijska sredstva obezbijeđena u budžetu za tekuću fiskalnu godinu, odnosno da li su planirana u budžetu za narednu fiskanu godinu?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je usvajanjem propisa predviđeno donošenje podzakonskih akata iz kojih će proisteći finansijske obaveze?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će se implementacijom propisa ostvariti prihod za budžet Crne Gore?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Dbrazložiti metodologiju koja je korišćenja prilikom obračuna finansijskih izdataka/prihoda.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postojali problemi u preciznom obračunu finansijskih izdataka/prihoda? Obrazložiti.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postojale sugestije Ministarstva finansija na nacrt/predlog propisa?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dobijene primjedbe uključene u tekst propisa? Obrazložiti.</w:t>
            </w:r>
          </w:p>
        </w:tc>
      </w:tr>
      <w:tr w:rsidR="0067538C" w:rsidRPr="002923B3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C5341D" w:rsidRDefault="00C5341D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lastRenderedPageBreak/>
              <w:t xml:space="preserve">Za implementaciju ovog propisa </w:t>
            </w:r>
            <w:r w:rsidR="00A809C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ni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je potrebno obezbijediti dodatna sredstva iz budžeta Crne Gore</w:t>
            </w:r>
            <w:r w:rsidR="00E9796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  <w:p w:rsidR="00C5341D" w:rsidRDefault="00C5341D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C5341D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Implementacijom ovog propisa na proizilaze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međunarodne finansijske obaveze.</w:t>
            </w:r>
          </w:p>
          <w:p w:rsidR="00C5341D" w:rsidRDefault="00C5341D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Nije predviđeno donošenje podzakonskih akata iz kojih će proisteći finansijske obaveze.</w:t>
            </w:r>
          </w:p>
          <w:p w:rsidR="0067538C" w:rsidRPr="00C5341D" w:rsidRDefault="00C5341D" w:rsidP="00C5341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C5341D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 xml:space="preserve">Implementacijom ovog zakona </w:t>
            </w:r>
            <w:r w:rsidR="00A809C8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ne</w:t>
            </w:r>
            <w:r w:rsidRPr="00C5341D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 xml:space="preserve">će se ostvariti prihod za budžet Crne Gore. </w:t>
            </w:r>
          </w:p>
        </w:tc>
      </w:tr>
      <w:tr w:rsidR="0067538C" w:rsidRPr="002923B3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85380D" w:rsidRDefault="0067538C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6. </w:t>
            </w:r>
            <w:r w:rsidRPr="0085380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K</w:t>
            </w: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onsultacije zainteresovanih strana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Naznačiti da li je korišćena eksterna ekspertska podrška i ako da, kako.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Naznačiti koje su grupe zainteresovanih strana konsultovane, u kojoj fazi RIA procesa i kako (javne ili ciljane konsultacije).</w:t>
            </w:r>
          </w:p>
          <w:p w:rsidR="0067538C" w:rsidRPr="0085380D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85380D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E8051D" w:rsidRPr="00E8051D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CC010A" w:rsidRPr="00CC010A" w:rsidRDefault="00843D88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Predlog</w:t>
            </w:r>
            <w:r w:rsidR="00CC010A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 xml:space="preserve"> zakona izrađen je od strane radne grupe koju su činili predstavnici Ministarstva pravde, </w:t>
            </w:r>
            <w:r w:rsidR="00CC010A" w:rsidRPr="00CC010A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sudstva, državnog tužilaštva</w:t>
            </w:r>
            <w:r w:rsidR="00E9796B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RS"/>
              </w:rPr>
              <w:t>, Udruženja sudskih vještaka Crne Gore, Nezavisnog udruženja sudskih vještaka Crne Gore, Zaštitnika imovinsko-pravnih interesa, Advokatske komore i nevladine organizacije.</w:t>
            </w:r>
          </w:p>
          <w:p w:rsidR="00631480" w:rsidRPr="00E9796B" w:rsidRDefault="006D05CD" w:rsidP="00E8051D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RS"/>
              </w:rPr>
            </w:pPr>
            <w:r w:rsidRPr="00CC01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U postupku izrade Zakona o </w:t>
            </w:r>
            <w:r w:rsidR="004E0BE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sudskim vještacima</w:t>
            </w:r>
            <w:r w:rsidRPr="00CC01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pružena je e</w:t>
            </w:r>
            <w:r w:rsidR="0066673C" w:rsidRPr="00CC01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kspertska podrška od strane </w:t>
            </w:r>
            <w:r w:rsidR="00E9796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Savjeta Evrope</w:t>
            </w:r>
            <w:r w:rsidRPr="00CC01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, i to kroz podršku</w:t>
            </w:r>
            <w:r w:rsidR="0066673C" w:rsidRPr="00CC01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eksperta</w:t>
            </w:r>
            <w:r w:rsidRPr="00CC01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radu radne grupe</w:t>
            </w:r>
            <w:r w:rsidR="005B605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u okviru projekta Horizontal Facility - </w:t>
            </w:r>
            <w:r w:rsidR="005B6051" w:rsidRPr="005B605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„Jačanje odgovornosti pravosuđa i unapređenje prava žrtava u Crnoj Gori“ – Komponenta I</w:t>
            </w:r>
            <w:r w:rsidR="005B605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.</w:t>
            </w:r>
          </w:p>
        </w:tc>
      </w:tr>
      <w:tr w:rsidR="0067538C" w:rsidRPr="002923B3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2923B3" w:rsidRDefault="0067538C" w:rsidP="005E6DF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7. Monitoring i evaluacija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Koje su potencijalne prepreke za implementaciju propisa? 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će mjere biti preduzete tokom primjene propisa da bi se ispunili ciljevi?</w:t>
            </w:r>
          </w:p>
          <w:p w:rsidR="0067538C" w:rsidRPr="002923B3" w:rsidRDefault="0067538C" w:rsidP="005E6D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su glavni indikatori prema kojima će se mjeriti ispunjenje ciljeva?</w:t>
            </w:r>
          </w:p>
          <w:p w:rsidR="0067538C" w:rsidRPr="00E9796B" w:rsidRDefault="0067538C" w:rsidP="00E9796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923B3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 će biti zadužen za sprovođenje monitoringa i evaluacije primjene propisa?</w:t>
            </w:r>
          </w:p>
        </w:tc>
      </w:tr>
      <w:tr w:rsidR="0067538C" w:rsidRPr="002923B3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DF537D" w:rsidRDefault="00991F0B" w:rsidP="005E6DF6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Nema potencijalnih prepreka za sprovođenje ovog zakona.</w:t>
            </w:r>
          </w:p>
          <w:p w:rsidR="00D614F1" w:rsidRDefault="00D614F1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  <w:p w:rsidR="00D614F1" w:rsidRPr="00D614F1" w:rsidRDefault="00D614F1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D614F1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Mjere koje će biti preduzete tokom primjene propisa da bi se ispunili ciljevi su</w:t>
            </w:r>
            <w:r w:rsidR="005B6051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 xml:space="preserve"> unapređenje postupka postavljenja i ponovnog postavljenja sudskih vještaka,</w:t>
            </w:r>
            <w:r w:rsidR="005B6051">
              <w:t xml:space="preserve"> </w:t>
            </w:r>
            <w:r w:rsidR="005B6051" w:rsidRPr="005B6051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obavezno stručno usavršavanje sudskih vještaka, dužnost vođenja evidencije sprovedenih vještačenja</w:t>
            </w:r>
            <w:r w:rsidR="005B6051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,</w:t>
            </w:r>
            <w:r w:rsidR="00CC010A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 xml:space="preserve"> imenovanje disciplinskog tužioca,</w:t>
            </w:r>
            <w:r w:rsidR="00E9796B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 xml:space="preserve"> prvostepene i drugostepene disciplinske komisije, osnivanje Komore sudskih vještaka</w:t>
            </w:r>
            <w:r w:rsidR="00ED4DBE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E9796B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i dr.</w:t>
            </w:r>
          </w:p>
          <w:p w:rsidR="00991F0B" w:rsidRDefault="00991F0B" w:rsidP="005E6DF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CC010A" w:rsidRDefault="007E2559" w:rsidP="005E6DF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Glavni indikatori kojima će se mjeriti ispunjenje ciljeva su</w:t>
            </w:r>
            <w:r w:rsidR="00ED4DBE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 xml:space="preserve"> broj postavljenih sudskih vještaka</w:t>
            </w:r>
            <w:r w:rsidR="00D614F1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,</w:t>
            </w:r>
            <w:r w:rsidR="00D614F1" w:rsidRPr="00D614F1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CC010A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 xml:space="preserve">broj pokrenutih disciplinskih postupaka protiv </w:t>
            </w:r>
            <w:r w:rsidR="00E9796B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sudskih vještaka</w:t>
            </w:r>
            <w:r w:rsidR="00CC010A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, broj izrečenih disciplinskih sankcija</w:t>
            </w:r>
            <w:r w:rsidR="00ED4DBE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 xml:space="preserve">, </w:t>
            </w:r>
            <w:r w:rsidR="00ED4DBE" w:rsidRPr="00ED4DBE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izvještaj o radu Komore sudskih vještaka</w:t>
            </w:r>
            <w:r w:rsidR="00E9796B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 xml:space="preserve"> i dr.</w:t>
            </w:r>
          </w:p>
          <w:p w:rsidR="00E9796B" w:rsidRPr="00CC010A" w:rsidRDefault="00E9796B" w:rsidP="005E6DF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  <w:p w:rsidR="005E6225" w:rsidRPr="00DA4E02" w:rsidRDefault="0067538C" w:rsidP="005E6DF6">
            <w:pPr>
              <w:spacing w:line="276" w:lineRule="auto"/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C8643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Za monitoring propisa </w:t>
            </w:r>
            <w:r w:rsidR="00CC01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je nadležno</w:t>
            </w:r>
            <w:r w:rsidRPr="00C8643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Ministarstvo pravde.</w:t>
            </w:r>
            <w:r w:rsidRPr="00B65B6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67538C" w:rsidRPr="002923B3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2923B3" w:rsidRDefault="0067538C" w:rsidP="005E6DF6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</w:tc>
      </w:tr>
    </w:tbl>
    <w:p w:rsidR="00CC010A" w:rsidRDefault="00CC010A" w:rsidP="005E6DF6">
      <w:pPr>
        <w:tabs>
          <w:tab w:val="left" w:pos="600"/>
          <w:tab w:val="right" w:pos="9360"/>
        </w:tabs>
        <w:spacing w:line="276" w:lineRule="auto"/>
        <w:jc w:val="left"/>
        <w:rPr>
          <w:rFonts w:ascii="Arial" w:hAnsi="Arial" w:cs="Arial"/>
          <w:b/>
          <w:color w:val="000000" w:themeColor="text1"/>
          <w:lang w:val="sr-Latn-ME"/>
        </w:rPr>
      </w:pPr>
    </w:p>
    <w:p w:rsidR="004F2A7E" w:rsidRDefault="0063792F" w:rsidP="00CC010A">
      <w:pPr>
        <w:tabs>
          <w:tab w:val="left" w:pos="600"/>
          <w:tab w:val="right" w:pos="9360"/>
        </w:tabs>
        <w:spacing w:line="276" w:lineRule="auto"/>
        <w:jc w:val="left"/>
        <w:rPr>
          <w:rFonts w:ascii="Arial" w:hAnsi="Arial" w:cs="Arial"/>
          <w:b/>
          <w:color w:val="000000" w:themeColor="text1"/>
          <w:lang w:val="sr-Latn-ME"/>
        </w:rPr>
      </w:pPr>
      <w:r w:rsidRPr="002923B3">
        <w:rPr>
          <w:rFonts w:ascii="Arial" w:hAnsi="Arial" w:cs="Arial"/>
          <w:color w:val="000000" w:themeColor="text1"/>
          <w:lang w:val="sr-Latn-ME"/>
        </w:rPr>
        <w:t xml:space="preserve">Podgorica, </w:t>
      </w:r>
      <w:r w:rsidR="00E9796B">
        <w:rPr>
          <w:rFonts w:ascii="Arial" w:hAnsi="Arial" w:cs="Arial"/>
          <w:color w:val="000000" w:themeColor="text1"/>
          <w:lang w:val="sr-Latn-ME"/>
        </w:rPr>
        <w:t>12</w:t>
      </w:r>
      <w:r w:rsidRPr="002923B3">
        <w:rPr>
          <w:rFonts w:ascii="Arial" w:hAnsi="Arial" w:cs="Arial"/>
          <w:color w:val="000000" w:themeColor="text1"/>
          <w:lang w:val="sr-Latn-ME"/>
        </w:rPr>
        <w:t>.</w:t>
      </w:r>
      <w:r w:rsidR="00E9796B">
        <w:rPr>
          <w:rFonts w:ascii="Arial" w:hAnsi="Arial" w:cs="Arial"/>
          <w:color w:val="000000" w:themeColor="text1"/>
          <w:lang w:val="sr-Latn-ME"/>
        </w:rPr>
        <w:t>11</w:t>
      </w:r>
      <w:r w:rsidRPr="002923B3">
        <w:rPr>
          <w:rFonts w:ascii="Arial" w:hAnsi="Arial" w:cs="Arial"/>
          <w:color w:val="000000" w:themeColor="text1"/>
          <w:lang w:val="sr-Latn-ME"/>
        </w:rPr>
        <w:t>.</w:t>
      </w:r>
      <w:r w:rsidR="00682198">
        <w:rPr>
          <w:rFonts w:ascii="Arial" w:hAnsi="Arial" w:cs="Arial"/>
          <w:color w:val="000000" w:themeColor="text1"/>
          <w:lang w:val="sr-Latn-ME"/>
        </w:rPr>
        <w:t>202</w:t>
      </w:r>
      <w:r w:rsidR="00EA3C65">
        <w:rPr>
          <w:rFonts w:ascii="Arial" w:hAnsi="Arial" w:cs="Arial"/>
          <w:color w:val="000000" w:themeColor="text1"/>
          <w:lang w:val="sr-Latn-ME"/>
        </w:rPr>
        <w:t>5</w:t>
      </w:r>
      <w:r w:rsidRPr="002923B3">
        <w:rPr>
          <w:rFonts w:ascii="Arial" w:hAnsi="Arial" w:cs="Arial"/>
          <w:color w:val="000000" w:themeColor="text1"/>
          <w:lang w:val="sr-Latn-ME"/>
        </w:rPr>
        <w:t>. godine</w:t>
      </w:r>
      <w:r w:rsidRPr="002923B3">
        <w:rPr>
          <w:rFonts w:ascii="Arial" w:hAnsi="Arial" w:cs="Arial"/>
          <w:b/>
          <w:color w:val="000000" w:themeColor="text1"/>
          <w:lang w:val="sr-Latn-ME"/>
        </w:rPr>
        <w:tab/>
      </w:r>
    </w:p>
    <w:p w:rsidR="0067538C" w:rsidRPr="002923B3" w:rsidRDefault="00CC010A" w:rsidP="00CC010A">
      <w:pPr>
        <w:tabs>
          <w:tab w:val="left" w:pos="600"/>
          <w:tab w:val="right" w:pos="9360"/>
        </w:tabs>
        <w:spacing w:line="276" w:lineRule="auto"/>
        <w:jc w:val="center"/>
        <w:rPr>
          <w:rFonts w:ascii="Arial" w:hAnsi="Arial" w:cs="Arial"/>
          <w:b/>
          <w:color w:val="000000" w:themeColor="text1"/>
          <w:lang w:val="sr-Latn-ME"/>
        </w:rPr>
      </w:pPr>
      <w:r>
        <w:rPr>
          <w:rFonts w:ascii="Arial" w:hAnsi="Arial" w:cs="Arial"/>
          <w:b/>
          <w:color w:val="000000" w:themeColor="text1"/>
          <w:lang w:val="sr-Latn-ME"/>
        </w:rPr>
        <w:t xml:space="preserve">                                                                                                              </w:t>
      </w:r>
      <w:r w:rsidR="0067538C" w:rsidRPr="002923B3">
        <w:rPr>
          <w:rFonts w:ascii="Arial" w:hAnsi="Arial" w:cs="Arial"/>
          <w:b/>
          <w:color w:val="000000" w:themeColor="text1"/>
          <w:lang w:val="sr-Latn-ME"/>
        </w:rPr>
        <w:t>MINISTAR</w:t>
      </w:r>
      <w:r w:rsidR="00E45668">
        <w:rPr>
          <w:rFonts w:ascii="Arial" w:hAnsi="Arial" w:cs="Arial"/>
          <w:b/>
          <w:color w:val="000000" w:themeColor="text1"/>
          <w:lang w:val="sr-Latn-ME"/>
        </w:rPr>
        <w:t>,</w:t>
      </w:r>
    </w:p>
    <w:p w:rsidR="007E5927" w:rsidRPr="00926D8B" w:rsidRDefault="00CC010A" w:rsidP="00926D8B">
      <w:pPr>
        <w:spacing w:line="276" w:lineRule="auto"/>
        <w:jc w:val="right"/>
        <w:rPr>
          <w:rFonts w:ascii="Arial" w:hAnsi="Arial" w:cs="Arial"/>
          <w:b/>
          <w:color w:val="000000" w:themeColor="text1"/>
          <w:lang w:val="sr-Latn-ME"/>
        </w:rPr>
      </w:pPr>
      <w:r>
        <w:rPr>
          <w:rFonts w:ascii="Arial" w:hAnsi="Arial" w:cs="Arial"/>
          <w:b/>
          <w:color w:val="000000" w:themeColor="text1"/>
          <w:lang w:val="sr-Latn-ME"/>
        </w:rPr>
        <w:t xml:space="preserve">                                                      m</w:t>
      </w:r>
      <w:r w:rsidR="00EA3C65">
        <w:rPr>
          <w:rFonts w:ascii="Arial" w:hAnsi="Arial" w:cs="Arial"/>
          <w:b/>
          <w:color w:val="000000" w:themeColor="text1"/>
          <w:lang w:val="sr-Latn-ME"/>
        </w:rPr>
        <w:t>r Bojan Božović</w:t>
      </w:r>
      <w:r w:rsidR="0063792F" w:rsidRPr="002923B3">
        <w:rPr>
          <w:rFonts w:ascii="Arial" w:hAnsi="Arial" w:cs="Arial"/>
          <w:color w:val="000000" w:themeColor="text1"/>
          <w:lang w:val="sr-Latn-ME"/>
        </w:rPr>
        <w:tab/>
        <w:t xml:space="preserve">  </w:t>
      </w:r>
    </w:p>
    <w:sectPr w:rsidR="007E5927" w:rsidRPr="00926D8B" w:rsidSect="00DA290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8C"/>
    <w:rsid w:val="000305A5"/>
    <w:rsid w:val="00033189"/>
    <w:rsid w:val="000402ED"/>
    <w:rsid w:val="000B44C8"/>
    <w:rsid w:val="000C3E2F"/>
    <w:rsid w:val="000E35BE"/>
    <w:rsid w:val="000F64C9"/>
    <w:rsid w:val="000F765D"/>
    <w:rsid w:val="00105BA2"/>
    <w:rsid w:val="00156DCA"/>
    <w:rsid w:val="0016005B"/>
    <w:rsid w:val="001917D4"/>
    <w:rsid w:val="001940C4"/>
    <w:rsid w:val="001B618D"/>
    <w:rsid w:val="001B6246"/>
    <w:rsid w:val="001C7FB6"/>
    <w:rsid w:val="001E641B"/>
    <w:rsid w:val="00222153"/>
    <w:rsid w:val="0026468C"/>
    <w:rsid w:val="002654EA"/>
    <w:rsid w:val="00270679"/>
    <w:rsid w:val="002923B3"/>
    <w:rsid w:val="002E3547"/>
    <w:rsid w:val="002E5942"/>
    <w:rsid w:val="002F1937"/>
    <w:rsid w:val="00333FBD"/>
    <w:rsid w:val="003340F3"/>
    <w:rsid w:val="0034641B"/>
    <w:rsid w:val="00356847"/>
    <w:rsid w:val="00367719"/>
    <w:rsid w:val="0037116B"/>
    <w:rsid w:val="00385CC9"/>
    <w:rsid w:val="00385EAD"/>
    <w:rsid w:val="00393434"/>
    <w:rsid w:val="003A3218"/>
    <w:rsid w:val="003A7AC5"/>
    <w:rsid w:val="003D1A42"/>
    <w:rsid w:val="003E4B73"/>
    <w:rsid w:val="00400D87"/>
    <w:rsid w:val="0040130C"/>
    <w:rsid w:val="004028E0"/>
    <w:rsid w:val="00436AE0"/>
    <w:rsid w:val="00440C26"/>
    <w:rsid w:val="00442D1A"/>
    <w:rsid w:val="0048050F"/>
    <w:rsid w:val="00481187"/>
    <w:rsid w:val="004A3E9D"/>
    <w:rsid w:val="004C1AFB"/>
    <w:rsid w:val="004D1C00"/>
    <w:rsid w:val="004E0BE1"/>
    <w:rsid w:val="004F2A7E"/>
    <w:rsid w:val="004F5F2E"/>
    <w:rsid w:val="00511434"/>
    <w:rsid w:val="00512827"/>
    <w:rsid w:val="005144DE"/>
    <w:rsid w:val="00517BB3"/>
    <w:rsid w:val="00522573"/>
    <w:rsid w:val="00554935"/>
    <w:rsid w:val="00565E54"/>
    <w:rsid w:val="005B6051"/>
    <w:rsid w:val="005D23A5"/>
    <w:rsid w:val="005E6225"/>
    <w:rsid w:val="005E6DF6"/>
    <w:rsid w:val="005F2900"/>
    <w:rsid w:val="005F55B0"/>
    <w:rsid w:val="005F654D"/>
    <w:rsid w:val="00603F7A"/>
    <w:rsid w:val="00631480"/>
    <w:rsid w:val="0063792F"/>
    <w:rsid w:val="00655306"/>
    <w:rsid w:val="006571DD"/>
    <w:rsid w:val="00661867"/>
    <w:rsid w:val="0066673C"/>
    <w:rsid w:val="00670274"/>
    <w:rsid w:val="00671D65"/>
    <w:rsid w:val="0067538C"/>
    <w:rsid w:val="00682198"/>
    <w:rsid w:val="00684592"/>
    <w:rsid w:val="00686AFF"/>
    <w:rsid w:val="006A2CBC"/>
    <w:rsid w:val="006C2B5C"/>
    <w:rsid w:val="006D05CD"/>
    <w:rsid w:val="006E03B1"/>
    <w:rsid w:val="006E2343"/>
    <w:rsid w:val="006E5305"/>
    <w:rsid w:val="007207B1"/>
    <w:rsid w:val="007265BC"/>
    <w:rsid w:val="00746A6C"/>
    <w:rsid w:val="0076249F"/>
    <w:rsid w:val="007768B5"/>
    <w:rsid w:val="007C094D"/>
    <w:rsid w:val="007C6A64"/>
    <w:rsid w:val="007E2559"/>
    <w:rsid w:val="007E5927"/>
    <w:rsid w:val="008026FD"/>
    <w:rsid w:val="00816ABA"/>
    <w:rsid w:val="00832996"/>
    <w:rsid w:val="00843D88"/>
    <w:rsid w:val="00852A3F"/>
    <w:rsid w:val="0085380D"/>
    <w:rsid w:val="008572CB"/>
    <w:rsid w:val="00874E85"/>
    <w:rsid w:val="0089288C"/>
    <w:rsid w:val="008B44EA"/>
    <w:rsid w:val="008D4E07"/>
    <w:rsid w:val="008F5079"/>
    <w:rsid w:val="00902CD3"/>
    <w:rsid w:val="00915CDE"/>
    <w:rsid w:val="00926D8B"/>
    <w:rsid w:val="00991255"/>
    <w:rsid w:val="00991F0B"/>
    <w:rsid w:val="009B4193"/>
    <w:rsid w:val="00A06EBC"/>
    <w:rsid w:val="00A20037"/>
    <w:rsid w:val="00A22A0D"/>
    <w:rsid w:val="00A2595F"/>
    <w:rsid w:val="00A27B23"/>
    <w:rsid w:val="00A4125E"/>
    <w:rsid w:val="00A46AB7"/>
    <w:rsid w:val="00A809C8"/>
    <w:rsid w:val="00AA4BB5"/>
    <w:rsid w:val="00AA7BC0"/>
    <w:rsid w:val="00AB6C9B"/>
    <w:rsid w:val="00AC4198"/>
    <w:rsid w:val="00AE4C46"/>
    <w:rsid w:val="00AE79A5"/>
    <w:rsid w:val="00B34E82"/>
    <w:rsid w:val="00B43EEF"/>
    <w:rsid w:val="00B518CA"/>
    <w:rsid w:val="00B65B66"/>
    <w:rsid w:val="00B676CB"/>
    <w:rsid w:val="00BA0ABC"/>
    <w:rsid w:val="00BA19BF"/>
    <w:rsid w:val="00C35161"/>
    <w:rsid w:val="00C362AB"/>
    <w:rsid w:val="00C4153E"/>
    <w:rsid w:val="00C50A0D"/>
    <w:rsid w:val="00C5341D"/>
    <w:rsid w:val="00C56C6B"/>
    <w:rsid w:val="00C57881"/>
    <w:rsid w:val="00C76CA6"/>
    <w:rsid w:val="00C82ADB"/>
    <w:rsid w:val="00C82B7F"/>
    <w:rsid w:val="00C8643A"/>
    <w:rsid w:val="00C90281"/>
    <w:rsid w:val="00CA26F1"/>
    <w:rsid w:val="00CA39FD"/>
    <w:rsid w:val="00CC010A"/>
    <w:rsid w:val="00CC20DA"/>
    <w:rsid w:val="00CD1B6F"/>
    <w:rsid w:val="00CE5848"/>
    <w:rsid w:val="00CF7B40"/>
    <w:rsid w:val="00D24B54"/>
    <w:rsid w:val="00D24FEF"/>
    <w:rsid w:val="00D40092"/>
    <w:rsid w:val="00D614F1"/>
    <w:rsid w:val="00D76698"/>
    <w:rsid w:val="00D847EE"/>
    <w:rsid w:val="00D96F2B"/>
    <w:rsid w:val="00DA4E02"/>
    <w:rsid w:val="00DC2807"/>
    <w:rsid w:val="00DF537D"/>
    <w:rsid w:val="00E23AF5"/>
    <w:rsid w:val="00E312CD"/>
    <w:rsid w:val="00E31B97"/>
    <w:rsid w:val="00E45668"/>
    <w:rsid w:val="00E475AB"/>
    <w:rsid w:val="00E63CD4"/>
    <w:rsid w:val="00E63F38"/>
    <w:rsid w:val="00E64E88"/>
    <w:rsid w:val="00E6758C"/>
    <w:rsid w:val="00E74DAA"/>
    <w:rsid w:val="00E8051D"/>
    <w:rsid w:val="00E80638"/>
    <w:rsid w:val="00E9796B"/>
    <w:rsid w:val="00EA3C65"/>
    <w:rsid w:val="00EC3747"/>
    <w:rsid w:val="00ED4DBE"/>
    <w:rsid w:val="00ED7461"/>
    <w:rsid w:val="00ED7B0D"/>
    <w:rsid w:val="00EF71F1"/>
    <w:rsid w:val="00F21850"/>
    <w:rsid w:val="00F23014"/>
    <w:rsid w:val="00F431FE"/>
    <w:rsid w:val="00F52B6A"/>
    <w:rsid w:val="00F550EB"/>
    <w:rsid w:val="00F6514B"/>
    <w:rsid w:val="00F762BD"/>
    <w:rsid w:val="00F76F70"/>
    <w:rsid w:val="00F7700A"/>
    <w:rsid w:val="00F869D2"/>
    <w:rsid w:val="00FB7F9B"/>
    <w:rsid w:val="00FC79AB"/>
    <w:rsid w:val="00FF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0B1B2-92D6-4BC7-A1E2-08F35195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67538C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38C"/>
    <w:pPr>
      <w:ind w:left="720"/>
    </w:pPr>
  </w:style>
  <w:style w:type="table" w:styleId="LightGrid-Accent5">
    <w:name w:val="Light Grid Accent 5"/>
    <w:basedOn w:val="TableNormal"/>
    <w:uiPriority w:val="62"/>
    <w:rsid w:val="0067538C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E7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A5"/>
    <w:rPr>
      <w:rFonts w:ascii="Segoe UI" w:eastAsia="Times New Roman" w:hAnsi="Segoe UI" w:cs="Segoe UI"/>
      <w:bCs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85380D"/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6314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4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16B9E-226F-42B3-A583-46921250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Senid Strikovic</dc:creator>
  <cp:keywords/>
  <dc:description/>
  <cp:lastModifiedBy>Dzana Kajevic</cp:lastModifiedBy>
  <cp:revision>2</cp:revision>
  <cp:lastPrinted>2025-10-28T06:45:00Z</cp:lastPrinted>
  <dcterms:created xsi:type="dcterms:W3CDTF">2025-11-12T13:13:00Z</dcterms:created>
  <dcterms:modified xsi:type="dcterms:W3CDTF">2025-11-12T13:13:00Z</dcterms:modified>
</cp:coreProperties>
</file>