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FF4" w:rsidRDefault="009A4FF4" w:rsidP="009A4FF4">
      <w:pPr>
        <w:pStyle w:val="NormalWeb"/>
        <w:jc w:val="both"/>
        <w:rPr>
          <w:rFonts w:ascii="Arial" w:hAnsi="Arial" w:cs="Arial"/>
          <w:b/>
          <w:color w:val="000000"/>
          <w:lang w:val="hr-BA" w:eastAsia="hr-BA"/>
        </w:rPr>
      </w:pPr>
      <w:r>
        <w:rPr>
          <w:noProof/>
          <w:lang w:val="en-GB"/>
        </w:rPr>
        <w:drawing>
          <wp:anchor distT="0" distB="0" distL="114300" distR="114300" simplePos="0" relativeHeight="251659264" behindDoc="0" locked="0" layoutInCell="1" allowOverlap="1">
            <wp:simplePos x="0" y="0"/>
            <wp:positionH relativeFrom="column">
              <wp:posOffset>2481580</wp:posOffset>
            </wp:positionH>
            <wp:positionV relativeFrom="paragraph">
              <wp:posOffset>260350</wp:posOffset>
            </wp:positionV>
            <wp:extent cx="884555" cy="10077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555" cy="1007745"/>
                    </a:xfrm>
                    <a:prstGeom prst="rect">
                      <a:avLst/>
                    </a:prstGeom>
                    <a:noFill/>
                  </pic:spPr>
                </pic:pic>
              </a:graphicData>
            </a:graphic>
            <wp14:sizeRelH relativeFrom="page">
              <wp14:pctWidth>0</wp14:pctWidth>
            </wp14:sizeRelH>
            <wp14:sizeRelV relativeFrom="page">
              <wp14:pctHeight>0</wp14:pctHeight>
            </wp14:sizeRelV>
          </wp:anchor>
        </w:drawing>
      </w:r>
    </w:p>
    <w:p w:rsidR="009A4FF4" w:rsidRDefault="009A4FF4" w:rsidP="009A4FF4">
      <w:pPr>
        <w:pStyle w:val="NormalWeb"/>
        <w:jc w:val="both"/>
        <w:rPr>
          <w:rFonts w:ascii="Arial" w:hAnsi="Arial" w:cs="Arial"/>
          <w:b/>
          <w:color w:val="000000"/>
          <w:lang w:val="hr-BA" w:eastAsia="hr-BA"/>
        </w:rPr>
      </w:pPr>
      <w:r>
        <w:rPr>
          <w:rFonts w:ascii="Arial" w:hAnsi="Arial" w:cs="Arial"/>
          <w:b/>
          <w:color w:val="000000"/>
          <w:lang w:val="hr-BA" w:eastAsia="hr-BA"/>
        </w:rPr>
        <w:t xml:space="preserve"> </w:t>
      </w: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spacing w:after="0" w:line="240" w:lineRule="auto"/>
        <w:jc w:val="center"/>
        <w:rPr>
          <w:rFonts w:ascii="Arial" w:hAnsi="Arial" w:cs="Arial"/>
          <w:b/>
          <w:sz w:val="24"/>
          <w:szCs w:val="24"/>
        </w:rPr>
      </w:pPr>
      <w:r>
        <w:rPr>
          <w:rFonts w:ascii="Arial" w:hAnsi="Arial" w:cs="Arial"/>
          <w:b/>
          <w:sz w:val="24"/>
          <w:szCs w:val="24"/>
        </w:rPr>
        <w:t>CRNA GORA</w:t>
      </w:r>
    </w:p>
    <w:p w:rsidR="009A4FF4" w:rsidRDefault="009A4FF4" w:rsidP="009A4FF4">
      <w:pPr>
        <w:spacing w:after="0" w:line="240" w:lineRule="auto"/>
        <w:jc w:val="center"/>
        <w:rPr>
          <w:rFonts w:ascii="Arial" w:hAnsi="Arial" w:cs="Arial"/>
          <w:b/>
          <w:sz w:val="24"/>
          <w:szCs w:val="24"/>
        </w:rPr>
      </w:pPr>
      <w:r>
        <w:rPr>
          <w:rFonts w:ascii="Arial" w:hAnsi="Arial" w:cs="Arial"/>
          <w:b/>
          <w:sz w:val="24"/>
          <w:szCs w:val="24"/>
        </w:rPr>
        <w:t>MINISTARSTVO PRAVDE</w:t>
      </w:r>
    </w:p>
    <w:p w:rsidR="009A4FF4" w:rsidRDefault="009A4FF4" w:rsidP="009A4FF4">
      <w:pPr>
        <w:spacing w:after="0" w:line="240" w:lineRule="auto"/>
        <w:jc w:val="center"/>
        <w:rPr>
          <w:rFonts w:ascii="Arial" w:hAnsi="Arial" w:cs="Arial"/>
          <w:b/>
          <w:sz w:val="24"/>
          <w:szCs w:val="24"/>
        </w:rPr>
      </w:pPr>
      <w:r>
        <w:rPr>
          <w:rFonts w:ascii="Arial" w:hAnsi="Arial" w:cs="Arial"/>
          <w:b/>
          <w:sz w:val="24"/>
          <w:szCs w:val="24"/>
        </w:rPr>
        <w:t>DIREKTORAT ZA GRAĐANSKO ZAKONODAVSTVO I NADZOR</w:t>
      </w: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pStyle w:val="NormalWeb"/>
        <w:jc w:val="center"/>
        <w:rPr>
          <w:rFonts w:ascii="Arial" w:hAnsi="Arial" w:cs="Arial"/>
          <w:b/>
          <w:color w:val="000000"/>
          <w:lang w:val="hr-BA" w:eastAsia="hr-BA"/>
        </w:rPr>
      </w:pPr>
    </w:p>
    <w:p w:rsidR="009A4FF4" w:rsidRDefault="009A4FF4" w:rsidP="009A4FF4">
      <w:pPr>
        <w:pStyle w:val="NormalWeb"/>
        <w:jc w:val="center"/>
        <w:rPr>
          <w:rFonts w:ascii="Arial" w:hAnsi="Arial" w:cs="Arial"/>
          <w:b/>
          <w:color w:val="000000"/>
          <w:lang w:val="hr-BA" w:eastAsia="hr-BA"/>
        </w:rPr>
      </w:pPr>
    </w:p>
    <w:p w:rsidR="009A4FF4" w:rsidRDefault="009A4FF4" w:rsidP="009A4FF4">
      <w:pPr>
        <w:pStyle w:val="NormalWeb"/>
        <w:jc w:val="center"/>
        <w:rPr>
          <w:rFonts w:ascii="Arial" w:hAnsi="Arial" w:cs="Arial"/>
          <w:b/>
          <w:color w:val="000000"/>
          <w:lang w:val="hr-BA" w:eastAsia="hr-BA"/>
        </w:rPr>
      </w:pPr>
    </w:p>
    <w:p w:rsidR="009A4FF4" w:rsidRDefault="009A4FF4" w:rsidP="009A4FF4">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ANALIZA</w:t>
      </w:r>
    </w:p>
    <w:p w:rsidR="009A4FF4" w:rsidRDefault="009A4FF4" w:rsidP="009A4FF4">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O STEPENU USKLAĐENOSTI CRNOGORSKOG PARNIČNOG I IZVRŠNOG</w:t>
      </w:r>
    </w:p>
    <w:p w:rsidR="009A4FF4" w:rsidRDefault="009A4FF4" w:rsidP="009A4FF4">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ZAKONODAVSTVA SA PRAVNOM TEKOVINOM EVROPSKE UNIJE</w:t>
      </w: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jc w:val="center"/>
        <w:rPr>
          <w:rFonts w:ascii="Arial" w:hAnsi="Arial" w:cs="Arial"/>
          <w:b/>
          <w:sz w:val="24"/>
          <w:szCs w:val="24"/>
        </w:rPr>
      </w:pPr>
    </w:p>
    <w:p w:rsidR="009A4FF4" w:rsidRDefault="009A4FF4" w:rsidP="009A4FF4">
      <w:pPr>
        <w:rPr>
          <w:rFonts w:ascii="Arial" w:hAnsi="Arial" w:cs="Arial"/>
          <w:b/>
          <w:sz w:val="24"/>
          <w:szCs w:val="24"/>
        </w:rPr>
      </w:pPr>
    </w:p>
    <w:p w:rsidR="009A4FF4" w:rsidRDefault="009A4FF4" w:rsidP="009A4FF4">
      <w:pPr>
        <w:jc w:val="center"/>
        <w:rPr>
          <w:rFonts w:ascii="Arial" w:hAnsi="Arial" w:cs="Arial"/>
          <w:b/>
          <w:sz w:val="24"/>
          <w:szCs w:val="24"/>
        </w:rPr>
      </w:pPr>
      <w:r>
        <w:rPr>
          <w:rFonts w:ascii="Arial" w:hAnsi="Arial" w:cs="Arial"/>
          <w:b/>
          <w:sz w:val="24"/>
          <w:szCs w:val="24"/>
        </w:rPr>
        <w:t>Podgorica, novembar 2020. godine</w:t>
      </w:r>
    </w:p>
    <w:p w:rsidR="009A4FF4" w:rsidRDefault="009A4FF4" w:rsidP="009A4FF4">
      <w:pPr>
        <w:spacing w:after="0"/>
        <w:rPr>
          <w:rFonts w:ascii="Arial" w:hAnsi="Arial" w:cs="Arial"/>
          <w:b/>
          <w:sz w:val="24"/>
          <w:szCs w:val="24"/>
        </w:rPr>
        <w:sectPr w:rsidR="009A4FF4">
          <w:pgSz w:w="12240" w:h="15840"/>
          <w:pgMar w:top="1440" w:right="1440" w:bottom="1440" w:left="1440" w:header="720" w:footer="720" w:gutter="0"/>
          <w:cols w:space="720"/>
        </w:sectPr>
      </w:pPr>
    </w:p>
    <w:p w:rsidR="009A4FF4" w:rsidRDefault="009A4FF4" w:rsidP="009A4FF4">
      <w:pPr>
        <w:spacing w:after="0" w:line="240" w:lineRule="auto"/>
        <w:jc w:val="center"/>
        <w:rPr>
          <w:rFonts w:ascii="Arial" w:hAnsi="Arial" w:cs="Arial"/>
          <w:b/>
          <w:sz w:val="24"/>
          <w:szCs w:val="24"/>
        </w:rPr>
      </w:pPr>
      <w:r>
        <w:rPr>
          <w:rFonts w:ascii="Arial" w:hAnsi="Arial" w:cs="Arial"/>
          <w:b/>
          <w:sz w:val="24"/>
          <w:szCs w:val="24"/>
        </w:rPr>
        <w:lastRenderedPageBreak/>
        <w:t xml:space="preserve">ANALIZA </w:t>
      </w:r>
    </w:p>
    <w:p w:rsidR="009A4FF4" w:rsidRDefault="009A4FF4" w:rsidP="009A4FF4">
      <w:pPr>
        <w:spacing w:after="0" w:line="240" w:lineRule="auto"/>
        <w:jc w:val="center"/>
        <w:rPr>
          <w:rFonts w:ascii="Arial" w:hAnsi="Arial" w:cs="Arial"/>
          <w:b/>
          <w:sz w:val="24"/>
          <w:szCs w:val="24"/>
          <w:lang w:val="pt-BR"/>
        </w:rPr>
      </w:pPr>
      <w:r>
        <w:rPr>
          <w:rFonts w:ascii="Arial" w:hAnsi="Arial" w:cs="Arial"/>
          <w:b/>
          <w:sz w:val="24"/>
          <w:szCs w:val="24"/>
        </w:rPr>
        <w:t>O STEPENU USKLAĐENOSTI CRNOGORSKOG PARNIČNOG I IZVRŠNOG ZAKONODAVSTVA SA PRAVNOM TEKOVINOM EVROPSKE UNIJE</w:t>
      </w:r>
    </w:p>
    <w:p w:rsidR="009A4FF4" w:rsidRDefault="009A4FF4" w:rsidP="009A4FF4">
      <w:pPr>
        <w:spacing w:after="0" w:line="240" w:lineRule="auto"/>
        <w:jc w:val="center"/>
        <w:rPr>
          <w:rFonts w:ascii="Arial" w:hAnsi="Arial" w:cs="Arial"/>
          <w:b/>
          <w:sz w:val="24"/>
          <w:szCs w:val="24"/>
          <w:lang w:val="pt-BR"/>
        </w:rPr>
      </w:pPr>
    </w:p>
    <w:p w:rsidR="009A4FF4" w:rsidRDefault="009A4FF4" w:rsidP="009A4FF4">
      <w:pPr>
        <w:spacing w:after="0" w:line="240" w:lineRule="auto"/>
        <w:jc w:val="center"/>
        <w:rPr>
          <w:rFonts w:ascii="Arial" w:hAnsi="Arial" w:cs="Arial"/>
          <w:b/>
          <w:i/>
          <w:sz w:val="24"/>
          <w:szCs w:val="24"/>
          <w:lang w:val="pt-BR"/>
        </w:rPr>
      </w:pPr>
    </w:p>
    <w:p w:rsidR="009A4FF4" w:rsidRDefault="009A4FF4" w:rsidP="009A4FF4">
      <w:pPr>
        <w:pStyle w:val="ListParagraph"/>
        <w:numPr>
          <w:ilvl w:val="0"/>
          <w:numId w:val="2"/>
        </w:numPr>
        <w:spacing w:after="0" w:line="240" w:lineRule="auto"/>
        <w:jc w:val="both"/>
        <w:rPr>
          <w:rFonts w:ascii="Arial" w:hAnsi="Arial" w:cs="Arial"/>
          <w:b/>
          <w:sz w:val="24"/>
          <w:szCs w:val="24"/>
          <w:lang w:val="pt-BR"/>
        </w:rPr>
      </w:pPr>
      <w:r>
        <w:rPr>
          <w:rFonts w:ascii="Arial" w:hAnsi="Arial" w:cs="Arial"/>
          <w:b/>
          <w:sz w:val="24"/>
          <w:szCs w:val="24"/>
          <w:lang w:val="pt-BR"/>
        </w:rPr>
        <w:t xml:space="preserve">UVOD </w:t>
      </w:r>
    </w:p>
    <w:p w:rsidR="009A4FF4" w:rsidRDefault="009A4FF4" w:rsidP="009A4FF4">
      <w:pPr>
        <w:spacing w:after="0" w:line="240" w:lineRule="auto"/>
        <w:jc w:val="both"/>
        <w:rPr>
          <w:rFonts w:ascii="Arial" w:hAnsi="Arial" w:cs="Arial"/>
          <w:b/>
          <w:sz w:val="24"/>
          <w:szCs w:val="24"/>
          <w:lang w:val="pt-BR"/>
        </w:rPr>
      </w:pPr>
      <w:r>
        <w:rPr>
          <w:rFonts w:ascii="Arial" w:hAnsi="Arial" w:cs="Arial"/>
          <w:b/>
          <w:i/>
          <w:sz w:val="24"/>
          <w:szCs w:val="24"/>
          <w:lang w:val="pt-BR"/>
        </w:rPr>
        <w:tab/>
      </w:r>
    </w:p>
    <w:p w:rsidR="009A4FF4" w:rsidRDefault="009A4FF4" w:rsidP="009A4FF4">
      <w:pPr>
        <w:pStyle w:val="Odlomakpopisa"/>
        <w:spacing w:after="0"/>
        <w:ind w:left="0" w:firstLine="720"/>
        <w:jc w:val="both"/>
        <w:rPr>
          <w:rFonts w:ascii="Arial" w:hAnsi="Arial" w:cs="Arial"/>
          <w:sz w:val="24"/>
          <w:szCs w:val="24"/>
        </w:rPr>
      </w:pPr>
      <w:r>
        <w:rPr>
          <w:rFonts w:ascii="Arial" w:hAnsi="Arial" w:cs="Arial"/>
          <w:sz w:val="24"/>
          <w:szCs w:val="24"/>
        </w:rPr>
        <w:t>Usklađivanje zakonodavstva Crne Gore sa pravnom tekovinom Evropske unije (u daljem tekstu: EU) u pogledu pravosudne saradnje u građanskim i privrednim stvarima jedan je od glavnih elemenata sveobuhvatne reforme pravosuđa, u skladu sa Strategijom reforme pravosuđa 2019</w:t>
      </w:r>
      <w:r>
        <w:rPr>
          <w:rFonts w:ascii="Arial" w:hAnsi="Arial" w:cs="Arial"/>
          <w:sz w:val="24"/>
          <w:szCs w:val="24"/>
        </w:rPr>
        <w:sym w:font="Symbol" w:char="F02D"/>
      </w:r>
      <w:r>
        <w:rPr>
          <w:rFonts w:ascii="Arial" w:hAnsi="Arial" w:cs="Arial"/>
          <w:sz w:val="24"/>
          <w:szCs w:val="24"/>
        </w:rPr>
        <w:t xml:space="preserve">2023 i njenim pratećim Akcionim planom. Jedna od mjera utvrđenih Akcionim planom 2019-2020 – mjera 2.3.1. predviđa izradu Analize o stepenu usklađenosti crnogorskog parničnog i izvršnog zakonodavstva sa pravnom tekovinom EU (rok: IV kvartal 2020. godine). S tim u vezi, izrada ove Analize predviđena je i Programom rada Ministarstva pravde za IV kvartal 2020. godine. </w:t>
      </w:r>
    </w:p>
    <w:p w:rsidR="009A4FF4" w:rsidRDefault="009A4FF4" w:rsidP="009A4FF4">
      <w:pPr>
        <w:pStyle w:val="Odlomakpopisa"/>
        <w:spacing w:after="0"/>
        <w:ind w:left="0" w:firstLine="720"/>
        <w:jc w:val="both"/>
        <w:rPr>
          <w:rFonts w:ascii="Arial" w:hAnsi="Arial" w:cs="Arial"/>
          <w:sz w:val="24"/>
          <w:szCs w:val="24"/>
        </w:rPr>
      </w:pP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Prethodna Analiza o stepenu usklađenosti crnogorskog parničnog i izvršnog zakonodavstva sa pravnom tekovinom Evropske unije (u daljem tekstu: "Analiza iz 2014. godine") sačinjena je 2014. godine uz ekspertsku pomoć g-đe Aude Fiorini, koja je posljednji put imenovana u decembru 2013. godine za TAIEX eksperta u Crnoj Gori u sklopu Misije o međunarodnoj pravosudnoj saradnji u građanskim stvarima. Analiza iz 2014. godine bila je osnova za izmjene i dopune Zakona o parničnom postupku i Zakona o izvršenju i obezbjeđenju.</w:t>
      </w:r>
      <w:bookmarkStart w:id="0" w:name="_Hlk47774108"/>
      <w:r>
        <w:rPr>
          <w:rFonts w:ascii="Arial" w:hAnsi="Arial" w:cs="Arial"/>
          <w:sz w:val="24"/>
          <w:szCs w:val="24"/>
        </w:rPr>
        <w:t xml:space="preserve"> </w:t>
      </w:r>
      <w:bookmarkEnd w:id="0"/>
      <w:r>
        <w:rPr>
          <w:rFonts w:ascii="Arial" w:hAnsi="Arial" w:cs="Arial"/>
          <w:sz w:val="24"/>
          <w:szCs w:val="24"/>
        </w:rPr>
        <w:t>Cilj kreiranja takvog zakonodavstva bio je da se stvore zakonske pretpostavke za nesmetanu primjenu relevantnih evropskih regulativa koje uređuju oblast međunarodne pravosudne saradnje u građanskim i privrednim stvarima u sporovima sa međunarodnim elementom, nakon što Crna Gora pristupi EU. Nakon 6 godina, potrebna je revizija Analize iz 2014. godine kako bi se procijenio trenutni nivo usklađenosti s obzirom na novousvojeno crnogorsko zakonodavstvo i potencijalno ukazalo na potrebu za daljim izmjenama i dopunama relevantnih zakona, te ostvarila potpuna usklađenost. Dakle, svrha ove Analize je procjena napretka koji je Crna Gora postigla u usklađivanju svog zakonodavstva sa pravnom tekovinom EU u oblasti pravosudne saradnje u građanskim i privrednim stvarima.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sz w:val="24"/>
          <w:szCs w:val="24"/>
        </w:rPr>
        <w:t>U tom cilju, uzeta je u obzir Analiza iz 2014. godine i izmjene i dopune Zakona o parničnom postupku i Zakona o izvršenju i obezbjeđenju iz 2019. godine.</w:t>
      </w:r>
    </w:p>
    <w:p w:rsidR="009A4FF4" w:rsidRDefault="009A4FF4" w:rsidP="009A4FF4">
      <w:pPr>
        <w:spacing w:after="0" w:line="240" w:lineRule="auto"/>
        <w:ind w:firstLine="720"/>
        <w:jc w:val="both"/>
        <w:rPr>
          <w:rFonts w:ascii="Arial" w:hAnsi="Arial" w:cs="Arial"/>
          <w:sz w:val="24"/>
          <w:szCs w:val="24"/>
        </w:rPr>
      </w:pPr>
      <w:r>
        <w:rPr>
          <w:rFonts w:ascii="Arial" w:hAnsi="Arial" w:cs="Arial"/>
          <w:sz w:val="24"/>
          <w:szCs w:val="24"/>
        </w:rPr>
        <w:t xml:space="preserve">Analiza je sačinjena uz ekspertsku podršku g-đe Maje Rakić iz Ministarstva pravosuđa R. Hrvatske, koja je angažovana od strane TAIEX-a, koji je pružio podršku Ministarstvu pravde u izradi ove Analize. </w:t>
      </w:r>
    </w:p>
    <w:p w:rsidR="009A4FF4" w:rsidRDefault="009A4FF4" w:rsidP="009A4FF4">
      <w:pPr>
        <w:spacing w:after="0" w:line="240" w:lineRule="auto"/>
        <w:jc w:val="both"/>
        <w:rPr>
          <w:rFonts w:ascii="Arial" w:hAnsi="Arial" w:cs="Arial"/>
          <w:sz w:val="24"/>
          <w:szCs w:val="24"/>
          <w:lang w:val="sr-Latn-CS"/>
        </w:rPr>
      </w:pPr>
    </w:p>
    <w:p w:rsidR="009A4FF4" w:rsidRDefault="009A4FF4" w:rsidP="009A4FF4">
      <w:pPr>
        <w:pStyle w:val="Odlomakpopisa"/>
        <w:spacing w:line="360" w:lineRule="auto"/>
        <w:ind w:left="1080"/>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pStyle w:val="Odlomakpopisa"/>
        <w:spacing w:line="360" w:lineRule="auto"/>
        <w:ind w:left="0" w:firstLine="720"/>
        <w:jc w:val="both"/>
        <w:rPr>
          <w:rFonts w:ascii="Arial" w:hAnsi="Arial" w:cs="Arial"/>
          <w:b/>
          <w:sz w:val="24"/>
          <w:szCs w:val="24"/>
        </w:rPr>
      </w:pPr>
      <w:r>
        <w:rPr>
          <w:rFonts w:ascii="Arial" w:hAnsi="Arial" w:cs="Arial"/>
          <w:b/>
          <w:sz w:val="24"/>
          <w:szCs w:val="24"/>
        </w:rPr>
        <w:lastRenderedPageBreak/>
        <w:t>1.1. CILJ</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U okviru pregovora o pristupanju EU, Crna Gora je dobila privremeno mjerilo za izradu ove Analize i jasno definisanje daljih pravnih koraka potrebnih za usklađivanje sa pravnom tekovinom EU u oblasti pravosudne saradnje u građanskim i privrednim stvarima.</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 xml:space="preserve">Novoizmijenjeno parnično i izvršno zakonodavstvo (2019. godine) biće u fokusu ove Analize, u odnosu na zakonodavstvo EU koje uređuje dostavljanje pismena, izvođenje dokaza i posebne evropske postupke.  </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 xml:space="preserve">Posebno će biti razmotreni i uzeti u obzir zaključci iz Analize iz 2014. godine koji se odnose na prednje navedeno zakonodavstvo. Cilj je da se razmotre opcije prenošenja u novoizmijenjenom parničnom i izvršnom zakonodavstvu i da se procijeni nivo usklađenosti sa zaključcima i preporukama iz Analize iz 2014. godine. </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Pored toga, biće detaljno analizirane odredbe u vezi sa prenošenjem predmetnih regulativa kako bi se utvrdio trenutni nivo usklađenosti.</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 xml:space="preserve">Manji dio Analize bavi se drugim instrumentima koji se nalaze na popisu zakonodavstva EU o pravosudnoj saradnji u građanskim i privrednim stvarima. Rezultati prethodne procjene koristiće se kao polazna osnova za procjenu trenutnog stanja, </w:t>
      </w:r>
      <w:bookmarkStart w:id="1" w:name="_Hlk47776351"/>
      <w:r>
        <w:rPr>
          <w:rFonts w:ascii="Arial" w:hAnsi="Arial" w:cs="Arial"/>
          <w:sz w:val="24"/>
          <w:szCs w:val="24"/>
        </w:rPr>
        <w:t>bez dubinske analize</w:t>
      </w:r>
      <w:r>
        <w:rPr>
          <w:rFonts w:ascii="Arial" w:hAnsi="Arial" w:cs="Arial"/>
          <w:bCs/>
          <w:sz w:val="24"/>
          <w:szCs w:val="24"/>
        </w:rPr>
        <w:t xml:space="preserve"> </w:t>
      </w:r>
      <w:bookmarkEnd w:id="1"/>
      <w:r>
        <w:rPr>
          <w:rFonts w:ascii="Arial" w:hAnsi="Arial" w:cs="Arial"/>
          <w:sz w:val="24"/>
          <w:szCs w:val="24"/>
        </w:rPr>
        <w:t>bilo kog novog zakona ili nacrta zakona</w:t>
      </w:r>
      <w:r>
        <w:rPr>
          <w:rFonts w:ascii="Arial" w:hAnsi="Arial" w:cs="Arial"/>
          <w:bCs/>
          <w:sz w:val="24"/>
          <w:szCs w:val="24"/>
        </w:rPr>
        <w:t xml:space="preserve">. U Analizi će biti navedeno u kojim slučajevima bi takva analiza bila preporučljiva u vezi sa određenim zakonskim aktom. </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 xml:space="preserve">Završni dio Analize fokusiran je na pitanja stvaranja adekvatnih preduslova za sprovođenje relevantnog zakonodavstva EU u praksi, s obzirom na usvajanje i primjenu osnovnih načela pravosudne saradnje u EU, kao što su: međusobno povjerenje, priznavanje i izvršenje, neposredna komunikacija između pravosudnih organa i relativno kratki rokovi za izvršenje. U tom kontekstu, u Analizi će </w:t>
      </w:r>
      <w:proofErr w:type="gramStart"/>
      <w:r>
        <w:rPr>
          <w:rFonts w:ascii="Arial" w:hAnsi="Arial" w:cs="Arial"/>
          <w:bCs/>
          <w:sz w:val="24"/>
          <w:szCs w:val="24"/>
        </w:rPr>
        <w:t>biti  razmotreno</w:t>
      </w:r>
      <w:proofErr w:type="gramEnd"/>
      <w:r>
        <w:rPr>
          <w:rFonts w:ascii="Arial" w:hAnsi="Arial" w:cs="Arial"/>
          <w:bCs/>
          <w:sz w:val="24"/>
          <w:szCs w:val="24"/>
        </w:rPr>
        <w:t xml:space="preserve"> i učešće u radu Evropske pravosudne mreže (u daljem tekstu: EPM) u građanskim i privrednim stvarima u pretpristupnom periodu, sa perspektivom daljeg puta, kao i ciljane obuke predstavnika pravosuđa - praktičara.</w:t>
      </w:r>
    </w:p>
    <w:p w:rsidR="009A4FF4" w:rsidRDefault="009A4FF4" w:rsidP="009A4FF4">
      <w:pPr>
        <w:spacing w:line="240" w:lineRule="auto"/>
        <w:ind w:firstLine="720"/>
        <w:jc w:val="both"/>
        <w:rPr>
          <w:rFonts w:ascii="Arial" w:hAnsi="Arial" w:cs="Arial"/>
          <w:bCs/>
          <w:sz w:val="24"/>
          <w:szCs w:val="24"/>
        </w:rPr>
      </w:pPr>
    </w:p>
    <w:p w:rsidR="009A4FF4" w:rsidRDefault="009A4FF4" w:rsidP="009A4FF4">
      <w:pPr>
        <w:spacing w:line="240" w:lineRule="auto"/>
        <w:ind w:firstLine="720"/>
        <w:jc w:val="both"/>
        <w:rPr>
          <w:rFonts w:ascii="Arial" w:hAnsi="Arial" w:cs="Arial"/>
          <w:b/>
          <w:bCs/>
          <w:sz w:val="24"/>
          <w:szCs w:val="24"/>
        </w:rPr>
      </w:pPr>
      <w:r>
        <w:rPr>
          <w:rFonts w:ascii="Arial" w:hAnsi="Arial" w:cs="Arial"/>
          <w:b/>
          <w:bCs/>
          <w:sz w:val="24"/>
          <w:szCs w:val="24"/>
        </w:rPr>
        <w:t>1.2. METODOLOGIJA</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Za potrebe izrade Analize, ekspertkinja je preduzela odgovarajuće preliminarne korake pregledom izvještaja</w:t>
      </w:r>
      <w:r w:rsidR="002215B9">
        <w:rPr>
          <w:rFonts w:ascii="Arial" w:hAnsi="Arial" w:cs="Arial"/>
          <w:bCs/>
          <w:sz w:val="24"/>
          <w:szCs w:val="24"/>
        </w:rPr>
        <w:t xml:space="preserve"> iz prethodnih procjena: Analize</w:t>
      </w:r>
      <w:r>
        <w:rPr>
          <w:rFonts w:ascii="Arial" w:hAnsi="Arial" w:cs="Arial"/>
          <w:bCs/>
          <w:sz w:val="24"/>
          <w:szCs w:val="24"/>
        </w:rPr>
        <w:t xml:space="preserve"> iz 2014. godine i Izvještaj</w:t>
      </w:r>
      <w:r w:rsidR="002215B9">
        <w:rPr>
          <w:rFonts w:ascii="Arial" w:hAnsi="Arial" w:cs="Arial"/>
          <w:bCs/>
          <w:sz w:val="24"/>
          <w:szCs w:val="24"/>
        </w:rPr>
        <w:t>a</w:t>
      </w:r>
      <w:r>
        <w:rPr>
          <w:rFonts w:ascii="Arial" w:hAnsi="Arial" w:cs="Arial"/>
          <w:bCs/>
          <w:sz w:val="24"/>
          <w:szCs w:val="24"/>
        </w:rPr>
        <w:t xml:space="preserve"> o Misiji kolegijalne revizije o međunarodnoj pravosudnoj saradnji, koja je održana u Crnoj Gori u martu 2019. godine. </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Pored toga, organizovan je početni sastanak putem video-konferencije kako bi se definisao glavni cilj i opseg pravne tekovine EU uključene u analizu.</w:t>
      </w:r>
    </w:p>
    <w:p w:rsidR="009A4FF4" w:rsidRDefault="009A4FF4" w:rsidP="009A4FF4">
      <w:pPr>
        <w:pStyle w:val="Odlomakpopisa"/>
        <w:spacing w:line="360" w:lineRule="auto"/>
        <w:jc w:val="both"/>
        <w:rPr>
          <w:rFonts w:ascii="Arial" w:hAnsi="Arial" w:cs="Arial"/>
          <w:sz w:val="24"/>
          <w:szCs w:val="24"/>
        </w:rPr>
      </w:pPr>
      <w:r>
        <w:rPr>
          <w:rFonts w:ascii="Arial" w:hAnsi="Arial" w:cs="Arial"/>
          <w:sz w:val="24"/>
          <w:szCs w:val="24"/>
        </w:rPr>
        <w:t xml:space="preserve">Analiza obuhvata sljedeće zakonodavstvo EU:  </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1. Regulativa (EZ) br. 1393/2007 Evropskog parlamenta i Savjeta od 13. novembra 2007. godine o dostavljanju, u državama članicama, sudskih i vansudskih akata u građanskim ili privrednim stvarima (dostavljanje pismena) i o stavljanju van snage Regulative Savjeta (EZ) br. 1348/2000;</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lastRenderedPageBreak/>
        <w:t>2. Regulativa Savjeta (EZ) br. 1206/2001 od 28. maja 2001. godine o saradnji između sudova država članica u izvođenju dokaza u građanskim ili privrednim stvarima;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3. Regulativa (EZ) br. 861/2007 Evropskog parlamenta i Savjeta od 11. jula 2007. godine o uvođenju evropskog postupka za sporove male vrijednosti;</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4. Regulativa (EZ) br. 1896/2006 Evropskog parlamenta i Savjeta od 12. decembra 2006. godine o uvođenju evropskog platnog naloga;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5. Regulativa (EZ) br. 805/2004 Evropskog parlamenta i Savjeta od 21. aprila 2004. godine o uvođenju evropskog naloga za izvršenje nespornih potraživanja; i</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6. Regulativa (EU) br. 655/2014 Evropskog parlamenta i Savjeta od 15. maja 2014. godine o uspostavljanju postupka za evropski nalog za blokadu računa u cilju pojednostavljenja prekogranične naplate duga u građanskim i privrednim stvarima.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Što se tiče ostalih instrumenata EU iz oblasti pravosudne saradnje u građanskim stvarima, isti će biti predstavljeni u Analizi, ali bez dubinske analize, na osnovu podataka koji su dostavljeni ekspertkinji.</w:t>
      </w: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spacing w:line="360" w:lineRule="auto"/>
        <w:jc w:val="both"/>
        <w:rPr>
          <w:rFonts w:ascii="Arial" w:hAnsi="Arial" w:cs="Arial"/>
          <w:sz w:val="24"/>
          <w:szCs w:val="24"/>
        </w:rPr>
      </w:pPr>
    </w:p>
    <w:p w:rsidR="009A4FF4" w:rsidRDefault="009A4FF4" w:rsidP="009A4FF4">
      <w:pPr>
        <w:pStyle w:val="Odlomakpopisa"/>
        <w:numPr>
          <w:ilvl w:val="0"/>
          <w:numId w:val="3"/>
        </w:numPr>
        <w:pBdr>
          <w:bottom w:val="single" w:sz="4" w:space="0" w:color="000000"/>
        </w:pBdr>
        <w:jc w:val="both"/>
        <w:rPr>
          <w:rFonts w:ascii="Arial" w:hAnsi="Arial" w:cs="Arial"/>
          <w:b/>
          <w:bCs/>
          <w:sz w:val="24"/>
          <w:szCs w:val="24"/>
        </w:rPr>
      </w:pPr>
      <w:r>
        <w:rPr>
          <w:rFonts w:ascii="Arial" w:hAnsi="Arial" w:cs="Arial"/>
          <w:b/>
          <w:bCs/>
          <w:sz w:val="24"/>
          <w:szCs w:val="24"/>
        </w:rPr>
        <w:lastRenderedPageBreak/>
        <w:t>PRAVOSUDNA SARADNJA U GRAĐANSKIM I PRIVREDNIM STVARIMA</w:t>
      </w:r>
    </w:p>
    <w:p w:rsidR="009A4FF4" w:rsidRDefault="009A4FF4" w:rsidP="009A4FF4">
      <w:pPr>
        <w:pStyle w:val="Odlomakpopisa"/>
        <w:spacing w:line="360" w:lineRule="auto"/>
        <w:ind w:left="0" w:firstLine="720"/>
        <w:jc w:val="both"/>
        <w:rPr>
          <w:rFonts w:ascii="Arial" w:hAnsi="Arial" w:cs="Arial"/>
          <w:b/>
          <w:sz w:val="24"/>
          <w:szCs w:val="24"/>
        </w:rPr>
      </w:pPr>
    </w:p>
    <w:p w:rsidR="009A4FF4" w:rsidRDefault="009A4FF4" w:rsidP="009A4FF4">
      <w:pPr>
        <w:pStyle w:val="Odlomakpopisa"/>
        <w:spacing w:line="360" w:lineRule="auto"/>
        <w:ind w:left="0" w:firstLine="720"/>
        <w:jc w:val="both"/>
        <w:rPr>
          <w:rFonts w:ascii="Arial" w:hAnsi="Arial" w:cs="Arial"/>
          <w:b/>
          <w:sz w:val="24"/>
          <w:szCs w:val="24"/>
        </w:rPr>
      </w:pPr>
      <w:r>
        <w:rPr>
          <w:rFonts w:ascii="Arial" w:hAnsi="Arial" w:cs="Arial"/>
          <w:b/>
          <w:sz w:val="24"/>
          <w:szCs w:val="24"/>
        </w:rPr>
        <w:t xml:space="preserve">2.1. UVOD </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sz w:val="24"/>
          <w:szCs w:val="24"/>
        </w:rPr>
        <w:t>Zakonodavstvo EU u oblasti pravosudne saradnje u građanskim i privrednim stvarima obuhvata sljedeće: nadležnost, priznavanje i izvršenje presuda u građanskim i privrednim stvarima; mjerodavno pravo za ugovorne i neugovorne obaveze; porodično pravo (nadležnost, priznavanje i izvršenje presuda u bračnim stvarima i stvarima roditeljske odgovornosti, mjerodavno pravo za razvod i zakonsku rastavu, obaveze izdržavanja, bračno-imovinski režimi, imovinske posljedice registrovanih partnerstava); dostavljanje pismena; izvođenje dokaza; posebni postupci poput postupka evropskog platnog naloga, evropskog postupka za sporove male vrijednosti, evropskog naloga za blokadu računa i evropskog naloga za izvršenje neosporenih potraživanja; stečajni postupak; nasljeđivanje; priznavanje mjera zaštite u građanskim stvarima; promet javnih isprava; besplatna pravna pomoć; medijacija.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Generalno, ovi instrumenti su se pokazali veoma korisnim u praksi za građane i privredna društva u EU, kao odgovor na sve veći broj prekograničnih slučajeva, koji su posljedica povećane mobilnosti.</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Tokom godina, Sud pravde EU pomagao je u tumačenju odredbi EU u oblasti pravosudne saradnje u građanskim i privrednim stvarima.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Pored usvajanja zakonodavstva, EU je u pravcu osnaživanja pravosudne saradnje osnovala Evropsku pravosudnu mrežu u građanskim i privrednim stvarima, dok je, sa druge strane, vršena obuka predstavnika pravosuđa i praktičara kako bi se olakšala primjena i funkcionisanje ove pravne tekovine u praksi.</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Takođe, preduzimane su aktivnosti na podizanju svijesti građana, kako bi zakonodavstvo EU bilo bolje poznato i objašnjeno ("proces podizanja svijesti"), najviše putem portala e-Justice i praktičnih vodiča distribuiranih građanima i zainteresovanim stranama.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Pojedini zakonodavni predlozi čekaju na pregovore i/ili usvajanje: Direktiva o restrukturiranju i insolventnosti, Direktiva o digitalnom sadržaju, Direktiva o prodaji robe, Regulativa o mjerodavnom pravu za efekte ustupanja potraživanja na treća lica, preinačena Regulativa o dostavljanju pismena i preinačena Regulativa o izvođenju dokaza.</w:t>
      </w:r>
    </w:p>
    <w:p w:rsidR="009A4FF4" w:rsidRDefault="009A4FF4" w:rsidP="009A4FF4">
      <w:pPr>
        <w:pStyle w:val="Odlomakpopisa"/>
        <w:ind w:left="0" w:firstLine="720"/>
        <w:jc w:val="both"/>
        <w:rPr>
          <w:rFonts w:ascii="Arial" w:hAnsi="Arial" w:cs="Arial"/>
          <w:b/>
          <w:sz w:val="24"/>
          <w:szCs w:val="24"/>
        </w:rPr>
      </w:pPr>
      <w:r>
        <w:rPr>
          <w:rFonts w:ascii="Arial" w:hAnsi="Arial" w:cs="Arial"/>
          <w:b/>
          <w:sz w:val="24"/>
          <w:szCs w:val="24"/>
        </w:rPr>
        <w:t>2.2. MEĐUNARODNO PRIVATNO PRAVO I PORODIČNO PRAVO</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xml:space="preserve">Kada su u pitanju oblasti međunarodnog privatnog prava i porodičnog prava, u ovoj Analizi uzeti su u obzir rezultati relevantne prethodne procjene </w:t>
      </w:r>
      <w:r>
        <w:rPr>
          <w:rFonts w:ascii="Arial" w:hAnsi="Arial" w:cs="Arial"/>
          <w:sz w:val="24"/>
          <w:szCs w:val="24"/>
        </w:rPr>
        <w:sym w:font="Symbol" w:char="F02D"/>
      </w:r>
      <w:r>
        <w:rPr>
          <w:rFonts w:ascii="Arial" w:hAnsi="Arial" w:cs="Arial"/>
          <w:sz w:val="24"/>
          <w:szCs w:val="24"/>
        </w:rPr>
        <w:t xml:space="preserve"> tj. Misije kolegijalne revizije o međunarodnoj pravosudnoj saradnji koja je održana u Crnoj Gori od 10. do 14. marta 2019. godine. Treba napomenuti da su eksperti koji su učestvovali u toj misiji (g-din Alberto Perduca i g-din Paolo Rampini) sačinili konačni izvještaj na osnovu informacija koje su im pružili organi EU i Crne Gore, kao i drugi sagovornici sa kojima su se sastali.</w:t>
      </w:r>
    </w:p>
    <w:p w:rsidR="009A4FF4" w:rsidRDefault="009A4FF4" w:rsidP="009A4FF4">
      <w:pPr>
        <w:pStyle w:val="Odlomakpopisa"/>
        <w:ind w:left="0" w:firstLine="720"/>
        <w:jc w:val="both"/>
        <w:rPr>
          <w:rFonts w:ascii="Arial" w:hAnsi="Arial" w:cs="Arial"/>
          <w:sz w:val="24"/>
          <w:szCs w:val="24"/>
        </w:rPr>
      </w:pPr>
    </w:p>
    <w:p w:rsidR="009A4FF4" w:rsidRDefault="009A4FF4" w:rsidP="009A4FF4">
      <w:pPr>
        <w:pStyle w:val="Odlomakpopisa"/>
        <w:spacing w:line="360" w:lineRule="auto"/>
        <w:ind w:left="0" w:firstLine="720"/>
        <w:jc w:val="both"/>
        <w:rPr>
          <w:rFonts w:ascii="Arial" w:hAnsi="Arial" w:cs="Arial"/>
          <w:sz w:val="24"/>
          <w:szCs w:val="24"/>
        </w:rPr>
      </w:pPr>
      <w:r>
        <w:rPr>
          <w:rFonts w:ascii="Arial" w:hAnsi="Arial" w:cs="Arial"/>
          <w:sz w:val="24"/>
          <w:szCs w:val="24"/>
        </w:rPr>
        <w:lastRenderedPageBreak/>
        <w:t xml:space="preserve">Uzeto je u obzir sljedeće zakonodavstvo EU: </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Regulativa (EU) br. 1215/2012 Evropskog parlamenta i Savjeta od 12. decembra 2012. godine o nadležnosti i priznanju i izvršenju presuda u građanskim i privrednim stvarima ("preinačena Brisel I");</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Regulativa (EZ) br. 593/2008 Evropskog parlamenta i Savjeta od 17. juna 2008. godine o mjerodavnom pravu za ugovorne obaveze (Rim I);</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Regulativa (EZ) br. 864/2007 Evropskog parlamenta i Savjeta od 11. jula 2007. godine o mjerodavnom pravu za vanugovorne obaveze (Rim II);</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sz w:val="24"/>
          <w:szCs w:val="24"/>
        </w:rPr>
        <w:t>- Regulativa Savjeta (EZ) br. 2201/2003 od 27. novembra 2003. godine o nadležnosti, priznanju i izvršenju sudskih odluka u bračnim stavima i u stvarima povezanim sa roditeljskom odgovornošću i o stavljanju van snage Regulative (EZ) br. 1347/2000 ("Brisel IIa")</w:t>
      </w:r>
      <w:r>
        <w:rPr>
          <w:rStyle w:val="Referencafusnote"/>
          <w:rFonts w:ascii="Arial" w:hAnsi="Arial" w:cs="Arial"/>
          <w:sz w:val="24"/>
          <w:szCs w:val="24"/>
          <w:lang w:val="en-US"/>
        </w:rPr>
        <w:footnoteReference w:id="1"/>
      </w:r>
      <w:r>
        <w:rPr>
          <w:rStyle w:val="Zadanifontodlomka"/>
          <w:rFonts w:ascii="Arial" w:hAnsi="Arial" w:cs="Arial"/>
          <w:sz w:val="24"/>
          <w:szCs w:val="24"/>
        </w:rPr>
        <w:t>;</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Regulativa Savjeta (EU) br. 1259/2010 od 20. decembra 2010. godine o sprovođenju unaprijeđene saradnje u oblasti mjerodavnog prava za razvod i zakonsku rastavu ("Rim III");</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Regulativa Savjeta (EZ) br. 4/2009 od 18. decembra 2008. godine o nadležnosti, mjerodavnom pravu, priznanju i izvršenju odluka i o saradnji u stvarima u vezi sa obavezama izdržavanja;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Regulativa Savjeta (EU) 2016/1103 od 24. juna 2016. godine o sprovođenju unaprijeđene saradnje u oblasti nadležnosti, mjerodavnog prava i priznavanja i izvršenja odluka u stvarima bračnoimovinskih režima;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Regulativa Savjeta (EU) 2016/1104 od 24. juna 2016. godine o sprovođenju unaprijeđene saradnje u oblasti nadležnosti, mjerodavnog prava i priznavanja i izvršenja odluka u stvarima imovinskih posljedica registrovanih partnerstava.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sz w:val="24"/>
          <w:szCs w:val="24"/>
        </w:rPr>
        <w:t xml:space="preserve">Ključni zaključak iz prethodne ocjene, u vezi sa predmetnom oblašću pravne tekovine EU, bio je da je, osim Regulative Savjeta (EU) br. 2016/1103 i Regulative Savjeta (EU) br. 2016/1104, crnogorsko zakonodavstvo dobro usklađeno sa ovim instrumentima. </w:t>
      </w:r>
    </w:p>
    <w:p w:rsidR="009A4FF4" w:rsidRDefault="009A4FF4" w:rsidP="009A4FF4">
      <w:pPr>
        <w:pStyle w:val="Odlomakpopisa"/>
        <w:ind w:left="0" w:firstLine="720"/>
        <w:jc w:val="both"/>
        <w:rPr>
          <w:rStyle w:val="Zadanifontodlomka"/>
        </w:rPr>
      </w:pPr>
      <w:r>
        <w:rPr>
          <w:rStyle w:val="Zadanifontodlomka"/>
          <w:rFonts w:ascii="Arial" w:hAnsi="Arial" w:cs="Arial"/>
          <w:sz w:val="24"/>
          <w:szCs w:val="24"/>
        </w:rPr>
        <w:t xml:space="preserve">Usklađivanje je izvršeno ili odredbama Zakona o međunarodnom privatnom pravu ili na osnovu ratifikacije relevantnih multilateralnih konvencija. Pored toga, eksperti su obaviješteni da postoji dovoljno tehničke opreme i da nema potrebe za usvajanjem novih podzakonskih akata. U vezi sa relevantnim multilateralnim konvencijama, treba napomenuti da je Komisija u junu 2020. godine objavila Nezvanični radni dokument (non-paper) o stanju u oblasti poglavlja 23. i 24. za Crnu Goru. Svrha ovog nezvaničnog radnog dokumenta je da pruži pregled napretka Crne Gore u ovoj oblasti od posljednjeg nezvaničnog radnog dokumenta koji je predstavljen u novembru 2019. godine. U Nezvaničnom radnom dokumentu navodi se sljedeće: "...U oblasti pravosudne saradnje u građanskim stvarima, Crna Gora još uvijek nije </w:t>
      </w:r>
      <w:r>
        <w:rPr>
          <w:rStyle w:val="Zadanifontodlomka"/>
          <w:rFonts w:ascii="Arial" w:hAnsi="Arial" w:cs="Arial"/>
          <w:sz w:val="24"/>
          <w:szCs w:val="24"/>
        </w:rPr>
        <w:lastRenderedPageBreak/>
        <w:t>potpisnica Protokola iz 2007. godine uz Hašku konvenciju o međunarodnom ostvarivanju izdržavanja djece i drugih članova porodice i drugih oblika izdržavanja porodice, u vezi sa obavezama izdržavanja, kao ni Haške konvencije iz 2000. godine o međunarodnoj zaštiti odraslih osoba."</w:t>
      </w:r>
    </w:p>
    <w:p w:rsidR="009A4FF4" w:rsidRDefault="009A4FF4" w:rsidP="009A4FF4">
      <w:pPr>
        <w:pStyle w:val="Odlomakpopisa"/>
        <w:ind w:left="0" w:firstLine="720"/>
        <w:jc w:val="both"/>
      </w:pPr>
      <w:r>
        <w:rPr>
          <w:rFonts w:ascii="Arial" w:hAnsi="Arial" w:cs="Arial"/>
          <w:sz w:val="24"/>
          <w:szCs w:val="24"/>
        </w:rPr>
        <w:t>Napominjemo da je u odnosu na navedeni Protokol iz 2007. godine Vlada Crne Gore u septembru 2019. godine usvojila Informaciju o potrebi njegovog potpisivanja i ovlastila izvanrednog i opunomoćenog ambasadora Crne Gore u Kraljevini Belgiji, akreditovanog za Kraljevinu Holandiju, da u ime Vlade Crne Gore potpiše isti, dok je u odnosu na navedenu Hašku konvenciju Vlada Crne Gore usvojila Informaciju o potrebi pristupanja Crne Gore istoj i istovremeno zadužila Ministarstvo vanjskih poslova Crne Gore da Ministarstvu vanjskih poslova Kraljevine Holandije uputi instrument pristupanja Crne Gore navedenoj Konvenciji. Dakle, Crna Gora je već preduzela konkretne atkivnosti u pravcu pristupanja navedenim međunarodnim instrumentima.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sz w:val="24"/>
          <w:szCs w:val="24"/>
        </w:rPr>
        <w:t>Imajući u vidu da će se navedeni propisi primjenjivati neposredno nakon pristupanja Crne Gore EU i da će zamijeniti svaku zakonsku odredbu koja nije u saglasnosti sa jedinstvenim rješenjima EU kada je riječ o pravnim stvarima sa međunarodnim elementom, u ovom trenutku se dalje usklađivanje crnogorskog zakonodavstva ne smatra potrebnim.</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S druge strane, obim pravnog okvira u oblasti međunarodnog privatnog prava zahtijeva izuzetno visok nivo obuke sudija uključenih u takve predmete. U tom smislu, bilo bi izuzetno važno vršiti kontinuirane obuke i usavršavanje sudija u ovoj oblasti.</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 xml:space="preserve">Kao što su izvijestili eksperti koji su sproveli prethodnu procjenu </w:t>
      </w:r>
      <w:r>
        <w:rPr>
          <w:rFonts w:ascii="Arial" w:hAnsi="Arial" w:cs="Arial"/>
          <w:sz w:val="24"/>
          <w:szCs w:val="24"/>
        </w:rPr>
        <w:sym w:font="Symbol" w:char="F02D"/>
      </w:r>
      <w:r>
        <w:rPr>
          <w:rFonts w:ascii="Arial" w:hAnsi="Arial" w:cs="Arial"/>
          <w:sz w:val="24"/>
          <w:szCs w:val="24"/>
        </w:rPr>
        <w:t xml:space="preserve"> “ad hoc” obuka za sudije i tužioce znatno je poboljšana tokom posljednjih godina. Uz pomoć Programa obuke o međunarodnoj pravosudnoj saradnji EUROL 2 za 2018. i 2019. godinu, Centar za obuku u sudstvu i državnom tužilaštvu (u daljem tekstu: Centar) obezbijedio je sudijama i tužiocima kurseve </w:t>
      </w:r>
      <w:r>
        <w:rPr>
          <w:rFonts w:ascii="Arial" w:hAnsi="Arial" w:cs="Arial"/>
          <w:sz w:val="24"/>
          <w:szCs w:val="24"/>
        </w:rPr>
        <w:sym w:font="Symbol" w:char="F02D"/>
      </w:r>
      <w:r>
        <w:rPr>
          <w:rFonts w:ascii="Arial" w:hAnsi="Arial" w:cs="Arial"/>
          <w:sz w:val="24"/>
          <w:szCs w:val="24"/>
        </w:rPr>
        <w:t xml:space="preserve"> početne, odnosno stručne </w:t>
      </w:r>
      <w:r>
        <w:rPr>
          <w:rFonts w:ascii="Arial" w:hAnsi="Arial" w:cs="Arial"/>
          <w:sz w:val="24"/>
          <w:szCs w:val="24"/>
        </w:rPr>
        <w:sym w:font="Symbol" w:char="F02D"/>
      </w:r>
      <w:r>
        <w:rPr>
          <w:rFonts w:ascii="Arial" w:hAnsi="Arial" w:cs="Arial"/>
          <w:sz w:val="24"/>
          <w:szCs w:val="24"/>
        </w:rPr>
        <w:t xml:space="preserve"> na teme međunarodnog prava, prava EU i sudske prakse Evropskog suda za ljudska prava. Centar je, takođe, izvijestio o kontinuiranom rastu interesovanja za kurseve engleskog jezika.</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 xml:space="preserve">U cilju postizanja većeg nivoa pripremljenosti sudija koji postupaju u građanskim i privrednim stvarima sa međunarodnim elementom, nakon što počnu sa radom u okviru EU, Crna Gora bi, između ostalih mjera, trebala da nastavi sa njihovim ciljanim obukama. </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S tim u vezi, Crna Gora treba da kreira program obuke sudija na osnovu kojeg će se sudije specijalizovati, odnosno steći specijalistička znanja iz oblasti relevantnog zakonodavstva EU i unaprijediti svoje jezičke vještine, ali i savladati nove izazove, poput alata “elektronskog pravosuđa” i e-učenja.</w:t>
      </w:r>
    </w:p>
    <w:p w:rsidR="009A4FF4" w:rsidRDefault="009A4FF4" w:rsidP="009A4FF4">
      <w:pPr>
        <w:spacing w:line="360" w:lineRule="auto"/>
        <w:jc w:val="both"/>
        <w:rPr>
          <w:rFonts w:ascii="Arial" w:hAnsi="Arial" w:cs="Arial"/>
          <w:b/>
          <w:sz w:val="24"/>
          <w:szCs w:val="24"/>
        </w:rPr>
      </w:pPr>
    </w:p>
    <w:p w:rsidR="009A4FF4" w:rsidRDefault="009A4FF4" w:rsidP="009A4FF4">
      <w:pPr>
        <w:spacing w:line="360" w:lineRule="auto"/>
        <w:jc w:val="both"/>
        <w:rPr>
          <w:rFonts w:ascii="Arial" w:hAnsi="Arial" w:cs="Arial"/>
          <w:b/>
          <w:sz w:val="24"/>
          <w:szCs w:val="24"/>
        </w:rPr>
      </w:pPr>
    </w:p>
    <w:p w:rsidR="009A4FF4" w:rsidRDefault="009A4FF4" w:rsidP="009A4FF4">
      <w:pPr>
        <w:spacing w:line="360" w:lineRule="auto"/>
        <w:jc w:val="both"/>
        <w:rPr>
          <w:rFonts w:ascii="Arial" w:hAnsi="Arial" w:cs="Arial"/>
          <w:b/>
          <w:sz w:val="24"/>
          <w:szCs w:val="24"/>
        </w:rPr>
      </w:pPr>
    </w:p>
    <w:p w:rsidR="009A4FF4" w:rsidRDefault="009A4FF4" w:rsidP="009A4FF4">
      <w:pPr>
        <w:spacing w:line="360" w:lineRule="auto"/>
        <w:jc w:val="both"/>
        <w:rPr>
          <w:rFonts w:ascii="Arial" w:hAnsi="Arial" w:cs="Arial"/>
          <w:b/>
          <w:sz w:val="24"/>
          <w:szCs w:val="24"/>
        </w:rPr>
      </w:pPr>
    </w:p>
    <w:p w:rsidR="009A4FF4" w:rsidRDefault="009A4FF4" w:rsidP="009A4FF4">
      <w:pPr>
        <w:spacing w:line="360" w:lineRule="auto"/>
        <w:ind w:firstLine="720"/>
        <w:jc w:val="both"/>
        <w:rPr>
          <w:rFonts w:ascii="Arial" w:hAnsi="Arial" w:cs="Arial"/>
          <w:b/>
          <w:sz w:val="24"/>
          <w:szCs w:val="24"/>
        </w:rPr>
      </w:pPr>
      <w:r>
        <w:rPr>
          <w:rFonts w:ascii="Arial" w:hAnsi="Arial" w:cs="Arial"/>
          <w:b/>
          <w:sz w:val="24"/>
          <w:szCs w:val="24"/>
        </w:rPr>
        <w:lastRenderedPageBreak/>
        <w:t>2.3. INSTRUMENTI PRAVOSUDNE POMOĆI</w:t>
      </w:r>
    </w:p>
    <w:p w:rsidR="009A4FF4" w:rsidRDefault="009A4FF4" w:rsidP="009A4FF4">
      <w:pPr>
        <w:pStyle w:val="Odlomakpopisa"/>
        <w:spacing w:line="360" w:lineRule="auto"/>
        <w:ind w:left="0" w:firstLine="720"/>
        <w:jc w:val="both"/>
        <w:rPr>
          <w:rFonts w:ascii="Arial" w:hAnsi="Arial" w:cs="Arial"/>
          <w:b/>
          <w:sz w:val="24"/>
          <w:szCs w:val="24"/>
        </w:rPr>
      </w:pPr>
      <w:r>
        <w:rPr>
          <w:rFonts w:ascii="Arial" w:hAnsi="Arial" w:cs="Arial"/>
          <w:b/>
          <w:sz w:val="24"/>
          <w:szCs w:val="24"/>
        </w:rPr>
        <w:t>2.3.1. ANALIZA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U EU su na snazi dvije regulative o pravosudnoj pomoći: Regulativa (EZ) br. 1393/2007 Evropskog parlamenta i Savjeta od 13. novembra 2007. godine o dostavljanju sudskih i vansudskih pismena u građanskim ili privrednim stvarima u državama članicama (dostavljanje pismena) i o stavljanju van snage Regulative Savjeta (EZ) br. 1348/2000 i Regulativa Savjeta (EZ) br. 1206/2001 od 28. maja 2001. godine o saradnji između sudova država članica u izvođenju dokaza u građanskim ili privrednim stvarima.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xml:space="preserve">Zakon o izmjenama i dopunama Zakona o parničnom postupku, kojim su uvedene odredbe u vezi sa sprovođenjem pravosudne saradnje u EU, objavljen je 21.06.2019. godine u "Službenom listu Crne Gore", br. 34/19 i stupio je na snagu 29. juna 2019. godine, sa odloženom primjenom od 6 mjeseci od dana stupanja na snagu. DIO ČETIRI A ovog zakona, koji se odnosi na posebne odredbe o pravosudnoj saradnji u Evropskoj uniji, primjenjivaće se od dana pristupanja Crne Gore Evropskoj uniji. </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xml:space="preserve">U Glavama 33. i 34. ovog zakona uvode se prednje navedeni instrumenti pravosudne saradnje. </w:t>
      </w:r>
    </w:p>
    <w:p w:rsidR="009A4FF4" w:rsidRDefault="009A4FF4" w:rsidP="009A4FF4">
      <w:pPr>
        <w:pStyle w:val="Odlomakpopisa"/>
        <w:numPr>
          <w:ilvl w:val="0"/>
          <w:numId w:val="4"/>
        </w:numPr>
        <w:spacing w:line="360" w:lineRule="auto"/>
        <w:jc w:val="both"/>
        <w:rPr>
          <w:rFonts w:ascii="Arial" w:hAnsi="Arial" w:cs="Arial"/>
          <w:b/>
          <w:sz w:val="24"/>
          <w:szCs w:val="24"/>
        </w:rPr>
      </w:pPr>
      <w:r>
        <w:rPr>
          <w:rFonts w:ascii="Arial" w:hAnsi="Arial" w:cs="Arial"/>
          <w:b/>
          <w:sz w:val="24"/>
          <w:szCs w:val="24"/>
        </w:rPr>
        <w:t xml:space="preserve">Dostavljanje pismena </w:t>
      </w:r>
    </w:p>
    <w:p w:rsidR="009A4FF4" w:rsidRDefault="009A4FF4" w:rsidP="009A4FF4">
      <w:pPr>
        <w:pStyle w:val="Odlomakpopisa"/>
        <w:spacing w:line="360" w:lineRule="auto"/>
        <w:jc w:val="both"/>
        <w:rPr>
          <w:rFonts w:ascii="Arial" w:hAnsi="Arial" w:cs="Arial"/>
          <w:sz w:val="24"/>
          <w:szCs w:val="24"/>
          <w:u w:val="single"/>
        </w:rPr>
      </w:pPr>
      <w:r>
        <w:rPr>
          <w:rFonts w:ascii="Arial" w:hAnsi="Arial" w:cs="Arial"/>
          <w:sz w:val="24"/>
          <w:szCs w:val="24"/>
          <w:u w:val="single"/>
        </w:rPr>
        <w:t>Pregled</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Regulativa o dostavljanju ima za cilj uspostavljanje brzog, bezbjednog i standardizovanog postupka slanja sudskih i vansudskih pismena u građanskim ili privrednim stvarima između strana koje se nalaze u različitim državama članicama EU. Primjenjuje se na građanske ili privredne stvari kada je neophodno dostaviti sudska ili vansudska pismena iz jedne države članice EU u drugu.</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Ne primjenjuje se na prihode, carine, administrativne poslove ili predmete državne odgovornosti za činjenja ili nečinjenja prilikom vršenja državne vlasti.</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Regulativa se ne primjenjuje kada je adresa lica kojem treba dostaviti pismeno nepoznata.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Države članice EU određuju organe odgovorne za slanje i prijem pismena i moraju da dostave Evropskoj komisiji njihove nazive i adrese, geografska područja za koja su nadležni, prihvatljive jezike i načine prijema pismena.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Svaka država članica EU ima centralni organ odgovoran za pružanje informacija organima, rješavanje svih izazova koji mogu nastati i prosljeđivanje zahtjeva za dostavu od organa pošiljaoca organu primaocu u vanrednim okolnostima.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Podnosilac zahtjeva prosljeđuje pismena organu pošiljaocu i snosi sve troškove prevoda prije slanja pismena. Organ pošiljalac mora da obavijesti podnosioca zahtjeva da, u slučaju da pismeno nije na jeziku koji primalac razumije ili na službenom jeziku države članice EU u kojoj će se izvršiti dostavljanje, primalac može da odbije da ga primi.</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lastRenderedPageBreak/>
        <w:t>Pismena se moraju slati direktno i što je prije moguće između organa bilo kojim odgovarajućim načinom slanja, ako su čitljiva i vjerna izvorniku. Zahtjev sačinjen na standardnom obrascu priloženom uz regulativu mora biti dostavljen na jednom od prihvaćenih jezika koje države članice EU navedu. Pismena su izuzeta od legalizacije ili bilo kakve ekvivalentne formalnosti. Primalac mora u roku od 7 dana poslati potvrdu prijema, a u slučaju da nedostaju informacije mora se što prije kontaktirati pošiljalac.</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Primalac treba ili da sam dostavi pismeno ili da organizuje njegovu dostavu u roku od jednog mjeseca. Ako to nije moguće primalac mora da obavijesti pošiljaoca i nastavi da pokušava dostavu pismena. Dostavljanje se vrši u skladu sa pravom države članice EU primaoca, ili određenim metodom, ako to zahtijeva pošiljalac i u skladu je sa domaćim pravom. Kada se dostava izvrši, potvrda o izvršenju svih formalnosti mora biti popunjena na jeziku koji pri</w:t>
      </w:r>
      <w:r w:rsidR="00813182">
        <w:rPr>
          <w:rFonts w:ascii="Arial" w:hAnsi="Arial" w:cs="Arial"/>
          <w:sz w:val="24"/>
          <w:szCs w:val="24"/>
        </w:rPr>
        <w:t>hvata država članica porijekla, a zatim</w:t>
      </w:r>
      <w:r>
        <w:rPr>
          <w:rFonts w:ascii="Arial" w:hAnsi="Arial" w:cs="Arial"/>
          <w:sz w:val="24"/>
          <w:szCs w:val="24"/>
        </w:rPr>
        <w:t xml:space="preserve"> poslata pošiljaocu.</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Datum dostave biće datum na koji je pismeno dostavljeno, u skladu sa pravom države članice EU primaoca, osim ako se prema pravu te države članice pismeno mora uručiti u određenom roku. Dostava ne smije da podrazumijeva troškove ili poreze u državi članici EU za primaoca, osim ako je postojao određeni način dostave ili obraćanje službenom licu zakonom ovlašćenom da vrši sudsku vlast. U tom slučaju, na podnosiocu zahtjeva je da snosi troškove. Države članice EU moraju unaprijed odrediti jednokratnu naknadu i o istoj obavijestiti Komisiju.</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Pismena se, takođe, mogu uručiti neposredno upotrebom preporučene pošte sa priznanicom ili putem službenih lica zakonom ovlašćenih da vrše sudsku vlast, zvaničnika ili drugih nadležnih lica države članice EU primaoca, ako to dozvoljava dotična država članica. U vanrednim okolnostima, pismena se mogu proslijediti organima druge države članice EU putem konzularnih ili diplomatskih kanala.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Primalac obavještava adresata o njegovom pravu da odbije pismeno, ako nije napisano na jeziku koji on/ona razumije ili na službenom jeziku države članice EU u kojoj se vrši dostava. Odbijanje se mora izvršiti u vrijeme dostavljanja ili vraćanjem pismena primaocu u roku od nedelju dana.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Ako je pismeno sudski poziv ili je ekvivalentno sudskom pozivu, a tuženi se ne pojavi, presuda se ne može donijeti dok se ne utvrdi da je pismeno dostavljeno u skladu sa domaćim pravom države članice EU, pri čemu je tuženi imao dovoljno vremena da iznese svoj stav. Međutim, presuda se može donijeti ako je pismeno poslato na jedan od načina propisanih regulativom i ako je proteklo više od 6 mjeseci a nije dobijena nikakva potvrda, uprkos svim razumnim naporima nadležnih organa države članice EU primaoca. Ako tuženi nije saznao za pismeno na vrijeme da bi se pojavio pred sudom, još uvijek je moguće podnijeti zahtjev za povraćaj u pređašnje stanje u razumnom roku nakon saznanja za presudu.</w:t>
      </w:r>
    </w:p>
    <w:p w:rsidR="009A4FF4" w:rsidRDefault="009A4FF4" w:rsidP="009A4FF4">
      <w:pPr>
        <w:pStyle w:val="Odlomakpopisa"/>
        <w:ind w:left="1080"/>
        <w:jc w:val="both"/>
        <w:rPr>
          <w:rFonts w:ascii="Arial" w:hAnsi="Arial" w:cs="Arial"/>
          <w:sz w:val="24"/>
          <w:szCs w:val="24"/>
          <w:lang w:val="en-US"/>
        </w:rPr>
      </w:pPr>
    </w:p>
    <w:p w:rsidR="009A4FF4" w:rsidRDefault="009A4FF4" w:rsidP="009A4FF4">
      <w:pPr>
        <w:pStyle w:val="Odlomakpopisa"/>
        <w:ind w:firstLine="720"/>
        <w:jc w:val="both"/>
        <w:rPr>
          <w:rFonts w:ascii="Arial" w:hAnsi="Arial" w:cs="Arial"/>
          <w:bCs/>
          <w:sz w:val="24"/>
          <w:szCs w:val="24"/>
          <w:u w:val="single"/>
        </w:rPr>
      </w:pPr>
      <w:bookmarkStart w:id="2" w:name="_Hlk47529167"/>
      <w:r>
        <w:rPr>
          <w:rFonts w:ascii="Arial" w:hAnsi="Arial" w:cs="Arial"/>
          <w:bCs/>
          <w:sz w:val="24"/>
          <w:szCs w:val="24"/>
          <w:u w:val="single"/>
        </w:rPr>
        <w:t>Zaključci Analize iz 2014. godine</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xml:space="preserve">Crna Gora je potpisnica Haške konvencije o dostavljanju iz 1965. godine. S obzirom na veliko preklapanje između Haške konvencije o dostavljanju iz 1965. godine i Regulative o dostavljanju, trenutni pristup Crne Gore u ovoj oblasti u velikoj mjeri je teoretski već usklađen sa pravnom tekovinom EU. Iskustvo stečeno primjenom ovog </w:t>
      </w:r>
      <w:r>
        <w:rPr>
          <w:rFonts w:ascii="Arial" w:hAnsi="Arial" w:cs="Arial"/>
          <w:sz w:val="24"/>
          <w:szCs w:val="24"/>
        </w:rPr>
        <w:lastRenderedPageBreak/>
        <w:t>multilateralnog ugovora pruža odličnu osnovu za obezbjeđenje usklađenosti crnogorskog zakonodavstva sa evropskom pravnom tekovinom u ovoj oblasti.</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Međutim, decentralizovani pristup koji favorizuje Regulativa o dostavljanju nameće potrebu da Crna Gora preduzme neke praktične mjere (određivanje organa pošiljaoca i primaoca koji imaju relevantna ovlašćenja; određivanje jednokratne fiksne naknade), kako bi se postigla potpuna usklađenost nakon pristupanja.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Određivanje nadležnih organa treba vršiti na osnovu kapaciteta (budžetskih, kadrovskih, tehničkih, uključujući IT, administrativne kapacitete) subjekata (sudova, javnih izvršitelja, notara, ministarstva) za koje se smatra da će na najbolji način obavljati ove dužnosti, imajući u vidu cilj Regulative (unapređenje i ubrzanje slanja pismena).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Dalje, s obzirom da Regulativa o dostavljanju predviđa kanale za slanje koji će se koristiti između država članica, ali uglavnom ne sadrži pravila o stvarnom dostavljanju pismena, na pravila koja regulišu dostavljanje u crnogorskom zakonodavstvu Regulativa neće uticati.</w:t>
      </w:r>
    </w:p>
    <w:p w:rsidR="009A4FF4" w:rsidRDefault="009A4FF4" w:rsidP="009A4FF4">
      <w:pPr>
        <w:pStyle w:val="Odlomakpopisa"/>
        <w:ind w:left="1080"/>
        <w:jc w:val="both"/>
        <w:rPr>
          <w:rFonts w:ascii="Arial" w:hAnsi="Arial" w:cs="Arial"/>
          <w:sz w:val="24"/>
          <w:szCs w:val="24"/>
          <w:lang w:val="en-US"/>
        </w:rPr>
      </w:pPr>
    </w:p>
    <w:p w:rsidR="009A4FF4" w:rsidRDefault="009A4FF4" w:rsidP="009A4FF4">
      <w:pPr>
        <w:pStyle w:val="Odlomakpopisa"/>
        <w:jc w:val="both"/>
        <w:rPr>
          <w:rFonts w:ascii="Arial" w:hAnsi="Arial" w:cs="Arial"/>
          <w:b/>
          <w:sz w:val="24"/>
          <w:szCs w:val="24"/>
        </w:rPr>
      </w:pPr>
      <w:r>
        <w:rPr>
          <w:rFonts w:ascii="Arial" w:hAnsi="Arial" w:cs="Arial"/>
          <w:b/>
          <w:sz w:val="24"/>
          <w:szCs w:val="24"/>
        </w:rPr>
        <w:t>Analiza usklađenosti Zakona o parničnom postupku sa odredbama Regulative o dostavljanju</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 xml:space="preserve">U nastavku slijedi detaljna analiza odredaba Zakona o parničnom postupku - Glava 33, kojima je prenesena Regulativa o dostavljanju. </w:t>
      </w:r>
    </w:p>
    <w:p w:rsidR="009A4FF4" w:rsidRDefault="009A4FF4" w:rsidP="009A4FF4">
      <w:pPr>
        <w:pStyle w:val="Odlomakpopisa"/>
        <w:ind w:left="0" w:firstLine="720"/>
        <w:jc w:val="both"/>
        <w:rPr>
          <w:rStyle w:val="Zadanifontodlomka"/>
        </w:rPr>
      </w:pPr>
      <w:r>
        <w:rPr>
          <w:rStyle w:val="Zadanifontodlomka"/>
          <w:rFonts w:ascii="Arial" w:hAnsi="Arial" w:cs="Arial"/>
          <w:bCs/>
          <w:sz w:val="24"/>
          <w:szCs w:val="24"/>
        </w:rPr>
        <w:t>Član</w:t>
      </w:r>
      <w:r>
        <w:rPr>
          <w:rStyle w:val="Zadanifontodlomka"/>
          <w:rFonts w:ascii="Arial" w:hAnsi="Arial" w:cs="Arial"/>
          <w:bCs/>
          <w:iCs/>
          <w:sz w:val="24"/>
          <w:szCs w:val="24"/>
        </w:rPr>
        <w:t xml:space="preserve"> 508a</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ovaj član je u skladu sa zahtjevima iz člana 2 Regulative o dostavljanju, jer određuje decentralizovane organe pošiljaoce i primaoce na teritoriji Crne Gore, koji će biti nadležni za slanje i prijem pismena koji spadaju u područje primjene ovog instrumenta. </w:t>
      </w:r>
    </w:p>
    <w:p w:rsidR="009A4FF4" w:rsidRDefault="009A4FF4" w:rsidP="009A4FF4">
      <w:pPr>
        <w:pStyle w:val="Odlomakpopisa"/>
        <w:ind w:left="0" w:firstLine="720"/>
        <w:jc w:val="both"/>
      </w:pPr>
      <w:r>
        <w:rPr>
          <w:rFonts w:ascii="Arial" w:hAnsi="Arial" w:cs="Arial"/>
          <w:bCs/>
          <w:sz w:val="24"/>
          <w:szCs w:val="24"/>
        </w:rPr>
        <w:t>Organi pošiljaoci, u smislu člana 2 stav (1) Regulative o dostavljanju su: sudovi, javni izvršitelji i notari, u zavisnosti od njihove nadležnosti u odnosnom postupku i vrste pismena koje se dostavlja.</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Organ primalac, u smislu člana 2 stav (2) Regulative o dostavljanju, biće osnovni sud na čijoj teritoriji pismeno treba da se dostavi.</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Č</w:t>
      </w:r>
      <w:r>
        <w:rPr>
          <w:rStyle w:val="Zadanifontodlomka"/>
          <w:rFonts w:ascii="Arial" w:hAnsi="Arial" w:cs="Arial"/>
          <w:bCs/>
          <w:iCs/>
          <w:sz w:val="24"/>
          <w:szCs w:val="24"/>
        </w:rPr>
        <w:t>lan 508b</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centralni organ u Crnoj Gori, u smislu člana 3 Regulative o dostavljanju, je Ministarstvo pravde. </w:t>
      </w:r>
      <w:bookmarkStart w:id="3" w:name="_Hlk47559223"/>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Č</w:t>
      </w:r>
      <w:r>
        <w:rPr>
          <w:rStyle w:val="Zadanifontodlomka"/>
          <w:rFonts w:ascii="Arial" w:hAnsi="Arial" w:cs="Arial"/>
          <w:iCs/>
          <w:sz w:val="24"/>
          <w:szCs w:val="24"/>
        </w:rPr>
        <w:t>lan 508v</w:t>
      </w:r>
      <w:r>
        <w:rPr>
          <w:rStyle w:val="Zadanifontodlomka"/>
          <w:rFonts w:ascii="Arial" w:hAnsi="Arial" w:cs="Arial"/>
          <w:sz w:val="24"/>
          <w:szCs w:val="24"/>
        </w:rPr>
        <w:t xml:space="preserve"> </w:t>
      </w:r>
      <w:r>
        <w:rPr>
          <w:rStyle w:val="Zadanifontodlomka"/>
          <w:rFonts w:ascii="Arial" w:hAnsi="Arial" w:cs="Arial"/>
          <w:sz w:val="24"/>
          <w:szCs w:val="24"/>
        </w:rPr>
        <w:sym w:font="Symbol" w:char="F02D"/>
      </w:r>
      <w:r>
        <w:rPr>
          <w:rStyle w:val="Zadanifontodlomka"/>
          <w:rFonts w:ascii="Arial" w:hAnsi="Arial" w:cs="Arial"/>
          <w:sz w:val="24"/>
          <w:szCs w:val="24"/>
        </w:rPr>
        <w:t xml:space="preserve"> što se tiče dostavljanja od strane diplomatskih ili konzularnih predstavnika, u smislu člana 13 Regulative, Crna Gora će iskoristiti priliku da se usprotivi takvom dostavljanju na svojoj teritoriji, osim ako se pismena ne dostavljaju državljanima države članice iz koje ta pismena potiču, u skladu sa članom 13 stav (2) Regulative.</w:t>
      </w:r>
      <w:bookmarkEnd w:id="3"/>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Č</w:t>
      </w:r>
      <w:r>
        <w:rPr>
          <w:rStyle w:val="Zadanifontodlomka"/>
          <w:rFonts w:ascii="Arial" w:hAnsi="Arial" w:cs="Arial"/>
          <w:bCs/>
          <w:iCs/>
          <w:sz w:val="24"/>
          <w:szCs w:val="24"/>
        </w:rPr>
        <w:t>lan 508g</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što se tiče usluga poštanske dostave, kako je predviđeno članom 14 Regulative, Crna Gora će vršiti dostavljanje sudskih pismena direktno poštanskom dostavom licima koja borave u drugoj državi članici preporučenom pošiljkom s povratnicom ili na ekvivalentan način.</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Č</w:t>
      </w:r>
      <w:r>
        <w:rPr>
          <w:rStyle w:val="Zadanifontodlomka"/>
          <w:rFonts w:ascii="Arial" w:hAnsi="Arial" w:cs="Arial"/>
          <w:bCs/>
          <w:iCs/>
          <w:sz w:val="24"/>
          <w:szCs w:val="24"/>
        </w:rPr>
        <w:t>lan 508d</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dostavljanje pismena u Crnoj Gori, u smislu člana 7 Regulative, može se vršiti preporučenom pošiljkom s povratnicom. </w:t>
      </w:r>
    </w:p>
    <w:p w:rsidR="009A4FF4" w:rsidRDefault="009A4FF4" w:rsidP="009A4FF4">
      <w:pPr>
        <w:pStyle w:val="Odlomakpopisa"/>
        <w:ind w:left="0" w:firstLine="720"/>
        <w:jc w:val="both"/>
        <w:rPr>
          <w:rStyle w:val="Zadanifontodlomka"/>
          <w:bCs/>
        </w:rPr>
      </w:pPr>
      <w:r>
        <w:rPr>
          <w:rStyle w:val="Zadanifontodlomka"/>
          <w:rFonts w:ascii="Arial" w:hAnsi="Arial" w:cs="Arial"/>
          <w:bCs/>
          <w:sz w:val="24"/>
          <w:szCs w:val="24"/>
        </w:rPr>
        <w:lastRenderedPageBreak/>
        <w:t>Č</w:t>
      </w:r>
      <w:r>
        <w:rPr>
          <w:rStyle w:val="Zadanifontodlomka"/>
          <w:rFonts w:ascii="Arial" w:hAnsi="Arial" w:cs="Arial"/>
          <w:bCs/>
          <w:iCs/>
          <w:sz w:val="24"/>
          <w:szCs w:val="24"/>
        </w:rPr>
        <w:t>lan 508đ</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neposredna dostava, u smislu člana 15 Regulative, u skladu sa crnogorskim zakonom o parničnom postupku, može se izvršiti samo ako je pošiljalac pismena koje se dostavlja stranka u postupku pred sudom države članice porijekla.</w:t>
      </w:r>
      <w:bookmarkEnd w:id="2"/>
    </w:p>
    <w:p w:rsidR="009A4FF4" w:rsidRDefault="009A4FF4" w:rsidP="009A4FF4">
      <w:pPr>
        <w:pStyle w:val="Odlomakpopisa"/>
        <w:ind w:left="1080"/>
        <w:jc w:val="both"/>
      </w:pPr>
    </w:p>
    <w:p w:rsidR="009A4FF4" w:rsidRDefault="009A4FF4" w:rsidP="009A4FF4">
      <w:pPr>
        <w:pStyle w:val="Odlomakpopisa"/>
        <w:ind w:left="1080"/>
        <w:jc w:val="both"/>
      </w:pPr>
    </w:p>
    <w:p w:rsidR="009A4FF4" w:rsidRDefault="009A4FF4" w:rsidP="009A4FF4">
      <w:pPr>
        <w:pStyle w:val="Odlomakpopisa"/>
        <w:numPr>
          <w:ilvl w:val="0"/>
          <w:numId w:val="4"/>
        </w:numPr>
        <w:jc w:val="both"/>
        <w:rPr>
          <w:rFonts w:ascii="Arial" w:hAnsi="Arial" w:cs="Arial"/>
          <w:b/>
          <w:bCs/>
          <w:sz w:val="24"/>
          <w:szCs w:val="24"/>
        </w:rPr>
      </w:pPr>
      <w:r>
        <w:rPr>
          <w:rFonts w:ascii="Arial" w:hAnsi="Arial" w:cs="Arial"/>
          <w:b/>
          <w:bCs/>
          <w:sz w:val="24"/>
          <w:szCs w:val="24"/>
        </w:rPr>
        <w:t xml:space="preserve">Izvođenje dokaza </w:t>
      </w:r>
    </w:p>
    <w:p w:rsidR="009A4FF4" w:rsidRDefault="009A4FF4" w:rsidP="009A4FF4">
      <w:pPr>
        <w:pStyle w:val="Odlomakpopisa"/>
        <w:ind w:left="1440"/>
        <w:jc w:val="both"/>
        <w:rPr>
          <w:rFonts w:ascii="Arial" w:hAnsi="Arial" w:cs="Arial"/>
          <w:bCs/>
          <w:sz w:val="24"/>
          <w:szCs w:val="24"/>
          <w:u w:val="single"/>
        </w:rPr>
      </w:pPr>
      <w:r>
        <w:rPr>
          <w:rFonts w:ascii="Arial" w:hAnsi="Arial" w:cs="Arial"/>
          <w:bCs/>
          <w:sz w:val="24"/>
          <w:szCs w:val="24"/>
          <w:u w:val="single"/>
        </w:rPr>
        <w:t>Pregled</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Regulativa o dokazima ima za cilj unapređenje i pojednostavljenje pravosudne saradnje među državama članicama EU i ubrzanje izvođenja dokaza u postupcima u građanskim i privrednim stvarima.</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Primjenjuje se u građanskim i privrednim stvarima kada sud države članice EU zahtijeva od nadležnog suda druge države članice EU da pribavi dokaze ili zahtijeva dozvolu da sam prikuplja dokaze u drugoj državi članici EU.</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Države članice EU moraju da sačine spisak sudova ovlašćenih za prikupljanje dokaza i da navedu njihovu mjesnu ili posebnu nadležnost (kao što je specijalni sud koji je nadležan za privredne stvari). Zahtjeve direktno šalje sud pred kojim se vodi postupak ili se planira vođenje postupka ("sud molilac") sudu države članice EU koji prikuplja dokaze ("zamoljeni sud").</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Svaka država članica EU mora da odredi centralni organ odgovoran za: pružanje informacija sudovima; pronalazak rješenja za bilo kakve poteškoće u vezi sa slanjem; prosljeđivanje, u vanrednim slučajevima, zahtjeva nadležnom sudu.</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Zahtjev se mora podnijeti na obrascu navedenom u ovoj regulativi. Ovaj obrazac mora da sadrži određene pojedinosti, kao što su: imena, odnosno nazive i adrese stranka u postupku, vrstu i predmet postupka, opis dokaza koje treba izvesti.</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Zahtjevi se moraju sastaviti na službenom jeziku države članice EU zamoljenog suda ili na bilo kom drugom jeziku za koji ta država članica navede da je prihvatljiv.</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Zahtjevi se izvršavaju u skladu sa pravom zamoljene države članice EU. Zahtjev se mora izvršiti u roku od 90 dana od prijema.</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Izvršenje zahtjeva može da se odbije samo ako: zahtjev ne spada u područje primjene Regulative (ako se, na primjer, odnosi na krivični, a ne na građanski ili privredni postupak); izvršenje zahtjeva ne potpada pod nadležnost suda; zahtjev je nepotpun; lice čije se saslušanje traži poziva se na pravo da odbije davanje iskaza ili na zabranu davanja iskaza; stranka nije platila depozit ili avans u vezi sa troškovima konsultacija sa ekspertom.</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U slučaju odbijanja zahtjeva, zamoljeni sud mora o tome obavijestiti sud iz kojeg je upućen zahtjev (molioca) u roku od 60 dana od prijema zahtjeva.</w:t>
      </w:r>
    </w:p>
    <w:p w:rsidR="009A4FF4" w:rsidRDefault="009A4FF4" w:rsidP="009A4FF4">
      <w:pPr>
        <w:spacing w:line="240" w:lineRule="auto"/>
        <w:ind w:firstLine="708"/>
        <w:jc w:val="both"/>
        <w:rPr>
          <w:rFonts w:ascii="Arial" w:hAnsi="Arial" w:cs="Arial"/>
          <w:bCs/>
          <w:sz w:val="24"/>
          <w:szCs w:val="24"/>
        </w:rPr>
      </w:pPr>
      <w:r>
        <w:rPr>
          <w:rFonts w:ascii="Arial" w:hAnsi="Arial" w:cs="Arial"/>
          <w:bCs/>
          <w:sz w:val="24"/>
          <w:szCs w:val="24"/>
        </w:rPr>
        <w:t>Ako je to dozvoljeno pravom države suda molioca, predstavnici suda te države imaju pravo da prisustvuju preduzimanju tražene radnje. Stranke i njihovi predstavnici (ako ih ima) takođe mogu da budu prisutni.</w:t>
      </w:r>
    </w:p>
    <w:p w:rsidR="009A4FF4" w:rsidRDefault="009A4FF4" w:rsidP="009A4FF4">
      <w:pPr>
        <w:spacing w:line="240" w:lineRule="auto"/>
        <w:ind w:firstLine="708"/>
        <w:jc w:val="both"/>
        <w:rPr>
          <w:rFonts w:ascii="Arial" w:hAnsi="Arial" w:cs="Arial"/>
          <w:bCs/>
          <w:sz w:val="24"/>
          <w:szCs w:val="24"/>
        </w:rPr>
      </w:pPr>
    </w:p>
    <w:p w:rsidR="009A4FF4" w:rsidRDefault="009A4FF4" w:rsidP="009A4FF4">
      <w:pPr>
        <w:spacing w:line="240" w:lineRule="auto"/>
        <w:ind w:firstLine="708"/>
        <w:jc w:val="both"/>
        <w:rPr>
          <w:rFonts w:ascii="Arial" w:hAnsi="Arial" w:cs="Arial"/>
          <w:bCs/>
          <w:sz w:val="24"/>
          <w:szCs w:val="24"/>
        </w:rPr>
      </w:pPr>
    </w:p>
    <w:p w:rsidR="009A4FF4" w:rsidRDefault="009A4FF4" w:rsidP="009A4FF4">
      <w:pPr>
        <w:spacing w:line="240" w:lineRule="auto"/>
        <w:ind w:left="1440"/>
        <w:jc w:val="both"/>
        <w:rPr>
          <w:rFonts w:ascii="Arial" w:hAnsi="Arial" w:cs="Arial"/>
          <w:bCs/>
          <w:sz w:val="24"/>
          <w:szCs w:val="24"/>
          <w:u w:val="single"/>
        </w:rPr>
      </w:pPr>
      <w:bookmarkStart w:id="4" w:name="_Hlk47989753"/>
      <w:r>
        <w:rPr>
          <w:rFonts w:ascii="Arial" w:hAnsi="Arial" w:cs="Arial"/>
          <w:bCs/>
          <w:sz w:val="24"/>
          <w:szCs w:val="24"/>
          <w:u w:val="single"/>
        </w:rPr>
        <w:lastRenderedPageBreak/>
        <w:t>Zaključci Analize iz 2014. godine</w:t>
      </w:r>
    </w:p>
    <w:bookmarkEnd w:id="4"/>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Regulativa o dokazima ima za cilj unapređenje saradnje između sudova u pogledu izvođenja dokaza u građanskim i privrednim stvarima. U velikoj mjeri je zasnovana na Haškoj konvenciji o izvođenju dokaza u inostranstvu u građanskim i privrednim stvarima iz 1970. godine, iz koje je preuzela opštu strukturu, kao i niz odredbi. U tom kontekstu, činjenica da je Crna Gora potpisnica Haške konvencije iz 1970. godine dobrodošla je i zbog toga što iskustvo stečeno primjenom ovog multilateralnog ugovora pruža odličnu osnovu za obezbjeđenje usklađenosti crnogorskog zakonodavstva sa evropskom pravnom tekovinom u ovoj oblasti.</w:t>
      </w:r>
    </w:p>
    <w:p w:rsidR="009A4FF4" w:rsidRDefault="009A4FF4" w:rsidP="009A4FF4">
      <w:pPr>
        <w:autoSpaceDE w:val="0"/>
        <w:spacing w:after="0" w:line="240" w:lineRule="auto"/>
        <w:ind w:firstLine="720"/>
        <w:jc w:val="both"/>
        <w:rPr>
          <w:rFonts w:ascii="Arial" w:hAnsi="Arial" w:cs="Arial"/>
          <w:sz w:val="24"/>
          <w:szCs w:val="24"/>
        </w:rPr>
      </w:pPr>
      <w:r>
        <w:rPr>
          <w:rStyle w:val="Zadanifontodlomka"/>
          <w:rFonts w:ascii="Arial" w:hAnsi="Arial" w:cs="Arial"/>
          <w:sz w:val="24"/>
          <w:szCs w:val="24"/>
        </w:rPr>
        <w:t>Regulativa o dokazima ostavlja nepromijenjene odredbe Zakona o parničnom postupku o izvođenju i postupanju sa dokazima.</w:t>
      </w:r>
      <w:r>
        <w:rPr>
          <w:rFonts w:ascii="Arial" w:hAnsi="Arial" w:cs="Arial"/>
          <w:sz w:val="24"/>
          <w:szCs w:val="24"/>
        </w:rPr>
        <w:t xml:space="preserve"> Crna Gora mora da preduzme određene mjere kada to bude potrebno kako bi se obezbijedila potpuna usklađenost sa ovom regulativom u fazi pristupanja i stvorio okvir koji omogućava potpuno prenošenje Regulative, uključujući: obezbjeđivanje mogućnosti da strani sudovi direktno izvode dokaze ili da to čine crnogorski sudovi u inostranstvu; imenovanje centralnog organa za potrebe Regulative o dokazima (član 3); određivanje sudova nadležnih za izvođenje dokaza prema Regulativi i detaljno propisivanje njihove mjesne i posebne nadležnosti (član 2); imenovanje jednog ili više organa koji će biti odgovoran/i za donošenje odluka o zahtjevima za neposredno izvođenje dokaza od strane stranog suda (član 17); propisivanje jezika na kojima je moguće dostaviti zahtjeve (član 5).</w:t>
      </w:r>
    </w:p>
    <w:p w:rsidR="009A4FF4" w:rsidRDefault="009A4FF4" w:rsidP="009A4FF4">
      <w:pPr>
        <w:autoSpaceDE w:val="0"/>
        <w:spacing w:after="0" w:line="240" w:lineRule="auto"/>
        <w:ind w:left="1080"/>
        <w:jc w:val="both"/>
        <w:rPr>
          <w:rFonts w:ascii="Arial" w:hAnsi="Arial" w:cs="Arial"/>
          <w:sz w:val="24"/>
          <w:szCs w:val="24"/>
        </w:rPr>
      </w:pPr>
    </w:p>
    <w:p w:rsidR="009A4FF4" w:rsidRDefault="009A4FF4" w:rsidP="009A4FF4">
      <w:pPr>
        <w:autoSpaceDE w:val="0"/>
        <w:spacing w:after="0" w:line="240" w:lineRule="auto"/>
        <w:rPr>
          <w:rFonts w:ascii="Arial" w:hAnsi="Arial" w:cs="Arial"/>
          <w:sz w:val="24"/>
          <w:szCs w:val="24"/>
          <w:u w:val="single"/>
        </w:rPr>
      </w:pPr>
    </w:p>
    <w:p w:rsidR="009A4FF4" w:rsidRDefault="009A4FF4" w:rsidP="009A4FF4">
      <w:pPr>
        <w:pStyle w:val="Odlomakpopisa"/>
        <w:jc w:val="both"/>
        <w:rPr>
          <w:rFonts w:ascii="Arial" w:hAnsi="Arial" w:cs="Arial"/>
          <w:b/>
          <w:sz w:val="24"/>
          <w:szCs w:val="24"/>
        </w:rPr>
      </w:pPr>
      <w:r>
        <w:rPr>
          <w:rFonts w:ascii="Arial" w:hAnsi="Arial" w:cs="Arial"/>
          <w:b/>
          <w:sz w:val="24"/>
          <w:szCs w:val="24"/>
        </w:rPr>
        <w:t>Analiza usklađenosti Zakona o parničnom postupku sa odredbama Regulative o dokazima</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U nastavku slijedi detaljna analiza odredaba Zakona o parničnom postupku – Glava 34, kojima je prenesena Regulative o dokazima.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Član</w:t>
      </w:r>
      <w:r>
        <w:rPr>
          <w:rStyle w:val="Zadanifontodlomka"/>
          <w:rFonts w:ascii="Arial" w:hAnsi="Arial" w:cs="Arial"/>
          <w:bCs/>
          <w:iCs/>
          <w:sz w:val="24"/>
          <w:szCs w:val="24"/>
        </w:rPr>
        <w:t xml:space="preserve"> 508e</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ovaj član je u skladu sa zahtjevima iz člana 1 Regulative o dokazima, jer omogućava domaćim sudovima da zahtijevaju od nadležnog suda druge države članice da izvede dokaze; ili da izvodi dokaze direktno u drugoj državi članici, u sklopu građanskog i privrednog postupka, prema odredbama Regulative o dokazima.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Član</w:t>
      </w:r>
      <w:r>
        <w:rPr>
          <w:rStyle w:val="Zadanifontodlomka"/>
          <w:rFonts w:ascii="Arial" w:hAnsi="Arial" w:cs="Arial"/>
          <w:bCs/>
          <w:iCs/>
          <w:sz w:val="24"/>
          <w:szCs w:val="24"/>
        </w:rPr>
        <w:t xml:space="preserve"> 508ž</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kao što je predviđeno čl. 11 i 12 Regulative o dokazima, ovaj član omogućava sudu, strankama, njihovim zastupnicima i vještacima da prisustvuju izvođenju dokaza od strane zamoljenog suda.</w:t>
      </w:r>
      <w:r>
        <w:rPr>
          <w:rFonts w:ascii="Arial" w:hAnsi="Arial" w:cs="Arial"/>
          <w:sz w:val="24"/>
          <w:szCs w:val="24"/>
        </w:rPr>
        <w:t xml:space="preserve"> </w:t>
      </w:r>
      <w:r>
        <w:rPr>
          <w:rFonts w:ascii="Arial" w:hAnsi="Arial" w:cs="Arial"/>
          <w:bCs/>
          <w:sz w:val="24"/>
          <w:szCs w:val="24"/>
        </w:rPr>
        <w:t>Pored toga, ovim članom propisana je nadležnost sudije ili sudskog vijeća postupajućeg suda u Crnoj Gori da izvodi dokaze direktno u drugoj državi članici, u skladu sa članom 17 Regulative o dokazima.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Član</w:t>
      </w:r>
      <w:r>
        <w:rPr>
          <w:rStyle w:val="Zadanifontodlomka"/>
          <w:rFonts w:ascii="Arial" w:hAnsi="Arial" w:cs="Arial"/>
          <w:bCs/>
          <w:iCs/>
          <w:sz w:val="24"/>
          <w:szCs w:val="24"/>
        </w:rPr>
        <w:t xml:space="preserve"> 508z</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ovaj član je u skladu sa zahtjevima iz člana 2 Regulative o dokazima, jer određuje osnovne sudove koji će postupati na teritoriji svoje nadležnosti kao nadležni "zamoljeni sud" u smislu pomenutog člana.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Član</w:t>
      </w:r>
      <w:r>
        <w:rPr>
          <w:rStyle w:val="Zadanifontodlomka"/>
          <w:rFonts w:ascii="Arial" w:hAnsi="Arial" w:cs="Arial"/>
          <w:bCs/>
          <w:iCs/>
          <w:sz w:val="24"/>
          <w:szCs w:val="24"/>
        </w:rPr>
        <w:t xml:space="preserve"> 508i</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predmet ovog člana je određivanje jezika koji se koristi za pristigle zahtjeve, u smislu člana 5 Regulative o dokazima. Propisano je da zahtjev i druga komunikacija treba da budu sačinjeni na crnogorskom jeziku ili praćeni ovjerenim prevodom na crnogorski jezik. </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lastRenderedPageBreak/>
        <w:t>Član</w:t>
      </w:r>
      <w:r>
        <w:rPr>
          <w:rStyle w:val="Zadanifontodlomka"/>
          <w:rFonts w:ascii="Arial" w:hAnsi="Arial" w:cs="Arial"/>
          <w:bCs/>
          <w:iCs/>
          <w:sz w:val="24"/>
          <w:szCs w:val="24"/>
        </w:rPr>
        <w:t xml:space="preserve"> 508j</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centralni organ u Crnoj Gori, u smislu člana 3 Regulative o dokazima, je Ministarstvo pravde.</w:t>
      </w:r>
    </w:p>
    <w:p w:rsidR="009A4FF4" w:rsidRDefault="009A4FF4" w:rsidP="009A4FF4">
      <w:pPr>
        <w:pStyle w:val="Odlomakpopisa"/>
        <w:ind w:left="0"/>
        <w:jc w:val="both"/>
        <w:rPr>
          <w:rFonts w:ascii="Arial" w:hAnsi="Arial" w:cs="Arial"/>
          <w:bCs/>
          <w:sz w:val="24"/>
          <w:szCs w:val="24"/>
          <w:lang w:val="en-US"/>
        </w:rPr>
      </w:pPr>
    </w:p>
    <w:p w:rsidR="009A4FF4" w:rsidRDefault="009A4FF4" w:rsidP="009A4FF4">
      <w:pPr>
        <w:pStyle w:val="Odlomakpopisa"/>
        <w:jc w:val="both"/>
        <w:rPr>
          <w:rFonts w:ascii="Arial" w:hAnsi="Arial" w:cs="Arial"/>
          <w:b/>
          <w:bCs/>
          <w:sz w:val="24"/>
          <w:szCs w:val="24"/>
        </w:rPr>
      </w:pPr>
      <w:r>
        <w:rPr>
          <w:rFonts w:ascii="Arial" w:hAnsi="Arial" w:cs="Arial"/>
          <w:b/>
          <w:bCs/>
          <w:sz w:val="24"/>
          <w:szCs w:val="24"/>
        </w:rPr>
        <w:t>2.3.3. BUDUĆI TOK DOGAĐAJA</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 xml:space="preserve">Treba napomenuti da su 30. juna 2020. godine Predsjedništvo Savjeta i Evropski parlament postigli privremeni sporazum o izmjenama </w:t>
      </w:r>
      <w:r w:rsidR="00B373A5">
        <w:rPr>
          <w:rFonts w:ascii="Arial" w:hAnsi="Arial" w:cs="Arial"/>
          <w:bCs/>
          <w:sz w:val="24"/>
          <w:szCs w:val="24"/>
        </w:rPr>
        <w:t>Regulative o dostavljanju i Regulative o dokazima</w:t>
      </w:r>
      <w:r>
        <w:rPr>
          <w:rFonts w:ascii="Arial" w:hAnsi="Arial" w:cs="Arial"/>
          <w:bCs/>
          <w:sz w:val="24"/>
          <w:szCs w:val="24"/>
        </w:rPr>
        <w:t xml:space="preserve">. Očekuje se da će preinačene regulative biti usvojene pod njemačkim predsjedavanjem Savjetom Evropske unije. </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Nacrti propisa predviđaju modernizaciju pravosudne saradnje u građanskim i privrednim stvarima u oblastima izvođenja dokaza i uručenja pismena. Unapređuje se efikasnost i brzina prekograničnih sudskih postupaka iskorišćavanjem prednosti digitalizacije i upotrebe savremene tehnologije, čime se obezbjeđuje efikasniji pristup pravdi i pravičnom suđenju za stranke.</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Promjene u oba propisa uključuju obaveznu upotrebu elektronskog decentralizovanog IT sistema, koji se sastoji od međusobno povezanih nacionalnih IT sistema za slanje pismena i zahtjeva između država članica. Nacrti propisa, takođe, zadužuju Komisiju za kreiranje, održavanje i budući razvoj referentnog softvera koji države članice mogu da odluče da koriste kao svoj glavni (back-end) sistem, umjesto nacionalno razvijenog IT sistema.</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Što se tiče uručenja pismena, prema nacrtu novih pravila, pismena se mogu dostaviti elektronskim putem i direktno primaocu sa poznatom adresom u drugoj državi članici, kada je za to unaprijed dat njegov/njen izričit pristanak. Dostava se može izvršiti putem kvalifikovanih elektronskih servisa preporučene dostave ili, pod dodatnim uslovima, putem e-pošte.</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Pored toga, nacrt novih pravila promoviše upotrebu video konferencija ili druge tehnologije komunikacije na daljinu prilikom izvođenja dokaza koji podrazumijevaju saslušanje svjedoka, stranaka ili vještaka u drugoj državi članici.</w:t>
      </w:r>
    </w:p>
    <w:p w:rsidR="009A4FF4" w:rsidRDefault="009A4FF4" w:rsidP="009A4FF4">
      <w:pPr>
        <w:spacing w:line="240" w:lineRule="auto"/>
        <w:jc w:val="both"/>
        <w:rPr>
          <w:rFonts w:ascii="Arial" w:hAnsi="Arial" w:cs="Arial"/>
          <w:sz w:val="24"/>
          <w:szCs w:val="24"/>
          <w:u w:val="single"/>
        </w:rPr>
      </w:pPr>
    </w:p>
    <w:p w:rsidR="009A4FF4" w:rsidRDefault="009A4FF4" w:rsidP="009A4FF4">
      <w:pPr>
        <w:spacing w:line="240" w:lineRule="auto"/>
        <w:ind w:firstLine="708"/>
        <w:jc w:val="both"/>
        <w:rPr>
          <w:rFonts w:ascii="Arial" w:hAnsi="Arial" w:cs="Arial"/>
          <w:b/>
          <w:sz w:val="24"/>
          <w:szCs w:val="24"/>
        </w:rPr>
      </w:pPr>
      <w:r>
        <w:rPr>
          <w:rFonts w:ascii="Arial" w:hAnsi="Arial" w:cs="Arial"/>
          <w:b/>
          <w:sz w:val="24"/>
          <w:szCs w:val="24"/>
        </w:rPr>
        <w:t>2.3.4. ZAKLJUČCI I PREPORUKE</w:t>
      </w:r>
    </w:p>
    <w:p w:rsidR="009A4FF4" w:rsidRDefault="009A4FF4" w:rsidP="009A4FF4">
      <w:pPr>
        <w:spacing w:line="240" w:lineRule="auto"/>
        <w:ind w:firstLine="708"/>
        <w:jc w:val="both"/>
        <w:rPr>
          <w:rFonts w:ascii="Arial" w:hAnsi="Arial" w:cs="Arial"/>
          <w:sz w:val="24"/>
          <w:szCs w:val="24"/>
        </w:rPr>
      </w:pPr>
      <w:r>
        <w:rPr>
          <w:rFonts w:ascii="Arial" w:hAnsi="Arial" w:cs="Arial"/>
          <w:sz w:val="24"/>
          <w:szCs w:val="24"/>
        </w:rPr>
        <w:t xml:space="preserve">Analiza relevantnih odredaba Zakona o parničnom postupku pokazala je da je crnogorsko zakonodavstvo u potpunosti usklađeno sa regulativama o dostavljanju i dokazima. Zakonom su propisani svi neophodni uslovi za nesmetanu primjenu navedenih instrumenata. </w:t>
      </w:r>
    </w:p>
    <w:p w:rsidR="009A4FF4" w:rsidRDefault="009A4FF4" w:rsidP="009A4FF4">
      <w:pPr>
        <w:spacing w:line="240" w:lineRule="auto"/>
        <w:ind w:firstLine="708"/>
        <w:jc w:val="both"/>
        <w:rPr>
          <w:rFonts w:ascii="Arial" w:hAnsi="Arial" w:cs="Arial"/>
          <w:sz w:val="24"/>
          <w:szCs w:val="24"/>
        </w:rPr>
      </w:pPr>
      <w:r>
        <w:rPr>
          <w:rFonts w:ascii="Arial" w:hAnsi="Arial" w:cs="Arial"/>
          <w:sz w:val="24"/>
          <w:szCs w:val="24"/>
        </w:rPr>
        <w:t xml:space="preserve">Crnogorsko zakonodavno rješenje za prenošenje ovih instrumenata u skladu je i sa domaćim organizacionim i procesnim aranžmanima u pogledu parničnog postupka. Sve procesne odredbe sadržane su u jednom zakonskom aktu, bez obzira na to da li postupak ima međunarodnim element. Ovo doprinosi pravnoj sigurnosti i jasnoći normi, kao i većoj ujednačenosti u primjeni zakona. </w:t>
      </w:r>
    </w:p>
    <w:p w:rsidR="009A4FF4" w:rsidRDefault="009A4FF4" w:rsidP="009A4FF4">
      <w:pPr>
        <w:spacing w:line="240" w:lineRule="auto"/>
        <w:ind w:firstLine="708"/>
        <w:jc w:val="both"/>
        <w:rPr>
          <w:rFonts w:ascii="Arial" w:hAnsi="Arial" w:cs="Arial"/>
          <w:sz w:val="24"/>
          <w:szCs w:val="24"/>
        </w:rPr>
      </w:pPr>
      <w:r>
        <w:rPr>
          <w:rFonts w:ascii="Arial" w:hAnsi="Arial" w:cs="Arial"/>
          <w:sz w:val="24"/>
          <w:szCs w:val="24"/>
        </w:rPr>
        <w:t xml:space="preserve">Budući tok događaja u oblasti pravosudne pomoći stavlja naglasak na unapređenje efikasnosti prekograničnih sudskih postupaka iskorišćavanjem prednosti digitalizacije i upotrebe savremene tehnologije. Takav tok događaja otvoriće potpuno novo poglavlje u oblasti sprovođenja pravde i stvoriti nove izazove na koje će Crna Gora morati adekvatno da reaguje. </w:t>
      </w:r>
    </w:p>
    <w:p w:rsidR="009A4FF4" w:rsidRDefault="009A4FF4" w:rsidP="009A4FF4">
      <w:pPr>
        <w:spacing w:line="240" w:lineRule="auto"/>
        <w:ind w:firstLine="708"/>
        <w:jc w:val="both"/>
        <w:rPr>
          <w:rFonts w:ascii="Arial" w:hAnsi="Arial" w:cs="Arial"/>
          <w:sz w:val="24"/>
          <w:szCs w:val="24"/>
        </w:rPr>
      </w:pPr>
      <w:r>
        <w:rPr>
          <w:rFonts w:ascii="Arial" w:hAnsi="Arial" w:cs="Arial"/>
          <w:sz w:val="24"/>
          <w:szCs w:val="24"/>
        </w:rPr>
        <w:lastRenderedPageBreak/>
        <w:t xml:space="preserve">Posvećenost naporima koji će usmjeravati crnogorski pravosudni sistem na putu digitalne transformacije biće sljedeći korak u tom pogledu. </w:t>
      </w:r>
    </w:p>
    <w:p w:rsidR="009A4FF4" w:rsidRDefault="009A4FF4" w:rsidP="009A4FF4">
      <w:pPr>
        <w:spacing w:line="240" w:lineRule="auto"/>
        <w:ind w:left="1080"/>
        <w:jc w:val="both"/>
        <w:rPr>
          <w:rFonts w:ascii="Arial" w:hAnsi="Arial" w:cs="Arial"/>
          <w:sz w:val="24"/>
          <w:szCs w:val="24"/>
        </w:rPr>
      </w:pPr>
    </w:p>
    <w:p w:rsidR="009A4FF4" w:rsidRDefault="009A4FF4" w:rsidP="009A4FF4">
      <w:pPr>
        <w:spacing w:line="240" w:lineRule="auto"/>
        <w:ind w:firstLine="708"/>
        <w:jc w:val="both"/>
        <w:rPr>
          <w:rFonts w:ascii="Arial" w:hAnsi="Arial" w:cs="Arial"/>
          <w:b/>
          <w:bCs/>
          <w:sz w:val="24"/>
          <w:szCs w:val="24"/>
        </w:rPr>
      </w:pPr>
      <w:r>
        <w:rPr>
          <w:rFonts w:ascii="Arial" w:hAnsi="Arial" w:cs="Arial"/>
          <w:b/>
          <w:bCs/>
          <w:sz w:val="24"/>
          <w:szCs w:val="24"/>
        </w:rPr>
        <w:t>2.4. EVROPSKI POSTUPCI</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Evropska unija je usvojila četiri regulative koje omogućavaju brzu i efikasnu naplatu nenamirenog duga (zajednički nazvani "evropski postupci"). Tri regulative stvaraju jedinstvene evropske postupke koji su na raspolaganju strankama u sporu kao alternativa postupcima koji postoje prema domaćem pravu. Četvrta regulativa predviđa da sud koji je donio presudu potvrđuje da su ispunjeni određeni minimalni procesni standardi. Odluke donijete u ovim postupcima priznaju se i izvršavaju u drugoj državi članici bez prethodnog postupka priznanja i pribavljanja potvrde izvršnosti (egzekvatura). Postupci su dostupni samo u vezi sa prekograničnim slučajevima.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 xml:space="preserve">Navedeni zakonodavni akti (prema redoslijedu usvajanja) su: </w:t>
      </w:r>
      <w:r>
        <w:rPr>
          <w:rStyle w:val="Zadanifontodlomka"/>
          <w:rFonts w:ascii="Arial" w:hAnsi="Arial" w:cs="Arial"/>
          <w:sz w:val="24"/>
          <w:szCs w:val="24"/>
        </w:rPr>
        <w:t xml:space="preserve">Regulativa Evropskog parlamenta i Savjeta (EZ) br. 805/2004 od 21.04.2004. godine o uvođenju </w:t>
      </w:r>
      <w:bookmarkStart w:id="5" w:name="_Hlk47872591"/>
      <w:r>
        <w:rPr>
          <w:rStyle w:val="Zadanifontodlomka"/>
          <w:rFonts w:ascii="Arial" w:hAnsi="Arial" w:cs="Arial"/>
          <w:sz w:val="24"/>
          <w:szCs w:val="24"/>
        </w:rPr>
        <w:t>evropskog naloga za izvršenje nespornih potraživanja</w:t>
      </w:r>
      <w:bookmarkEnd w:id="5"/>
      <w:r>
        <w:rPr>
          <w:rStyle w:val="Zadanifontodlomka"/>
          <w:rFonts w:ascii="Arial" w:hAnsi="Arial" w:cs="Arial"/>
          <w:sz w:val="24"/>
          <w:szCs w:val="24"/>
        </w:rPr>
        <w:t xml:space="preserve"> Regulativa Evropskog parlamenta i Savjeta (EZ) br. 1896/2006 od 12.12.2006. godine o uvođenju postupka za evropski platni nalog, Regulativa Evropskog parlamenta i Savjeta (EZ) br. 861/2007 od 11.07.2007. godine o uvođenju evropskog postupka za sporove male vrijednosti i Regulativa (EU) br. 655/2014 Evropskog parlamenta i Savjeta od 15. maja 2014. godine o uspostavljanju evropskog postupka za nalog za blokadu računa kako bi se pojednostavila prekogranična naplata duga u građanskim i privrednim stvarima.</w:t>
      </w:r>
    </w:p>
    <w:p w:rsidR="009A4FF4" w:rsidRDefault="009A4FF4" w:rsidP="009A4FF4">
      <w:pPr>
        <w:pStyle w:val="Odlomakpopisa"/>
        <w:ind w:left="1080"/>
        <w:jc w:val="both"/>
        <w:rPr>
          <w:rFonts w:ascii="Arial" w:hAnsi="Arial" w:cs="Arial"/>
          <w:sz w:val="24"/>
          <w:szCs w:val="24"/>
          <w:lang w:val="en-US"/>
        </w:rPr>
      </w:pPr>
    </w:p>
    <w:p w:rsidR="009A4FF4" w:rsidRDefault="009A4FF4" w:rsidP="009A4FF4">
      <w:pPr>
        <w:pStyle w:val="Odlomakpopisa"/>
        <w:ind w:left="1080"/>
        <w:jc w:val="both"/>
        <w:rPr>
          <w:rFonts w:ascii="Arial" w:hAnsi="Arial" w:cs="Arial"/>
          <w:sz w:val="24"/>
          <w:szCs w:val="24"/>
        </w:rPr>
      </w:pPr>
      <w:r>
        <w:rPr>
          <w:rStyle w:val="Zadanifontodlomka"/>
          <w:rFonts w:ascii="Arial" w:hAnsi="Arial" w:cs="Arial"/>
          <w:sz w:val="24"/>
          <w:szCs w:val="24"/>
        </w:rPr>
        <w:tab/>
      </w:r>
      <w:r>
        <w:rPr>
          <w:rStyle w:val="Zadanifontodlomka"/>
          <w:rFonts w:ascii="Arial" w:hAnsi="Arial" w:cs="Arial"/>
          <w:sz w:val="24"/>
          <w:szCs w:val="24"/>
          <w:u w:val="single"/>
        </w:rPr>
        <w:t>Pregled</w:t>
      </w:r>
    </w:p>
    <w:p w:rsidR="009A4FF4" w:rsidRDefault="009A4FF4" w:rsidP="009A4FF4">
      <w:pPr>
        <w:spacing w:line="240" w:lineRule="auto"/>
        <w:ind w:firstLine="720"/>
        <w:jc w:val="both"/>
        <w:rPr>
          <w:rFonts w:ascii="Arial" w:hAnsi="Arial" w:cs="Arial"/>
          <w:bCs/>
          <w:sz w:val="24"/>
          <w:szCs w:val="24"/>
          <w:lang w:val="sr-Latn-ME"/>
        </w:rPr>
      </w:pPr>
      <w:r>
        <w:rPr>
          <w:rFonts w:ascii="Arial" w:hAnsi="Arial" w:cs="Arial"/>
          <w:bCs/>
          <w:sz w:val="24"/>
          <w:szCs w:val="24"/>
        </w:rPr>
        <w:t xml:space="preserve">Evropski nalog za izvršenje nespornih potraživanja </w:t>
      </w:r>
      <w:r>
        <w:rPr>
          <w:rFonts w:ascii="Arial" w:hAnsi="Arial" w:cs="Arial"/>
          <w:bCs/>
          <w:sz w:val="24"/>
          <w:szCs w:val="24"/>
        </w:rPr>
        <w:sym w:font="Symbol" w:char="F02D"/>
      </w:r>
      <w:r>
        <w:rPr>
          <w:rFonts w:ascii="Arial" w:hAnsi="Arial" w:cs="Arial"/>
          <w:bCs/>
          <w:sz w:val="24"/>
          <w:szCs w:val="24"/>
        </w:rPr>
        <w:t xml:space="preserve"> EEO</w:t>
      </w:r>
    </w:p>
    <w:p w:rsidR="009A4FF4" w:rsidRDefault="009A4FF4" w:rsidP="009A4FF4">
      <w:pPr>
        <w:spacing w:line="240" w:lineRule="auto"/>
        <w:ind w:firstLine="720"/>
        <w:jc w:val="both"/>
        <w:rPr>
          <w:rFonts w:ascii="Arial" w:hAnsi="Arial" w:cs="Arial"/>
          <w:sz w:val="24"/>
          <w:szCs w:val="24"/>
        </w:rPr>
      </w:pPr>
      <w:r>
        <w:rPr>
          <w:rStyle w:val="Zadanifontodlomka"/>
          <w:rFonts w:ascii="Arial" w:hAnsi="Arial" w:cs="Arial"/>
          <w:bCs/>
          <w:sz w:val="24"/>
          <w:szCs w:val="24"/>
        </w:rPr>
        <w:t>Svrha Regulative o uvođenju evropskog naloga za izvršenje nespornih potraživanja bila je eliminisanje bilo koje prethodne radnje koja se preduzima prije izvršenja odluke u državi članici koja nije država članica u kojoj je donijeta odluka, utvrđivanjem minimuma procesnih standarda. Ova regulativa se primjenjuje, uz jedan broj izuzetaka, u građanskim i privrednim stvarima, bez obzira na vrstu suda. Koncept nespornog potraživanja obuhvata sve situacije u kojima je povjerilac, s obzirom na dokazivo nepostojanje bilo kakvih naznaka da dužnik osporava vrstu ili veličinu novčanog potraživanja, dobio ili sudsku odluku protiv tog dužnika ili posjeduje izvršnu ispravu koja garantuje ili potvrđuje dug koji zahtijeva izričitu saglasnost dužnika u obliku vjerodostojne isprave ili sudski odobrenog poravnanja.</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 xml:space="preserve">Evropski platni nalog </w:t>
      </w:r>
      <w:r>
        <w:rPr>
          <w:rFonts w:ascii="Arial" w:hAnsi="Arial" w:cs="Arial"/>
          <w:bCs/>
          <w:sz w:val="24"/>
          <w:szCs w:val="24"/>
        </w:rPr>
        <w:sym w:font="Symbol" w:char="F02D"/>
      </w:r>
      <w:r>
        <w:rPr>
          <w:rFonts w:ascii="Arial" w:hAnsi="Arial" w:cs="Arial"/>
          <w:bCs/>
          <w:sz w:val="24"/>
          <w:szCs w:val="24"/>
        </w:rPr>
        <w:t xml:space="preserve"> EOP</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 xml:space="preserve">Ovaj postupak ima određene sličnosti sa evropskim nalogom za izvršenje nespornih potraživanja po tome što obuhvata prekogranična novčana potraživanja koja se ne osporavaju i dovodi do izdavanja naloga koji je izvršiv u drugim državama članicama bez prethodnih postupaka utvrđenih Regulativom Brisel I. Za razliku od evropskog naloga za izvršenje nespornih potraživanja, nije potrebno prvo imati sudski nalog ili dokument o dugu, kao što su autentični instrument ili sudsko poravnanje. Evropski platni nalog se može koristiti samo za novčana potraživanja za određene iznose koji su dospjeli kada se podnese zahtjev za izdavanje naloga. Postupak </w:t>
      </w:r>
      <w:r>
        <w:rPr>
          <w:rFonts w:ascii="Arial" w:hAnsi="Arial" w:cs="Arial"/>
          <w:bCs/>
          <w:sz w:val="24"/>
          <w:szCs w:val="24"/>
        </w:rPr>
        <w:lastRenderedPageBreak/>
        <w:t>evropskog platnog naloga je čisto pisani postupak i sam po sebi ne uključuje raspravu pred sudom, osim ako se</w:t>
      </w:r>
      <w:r w:rsidR="005E0234">
        <w:rPr>
          <w:rFonts w:ascii="Arial" w:hAnsi="Arial" w:cs="Arial"/>
          <w:bCs/>
          <w:sz w:val="24"/>
          <w:szCs w:val="24"/>
        </w:rPr>
        <w:t xml:space="preserve"> isti</w:t>
      </w:r>
      <w:r>
        <w:rPr>
          <w:rFonts w:ascii="Arial" w:hAnsi="Arial" w:cs="Arial"/>
          <w:bCs/>
          <w:sz w:val="24"/>
          <w:szCs w:val="24"/>
        </w:rPr>
        <w:t xml:space="preserve"> ne ospori ili sve dok se to ne dogodi. Kada dođe do osporavanja evropskog platnog naloga, predmet prestaje da se vodi u sklopu evropskog platnog naloga; ako tužilac želi da se nastavi vođenje predmeta, to se mora uraditi u sklopu drugog odgovarajućeg postupka.</w:t>
      </w:r>
    </w:p>
    <w:p w:rsidR="009A4FF4" w:rsidRDefault="009A4FF4" w:rsidP="009A4FF4">
      <w:pPr>
        <w:spacing w:line="240" w:lineRule="auto"/>
        <w:ind w:left="1080"/>
        <w:jc w:val="both"/>
        <w:rPr>
          <w:rFonts w:ascii="Arial" w:hAnsi="Arial" w:cs="Arial"/>
          <w:bCs/>
          <w:sz w:val="24"/>
          <w:szCs w:val="24"/>
        </w:rPr>
      </w:pP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 xml:space="preserve">Evropski postupak za sporove male vrijednosti </w:t>
      </w:r>
      <w:r>
        <w:rPr>
          <w:rFonts w:ascii="Arial" w:hAnsi="Arial" w:cs="Arial"/>
          <w:bCs/>
          <w:sz w:val="24"/>
          <w:szCs w:val="24"/>
        </w:rPr>
        <w:sym w:font="Symbol" w:char="F02D"/>
      </w:r>
      <w:r>
        <w:rPr>
          <w:rFonts w:ascii="Arial" w:hAnsi="Arial" w:cs="Arial"/>
          <w:bCs/>
          <w:sz w:val="24"/>
          <w:szCs w:val="24"/>
        </w:rPr>
        <w:t xml:space="preserve"> ESCP</w:t>
      </w:r>
    </w:p>
    <w:p w:rsidR="009A4FF4" w:rsidRDefault="009A4FF4" w:rsidP="009A4FF4">
      <w:pPr>
        <w:spacing w:line="240" w:lineRule="auto"/>
        <w:ind w:firstLine="720"/>
        <w:jc w:val="both"/>
        <w:rPr>
          <w:rFonts w:ascii="Arial" w:hAnsi="Arial" w:cs="Arial"/>
          <w:sz w:val="24"/>
          <w:szCs w:val="24"/>
        </w:rPr>
      </w:pPr>
      <w:r>
        <w:rPr>
          <w:rStyle w:val="Zadanifontodlomka"/>
          <w:rFonts w:ascii="Arial" w:hAnsi="Arial" w:cs="Arial"/>
          <w:bCs/>
          <w:sz w:val="24"/>
          <w:szCs w:val="24"/>
        </w:rPr>
        <w:t>Evropski postupak za sporove male vrijednosti je treći postupak u kome su umanjene prethodne mjere potrebne za priznanje i izvršenje presuda.</w:t>
      </w:r>
      <w:r>
        <w:rPr>
          <w:rStyle w:val="Zadanifontodlomka"/>
          <w:rFonts w:ascii="Arial" w:hAnsi="Arial" w:cs="Arial"/>
          <w:sz w:val="24"/>
          <w:szCs w:val="24"/>
        </w:rPr>
        <w:t xml:space="preserve"> </w:t>
      </w:r>
      <w:r>
        <w:rPr>
          <w:rStyle w:val="Zadanifontodlomka"/>
          <w:rFonts w:ascii="Arial" w:hAnsi="Arial" w:cs="Arial"/>
          <w:bCs/>
          <w:sz w:val="24"/>
          <w:szCs w:val="24"/>
        </w:rPr>
        <w:t>U tom pogledu je sličan postupcima evropskog naloga za izvršenje nespornih potraživanja i evropskog platnog naloga, ali se u ostalim pogledima veoma razlikuje od ta dva postupka. Na prvom mjestu, evropski postupak za sporove male vrijednosti obuhvata i sporne i nesporne predmete, tako da sadrži odredbe procesne prirode, uključujući odredbe o održavanju usmene rasprave i izvođenju dokaza. Sadrži i niz vremenskih ograničenja koja bi, ukoliko se poštuju, trebala da omoguće da se postupak čak i u slučajevima u kojima se tužbeni zahtjev osporava završi brže nego u drugim postupcima. Evropski postupak za sporove male vrijednosti je, u osnovi, pisani postupak i predviđeno je da ga tužioci i tuženi mogu koristiti sa minimalnim teškoćama i bez potrebe za pravnim zastupanjem, mada ono nije isključeno. Evropski postupak za sporove male vrijednosti je, kao i evropski platni nalog, dostupan samo za prekogranične predmete i predstavlja alternativu domaćim postupcima slične vrste.</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 xml:space="preserve">Evropski nalog za blokadu računa </w:t>
      </w:r>
      <w:r>
        <w:rPr>
          <w:rFonts w:ascii="Arial" w:hAnsi="Arial" w:cs="Arial"/>
          <w:bCs/>
          <w:sz w:val="24"/>
          <w:szCs w:val="24"/>
        </w:rPr>
        <w:sym w:font="Symbol" w:char="F02D"/>
      </w:r>
      <w:r>
        <w:rPr>
          <w:rFonts w:ascii="Arial" w:hAnsi="Arial" w:cs="Arial"/>
          <w:bCs/>
          <w:sz w:val="24"/>
          <w:szCs w:val="24"/>
        </w:rPr>
        <w:t xml:space="preserve"> EAPO</w:t>
      </w:r>
    </w:p>
    <w:p w:rsidR="009A4FF4" w:rsidRDefault="009A4FF4" w:rsidP="009A4FF4">
      <w:pPr>
        <w:spacing w:line="240" w:lineRule="auto"/>
        <w:ind w:firstLine="720"/>
        <w:jc w:val="both"/>
        <w:rPr>
          <w:rFonts w:ascii="Arial" w:hAnsi="Arial" w:cs="Arial"/>
          <w:sz w:val="24"/>
          <w:szCs w:val="24"/>
        </w:rPr>
      </w:pPr>
      <w:r>
        <w:rPr>
          <w:rStyle w:val="Zadanifontodlomka"/>
          <w:rFonts w:ascii="Arial" w:hAnsi="Arial" w:cs="Arial"/>
          <w:bCs/>
          <w:sz w:val="24"/>
          <w:szCs w:val="24"/>
        </w:rPr>
        <w:t>Postupak evropskog naloga za blokadu računa omogućava izdavanje jedinstvenog naloga od strane sudova jedne države članice koji bi mogao "zamrznuti" bilo koji bankovni račun dužnika u bilo kojoj državi članici EU. Nalog treba izdati bez saslušanja dužnika kako bi se spriječilo da prenese sredstva koja će biti sačuvana tokom perioda potrebnog za sprovođenje naloga. Kao protivteža tome, postupak predviđa garancije za dužnike kako bi se osiguralo da "zamrznuti" iznos predstavlja iznos legitimnog potraživanja povjerioca i da se dužniku pruža prilika da se odmah brati sudu i ospori nalog.</w:t>
      </w:r>
    </w:p>
    <w:p w:rsidR="009A4FF4" w:rsidRDefault="009A4FF4" w:rsidP="009A4FF4">
      <w:pPr>
        <w:spacing w:line="240" w:lineRule="auto"/>
        <w:ind w:left="1080"/>
        <w:jc w:val="both"/>
        <w:rPr>
          <w:rFonts w:ascii="Arial" w:hAnsi="Arial" w:cs="Arial"/>
          <w:bCs/>
          <w:sz w:val="24"/>
          <w:szCs w:val="24"/>
        </w:rPr>
      </w:pPr>
    </w:p>
    <w:p w:rsidR="009A4FF4" w:rsidRDefault="009A4FF4" w:rsidP="009A4FF4">
      <w:pPr>
        <w:pStyle w:val="Odlomakpopisa"/>
        <w:ind w:firstLine="720"/>
        <w:jc w:val="both"/>
        <w:rPr>
          <w:rFonts w:ascii="Arial" w:hAnsi="Arial" w:cs="Arial"/>
          <w:bCs/>
          <w:sz w:val="24"/>
          <w:szCs w:val="24"/>
          <w:u w:val="single"/>
        </w:rPr>
      </w:pPr>
      <w:r>
        <w:rPr>
          <w:rFonts w:ascii="Arial" w:hAnsi="Arial" w:cs="Arial"/>
          <w:bCs/>
          <w:sz w:val="24"/>
          <w:szCs w:val="24"/>
          <w:u w:val="single"/>
        </w:rPr>
        <w:t>Zaključci Analize iz 2014. godine</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 xml:space="preserve">Potpuno prenošenje regulativa o evropskom nalogu za izvršenje nespornih potraživanja, evropskom platnom nalogu i evropskom postupku za sporove male vrijednosti zahtijevaće zakonodavnu reformu (koja će obuhvatati Zakon o međunarodnom privatnom pravu, Zakon o parničnom postupku i Zakon o izvršenju i obezbjeđenju), kako bi se formulisale neophodne odredbe koje će omogućiti crnogorskim sudovima da potvrđuju odluke kao evropske izvršne naloge za nesporna potraživanja, izdaju evropske platne naloge ili nude evropske postupke za sporove male vrijednosti i izvršavaju strane izvršne naloge za nesporna potraživanja, evropske platne naloge i odluke donijete na osnovu evropskog postupka za sporove male vrijednosti, u skladu sa relevantnim propisima. </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Analiza iz 2014. godine ne uključuje postupak evropskog naloga za blokadu računa.</w:t>
      </w:r>
    </w:p>
    <w:p w:rsidR="009A4FF4" w:rsidRDefault="009A4FF4" w:rsidP="009A4FF4">
      <w:pPr>
        <w:pStyle w:val="Odlomakpopisa"/>
        <w:ind w:left="0" w:firstLine="720"/>
        <w:jc w:val="both"/>
        <w:rPr>
          <w:rFonts w:ascii="Arial" w:hAnsi="Arial" w:cs="Arial"/>
          <w:bCs/>
          <w:sz w:val="24"/>
          <w:szCs w:val="24"/>
        </w:rPr>
      </w:pPr>
    </w:p>
    <w:p w:rsidR="009A4FF4" w:rsidRDefault="009A4FF4" w:rsidP="009A4FF4">
      <w:pPr>
        <w:pStyle w:val="Odlomakpopisa"/>
        <w:ind w:left="1080"/>
        <w:jc w:val="both"/>
        <w:rPr>
          <w:rFonts w:ascii="Arial" w:hAnsi="Arial" w:cs="Arial"/>
          <w:bCs/>
          <w:sz w:val="24"/>
          <w:szCs w:val="24"/>
          <w:lang w:val="en-US"/>
        </w:rPr>
      </w:pPr>
    </w:p>
    <w:p w:rsidR="009A4FF4" w:rsidRDefault="009A4FF4" w:rsidP="009A4FF4">
      <w:pPr>
        <w:pStyle w:val="Odlomakpopisa"/>
        <w:ind w:left="1080" w:firstLine="336"/>
        <w:jc w:val="both"/>
        <w:rPr>
          <w:rFonts w:ascii="Arial" w:hAnsi="Arial" w:cs="Arial"/>
          <w:bCs/>
          <w:sz w:val="24"/>
          <w:szCs w:val="24"/>
          <w:u w:val="single"/>
        </w:rPr>
      </w:pPr>
      <w:r>
        <w:rPr>
          <w:rFonts w:ascii="Arial" w:hAnsi="Arial" w:cs="Arial"/>
          <w:bCs/>
          <w:sz w:val="24"/>
          <w:szCs w:val="24"/>
          <w:u w:val="single"/>
        </w:rPr>
        <w:t>Analiza zakonskih akata kojima je izvršeno prenošenje</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 xml:space="preserve">Relevantne regulative kojima se uspostavljaju autonomni evropski parnični i izvršni postupci djelimično su prenesene Zakonom o izmjenama i dopunama Zakona o parničnom postupku (evropski postupak za sporove male vrijednosti i postupak za evropski platni nalog), a djelimično Zakonom o izmjenama i dopunama Zakona o izvršenju i obezbjeđenju, kojim su uvedene odredbe o izvršenju u vezi sa evropskim nalogom za izvršenje nespornih potraživanja, evropskim postupkom za sporove male vrijednosti i evropskim platnim nalogom. </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 xml:space="preserve">Zakon o izmjenama i dopunama Zakona o izvršenju i obezbjeđenju objavljen je u "Službenom listu Crne Gore", br. 25/19 od 30. aprila  2019. godine i stupio je na snagu 8. maja 2019. godine, sa odloženom primjenom odredaba iz GLAVE IIIa, koje se odnose na evropski nalog za izvršenje nespornih potraživanja, evropski postupak u sporovima male vrijednosti i </w:t>
      </w:r>
      <w:bookmarkStart w:id="6" w:name="_Hlk47875308"/>
      <w:r>
        <w:rPr>
          <w:rFonts w:ascii="Arial" w:hAnsi="Arial" w:cs="Arial"/>
          <w:bCs/>
          <w:sz w:val="24"/>
          <w:szCs w:val="24"/>
        </w:rPr>
        <w:t>evropski platni nalog</w:t>
      </w:r>
      <w:bookmarkEnd w:id="6"/>
      <w:r>
        <w:rPr>
          <w:rFonts w:ascii="Arial" w:hAnsi="Arial" w:cs="Arial"/>
          <w:bCs/>
          <w:sz w:val="24"/>
          <w:szCs w:val="24"/>
        </w:rPr>
        <w:t>, do dana pristupanja Crne Gore Evropskoj uniji.</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 xml:space="preserve">Ovim izmjenama i dopunama nije uveden postupak evropskog naloga za blokadu računa. Ovaj relativno novi instrument može se transponovati u Zakon o izmjenama i dopunama Zakona o izvršenju i obezbjeđenju. Takva izmjena je neophodna u okviru kratkoročnih aktivnosti kako bi se postigla potpuna usklađenost sa relevantnom pravnom tekovinom EU. </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Metodologija prenošenja usklađena je sa zakonodavnim pristupom koji se ne sastoji od kreiranja novih zakonskih akata kojima se prenos vrši, već od izmjene postojećeg procesnog okvira.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 xml:space="preserve">Analizirane su odredbe o postupku za sporove male vrijednosti i postupku za platni nalog iz relevantnih propisa. Zakon o parničnom postupku izmijenjen je odredbama koje uređuju prekogranični sudski postupak do donošenja pravosnažne odluke, a u Zakon o izvršenju i obezbjeđenju unesene su odredbe regulativa o izvršenju naloga i presuda koje je izdao, odnosno donio sud druge države članice. </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 xml:space="preserve">Ovo rješenje se smatra povoljnim i sa stanovišta budućeg sprovođenja u praksi; postojanje i domaćih i evropskih procesnih odredbi na jednom mjestu stvara veću jasnoću za potrebe suda i doprinosi ujednačavanju procesnih standarda na oba nivoa. </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Što se tiče evropskog naloga za izvršenje nespornih potraživanja, predmet je u potpunosti obuhvaćen opsegom izvršenja. Iz tog razloga, relevantna regulativa je u potpunosti prenesena izmjenama i dopunama Zakona o izvršenju i obezbjeđenju.</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Tekst koji slijedi sadržaće analizu relevantnih odredbi Zakona o parničnom postupku i Za</w:t>
      </w:r>
      <w:r w:rsidR="00EB2028">
        <w:rPr>
          <w:rFonts w:ascii="Arial" w:hAnsi="Arial" w:cs="Arial"/>
          <w:bCs/>
          <w:sz w:val="24"/>
          <w:szCs w:val="24"/>
        </w:rPr>
        <w:t>kona o izvršenju i obezbjeđenju</w:t>
      </w:r>
      <w:r>
        <w:rPr>
          <w:rFonts w:ascii="Arial" w:hAnsi="Arial" w:cs="Arial"/>
          <w:bCs/>
          <w:sz w:val="24"/>
          <w:szCs w:val="24"/>
        </w:rPr>
        <w:t>.</w:t>
      </w:r>
    </w:p>
    <w:p w:rsidR="009A4FF4" w:rsidRDefault="009A4FF4" w:rsidP="009A4FF4">
      <w:pPr>
        <w:pStyle w:val="Odlomakpopisa"/>
        <w:ind w:left="1080"/>
        <w:jc w:val="both"/>
        <w:rPr>
          <w:rFonts w:ascii="Arial" w:hAnsi="Arial" w:cs="Arial"/>
          <w:bCs/>
          <w:sz w:val="24"/>
          <w:szCs w:val="24"/>
        </w:rPr>
      </w:pPr>
    </w:p>
    <w:p w:rsidR="009A4FF4" w:rsidRDefault="009A4FF4" w:rsidP="009A4FF4">
      <w:pPr>
        <w:pStyle w:val="Odlomakpopisa"/>
        <w:ind w:left="1080"/>
        <w:jc w:val="both"/>
        <w:rPr>
          <w:rFonts w:ascii="Arial" w:hAnsi="Arial" w:cs="Arial"/>
          <w:bCs/>
          <w:sz w:val="24"/>
          <w:szCs w:val="24"/>
        </w:rPr>
      </w:pPr>
    </w:p>
    <w:p w:rsidR="009A4FF4" w:rsidRDefault="009A4FF4" w:rsidP="009A4FF4">
      <w:pPr>
        <w:pStyle w:val="Odlomakpopisa"/>
        <w:ind w:left="1080"/>
        <w:jc w:val="both"/>
        <w:rPr>
          <w:rFonts w:ascii="Arial" w:hAnsi="Arial" w:cs="Arial"/>
          <w:bCs/>
          <w:sz w:val="24"/>
          <w:szCs w:val="24"/>
        </w:rPr>
      </w:pPr>
    </w:p>
    <w:p w:rsidR="009A4FF4" w:rsidRDefault="009A4FF4" w:rsidP="009A4FF4">
      <w:pPr>
        <w:pStyle w:val="Odlomakpopisa"/>
        <w:ind w:left="1080"/>
        <w:jc w:val="both"/>
        <w:rPr>
          <w:rFonts w:ascii="Arial" w:hAnsi="Arial" w:cs="Arial"/>
          <w:bCs/>
          <w:sz w:val="24"/>
          <w:szCs w:val="24"/>
        </w:rPr>
      </w:pPr>
    </w:p>
    <w:p w:rsidR="009A4FF4" w:rsidRDefault="009A4FF4" w:rsidP="009A4FF4">
      <w:pPr>
        <w:pStyle w:val="Odlomakpopisa"/>
        <w:ind w:left="1416"/>
        <w:jc w:val="both"/>
        <w:rPr>
          <w:rFonts w:ascii="Arial" w:hAnsi="Arial" w:cs="Arial"/>
          <w:b/>
          <w:sz w:val="24"/>
          <w:szCs w:val="24"/>
        </w:rPr>
      </w:pPr>
      <w:r>
        <w:rPr>
          <w:rStyle w:val="Zadanifontodlomka"/>
          <w:rFonts w:ascii="Arial" w:hAnsi="Arial" w:cs="Arial"/>
          <w:b/>
          <w:bCs/>
          <w:sz w:val="24"/>
          <w:szCs w:val="24"/>
        </w:rPr>
        <w:lastRenderedPageBreak/>
        <w:t>Analiza usklađenosti Zakona o parničnom postupku – Glava 35 sa</w:t>
      </w:r>
      <w:r w:rsidR="00602ED3">
        <w:rPr>
          <w:rStyle w:val="Zadanifontodlomka"/>
          <w:rFonts w:ascii="Arial" w:hAnsi="Arial" w:cs="Arial"/>
          <w:b/>
          <w:bCs/>
          <w:sz w:val="24"/>
          <w:szCs w:val="24"/>
        </w:rPr>
        <w:t xml:space="preserve"> Regulativom o evropskom postupku</w:t>
      </w:r>
      <w:r>
        <w:rPr>
          <w:rStyle w:val="Zadanifontodlomka"/>
          <w:rFonts w:ascii="Arial" w:hAnsi="Arial" w:cs="Arial"/>
          <w:b/>
          <w:bCs/>
          <w:sz w:val="24"/>
          <w:szCs w:val="24"/>
        </w:rPr>
        <w:t xml:space="preserve"> za sporove male vrijednosti</w:t>
      </w:r>
    </w:p>
    <w:p w:rsidR="009A4FF4" w:rsidRDefault="009A4FF4" w:rsidP="009A4FF4">
      <w:pPr>
        <w:pStyle w:val="Odlomakpopisa"/>
        <w:ind w:left="1416"/>
        <w:jc w:val="both"/>
        <w:rPr>
          <w:rFonts w:ascii="Arial" w:hAnsi="Arial" w:cs="Arial"/>
          <w:bCs/>
          <w:sz w:val="24"/>
          <w:szCs w:val="24"/>
          <w:u w:val="single"/>
          <w:lang w:val="en-US"/>
        </w:rPr>
      </w:pP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508k</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propisana je nadležnost osnovnih sudova (u građanskim stvarima) i Privrednog suda Crne Gore (u privrednim stvarima) za suđenje u evropskom postupku za sporove male vrijednosti, u smislu Regulative br. 861/2007 i u skladu sa članom 25 stav (1) tačka (a) ove regulative.</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iCs/>
          <w:sz w:val="24"/>
          <w:szCs w:val="24"/>
        </w:rPr>
        <w:t>Član 508l</w:t>
      </w:r>
      <w:r>
        <w:rPr>
          <w:rStyle w:val="Zadanifontodlomka"/>
          <w:rFonts w:ascii="Arial" w:hAnsi="Arial" w:cs="Arial"/>
          <w:sz w:val="24"/>
          <w:szCs w:val="24"/>
        </w:rPr>
        <w:t xml:space="preserve"> </w:t>
      </w:r>
      <w:r>
        <w:rPr>
          <w:rStyle w:val="Zadanifontodlomka"/>
          <w:rFonts w:ascii="Arial" w:hAnsi="Arial" w:cs="Arial"/>
          <w:sz w:val="24"/>
          <w:szCs w:val="24"/>
        </w:rPr>
        <w:sym w:font="Symbol" w:char="F02D"/>
      </w:r>
      <w:r>
        <w:rPr>
          <w:rStyle w:val="Zadanifontodlomka"/>
          <w:rFonts w:ascii="Arial" w:hAnsi="Arial" w:cs="Arial"/>
          <w:sz w:val="24"/>
          <w:szCs w:val="24"/>
        </w:rPr>
        <w:t xml:space="preserve"> ovaj član je u skladu sa zahtjevima iz člana 4 stav (1) Regulative br. 861/2007, u pogledu sredstava komunikacije koja će biti prihvaćena u svrhe evropskog postupka za sporove male vrijednosti i dostupna sudovima ili tribunalima.</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 xml:space="preserve">Obrasci, u smislu Regulative br. 861/2007, pravni lijekovi, predlozi i najave koje treba dostaviti van rasprave, podnose se u pisanoj formi. Smatra se da je ispoštovan zahtjev </w:t>
      </w:r>
      <w:r w:rsidR="0094011A">
        <w:rPr>
          <w:rFonts w:ascii="Arial" w:hAnsi="Arial" w:cs="Arial"/>
          <w:bCs/>
          <w:sz w:val="24"/>
          <w:szCs w:val="24"/>
        </w:rPr>
        <w:t>u pogledu podnošenja</w:t>
      </w:r>
      <w:r>
        <w:rPr>
          <w:rFonts w:ascii="Arial" w:hAnsi="Arial" w:cs="Arial"/>
          <w:bCs/>
          <w:sz w:val="24"/>
          <w:szCs w:val="24"/>
        </w:rPr>
        <w:t xml:space="preserve"> pismena ako se podnesak pošalje e-poštom, faksom ili telegramom, u skladu sa zakonom kojim se uređuje elektronska uprava.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508lj</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ovaj član je u skladu sa zahtjevima iz člana 4 stav (3) Regulative br. 861/2007. U slučaju da zahtjev ne spada u područje primjene ove regulative, postupak će se nastaviti prema odredbama Zakona o parničnom postupku.</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508m</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 je postupak u vezi sa protivtužbom. </w:t>
      </w:r>
      <w:r>
        <w:rPr>
          <w:rStyle w:val="Zadanifontodlomka"/>
          <w:rFonts w:ascii="Arial" w:hAnsi="Arial" w:cs="Arial"/>
          <w:sz w:val="24"/>
          <w:szCs w:val="24"/>
        </w:rPr>
        <w:t>Usklađen je sa zahtjevima iz člana 5 stav (7) Regulative br. 861/2007, u situaciji kada protivtužba prelazi ograničenje iz člana 2 stav (1) ove regulative.</w:t>
      </w:r>
      <w:r>
        <w:rPr>
          <w:rStyle w:val="Zadanifontodlomka"/>
          <w:rFonts w:ascii="Arial" w:hAnsi="Arial" w:cs="Arial"/>
          <w:bCs/>
          <w:sz w:val="24"/>
          <w:szCs w:val="24"/>
        </w:rPr>
        <w:t xml:space="preserve"> U ovom slučaju, postupak koji će se voditi povodom tužbe i protivtužbe nije evropski postupak za sporove male vrijednosti, već će se rješavati u skladu sa Zakonom o parničnom postupku.</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iCs/>
          <w:sz w:val="24"/>
          <w:szCs w:val="24"/>
        </w:rPr>
        <w:t>Član 508n</w:t>
      </w:r>
      <w:r>
        <w:rPr>
          <w:rStyle w:val="Zadanifontodlomka"/>
          <w:rFonts w:ascii="Arial" w:hAnsi="Arial" w:cs="Arial"/>
          <w:sz w:val="24"/>
          <w:szCs w:val="24"/>
        </w:rPr>
        <w:t xml:space="preserve"> </w:t>
      </w:r>
      <w:r>
        <w:rPr>
          <w:rStyle w:val="Zadanifontodlomka"/>
          <w:rFonts w:ascii="Arial" w:hAnsi="Arial" w:cs="Arial"/>
          <w:sz w:val="24"/>
          <w:szCs w:val="24"/>
        </w:rPr>
        <w:sym w:font="Symbol" w:char="F02D"/>
      </w:r>
      <w:r>
        <w:rPr>
          <w:rStyle w:val="Zadanifontodlomka"/>
          <w:rFonts w:ascii="Arial" w:hAnsi="Arial" w:cs="Arial"/>
          <w:sz w:val="24"/>
          <w:szCs w:val="24"/>
        </w:rPr>
        <w:t xml:space="preserve"> ovim članom propisan je sudski postupak u pogledu podnesaka koji nijesu dostavljeni u skladu sa jezičkim zahtjevima. Sud će izdati obavještenje, u smislu člana 6 stav (3) Regulative br. 861/2007, u roku od osam dana od dana odbijanja stranke da prihvati takav podnesak.</w:t>
      </w:r>
      <w:r>
        <w:rPr>
          <w:rFonts w:ascii="Arial" w:hAnsi="Arial" w:cs="Arial"/>
          <w:sz w:val="24"/>
          <w:szCs w:val="24"/>
        </w:rPr>
        <w:t xml:space="preserve"> </w:t>
      </w:r>
      <w:r>
        <w:rPr>
          <w:rFonts w:ascii="Arial" w:hAnsi="Arial" w:cs="Arial"/>
          <w:bCs/>
          <w:sz w:val="24"/>
          <w:szCs w:val="24"/>
        </w:rPr>
        <w:t>U ovom obavještenju sud će obavezati stranku da dostavi sudu prevod predmetnog dokumenta u roku koji nije duži od osam dana i upozoriće je na posljedice propuštanja.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508nj</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propisano je da presuda donijeta u evropskom postupku za sporove male vrijednosti ne smije da bude objavljena. To znači da se objava zamjenjuje dostavom.</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508o</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u skladu sa članom 17 Regulative br. 861/2007, ovim članom propisano je da se žalba na presudu donijetu u evropskom postupku za sporove male vrijednosti može izjaviti u skladu sa odredbama Zakona o parničnom postupku koje uređuju žalbu u domaćem postupku za sporove male vrijednosti.</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508p</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propisano je preispitivanje odluke, u smislu člana 18 Regulative br. 861/2007. </w:t>
      </w:r>
      <w:r>
        <w:rPr>
          <w:rFonts w:ascii="Arial" w:hAnsi="Arial" w:cs="Arial"/>
          <w:bCs/>
          <w:sz w:val="24"/>
          <w:szCs w:val="24"/>
        </w:rPr>
        <w:t>Sud koji je donio odluku biće nadležan da odlučuje o zahtjevu za preispitivanje te odluke. Ako utvrdi da je zahtjev za preispitivanje odluke osnovan, sud će je ukinuti i odrediti ponavaljanje postupka.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iCs/>
          <w:sz w:val="24"/>
          <w:szCs w:val="24"/>
        </w:rPr>
        <w:t>Član 508r</w:t>
      </w:r>
      <w:r>
        <w:rPr>
          <w:rStyle w:val="Zadanifontodlomka"/>
          <w:rFonts w:ascii="Arial" w:hAnsi="Arial" w:cs="Arial"/>
          <w:sz w:val="24"/>
          <w:szCs w:val="24"/>
        </w:rPr>
        <w:t xml:space="preserve"> </w:t>
      </w:r>
      <w:r>
        <w:rPr>
          <w:rStyle w:val="Zadanifontodlomka"/>
          <w:rFonts w:ascii="Arial" w:hAnsi="Arial" w:cs="Arial"/>
          <w:sz w:val="24"/>
          <w:szCs w:val="24"/>
        </w:rPr>
        <w:sym w:font="Symbol" w:char="F02D"/>
      </w:r>
      <w:r>
        <w:rPr>
          <w:rStyle w:val="Zadanifontodlomka"/>
          <w:rFonts w:ascii="Arial" w:hAnsi="Arial" w:cs="Arial"/>
          <w:sz w:val="24"/>
          <w:szCs w:val="24"/>
        </w:rPr>
        <w:t xml:space="preserve"> ovim članom propisano je da žalba protiv presude donijete u Crnoj Gori u evropskom postupku za sporove male vrijednosti ne odlaže izvršenje te presude</w:t>
      </w:r>
      <w:r>
        <w:rPr>
          <w:rStyle w:val="Zadanifontodlomka"/>
          <w:rFonts w:ascii="Arial" w:hAnsi="Arial" w:cs="Arial"/>
          <w:bCs/>
          <w:sz w:val="24"/>
          <w:szCs w:val="24"/>
        </w:rPr>
        <w:t>.</w:t>
      </w:r>
    </w:p>
    <w:p w:rsidR="009A4FF4" w:rsidRDefault="009A4FF4" w:rsidP="009A4FF4">
      <w:pPr>
        <w:pStyle w:val="Odlomakpopisa"/>
        <w:ind w:left="0" w:firstLine="720"/>
        <w:jc w:val="both"/>
        <w:rPr>
          <w:rFonts w:ascii="Arial" w:hAnsi="Arial" w:cs="Arial"/>
          <w:sz w:val="24"/>
          <w:szCs w:val="24"/>
        </w:rPr>
      </w:pPr>
      <w:bookmarkStart w:id="7" w:name="_Hlk47875179"/>
      <w:r>
        <w:rPr>
          <w:rStyle w:val="Zadanifontodlomka"/>
          <w:rFonts w:ascii="Arial" w:hAnsi="Arial" w:cs="Arial"/>
          <w:bCs/>
          <w:sz w:val="24"/>
          <w:szCs w:val="24"/>
        </w:rPr>
        <w:lastRenderedPageBreak/>
        <w:t xml:space="preserve">Član 508s </w:t>
      </w:r>
      <w:bookmarkEnd w:id="7"/>
      <w:r>
        <w:rPr>
          <w:rStyle w:val="Zadanifontodlomka"/>
          <w:rFonts w:ascii="Arial" w:hAnsi="Arial" w:cs="Arial"/>
          <w:bCs/>
          <w:sz w:val="24"/>
          <w:szCs w:val="24"/>
        </w:rPr>
        <w:sym w:font="Symbol" w:char="F02D"/>
      </w:r>
      <w:r>
        <w:rPr>
          <w:rStyle w:val="Zadanifontodlomka"/>
          <w:rFonts w:ascii="Arial" w:hAnsi="Arial" w:cs="Arial"/>
          <w:bCs/>
          <w:sz w:val="24"/>
          <w:szCs w:val="24"/>
        </w:rPr>
        <w:t xml:space="preserve"> u skladu sa članom 20 stav (2) Regulative br. 861/2007, sud koji je donio presudu u evropskom postupku za sporove male vrijednosti izdaće potvrdu koristeći standardni obrazac D za potrebe priznavanja i izvršenja u drugoj državi članici.</w:t>
      </w:r>
    </w:p>
    <w:p w:rsidR="009A4FF4" w:rsidRDefault="009A4FF4" w:rsidP="009A4FF4">
      <w:pPr>
        <w:spacing w:line="240" w:lineRule="auto"/>
        <w:jc w:val="both"/>
        <w:rPr>
          <w:rFonts w:ascii="Arial" w:hAnsi="Arial" w:cs="Arial"/>
          <w:bCs/>
          <w:sz w:val="24"/>
          <w:szCs w:val="24"/>
        </w:rPr>
      </w:pPr>
    </w:p>
    <w:p w:rsidR="009A4FF4" w:rsidRDefault="009A4FF4" w:rsidP="009A4FF4">
      <w:pPr>
        <w:pStyle w:val="Odlomakpopisa"/>
        <w:ind w:left="1440"/>
        <w:jc w:val="both"/>
        <w:rPr>
          <w:rStyle w:val="Zadanifontodlomka"/>
          <w:b/>
        </w:rPr>
      </w:pPr>
      <w:r>
        <w:rPr>
          <w:rStyle w:val="Zadanifontodlomka"/>
          <w:rFonts w:ascii="Arial" w:hAnsi="Arial" w:cs="Arial"/>
          <w:b/>
          <w:bCs/>
          <w:sz w:val="24"/>
          <w:szCs w:val="24"/>
        </w:rPr>
        <w:t xml:space="preserve">Analiza usklađenosti Zakona o parničnom postupku – Glava 36 sa </w:t>
      </w:r>
      <w:r w:rsidR="000E06DD">
        <w:rPr>
          <w:rStyle w:val="Zadanifontodlomka"/>
          <w:rFonts w:ascii="Arial" w:hAnsi="Arial" w:cs="Arial"/>
          <w:b/>
          <w:bCs/>
          <w:sz w:val="24"/>
          <w:szCs w:val="24"/>
        </w:rPr>
        <w:t>Regulativom o evropskom platnom nalogu</w:t>
      </w:r>
    </w:p>
    <w:p w:rsidR="009A4FF4" w:rsidRDefault="009A4FF4" w:rsidP="009A4FF4">
      <w:pPr>
        <w:pStyle w:val="Odlomakpopisa"/>
        <w:ind w:firstLine="720"/>
        <w:jc w:val="both"/>
      </w:pP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508t</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propisana je nadležnost za odlučivanje po zahtjevu za izdavanje evropskog platnog naloga, u smislu Regulative br. 1896/2006.</w:t>
      </w:r>
      <w:r>
        <w:rPr>
          <w:rFonts w:ascii="Arial" w:hAnsi="Arial" w:cs="Arial"/>
          <w:sz w:val="24"/>
          <w:szCs w:val="24"/>
        </w:rPr>
        <w:t xml:space="preserve"> </w:t>
      </w:r>
      <w:r>
        <w:rPr>
          <w:rFonts w:ascii="Arial" w:hAnsi="Arial" w:cs="Arial"/>
          <w:bCs/>
          <w:sz w:val="24"/>
          <w:szCs w:val="24"/>
        </w:rPr>
        <w:t>Nadležni su osnovni sudovi (u građanskim stvarima) i Privredni sud Crne Gore (u privrednim stvarima). Sud koji je izdao evropski platni nalog nadležan je za izdavanje potvrde o izvršnosti tog naloga.</w:t>
      </w:r>
      <w:r>
        <w:rPr>
          <w:rFonts w:ascii="Arial" w:hAnsi="Arial" w:cs="Arial"/>
          <w:sz w:val="24"/>
          <w:szCs w:val="24"/>
        </w:rPr>
        <w:t xml:space="preserve"> </w:t>
      </w:r>
      <w:r>
        <w:rPr>
          <w:rFonts w:ascii="Arial" w:hAnsi="Arial" w:cs="Arial"/>
          <w:bCs/>
          <w:sz w:val="24"/>
          <w:szCs w:val="24"/>
        </w:rPr>
        <w:t>Ovaj član je usklađen sa zahtjevom iz člana 29 stav (1) tačka (a) Regulative br. 1896/2006.</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iCs/>
          <w:sz w:val="24"/>
          <w:szCs w:val="24"/>
        </w:rPr>
        <w:t>Član 508ć</w:t>
      </w:r>
      <w:r>
        <w:rPr>
          <w:rStyle w:val="Zadanifontodlomka"/>
          <w:rFonts w:ascii="Arial" w:hAnsi="Arial" w:cs="Arial"/>
          <w:sz w:val="24"/>
          <w:szCs w:val="24"/>
        </w:rPr>
        <w:t xml:space="preserve"> </w:t>
      </w:r>
      <w:r>
        <w:rPr>
          <w:rStyle w:val="Zadanifontodlomka"/>
          <w:rFonts w:ascii="Arial" w:hAnsi="Arial" w:cs="Arial"/>
          <w:sz w:val="24"/>
          <w:szCs w:val="24"/>
        </w:rPr>
        <w:sym w:font="Symbol" w:char="F02D"/>
      </w:r>
      <w:r>
        <w:rPr>
          <w:rStyle w:val="Zadanifontodlomka"/>
          <w:rFonts w:ascii="Arial" w:hAnsi="Arial" w:cs="Arial"/>
          <w:sz w:val="24"/>
          <w:szCs w:val="24"/>
        </w:rPr>
        <w:t xml:space="preserve"> ovaj član je u skladu sa zahtjevima iz člana 29 stav (1) tačka (c) Regulative br. 1896/2006.</w:t>
      </w:r>
      <w:r>
        <w:rPr>
          <w:rFonts w:ascii="Arial" w:hAnsi="Arial" w:cs="Arial"/>
          <w:sz w:val="24"/>
          <w:szCs w:val="24"/>
        </w:rPr>
        <w:t xml:space="preserve"> </w:t>
      </w:r>
      <w:r>
        <w:rPr>
          <w:rFonts w:ascii="Arial" w:hAnsi="Arial" w:cs="Arial"/>
          <w:bCs/>
          <w:sz w:val="24"/>
          <w:szCs w:val="24"/>
        </w:rPr>
        <w:t>Prema ovom članu, zahtjev za izdavanje evropskog platnog naloga, prigovor protiv evropskog platnog naloga, zahtjev za preispitivanje evropskog platnog naloga u vanrednim slučajevima, kao i drugi predlozi i saopštenja podnose se u pisanoj formi (podnesci). Smatra se da pisanu formu ispunjavaju i podnesci upućeni telegramom, telefaksom i elektronskom poštom, u skladu sa zakonom kojim se uređuje elektronska uprava.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508u</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uređeno je dostavljanje evropskog platnog naloga na način kako je predviđeno u čl. 13, 14 i 15 Regulative br. 1896/2006.  </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Ako evropski platni nalog treba da se dostavi u Crnoj Gori, dostavljanje će se izvršiti u skladu sa odredbama Zakona o parničnom postupku kojima se uređuje dostavljanje pismena.</w:t>
      </w:r>
      <w:r>
        <w:rPr>
          <w:rFonts w:ascii="Arial" w:hAnsi="Arial" w:cs="Arial"/>
          <w:sz w:val="24"/>
          <w:szCs w:val="24"/>
        </w:rPr>
        <w:t xml:space="preserve"> </w:t>
      </w:r>
      <w:r>
        <w:rPr>
          <w:rFonts w:ascii="Arial" w:hAnsi="Arial" w:cs="Arial"/>
          <w:bCs/>
          <w:sz w:val="24"/>
          <w:szCs w:val="24"/>
        </w:rPr>
        <w:t>Ako evropski platni nalog treba da se dostavi u drugoj državi članici, dostavljanje će se izvršiti u skladu sa Regulativom br. 1393/2007.</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iCs/>
          <w:sz w:val="24"/>
          <w:szCs w:val="24"/>
        </w:rPr>
        <w:t>Član 508f</w:t>
      </w:r>
      <w:r>
        <w:rPr>
          <w:rStyle w:val="Zadanifontodlomka"/>
          <w:rFonts w:ascii="Arial" w:hAnsi="Arial" w:cs="Arial"/>
          <w:sz w:val="24"/>
          <w:szCs w:val="24"/>
        </w:rPr>
        <w:t xml:space="preserve"> </w:t>
      </w:r>
      <w:r>
        <w:rPr>
          <w:rStyle w:val="Zadanifontodlomka"/>
          <w:rFonts w:ascii="Arial" w:hAnsi="Arial" w:cs="Arial"/>
          <w:sz w:val="24"/>
          <w:szCs w:val="24"/>
        </w:rPr>
        <w:sym w:font="Symbol" w:char="F02D"/>
      </w:r>
      <w:r>
        <w:rPr>
          <w:rStyle w:val="Zadanifontodlomka"/>
          <w:rFonts w:ascii="Arial" w:hAnsi="Arial" w:cs="Arial"/>
          <w:sz w:val="24"/>
          <w:szCs w:val="24"/>
        </w:rPr>
        <w:t xml:space="preserve"> ovaj član je u skladu sa zahtjevima iz čl. 16 i 17 Regulative br. 1896/2006.</w:t>
      </w:r>
      <w:r>
        <w:rPr>
          <w:rFonts w:ascii="Arial" w:hAnsi="Arial" w:cs="Arial"/>
          <w:sz w:val="24"/>
          <w:szCs w:val="24"/>
        </w:rPr>
        <w:t xml:space="preserve"> </w:t>
      </w:r>
      <w:r>
        <w:rPr>
          <w:rStyle w:val="Zadanifontodlomka"/>
          <w:rFonts w:ascii="Arial" w:hAnsi="Arial" w:cs="Arial"/>
          <w:bCs/>
          <w:sz w:val="24"/>
          <w:szCs w:val="24"/>
        </w:rPr>
        <w:t>Ako tuženi podnese prigovor protiv evropskog platnog naloga, u smislu člana 16 Regulative br. 1896/2006, postupak će se nastaviti u skladu sa relevantnim odredbama Zakona o parničnom postupku kojima se uređuje postupak povodom prigovora protiv platnog naloga, osim ako tužilac izričito nije zatražio da se postupak u tom slučaju okonča.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iCs/>
          <w:sz w:val="24"/>
          <w:szCs w:val="24"/>
        </w:rPr>
        <w:t>Član 508h</w:t>
      </w:r>
      <w:r>
        <w:rPr>
          <w:rStyle w:val="Zadanifontodlomka"/>
          <w:rFonts w:ascii="Arial" w:hAnsi="Arial" w:cs="Arial"/>
          <w:sz w:val="24"/>
          <w:szCs w:val="24"/>
        </w:rPr>
        <w:t xml:space="preserve"> </w:t>
      </w:r>
      <w:r>
        <w:rPr>
          <w:rStyle w:val="Zadanifontodlomka"/>
          <w:rFonts w:ascii="Arial" w:hAnsi="Arial" w:cs="Arial"/>
          <w:sz w:val="24"/>
          <w:szCs w:val="24"/>
        </w:rPr>
        <w:sym w:font="Symbol" w:char="F02D"/>
      </w:r>
      <w:r>
        <w:rPr>
          <w:rStyle w:val="Zadanifontodlomka"/>
          <w:rFonts w:ascii="Arial" w:hAnsi="Arial" w:cs="Arial"/>
          <w:sz w:val="24"/>
          <w:szCs w:val="24"/>
        </w:rPr>
        <w:t xml:space="preserve"> ovim članom propisano je da, zbog propuštanja roka iz člana 16 stav (2) Regulative br. 1896/2006,  nije dozvoljen povraćaj u pređašnje stanje.</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iCs/>
          <w:sz w:val="24"/>
          <w:szCs w:val="24"/>
        </w:rPr>
        <w:t>Član 508c</w:t>
      </w:r>
      <w:r>
        <w:rPr>
          <w:rStyle w:val="Zadanifontodlomka"/>
          <w:rFonts w:ascii="Arial" w:hAnsi="Arial" w:cs="Arial"/>
          <w:sz w:val="24"/>
          <w:szCs w:val="24"/>
        </w:rPr>
        <w:t xml:space="preserve"> </w:t>
      </w:r>
      <w:r>
        <w:rPr>
          <w:rStyle w:val="Zadanifontodlomka"/>
          <w:rFonts w:ascii="Arial" w:hAnsi="Arial" w:cs="Arial"/>
          <w:sz w:val="24"/>
          <w:szCs w:val="24"/>
        </w:rPr>
        <w:sym w:font="Symbol" w:char="F02D"/>
      </w:r>
      <w:r>
        <w:rPr>
          <w:rStyle w:val="Zadanifontodlomka"/>
          <w:rFonts w:ascii="Arial" w:hAnsi="Arial" w:cs="Arial"/>
          <w:sz w:val="24"/>
          <w:szCs w:val="24"/>
        </w:rPr>
        <w:t xml:space="preserve"> ovim članom propisan je postupak preispitivanja u vanrednim slučajevima, kako je predviđeno članom 20 Regulative br. 1896/2006.</w:t>
      </w:r>
      <w:r>
        <w:rPr>
          <w:rStyle w:val="Zadanifontodlomka"/>
          <w:rFonts w:ascii="Arial" w:hAnsi="Arial" w:cs="Arial"/>
          <w:bCs/>
          <w:sz w:val="24"/>
          <w:szCs w:val="24"/>
        </w:rPr>
        <w:t xml:space="preserve"> Sud koji je izdao evropski platni nalog biće nadležan da odlučuje o zahtjevu za preispitivanje tog naloga, u skladu sa članom 20 stav (1) Regulative br. 1896/2006.</w:t>
      </w:r>
      <w:r>
        <w:rPr>
          <w:rFonts w:ascii="Arial" w:hAnsi="Arial" w:cs="Arial"/>
          <w:sz w:val="24"/>
          <w:szCs w:val="24"/>
        </w:rPr>
        <w:t xml:space="preserve"> </w:t>
      </w:r>
      <w:r>
        <w:rPr>
          <w:rFonts w:ascii="Arial" w:hAnsi="Arial" w:cs="Arial"/>
          <w:bCs/>
          <w:sz w:val="24"/>
          <w:szCs w:val="24"/>
        </w:rPr>
        <w:t>Kad utvrdi da je zahtjev za preispitivanje osnovan, sud će ukinuti evropski platni nalog na koji se taj zahtjev odnosi i započeće raspravljanje o predmetnoj stvari.</w:t>
      </w:r>
    </w:p>
    <w:p w:rsidR="009A4FF4" w:rsidRDefault="009A4FF4" w:rsidP="009A4FF4">
      <w:pPr>
        <w:spacing w:line="240" w:lineRule="auto"/>
        <w:jc w:val="both"/>
        <w:rPr>
          <w:rFonts w:ascii="Arial" w:hAnsi="Arial" w:cs="Arial"/>
          <w:bCs/>
          <w:sz w:val="24"/>
          <w:szCs w:val="24"/>
        </w:rPr>
      </w:pPr>
    </w:p>
    <w:p w:rsidR="009A4FF4" w:rsidRDefault="009A4FF4" w:rsidP="009A4FF4">
      <w:pPr>
        <w:pStyle w:val="Odlomakpopisa"/>
        <w:ind w:left="1416"/>
        <w:jc w:val="both"/>
        <w:rPr>
          <w:rFonts w:ascii="Arial" w:hAnsi="Arial" w:cs="Arial"/>
          <w:b/>
          <w:bCs/>
          <w:sz w:val="24"/>
          <w:szCs w:val="24"/>
        </w:rPr>
      </w:pPr>
      <w:r>
        <w:rPr>
          <w:rFonts w:ascii="Arial" w:hAnsi="Arial" w:cs="Arial"/>
          <w:b/>
          <w:bCs/>
          <w:sz w:val="24"/>
          <w:szCs w:val="24"/>
        </w:rPr>
        <w:lastRenderedPageBreak/>
        <w:t>Analiza usklađenosti Zakona o izvršenju i obezbjeđenju – Dio 30 sa evropskim nalogom za izvršenje nespornih potraživanja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291a</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propisana je nadležnost za potvrđivanje domaće izvršne isprave kao evropskog naloga za izvršenje, kako je predviđeno Regulativom br. 805/2004.</w:t>
      </w:r>
      <w:r>
        <w:rPr>
          <w:rFonts w:ascii="Arial" w:hAnsi="Arial" w:cs="Arial"/>
          <w:sz w:val="24"/>
          <w:szCs w:val="24"/>
        </w:rPr>
        <w:t xml:space="preserve"> </w:t>
      </w:r>
      <w:r>
        <w:rPr>
          <w:rFonts w:ascii="Arial" w:hAnsi="Arial" w:cs="Arial"/>
          <w:bCs/>
          <w:sz w:val="24"/>
          <w:szCs w:val="24"/>
        </w:rPr>
        <w:t xml:space="preserve">U tom smislu, osnovni sudovi (u građanskim stvarima) i Privredni sud Crne Gore (u privrednim stvarima) nadležni su za izdavanje sljedećih potvrda: </w:t>
      </w:r>
    </w:p>
    <w:p w:rsidR="009A4FF4" w:rsidRDefault="009A4FF4" w:rsidP="009A4FF4">
      <w:pPr>
        <w:spacing w:line="240" w:lineRule="auto"/>
        <w:ind w:left="1080"/>
        <w:jc w:val="both"/>
        <w:rPr>
          <w:rFonts w:ascii="Arial" w:hAnsi="Arial" w:cs="Arial"/>
          <w:bCs/>
          <w:sz w:val="24"/>
          <w:szCs w:val="24"/>
        </w:rPr>
      </w:pPr>
      <w:r>
        <w:rPr>
          <w:rFonts w:ascii="Arial" w:hAnsi="Arial" w:cs="Arial"/>
          <w:bCs/>
          <w:sz w:val="24"/>
          <w:szCs w:val="24"/>
        </w:rPr>
        <w:t>- potvrde o evropskom nalogu za izvršenje nespornih potraživanja, u smislu člana 9 stav (1) Regulative br. 805/2004;</w:t>
      </w:r>
    </w:p>
    <w:p w:rsidR="009A4FF4" w:rsidRDefault="009A4FF4" w:rsidP="009A4FF4">
      <w:pPr>
        <w:pStyle w:val="Odlomakpopisa"/>
        <w:ind w:left="1080"/>
        <w:jc w:val="both"/>
        <w:rPr>
          <w:rFonts w:ascii="Arial" w:hAnsi="Arial" w:cs="Arial"/>
          <w:bCs/>
          <w:sz w:val="24"/>
          <w:szCs w:val="24"/>
        </w:rPr>
      </w:pPr>
      <w:r>
        <w:rPr>
          <w:rFonts w:ascii="Arial" w:hAnsi="Arial" w:cs="Arial"/>
          <w:bCs/>
          <w:sz w:val="24"/>
          <w:szCs w:val="24"/>
        </w:rPr>
        <w:t>- potvrde o izvršnosti sudskog poravnanja, u smislu člana 24 stav (1) Regulative br. 805/2004;</w:t>
      </w:r>
    </w:p>
    <w:p w:rsidR="009A4FF4" w:rsidRDefault="009A4FF4" w:rsidP="009A4FF4">
      <w:pPr>
        <w:pStyle w:val="Odlomakpopisa"/>
        <w:ind w:left="1080"/>
        <w:jc w:val="both"/>
        <w:rPr>
          <w:rFonts w:ascii="Arial" w:hAnsi="Arial" w:cs="Arial"/>
          <w:bCs/>
          <w:sz w:val="24"/>
          <w:szCs w:val="24"/>
        </w:rPr>
      </w:pPr>
      <w:r>
        <w:rPr>
          <w:rFonts w:ascii="Arial" w:hAnsi="Arial" w:cs="Arial"/>
          <w:bCs/>
          <w:sz w:val="24"/>
          <w:szCs w:val="24"/>
        </w:rPr>
        <w:t>- potvrde o izvršnosti druge javne isprave koja je izvršna u Crnoj Gori, u smislu člana 25 stav (1) Regulative br. 805/2004; i</w:t>
      </w:r>
    </w:p>
    <w:p w:rsidR="009A4FF4" w:rsidRDefault="009A4FF4" w:rsidP="009A4FF4">
      <w:pPr>
        <w:pStyle w:val="Odlomakpopisa"/>
        <w:ind w:left="1080"/>
        <w:jc w:val="both"/>
        <w:rPr>
          <w:rFonts w:ascii="Arial" w:hAnsi="Arial" w:cs="Arial"/>
          <w:bCs/>
          <w:sz w:val="24"/>
          <w:szCs w:val="24"/>
        </w:rPr>
      </w:pPr>
      <w:r>
        <w:rPr>
          <w:rFonts w:ascii="Arial" w:hAnsi="Arial" w:cs="Arial"/>
          <w:bCs/>
          <w:sz w:val="24"/>
          <w:szCs w:val="24"/>
        </w:rPr>
        <w:t>- potvrde o suspenziji ili ograničenju evropskog naloga za izvršenje, u smislu člana 6 st. (2) i (3) Regulative br. 805/2004.</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291b</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 je postupak po zahtjevu za izdavanje potvrde iz člana 291a.</w:t>
      </w:r>
      <w:r>
        <w:rPr>
          <w:rFonts w:ascii="Arial" w:hAnsi="Arial" w:cs="Arial"/>
          <w:sz w:val="24"/>
          <w:szCs w:val="24"/>
        </w:rPr>
        <w:t xml:space="preserve"> </w:t>
      </w:r>
      <w:r>
        <w:rPr>
          <w:rFonts w:ascii="Arial" w:hAnsi="Arial" w:cs="Arial"/>
          <w:bCs/>
          <w:sz w:val="24"/>
          <w:szCs w:val="24"/>
        </w:rPr>
        <w:t>Njime je propisano da potvrdu izdaje sud, bez prethodnog saslušanja izvršnog dužnika.</w:t>
      </w:r>
      <w:r>
        <w:rPr>
          <w:rFonts w:ascii="Arial" w:hAnsi="Arial" w:cs="Arial"/>
          <w:sz w:val="24"/>
          <w:szCs w:val="24"/>
        </w:rPr>
        <w:t xml:space="preserve"> </w:t>
      </w:r>
      <w:r>
        <w:rPr>
          <w:rStyle w:val="Zadanifontodlomka"/>
          <w:rFonts w:ascii="Arial" w:hAnsi="Arial" w:cs="Arial"/>
          <w:bCs/>
          <w:sz w:val="24"/>
          <w:szCs w:val="24"/>
        </w:rPr>
        <w:t>Ako sud odbaci ili odbije zahtjev za izdavanje potvrde, to rješenje će se dostaviti samo podnosiocu zahtjeva. Protiv tog rješenja, podnosilac zahtjeva može izjaviti prigovor u roku od pet dana od dana dostavljanja rješenja.</w:t>
      </w:r>
      <w:r>
        <w:rPr>
          <w:rFonts w:ascii="Arial" w:hAnsi="Arial" w:cs="Arial"/>
          <w:sz w:val="24"/>
          <w:szCs w:val="24"/>
        </w:rPr>
        <w:t xml:space="preserve"> </w:t>
      </w:r>
      <w:r>
        <w:rPr>
          <w:rStyle w:val="Zadanifontodlomka"/>
          <w:rFonts w:ascii="Arial" w:hAnsi="Arial" w:cs="Arial"/>
          <w:bCs/>
          <w:sz w:val="24"/>
          <w:szCs w:val="24"/>
        </w:rPr>
        <w:t xml:space="preserve">Na postupak po prigovoru primjenjuju se odredbe Zakona o izvršenju i obezbjeđenju, kojima se uređuje prigovor protiv rješenja kojim je predlog za izvršenje odbačen ili odbijen u domaćem izvršnom postupku. </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291v</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propisano je ispravljanje ili ukidanje potvrde o evropskom izvršnom nalogu u smislu člana 10 Regulative br. 805/2004. Zahtjev iz člana 10 stav (1) Regulative br. 805/2004 za</w:t>
      </w:r>
      <w:r>
        <w:rPr>
          <w:rFonts w:ascii="Arial" w:hAnsi="Arial" w:cs="Arial"/>
          <w:sz w:val="24"/>
          <w:szCs w:val="24"/>
        </w:rPr>
        <w:t xml:space="preserve"> </w:t>
      </w:r>
      <w:r>
        <w:rPr>
          <w:rStyle w:val="Zadanifontodlomka"/>
          <w:rFonts w:ascii="Arial" w:hAnsi="Arial" w:cs="Arial"/>
          <w:bCs/>
          <w:sz w:val="24"/>
          <w:szCs w:val="24"/>
        </w:rPr>
        <w:t>ispravljanje ili ukidanje potvrde podnosi se sudu koji je izdao tu potvrdu.</w:t>
      </w:r>
      <w:r>
        <w:rPr>
          <w:rFonts w:ascii="Arial" w:hAnsi="Arial" w:cs="Arial"/>
          <w:sz w:val="24"/>
          <w:szCs w:val="24"/>
        </w:rPr>
        <w:t xml:space="preserve"> </w:t>
      </w:r>
      <w:r>
        <w:rPr>
          <w:rFonts w:ascii="Arial" w:hAnsi="Arial" w:cs="Arial"/>
          <w:bCs/>
          <w:sz w:val="24"/>
          <w:szCs w:val="24"/>
        </w:rPr>
        <w:t>Postupak za ispravljanje potvrde uređen je odredbama Zakona o parničnom postupku, koje se odnose na ispravljanje domaće presude, pod uslovom da odredbe tog zakona nijesu u suprotnosti sa Regulativom br. 805/2004.</w:t>
      </w:r>
      <w:r>
        <w:rPr>
          <w:rFonts w:ascii="Arial" w:hAnsi="Arial" w:cs="Arial"/>
          <w:sz w:val="24"/>
          <w:szCs w:val="24"/>
        </w:rPr>
        <w:t xml:space="preserve"> </w:t>
      </w:r>
      <w:r>
        <w:rPr>
          <w:rFonts w:ascii="Arial" w:hAnsi="Arial" w:cs="Arial"/>
          <w:bCs/>
          <w:sz w:val="24"/>
          <w:szCs w:val="24"/>
        </w:rPr>
        <w:t>Postupak za ukidanje potvrde uređen je odredbama Zakona o izvršenju i obezbjeđenju, kojima se uređuje potvrda o izvršnosti u domaćem postupku, pod uslovom da odredbe tog zakona nijesu u suprotnosti sa Regulativom br. 805/2004.</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291g</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uređeni su zahtjevi za izvršenje na osnovu evropskog naloga za izvršenje izdatog u drugoj državi članici EU.</w:t>
      </w:r>
      <w:r>
        <w:rPr>
          <w:rFonts w:ascii="Arial" w:hAnsi="Arial" w:cs="Arial"/>
          <w:sz w:val="24"/>
          <w:szCs w:val="24"/>
        </w:rPr>
        <w:t xml:space="preserve"> </w:t>
      </w:r>
      <w:r>
        <w:rPr>
          <w:rFonts w:ascii="Arial" w:hAnsi="Arial" w:cs="Arial"/>
          <w:bCs/>
          <w:sz w:val="24"/>
          <w:szCs w:val="24"/>
        </w:rPr>
        <w:t>Izvršna isprava koja je u drugoj državi članici EU potvrđena u skladu sa Regulativom br. 805/2004 kao evropski nalog za izvršenje, izvršava se u Crnoj Gori pod istim uslovima kao i domaća izvršna isprava, bez prethodnog sprovođenja posebnog postupka radi priznavanja te isprave i proglašenja njene izvršnosti.</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291d</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propisani su jezički zahtjevi u smislu člana 20 stav (2) tačka (c) Regulative br. 805/2004.</w:t>
      </w:r>
      <w:r>
        <w:rPr>
          <w:rFonts w:ascii="Arial" w:hAnsi="Arial" w:cs="Arial"/>
          <w:sz w:val="24"/>
          <w:szCs w:val="24"/>
        </w:rPr>
        <w:t xml:space="preserve"> </w:t>
      </w:r>
      <w:r>
        <w:rPr>
          <w:rFonts w:ascii="Arial" w:hAnsi="Arial" w:cs="Arial"/>
          <w:bCs/>
          <w:sz w:val="24"/>
          <w:szCs w:val="24"/>
        </w:rPr>
        <w:t xml:space="preserve">Kad je izvršni povjerilac dužan da uz predlog za izvršenje priloži prevod evropskog naloga za izvršenje, taj prevod mora biti na crnogorskom jeziku i ovjeren od strane ovlašćenog prevodioca. </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291đ</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propisana je nadležnost za odlučivanje po predlogu za izvršenje na osnovu evropskog naloga za izvršenje i nadležnost za sprovođenje </w:t>
      </w:r>
      <w:r>
        <w:rPr>
          <w:rStyle w:val="Zadanifontodlomka"/>
          <w:rFonts w:ascii="Arial" w:hAnsi="Arial" w:cs="Arial"/>
          <w:bCs/>
          <w:sz w:val="24"/>
          <w:szCs w:val="24"/>
        </w:rPr>
        <w:lastRenderedPageBreak/>
        <w:t>izvršenja na osnovu tog naloga.</w:t>
      </w:r>
      <w:r>
        <w:rPr>
          <w:rFonts w:ascii="Arial" w:hAnsi="Arial" w:cs="Arial"/>
          <w:sz w:val="24"/>
          <w:szCs w:val="24"/>
        </w:rPr>
        <w:t xml:space="preserve"> </w:t>
      </w:r>
      <w:r>
        <w:rPr>
          <w:rStyle w:val="Zadanifontodlomka"/>
          <w:rFonts w:ascii="Arial" w:hAnsi="Arial" w:cs="Arial"/>
          <w:bCs/>
          <w:sz w:val="24"/>
          <w:szCs w:val="24"/>
        </w:rPr>
        <w:t xml:space="preserve">Ta nadležnost dodijeljena je javnim izvršiteljima, u skladu sa njihovom mjesnom nadležnošću u domaćim izvršnim postupcima. </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291e</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propisana je nadležnost za odlučivanje po predlozima dužnika u skladu sa čl. 21 i 23 br. Regulative br. 805/2004.</w:t>
      </w:r>
      <w:r>
        <w:rPr>
          <w:rFonts w:ascii="Arial" w:hAnsi="Arial" w:cs="Arial"/>
          <w:sz w:val="24"/>
          <w:szCs w:val="24"/>
        </w:rPr>
        <w:t xml:space="preserve"> </w:t>
      </w:r>
      <w:r>
        <w:rPr>
          <w:rFonts w:ascii="Arial" w:hAnsi="Arial" w:cs="Arial"/>
          <w:bCs/>
          <w:sz w:val="24"/>
          <w:szCs w:val="24"/>
        </w:rPr>
        <w:t xml:space="preserve">Ta nadležnost dodijeljena je osnovnim sudovima i Privrednom sudu Crne Gore.  Na postupak po ovim predlozima primjenjuju se odredbe Zakona o izvršenju i obezbjeđenju kojima se uređuju obustava i odlaganje izvršenja u domaćem postupku. </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291ž</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predviđena je mogućnost podnošenja prigovora protiv rješenja o izvršenju na osnovu evropskog izvršnog naloga, izjavljenom po isteku roka, pod istim uslovima kao što je propisano Zakonom o izvršenju i obezbjeđenju u domaćim postupcima.</w:t>
      </w:r>
    </w:p>
    <w:p w:rsidR="009A4FF4" w:rsidRDefault="009A4FF4" w:rsidP="009A4FF4">
      <w:pPr>
        <w:pStyle w:val="Odlomakpopisa"/>
        <w:ind w:left="1080"/>
        <w:jc w:val="both"/>
        <w:rPr>
          <w:rFonts w:ascii="Arial" w:hAnsi="Arial" w:cs="Arial"/>
          <w:bCs/>
          <w:sz w:val="24"/>
          <w:szCs w:val="24"/>
          <w:lang w:val="en-US"/>
        </w:rPr>
      </w:pPr>
    </w:p>
    <w:p w:rsidR="009A4FF4" w:rsidRDefault="009A4FF4" w:rsidP="009A4FF4">
      <w:pPr>
        <w:pStyle w:val="Odlomakpopisa"/>
        <w:ind w:left="1440"/>
        <w:jc w:val="both"/>
        <w:rPr>
          <w:rFonts w:ascii="Arial" w:hAnsi="Arial" w:cs="Arial"/>
          <w:b/>
          <w:bCs/>
          <w:sz w:val="24"/>
          <w:szCs w:val="24"/>
        </w:rPr>
      </w:pPr>
      <w:r>
        <w:rPr>
          <w:rFonts w:ascii="Arial" w:hAnsi="Arial" w:cs="Arial"/>
          <w:b/>
          <w:bCs/>
          <w:sz w:val="24"/>
          <w:szCs w:val="24"/>
        </w:rPr>
        <w:t xml:space="preserve">Analiza usklađenosti Zakona o izvršenju i obezbjeđenju – Dio 31 sa Regulativom o evropskom postupku za sporove male vrijednosti </w:t>
      </w:r>
    </w:p>
    <w:p w:rsidR="009A4FF4" w:rsidRDefault="009A4FF4" w:rsidP="009A4FF4">
      <w:pPr>
        <w:pStyle w:val="Odlomakpopisa"/>
        <w:ind w:left="0"/>
        <w:jc w:val="both"/>
        <w:rPr>
          <w:rFonts w:ascii="Arial" w:hAnsi="Arial" w:cs="Arial"/>
          <w:bCs/>
          <w:sz w:val="24"/>
          <w:szCs w:val="24"/>
          <w:u w:val="single"/>
          <w:lang w:val="en-US"/>
        </w:rPr>
      </w:pP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291z</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uređeni su zahtjevi za izvršenje presude donesene u evropskom postupku za sporove male vrijednosti u drugoj državi članici. </w:t>
      </w:r>
      <w:r>
        <w:rPr>
          <w:rFonts w:ascii="Arial" w:hAnsi="Arial" w:cs="Arial"/>
          <w:bCs/>
          <w:sz w:val="24"/>
          <w:szCs w:val="24"/>
        </w:rPr>
        <w:t>Izvršna isprava donesena u drugoj državi članici, u smislu Regulative br. 861/2007, izvršiće se u Crnoj Gori pod istim uslovima kao i domaća izvršna isprava, bez prethodnog sprovođenja posebnog postupka radi priznanja te isprave i proglašenja njene izvršnosti.</w:t>
      </w:r>
      <w:r>
        <w:rPr>
          <w:rFonts w:ascii="Arial" w:hAnsi="Arial" w:cs="Arial"/>
          <w:sz w:val="24"/>
          <w:szCs w:val="24"/>
        </w:rPr>
        <w:t xml:space="preserve"> </w:t>
      </w:r>
      <w:r>
        <w:rPr>
          <w:rFonts w:ascii="Arial" w:hAnsi="Arial" w:cs="Arial"/>
          <w:bCs/>
          <w:sz w:val="24"/>
          <w:szCs w:val="24"/>
        </w:rPr>
        <w:t>Izvršenje na osnovu isprave donesene u evropskom postupku za sporove male vrijednosti sprovešće se čak i kad ta isprava nije snabdjevena klauzulom o izvršnosti.</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291i</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propisana je nadležnost za odlučivanje o predlogu za izvršenje na osnovu isprave donesene u evropskom postupku za sporove male vrijednosti i nadležnost za sprovođenje izvršenja na osnovu te isprave.</w:t>
      </w:r>
      <w:r>
        <w:rPr>
          <w:rFonts w:ascii="Arial" w:hAnsi="Arial" w:cs="Arial"/>
          <w:sz w:val="24"/>
          <w:szCs w:val="24"/>
        </w:rPr>
        <w:t xml:space="preserve"> </w:t>
      </w:r>
      <w:r>
        <w:rPr>
          <w:rFonts w:ascii="Arial" w:hAnsi="Arial" w:cs="Arial"/>
          <w:bCs/>
          <w:sz w:val="24"/>
          <w:szCs w:val="24"/>
        </w:rPr>
        <w:t>Nadležnost  za odlučivanje o navedenom predlogu i sprovođenje izvršenja dodijeljena je javnim izvršiteljima, u skladu sa njihovom mjesnom nadležnošću u domaćim izvršnim postupcima.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291j</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propisani su jezički zahtjevi u smislu člana 21 stav (2) tačka (b) Regulative br. 861/2007.</w:t>
      </w:r>
      <w:r>
        <w:rPr>
          <w:rFonts w:ascii="Arial" w:hAnsi="Arial" w:cs="Arial"/>
          <w:sz w:val="24"/>
          <w:szCs w:val="24"/>
        </w:rPr>
        <w:t xml:space="preserve"> </w:t>
      </w:r>
      <w:r>
        <w:rPr>
          <w:rFonts w:ascii="Arial" w:hAnsi="Arial" w:cs="Arial"/>
          <w:bCs/>
          <w:sz w:val="24"/>
          <w:szCs w:val="24"/>
        </w:rPr>
        <w:t>Kada je izvršni povjerilac dužan da uz predlog za izvršenje priloži prevod isprave donesene u evropskom postupku za sporove male vrijednosti, taj prevod mora biti na crnogorskom jeziku i ovjeren od strane ovlašćenog prevodioca.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291k</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uređena je obustava izvršenja koje se sprovodi na osnovu odluke donesene u evropskom postupku za sporove male vrijednosti, u smislu člana 22 Regulative br. 861/2007.</w:t>
      </w:r>
      <w:r>
        <w:rPr>
          <w:rFonts w:ascii="Arial" w:hAnsi="Arial" w:cs="Arial"/>
          <w:sz w:val="24"/>
          <w:szCs w:val="24"/>
        </w:rPr>
        <w:t xml:space="preserve"> </w:t>
      </w:r>
      <w:r>
        <w:rPr>
          <w:rStyle w:val="Zadanifontodlomka"/>
          <w:rFonts w:ascii="Arial" w:hAnsi="Arial" w:cs="Arial"/>
          <w:bCs/>
          <w:sz w:val="24"/>
          <w:szCs w:val="24"/>
        </w:rPr>
        <w:t xml:space="preserve">Nadležnost za odlučivanje po predlogu izvršnog dužnika za obustavu izvršenja dodijeljena je osnovnim sudovima i Privrednom sudu Crne Gore. Na postupak se primjenjuju odredbe Zakona o izvršenju i obezbjeđenju kojima se uređuje obustava izvršenja u domaćem postupku. </w:t>
      </w:r>
    </w:p>
    <w:p w:rsidR="009A4FF4" w:rsidRDefault="009A4FF4" w:rsidP="009A4FF4">
      <w:pPr>
        <w:pStyle w:val="Odlomakpopisa"/>
        <w:ind w:left="0" w:firstLine="720"/>
        <w:jc w:val="both"/>
        <w:rPr>
          <w:rFonts w:ascii="Arial" w:hAnsi="Arial" w:cs="Arial"/>
          <w:sz w:val="24"/>
          <w:szCs w:val="24"/>
        </w:rPr>
      </w:pPr>
      <w:bookmarkStart w:id="8" w:name="_Hlk47879491"/>
      <w:r>
        <w:rPr>
          <w:rStyle w:val="Zadanifontodlomka"/>
          <w:rFonts w:ascii="Arial" w:hAnsi="Arial" w:cs="Arial"/>
          <w:bCs/>
          <w:sz w:val="24"/>
          <w:szCs w:val="24"/>
        </w:rPr>
        <w:t xml:space="preserve">Član 291l </w:t>
      </w:r>
      <w:bookmarkEnd w:id="8"/>
      <w:r>
        <w:rPr>
          <w:rStyle w:val="Zadanifontodlomka"/>
          <w:rFonts w:ascii="Arial" w:hAnsi="Arial" w:cs="Arial"/>
          <w:bCs/>
          <w:sz w:val="24"/>
          <w:szCs w:val="24"/>
        </w:rPr>
        <w:t>– ovim članom uređeno je odlaganje ili ograničenje izvršenja koje se sprovodi na osnovu odluke donesene u evropskom postupku za sporove male vrijednosti,</w:t>
      </w:r>
      <w:r>
        <w:rPr>
          <w:rFonts w:ascii="Arial" w:hAnsi="Arial" w:cs="Arial"/>
          <w:sz w:val="24"/>
          <w:szCs w:val="24"/>
        </w:rPr>
        <w:t xml:space="preserve"> </w:t>
      </w:r>
      <w:r>
        <w:rPr>
          <w:rStyle w:val="Zadanifontodlomka"/>
          <w:rFonts w:ascii="Arial" w:hAnsi="Arial" w:cs="Arial"/>
          <w:bCs/>
          <w:sz w:val="24"/>
          <w:szCs w:val="24"/>
        </w:rPr>
        <w:t>u smislu člana 23 Regulative br. 861/2007.</w:t>
      </w:r>
      <w:r>
        <w:rPr>
          <w:rFonts w:ascii="Arial" w:hAnsi="Arial" w:cs="Arial"/>
          <w:sz w:val="24"/>
          <w:szCs w:val="24"/>
        </w:rPr>
        <w:t xml:space="preserve"> </w:t>
      </w:r>
      <w:r>
        <w:rPr>
          <w:rFonts w:ascii="Arial" w:hAnsi="Arial" w:cs="Arial"/>
          <w:bCs/>
          <w:sz w:val="24"/>
          <w:szCs w:val="24"/>
        </w:rPr>
        <w:t xml:space="preserve">Nadležnost za odlučivanje po </w:t>
      </w:r>
      <w:r>
        <w:rPr>
          <w:rFonts w:ascii="Arial" w:hAnsi="Arial" w:cs="Arial"/>
          <w:bCs/>
          <w:sz w:val="24"/>
          <w:szCs w:val="24"/>
        </w:rPr>
        <w:lastRenderedPageBreak/>
        <w:t xml:space="preserve">predlogu izvršnog dužnika za odlaganje ili ograničenje izvršenja dodijeljena je osnovnim sudovima i Privrednom sudu Crne Gore. </w:t>
      </w:r>
    </w:p>
    <w:p w:rsidR="009A4FF4" w:rsidRDefault="009A4FF4" w:rsidP="009A4FF4">
      <w:pPr>
        <w:pStyle w:val="Odlomakpopisa"/>
        <w:ind w:left="1416"/>
        <w:jc w:val="both"/>
        <w:rPr>
          <w:rFonts w:ascii="Arial" w:hAnsi="Arial" w:cs="Arial"/>
          <w:bCs/>
          <w:sz w:val="24"/>
          <w:szCs w:val="24"/>
          <w:u w:val="single"/>
        </w:rPr>
      </w:pPr>
    </w:p>
    <w:p w:rsidR="009A4FF4" w:rsidRDefault="009A4FF4" w:rsidP="009A4FF4">
      <w:pPr>
        <w:pStyle w:val="Odlomakpopisa"/>
        <w:ind w:left="1440"/>
        <w:jc w:val="both"/>
        <w:rPr>
          <w:rFonts w:ascii="Arial" w:hAnsi="Arial" w:cs="Arial"/>
          <w:b/>
          <w:bCs/>
          <w:sz w:val="24"/>
          <w:szCs w:val="24"/>
        </w:rPr>
      </w:pPr>
      <w:r>
        <w:rPr>
          <w:rFonts w:ascii="Arial" w:hAnsi="Arial" w:cs="Arial"/>
          <w:b/>
          <w:bCs/>
          <w:sz w:val="24"/>
          <w:szCs w:val="24"/>
        </w:rPr>
        <w:t xml:space="preserve">Analiza usklađenosti Zakona o izvršenju i obezbjeđenju – Glava 32 sa </w:t>
      </w:r>
      <w:r w:rsidR="00E8240D">
        <w:rPr>
          <w:rFonts w:ascii="Arial" w:hAnsi="Arial" w:cs="Arial"/>
          <w:b/>
          <w:bCs/>
          <w:sz w:val="24"/>
          <w:szCs w:val="24"/>
        </w:rPr>
        <w:t>Regulativom o evropskom platnom nalogu</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iCs/>
          <w:sz w:val="24"/>
          <w:szCs w:val="24"/>
        </w:rPr>
        <w:t>Član 291lj</w:t>
      </w:r>
      <w:r>
        <w:rPr>
          <w:rStyle w:val="Zadanifontodlomka"/>
          <w:rFonts w:ascii="Arial" w:hAnsi="Arial" w:cs="Arial"/>
          <w:bCs/>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propisani su uslovi za izvršnost evropskog platnog naloga, u okviru područja primjene Regulative br. 1896/2006</w:t>
      </w:r>
      <w:r>
        <w:rPr>
          <w:rFonts w:ascii="Arial" w:hAnsi="Arial" w:cs="Arial"/>
          <w:sz w:val="24"/>
          <w:szCs w:val="24"/>
        </w:rPr>
        <w:t xml:space="preserve">. </w:t>
      </w:r>
      <w:r>
        <w:rPr>
          <w:rFonts w:ascii="Arial" w:hAnsi="Arial" w:cs="Arial"/>
          <w:bCs/>
          <w:sz w:val="24"/>
          <w:szCs w:val="24"/>
        </w:rPr>
        <w:t>Evropski platni nalog koji je izdao sud u Crnoj Gori i koji je postao izvršan, predstavlja izvršnu ispravu na osnovu koje se izvršenje može zahtijevati u Crnoj Gori.</w:t>
      </w:r>
      <w:r>
        <w:rPr>
          <w:rFonts w:ascii="Arial" w:hAnsi="Arial" w:cs="Arial"/>
          <w:sz w:val="24"/>
          <w:szCs w:val="24"/>
        </w:rPr>
        <w:t xml:space="preserve"> </w:t>
      </w:r>
      <w:r>
        <w:rPr>
          <w:rFonts w:ascii="Arial" w:hAnsi="Arial" w:cs="Arial"/>
          <w:bCs/>
          <w:sz w:val="24"/>
          <w:szCs w:val="24"/>
        </w:rPr>
        <w:t>Evropski platni nalog koji je izdat u drugoj državi članici i koji je postao izvršan, izvršiće se u Crnoj Gori pod istim uslovima kao i domaća izvršna isprava, bez prethodnog sprovođenja posebnog postupka radi priznanja te isprave i proglašenja izvršnosti.</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Član 291m</w:t>
      </w:r>
      <w:r>
        <w:rPr>
          <w:rStyle w:val="Zadanifontodlomka"/>
          <w:rFonts w:ascii="Arial" w:hAnsi="Arial" w:cs="Arial"/>
          <w:bCs/>
          <w:i/>
          <w:sz w:val="24"/>
          <w:szCs w:val="24"/>
        </w:rPr>
        <w:t xml:space="preserve"> </w:t>
      </w:r>
      <w:r>
        <w:rPr>
          <w:rStyle w:val="Zadanifontodlomka"/>
          <w:rFonts w:ascii="Arial" w:hAnsi="Arial" w:cs="Arial"/>
          <w:bCs/>
          <w:i/>
          <w:sz w:val="24"/>
          <w:szCs w:val="24"/>
        </w:rPr>
        <w:sym w:font="Symbol" w:char="F02D"/>
      </w:r>
      <w:r>
        <w:rPr>
          <w:rStyle w:val="Zadanifontodlomka"/>
          <w:rFonts w:ascii="Arial" w:hAnsi="Arial" w:cs="Arial"/>
          <w:bCs/>
          <w:i/>
          <w:sz w:val="24"/>
          <w:szCs w:val="24"/>
        </w:rPr>
        <w:t xml:space="preserve">  </w:t>
      </w:r>
      <w:r>
        <w:rPr>
          <w:rStyle w:val="Zadanifontodlomka"/>
          <w:rFonts w:ascii="Arial" w:hAnsi="Arial" w:cs="Arial"/>
          <w:sz w:val="24"/>
          <w:szCs w:val="24"/>
        </w:rPr>
        <w:t>ovim članom propisana je nadležnost za odlučivanje o predlogu za izvršenje na osnovu evropskog platnog naloga.</w:t>
      </w:r>
      <w:r>
        <w:rPr>
          <w:rFonts w:ascii="Arial" w:hAnsi="Arial" w:cs="Arial"/>
          <w:sz w:val="24"/>
          <w:szCs w:val="24"/>
        </w:rPr>
        <w:t xml:space="preserve"> </w:t>
      </w:r>
      <w:r>
        <w:rPr>
          <w:rStyle w:val="Zadanifontodlomka"/>
          <w:rFonts w:ascii="Arial" w:hAnsi="Arial" w:cs="Arial"/>
          <w:sz w:val="24"/>
          <w:szCs w:val="24"/>
        </w:rPr>
        <w:t>Ta nadležnost dodijeljena je javnim izvršiteljima, u skladu sa njihovom mjesnom nadležnošću u domaćim izvršnim postupcima.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iCs/>
          <w:sz w:val="24"/>
          <w:szCs w:val="24"/>
        </w:rPr>
        <w:t>Član 291n</w:t>
      </w:r>
      <w:r>
        <w:rPr>
          <w:rStyle w:val="Zadanifontodlomka"/>
          <w:rFonts w:ascii="Arial" w:hAnsi="Arial" w:cs="Arial"/>
          <w:sz w:val="24"/>
          <w:szCs w:val="24"/>
        </w:rPr>
        <w:t xml:space="preserve"> </w:t>
      </w:r>
      <w:r>
        <w:rPr>
          <w:rStyle w:val="Zadanifontodlomka"/>
          <w:rFonts w:ascii="Arial" w:hAnsi="Arial" w:cs="Arial"/>
          <w:sz w:val="24"/>
          <w:szCs w:val="24"/>
        </w:rPr>
        <w:sym w:font="Symbol" w:char="F02D"/>
      </w:r>
      <w:r>
        <w:rPr>
          <w:rStyle w:val="Zadanifontodlomka"/>
          <w:rFonts w:ascii="Arial" w:hAnsi="Arial" w:cs="Arial"/>
          <w:sz w:val="24"/>
          <w:szCs w:val="24"/>
        </w:rPr>
        <w:t xml:space="preserve"> ovim članom propisani su razlozi za podnošenje prigovora protiv odluke o izvršenju na osnovu evropskog platnog naloga.</w:t>
      </w:r>
      <w:r>
        <w:rPr>
          <w:rFonts w:ascii="Arial" w:hAnsi="Arial" w:cs="Arial"/>
          <w:sz w:val="24"/>
          <w:szCs w:val="24"/>
        </w:rPr>
        <w:t xml:space="preserve"> </w:t>
      </w:r>
      <w:r>
        <w:rPr>
          <w:rFonts w:ascii="Arial" w:hAnsi="Arial" w:cs="Arial"/>
          <w:bCs/>
          <w:sz w:val="24"/>
          <w:szCs w:val="24"/>
        </w:rPr>
        <w:t>Takav prigovor može se izjaviti samo u slučaju ako su razlozi za izjavljivanje prigovora nastali nakon što je izvršnom dužniku dostavljen evropski platni nalog i ako u postupku po prigovoru koji se sprovodi u skladu sa članom 16 Regulative br. 1896/2006 nijesu mogli biti iznijeti.</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Član 291nj</w:t>
      </w:r>
      <w:r>
        <w:rPr>
          <w:rStyle w:val="Zadanifontodlomka"/>
          <w:rFonts w:ascii="Arial" w:hAnsi="Arial" w:cs="Arial"/>
          <w:bCs/>
          <w:i/>
          <w:sz w:val="24"/>
          <w:szCs w:val="24"/>
        </w:rPr>
        <w:t xml:space="preserve"> </w:t>
      </w:r>
      <w:r>
        <w:rPr>
          <w:rStyle w:val="Zadanifontodlomka"/>
          <w:rFonts w:ascii="Arial" w:hAnsi="Arial" w:cs="Arial"/>
          <w:bCs/>
          <w:sz w:val="24"/>
          <w:szCs w:val="24"/>
        </w:rPr>
        <w:sym w:font="Symbol" w:char="F02D"/>
      </w:r>
      <w:r>
        <w:rPr>
          <w:rStyle w:val="Zadanifontodlomka"/>
          <w:rFonts w:ascii="Arial" w:hAnsi="Arial" w:cs="Arial"/>
          <w:bCs/>
          <w:sz w:val="24"/>
          <w:szCs w:val="24"/>
        </w:rPr>
        <w:t xml:space="preserve"> ovim članom propisani su jezički zahtjevi u smislu člana 21 stav (2) tačka (b) Regulative br. 1896/2006.</w:t>
      </w:r>
      <w:r>
        <w:rPr>
          <w:rFonts w:ascii="Arial" w:hAnsi="Arial" w:cs="Arial"/>
          <w:sz w:val="24"/>
          <w:szCs w:val="24"/>
        </w:rPr>
        <w:t xml:space="preserve"> </w:t>
      </w:r>
      <w:r>
        <w:rPr>
          <w:rStyle w:val="Zadanifontodlomka"/>
          <w:rFonts w:ascii="Arial" w:hAnsi="Arial" w:cs="Arial"/>
          <w:bCs/>
          <w:sz w:val="24"/>
          <w:szCs w:val="24"/>
        </w:rPr>
        <w:t>Ako je izvršni povjerilac dužan da priloži prevod</w:t>
      </w:r>
      <w:r>
        <w:rPr>
          <w:rFonts w:ascii="Arial" w:hAnsi="Arial" w:cs="Arial"/>
          <w:sz w:val="24"/>
          <w:szCs w:val="24"/>
        </w:rPr>
        <w:t xml:space="preserve"> </w:t>
      </w:r>
      <w:r>
        <w:rPr>
          <w:rStyle w:val="Zadanifontodlomka"/>
          <w:rFonts w:ascii="Arial" w:hAnsi="Arial" w:cs="Arial"/>
          <w:bCs/>
          <w:sz w:val="24"/>
          <w:szCs w:val="24"/>
        </w:rPr>
        <w:t>evropskog platnog naloga, taj prevod mora biti na crnogorskom jeziku i ovjeren od strane ovlašćenog lica.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iCs/>
          <w:sz w:val="24"/>
          <w:szCs w:val="24"/>
        </w:rPr>
        <w:t>Član 291o</w:t>
      </w:r>
      <w:r>
        <w:rPr>
          <w:rStyle w:val="Zadanifontodlomka"/>
          <w:rFonts w:ascii="Arial" w:hAnsi="Arial" w:cs="Arial"/>
          <w:sz w:val="24"/>
          <w:szCs w:val="24"/>
        </w:rPr>
        <w:t xml:space="preserve"> </w:t>
      </w:r>
      <w:r>
        <w:rPr>
          <w:rStyle w:val="Zadanifontodlomka"/>
          <w:rFonts w:ascii="Arial" w:hAnsi="Arial" w:cs="Arial"/>
          <w:sz w:val="24"/>
          <w:szCs w:val="24"/>
        </w:rPr>
        <w:sym w:font="Symbol" w:char="F02D"/>
      </w:r>
      <w:r>
        <w:rPr>
          <w:rStyle w:val="Zadanifontodlomka"/>
          <w:rFonts w:ascii="Arial" w:hAnsi="Arial" w:cs="Arial"/>
          <w:sz w:val="24"/>
          <w:szCs w:val="24"/>
        </w:rPr>
        <w:t xml:space="preserve"> ovaj član pruža mogućnost odlaganja izvršenja evropskog platnog naloga u situaciji kada izvršni dužnik podnese zahtjev za preispitivanje u vanrednim slučajevima, kako je predviđeno članom 20 stav tačka (1) Regulative br. 1896/2006. </w:t>
      </w:r>
      <w:r>
        <w:rPr>
          <w:rFonts w:ascii="Arial" w:hAnsi="Arial" w:cs="Arial"/>
          <w:sz w:val="24"/>
          <w:szCs w:val="24"/>
        </w:rPr>
        <w:t xml:space="preserve"> </w:t>
      </w:r>
      <w:r>
        <w:rPr>
          <w:rFonts w:ascii="Arial" w:hAnsi="Arial" w:cs="Arial"/>
          <w:bCs/>
          <w:sz w:val="24"/>
          <w:szCs w:val="24"/>
        </w:rPr>
        <w:t>U tom slučaju, postupak je uređen odredbama Zakona o izvršenju i obezbjeđenju kojima se uređuje odlaganje izvršenja u domaćem postupku.</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iCs/>
          <w:sz w:val="24"/>
          <w:szCs w:val="24"/>
        </w:rPr>
        <w:t>Član 291p</w:t>
      </w:r>
      <w:r>
        <w:rPr>
          <w:rStyle w:val="Zadanifontodlomka"/>
          <w:rFonts w:ascii="Arial" w:hAnsi="Arial" w:cs="Arial"/>
          <w:sz w:val="24"/>
          <w:szCs w:val="24"/>
        </w:rPr>
        <w:t xml:space="preserve"> </w:t>
      </w:r>
      <w:r>
        <w:rPr>
          <w:rStyle w:val="Zadanifontodlomka"/>
          <w:rFonts w:ascii="Arial" w:hAnsi="Arial" w:cs="Arial"/>
          <w:sz w:val="24"/>
          <w:szCs w:val="24"/>
        </w:rPr>
        <w:sym w:font="Symbol" w:char="F02D"/>
      </w:r>
      <w:r>
        <w:rPr>
          <w:rStyle w:val="Zadanifontodlomka"/>
          <w:rFonts w:ascii="Arial" w:hAnsi="Arial" w:cs="Arial"/>
          <w:sz w:val="24"/>
          <w:szCs w:val="24"/>
        </w:rPr>
        <w:t xml:space="preserve"> ovim članom uređena je obustava izvršenja na osnovu evropskog platnog naloga, u smislu člana 22 stav (1) Regulative br. 1896/2006.</w:t>
      </w:r>
      <w:r>
        <w:rPr>
          <w:rFonts w:ascii="Arial" w:hAnsi="Arial" w:cs="Arial"/>
          <w:sz w:val="24"/>
          <w:szCs w:val="24"/>
        </w:rPr>
        <w:t xml:space="preserve"> Nadležnost za odlučivanje po predlogu izvršnog dužnika za obustavu izvršenja data je osnovnim sudovima i Privrednom sudu Crne Gore. Postupak je uređen odredbama Zakona o izvršenju i obezbjeđenju, koje se odnose na obustavu izvršenja u domaćem postupku. </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iCs/>
          <w:sz w:val="24"/>
          <w:szCs w:val="24"/>
        </w:rPr>
        <w:t>Član 291r</w:t>
      </w:r>
      <w:r>
        <w:rPr>
          <w:rStyle w:val="Zadanifontodlomka"/>
          <w:rFonts w:ascii="Arial" w:hAnsi="Arial" w:cs="Arial"/>
          <w:sz w:val="24"/>
          <w:szCs w:val="24"/>
        </w:rPr>
        <w:t xml:space="preserve"> </w:t>
      </w:r>
      <w:r>
        <w:rPr>
          <w:rStyle w:val="Zadanifontodlomka"/>
          <w:rFonts w:ascii="Arial" w:hAnsi="Arial" w:cs="Arial"/>
          <w:sz w:val="24"/>
          <w:szCs w:val="24"/>
        </w:rPr>
        <w:sym w:font="Symbol" w:char="F02D"/>
      </w:r>
      <w:r>
        <w:rPr>
          <w:rStyle w:val="Zadanifontodlomka"/>
          <w:rFonts w:ascii="Arial" w:hAnsi="Arial" w:cs="Arial"/>
          <w:sz w:val="24"/>
          <w:szCs w:val="24"/>
        </w:rPr>
        <w:t xml:space="preserve"> ovim članom propisano je odlaganje ili obustava izvršenja na osnovu evropskog platnog naloga, u smislu člana 23 Regulative br. 1896/2006.</w:t>
      </w:r>
      <w:r>
        <w:rPr>
          <w:rFonts w:ascii="Arial" w:hAnsi="Arial" w:cs="Arial"/>
          <w:sz w:val="24"/>
          <w:szCs w:val="24"/>
        </w:rPr>
        <w:t xml:space="preserve"> Nadležnost za odlučivanje po predlogu izvršnog dužnika za odlaganje ili obustavu izvršenja data je osnovnim sudovima i Privrednom sudu Crne Gore. </w:t>
      </w:r>
    </w:p>
    <w:p w:rsidR="009A4FF4" w:rsidRDefault="009A4FF4" w:rsidP="009A4FF4">
      <w:pPr>
        <w:tabs>
          <w:tab w:val="left" w:pos="1365"/>
        </w:tabs>
        <w:spacing w:line="240" w:lineRule="auto"/>
        <w:jc w:val="both"/>
        <w:rPr>
          <w:rFonts w:ascii="Arial" w:hAnsi="Arial" w:cs="Arial"/>
          <w:bCs/>
          <w:sz w:val="24"/>
          <w:szCs w:val="24"/>
        </w:rPr>
      </w:pPr>
      <w:r>
        <w:rPr>
          <w:rFonts w:ascii="Arial" w:hAnsi="Arial" w:cs="Arial"/>
          <w:bCs/>
          <w:sz w:val="24"/>
          <w:szCs w:val="24"/>
        </w:rPr>
        <w:tab/>
      </w:r>
    </w:p>
    <w:p w:rsidR="009A4FF4" w:rsidRDefault="009A4FF4" w:rsidP="009A4FF4">
      <w:pPr>
        <w:tabs>
          <w:tab w:val="left" w:pos="1365"/>
        </w:tabs>
        <w:spacing w:line="240" w:lineRule="auto"/>
        <w:jc w:val="both"/>
        <w:rPr>
          <w:rFonts w:ascii="Arial" w:hAnsi="Arial" w:cs="Arial"/>
          <w:bCs/>
          <w:sz w:val="24"/>
          <w:szCs w:val="24"/>
        </w:rPr>
      </w:pPr>
    </w:p>
    <w:p w:rsidR="009A4FF4" w:rsidRDefault="009A4FF4" w:rsidP="009A4FF4">
      <w:pPr>
        <w:tabs>
          <w:tab w:val="left" w:pos="1365"/>
        </w:tabs>
        <w:spacing w:line="240" w:lineRule="auto"/>
        <w:jc w:val="both"/>
        <w:rPr>
          <w:rFonts w:ascii="Arial" w:hAnsi="Arial" w:cs="Arial"/>
          <w:bCs/>
          <w:sz w:val="24"/>
          <w:szCs w:val="24"/>
        </w:rPr>
      </w:pPr>
    </w:p>
    <w:p w:rsidR="009A4FF4" w:rsidRDefault="009A4FF4" w:rsidP="009A4FF4">
      <w:pPr>
        <w:pStyle w:val="Odlomakpopisa"/>
        <w:jc w:val="both"/>
        <w:rPr>
          <w:rFonts w:ascii="Arial" w:hAnsi="Arial" w:cs="Arial"/>
          <w:b/>
          <w:bCs/>
          <w:sz w:val="24"/>
          <w:szCs w:val="24"/>
          <w:u w:val="single"/>
        </w:rPr>
      </w:pPr>
      <w:r>
        <w:rPr>
          <w:rFonts w:ascii="Arial" w:hAnsi="Arial" w:cs="Arial"/>
          <w:b/>
          <w:bCs/>
          <w:sz w:val="24"/>
          <w:szCs w:val="24"/>
          <w:u w:val="single"/>
        </w:rPr>
        <w:lastRenderedPageBreak/>
        <w:t>Zaključci i preporuke</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 xml:space="preserve">Analiza relevantnih odredaba Zakona o izmjenama i dopunama Zakona o parničnom postupku i Zakona o izmjenama i dopunama Zakona o izvršenju i obezbjeđenju pokazala je da je crnogorsko zakonodavstvo u potpunosti usklađeno sa regulativama o evropskom nalogu za izvršenje nespornih potraživanja, evropskom postupku za sporove malih vrijednosti i evropskom platnom nalogu. Ovim zakonima propisani su svi neophodni uslovi za nesmetanu primjenu navedenih instrumenata. </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Crnogorsko zakonodavno rješenje za prenošenje ovih instrumenata u skladu je sa domaćim organizacionim i procesnim aranžmanima u pogledu parničnog i izvršnog postupka. Sve procesne odredbe sadržane su u relevantnom zakonskom aktu, bez obzira na to da li postupak ima element inostranosti (EU). To doprinosi pravnoj sigurnosti i jasnoći normi, te vodi do veće ujednačenosti u primjeni zakona.</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Kao što je detaljnije pojašnjeno u uvodnom dijelu, metodologija za prenošenje usklađena je sa zakonodavnim pristupom koji se ne sastoji od kreiranja novih zakonskih akata kojima se vrši prenos, već od izmjene postojećeg procesnog okvira.</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 xml:space="preserve">Zakon o parničnom postupku izmijenjen je odredbama koje uređuju parnični postupak sa prekograničnim elementom, a u Zakon o izvršenju i obezbjeđenju unesene su odredbe regulativa o izvršenju naloga i presuda koje je izdao, odnosno donio sud druge države članice EU. </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bCs/>
          <w:sz w:val="24"/>
          <w:szCs w:val="24"/>
        </w:rPr>
        <w:t xml:space="preserve">Ovo rješenje se smatra povoljnim i sa stanovišta budućeg sprovođenja u praksi, jer postojanje i domaćih i evropskih procesnih odredbi u istom zakonskom aktu stvara veću jasnoću za potrebe suda i doprinosi ujednačavanju procesnih standarda. </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Što se tiče evropskog naloga za izvršenje nespornih potraživanja, predmet je u potpunosti obuhvaćen opsegom izvršenja. Relevantna regulativa je u potpunosti prenesena izmjenama i dopunama Zakona o izvršenju i obezbjeđenju.</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Dakle, analiza relevantnih odredaba pokazala je da su ispunjeni svi neophodni uslovi za nesmetanu primjenu predmetnih instrumenata.</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Što se tiče evropskog postupka za sporove male vrijednosti, svi elementi predviđeni članom 25 Regulative br. 861/2007 ugrađeni su u tekst relevantnog zakonodavstva. Isto važi i za ključne elemente evropskog naloga za izvršenje, kako je predviđeno čl. 29 i 30 Regulative br. 805/2004 i evropskog platnog naloga, kako je predviđeno čl. 28 i 29 Regulative br. 1896/2006.</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sz w:val="24"/>
          <w:szCs w:val="24"/>
        </w:rPr>
        <w:t>Ključni elementi samo jedne regulative iz ove oblasti - Regulative (EU) br. 655/2014 Evropskog parlamenta i Savjeta od 15. maja 2014. godine o uspostavljanju postupka za evropski nalog za blokadu računa, kako bi se pojednostavila prekogranična naplata duga u građanskim i privrednim stvarima, nijesu ugrađeni u tekst relevantnog zakonodavsta, zbog čega se predlaže da se p</w:t>
      </w:r>
      <w:r>
        <w:rPr>
          <w:rFonts w:ascii="Arial" w:hAnsi="Arial" w:cs="Arial"/>
          <w:sz w:val="24"/>
          <w:szCs w:val="24"/>
        </w:rPr>
        <w:t>renošenje ove relativno nove regulative obavi putem izmjena i dopuna Zakona o izvršenju i obezbjeđenju.</w:t>
      </w:r>
    </w:p>
    <w:p w:rsidR="009A4FF4" w:rsidRDefault="009A4FF4" w:rsidP="009A4FF4">
      <w:pPr>
        <w:pStyle w:val="Odlomakpopisa"/>
        <w:jc w:val="both"/>
        <w:rPr>
          <w:rFonts w:ascii="Arial" w:hAnsi="Arial" w:cs="Arial"/>
          <w:sz w:val="24"/>
          <w:szCs w:val="24"/>
        </w:rPr>
      </w:pPr>
      <w:r>
        <w:rPr>
          <w:rFonts w:ascii="Arial" w:hAnsi="Arial" w:cs="Arial"/>
          <w:sz w:val="24"/>
          <w:szCs w:val="24"/>
        </w:rPr>
        <w:t>Prilikom prenošenja navedene Regulative, treba uzeti u obzir sljedeće:</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određivanje sudova nadležnih za izdavanje naloga za blokadu (član 6 stav (4));</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određivanje organa nadležnog za dobijanje informacija o računu (član 14);</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lastRenderedPageBreak/>
        <w:t>dostupni načini za dobijanje informacija o računu (član 14 stav (5));</w:t>
      </w:r>
    </w:p>
    <w:p w:rsidR="009A4FF4" w:rsidRDefault="004F2641" w:rsidP="009A4FF4">
      <w:pPr>
        <w:pStyle w:val="Odlomakpopisa"/>
        <w:numPr>
          <w:ilvl w:val="0"/>
          <w:numId w:val="8"/>
        </w:numPr>
        <w:jc w:val="both"/>
        <w:rPr>
          <w:rFonts w:ascii="Arial" w:hAnsi="Arial" w:cs="Arial"/>
          <w:sz w:val="24"/>
          <w:szCs w:val="24"/>
        </w:rPr>
      </w:pPr>
      <w:r>
        <w:rPr>
          <w:rFonts w:ascii="Arial" w:hAnsi="Arial" w:cs="Arial"/>
          <w:sz w:val="24"/>
          <w:szCs w:val="24"/>
        </w:rPr>
        <w:t>određivanje sudova</w:t>
      </w:r>
      <w:r w:rsidR="009A4FF4">
        <w:rPr>
          <w:rFonts w:ascii="Arial" w:hAnsi="Arial" w:cs="Arial"/>
          <w:sz w:val="24"/>
          <w:szCs w:val="24"/>
        </w:rPr>
        <w:t xml:space="preserve"> kojima se može izjaviti prigovor (član 21);</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određivanje jednog ili više organa kao nadležnih za prijem, slanje i dostavljanje naloga za blokadu i drugih pismena prema ovoj regulativi (član 4 tačka (14));</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određivanje organa nadležnog za izvršenje naloga za blokadu u skladu sa Poglavljem 3;</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u kojoj mjeri zajednički i zastupnički računi mogu da budu blokirani prema domaćem pravu (član 30);</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pravila koja se primjenjuju na iznose izuzete od zapljene prema domaćem pravu (član 31);</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da li, prema domaćem pravu, banke imaju pravo da naplaćuju naknade za sprovođenje ekvivalentnih nacionalnih naloga ili za davanje informacija o računu i, ako imaju, koja je strana odgovorna, privremeno i konačno, za plaćanje tih naknada (član 43);</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raspon naknada ili druga pravila kojima se određuju primjenljive naknade koje naplaćuje bilo koji organ ili drugo tijelo uključeno u obradu ili izvršenje naloga za blokadu (član 44);</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da li je određeno bilo kakvo rangiranje za ekvivalentne domaće naloge prema domaćem pravu (član 32);</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sudovi ili, prema potrebi, službe koje vrše izvršenje, nadležni za odobravanje pravnog sredstva (član 33 stav (1), član 34 st. (1) ili (2));</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sudovi kojima se podnosi prigvor, rok, ako je propisan, u kojem se takav prigovor mora podnijeti prema domaćem pravu i trenutak od kojeg se računa početak tog roka (član 37);</w:t>
      </w:r>
    </w:p>
    <w:p w:rsidR="009A4FF4" w:rsidRDefault="008B5ADA" w:rsidP="009A4FF4">
      <w:pPr>
        <w:pStyle w:val="Odlomakpopisa"/>
        <w:numPr>
          <w:ilvl w:val="0"/>
          <w:numId w:val="8"/>
        </w:numPr>
        <w:jc w:val="both"/>
        <w:rPr>
          <w:rFonts w:ascii="Arial" w:hAnsi="Arial" w:cs="Arial"/>
          <w:sz w:val="24"/>
          <w:szCs w:val="24"/>
        </w:rPr>
      </w:pPr>
      <w:r>
        <w:rPr>
          <w:rFonts w:ascii="Arial" w:hAnsi="Arial" w:cs="Arial"/>
          <w:sz w:val="24"/>
          <w:szCs w:val="24"/>
        </w:rPr>
        <w:t>određivanje</w:t>
      </w:r>
      <w:r w:rsidR="009A4FF4">
        <w:rPr>
          <w:rFonts w:ascii="Arial" w:hAnsi="Arial" w:cs="Arial"/>
          <w:sz w:val="24"/>
          <w:szCs w:val="24"/>
        </w:rPr>
        <w:t xml:space="preserve"> sudskih naknada (član 42); i</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 xml:space="preserve">jezici koji su prihvaćeni za prevod pismena (član 49 stav (2)).  </w:t>
      </w:r>
    </w:p>
    <w:p w:rsidR="009A4FF4" w:rsidRDefault="009A4FF4" w:rsidP="009A4FF4">
      <w:pPr>
        <w:pStyle w:val="Odlomakpopisa"/>
        <w:ind w:left="1080"/>
        <w:jc w:val="both"/>
        <w:rPr>
          <w:rFonts w:ascii="Arial" w:hAnsi="Arial" w:cs="Arial"/>
          <w:sz w:val="24"/>
          <w:szCs w:val="24"/>
          <w:lang w:val="en-US"/>
        </w:rPr>
      </w:pPr>
    </w:p>
    <w:p w:rsidR="009A4FF4" w:rsidRDefault="009A4FF4" w:rsidP="009A4FF4">
      <w:pPr>
        <w:pStyle w:val="Odlomakpopisa"/>
        <w:ind w:left="0" w:firstLine="708"/>
        <w:jc w:val="both"/>
        <w:rPr>
          <w:rFonts w:ascii="Arial" w:hAnsi="Arial" w:cs="Arial"/>
          <w:b/>
          <w:bCs/>
          <w:sz w:val="24"/>
          <w:szCs w:val="24"/>
        </w:rPr>
      </w:pPr>
      <w:r>
        <w:rPr>
          <w:rFonts w:ascii="Arial" w:hAnsi="Arial" w:cs="Arial"/>
          <w:b/>
          <w:bCs/>
          <w:sz w:val="24"/>
          <w:szCs w:val="24"/>
        </w:rPr>
        <w:t>2.5. OSTALI RELEVANTNI INSTRUMENTI</w:t>
      </w:r>
    </w:p>
    <w:p w:rsidR="009A4FF4" w:rsidRDefault="009A4FF4" w:rsidP="009A4FF4">
      <w:pPr>
        <w:pStyle w:val="Odlomakpopisa"/>
        <w:ind w:left="1080"/>
        <w:jc w:val="both"/>
        <w:rPr>
          <w:rFonts w:ascii="Arial" w:hAnsi="Arial" w:cs="Arial"/>
          <w:bCs/>
          <w:sz w:val="24"/>
          <w:szCs w:val="24"/>
          <w:lang w:val="en-US"/>
        </w:rPr>
      </w:pPr>
    </w:p>
    <w:p w:rsidR="009A4FF4" w:rsidRDefault="009A4FF4" w:rsidP="009A4FF4">
      <w:pPr>
        <w:spacing w:line="240" w:lineRule="auto"/>
        <w:ind w:left="360" w:firstLine="720"/>
        <w:jc w:val="both"/>
        <w:rPr>
          <w:rFonts w:ascii="Arial" w:hAnsi="Arial" w:cs="Arial"/>
          <w:bCs/>
          <w:sz w:val="24"/>
          <w:szCs w:val="24"/>
          <w:u w:val="single"/>
          <w:lang w:val="sr-Latn-ME"/>
        </w:rPr>
      </w:pPr>
      <w:r>
        <w:rPr>
          <w:rFonts w:ascii="Arial" w:hAnsi="Arial" w:cs="Arial"/>
          <w:bCs/>
          <w:sz w:val="24"/>
          <w:szCs w:val="24"/>
          <w:u w:val="single"/>
        </w:rPr>
        <w:t xml:space="preserve">Nasljeđivanje </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Za nasljeđivanje je relevantna Regulativa (EU) br. 650/2012 Evropskog parlamenta i Savjeta od 4. jula 2012. godine o nadležnosti, mjerodavnom pravu, priznavanju i izvršavanju odluka i prihvatanju i izvršavanju autentičnih instrumenata u nasljednim stvarima i o uspostavljanju evropske potvrde o nasljeđivanju.</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 xml:space="preserve">Svrha Regulative br. 650/2012 je da olakša nasljeđivanja sa međunarodnim elementom (na primjer, preminuli živi u zemlji koja nije zemlja njegovog porijekla ili ima nasljednike i/ili imovinu u nekoliko zemalja). Regulativa to postiže propisivanjem  pravila o nadležnosti za sprovođenje ostavinskog postupka (nadležni organ koje </w:t>
      </w:r>
      <w:r>
        <w:rPr>
          <w:rFonts w:ascii="Arial" w:hAnsi="Arial" w:cs="Arial"/>
          <w:bCs/>
          <w:sz w:val="24"/>
          <w:szCs w:val="24"/>
        </w:rPr>
        <w:lastRenderedPageBreak/>
        <w:t>države članice EU će sprovesti ostavinski postupak) i mjerodavnom pravu za nasljeđivanje, kao i pojednostavljivanjem postupaka za priznavanje i izvršavanje sudskih odluka i autentičnih instrumenata u drugoj državi članici. Pored toga, Regulativom se uvodi evropska potvrda o nasljeđivanju, koja nasljednicima, legatarima, izvršiocima testamenata i staraocima zaostavštine omogućava da pruže dokaze o svom statusu i ostvaruju svoja prava u vezi sa nasljeđivanjem imovine koja se nalazi u drugoj državi članici.</w:t>
      </w:r>
    </w:p>
    <w:p w:rsidR="009A4FF4" w:rsidRDefault="009A4FF4" w:rsidP="009A4FF4">
      <w:pPr>
        <w:pStyle w:val="Odlomakpopisa"/>
        <w:ind w:left="0" w:firstLine="720"/>
        <w:jc w:val="both"/>
        <w:rPr>
          <w:rFonts w:ascii="Arial" w:hAnsi="Arial" w:cs="Arial"/>
          <w:bCs/>
          <w:sz w:val="24"/>
          <w:szCs w:val="24"/>
        </w:rPr>
      </w:pPr>
      <w:r>
        <w:rPr>
          <w:rFonts w:ascii="Arial" w:hAnsi="Arial" w:cs="Arial"/>
          <w:bCs/>
          <w:sz w:val="24"/>
          <w:szCs w:val="24"/>
        </w:rPr>
        <w:t>Konkretno, Regulativa br. 650/2012 ima za cilj unapređenje pravne sigurnosti i predvidljivosti nadležnosti sudova u stvarima nasljeđivanja. Regulativa obezbjeđuje mogućnost građanima koji sačine testament da izaberu mjerodavno pravo za njihovo nasljedstvo, što, takođe, može da utiče na određivanje nadležnog suda; obezbjeđuje preciznost kod određivanja mjerodavnog prava za nasljeđivanje, naročito kada je osoba čija se zaostavština raspravlja povezana sa više od jedne države članice; omogućava ostaviocu da izabere pravo države svojeg državljanstva; omogućava da se ugovori o nasljeđivanju sačine uz jasno navođenje njihovog područja primjene i dejstva, uzimajući u obzir pravo kojima će isti biti uređeni; obezbjeđuje da određivanje i ovlašćenja osoba odgovornih za upravljanje zaostavštinom ostavioca budu jasni i da ta ovlašćenja budu priznata i izvršna u državama članicama, pored one iz koje potiču; obezbjeđuje da se odluke donesene u državi članici priznaju u drugim državama članicama bez ikakvog posebnog postupka; obezbjeđuje korišćenje autentičnih instrumenata u predmetima nasljeđivanja tako da imaju ista dejstva u drugim državama članicama kao u onima u kojima su sačinjeni, kao i korišćenje fakultativne evropske potvrde o nasljeđivanju u vezi sa zaostavštinom koja se nalazi u drugoj državi, u kojoj će biti jasno naznačeno ko ima pravo da naslijedi zaostavštinu i ko je ovlašćen da upravlja zaostavštinom ili izvršava testament.</w:t>
      </w:r>
    </w:p>
    <w:p w:rsidR="009A4FF4" w:rsidRDefault="009A4FF4" w:rsidP="009A4FF4">
      <w:pPr>
        <w:pStyle w:val="Odlomakpopisa"/>
        <w:ind w:left="0" w:firstLine="720"/>
        <w:jc w:val="both"/>
        <w:rPr>
          <w:rStyle w:val="Zadanifontodlomka"/>
        </w:rPr>
      </w:pPr>
      <w:r>
        <w:rPr>
          <w:rStyle w:val="Zadanifontodlomka"/>
          <w:rFonts w:ascii="Arial" w:hAnsi="Arial" w:cs="Arial"/>
          <w:bCs/>
          <w:sz w:val="24"/>
          <w:szCs w:val="24"/>
        </w:rPr>
        <w:t>Područje primjene Regulative br. 650/2012 može se podijeliti na dva dijela, od kojih je jedan obuhvaćen pravilima međunarodnog privatnog prava (o nadležnosti, mjerodavnom pravu, priznavanju i izvršavanju odluka), dok drugi govori o</w:t>
      </w:r>
      <w:r>
        <w:rPr>
          <w:rFonts w:ascii="Arial" w:hAnsi="Arial" w:cs="Arial"/>
          <w:sz w:val="24"/>
          <w:szCs w:val="24"/>
        </w:rPr>
        <w:t xml:space="preserve"> </w:t>
      </w:r>
      <w:r>
        <w:rPr>
          <w:rStyle w:val="Zadanifontodlomka"/>
          <w:rFonts w:ascii="Arial" w:hAnsi="Arial" w:cs="Arial"/>
          <w:bCs/>
          <w:sz w:val="24"/>
          <w:szCs w:val="24"/>
        </w:rPr>
        <w:t>prihvatanju i izvršavanju autentičnih instrumenata u nasljednim stvarima i o uspostavljanju evropske potvrde o nasljeđivanju.</w:t>
      </w:r>
      <w:r>
        <w:rPr>
          <w:rFonts w:ascii="Arial" w:hAnsi="Arial" w:cs="Arial"/>
          <w:bCs/>
          <w:sz w:val="24"/>
          <w:szCs w:val="24"/>
        </w:rPr>
        <w:t xml:space="preserve"> Regulativa br. 650/2012 još uvijek nije prenesena u domaće zakonodavstvo.</w:t>
      </w:r>
      <w:r>
        <w:rPr>
          <w:rStyle w:val="Zadanifontodlomka"/>
          <w:rFonts w:ascii="Arial" w:hAnsi="Arial" w:cs="Arial"/>
          <w:bCs/>
          <w:sz w:val="24"/>
          <w:szCs w:val="24"/>
        </w:rPr>
        <w:t xml:space="preserve"> S toga bi bilo preporučljivo da Crna Gora usvoji zakonske akte kojima se omogućava korišćenje evropske potvrde o nasljeđivanju. To se može učiniti ili izmjenom postojećeg Zakona o nasljeđivanju ili donošenjem posebnog zakona, koji će osigurati prenošenje relevantnih elemenata Regulative br. 650/2012, kao što su nadležni organi i postupci iz područja primjene ove regulative.</w:t>
      </w:r>
    </w:p>
    <w:p w:rsidR="009A4FF4" w:rsidRDefault="009A4FF4" w:rsidP="009A4FF4">
      <w:pPr>
        <w:spacing w:line="240" w:lineRule="auto"/>
        <w:jc w:val="both"/>
        <w:rPr>
          <w:u w:val="single"/>
        </w:rPr>
      </w:pPr>
    </w:p>
    <w:p w:rsidR="009A4FF4" w:rsidRDefault="009A4FF4" w:rsidP="009A4FF4">
      <w:pPr>
        <w:spacing w:line="240" w:lineRule="auto"/>
        <w:ind w:left="720" w:firstLine="720"/>
        <w:jc w:val="both"/>
        <w:rPr>
          <w:rFonts w:ascii="Arial" w:hAnsi="Arial" w:cs="Arial"/>
          <w:bCs/>
          <w:sz w:val="24"/>
          <w:szCs w:val="24"/>
          <w:u w:val="single"/>
        </w:rPr>
      </w:pPr>
      <w:r>
        <w:rPr>
          <w:rFonts w:ascii="Arial" w:hAnsi="Arial" w:cs="Arial"/>
          <w:bCs/>
          <w:sz w:val="24"/>
          <w:szCs w:val="24"/>
          <w:u w:val="single"/>
        </w:rPr>
        <w:t>Besplatna pravna pomoć</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Za besplatnu pravnu pomoć relevantna je Direktiva Savjeta 2002/8/EZ od 27. januara 2003. godine o unapređenju pristupa pravosuđu u prekograničnim sporovima uspostavljanjem minimuma zajedničkih pravila u vezi sa besplatnom pravnom pomoći za te sporove.</w:t>
      </w:r>
    </w:p>
    <w:p w:rsidR="009A4FF4" w:rsidRDefault="009A4FF4" w:rsidP="009A4FF4">
      <w:pPr>
        <w:spacing w:line="240" w:lineRule="auto"/>
        <w:ind w:firstLine="720"/>
        <w:jc w:val="both"/>
        <w:rPr>
          <w:rFonts w:ascii="Arial" w:hAnsi="Arial" w:cs="Arial"/>
          <w:bCs/>
          <w:sz w:val="24"/>
          <w:szCs w:val="24"/>
        </w:rPr>
      </w:pPr>
      <w:r>
        <w:rPr>
          <w:rFonts w:ascii="Arial" w:hAnsi="Arial" w:cs="Arial"/>
          <w:bCs/>
          <w:sz w:val="24"/>
          <w:szCs w:val="24"/>
        </w:rPr>
        <w:t xml:space="preserve">Cilj Direktive o pravnoj pomoći je prevazilaženje postojećih prepreka u pogledu pristupa besplatnoj pravnoj pomoći u prekograničnim sporovima u građanskim i privrednim stvarima. Direktiva se odnosi na građane EU, kao i na državljane trećih zemalja koji imaju uobičajeno i zakonito boravište u nekoj državi članici. </w:t>
      </w:r>
    </w:p>
    <w:p w:rsidR="009A4FF4" w:rsidRDefault="009A4FF4" w:rsidP="009A4FF4">
      <w:pPr>
        <w:spacing w:line="240" w:lineRule="auto"/>
        <w:ind w:firstLine="708"/>
        <w:jc w:val="both"/>
        <w:rPr>
          <w:rFonts w:ascii="Arial" w:hAnsi="Arial" w:cs="Arial"/>
          <w:bCs/>
          <w:sz w:val="24"/>
          <w:szCs w:val="24"/>
        </w:rPr>
      </w:pPr>
      <w:r>
        <w:rPr>
          <w:rFonts w:ascii="Arial" w:hAnsi="Arial" w:cs="Arial"/>
          <w:bCs/>
          <w:sz w:val="24"/>
          <w:szCs w:val="24"/>
        </w:rPr>
        <w:lastRenderedPageBreak/>
        <w:t>Ova direktiva je implementirana u Zakon o besplatnoj pravnoj pomoći, koji je usklađen i sa Odlukom Komisije od 9. novembra 2004. godine o utvrđivanju obrasca zahtjeva za besplatnu pravnu pomoć.</w:t>
      </w:r>
    </w:p>
    <w:p w:rsidR="009A4FF4" w:rsidRDefault="009A4FF4" w:rsidP="009A4FF4">
      <w:pPr>
        <w:pStyle w:val="Odlomakpopisa"/>
        <w:ind w:left="1080"/>
        <w:jc w:val="both"/>
        <w:rPr>
          <w:rFonts w:ascii="Arial" w:hAnsi="Arial" w:cs="Arial"/>
          <w:bCs/>
          <w:sz w:val="24"/>
          <w:szCs w:val="24"/>
          <w:lang w:val="en-US"/>
        </w:rPr>
      </w:pPr>
    </w:p>
    <w:p w:rsidR="009A4FF4" w:rsidRDefault="009A4FF4" w:rsidP="009A4FF4">
      <w:pPr>
        <w:spacing w:line="240" w:lineRule="auto"/>
        <w:ind w:left="708" w:firstLine="708"/>
        <w:jc w:val="both"/>
        <w:rPr>
          <w:rFonts w:ascii="Arial" w:hAnsi="Arial" w:cs="Arial"/>
          <w:bCs/>
          <w:sz w:val="24"/>
          <w:szCs w:val="24"/>
          <w:u w:val="single"/>
          <w:lang w:val="sr-Latn-ME"/>
        </w:rPr>
      </w:pPr>
      <w:r>
        <w:rPr>
          <w:rFonts w:ascii="Arial" w:hAnsi="Arial" w:cs="Arial"/>
          <w:bCs/>
          <w:sz w:val="24"/>
          <w:szCs w:val="24"/>
          <w:u w:val="single"/>
        </w:rPr>
        <w:t>Medijacija u građanskim i privrednim stvarima</w:t>
      </w:r>
    </w:p>
    <w:p w:rsidR="009A4FF4" w:rsidRDefault="009A4FF4" w:rsidP="009A4FF4">
      <w:pPr>
        <w:spacing w:line="240" w:lineRule="auto"/>
        <w:ind w:firstLine="708"/>
        <w:jc w:val="both"/>
        <w:rPr>
          <w:rFonts w:ascii="Arial" w:hAnsi="Arial" w:cs="Arial"/>
          <w:bCs/>
          <w:sz w:val="24"/>
          <w:szCs w:val="24"/>
        </w:rPr>
      </w:pPr>
      <w:r>
        <w:rPr>
          <w:rFonts w:ascii="Arial" w:hAnsi="Arial" w:cs="Arial"/>
          <w:bCs/>
          <w:sz w:val="24"/>
          <w:szCs w:val="24"/>
        </w:rPr>
        <w:t>Za medijaciju je relevantna Direktiva 2008/52/EZ Evropskog parlamenta i Savjeta od 21. maja 2008. godine o nekim aspektima medijacije u građanskim i privrednim stvarima.</w:t>
      </w:r>
    </w:p>
    <w:p w:rsidR="009A4FF4" w:rsidRDefault="009A4FF4" w:rsidP="009A4FF4">
      <w:pPr>
        <w:spacing w:line="240" w:lineRule="auto"/>
        <w:ind w:firstLine="708"/>
        <w:jc w:val="both"/>
        <w:rPr>
          <w:rFonts w:ascii="Arial" w:hAnsi="Arial" w:cs="Arial"/>
          <w:bCs/>
          <w:sz w:val="24"/>
          <w:szCs w:val="24"/>
        </w:rPr>
      </w:pPr>
      <w:r>
        <w:rPr>
          <w:rFonts w:ascii="Arial" w:hAnsi="Arial" w:cs="Arial"/>
          <w:bCs/>
          <w:sz w:val="24"/>
          <w:szCs w:val="24"/>
        </w:rPr>
        <w:t>Cilj ove direktive je da se utvrde minimalni standardi u pogledu značenja i kvaliteta medijacije, kao i da se obezbijedi uravnotežen odnos između medijacije i sudskih postupaka.</w:t>
      </w:r>
    </w:p>
    <w:p w:rsidR="009A4FF4" w:rsidRDefault="009A4FF4" w:rsidP="009A4FF4">
      <w:pPr>
        <w:spacing w:line="240" w:lineRule="auto"/>
        <w:ind w:firstLine="708"/>
        <w:jc w:val="both"/>
        <w:rPr>
          <w:rFonts w:ascii="Arial" w:hAnsi="Arial" w:cs="Arial"/>
          <w:sz w:val="24"/>
          <w:szCs w:val="24"/>
        </w:rPr>
      </w:pPr>
      <w:r>
        <w:rPr>
          <w:rStyle w:val="Zadanifontodlomka"/>
          <w:rFonts w:ascii="Arial" w:hAnsi="Arial" w:cs="Arial"/>
          <w:bCs/>
          <w:sz w:val="24"/>
          <w:szCs w:val="24"/>
        </w:rPr>
        <w:t>Direktiva o medijaciji je prenesena u Zakon o alternativnom rješavanju sporova, koji je stupio na snagu 6. avgusta 2020. godine, kada je počeo da se primjenjuje. Ovaj zakon je dobio pozitivno mišljenje Evropske komisije, sa kojom je ostvarena aktivna i uspješna saradnja tokom njegove pripreme. Crna Gora je veoma posvećena razvoju alternativnog rješavanja sporova, čemu u prilog idu sljedeće činjenice: Vlada Crne Gore je u decembru 2018. godine usvojila Program razvoja alternativnog rješavanja sporova, sa pratećim Akcionim planom za njegovo sprovođenje za period 2019-2021. godine. Ovaj Program predviđa veliki broj aktivnosti nadležnih organa sa preciznim rokovima za njihovo preduzimanje/sprovođenje. Usvajanje navedenog zakona je samo jedna, ali svakako najvažnija mjera iz navedenog Akcionog plana, koja je uspješno sprovedena u zadatom roku. Pomenuti zakon uveo je brojne novine u sistem alternativnog rješavanja sporova, poput rane neutralne ocjene spora koju vode neutralne osobe - evaluatori spora. Konačno, u avgustu 2019. godine, Crna Gora je među prvim zemljama potpisala Singapursku konvenciju o medijaciji, čiji postupak ratifikacije je u toku. Tim činom Crna Gora je poslala jasnu poruku da je snažno posvećena ovom pitanju, čak i kada je riječ o izvršenju sporazuma (poravnanja) postignutih kroz medijaciju u privrednim sporovima sa međunarodnim elementom, koja oblast je uređena navedenom Konvencijom.</w:t>
      </w:r>
    </w:p>
    <w:p w:rsidR="009A4FF4" w:rsidRDefault="009A4FF4" w:rsidP="009A4FF4">
      <w:pPr>
        <w:spacing w:line="240" w:lineRule="auto"/>
        <w:ind w:firstLine="708"/>
        <w:jc w:val="both"/>
        <w:rPr>
          <w:rFonts w:ascii="Arial" w:hAnsi="Arial" w:cs="Arial"/>
          <w:sz w:val="24"/>
          <w:szCs w:val="24"/>
        </w:rPr>
      </w:pPr>
    </w:p>
    <w:p w:rsidR="009A4FF4" w:rsidRDefault="009A4FF4" w:rsidP="009A4FF4">
      <w:pPr>
        <w:spacing w:line="240" w:lineRule="auto"/>
        <w:ind w:firstLine="708"/>
        <w:jc w:val="both"/>
        <w:rPr>
          <w:rFonts w:ascii="Arial" w:hAnsi="Arial" w:cs="Arial"/>
          <w:sz w:val="24"/>
          <w:szCs w:val="24"/>
        </w:rPr>
      </w:pPr>
    </w:p>
    <w:p w:rsidR="009A4FF4" w:rsidRDefault="009A4FF4" w:rsidP="009A4FF4">
      <w:pPr>
        <w:spacing w:line="240" w:lineRule="auto"/>
        <w:ind w:firstLine="708"/>
        <w:jc w:val="both"/>
        <w:rPr>
          <w:rFonts w:ascii="Arial" w:hAnsi="Arial" w:cs="Arial"/>
          <w:sz w:val="24"/>
          <w:szCs w:val="24"/>
        </w:rPr>
      </w:pPr>
    </w:p>
    <w:p w:rsidR="009A4FF4" w:rsidRDefault="009A4FF4" w:rsidP="009A4FF4">
      <w:pPr>
        <w:spacing w:line="240" w:lineRule="auto"/>
        <w:ind w:firstLine="708"/>
        <w:jc w:val="both"/>
        <w:rPr>
          <w:rFonts w:ascii="Arial" w:hAnsi="Arial" w:cs="Arial"/>
          <w:sz w:val="24"/>
          <w:szCs w:val="24"/>
        </w:rPr>
      </w:pPr>
    </w:p>
    <w:p w:rsidR="009A4FF4" w:rsidRDefault="009A4FF4" w:rsidP="009A4FF4">
      <w:pPr>
        <w:spacing w:line="240" w:lineRule="auto"/>
        <w:ind w:firstLine="708"/>
        <w:jc w:val="both"/>
        <w:rPr>
          <w:rFonts w:ascii="Arial" w:hAnsi="Arial" w:cs="Arial"/>
          <w:sz w:val="24"/>
          <w:szCs w:val="24"/>
        </w:rPr>
      </w:pPr>
    </w:p>
    <w:p w:rsidR="009A4FF4" w:rsidRDefault="009A4FF4" w:rsidP="009A4FF4">
      <w:pPr>
        <w:spacing w:line="240" w:lineRule="auto"/>
        <w:ind w:firstLine="708"/>
        <w:jc w:val="both"/>
        <w:rPr>
          <w:rFonts w:ascii="Arial" w:hAnsi="Arial" w:cs="Arial"/>
          <w:sz w:val="24"/>
          <w:szCs w:val="24"/>
        </w:rPr>
      </w:pPr>
    </w:p>
    <w:p w:rsidR="009A4FF4" w:rsidRDefault="009A4FF4" w:rsidP="009A4FF4">
      <w:pPr>
        <w:spacing w:line="240" w:lineRule="auto"/>
        <w:ind w:firstLine="708"/>
        <w:jc w:val="both"/>
        <w:rPr>
          <w:rFonts w:ascii="Arial" w:hAnsi="Arial" w:cs="Arial"/>
          <w:sz w:val="24"/>
          <w:szCs w:val="24"/>
        </w:rPr>
      </w:pPr>
    </w:p>
    <w:p w:rsidR="009A4FF4" w:rsidRDefault="009A4FF4" w:rsidP="009A4FF4">
      <w:pPr>
        <w:spacing w:line="240" w:lineRule="auto"/>
        <w:ind w:firstLine="708"/>
        <w:jc w:val="both"/>
        <w:rPr>
          <w:rFonts w:ascii="Arial" w:hAnsi="Arial" w:cs="Arial"/>
          <w:sz w:val="24"/>
          <w:szCs w:val="24"/>
        </w:rPr>
      </w:pPr>
    </w:p>
    <w:p w:rsidR="009A4FF4" w:rsidRDefault="009A4FF4" w:rsidP="009A4FF4">
      <w:pPr>
        <w:spacing w:line="240" w:lineRule="auto"/>
        <w:ind w:firstLine="708"/>
        <w:jc w:val="both"/>
        <w:rPr>
          <w:rFonts w:ascii="Arial" w:hAnsi="Arial" w:cs="Arial"/>
          <w:sz w:val="24"/>
          <w:szCs w:val="24"/>
        </w:rPr>
      </w:pPr>
    </w:p>
    <w:p w:rsidR="009A4FF4" w:rsidRDefault="009A4FF4" w:rsidP="009A4FF4">
      <w:pPr>
        <w:spacing w:line="240" w:lineRule="auto"/>
        <w:ind w:firstLine="708"/>
        <w:jc w:val="both"/>
        <w:rPr>
          <w:rFonts w:ascii="Arial" w:hAnsi="Arial" w:cs="Arial"/>
          <w:sz w:val="24"/>
          <w:szCs w:val="24"/>
        </w:rPr>
      </w:pPr>
    </w:p>
    <w:p w:rsidR="009A4FF4" w:rsidRDefault="009A4FF4" w:rsidP="009A4FF4">
      <w:pPr>
        <w:spacing w:line="240" w:lineRule="auto"/>
        <w:ind w:firstLine="708"/>
        <w:jc w:val="both"/>
        <w:rPr>
          <w:rFonts w:ascii="Arial" w:hAnsi="Arial" w:cs="Arial"/>
          <w:sz w:val="24"/>
          <w:szCs w:val="24"/>
        </w:rPr>
      </w:pPr>
    </w:p>
    <w:p w:rsidR="009A4FF4" w:rsidRDefault="009A4FF4" w:rsidP="009A4FF4">
      <w:pPr>
        <w:pStyle w:val="Odlomakpopisa"/>
        <w:numPr>
          <w:ilvl w:val="0"/>
          <w:numId w:val="3"/>
        </w:numPr>
        <w:pBdr>
          <w:bottom w:val="single" w:sz="4" w:space="1" w:color="000000"/>
        </w:pBdr>
        <w:jc w:val="both"/>
        <w:rPr>
          <w:rFonts w:ascii="Arial" w:hAnsi="Arial" w:cs="Arial"/>
          <w:sz w:val="24"/>
          <w:szCs w:val="24"/>
        </w:rPr>
      </w:pPr>
      <w:r>
        <w:rPr>
          <w:rStyle w:val="Zadanifontodlomka"/>
          <w:rFonts w:ascii="Arial" w:hAnsi="Arial" w:cs="Arial"/>
          <w:b/>
          <w:sz w:val="24"/>
          <w:szCs w:val="24"/>
        </w:rPr>
        <w:lastRenderedPageBreak/>
        <w:t>EVROPSKA PRAVOSUDNA MREŽA U GRAĐANSKIM I PRIVREDNIM STVARIMA</w:t>
      </w:r>
    </w:p>
    <w:p w:rsidR="009A4FF4" w:rsidRDefault="009A4FF4" w:rsidP="009A4FF4">
      <w:pPr>
        <w:spacing w:line="240" w:lineRule="auto"/>
        <w:jc w:val="both"/>
        <w:rPr>
          <w:rFonts w:ascii="Arial" w:hAnsi="Arial" w:cs="Arial"/>
          <w:sz w:val="24"/>
          <w:szCs w:val="24"/>
        </w:rPr>
      </w:pPr>
    </w:p>
    <w:p w:rsidR="009A4FF4" w:rsidRDefault="009A4FF4" w:rsidP="009A4FF4">
      <w:pPr>
        <w:spacing w:line="240" w:lineRule="auto"/>
        <w:ind w:left="1416"/>
        <w:jc w:val="both"/>
        <w:rPr>
          <w:rFonts w:ascii="Arial" w:hAnsi="Arial" w:cs="Arial"/>
          <w:sz w:val="24"/>
          <w:szCs w:val="24"/>
        </w:rPr>
      </w:pPr>
      <w:r>
        <w:rPr>
          <w:rFonts w:ascii="Arial" w:hAnsi="Arial" w:cs="Arial"/>
          <w:sz w:val="24"/>
          <w:szCs w:val="24"/>
        </w:rPr>
        <w:t>Uvod</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Instrumenti koji obezbjeđuju uzajamno priznavanje sudskih odluka država članica EU unapređuju njihovo međusobno povjerenje i služe kao osnova za pravosudnu saradnju u građanskim i privrednim stvarima. Ipak, složenost odnosa u kojima se građani i privredna društva mogu naći u EU koja nema granice često zahtijeva brži i manje formalan način razmjene informacija između pravosudnih organa, kao i pristup pravosuđu uopšte.</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U tu svrhu, Evropska pravosudna mreža u građanskim i privrednim stvarima ("mreža" i EPM), osnovana Odlukom Savjeta 2001/470/EZ od 28. maja 2001. godine, započela je svoj rad 1. decembra 2002. godine.</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Evropska pravosudna mreža je fleksibilna i nebirokratska mreža koja okuplja nacionalne pravosudne organe s ciljem pojednostavljenja i jačanja pravosudne saradnje između država članica. EPM (u građanskim i privrednim stvarima) poboljšava praktično sprovođenje EU instrumenata u oblasti građanskog pravosuđa i njihovu upotrebu. Na taj način doprinosi izgradnji „mostova“ između različitih pravosudnih sistema država članica i time stvara i jača njihovo međusobno povjerenje.</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Glavni zadaci EPM su:</w:t>
      </w:r>
    </w:p>
    <w:p w:rsidR="009A4FF4" w:rsidRDefault="009A4FF4" w:rsidP="009A4FF4">
      <w:pPr>
        <w:pStyle w:val="Odlomakpopisa"/>
        <w:ind w:left="1080"/>
        <w:jc w:val="both"/>
        <w:rPr>
          <w:rFonts w:ascii="Arial" w:hAnsi="Arial" w:cs="Arial"/>
          <w:sz w:val="24"/>
          <w:szCs w:val="24"/>
        </w:rPr>
      </w:pPr>
      <w:r>
        <w:rPr>
          <w:rFonts w:ascii="Arial" w:hAnsi="Arial" w:cs="Arial"/>
          <w:sz w:val="24"/>
          <w:szCs w:val="24"/>
        </w:rPr>
        <w:t xml:space="preserve">-  direktni kontakti i vođenje slučajeva između nacionalnih kontakt tačaka za Mrežu; </w:t>
      </w:r>
    </w:p>
    <w:p w:rsidR="009A4FF4" w:rsidRDefault="009A4FF4" w:rsidP="009A4FF4">
      <w:pPr>
        <w:pStyle w:val="Odlomakpopisa"/>
        <w:ind w:left="1080"/>
        <w:jc w:val="both"/>
        <w:rPr>
          <w:rFonts w:ascii="Arial" w:hAnsi="Arial" w:cs="Arial"/>
          <w:sz w:val="24"/>
          <w:szCs w:val="24"/>
        </w:rPr>
      </w:pPr>
      <w:r>
        <w:rPr>
          <w:rFonts w:ascii="Arial" w:hAnsi="Arial" w:cs="Arial"/>
          <w:sz w:val="24"/>
          <w:szCs w:val="24"/>
        </w:rPr>
        <w:t xml:space="preserve">- olakšavanje prekograničnog pristupa pravosuđu kroz informacije date javnosti i praktičarima putem informativnih listova i drugih publikacija dostupnih na evropskom portalu e-Justice na svim jezicima EU; </w:t>
      </w:r>
    </w:p>
    <w:p w:rsidR="009A4FF4" w:rsidRDefault="009A4FF4" w:rsidP="009A4FF4">
      <w:pPr>
        <w:pStyle w:val="Odlomakpopisa"/>
        <w:ind w:left="1080"/>
        <w:jc w:val="both"/>
        <w:rPr>
          <w:rFonts w:ascii="Arial" w:hAnsi="Arial" w:cs="Arial"/>
          <w:sz w:val="24"/>
          <w:szCs w:val="24"/>
        </w:rPr>
      </w:pPr>
      <w:r>
        <w:rPr>
          <w:rFonts w:ascii="Arial" w:hAnsi="Arial" w:cs="Arial"/>
          <w:sz w:val="24"/>
          <w:szCs w:val="24"/>
        </w:rPr>
        <w:t>-  ocjena i razmjena iskustva o primjeni određenih pravnih instrumenata EU u građanskim i privrednim stvarima.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Mreža pruža mogućnost svim pravosudnim organima država članica da se povežu sa svojim kontakt tačkama putem evropskog portala e-Justice. Takođe, Mreža olakšava pristup informacijama o relevantnom pravu svih država članica i nudi gotovo 11.000 stranica sadržaja o pravu EU u građanskim i privrednim stvarima. U cilju jačanja efikasne primjene instrumenata EU, Mreža je proizvela širok spektar vodiča za građane i praktičare o primjeni i tumačenju građanskog i privrednog prava i postupaka EU. Da bi se obezbijedilo ujednačeno razumijevanje prava EU, Mreža organizuje šest sastanaka svojih kontakt tačaka godišnje, a od 2010. godine organizovala je 780 bilateralnih sastanaka između organa država članica, sa ciljem "praktičnog" i direktnog vođenje naročito složenih slučajeva.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Interakcija između svih članova Mreže mogla bi se unaprijediti aktivnostima članova Mreže na domaćem nivou, poput organizacije nacionalnih mreža za pravosudnu saradnju. Ova praksa već postoji u nekim državama članicama, ali bi se mogla proširiti na sve države članice koje učestvuju u Mreži. Takve inicijative ne samo da unapređuju saradnju između članova Mreže, već mogu da olakšaju efikasnu primjenu građanske i privredne pravne tekovine od strane svih nadležnih organa država članica.</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lastRenderedPageBreak/>
        <w:t>Kao glavno sredstvo EU za unapređenje pravosudne saradnje, Mreža može da bude uspješna u ostvarivanju svog potencijala samo ako su praktičari svjesni njenog postojanja i alata koje nudi. Zbog toga je potrebno preduzeti korake na nacionalnom nivou i nivou EU kako bi se povećala vidljivost Mreže.</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xml:space="preserve">Nivo vidljivosti Mreže uglavnom zavisi od domaćih struktura u svakoj državi članici. Može se primijetiti da je protok informacija sa nivoa Mreže do nivoa pojedinačnih sudija građanskih i privrednih sudova neposredniji u onim državama članicama u kojima postoji zvanična nacionalna mreža za pravosudnu saradnju. Ovo sa razloga što nacionalna mreža prvo povezuje sudije u datoj državi članici </w:t>
      </w:r>
      <w:r>
        <w:rPr>
          <w:rFonts w:ascii="Arial" w:hAnsi="Arial" w:cs="Arial"/>
          <w:sz w:val="24"/>
          <w:szCs w:val="24"/>
        </w:rPr>
        <w:sym w:font="Symbol" w:char="F02D"/>
      </w:r>
      <w:r>
        <w:rPr>
          <w:rFonts w:ascii="Arial" w:hAnsi="Arial" w:cs="Arial"/>
          <w:sz w:val="24"/>
          <w:szCs w:val="24"/>
        </w:rPr>
        <w:t xml:space="preserve"> olakšavajući razmjenu znanja i iskustva </w:t>
      </w:r>
      <w:r>
        <w:rPr>
          <w:rFonts w:ascii="Arial" w:hAnsi="Arial" w:cs="Arial"/>
          <w:sz w:val="24"/>
          <w:szCs w:val="24"/>
        </w:rPr>
        <w:sym w:font="Symbol" w:char="F02D"/>
      </w:r>
      <w:r>
        <w:rPr>
          <w:rFonts w:ascii="Arial" w:hAnsi="Arial" w:cs="Arial"/>
          <w:sz w:val="24"/>
          <w:szCs w:val="24"/>
        </w:rPr>
        <w:t xml:space="preserve"> a zatim ih efikasnije predstavlja u Mreži, što utiče na vidljivost Mreže na nivou domaćeg pravosuđa.</w:t>
      </w:r>
    </w:p>
    <w:p w:rsidR="009A4FF4" w:rsidRDefault="009A4FF4" w:rsidP="009A4FF4">
      <w:pPr>
        <w:pStyle w:val="Odlomakpopisa"/>
        <w:ind w:left="0" w:firstLine="720"/>
        <w:jc w:val="both"/>
        <w:rPr>
          <w:rFonts w:ascii="Arial" w:hAnsi="Arial" w:cs="Arial"/>
          <w:sz w:val="24"/>
          <w:szCs w:val="24"/>
        </w:rPr>
      </w:pPr>
    </w:p>
    <w:p w:rsidR="009A4FF4" w:rsidRDefault="009A4FF4" w:rsidP="009A4FF4">
      <w:pPr>
        <w:pStyle w:val="Odlomakpopisa"/>
        <w:ind w:left="1080" w:firstLine="336"/>
        <w:jc w:val="both"/>
        <w:rPr>
          <w:rFonts w:ascii="Arial" w:hAnsi="Arial" w:cs="Arial"/>
          <w:sz w:val="24"/>
          <w:szCs w:val="24"/>
          <w:u w:val="single"/>
        </w:rPr>
      </w:pPr>
      <w:r>
        <w:rPr>
          <w:rFonts w:ascii="Arial" w:hAnsi="Arial" w:cs="Arial"/>
          <w:sz w:val="24"/>
          <w:szCs w:val="24"/>
          <w:u w:val="single"/>
        </w:rPr>
        <w:t xml:space="preserve">Trenutno stanje i preporuke </w:t>
      </w:r>
    </w:p>
    <w:p w:rsidR="009A4FF4" w:rsidRDefault="009A4FF4" w:rsidP="009A4FF4">
      <w:pPr>
        <w:pStyle w:val="Odlomakpopisa"/>
        <w:ind w:left="0" w:firstLine="720"/>
        <w:jc w:val="both"/>
        <w:rPr>
          <w:rFonts w:ascii="Arial" w:hAnsi="Arial" w:cs="Arial"/>
          <w:sz w:val="24"/>
          <w:szCs w:val="24"/>
        </w:rPr>
      </w:pPr>
      <w:bookmarkStart w:id="9" w:name="_Hlk48339171"/>
      <w:r>
        <w:rPr>
          <w:rFonts w:ascii="Arial" w:hAnsi="Arial" w:cs="Arial"/>
          <w:sz w:val="24"/>
          <w:szCs w:val="24"/>
        </w:rPr>
        <w:t xml:space="preserve">Crna Gora je u februaru 2017. godine stekla status posmatrača u Evropskoj pravosudnoj mreži u građanskim i privrednim stvarima. </w:t>
      </w:r>
      <w:bookmarkEnd w:id="9"/>
      <w:r>
        <w:rPr>
          <w:rFonts w:ascii="Arial" w:hAnsi="Arial" w:cs="Arial"/>
          <w:sz w:val="24"/>
          <w:szCs w:val="24"/>
        </w:rPr>
        <w:t>Status posmatrača daje državi mogućnost da se upozna sa relevantnim regulativama u ovoj oblasti, problemima koji nastaju prilikom njihove primjene, najnovijom praksom Suda pravde EU, kao i da prisustvuje svim sastancima Mreže i da se tako pripremi za obaveze nakon pristupanja EU. Status posmatrača ne daje pravo aktivnog učešća u diskusijama na sastancima, niti izražavanja mišljenja o pitanjima iz nadležnosti Mreže.</w:t>
      </w:r>
    </w:p>
    <w:p w:rsidR="009A4FF4" w:rsidRDefault="009A4FF4" w:rsidP="009A4FF4">
      <w:pPr>
        <w:pStyle w:val="Odlomakpopisa"/>
        <w:ind w:left="0" w:firstLine="720"/>
        <w:jc w:val="both"/>
        <w:rPr>
          <w:rFonts w:ascii="Arial" w:hAnsi="Arial" w:cs="Arial"/>
          <w:sz w:val="24"/>
          <w:szCs w:val="24"/>
        </w:rPr>
      </w:pPr>
      <w:r>
        <w:rPr>
          <w:rStyle w:val="Zadanifontodlomka"/>
          <w:rFonts w:ascii="Arial" w:hAnsi="Arial" w:cs="Arial"/>
          <w:sz w:val="24"/>
          <w:szCs w:val="24"/>
        </w:rPr>
        <w:t>Vrhovni sud Crne Gore i Ministarstvo pravde odredili su svoje kontakt osobe u Mreži. Ispred Vrhovnog suda to je sudija Radojka Nikolić, a ispred Ministarstva pravde Ognjen Mitrović, Generalni direktor Direktorata za međunarodnu pravosudnu saradnju i projekte.</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Prvi sastanak, kome su prisustvovali predstavnici Vrhovnog suda, održan je u decembru 2018. godine. Tokom 2019. godine predstavnici Vrhovnog suda prisustvovali su većini sastanaka Mreže, kao i jednom sastanku u 2020. godini, koji je zbog pandemije Covid-19 jedini održan.</w:t>
      </w:r>
    </w:p>
    <w:p w:rsidR="009A4FF4" w:rsidRDefault="009A4FF4" w:rsidP="009A4FF4">
      <w:pPr>
        <w:pStyle w:val="Odlomakpopisa"/>
        <w:ind w:left="0" w:firstLine="720"/>
        <w:jc w:val="both"/>
        <w:rPr>
          <w:rFonts w:ascii="Arial" w:hAnsi="Arial" w:cs="Arial"/>
          <w:sz w:val="24"/>
          <w:szCs w:val="24"/>
        </w:rPr>
      </w:pPr>
      <w:bookmarkStart w:id="10" w:name="_Hlk48339219"/>
      <w:r>
        <w:rPr>
          <w:rFonts w:ascii="Arial" w:hAnsi="Arial" w:cs="Arial"/>
          <w:sz w:val="24"/>
          <w:szCs w:val="24"/>
        </w:rPr>
        <w:t>S obzirom na činjenicu da je Crna Gora tek nedavno stekla status posmatrača, trenutno stanje učešća može se ocijeniti kao vrlo zadovoljavajuće.</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xml:space="preserve">Crna Gora bi trebala, koliko god u ovoj fazi smatra da je to prikladno, da koristi alate za olakšavanje pravosudne pomoći i saradnje, poput portala e-Justice i da ostvaruje neposrednu komunikaciju sa svojim kolegama u državama članicama. </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 xml:space="preserve">U smislu srednjoročnih i dugoročnih aktivnosti, Crna Gora bi mogla da razmotri mogućnost da u rad EPM uključi sudije sudova koji su određeni za nadležne za pravosudnu saradnju u građanskim i privrednim stvarima. Takođe, EPM treba da bude dostupna predstavnicima drugih pravosudnih profesija, poput javnih izvršitelja, notara i advokata.  </w:t>
      </w:r>
    </w:p>
    <w:p w:rsidR="009A4FF4" w:rsidRDefault="009A4FF4" w:rsidP="009A4FF4">
      <w:pPr>
        <w:pStyle w:val="Odlomakpopisa"/>
        <w:ind w:left="0" w:firstLine="720"/>
        <w:jc w:val="both"/>
        <w:rPr>
          <w:rFonts w:ascii="Arial" w:hAnsi="Arial" w:cs="Arial"/>
          <w:sz w:val="24"/>
          <w:szCs w:val="24"/>
        </w:rPr>
      </w:pPr>
      <w:r>
        <w:rPr>
          <w:rFonts w:ascii="Arial" w:hAnsi="Arial" w:cs="Arial"/>
          <w:sz w:val="24"/>
          <w:szCs w:val="24"/>
        </w:rPr>
        <w:t>Direktna korist od aktivnog učešća u Evropskoj pravosudnoj mreži ogleda se u boljim rezultatima u praktičnoj primjeni prava EU. Indirektno, praktičari uključeni u ovaj rad u određenoj mjeri imaju priliku da aktivno učestvuju u razvoju prava EU, kao i domaćeg zakonodavstva za njegovo sprovođenje.</w:t>
      </w:r>
      <w:bookmarkEnd w:id="10"/>
    </w:p>
    <w:p w:rsidR="009A4FF4" w:rsidRDefault="009A4FF4" w:rsidP="009A4FF4">
      <w:pPr>
        <w:pStyle w:val="Odlomakpopisa"/>
        <w:ind w:left="0" w:firstLine="720"/>
        <w:jc w:val="both"/>
        <w:rPr>
          <w:rFonts w:ascii="Arial" w:hAnsi="Arial" w:cs="Arial"/>
          <w:sz w:val="24"/>
          <w:szCs w:val="24"/>
        </w:rPr>
      </w:pPr>
    </w:p>
    <w:p w:rsidR="009A4FF4" w:rsidRDefault="009A4FF4" w:rsidP="009A4FF4">
      <w:pPr>
        <w:pStyle w:val="Odlomakpopisa"/>
        <w:numPr>
          <w:ilvl w:val="0"/>
          <w:numId w:val="3"/>
        </w:numPr>
        <w:pBdr>
          <w:bottom w:val="single" w:sz="4" w:space="1" w:color="000000"/>
        </w:pBdr>
        <w:jc w:val="both"/>
        <w:rPr>
          <w:rFonts w:ascii="Arial" w:hAnsi="Arial" w:cs="Arial"/>
          <w:b/>
          <w:sz w:val="24"/>
          <w:szCs w:val="24"/>
        </w:rPr>
      </w:pPr>
      <w:r>
        <w:rPr>
          <w:rFonts w:ascii="Arial" w:hAnsi="Arial" w:cs="Arial"/>
          <w:b/>
          <w:sz w:val="24"/>
          <w:szCs w:val="24"/>
        </w:rPr>
        <w:lastRenderedPageBreak/>
        <w:t>ZAKLJUČAK I PREPORUKE</w:t>
      </w:r>
    </w:p>
    <w:p w:rsidR="009A4FF4" w:rsidRDefault="009A4FF4" w:rsidP="009A4FF4">
      <w:pPr>
        <w:spacing w:line="240" w:lineRule="auto"/>
        <w:ind w:firstLine="720"/>
        <w:jc w:val="both"/>
        <w:rPr>
          <w:rFonts w:ascii="Arial" w:hAnsi="Arial" w:cs="Arial"/>
          <w:sz w:val="24"/>
          <w:szCs w:val="24"/>
        </w:rPr>
      </w:pP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Opšti utisak koji proizilazi iz rezultata ove analize jeste da je crnogorsko zakonodavstvo u ovom trenutku vrlo blizu potpune usklađenosti sa pravnom tekovinom EU u pogledu instrumenata pravosudne saradnje u građanskim i pri</w:t>
      </w:r>
      <w:r w:rsidR="00E05F62">
        <w:rPr>
          <w:rFonts w:ascii="Arial" w:hAnsi="Arial" w:cs="Arial"/>
          <w:sz w:val="24"/>
          <w:szCs w:val="24"/>
        </w:rPr>
        <w:t>vrednim stvarima obuhvaćenih ovo</w:t>
      </w:r>
      <w:bookmarkStart w:id="11" w:name="_GoBack"/>
      <w:bookmarkEnd w:id="11"/>
      <w:r>
        <w:rPr>
          <w:rFonts w:ascii="Arial" w:hAnsi="Arial" w:cs="Arial"/>
          <w:sz w:val="24"/>
          <w:szCs w:val="24"/>
        </w:rPr>
        <w:t>m i prethodnim</w:t>
      </w:r>
      <w:r w:rsidR="00B53A11">
        <w:rPr>
          <w:rFonts w:ascii="Arial" w:hAnsi="Arial" w:cs="Arial"/>
          <w:sz w:val="24"/>
          <w:szCs w:val="24"/>
        </w:rPr>
        <w:t xml:space="preserve"> analizama</w:t>
      </w:r>
      <w:r>
        <w:rPr>
          <w:rFonts w:ascii="Arial" w:hAnsi="Arial" w:cs="Arial"/>
          <w:sz w:val="24"/>
          <w:szCs w:val="24"/>
        </w:rPr>
        <w:t xml:space="preserve">. </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Imajući u vidu cilj ove Analize, u nastavku slijede zaključci i preporuke u vezi sa svim propisima EU o pravosudnoj saradnji u građanskim i privrednim stvarima: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A4FF4" w:rsidRDefault="009A4FF4" w:rsidP="009A4FF4">
      <w:pPr>
        <w:spacing w:line="240" w:lineRule="auto"/>
        <w:ind w:firstLine="720"/>
        <w:jc w:val="both"/>
        <w:rPr>
          <w:rFonts w:ascii="Arial" w:hAnsi="Arial" w:cs="Arial"/>
          <w:b/>
          <w:sz w:val="24"/>
          <w:szCs w:val="24"/>
        </w:rPr>
      </w:pPr>
      <w:r>
        <w:rPr>
          <w:rFonts w:ascii="Arial" w:hAnsi="Arial" w:cs="Arial"/>
          <w:b/>
          <w:sz w:val="24"/>
          <w:szCs w:val="24"/>
        </w:rPr>
        <w:t>Međunarodno privatno pravo i porodično pravo</w:t>
      </w:r>
    </w:p>
    <w:p w:rsidR="009A4FF4" w:rsidRDefault="009A4FF4" w:rsidP="009A4FF4">
      <w:pPr>
        <w:spacing w:line="240" w:lineRule="auto"/>
        <w:ind w:left="1128"/>
        <w:jc w:val="both"/>
        <w:rPr>
          <w:rFonts w:ascii="Arial" w:hAnsi="Arial" w:cs="Arial"/>
          <w:sz w:val="24"/>
          <w:szCs w:val="24"/>
          <w:u w:val="single"/>
        </w:rPr>
      </w:pPr>
      <w:r>
        <w:rPr>
          <w:rFonts w:ascii="Arial" w:hAnsi="Arial" w:cs="Arial"/>
          <w:sz w:val="24"/>
          <w:szCs w:val="24"/>
          <w:u w:val="single"/>
        </w:rPr>
        <w:t>Zaključci</w:t>
      </w:r>
    </w:p>
    <w:p w:rsidR="009A4FF4" w:rsidRDefault="009A4FF4" w:rsidP="009A4FF4">
      <w:pPr>
        <w:spacing w:line="240" w:lineRule="auto"/>
        <w:ind w:firstLine="720"/>
        <w:jc w:val="both"/>
        <w:rPr>
          <w:rFonts w:ascii="Arial" w:hAnsi="Arial" w:cs="Arial"/>
          <w:sz w:val="24"/>
          <w:szCs w:val="24"/>
        </w:rPr>
      </w:pPr>
      <w:r>
        <w:rPr>
          <w:rStyle w:val="Zadanifontodlomka"/>
          <w:rFonts w:ascii="Arial" w:hAnsi="Arial" w:cs="Arial"/>
          <w:sz w:val="24"/>
          <w:szCs w:val="24"/>
        </w:rPr>
        <w:t>U pogledu pravne tekovine EU u oblasti međunarodnog privatnog prava i porodičnog prava, crnogorsko zakonodavstvo je dobro usklađeno sa ovim instrumentima. Usklađivanje je izvršeno ili odredbama Zakona o međunarodnom privatnom pravu ili ratifikacijom relevantnih multilateralnih konvencija.</w:t>
      </w:r>
      <w:r>
        <w:rPr>
          <w:rFonts w:ascii="Arial" w:hAnsi="Arial" w:cs="Arial"/>
          <w:sz w:val="24"/>
          <w:szCs w:val="24"/>
        </w:rPr>
        <w:t xml:space="preserve"> </w:t>
      </w:r>
      <w:r>
        <w:rPr>
          <w:rStyle w:val="Zadanifontodlomka"/>
          <w:rFonts w:ascii="Arial" w:hAnsi="Arial" w:cs="Arial"/>
          <w:sz w:val="24"/>
          <w:szCs w:val="24"/>
        </w:rPr>
        <w:t>Imajući u vidu da će se propisi EU iz ove oblasti primjenjivati neposredno nakon pristupanja Crne Gore EU i da će zamijeniti svaku zakonsku odredbu koja nije u saglasnosti sa jedinstvenim rješenjima EU kada je riječ o sporovima sa međunarodnim elementom, može se zaključiti da u ovoj oblasti u ovom trenutku dalje usklađivanje crnogorskog zakonodavstva nije potrebno.</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Crna Gora još uvijek nije potpisnica Protokola iz 2007. godine uz Hašku konvenciju o međunarodnom ostvarivanju izdržavanja djece i drugih oblika izdržavanja porodice, u vezi sa obavezama izdržavanja, niti Haške konvencije iz 2000. godine o međunarodnoj zaštiti odraslih osoba, ali je preduzela konkretne aktivnosti u pravcu pristupanja ovim međunarodnim instrumentima.</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 xml:space="preserve">U cilju postizanja većeg nivoa pripremljenosti sudova koji sprovode postupke </w:t>
      </w:r>
      <w:proofErr w:type="gramStart"/>
      <w:r>
        <w:rPr>
          <w:rFonts w:ascii="Arial" w:hAnsi="Arial" w:cs="Arial"/>
          <w:sz w:val="24"/>
          <w:szCs w:val="24"/>
        </w:rPr>
        <w:t>u  građanskim</w:t>
      </w:r>
      <w:proofErr w:type="gramEnd"/>
      <w:r>
        <w:rPr>
          <w:rFonts w:ascii="Arial" w:hAnsi="Arial" w:cs="Arial"/>
          <w:sz w:val="24"/>
          <w:szCs w:val="24"/>
        </w:rPr>
        <w:t xml:space="preserve"> i privrednim sporovima, nakon što počnu sa radom u okviru EU, Crna Gora bi, između ostalih mjera, trebala da podstakne nastavak ciljanih obuka sudija za ovu oblast. </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Crna Gora treba da kreira program obuka sudija na osnovu kojeg će se sudije specijalizovati, odnosno steći specijalistička znanja iz oblasti relevantnog zakonodavstva EU i unaprijediti svoje jezičke vještine, ali i savladati nove izazove, poput alata “elektronskog pravosuđa” i e-učenja.</w:t>
      </w:r>
    </w:p>
    <w:p w:rsidR="009A4FF4" w:rsidRDefault="009A4FF4" w:rsidP="009A4FF4">
      <w:pPr>
        <w:spacing w:line="240" w:lineRule="auto"/>
        <w:jc w:val="both"/>
        <w:rPr>
          <w:rFonts w:ascii="Arial" w:hAnsi="Arial" w:cs="Arial"/>
          <w:sz w:val="24"/>
          <w:szCs w:val="24"/>
          <w:u w:val="single"/>
        </w:rPr>
      </w:pPr>
    </w:p>
    <w:p w:rsidR="009A4FF4" w:rsidRDefault="009A4FF4" w:rsidP="009A4FF4">
      <w:pPr>
        <w:spacing w:line="240" w:lineRule="auto"/>
        <w:ind w:left="360" w:firstLine="720"/>
        <w:jc w:val="both"/>
        <w:rPr>
          <w:rFonts w:ascii="Arial" w:hAnsi="Arial" w:cs="Arial"/>
          <w:sz w:val="24"/>
          <w:szCs w:val="24"/>
          <w:u w:val="single"/>
        </w:rPr>
      </w:pPr>
      <w:r>
        <w:rPr>
          <w:rFonts w:ascii="Arial" w:hAnsi="Arial" w:cs="Arial"/>
          <w:sz w:val="24"/>
          <w:szCs w:val="24"/>
          <w:u w:val="single"/>
        </w:rPr>
        <w:t>Preporuke</w:t>
      </w:r>
    </w:p>
    <w:p w:rsidR="009A4FF4" w:rsidRDefault="009A4FF4" w:rsidP="009A4FF4">
      <w:pPr>
        <w:pStyle w:val="Odlomakpopisa"/>
        <w:numPr>
          <w:ilvl w:val="0"/>
          <w:numId w:val="8"/>
        </w:numPr>
        <w:jc w:val="both"/>
        <w:rPr>
          <w:rFonts w:ascii="Arial" w:hAnsi="Arial" w:cs="Arial"/>
          <w:sz w:val="24"/>
          <w:szCs w:val="24"/>
        </w:rPr>
      </w:pPr>
      <w:r>
        <w:rPr>
          <w:rStyle w:val="Zadanifontodlomka"/>
          <w:rFonts w:ascii="Arial" w:hAnsi="Arial" w:cs="Arial"/>
          <w:sz w:val="24"/>
          <w:szCs w:val="24"/>
        </w:rPr>
        <w:t>U kratkoročnoj perspektivi, Crna Gora treba da potpiše Protokol iz 2007. godine uz Hašku konvenciju o međunarodnom ostvarivanju izdržavanja djece i drugih oblika izdržavanja porodice i Hašku konvenciju iz 2000. godine o međunarodnoj zaštiti odraslih osoba;</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 xml:space="preserve">Iako nije potrebno usklađivanje zakonodavstva, Crna Gora u srednjoročnoj perspektivi treba da izvrši analizu odredaba Zakona o međunarodnom privatnom pravu u vezi sa njihovom usklađenošću sa odgovarajućim </w:t>
      </w:r>
      <w:r>
        <w:rPr>
          <w:rFonts w:ascii="Arial" w:hAnsi="Arial" w:cs="Arial"/>
          <w:sz w:val="24"/>
          <w:szCs w:val="24"/>
        </w:rPr>
        <w:lastRenderedPageBreak/>
        <w:t>propisima EU, sa stanovišta mogućih praktičnih implikacija, u zavisnosti od nivoa usklađenosti. Praktičari bi u dugoročnoj perspektivi mogli da imaju koristi od predložene analize Zakona o međunarodnom privatnom pravu, a svojim učešćem u obukama koje bi imale za cilj pružanje praktične komparativne analize sličnosti i razlika između domaćih i evropskih pravila, unaprijedili bi svoje znanje iz ove oblasti;</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Crna Gora treba da kreira program kontinuirane obuke sudija koji vodi njihovoj specijalizaciji, odnosno sticanju specijalističkih znanja iz oblasti relevantnog zakonodavstva EU i poboljšanju njihovih</w:t>
      </w:r>
      <w:bookmarkStart w:id="12" w:name="_Hlk48682746"/>
      <w:r>
        <w:rPr>
          <w:rFonts w:ascii="Arial" w:hAnsi="Arial" w:cs="Arial"/>
          <w:sz w:val="24"/>
          <w:szCs w:val="24"/>
        </w:rPr>
        <w:t xml:space="preserve"> jezičkih vještina; </w:t>
      </w:r>
      <w:bookmarkEnd w:id="12"/>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U ovom trenutku, obuke sudija treba fokusirati na one oblasti u kojima Crna Gora već primjenjuje međunarodne instrumente koji su usklađeni sa pravnom tekovinom EU (Haške konvencije).</w:t>
      </w:r>
    </w:p>
    <w:p w:rsidR="009A4FF4" w:rsidRDefault="009A4FF4" w:rsidP="009A4FF4">
      <w:pPr>
        <w:pStyle w:val="Odlomakpopisa"/>
        <w:ind w:left="1080"/>
        <w:jc w:val="both"/>
        <w:rPr>
          <w:rFonts w:ascii="Arial" w:hAnsi="Arial" w:cs="Arial"/>
          <w:sz w:val="24"/>
          <w:szCs w:val="24"/>
        </w:rPr>
      </w:pPr>
    </w:p>
    <w:p w:rsidR="009A4FF4" w:rsidRDefault="009A4FF4" w:rsidP="009A4FF4">
      <w:pPr>
        <w:spacing w:line="240" w:lineRule="auto"/>
        <w:ind w:left="1128"/>
        <w:jc w:val="both"/>
        <w:rPr>
          <w:rFonts w:ascii="Arial" w:hAnsi="Arial" w:cs="Arial"/>
          <w:b/>
          <w:bCs/>
          <w:sz w:val="24"/>
          <w:szCs w:val="24"/>
        </w:rPr>
      </w:pPr>
      <w:r>
        <w:rPr>
          <w:rFonts w:ascii="Arial" w:hAnsi="Arial" w:cs="Arial"/>
          <w:b/>
          <w:bCs/>
          <w:sz w:val="24"/>
          <w:szCs w:val="24"/>
        </w:rPr>
        <w:t>Pravosudna pomoć</w:t>
      </w:r>
    </w:p>
    <w:p w:rsidR="009A4FF4" w:rsidRDefault="009A4FF4" w:rsidP="009A4FF4">
      <w:pPr>
        <w:spacing w:line="240" w:lineRule="auto"/>
        <w:ind w:left="1128"/>
        <w:jc w:val="both"/>
        <w:rPr>
          <w:rFonts w:ascii="Arial" w:hAnsi="Arial" w:cs="Arial"/>
          <w:sz w:val="24"/>
          <w:szCs w:val="24"/>
          <w:u w:val="single"/>
        </w:rPr>
      </w:pPr>
      <w:r>
        <w:rPr>
          <w:rFonts w:ascii="Arial" w:hAnsi="Arial" w:cs="Arial"/>
          <w:sz w:val="24"/>
          <w:szCs w:val="24"/>
          <w:u w:val="single"/>
        </w:rPr>
        <w:t>Zaključci</w:t>
      </w:r>
    </w:p>
    <w:p w:rsidR="009A4FF4" w:rsidRDefault="009A4FF4" w:rsidP="009A4FF4">
      <w:pPr>
        <w:spacing w:line="240" w:lineRule="auto"/>
        <w:ind w:firstLine="720"/>
        <w:jc w:val="both"/>
        <w:rPr>
          <w:rFonts w:ascii="Arial" w:hAnsi="Arial" w:cs="Arial"/>
          <w:sz w:val="24"/>
          <w:szCs w:val="24"/>
          <w:u w:val="single"/>
        </w:rPr>
      </w:pPr>
      <w:r>
        <w:rPr>
          <w:rFonts w:ascii="Arial" w:hAnsi="Arial" w:cs="Arial"/>
          <w:sz w:val="24"/>
          <w:szCs w:val="24"/>
        </w:rPr>
        <w:t xml:space="preserve">U oblasti pravne tekovine EU o međunarodnoj pravosudnoj pomoći, analiza relevantnih odredaba Zakona o parničnom postupku pokazala je da je crnogorsko zakonodavstvo u potpunosti usklađeno sa regulativama o dostavljanju i dokazima. Dakle, propisani su svi neophodni uslovi za njihovu nesmetanu primjenu, nakon što Crna Gora pristupi EU. </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Crnogorsko zakonodavno rješenje za prenošenje ovih instrumenata u skladu je sa domaćim organizacionim i procesnim aranžmanima u pogledu parničnog postupka. Sve procesne odredbe sadržane su u jednom zakonskom aktu, bez obzira na to da li postupak ima međunarodni element. Ovakav pristup doprinosi pravnoj sigurnosti i jasnoći normi, kao i većoj ujednačenosti u primjeni zakona.</w:t>
      </w:r>
    </w:p>
    <w:p w:rsidR="009A4FF4" w:rsidRDefault="009A4FF4" w:rsidP="009A4FF4">
      <w:pPr>
        <w:spacing w:line="240" w:lineRule="auto"/>
        <w:ind w:left="1128"/>
        <w:jc w:val="both"/>
        <w:rPr>
          <w:rFonts w:ascii="Arial" w:hAnsi="Arial" w:cs="Arial"/>
          <w:sz w:val="24"/>
          <w:szCs w:val="24"/>
          <w:u w:val="single"/>
        </w:rPr>
      </w:pPr>
      <w:r>
        <w:rPr>
          <w:rFonts w:ascii="Arial" w:hAnsi="Arial" w:cs="Arial"/>
          <w:sz w:val="24"/>
          <w:szCs w:val="24"/>
          <w:u w:val="single"/>
        </w:rPr>
        <w:t>Preporuke</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Imajući u vidu izuzetno zadovoljavajuće rezultate Crne Gore u oblasti međunarodne pravosudne pomoći u građanskim i privrednim stvarima, u ovom trenutku nema potrebe za dodatnim usaglašavanjem;</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Preporučuje se Crnoj Gori da, prije pristupanja EU, organizuje neophodne edukacije za praktičare iz ove oblasti.</w:t>
      </w:r>
    </w:p>
    <w:p w:rsidR="009A4FF4" w:rsidRDefault="009A4FF4" w:rsidP="009A4FF4">
      <w:pPr>
        <w:spacing w:line="240" w:lineRule="auto"/>
        <w:ind w:left="1080"/>
        <w:jc w:val="both"/>
        <w:rPr>
          <w:rFonts w:ascii="Arial" w:hAnsi="Arial" w:cs="Arial"/>
          <w:sz w:val="24"/>
          <w:szCs w:val="24"/>
        </w:rPr>
      </w:pPr>
    </w:p>
    <w:p w:rsidR="009A4FF4" w:rsidRDefault="009A4FF4" w:rsidP="009A4FF4">
      <w:pPr>
        <w:spacing w:line="240" w:lineRule="auto"/>
        <w:ind w:left="1080"/>
        <w:jc w:val="both"/>
        <w:rPr>
          <w:rFonts w:ascii="Arial" w:hAnsi="Arial" w:cs="Arial"/>
          <w:b/>
          <w:bCs/>
          <w:sz w:val="24"/>
          <w:szCs w:val="24"/>
        </w:rPr>
      </w:pPr>
      <w:r>
        <w:rPr>
          <w:rFonts w:ascii="Arial" w:hAnsi="Arial" w:cs="Arial"/>
          <w:b/>
          <w:bCs/>
          <w:sz w:val="24"/>
          <w:szCs w:val="24"/>
        </w:rPr>
        <w:t>Evropski postupci</w:t>
      </w:r>
    </w:p>
    <w:p w:rsidR="009A4FF4" w:rsidRDefault="009A4FF4" w:rsidP="009A4FF4">
      <w:pPr>
        <w:pStyle w:val="Odlomakpopisa"/>
        <w:ind w:left="1080"/>
        <w:jc w:val="both"/>
        <w:rPr>
          <w:rFonts w:ascii="Arial" w:hAnsi="Arial" w:cs="Arial"/>
          <w:sz w:val="24"/>
          <w:szCs w:val="24"/>
          <w:u w:val="single"/>
        </w:rPr>
      </w:pPr>
      <w:r>
        <w:rPr>
          <w:rFonts w:ascii="Arial" w:hAnsi="Arial" w:cs="Arial"/>
          <w:sz w:val="24"/>
          <w:szCs w:val="24"/>
          <w:u w:val="single"/>
        </w:rPr>
        <w:t xml:space="preserve">Zaključci </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 xml:space="preserve">Analiza relevantnih odredaba Zakona o parničnom postupku i Zakona o izvršenju i obezbjeđenju pokazala je da je crnogorsko zakonodavstvo u potpunosti usklađeno sa regulativama o evropskom nalogu za izvršenje nespornih potraživanja, evropskom postupku za sporove malih vrijednosti i evropskom platnom nalogu. Ovim zakonima propisani su svi neophodni uslovi za njihovu nesmetanu primjenu, nakon što Crna Gora pristupi EU. </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lastRenderedPageBreak/>
        <w:t xml:space="preserve">Crnogorsko zakonodavno rješenje za prenošenje ovih instrumenata u skladu je sa domaćim organizacionim i procesnim aranžmanima u pogledu parničnog i izvršnog postupka. Ovo rješenje se smatra povoljnim i sa stanovišta buduće primjene u praksi, jer postojanje i domaćih i evropskih procesnih odredbi u istom zakonskom aktu stvara veću jasnoću za potrebe sudija i doprinosi ujednačavanju procesnih standarda. </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 xml:space="preserve">Neusklađenost domaćeg zakonodavstva sa pravnom tekovinom EU u ovoj oblasti postoji u pogledu Regulative (EU) br. 655/2014 Evropskog parlamenta i Savjeta od 15. maja 2014. godine o uspostavljanju postupka za evropski nalog za blokadu računa. </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To dovodi do zaključka da nivo usklađenosti u ovoj oblasti iznosi 75% odnosne pravne tekovine EU.</w:t>
      </w:r>
    </w:p>
    <w:p w:rsidR="009A4FF4" w:rsidRDefault="009A4FF4" w:rsidP="009A4FF4">
      <w:pPr>
        <w:spacing w:line="240" w:lineRule="auto"/>
        <w:ind w:left="1080"/>
        <w:jc w:val="both"/>
        <w:rPr>
          <w:rFonts w:ascii="Arial" w:hAnsi="Arial" w:cs="Arial"/>
          <w:sz w:val="24"/>
          <w:szCs w:val="24"/>
        </w:rPr>
      </w:pPr>
    </w:p>
    <w:p w:rsidR="009A4FF4" w:rsidRDefault="009A4FF4" w:rsidP="009A4FF4">
      <w:pPr>
        <w:spacing w:line="240" w:lineRule="auto"/>
        <w:ind w:left="1080"/>
        <w:jc w:val="both"/>
        <w:rPr>
          <w:rFonts w:ascii="Arial" w:hAnsi="Arial" w:cs="Arial"/>
          <w:sz w:val="24"/>
          <w:szCs w:val="24"/>
          <w:u w:val="single"/>
        </w:rPr>
      </w:pPr>
      <w:r>
        <w:rPr>
          <w:rFonts w:ascii="Arial" w:hAnsi="Arial" w:cs="Arial"/>
          <w:sz w:val="24"/>
          <w:szCs w:val="24"/>
          <w:u w:val="single"/>
        </w:rPr>
        <w:t>Preporuke</w:t>
      </w:r>
    </w:p>
    <w:p w:rsidR="009A4FF4" w:rsidRDefault="009A4FF4" w:rsidP="009A4FF4">
      <w:pPr>
        <w:spacing w:line="240" w:lineRule="auto"/>
        <w:ind w:left="1080"/>
        <w:jc w:val="both"/>
        <w:rPr>
          <w:rFonts w:ascii="Arial" w:hAnsi="Arial" w:cs="Arial"/>
          <w:sz w:val="24"/>
          <w:szCs w:val="24"/>
        </w:rPr>
      </w:pPr>
      <w:r>
        <w:rPr>
          <w:rStyle w:val="Zadanifontodlomka"/>
          <w:rFonts w:ascii="Arial" w:hAnsi="Arial" w:cs="Arial"/>
          <w:sz w:val="24"/>
          <w:szCs w:val="24"/>
        </w:rPr>
        <w:t xml:space="preserve">- </w:t>
      </w:r>
      <w:bookmarkStart w:id="13" w:name="_Hlk48680484"/>
      <w:r>
        <w:rPr>
          <w:rStyle w:val="Zadanifontodlomka"/>
          <w:rFonts w:ascii="Arial" w:hAnsi="Arial" w:cs="Arial"/>
          <w:sz w:val="24"/>
          <w:szCs w:val="24"/>
        </w:rPr>
        <w:t>U kratkoročnoj perspektivi</w:t>
      </w:r>
      <w:bookmarkEnd w:id="13"/>
      <w:r>
        <w:rPr>
          <w:rStyle w:val="Zadanifontodlomka"/>
          <w:rFonts w:ascii="Arial" w:hAnsi="Arial" w:cs="Arial"/>
          <w:sz w:val="24"/>
          <w:szCs w:val="24"/>
        </w:rPr>
        <w:t xml:space="preserve"> Crna Gora treba da prenese Regulativu 655/2014, </w:t>
      </w:r>
      <w:proofErr w:type="gramStart"/>
      <w:r>
        <w:rPr>
          <w:rStyle w:val="Zadanifontodlomka"/>
          <w:rFonts w:ascii="Arial" w:hAnsi="Arial" w:cs="Arial"/>
          <w:sz w:val="24"/>
          <w:szCs w:val="24"/>
        </w:rPr>
        <w:t>putem</w:t>
      </w:r>
      <w:r>
        <w:rPr>
          <w:rFonts w:ascii="Arial" w:hAnsi="Arial" w:cs="Arial"/>
          <w:sz w:val="24"/>
          <w:szCs w:val="24"/>
        </w:rPr>
        <w:t xml:space="preserve"> </w:t>
      </w:r>
      <w:r>
        <w:rPr>
          <w:rStyle w:val="Zadanifontodlomka"/>
          <w:rFonts w:ascii="Arial" w:hAnsi="Arial" w:cs="Arial"/>
          <w:sz w:val="24"/>
          <w:szCs w:val="24"/>
        </w:rPr>
        <w:t xml:space="preserve"> izmjena</w:t>
      </w:r>
      <w:proofErr w:type="gramEnd"/>
      <w:r>
        <w:rPr>
          <w:rStyle w:val="Zadanifontodlomka"/>
          <w:rFonts w:ascii="Arial" w:hAnsi="Arial" w:cs="Arial"/>
          <w:sz w:val="24"/>
          <w:szCs w:val="24"/>
        </w:rPr>
        <w:t xml:space="preserve"> i dopuna Zakona o izvršenju i obezbjeđenju;</w:t>
      </w:r>
    </w:p>
    <w:p w:rsidR="009A4FF4" w:rsidRDefault="009A4FF4" w:rsidP="009A4FF4">
      <w:pPr>
        <w:pStyle w:val="Odlomakpopisa"/>
        <w:ind w:left="1080"/>
        <w:jc w:val="both"/>
        <w:rPr>
          <w:rFonts w:ascii="Arial" w:hAnsi="Arial" w:cs="Arial"/>
          <w:sz w:val="24"/>
          <w:szCs w:val="24"/>
        </w:rPr>
      </w:pPr>
      <w:r>
        <w:rPr>
          <w:rFonts w:ascii="Arial" w:hAnsi="Arial" w:cs="Arial"/>
          <w:sz w:val="24"/>
          <w:szCs w:val="24"/>
        </w:rPr>
        <w:t>- Preporučuje se Crnoj Gori da, prije pristupanja EU, organizuje neophodne edukacije za praktičare iz ove oblasti.</w:t>
      </w:r>
    </w:p>
    <w:p w:rsidR="009A4FF4" w:rsidRDefault="009A4FF4" w:rsidP="009A4FF4">
      <w:pPr>
        <w:spacing w:line="240" w:lineRule="auto"/>
        <w:ind w:left="1080"/>
        <w:jc w:val="both"/>
        <w:rPr>
          <w:rFonts w:ascii="Arial" w:hAnsi="Arial" w:cs="Arial"/>
          <w:sz w:val="24"/>
          <w:szCs w:val="24"/>
        </w:rPr>
      </w:pPr>
    </w:p>
    <w:p w:rsidR="009A4FF4" w:rsidRDefault="009A4FF4" w:rsidP="009A4FF4">
      <w:pPr>
        <w:spacing w:line="240" w:lineRule="auto"/>
        <w:ind w:left="1128"/>
        <w:jc w:val="both"/>
        <w:rPr>
          <w:rFonts w:ascii="Arial" w:hAnsi="Arial" w:cs="Arial"/>
          <w:b/>
          <w:bCs/>
          <w:sz w:val="24"/>
          <w:szCs w:val="24"/>
        </w:rPr>
      </w:pPr>
      <w:r>
        <w:rPr>
          <w:rFonts w:ascii="Arial" w:hAnsi="Arial" w:cs="Arial"/>
          <w:b/>
          <w:bCs/>
          <w:sz w:val="24"/>
          <w:szCs w:val="24"/>
        </w:rPr>
        <w:t>Ostali instrumenti</w:t>
      </w:r>
    </w:p>
    <w:p w:rsidR="009A4FF4" w:rsidRDefault="009A4FF4" w:rsidP="009A4FF4">
      <w:pPr>
        <w:spacing w:line="240" w:lineRule="auto"/>
        <w:ind w:left="1128"/>
        <w:jc w:val="both"/>
        <w:rPr>
          <w:rFonts w:ascii="Arial" w:hAnsi="Arial" w:cs="Arial"/>
          <w:sz w:val="24"/>
          <w:szCs w:val="24"/>
          <w:u w:val="single"/>
        </w:rPr>
      </w:pPr>
      <w:r>
        <w:rPr>
          <w:rFonts w:ascii="Arial" w:hAnsi="Arial" w:cs="Arial"/>
          <w:sz w:val="24"/>
          <w:szCs w:val="24"/>
          <w:u w:val="single"/>
        </w:rPr>
        <w:t>Zaključci</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 xml:space="preserve">Što se tiče ostalih relevantnih instrumenata u ovoj oblasti, usklađivanje je postignuto u značajnoj mjeri. </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Crnogorsko zakonodavstvo usklađeno je sa direktivama o pravnoj pomoći i medijaciji.</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 xml:space="preserve">Što se tiče oblasti koje ne spadaju u opseg ove analize, crnogorsko zakonodavstvo usklađeno je sa Direktivom Savjeta 2004/80/EZ od 29. aprila 2004. godine </w:t>
      </w:r>
      <w:bookmarkStart w:id="14" w:name="_Hlk48680473"/>
      <w:r>
        <w:rPr>
          <w:rFonts w:ascii="Arial" w:hAnsi="Arial" w:cs="Arial"/>
          <w:sz w:val="24"/>
          <w:szCs w:val="24"/>
        </w:rPr>
        <w:t>o naknadi štete žrtvama krivičnih djela</w:t>
      </w:r>
      <w:bookmarkEnd w:id="14"/>
      <w:r>
        <w:rPr>
          <w:rFonts w:ascii="Arial" w:hAnsi="Arial" w:cs="Arial"/>
          <w:sz w:val="24"/>
          <w:szCs w:val="24"/>
        </w:rPr>
        <w:t>, kao i sa Regulativom (EU) 606/2013 Evrospkog parlamenta i vijeća od 12. juna 2013. godine o uzajamnom priznavanju zaštitnih mjera u građanskim stvarima, koja je transponovana u Zakon o pravosudnoj saradnji u krivičnim stvarima sa državama članicama EU.</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Crnogorsko zakonodavstvo nije usklađeno sa Regulativom o nasljeđivanju, koju treba prenijeti izmjenama i dopunama Zakona o nasljeđivanju ili usvajanjem posebnog zakona.</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Što se tiče instrumenata koji ne spadaju u opseg analize, potrebno je prenijeti sljedeće akte EU:</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Regulativa (EU) 2015/848 Evropskog parlamenta i Savjeta od 20. maja 2015. godine o stečajnom postupku;</w:t>
      </w:r>
    </w:p>
    <w:p w:rsidR="009A4FF4" w:rsidRDefault="009A4FF4" w:rsidP="009A4FF4">
      <w:pPr>
        <w:pStyle w:val="Odlomakpopisa"/>
        <w:numPr>
          <w:ilvl w:val="0"/>
          <w:numId w:val="8"/>
        </w:numPr>
        <w:jc w:val="both"/>
        <w:rPr>
          <w:rFonts w:ascii="Arial" w:hAnsi="Arial" w:cs="Arial"/>
          <w:sz w:val="24"/>
          <w:szCs w:val="24"/>
        </w:rPr>
      </w:pPr>
      <w:bookmarkStart w:id="15" w:name="_Hlk48681940"/>
      <w:r>
        <w:rPr>
          <w:rFonts w:ascii="Arial" w:hAnsi="Arial" w:cs="Arial"/>
          <w:sz w:val="24"/>
          <w:szCs w:val="24"/>
        </w:rPr>
        <w:t xml:space="preserve">Regulativa (EU) 2016/1191 </w:t>
      </w:r>
      <w:bookmarkEnd w:id="15"/>
      <w:r>
        <w:rPr>
          <w:rFonts w:ascii="Arial" w:hAnsi="Arial" w:cs="Arial"/>
          <w:sz w:val="24"/>
          <w:szCs w:val="24"/>
        </w:rPr>
        <w:t>Evropskog parlamenta i Savjeta od 6. jula 2016. godine o unapređenju slobodnog kretanja građana pojednostavljivanjem zahtjeva za podnošenje određenih javnih isprava u Evropskoj uniji i o izmjenama i dopunama Regulative (EU) br. 1024/2012.</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lastRenderedPageBreak/>
        <w:t xml:space="preserve">Iz navedenog proizilazi da nivo usklađenosti u pogledu ostalih relevantnih instrumenata EU iznosi preko 50%. </w:t>
      </w:r>
    </w:p>
    <w:p w:rsidR="009A4FF4" w:rsidRDefault="009A4FF4" w:rsidP="009A4FF4">
      <w:pPr>
        <w:spacing w:line="240" w:lineRule="auto"/>
        <w:ind w:left="1080"/>
        <w:jc w:val="both"/>
        <w:rPr>
          <w:rFonts w:ascii="Arial" w:hAnsi="Arial" w:cs="Arial"/>
          <w:sz w:val="24"/>
          <w:szCs w:val="24"/>
        </w:rPr>
      </w:pPr>
    </w:p>
    <w:p w:rsidR="009A4FF4" w:rsidRDefault="009A4FF4" w:rsidP="009A4FF4">
      <w:pPr>
        <w:spacing w:line="240" w:lineRule="auto"/>
        <w:ind w:left="1080"/>
        <w:jc w:val="both"/>
        <w:rPr>
          <w:rFonts w:ascii="Arial" w:hAnsi="Arial" w:cs="Arial"/>
          <w:sz w:val="24"/>
          <w:szCs w:val="24"/>
          <w:u w:val="single"/>
        </w:rPr>
      </w:pPr>
      <w:r>
        <w:rPr>
          <w:rFonts w:ascii="Arial" w:hAnsi="Arial" w:cs="Arial"/>
          <w:sz w:val="24"/>
          <w:szCs w:val="24"/>
          <w:u w:val="single"/>
        </w:rPr>
        <w:t>Preporuke</w:t>
      </w:r>
    </w:p>
    <w:p w:rsidR="009A4FF4" w:rsidRDefault="009A4FF4" w:rsidP="009A4FF4">
      <w:pPr>
        <w:pStyle w:val="Odlomakpopisa"/>
        <w:numPr>
          <w:ilvl w:val="0"/>
          <w:numId w:val="8"/>
        </w:numPr>
        <w:jc w:val="both"/>
        <w:rPr>
          <w:rFonts w:ascii="Arial" w:hAnsi="Arial" w:cs="Arial"/>
          <w:sz w:val="24"/>
          <w:szCs w:val="24"/>
        </w:rPr>
      </w:pPr>
      <w:r>
        <w:rPr>
          <w:rStyle w:val="Zadanifontodlomka"/>
          <w:rFonts w:ascii="Arial" w:hAnsi="Arial" w:cs="Arial"/>
          <w:sz w:val="24"/>
          <w:szCs w:val="24"/>
        </w:rPr>
        <w:t>U pogledu direktiva o pravnoj pomoći, medijaciji i</w:t>
      </w:r>
      <w:r>
        <w:rPr>
          <w:rFonts w:ascii="Arial" w:hAnsi="Arial" w:cs="Arial"/>
          <w:sz w:val="24"/>
          <w:szCs w:val="24"/>
        </w:rPr>
        <w:t xml:space="preserve"> </w:t>
      </w:r>
      <w:r>
        <w:rPr>
          <w:rStyle w:val="Zadanifontodlomka"/>
          <w:rFonts w:ascii="Arial" w:hAnsi="Arial" w:cs="Arial"/>
          <w:sz w:val="24"/>
          <w:szCs w:val="24"/>
        </w:rPr>
        <w:t xml:space="preserve">naknadi štete žrtvama krivičnih djela, kao i u pogledu Regulative o </w:t>
      </w:r>
      <w:r>
        <w:rPr>
          <w:rFonts w:ascii="Arial" w:hAnsi="Arial" w:cs="Arial"/>
          <w:sz w:val="24"/>
          <w:szCs w:val="24"/>
        </w:rPr>
        <w:t>uzajamnom priznavanju zaštitnih mjera u građanskim stvarima</w:t>
      </w:r>
      <w:r>
        <w:rPr>
          <w:rStyle w:val="Zadanifontodlomka"/>
          <w:rFonts w:ascii="Arial" w:hAnsi="Arial" w:cs="Arial"/>
          <w:sz w:val="24"/>
          <w:szCs w:val="24"/>
        </w:rPr>
        <w:t xml:space="preserve"> u ovom trenutku nema dodatnih izazova, jer je crnogorsko zakonodavstvo usklađeno sa ovim instrumentima;</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 xml:space="preserve">U kratkoročnoj perspektivi, Crna Gora treba da izvrši detaljnu analizu usklađenosti Zakona o insolventnosti i Zakona o nasljeđivanju sa relevantnim regulativama i preduzme </w:t>
      </w:r>
      <w:bookmarkStart w:id="16" w:name="_Hlk48680790"/>
      <w:r>
        <w:rPr>
          <w:rFonts w:ascii="Arial" w:hAnsi="Arial" w:cs="Arial"/>
          <w:sz w:val="24"/>
          <w:szCs w:val="24"/>
        </w:rPr>
        <w:t xml:space="preserve">neophodne mjere </w:t>
      </w:r>
      <w:bookmarkEnd w:id="16"/>
      <w:r>
        <w:rPr>
          <w:rFonts w:ascii="Arial" w:hAnsi="Arial" w:cs="Arial"/>
          <w:sz w:val="24"/>
          <w:szCs w:val="24"/>
        </w:rPr>
        <w:t>za njihovo prenošenje;</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 xml:space="preserve">U dugoročnoj perspektivi, </w:t>
      </w:r>
      <w:bookmarkStart w:id="17" w:name="_Hlk48682900"/>
      <w:r>
        <w:rPr>
          <w:rFonts w:ascii="Arial" w:hAnsi="Arial" w:cs="Arial"/>
          <w:sz w:val="24"/>
          <w:szCs w:val="24"/>
        </w:rPr>
        <w:t>Crna Gora treba da preduzme neophodne mjere kako bi obezbijedila uslove za nesmetanu primjenu Regulative br. 2016/1191</w:t>
      </w:r>
      <w:bookmarkEnd w:id="17"/>
      <w:r>
        <w:rPr>
          <w:rFonts w:ascii="Arial" w:hAnsi="Arial" w:cs="Arial"/>
          <w:sz w:val="24"/>
          <w:szCs w:val="24"/>
        </w:rPr>
        <w:t xml:space="preserve"> o unapređenju slobodnog kretanja građana pojednostavljivanjem zahtjeva za podnošenje određenih javnih isprava u EU.</w:t>
      </w:r>
    </w:p>
    <w:p w:rsidR="009A4FF4" w:rsidRDefault="009A4FF4" w:rsidP="009A4FF4">
      <w:pPr>
        <w:spacing w:line="240" w:lineRule="auto"/>
        <w:jc w:val="both"/>
        <w:rPr>
          <w:rFonts w:ascii="Arial" w:hAnsi="Arial" w:cs="Arial"/>
          <w:sz w:val="24"/>
          <w:szCs w:val="24"/>
        </w:rPr>
      </w:pPr>
    </w:p>
    <w:p w:rsidR="009A4FF4" w:rsidRDefault="009A4FF4" w:rsidP="009A4FF4">
      <w:pPr>
        <w:spacing w:line="240" w:lineRule="auto"/>
        <w:ind w:left="1128"/>
        <w:jc w:val="both"/>
        <w:rPr>
          <w:rFonts w:ascii="Arial" w:hAnsi="Arial" w:cs="Arial"/>
          <w:b/>
          <w:bCs/>
          <w:sz w:val="24"/>
          <w:szCs w:val="24"/>
        </w:rPr>
      </w:pPr>
      <w:r>
        <w:rPr>
          <w:rFonts w:ascii="Arial" w:hAnsi="Arial" w:cs="Arial"/>
          <w:b/>
          <w:bCs/>
          <w:sz w:val="24"/>
          <w:szCs w:val="24"/>
        </w:rPr>
        <w:t>Evropska pravosudna mreža</w:t>
      </w:r>
    </w:p>
    <w:p w:rsidR="009A4FF4" w:rsidRDefault="009A4FF4" w:rsidP="009A4FF4">
      <w:pPr>
        <w:spacing w:line="240" w:lineRule="auto"/>
        <w:ind w:left="1128"/>
        <w:jc w:val="both"/>
        <w:rPr>
          <w:rFonts w:ascii="Arial" w:hAnsi="Arial" w:cs="Arial"/>
          <w:sz w:val="24"/>
          <w:szCs w:val="24"/>
          <w:u w:val="single"/>
        </w:rPr>
      </w:pPr>
      <w:r>
        <w:rPr>
          <w:rFonts w:ascii="Arial" w:hAnsi="Arial" w:cs="Arial"/>
          <w:sz w:val="24"/>
          <w:szCs w:val="24"/>
          <w:u w:val="single"/>
        </w:rPr>
        <w:t>Zaključci</w:t>
      </w:r>
    </w:p>
    <w:p w:rsidR="009A4FF4" w:rsidRDefault="009A4FF4" w:rsidP="009A4FF4">
      <w:pPr>
        <w:spacing w:line="240" w:lineRule="auto"/>
        <w:ind w:firstLine="720"/>
        <w:jc w:val="both"/>
        <w:rPr>
          <w:rFonts w:ascii="Arial" w:hAnsi="Arial" w:cs="Arial"/>
          <w:sz w:val="24"/>
          <w:szCs w:val="24"/>
        </w:rPr>
      </w:pPr>
      <w:r>
        <w:rPr>
          <w:rFonts w:ascii="Arial" w:hAnsi="Arial" w:cs="Arial"/>
          <w:sz w:val="24"/>
          <w:szCs w:val="24"/>
        </w:rPr>
        <w:t>Crna Gora je u februaru 2017. godine stekla status posmatrača u Evropskoj pravosudnoj mreži u građanskim i privrednim stvarima. U skladu sa tim, trenutno stanje učešća može se ocijeniti kao vrlo zadovoljavajuće.</w:t>
      </w:r>
    </w:p>
    <w:p w:rsidR="009A4FF4" w:rsidRDefault="009A4FF4" w:rsidP="009A4FF4">
      <w:pPr>
        <w:spacing w:line="240" w:lineRule="auto"/>
        <w:ind w:left="1128"/>
        <w:jc w:val="both"/>
        <w:rPr>
          <w:rFonts w:ascii="Arial" w:hAnsi="Arial" w:cs="Arial"/>
          <w:sz w:val="24"/>
          <w:szCs w:val="24"/>
          <w:u w:val="single"/>
        </w:rPr>
      </w:pPr>
      <w:r>
        <w:rPr>
          <w:rFonts w:ascii="Arial" w:hAnsi="Arial" w:cs="Arial"/>
          <w:sz w:val="24"/>
          <w:szCs w:val="24"/>
          <w:u w:val="single"/>
        </w:rPr>
        <w:t xml:space="preserve">Preporuke </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Crna Gora bi trebala, koliko god u ovoj fazi smatra da je to prikladno, da koristi alate za olakšavanje pravosudne pomoći i saradnje, poput portala e-Justice i da ostvaruje neposrednu komunikaciju sa svojim kolegama u državama članicama EU;</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Kada su u pitanju srednjoročne i dugoročne aktivnosti, Crna Gora bi trebala da razmotri mogućnost da u rad Evropske pravosudne mreže uključi sudije sudova koji su određeni kao nadležni za pravosudnu saradnju u građanskim i privrednim stvarima;</w:t>
      </w:r>
    </w:p>
    <w:p w:rsidR="009A4FF4" w:rsidRDefault="009A4FF4" w:rsidP="009A4FF4">
      <w:pPr>
        <w:pStyle w:val="Odlomakpopisa"/>
        <w:numPr>
          <w:ilvl w:val="0"/>
          <w:numId w:val="8"/>
        </w:numPr>
        <w:jc w:val="both"/>
        <w:rPr>
          <w:rFonts w:ascii="Arial" w:hAnsi="Arial" w:cs="Arial"/>
          <w:sz w:val="24"/>
          <w:szCs w:val="24"/>
        </w:rPr>
      </w:pPr>
      <w:r>
        <w:rPr>
          <w:rFonts w:ascii="Arial" w:hAnsi="Arial" w:cs="Arial"/>
          <w:sz w:val="24"/>
          <w:szCs w:val="24"/>
        </w:rPr>
        <w:t xml:space="preserve">Evropska pravosudna mreža treba da bude dostupna predstavnicima drugih pravosudnih profesija, poput javnih izvršitelja, notara i advokata.  </w:t>
      </w:r>
    </w:p>
    <w:p w:rsidR="009A4FF4" w:rsidRDefault="009A4FF4" w:rsidP="009A4FF4">
      <w:pPr>
        <w:spacing w:line="240" w:lineRule="auto"/>
        <w:jc w:val="both"/>
        <w:rPr>
          <w:rFonts w:ascii="Arial" w:hAnsi="Arial" w:cs="Arial"/>
          <w:b/>
          <w:bCs/>
          <w:sz w:val="24"/>
          <w:szCs w:val="24"/>
        </w:rPr>
      </w:pPr>
    </w:p>
    <w:p w:rsidR="009A4FF4" w:rsidRDefault="009A4FF4" w:rsidP="009A4FF4">
      <w:pPr>
        <w:spacing w:line="240" w:lineRule="auto"/>
        <w:jc w:val="both"/>
        <w:rPr>
          <w:rFonts w:ascii="Arial" w:hAnsi="Arial" w:cs="Arial"/>
          <w:b/>
          <w:bCs/>
          <w:sz w:val="24"/>
          <w:szCs w:val="24"/>
        </w:rPr>
      </w:pPr>
    </w:p>
    <w:p w:rsidR="009A4FF4" w:rsidRDefault="009A4FF4" w:rsidP="009A4FF4">
      <w:pPr>
        <w:spacing w:line="240" w:lineRule="auto"/>
        <w:jc w:val="both"/>
        <w:rPr>
          <w:rFonts w:ascii="Arial" w:hAnsi="Arial" w:cs="Arial"/>
          <w:b/>
          <w:bCs/>
          <w:sz w:val="24"/>
          <w:szCs w:val="24"/>
        </w:rPr>
      </w:pPr>
    </w:p>
    <w:p w:rsidR="009A4FF4" w:rsidRDefault="009A4FF4" w:rsidP="009A4FF4">
      <w:pPr>
        <w:spacing w:line="240" w:lineRule="auto"/>
        <w:jc w:val="both"/>
        <w:rPr>
          <w:rFonts w:ascii="Arial" w:hAnsi="Arial" w:cs="Arial"/>
          <w:b/>
          <w:bCs/>
          <w:sz w:val="24"/>
          <w:szCs w:val="24"/>
        </w:rPr>
      </w:pPr>
    </w:p>
    <w:p w:rsidR="009A4FF4" w:rsidRDefault="009A4FF4" w:rsidP="009A4FF4">
      <w:pPr>
        <w:spacing w:line="240" w:lineRule="auto"/>
        <w:ind w:left="372" w:firstLine="708"/>
        <w:jc w:val="both"/>
        <w:rPr>
          <w:rFonts w:ascii="Arial" w:hAnsi="Arial" w:cs="Arial"/>
          <w:b/>
          <w:bCs/>
          <w:sz w:val="24"/>
          <w:szCs w:val="24"/>
        </w:rPr>
      </w:pPr>
    </w:p>
    <w:p w:rsidR="009A4FF4" w:rsidRDefault="009A4FF4" w:rsidP="009A4FF4">
      <w:pPr>
        <w:spacing w:line="240" w:lineRule="auto"/>
        <w:ind w:left="372" w:firstLine="708"/>
        <w:jc w:val="both"/>
        <w:rPr>
          <w:rFonts w:ascii="Arial" w:hAnsi="Arial" w:cs="Arial"/>
          <w:b/>
          <w:bCs/>
          <w:sz w:val="24"/>
          <w:szCs w:val="24"/>
        </w:rPr>
      </w:pPr>
      <w:r>
        <w:rPr>
          <w:rFonts w:ascii="Arial" w:hAnsi="Arial" w:cs="Arial"/>
          <w:b/>
          <w:bCs/>
          <w:sz w:val="24"/>
          <w:szCs w:val="24"/>
        </w:rPr>
        <w:lastRenderedPageBreak/>
        <w:t>Kratki prikaz ključnih preporuka prema redoslijedu prioriteta</w:t>
      </w:r>
    </w:p>
    <w:p w:rsidR="009A4FF4" w:rsidRDefault="009A4FF4" w:rsidP="009A4FF4">
      <w:pPr>
        <w:spacing w:line="240" w:lineRule="auto"/>
        <w:ind w:left="372" w:firstLine="708"/>
        <w:jc w:val="both"/>
        <w:rPr>
          <w:rFonts w:ascii="Arial" w:hAnsi="Arial" w:cs="Arial"/>
          <w:sz w:val="24"/>
          <w:szCs w:val="24"/>
          <w:u w:val="single"/>
        </w:rPr>
      </w:pPr>
    </w:p>
    <w:p w:rsidR="009A4FF4" w:rsidRDefault="009A4FF4" w:rsidP="009A4FF4">
      <w:pPr>
        <w:spacing w:line="240" w:lineRule="auto"/>
        <w:ind w:left="372" w:firstLine="708"/>
        <w:jc w:val="both"/>
        <w:rPr>
          <w:rFonts w:ascii="Arial" w:hAnsi="Arial" w:cs="Arial"/>
          <w:sz w:val="24"/>
          <w:szCs w:val="24"/>
          <w:u w:val="single"/>
        </w:rPr>
      </w:pPr>
      <w:r>
        <w:rPr>
          <w:rFonts w:ascii="Arial" w:hAnsi="Arial" w:cs="Arial"/>
          <w:sz w:val="24"/>
          <w:szCs w:val="24"/>
          <w:u w:val="single"/>
        </w:rPr>
        <w:t>Kratkoročno</w:t>
      </w:r>
    </w:p>
    <w:p w:rsidR="009A4FF4" w:rsidRDefault="009A4FF4" w:rsidP="009A4FF4">
      <w:pPr>
        <w:pStyle w:val="Odlomakpopisa"/>
        <w:numPr>
          <w:ilvl w:val="0"/>
          <w:numId w:val="9"/>
        </w:numPr>
        <w:jc w:val="both"/>
        <w:rPr>
          <w:rFonts w:ascii="Arial" w:hAnsi="Arial" w:cs="Arial"/>
          <w:sz w:val="24"/>
          <w:szCs w:val="24"/>
        </w:rPr>
      </w:pPr>
      <w:r>
        <w:rPr>
          <w:rFonts w:ascii="Arial" w:hAnsi="Arial" w:cs="Arial"/>
          <w:sz w:val="24"/>
          <w:szCs w:val="24"/>
        </w:rPr>
        <w:t>Crna Gora treba da pristupi Protokolu iz 2007. godine uz Hašku konvenciju o međunarodnom ostvarivanju izdržavanja djece i drugih oblika izdržavanja porodice i Haškoj konvenciji iz 2000. godine o međunarodnoj zaštiti odraslih osoba;</w:t>
      </w:r>
    </w:p>
    <w:p w:rsidR="009A4FF4" w:rsidRDefault="009A4FF4" w:rsidP="009A4FF4">
      <w:pPr>
        <w:pStyle w:val="Odlomakpopisa"/>
        <w:numPr>
          <w:ilvl w:val="0"/>
          <w:numId w:val="9"/>
        </w:numPr>
        <w:jc w:val="both"/>
        <w:rPr>
          <w:rFonts w:ascii="Arial" w:hAnsi="Arial" w:cs="Arial"/>
          <w:sz w:val="24"/>
          <w:szCs w:val="24"/>
        </w:rPr>
      </w:pPr>
      <w:r>
        <w:rPr>
          <w:rFonts w:ascii="Arial" w:hAnsi="Arial" w:cs="Arial"/>
          <w:sz w:val="24"/>
          <w:szCs w:val="24"/>
        </w:rPr>
        <w:t>Crna Gora treba da prenese Regulativu br. 655/2014 Evropskog parlamenta i Savjeta od 15. maja 2014. godine o uspostavljanju postupka za evropski nalog za blokadu računa;</w:t>
      </w:r>
    </w:p>
    <w:p w:rsidR="009A4FF4" w:rsidRDefault="009A4FF4" w:rsidP="009A4FF4">
      <w:pPr>
        <w:pStyle w:val="Odlomakpopisa"/>
        <w:numPr>
          <w:ilvl w:val="0"/>
          <w:numId w:val="9"/>
        </w:numPr>
        <w:jc w:val="both"/>
        <w:rPr>
          <w:rFonts w:ascii="Arial" w:hAnsi="Arial" w:cs="Arial"/>
          <w:sz w:val="24"/>
          <w:szCs w:val="24"/>
        </w:rPr>
      </w:pPr>
      <w:r>
        <w:rPr>
          <w:rFonts w:ascii="Arial" w:hAnsi="Arial" w:cs="Arial"/>
          <w:sz w:val="24"/>
          <w:szCs w:val="24"/>
        </w:rPr>
        <w:t>Crna Gora treba da izvrši analizu usklađenosti domaćeg zakonodavstva kojim se uređuju insolventnost i nasljeđivanje sa relevantnim regulativama EU i preduzme neophodne mjere za njihovo prenošenje u domaće zakonodavstvo.</w:t>
      </w:r>
    </w:p>
    <w:p w:rsidR="009A4FF4" w:rsidRDefault="009A4FF4" w:rsidP="009A4FF4">
      <w:pPr>
        <w:spacing w:line="240" w:lineRule="auto"/>
        <w:jc w:val="both"/>
        <w:rPr>
          <w:rFonts w:ascii="Arial" w:hAnsi="Arial" w:cs="Arial"/>
          <w:sz w:val="24"/>
          <w:szCs w:val="24"/>
        </w:rPr>
      </w:pPr>
    </w:p>
    <w:p w:rsidR="009A4FF4" w:rsidRDefault="009A4FF4" w:rsidP="009A4FF4">
      <w:pPr>
        <w:spacing w:line="240" w:lineRule="auto"/>
        <w:ind w:left="1068"/>
        <w:jc w:val="both"/>
        <w:rPr>
          <w:rFonts w:ascii="Arial" w:hAnsi="Arial" w:cs="Arial"/>
          <w:sz w:val="24"/>
          <w:szCs w:val="24"/>
          <w:u w:val="single"/>
        </w:rPr>
      </w:pPr>
      <w:r>
        <w:rPr>
          <w:rFonts w:ascii="Arial" w:hAnsi="Arial" w:cs="Arial"/>
          <w:sz w:val="24"/>
          <w:szCs w:val="24"/>
          <w:u w:val="single"/>
        </w:rPr>
        <w:t>Srednjoročno do dugoročno</w:t>
      </w:r>
    </w:p>
    <w:p w:rsidR="009A4FF4" w:rsidRDefault="009A4FF4" w:rsidP="009A4FF4">
      <w:pPr>
        <w:pStyle w:val="Odlomakpopisa"/>
        <w:numPr>
          <w:ilvl w:val="0"/>
          <w:numId w:val="9"/>
        </w:numPr>
        <w:jc w:val="both"/>
        <w:rPr>
          <w:rFonts w:ascii="Arial" w:hAnsi="Arial" w:cs="Arial"/>
          <w:sz w:val="24"/>
          <w:szCs w:val="24"/>
        </w:rPr>
      </w:pPr>
      <w:r>
        <w:rPr>
          <w:rFonts w:ascii="Arial" w:hAnsi="Arial" w:cs="Arial"/>
          <w:sz w:val="24"/>
          <w:szCs w:val="24"/>
        </w:rPr>
        <w:t>Crna Gora treba da izvrši analizu odredaba Zakona o međunarodnom privatnom pravu u pogledu njihove usklađenost sa odgovarajućim propisima EU, sa stanovišta mogućih praktičnih implikacija u zavisnosti od nivoa usklađenosti;</w:t>
      </w:r>
    </w:p>
    <w:p w:rsidR="009A4FF4" w:rsidRDefault="009A4FF4" w:rsidP="009A4FF4">
      <w:pPr>
        <w:pStyle w:val="Odlomakpopisa"/>
        <w:numPr>
          <w:ilvl w:val="0"/>
          <w:numId w:val="9"/>
        </w:numPr>
        <w:jc w:val="both"/>
        <w:rPr>
          <w:rFonts w:ascii="Arial" w:hAnsi="Arial" w:cs="Arial"/>
          <w:sz w:val="24"/>
          <w:szCs w:val="24"/>
        </w:rPr>
      </w:pPr>
      <w:r>
        <w:rPr>
          <w:rFonts w:ascii="Arial" w:hAnsi="Arial" w:cs="Arial"/>
          <w:sz w:val="24"/>
          <w:szCs w:val="24"/>
        </w:rPr>
        <w:t>Crna Gora treba da preduzme neophodne zakonodavne i druge aktivnosti kako bi stvorila uslove za nesmetanu primjenu Regulative br. 2016/1191;</w:t>
      </w:r>
    </w:p>
    <w:p w:rsidR="009A4FF4" w:rsidRDefault="009A4FF4" w:rsidP="009A4FF4">
      <w:pPr>
        <w:pStyle w:val="Odlomakpopisa"/>
        <w:numPr>
          <w:ilvl w:val="0"/>
          <w:numId w:val="9"/>
        </w:numPr>
        <w:jc w:val="both"/>
        <w:rPr>
          <w:rFonts w:ascii="Arial" w:hAnsi="Arial" w:cs="Arial"/>
          <w:sz w:val="24"/>
          <w:szCs w:val="24"/>
        </w:rPr>
      </w:pPr>
      <w:r>
        <w:rPr>
          <w:rFonts w:ascii="Arial" w:hAnsi="Arial" w:cs="Arial"/>
          <w:sz w:val="24"/>
          <w:szCs w:val="24"/>
        </w:rPr>
        <w:t>Crna Gora treba da razmotri mogućnost da u rad Evropske pravosudne mreže uključi sudije sudova koji su određeni kao nadležni u stvarima pravosudne saradnje u građanskim i privrednim stvarima;</w:t>
      </w:r>
    </w:p>
    <w:p w:rsidR="009A4FF4" w:rsidRDefault="009A4FF4" w:rsidP="009A4FF4">
      <w:pPr>
        <w:pStyle w:val="Odlomakpopisa"/>
        <w:numPr>
          <w:ilvl w:val="0"/>
          <w:numId w:val="9"/>
        </w:numPr>
        <w:jc w:val="both"/>
        <w:rPr>
          <w:rFonts w:ascii="Arial" w:hAnsi="Arial" w:cs="Arial"/>
          <w:sz w:val="24"/>
          <w:szCs w:val="24"/>
        </w:rPr>
      </w:pPr>
      <w:r>
        <w:rPr>
          <w:rFonts w:ascii="Arial" w:hAnsi="Arial" w:cs="Arial"/>
          <w:sz w:val="24"/>
          <w:szCs w:val="24"/>
        </w:rPr>
        <w:t>Crna Gora treba da kreira program kontinuirane obuke sudija na osnovu kojeg će se sudije specijalizovati, odnosno steći specijalistička znanja iz oblasti relevantnog zakonodavstva EU i unaprijediti svoje jezičke vještine, te savladati nove izazove, poput alata “elektronskog pravosuđa” i e-učenja.</w:t>
      </w:r>
    </w:p>
    <w:p w:rsidR="009A4FF4" w:rsidRDefault="009A4FF4" w:rsidP="009A4FF4">
      <w:pPr>
        <w:spacing w:line="240" w:lineRule="auto"/>
        <w:rPr>
          <w:rFonts w:ascii="Arial" w:hAnsi="Arial" w:cs="Arial"/>
          <w:b/>
          <w:bCs/>
          <w:sz w:val="24"/>
          <w:szCs w:val="24"/>
        </w:rPr>
      </w:pPr>
    </w:p>
    <w:p w:rsidR="009A4FF4" w:rsidRDefault="009A4FF4" w:rsidP="009A4FF4">
      <w:pPr>
        <w:spacing w:line="240" w:lineRule="auto"/>
        <w:rPr>
          <w:rFonts w:ascii="Arial" w:hAnsi="Arial" w:cs="Arial"/>
          <w:sz w:val="24"/>
          <w:szCs w:val="24"/>
        </w:rPr>
      </w:pPr>
    </w:p>
    <w:p w:rsidR="009A4FF4" w:rsidRDefault="009A4FF4" w:rsidP="009A4FF4">
      <w:pPr>
        <w:spacing w:after="0" w:line="240" w:lineRule="auto"/>
        <w:ind w:firstLine="720"/>
        <w:jc w:val="both"/>
        <w:rPr>
          <w:rFonts w:ascii="Arial" w:hAnsi="Arial" w:cs="Arial"/>
          <w:sz w:val="24"/>
          <w:szCs w:val="24"/>
          <w:lang w:val="sr-Latn-CS"/>
        </w:rPr>
      </w:pPr>
    </w:p>
    <w:p w:rsidR="009A4FF4" w:rsidRDefault="009A4FF4" w:rsidP="009A4FF4">
      <w:pPr>
        <w:jc w:val="both"/>
        <w:rPr>
          <w:sz w:val="24"/>
          <w:szCs w:val="24"/>
        </w:rPr>
      </w:pPr>
    </w:p>
    <w:p w:rsidR="00170CA4" w:rsidRPr="00B41ADD" w:rsidRDefault="00170CA4" w:rsidP="00B41ADD">
      <w:pPr>
        <w:jc w:val="both"/>
        <w:rPr>
          <w:sz w:val="24"/>
          <w:szCs w:val="24"/>
        </w:rPr>
      </w:pPr>
    </w:p>
    <w:sectPr w:rsidR="00170CA4" w:rsidRPr="00B41AD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9A6" w:rsidRDefault="00A359A6" w:rsidP="007E26DD">
      <w:pPr>
        <w:spacing w:after="0" w:line="240" w:lineRule="auto"/>
      </w:pPr>
      <w:r>
        <w:separator/>
      </w:r>
    </w:p>
  </w:endnote>
  <w:endnote w:type="continuationSeparator" w:id="0">
    <w:p w:rsidR="00A359A6" w:rsidRDefault="00A359A6" w:rsidP="007E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284560"/>
      <w:docPartObj>
        <w:docPartGallery w:val="Page Numbers (Bottom of Page)"/>
        <w:docPartUnique/>
      </w:docPartObj>
    </w:sdtPr>
    <w:sdtEndPr>
      <w:rPr>
        <w:noProof/>
      </w:rPr>
    </w:sdtEndPr>
    <w:sdtContent>
      <w:p w:rsidR="00090E2C" w:rsidRDefault="00090E2C">
        <w:pPr>
          <w:pStyle w:val="Footer"/>
          <w:jc w:val="right"/>
        </w:pPr>
        <w:r>
          <w:fldChar w:fldCharType="begin"/>
        </w:r>
        <w:r>
          <w:instrText xml:space="preserve"> PAGE   \* MERGEFORMAT </w:instrText>
        </w:r>
        <w:r>
          <w:fldChar w:fldCharType="separate"/>
        </w:r>
        <w:r w:rsidR="00E05F62">
          <w:rPr>
            <w:noProof/>
          </w:rPr>
          <w:t>28</w:t>
        </w:r>
        <w:r>
          <w:rPr>
            <w:noProof/>
          </w:rPr>
          <w:fldChar w:fldCharType="end"/>
        </w:r>
      </w:p>
    </w:sdtContent>
  </w:sdt>
  <w:p w:rsidR="00090E2C" w:rsidRDefault="00090E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9A6" w:rsidRDefault="00A359A6" w:rsidP="007E26DD">
      <w:pPr>
        <w:spacing w:after="0" w:line="240" w:lineRule="auto"/>
      </w:pPr>
      <w:r>
        <w:separator/>
      </w:r>
    </w:p>
  </w:footnote>
  <w:footnote w:type="continuationSeparator" w:id="0">
    <w:p w:rsidR="00A359A6" w:rsidRDefault="00A359A6" w:rsidP="007E26DD">
      <w:pPr>
        <w:spacing w:after="0" w:line="240" w:lineRule="auto"/>
      </w:pPr>
      <w:r>
        <w:continuationSeparator/>
      </w:r>
    </w:p>
  </w:footnote>
  <w:footnote w:id="1">
    <w:p w:rsidR="009A4FF4" w:rsidRDefault="009A4FF4" w:rsidP="009A4FF4">
      <w:pPr>
        <w:pStyle w:val="Tekstfusnote"/>
        <w:jc w:val="both"/>
      </w:pPr>
      <w:r>
        <w:rPr>
          <w:rStyle w:val="FootnoteReference"/>
        </w:rPr>
        <w:footnoteRef/>
      </w:r>
      <w:r>
        <w:rPr>
          <w:rStyle w:val="Zadanifontodlomka"/>
          <w:rFonts w:ascii="Times New Roman" w:hAnsi="Times New Roman"/>
        </w:rPr>
        <w:t xml:space="preserve"> Preinačenu </w:t>
      </w:r>
      <w:r>
        <w:rPr>
          <w:rFonts w:ascii="Times New Roman" w:hAnsi="Times New Roman"/>
        </w:rPr>
        <w:t xml:space="preserve">regulativu Brisel II bis </w:t>
      </w:r>
      <w:r>
        <w:rPr>
          <w:rStyle w:val="Zadanifontodlomka"/>
          <w:rFonts w:ascii="Times New Roman" w:hAnsi="Times New Roman"/>
        </w:rPr>
        <w:t>usvojio je Evropski savjet 25. juna 2019. godine i biće poznata kao Regulativa (EU) br. 2019/1111 od 25. juna 2019. godine o nadležnosti, priznavanju i izvršavanju odluka u bračnim stvarima i stvarima roditeljske odgovornosti, i o međunarodnoj otmici djece (preinačena).</w:t>
      </w:r>
    </w:p>
    <w:p w:rsidR="009A4FF4" w:rsidRDefault="009A4FF4" w:rsidP="009A4FF4">
      <w:pPr>
        <w:pStyle w:val="Tekstfusnote"/>
        <w:jc w:val="both"/>
        <w:rPr>
          <w:rFonts w:ascii="Times New Roman" w:hAnsi="Times New Roman"/>
          <w:lang w:val="en-US"/>
        </w:rPr>
      </w:pPr>
    </w:p>
    <w:p w:rsidR="009A4FF4" w:rsidRDefault="009A4FF4" w:rsidP="009A4FF4">
      <w:pPr>
        <w:pStyle w:val="Tekstfusnote"/>
        <w:jc w:val="both"/>
      </w:pPr>
      <w:r>
        <w:rPr>
          <w:rStyle w:val="Zadanifontodlomka"/>
          <w:rFonts w:ascii="Times New Roman" w:hAnsi="Times New Roman"/>
        </w:rPr>
        <w:t>Preinačena regulativa Brisel II bis objavljena je u Službenom listu Evropske unije 2. jula 2019. godine i primjenjivaće se u svim državama članicama Evropske unije, osim u Danskoj, od 1. avgusta 2022. godine.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D058B"/>
    <w:multiLevelType w:val="multilevel"/>
    <w:tmpl w:val="89F0388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 w15:restartNumberingAfterBreak="0">
    <w:nsid w:val="12002DAC"/>
    <w:multiLevelType w:val="hybridMultilevel"/>
    <w:tmpl w:val="B798F30A"/>
    <w:lvl w:ilvl="0" w:tplc="FF481FF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9DF2D33"/>
    <w:multiLevelType w:val="hybridMultilevel"/>
    <w:tmpl w:val="9AE01C1A"/>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48417E9"/>
    <w:multiLevelType w:val="multilevel"/>
    <w:tmpl w:val="E1A89B10"/>
    <w:lvl w:ilvl="0">
      <w:numFmt w:val="bullet"/>
      <w:lvlText w:val="-"/>
      <w:lvlJc w:val="left"/>
      <w:pPr>
        <w:ind w:left="1080" w:hanging="36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BE36179"/>
    <w:multiLevelType w:val="multilevel"/>
    <w:tmpl w:val="53CC4312"/>
    <w:lvl w:ilvl="0">
      <w:start w:val="2"/>
      <w:numFmt w:val="decimal"/>
      <w:lvlText w:val="%1."/>
      <w:lvlJc w:val="left"/>
      <w:pPr>
        <w:ind w:left="1080" w:hanging="360"/>
      </w:pPr>
      <w:rPr>
        <w:rFonts w:ascii="Arial" w:hAnsi="Arial" w:cs="Arial" w:hint="default"/>
        <w:b/>
        <w:sz w:val="24"/>
        <w:szCs w:val="24"/>
      </w:rPr>
    </w:lvl>
    <w:lvl w:ilvl="1">
      <w:start w:val="1"/>
      <w:numFmt w:val="decimal"/>
      <w:lvlText w:val="%1.%2."/>
      <w:lvlJc w:val="left"/>
      <w:pPr>
        <w:ind w:left="2160" w:hanging="360"/>
      </w:pPr>
    </w:lvl>
    <w:lvl w:ilvl="2">
      <w:start w:val="1"/>
      <w:numFmt w:val="decimal"/>
      <w:lvlText w:val="%1.%2.%3."/>
      <w:lvlJc w:val="left"/>
      <w:pPr>
        <w:ind w:left="3600" w:hanging="720"/>
      </w:pPr>
    </w:lvl>
    <w:lvl w:ilvl="3">
      <w:start w:val="1"/>
      <w:numFmt w:val="decimal"/>
      <w:lvlText w:val="%1.%2.%3.%4."/>
      <w:lvlJc w:val="left"/>
      <w:pPr>
        <w:ind w:left="4680" w:hanging="720"/>
      </w:pPr>
    </w:lvl>
    <w:lvl w:ilvl="4">
      <w:start w:val="1"/>
      <w:numFmt w:val="decimal"/>
      <w:lvlText w:val="%1.%2.%3.%4.%5."/>
      <w:lvlJc w:val="left"/>
      <w:pPr>
        <w:ind w:left="6120" w:hanging="1080"/>
      </w:pPr>
    </w:lvl>
    <w:lvl w:ilvl="5">
      <w:start w:val="1"/>
      <w:numFmt w:val="decimal"/>
      <w:lvlText w:val="%1.%2.%3.%4.%5.%6."/>
      <w:lvlJc w:val="left"/>
      <w:pPr>
        <w:ind w:left="7200" w:hanging="1080"/>
      </w:pPr>
    </w:lvl>
    <w:lvl w:ilvl="6">
      <w:start w:val="1"/>
      <w:numFmt w:val="decimal"/>
      <w:lvlText w:val="%1.%2.%3.%4.%5.%6.%7."/>
      <w:lvlJc w:val="left"/>
      <w:pPr>
        <w:ind w:left="8640" w:hanging="1440"/>
      </w:pPr>
    </w:lvl>
    <w:lvl w:ilvl="7">
      <w:start w:val="1"/>
      <w:numFmt w:val="decimal"/>
      <w:lvlText w:val="%1.%2.%3.%4.%5.%6.%7.%8."/>
      <w:lvlJc w:val="left"/>
      <w:pPr>
        <w:ind w:left="9720" w:hanging="1440"/>
      </w:pPr>
    </w:lvl>
    <w:lvl w:ilvl="8">
      <w:start w:val="1"/>
      <w:numFmt w:val="decimal"/>
      <w:lvlText w:val="%1.%2.%3.%4.%5.%6.%7.%8.%9."/>
      <w:lvlJc w:val="left"/>
      <w:pPr>
        <w:ind w:left="11160" w:hanging="1800"/>
      </w:pPr>
    </w:lvl>
  </w:abstractNum>
  <w:abstractNum w:abstractNumId="5" w15:restartNumberingAfterBreak="0">
    <w:nsid w:val="3720050F"/>
    <w:multiLevelType w:val="hybridMultilevel"/>
    <w:tmpl w:val="D012B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7716C0"/>
    <w:multiLevelType w:val="multilevel"/>
    <w:tmpl w:val="F760E63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65"/>
    <w:rsid w:val="00003A59"/>
    <w:rsid w:val="00016012"/>
    <w:rsid w:val="00022571"/>
    <w:rsid w:val="0002633B"/>
    <w:rsid w:val="000345E3"/>
    <w:rsid w:val="00046F69"/>
    <w:rsid w:val="0005233A"/>
    <w:rsid w:val="000558D1"/>
    <w:rsid w:val="00060D9B"/>
    <w:rsid w:val="00075221"/>
    <w:rsid w:val="000763B3"/>
    <w:rsid w:val="00090E2C"/>
    <w:rsid w:val="00094675"/>
    <w:rsid w:val="000C1362"/>
    <w:rsid w:val="000D2AD2"/>
    <w:rsid w:val="000E06DD"/>
    <w:rsid w:val="00104052"/>
    <w:rsid w:val="0011322E"/>
    <w:rsid w:val="0012448F"/>
    <w:rsid w:val="0014529E"/>
    <w:rsid w:val="00170CA4"/>
    <w:rsid w:val="00181B73"/>
    <w:rsid w:val="001951F2"/>
    <w:rsid w:val="001A315E"/>
    <w:rsid w:val="001B440C"/>
    <w:rsid w:val="001C72F2"/>
    <w:rsid w:val="001D2D1D"/>
    <w:rsid w:val="001E2F2F"/>
    <w:rsid w:val="001F2C30"/>
    <w:rsid w:val="001F7FF7"/>
    <w:rsid w:val="00215ED2"/>
    <w:rsid w:val="002215B9"/>
    <w:rsid w:val="00227D99"/>
    <w:rsid w:val="00236A66"/>
    <w:rsid w:val="00241847"/>
    <w:rsid w:val="00264300"/>
    <w:rsid w:val="002666B0"/>
    <w:rsid w:val="00270E75"/>
    <w:rsid w:val="0029725B"/>
    <w:rsid w:val="002A19C1"/>
    <w:rsid w:val="002B766F"/>
    <w:rsid w:val="002D08D9"/>
    <w:rsid w:val="002D0B8B"/>
    <w:rsid w:val="002E7DFE"/>
    <w:rsid w:val="00312132"/>
    <w:rsid w:val="00330945"/>
    <w:rsid w:val="0034663A"/>
    <w:rsid w:val="003475EC"/>
    <w:rsid w:val="00362D4F"/>
    <w:rsid w:val="003C6477"/>
    <w:rsid w:val="003D6852"/>
    <w:rsid w:val="00411E28"/>
    <w:rsid w:val="0042206D"/>
    <w:rsid w:val="004220F4"/>
    <w:rsid w:val="00426304"/>
    <w:rsid w:val="00442209"/>
    <w:rsid w:val="00455DCA"/>
    <w:rsid w:val="00462AE5"/>
    <w:rsid w:val="00466773"/>
    <w:rsid w:val="00466961"/>
    <w:rsid w:val="0047652E"/>
    <w:rsid w:val="0048627B"/>
    <w:rsid w:val="00494B02"/>
    <w:rsid w:val="004A0038"/>
    <w:rsid w:val="004A1C0E"/>
    <w:rsid w:val="004A743E"/>
    <w:rsid w:val="004E2406"/>
    <w:rsid w:val="004E3285"/>
    <w:rsid w:val="004F2641"/>
    <w:rsid w:val="0051579B"/>
    <w:rsid w:val="00525C9A"/>
    <w:rsid w:val="00546DBD"/>
    <w:rsid w:val="00552FEA"/>
    <w:rsid w:val="00556F1F"/>
    <w:rsid w:val="00563C56"/>
    <w:rsid w:val="005A65A4"/>
    <w:rsid w:val="005C5A17"/>
    <w:rsid w:val="005D7591"/>
    <w:rsid w:val="005E0234"/>
    <w:rsid w:val="005E601B"/>
    <w:rsid w:val="005F5996"/>
    <w:rsid w:val="005F7C0B"/>
    <w:rsid w:val="00602611"/>
    <w:rsid w:val="00602ED3"/>
    <w:rsid w:val="00610DEB"/>
    <w:rsid w:val="00616307"/>
    <w:rsid w:val="0063783D"/>
    <w:rsid w:val="006529BA"/>
    <w:rsid w:val="00690212"/>
    <w:rsid w:val="006A4F8A"/>
    <w:rsid w:val="006C7A04"/>
    <w:rsid w:val="006F20C5"/>
    <w:rsid w:val="006F219A"/>
    <w:rsid w:val="006F37FB"/>
    <w:rsid w:val="006F733E"/>
    <w:rsid w:val="00716D63"/>
    <w:rsid w:val="00735E59"/>
    <w:rsid w:val="007361D9"/>
    <w:rsid w:val="00751817"/>
    <w:rsid w:val="007609D0"/>
    <w:rsid w:val="00765266"/>
    <w:rsid w:val="00780765"/>
    <w:rsid w:val="0079350C"/>
    <w:rsid w:val="007A5E19"/>
    <w:rsid w:val="007B3C36"/>
    <w:rsid w:val="007C2555"/>
    <w:rsid w:val="007C5401"/>
    <w:rsid w:val="007E26DD"/>
    <w:rsid w:val="007E53B4"/>
    <w:rsid w:val="007E6A87"/>
    <w:rsid w:val="007E7578"/>
    <w:rsid w:val="007F7C48"/>
    <w:rsid w:val="0080451B"/>
    <w:rsid w:val="00813182"/>
    <w:rsid w:val="0083766E"/>
    <w:rsid w:val="008444F6"/>
    <w:rsid w:val="0085285D"/>
    <w:rsid w:val="00862E74"/>
    <w:rsid w:val="00866CE4"/>
    <w:rsid w:val="008B5ADA"/>
    <w:rsid w:val="008C6A1C"/>
    <w:rsid w:val="008D31A6"/>
    <w:rsid w:val="008D6EC5"/>
    <w:rsid w:val="008D7DEE"/>
    <w:rsid w:val="008E3F8D"/>
    <w:rsid w:val="008E7B0D"/>
    <w:rsid w:val="008F1A55"/>
    <w:rsid w:val="008F30BF"/>
    <w:rsid w:val="00924B08"/>
    <w:rsid w:val="00931A2A"/>
    <w:rsid w:val="0094011A"/>
    <w:rsid w:val="00957CC3"/>
    <w:rsid w:val="009610BD"/>
    <w:rsid w:val="00963BAF"/>
    <w:rsid w:val="009867B9"/>
    <w:rsid w:val="009A4B38"/>
    <w:rsid w:val="009A4FF4"/>
    <w:rsid w:val="009A666B"/>
    <w:rsid w:val="009C2E2E"/>
    <w:rsid w:val="009C2FE6"/>
    <w:rsid w:val="009D21AF"/>
    <w:rsid w:val="009D51F1"/>
    <w:rsid w:val="009D7675"/>
    <w:rsid w:val="00A259B8"/>
    <w:rsid w:val="00A359A6"/>
    <w:rsid w:val="00A448BE"/>
    <w:rsid w:val="00A609C8"/>
    <w:rsid w:val="00A745F9"/>
    <w:rsid w:val="00A86691"/>
    <w:rsid w:val="00AB2A0C"/>
    <w:rsid w:val="00AD2DA3"/>
    <w:rsid w:val="00AF2E55"/>
    <w:rsid w:val="00B01281"/>
    <w:rsid w:val="00B035D0"/>
    <w:rsid w:val="00B20A19"/>
    <w:rsid w:val="00B20E3D"/>
    <w:rsid w:val="00B25861"/>
    <w:rsid w:val="00B373A5"/>
    <w:rsid w:val="00B41ADD"/>
    <w:rsid w:val="00B53A11"/>
    <w:rsid w:val="00B56031"/>
    <w:rsid w:val="00B60438"/>
    <w:rsid w:val="00B60C10"/>
    <w:rsid w:val="00B67E18"/>
    <w:rsid w:val="00B758BC"/>
    <w:rsid w:val="00BB0D8C"/>
    <w:rsid w:val="00BB46A9"/>
    <w:rsid w:val="00BF018C"/>
    <w:rsid w:val="00BF1EAB"/>
    <w:rsid w:val="00BF6074"/>
    <w:rsid w:val="00BF66F4"/>
    <w:rsid w:val="00C11FAD"/>
    <w:rsid w:val="00C13EA1"/>
    <w:rsid w:val="00C363BC"/>
    <w:rsid w:val="00C430F1"/>
    <w:rsid w:val="00C518E6"/>
    <w:rsid w:val="00C722C2"/>
    <w:rsid w:val="00C7326B"/>
    <w:rsid w:val="00C97AF8"/>
    <w:rsid w:val="00CA33BF"/>
    <w:rsid w:val="00CA6492"/>
    <w:rsid w:val="00CB10B9"/>
    <w:rsid w:val="00CC073C"/>
    <w:rsid w:val="00CD32D5"/>
    <w:rsid w:val="00CE6F61"/>
    <w:rsid w:val="00CF43CB"/>
    <w:rsid w:val="00D016A7"/>
    <w:rsid w:val="00D20081"/>
    <w:rsid w:val="00D2177C"/>
    <w:rsid w:val="00D27376"/>
    <w:rsid w:val="00D45744"/>
    <w:rsid w:val="00D465AD"/>
    <w:rsid w:val="00D525C9"/>
    <w:rsid w:val="00D560D7"/>
    <w:rsid w:val="00DA1416"/>
    <w:rsid w:val="00DA4F42"/>
    <w:rsid w:val="00DA6846"/>
    <w:rsid w:val="00DC1872"/>
    <w:rsid w:val="00DC4848"/>
    <w:rsid w:val="00DD0B1A"/>
    <w:rsid w:val="00DD3976"/>
    <w:rsid w:val="00DD4479"/>
    <w:rsid w:val="00DD616E"/>
    <w:rsid w:val="00DF14B8"/>
    <w:rsid w:val="00DF3F8A"/>
    <w:rsid w:val="00E023F0"/>
    <w:rsid w:val="00E03EBA"/>
    <w:rsid w:val="00E05F62"/>
    <w:rsid w:val="00E11617"/>
    <w:rsid w:val="00E16037"/>
    <w:rsid w:val="00E22638"/>
    <w:rsid w:val="00E307AA"/>
    <w:rsid w:val="00E622DA"/>
    <w:rsid w:val="00E72B83"/>
    <w:rsid w:val="00E73BCE"/>
    <w:rsid w:val="00E811D2"/>
    <w:rsid w:val="00E8240D"/>
    <w:rsid w:val="00E97465"/>
    <w:rsid w:val="00EB2028"/>
    <w:rsid w:val="00EC4FEF"/>
    <w:rsid w:val="00ED4EA2"/>
    <w:rsid w:val="00ED795E"/>
    <w:rsid w:val="00EE429A"/>
    <w:rsid w:val="00EF32D3"/>
    <w:rsid w:val="00EF372E"/>
    <w:rsid w:val="00F15D17"/>
    <w:rsid w:val="00F25F02"/>
    <w:rsid w:val="00F33BD6"/>
    <w:rsid w:val="00F57D2E"/>
    <w:rsid w:val="00F617A0"/>
    <w:rsid w:val="00F62640"/>
    <w:rsid w:val="00F65559"/>
    <w:rsid w:val="00F90EDF"/>
    <w:rsid w:val="00FC036C"/>
    <w:rsid w:val="00FC667A"/>
    <w:rsid w:val="00FD2344"/>
    <w:rsid w:val="00FD6F90"/>
    <w:rsid w:val="00FE43CD"/>
    <w:rsid w:val="00FF2C0B"/>
    <w:rsid w:val="00FF4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2790"/>
  <w15:chartTrackingRefBased/>
  <w15:docId w15:val="{ECDBC56F-0B0B-47D0-8A57-9D339D48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6DD"/>
    <w:pPr>
      <w:spacing w:line="252"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765"/>
    <w:pPr>
      <w:ind w:left="720"/>
      <w:contextualSpacing/>
    </w:pPr>
  </w:style>
  <w:style w:type="paragraph" w:styleId="NormalWeb">
    <w:name w:val="Normal (Web)"/>
    <w:basedOn w:val="Normal"/>
    <w:semiHidden/>
    <w:unhideWhenUsed/>
    <w:rsid w:val="007E26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dlomakpopisa">
    <w:name w:val="Odlomak popisa"/>
    <w:basedOn w:val="Normal"/>
    <w:rsid w:val="007E26DD"/>
    <w:pPr>
      <w:suppressAutoHyphens/>
      <w:autoSpaceDN w:val="0"/>
      <w:spacing w:line="240" w:lineRule="auto"/>
      <w:ind w:left="720"/>
    </w:pPr>
    <w:rPr>
      <w:rFonts w:ascii="Calibri" w:eastAsia="Calibri" w:hAnsi="Calibri" w:cs="Times New Roman"/>
      <w:lang w:val="sr-Latn-ME"/>
    </w:rPr>
  </w:style>
  <w:style w:type="paragraph" w:customStyle="1" w:styleId="Tekstfusnote">
    <w:name w:val="Tekst fusnote"/>
    <w:basedOn w:val="Normal"/>
    <w:rsid w:val="007E26DD"/>
    <w:pPr>
      <w:suppressAutoHyphens/>
      <w:autoSpaceDN w:val="0"/>
      <w:spacing w:after="0" w:line="240" w:lineRule="auto"/>
    </w:pPr>
    <w:rPr>
      <w:rFonts w:ascii="Calibri" w:eastAsia="Calibri" w:hAnsi="Calibri" w:cs="Times New Roman"/>
      <w:sz w:val="20"/>
      <w:szCs w:val="20"/>
      <w:lang w:val="sr-Latn-ME"/>
    </w:rPr>
  </w:style>
  <w:style w:type="character" w:styleId="FootnoteReference">
    <w:name w:val="footnote reference"/>
    <w:basedOn w:val="DefaultParagraphFont"/>
    <w:semiHidden/>
    <w:unhideWhenUsed/>
    <w:rsid w:val="007E26DD"/>
    <w:rPr>
      <w:vertAlign w:val="superscript"/>
    </w:rPr>
  </w:style>
  <w:style w:type="character" w:customStyle="1" w:styleId="Zadanifontodlomka">
    <w:name w:val="Zadani font odlomka"/>
    <w:rsid w:val="007E26DD"/>
  </w:style>
  <w:style w:type="character" w:customStyle="1" w:styleId="Referencafusnote">
    <w:name w:val="Referenca fusnote"/>
    <w:basedOn w:val="Zadanifontodlomka"/>
    <w:rsid w:val="007E26DD"/>
    <w:rPr>
      <w:position w:val="0"/>
      <w:vertAlign w:val="superscript"/>
    </w:rPr>
  </w:style>
  <w:style w:type="paragraph" w:styleId="Header">
    <w:name w:val="header"/>
    <w:basedOn w:val="Normal"/>
    <w:link w:val="HeaderChar"/>
    <w:uiPriority w:val="99"/>
    <w:unhideWhenUsed/>
    <w:rsid w:val="00090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E2C"/>
    <w:rPr>
      <w:lang w:val="en-US"/>
    </w:rPr>
  </w:style>
  <w:style w:type="paragraph" w:styleId="Footer">
    <w:name w:val="footer"/>
    <w:basedOn w:val="Normal"/>
    <w:link w:val="FooterChar"/>
    <w:uiPriority w:val="99"/>
    <w:unhideWhenUsed/>
    <w:rsid w:val="00090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E2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6934">
      <w:bodyDiv w:val="1"/>
      <w:marLeft w:val="0"/>
      <w:marRight w:val="0"/>
      <w:marTop w:val="0"/>
      <w:marBottom w:val="0"/>
      <w:divBdr>
        <w:top w:val="none" w:sz="0" w:space="0" w:color="auto"/>
        <w:left w:val="none" w:sz="0" w:space="0" w:color="auto"/>
        <w:bottom w:val="none" w:sz="0" w:space="0" w:color="auto"/>
        <w:right w:val="none" w:sz="0" w:space="0" w:color="auto"/>
      </w:divBdr>
      <w:divsChild>
        <w:div w:id="1644654658">
          <w:marLeft w:val="0"/>
          <w:marRight w:val="0"/>
          <w:marTop w:val="0"/>
          <w:marBottom w:val="0"/>
          <w:divBdr>
            <w:top w:val="none" w:sz="0" w:space="0" w:color="auto"/>
            <w:left w:val="none" w:sz="0" w:space="0" w:color="auto"/>
            <w:bottom w:val="none" w:sz="0" w:space="0" w:color="auto"/>
            <w:right w:val="none" w:sz="0" w:space="0" w:color="auto"/>
          </w:divBdr>
        </w:div>
        <w:div w:id="819811848">
          <w:marLeft w:val="0"/>
          <w:marRight w:val="0"/>
          <w:marTop w:val="0"/>
          <w:marBottom w:val="0"/>
          <w:divBdr>
            <w:top w:val="none" w:sz="0" w:space="0" w:color="auto"/>
            <w:left w:val="none" w:sz="0" w:space="0" w:color="auto"/>
            <w:bottom w:val="none" w:sz="0" w:space="0" w:color="auto"/>
            <w:right w:val="none" w:sz="0" w:space="0" w:color="auto"/>
          </w:divBdr>
        </w:div>
      </w:divsChild>
    </w:div>
    <w:div w:id="347832025">
      <w:bodyDiv w:val="1"/>
      <w:marLeft w:val="0"/>
      <w:marRight w:val="0"/>
      <w:marTop w:val="0"/>
      <w:marBottom w:val="0"/>
      <w:divBdr>
        <w:top w:val="none" w:sz="0" w:space="0" w:color="auto"/>
        <w:left w:val="none" w:sz="0" w:space="0" w:color="auto"/>
        <w:bottom w:val="none" w:sz="0" w:space="0" w:color="auto"/>
        <w:right w:val="none" w:sz="0" w:space="0" w:color="auto"/>
      </w:divBdr>
    </w:div>
    <w:div w:id="565726762">
      <w:bodyDiv w:val="1"/>
      <w:marLeft w:val="0"/>
      <w:marRight w:val="0"/>
      <w:marTop w:val="0"/>
      <w:marBottom w:val="0"/>
      <w:divBdr>
        <w:top w:val="none" w:sz="0" w:space="0" w:color="auto"/>
        <w:left w:val="none" w:sz="0" w:space="0" w:color="auto"/>
        <w:bottom w:val="none" w:sz="0" w:space="0" w:color="auto"/>
        <w:right w:val="none" w:sz="0" w:space="0" w:color="auto"/>
      </w:divBdr>
    </w:div>
    <w:div w:id="583808426">
      <w:bodyDiv w:val="1"/>
      <w:marLeft w:val="0"/>
      <w:marRight w:val="0"/>
      <w:marTop w:val="0"/>
      <w:marBottom w:val="0"/>
      <w:divBdr>
        <w:top w:val="none" w:sz="0" w:space="0" w:color="auto"/>
        <w:left w:val="none" w:sz="0" w:space="0" w:color="auto"/>
        <w:bottom w:val="none" w:sz="0" w:space="0" w:color="auto"/>
        <w:right w:val="none" w:sz="0" w:space="0" w:color="auto"/>
      </w:divBdr>
    </w:div>
    <w:div w:id="606815469">
      <w:bodyDiv w:val="1"/>
      <w:marLeft w:val="0"/>
      <w:marRight w:val="0"/>
      <w:marTop w:val="0"/>
      <w:marBottom w:val="0"/>
      <w:divBdr>
        <w:top w:val="none" w:sz="0" w:space="0" w:color="auto"/>
        <w:left w:val="none" w:sz="0" w:space="0" w:color="auto"/>
        <w:bottom w:val="none" w:sz="0" w:space="0" w:color="auto"/>
        <w:right w:val="none" w:sz="0" w:space="0" w:color="auto"/>
      </w:divBdr>
    </w:div>
    <w:div w:id="638994775">
      <w:bodyDiv w:val="1"/>
      <w:marLeft w:val="0"/>
      <w:marRight w:val="0"/>
      <w:marTop w:val="0"/>
      <w:marBottom w:val="0"/>
      <w:divBdr>
        <w:top w:val="none" w:sz="0" w:space="0" w:color="auto"/>
        <w:left w:val="none" w:sz="0" w:space="0" w:color="auto"/>
        <w:bottom w:val="none" w:sz="0" w:space="0" w:color="auto"/>
        <w:right w:val="none" w:sz="0" w:space="0" w:color="auto"/>
      </w:divBdr>
    </w:div>
    <w:div w:id="727992223">
      <w:bodyDiv w:val="1"/>
      <w:marLeft w:val="0"/>
      <w:marRight w:val="0"/>
      <w:marTop w:val="0"/>
      <w:marBottom w:val="0"/>
      <w:divBdr>
        <w:top w:val="none" w:sz="0" w:space="0" w:color="auto"/>
        <w:left w:val="none" w:sz="0" w:space="0" w:color="auto"/>
        <w:bottom w:val="none" w:sz="0" w:space="0" w:color="auto"/>
        <w:right w:val="none" w:sz="0" w:space="0" w:color="auto"/>
      </w:divBdr>
    </w:div>
    <w:div w:id="876894760">
      <w:bodyDiv w:val="1"/>
      <w:marLeft w:val="0"/>
      <w:marRight w:val="0"/>
      <w:marTop w:val="0"/>
      <w:marBottom w:val="0"/>
      <w:divBdr>
        <w:top w:val="none" w:sz="0" w:space="0" w:color="auto"/>
        <w:left w:val="none" w:sz="0" w:space="0" w:color="auto"/>
        <w:bottom w:val="none" w:sz="0" w:space="0" w:color="auto"/>
        <w:right w:val="none" w:sz="0" w:space="0" w:color="auto"/>
      </w:divBdr>
    </w:div>
    <w:div w:id="940573442">
      <w:bodyDiv w:val="1"/>
      <w:marLeft w:val="0"/>
      <w:marRight w:val="0"/>
      <w:marTop w:val="0"/>
      <w:marBottom w:val="0"/>
      <w:divBdr>
        <w:top w:val="none" w:sz="0" w:space="0" w:color="auto"/>
        <w:left w:val="none" w:sz="0" w:space="0" w:color="auto"/>
        <w:bottom w:val="none" w:sz="0" w:space="0" w:color="auto"/>
        <w:right w:val="none" w:sz="0" w:space="0" w:color="auto"/>
      </w:divBdr>
    </w:div>
    <w:div w:id="1162962859">
      <w:bodyDiv w:val="1"/>
      <w:marLeft w:val="0"/>
      <w:marRight w:val="0"/>
      <w:marTop w:val="0"/>
      <w:marBottom w:val="0"/>
      <w:divBdr>
        <w:top w:val="none" w:sz="0" w:space="0" w:color="auto"/>
        <w:left w:val="none" w:sz="0" w:space="0" w:color="auto"/>
        <w:bottom w:val="none" w:sz="0" w:space="0" w:color="auto"/>
        <w:right w:val="none" w:sz="0" w:space="0" w:color="auto"/>
      </w:divBdr>
    </w:div>
    <w:div w:id="1195390671">
      <w:bodyDiv w:val="1"/>
      <w:marLeft w:val="0"/>
      <w:marRight w:val="0"/>
      <w:marTop w:val="0"/>
      <w:marBottom w:val="0"/>
      <w:divBdr>
        <w:top w:val="none" w:sz="0" w:space="0" w:color="auto"/>
        <w:left w:val="none" w:sz="0" w:space="0" w:color="auto"/>
        <w:bottom w:val="none" w:sz="0" w:space="0" w:color="auto"/>
        <w:right w:val="none" w:sz="0" w:space="0" w:color="auto"/>
      </w:divBdr>
    </w:div>
    <w:div w:id="1203711360">
      <w:bodyDiv w:val="1"/>
      <w:marLeft w:val="0"/>
      <w:marRight w:val="0"/>
      <w:marTop w:val="0"/>
      <w:marBottom w:val="0"/>
      <w:divBdr>
        <w:top w:val="none" w:sz="0" w:space="0" w:color="auto"/>
        <w:left w:val="none" w:sz="0" w:space="0" w:color="auto"/>
        <w:bottom w:val="none" w:sz="0" w:space="0" w:color="auto"/>
        <w:right w:val="none" w:sz="0" w:space="0" w:color="auto"/>
      </w:divBdr>
    </w:div>
    <w:div w:id="1629124114">
      <w:bodyDiv w:val="1"/>
      <w:marLeft w:val="0"/>
      <w:marRight w:val="0"/>
      <w:marTop w:val="0"/>
      <w:marBottom w:val="0"/>
      <w:divBdr>
        <w:top w:val="none" w:sz="0" w:space="0" w:color="auto"/>
        <w:left w:val="none" w:sz="0" w:space="0" w:color="auto"/>
        <w:bottom w:val="none" w:sz="0" w:space="0" w:color="auto"/>
        <w:right w:val="none" w:sz="0" w:space="0" w:color="auto"/>
      </w:divBdr>
    </w:div>
    <w:div w:id="1652906704">
      <w:bodyDiv w:val="1"/>
      <w:marLeft w:val="0"/>
      <w:marRight w:val="0"/>
      <w:marTop w:val="0"/>
      <w:marBottom w:val="0"/>
      <w:divBdr>
        <w:top w:val="none" w:sz="0" w:space="0" w:color="auto"/>
        <w:left w:val="none" w:sz="0" w:space="0" w:color="auto"/>
        <w:bottom w:val="none" w:sz="0" w:space="0" w:color="auto"/>
        <w:right w:val="none" w:sz="0" w:space="0" w:color="auto"/>
      </w:divBdr>
    </w:div>
    <w:div w:id="1709256600">
      <w:bodyDiv w:val="1"/>
      <w:marLeft w:val="0"/>
      <w:marRight w:val="0"/>
      <w:marTop w:val="0"/>
      <w:marBottom w:val="0"/>
      <w:divBdr>
        <w:top w:val="none" w:sz="0" w:space="0" w:color="auto"/>
        <w:left w:val="none" w:sz="0" w:space="0" w:color="auto"/>
        <w:bottom w:val="none" w:sz="0" w:space="0" w:color="auto"/>
        <w:right w:val="none" w:sz="0" w:space="0" w:color="auto"/>
      </w:divBdr>
    </w:div>
    <w:div w:id="1760446919">
      <w:bodyDiv w:val="1"/>
      <w:marLeft w:val="0"/>
      <w:marRight w:val="0"/>
      <w:marTop w:val="0"/>
      <w:marBottom w:val="0"/>
      <w:divBdr>
        <w:top w:val="none" w:sz="0" w:space="0" w:color="auto"/>
        <w:left w:val="none" w:sz="0" w:space="0" w:color="auto"/>
        <w:bottom w:val="none" w:sz="0" w:space="0" w:color="auto"/>
        <w:right w:val="none" w:sz="0" w:space="0" w:color="auto"/>
      </w:divBdr>
    </w:div>
    <w:div w:id="1778210128">
      <w:bodyDiv w:val="1"/>
      <w:marLeft w:val="0"/>
      <w:marRight w:val="0"/>
      <w:marTop w:val="0"/>
      <w:marBottom w:val="0"/>
      <w:divBdr>
        <w:top w:val="none" w:sz="0" w:space="0" w:color="auto"/>
        <w:left w:val="none" w:sz="0" w:space="0" w:color="auto"/>
        <w:bottom w:val="none" w:sz="0" w:space="0" w:color="auto"/>
        <w:right w:val="none" w:sz="0" w:space="0" w:color="auto"/>
      </w:divBdr>
    </w:div>
    <w:div w:id="1837845208">
      <w:bodyDiv w:val="1"/>
      <w:marLeft w:val="0"/>
      <w:marRight w:val="0"/>
      <w:marTop w:val="0"/>
      <w:marBottom w:val="0"/>
      <w:divBdr>
        <w:top w:val="none" w:sz="0" w:space="0" w:color="auto"/>
        <w:left w:val="none" w:sz="0" w:space="0" w:color="auto"/>
        <w:bottom w:val="none" w:sz="0" w:space="0" w:color="auto"/>
        <w:right w:val="none" w:sz="0" w:space="0" w:color="auto"/>
      </w:divBdr>
    </w:div>
    <w:div w:id="1874806871">
      <w:bodyDiv w:val="1"/>
      <w:marLeft w:val="0"/>
      <w:marRight w:val="0"/>
      <w:marTop w:val="0"/>
      <w:marBottom w:val="0"/>
      <w:divBdr>
        <w:top w:val="none" w:sz="0" w:space="0" w:color="auto"/>
        <w:left w:val="none" w:sz="0" w:space="0" w:color="auto"/>
        <w:bottom w:val="none" w:sz="0" w:space="0" w:color="auto"/>
        <w:right w:val="none" w:sz="0" w:space="0" w:color="auto"/>
      </w:divBdr>
    </w:div>
    <w:div w:id="1963874834">
      <w:bodyDiv w:val="1"/>
      <w:marLeft w:val="0"/>
      <w:marRight w:val="0"/>
      <w:marTop w:val="0"/>
      <w:marBottom w:val="0"/>
      <w:divBdr>
        <w:top w:val="none" w:sz="0" w:space="0" w:color="auto"/>
        <w:left w:val="none" w:sz="0" w:space="0" w:color="auto"/>
        <w:bottom w:val="none" w:sz="0" w:space="0" w:color="auto"/>
        <w:right w:val="none" w:sz="0" w:space="0" w:color="auto"/>
      </w:divBdr>
    </w:div>
    <w:div w:id="2018726786">
      <w:bodyDiv w:val="1"/>
      <w:marLeft w:val="0"/>
      <w:marRight w:val="0"/>
      <w:marTop w:val="0"/>
      <w:marBottom w:val="0"/>
      <w:divBdr>
        <w:top w:val="none" w:sz="0" w:space="0" w:color="auto"/>
        <w:left w:val="none" w:sz="0" w:space="0" w:color="auto"/>
        <w:bottom w:val="none" w:sz="0" w:space="0" w:color="auto"/>
        <w:right w:val="none" w:sz="0" w:space="0" w:color="auto"/>
      </w:divBdr>
    </w:div>
    <w:div w:id="2120253234">
      <w:bodyDiv w:val="1"/>
      <w:marLeft w:val="0"/>
      <w:marRight w:val="0"/>
      <w:marTop w:val="0"/>
      <w:marBottom w:val="0"/>
      <w:divBdr>
        <w:top w:val="none" w:sz="0" w:space="0" w:color="auto"/>
        <w:left w:val="none" w:sz="0" w:space="0" w:color="auto"/>
        <w:bottom w:val="none" w:sz="0" w:space="0" w:color="auto"/>
        <w:right w:val="none" w:sz="0" w:space="0" w:color="auto"/>
      </w:divBdr>
    </w:div>
    <w:div w:id="21368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32</Pages>
  <Words>12233</Words>
  <Characters>69732</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Ibrahim</cp:lastModifiedBy>
  <cp:revision>260</cp:revision>
  <dcterms:created xsi:type="dcterms:W3CDTF">2020-11-25T18:25:00Z</dcterms:created>
  <dcterms:modified xsi:type="dcterms:W3CDTF">2020-11-30T12:28:00Z</dcterms:modified>
</cp:coreProperties>
</file>