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35342" w14:textId="7777777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5ED2252D" w14:textId="7777777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0E9C1665" w14:textId="7777777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364ED551" w14:textId="7777777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6B32849F" w14:textId="7777777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604748F5" w14:textId="7777777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49999207" w14:textId="7777777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15792A7F" w14:textId="7777777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513265F9" w14:textId="7777777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139F9B20" w14:textId="77777777" w:rsidR="00C36C0D" w:rsidRDefault="0027433B" w:rsidP="00C36C0D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  <w:r w:rsidRPr="00A20443">
        <w:rPr>
          <w:rFonts w:cstheme="minorHAnsi"/>
          <w:b/>
          <w:sz w:val="28"/>
          <w:szCs w:val="28"/>
        </w:rPr>
        <w:t>IZVJEŠTAJ O PRIMJENI INSTITUTA  DOZVOL</w:t>
      </w:r>
      <w:r w:rsidR="007B1D78" w:rsidRPr="00A20443">
        <w:rPr>
          <w:rFonts w:cstheme="minorHAnsi"/>
          <w:b/>
          <w:sz w:val="28"/>
          <w:szCs w:val="28"/>
        </w:rPr>
        <w:t>A</w:t>
      </w:r>
      <w:r w:rsidRPr="00A20443">
        <w:rPr>
          <w:rFonts w:cstheme="minorHAnsi"/>
          <w:b/>
          <w:sz w:val="28"/>
          <w:szCs w:val="28"/>
        </w:rPr>
        <w:t xml:space="preserve"> ZA ZAKLJUČENJE BRAKA DJETETU STARIJEM OD 16 GODINA</w:t>
      </w:r>
    </w:p>
    <w:p w14:paraId="7DDA42D9" w14:textId="62773E58" w:rsidR="000B2984" w:rsidRDefault="00BD275B" w:rsidP="00C36C0D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(</w:t>
      </w:r>
      <w:r w:rsidR="00C36C0D">
        <w:rPr>
          <w:rFonts w:cstheme="minorHAnsi"/>
          <w:b/>
          <w:sz w:val="28"/>
          <w:szCs w:val="28"/>
        </w:rPr>
        <w:t>01.01.2020-31.12.2024.)</w:t>
      </w:r>
    </w:p>
    <w:p w14:paraId="6C7EB8AC" w14:textId="547F9B04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3E6ABE19" w14:textId="200B902A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76A64EE1" w14:textId="652D13B5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0D59FE45" w14:textId="507C45AD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4A89E8EB" w14:textId="27B96EDE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0FDEF8EB" w14:textId="780000AC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3326B441" w14:textId="6EDDFF7F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559F9BD4" w14:textId="6729F50C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4FAAAFD1" w14:textId="6227B253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27F10C58" w14:textId="65735EEA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160D13C6" w14:textId="0EBC417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67281DFD" w14:textId="09134FC0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44E72E40" w14:textId="73E61B3F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5DB04376" w14:textId="4E18DE35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2B117704" w14:textId="580F8D2C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67A7BE14" w14:textId="2933F11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48B4C171" w14:textId="596DEDD5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6949DFCA" w14:textId="521B394D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79720E8B" w14:textId="27A4E6F4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7C3CED3D" w14:textId="48662BC1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12A968DA" w14:textId="08282F97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08B676C5" w14:textId="5AF71EE9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5569A516" w14:textId="50EF3208" w:rsidR="000B2984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6066A30E" w14:textId="5C8A3AEF" w:rsidR="000B2984" w:rsidRDefault="000B2984" w:rsidP="0000338A">
      <w:pPr>
        <w:spacing w:after="0"/>
        <w:ind w:right="-188"/>
        <w:rPr>
          <w:rFonts w:cstheme="minorHAnsi"/>
          <w:b/>
          <w:sz w:val="28"/>
          <w:szCs w:val="28"/>
        </w:rPr>
      </w:pPr>
    </w:p>
    <w:p w14:paraId="3E03BD6A" w14:textId="77777777" w:rsidR="000B2984" w:rsidRPr="00A20443" w:rsidRDefault="000B2984" w:rsidP="00A10794">
      <w:pPr>
        <w:spacing w:after="0"/>
        <w:ind w:left="-426" w:right="-188"/>
        <w:jc w:val="center"/>
        <w:rPr>
          <w:rFonts w:cstheme="minorHAnsi"/>
          <w:b/>
          <w:sz w:val="28"/>
          <w:szCs w:val="28"/>
        </w:rPr>
      </w:pPr>
    </w:p>
    <w:p w14:paraId="35FECB05" w14:textId="77777777" w:rsidR="00AD5A08" w:rsidRDefault="00AD5A08" w:rsidP="00A10794">
      <w:pPr>
        <w:ind w:right="-188"/>
        <w:rPr>
          <w:rFonts w:cstheme="minorHAnsi"/>
          <w:b/>
        </w:rPr>
      </w:pPr>
    </w:p>
    <w:p w14:paraId="425E5862" w14:textId="5E87F00A" w:rsidR="0027433B" w:rsidRPr="00C32B6C" w:rsidRDefault="00AD5A08" w:rsidP="00A20443">
      <w:pPr>
        <w:pStyle w:val="ListParagraph"/>
        <w:numPr>
          <w:ilvl w:val="0"/>
          <w:numId w:val="15"/>
        </w:numPr>
        <w:ind w:right="-188"/>
        <w:jc w:val="center"/>
        <w:rPr>
          <w:b/>
          <w:sz w:val="24"/>
          <w:szCs w:val="24"/>
        </w:rPr>
      </w:pPr>
      <w:r w:rsidRPr="00C32B6C">
        <w:rPr>
          <w:b/>
          <w:sz w:val="24"/>
          <w:szCs w:val="24"/>
        </w:rPr>
        <w:lastRenderedPageBreak/>
        <w:t>UVOD</w:t>
      </w:r>
    </w:p>
    <w:p w14:paraId="27B3CECE" w14:textId="3F092E5A" w:rsidR="007A72A8" w:rsidRPr="007A72A8" w:rsidRDefault="007A72A8" w:rsidP="00A10794">
      <w:pPr>
        <w:spacing w:before="100" w:beforeAutospacing="1" w:after="100" w:afterAutospacing="1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  <w:r w:rsidRPr="007A72A8">
        <w:rPr>
          <w:rFonts w:eastAsia="Times New Roman" w:cstheme="minorHAnsi"/>
          <w:sz w:val="24"/>
          <w:szCs w:val="24"/>
          <w:lang w:val="en-US"/>
        </w:rPr>
        <w:t>Ministarstvo pravde Crne Gore, u okviru svojih nadležnosti kao organ državne uprave, ostvaruje ulogu u oblasti zaštite prava djeteta prvenstveno kroz normativno uređenje i primjenu propisa kojima se uređuju porodični odnosi, krivično-pravna zaštita i postupanje prema maloljetnicima u krivičnom postupku. U tom smislu, osnov normativnog djelovanja čine Porodični zakon, Krivični zakonik i Zakon o postupanju prema maloljetnicima u krivičnom postupku, koji zajedno uspostavljaju pravni okvir za sveobuhvatnu zaštitu prava i interesa djeteta.</w:t>
      </w:r>
    </w:p>
    <w:p w14:paraId="38117294" w14:textId="20F2468A" w:rsidR="007A72A8" w:rsidRPr="007A72A8" w:rsidRDefault="007A72A8" w:rsidP="00A10794">
      <w:pPr>
        <w:spacing w:before="100" w:beforeAutospacing="1" w:after="100" w:afterAutospacing="1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  <w:r w:rsidRPr="007A72A8">
        <w:rPr>
          <w:rFonts w:eastAsia="Times New Roman" w:cstheme="minorHAnsi"/>
          <w:sz w:val="24"/>
          <w:szCs w:val="24"/>
          <w:lang w:val="en-US"/>
        </w:rPr>
        <w:t>Porodični zakon sadrži načelne i materijalnopravne odredbe kojima se afirmiše obaveza države da poštuje, štiti i unapređuje prava djeteta, kao i da preduzima odgovarajuće mjere radi njegove zaštite od zanemarivanja, zlostavljanja, eksploatacije i diskriminacije. Zakonom je je naglašena obaveza međusobne saradnje nadležnih organa, ustanova, javnih službi i pojedinaca u ostvarivanju, unapređivanju i zaštiti prava djeteta. Kao temeljni princip, u svim aktivnostima koje se neposredno ili posredno odnose na dijete, utvrđen je princip najboljeg interesa djeteta, koji predstavlja osnovni kriterijum za odlučivanje i postupanje nadležnih organa.</w:t>
      </w:r>
    </w:p>
    <w:p w14:paraId="1CE12EB6" w14:textId="77777777" w:rsidR="007A72A8" w:rsidRPr="007A72A8" w:rsidRDefault="007A72A8" w:rsidP="00A10794">
      <w:pPr>
        <w:spacing w:before="100" w:beforeAutospacing="1" w:after="100" w:afterAutospacing="1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  <w:r w:rsidRPr="007A72A8">
        <w:rPr>
          <w:rFonts w:eastAsia="Times New Roman" w:cstheme="minorHAnsi"/>
          <w:sz w:val="24"/>
          <w:szCs w:val="24"/>
          <w:lang w:val="en-US"/>
        </w:rPr>
        <w:t>Brak predstavlja pravnu i društvenu instituciju od izuzetnog značaja, čije zaključenje i trajanje proizvode značajne pravne i društvene posljedice po život pojedinca i širu društvenu zajednicu. U skladu sa tim, punoljetstvo se u pravnom sistemu Crne Gore postavlja kao osnovni uslov za zaključenje braka, polazeći od pretpostavke da lice koje je navršilo 18 godina posjeduje neophodan stepen psihičke, emocionalne i socijalne zrelosti za preuzimanje prava i obaveza koje proizlaze iz bračne zajednice.</w:t>
      </w:r>
    </w:p>
    <w:p w14:paraId="05C9B0F2" w14:textId="307F46DA" w:rsidR="007A72A8" w:rsidRPr="007A72A8" w:rsidRDefault="007A72A8" w:rsidP="00A10794">
      <w:pPr>
        <w:spacing w:before="100" w:beforeAutospacing="1" w:after="100" w:afterAutospacing="1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  <w:r w:rsidRPr="007A72A8">
        <w:rPr>
          <w:rFonts w:eastAsia="Times New Roman" w:cstheme="minorHAnsi"/>
          <w:sz w:val="24"/>
          <w:szCs w:val="24"/>
          <w:lang w:val="en-US"/>
        </w:rPr>
        <w:t>Istovremeno, važeći propis predviđa izuzet</w:t>
      </w:r>
      <w:r w:rsidR="00F17091">
        <w:rPr>
          <w:rFonts w:eastAsia="Times New Roman" w:cstheme="minorHAnsi"/>
          <w:sz w:val="24"/>
          <w:szCs w:val="24"/>
          <w:lang w:val="en-US"/>
        </w:rPr>
        <w:t>ak</w:t>
      </w:r>
      <w:r w:rsidRPr="007A72A8">
        <w:rPr>
          <w:rFonts w:eastAsia="Times New Roman" w:cstheme="minorHAnsi"/>
          <w:sz w:val="24"/>
          <w:szCs w:val="24"/>
          <w:lang w:val="en-US"/>
        </w:rPr>
        <w:t xml:space="preserve"> od ovog opšteg pravila, uzimajući u obzir specifične životne okolnosti pojedinaca. </w:t>
      </w:r>
      <w:r w:rsidR="00F17091">
        <w:rPr>
          <w:rFonts w:eastAsia="Times New Roman" w:cstheme="minorHAnsi"/>
          <w:sz w:val="24"/>
          <w:szCs w:val="24"/>
          <w:lang w:val="en-US"/>
        </w:rPr>
        <w:t>Tu se prije svega misli na</w:t>
      </w:r>
      <w:r w:rsidRPr="007A72A8">
        <w:rPr>
          <w:rFonts w:eastAsia="Times New Roman" w:cstheme="minorHAnsi"/>
          <w:sz w:val="24"/>
          <w:szCs w:val="24"/>
          <w:lang w:val="en-US"/>
        </w:rPr>
        <w:t xml:space="preserve"> institut dozvole za zaključenje braka djetetu starijem od 16 godina, koji predstavlja izuzetak restriktivne prirode i primjenjuje se isključivo u zakonom propisanim i pažljivo razmatranim slučajevima. Svrha ovog instituta je omogućavanje fleksibilnosti pravnog sistema, uz istovremeno obezbjeđivanje zaštite najboljeg interesa djeteta.</w:t>
      </w:r>
    </w:p>
    <w:p w14:paraId="1A9262DF" w14:textId="77777777" w:rsidR="009E09F6" w:rsidRDefault="00F17091" w:rsidP="00A10794">
      <w:pPr>
        <w:spacing w:before="100" w:beforeAutospacing="1" w:after="100" w:afterAutospacing="1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 xml:space="preserve">Predmetni </w:t>
      </w:r>
      <w:r w:rsidR="007A72A8" w:rsidRPr="007A72A8">
        <w:rPr>
          <w:rFonts w:eastAsia="Times New Roman" w:cstheme="minorHAnsi"/>
          <w:sz w:val="24"/>
          <w:szCs w:val="24"/>
          <w:lang w:val="en-US"/>
        </w:rPr>
        <w:t xml:space="preserve">Izvještaj </w:t>
      </w:r>
      <w:r>
        <w:rPr>
          <w:rFonts w:eastAsia="Times New Roman" w:cstheme="minorHAnsi"/>
          <w:sz w:val="24"/>
          <w:szCs w:val="24"/>
          <w:lang w:val="en-US"/>
        </w:rPr>
        <w:t xml:space="preserve">o primjeni instituta </w:t>
      </w:r>
      <w:r>
        <w:rPr>
          <w:rFonts w:eastAsia="Times New Roman" w:cstheme="minorHAnsi"/>
          <w:sz w:val="24"/>
          <w:szCs w:val="24"/>
        </w:rPr>
        <w:t>dozvola za zaključenje braka djetetu starijem od 16 godina j</w:t>
      </w:r>
      <w:r w:rsidR="007A72A8" w:rsidRPr="007A72A8">
        <w:rPr>
          <w:rFonts w:eastAsia="Times New Roman" w:cstheme="minorHAnsi"/>
          <w:sz w:val="24"/>
          <w:szCs w:val="24"/>
          <w:lang w:val="en-US"/>
        </w:rPr>
        <w:t>e usmjeren na sagledavanje pravnog okvira koji uređuje institut dozvole za zaključenje braka djetetu starijem od 16 godina, sa posebnim osvrtom na zakonske uslove, nadležnost organa i postupak odlučivanja. Posebna pažnja posvećena je podacima dobijenim od Vrhovnog suda Crne Gore o postupanju osnovnih sudova u ovim predmetima, koji omogućavaju uvid u praksu primjene ovog instituta, ujednačenost sudskog postupanja i stepen dosljednosti u primjeni principa najboljeg interesa djeteta.</w:t>
      </w:r>
      <w:r w:rsidR="009E09F6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14:paraId="5159A2C8" w14:textId="6D0ED657" w:rsidR="003E4F21" w:rsidRDefault="007A72A8" w:rsidP="00A10794">
      <w:pPr>
        <w:spacing w:before="100" w:beforeAutospacing="1" w:after="100" w:afterAutospacing="1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  <w:r w:rsidRPr="007A72A8">
        <w:rPr>
          <w:rFonts w:eastAsia="Times New Roman" w:cstheme="minorHAnsi"/>
          <w:sz w:val="24"/>
          <w:szCs w:val="24"/>
          <w:lang w:val="en-US"/>
        </w:rPr>
        <w:t>Pored navedenog, analiza se zasniva i na podacima prikupljenim od jedinica lokalne samouprave (opština)</w:t>
      </w:r>
      <w:r w:rsidR="00F17091">
        <w:rPr>
          <w:rFonts w:eastAsia="Times New Roman" w:cstheme="minorHAnsi"/>
          <w:sz w:val="24"/>
          <w:szCs w:val="24"/>
          <w:lang w:val="en-US"/>
        </w:rPr>
        <w:t xml:space="preserve"> o broju zaključenih brakova</w:t>
      </w:r>
      <w:r w:rsidRPr="007A72A8">
        <w:rPr>
          <w:rFonts w:eastAsia="Times New Roman" w:cstheme="minorHAnsi"/>
          <w:sz w:val="24"/>
          <w:szCs w:val="24"/>
          <w:lang w:val="en-US"/>
        </w:rPr>
        <w:t xml:space="preserve"> i centara za socijalni rad, koji u okviru svojih zakonskih nadležnosti imaju ključnu ulogu u identifikaciji i zaštiti djece u riziku. Korišćenjem podataka više institucija obezbijeđen je sveobuhvatan i multidisciplinarni pristup sagledavanju ove problematike, sa ciljem da se utvrde izazovi u praksi i identifikuju mogućnosti za unapređenje normativnog i institucionalnog okvira zaštite prava djeteta.</w:t>
      </w:r>
    </w:p>
    <w:p w14:paraId="6D41BEE4" w14:textId="77777777" w:rsidR="00C36C0D" w:rsidRPr="00DC3FE8" w:rsidRDefault="00C36C0D" w:rsidP="00A10794">
      <w:pPr>
        <w:spacing w:before="100" w:beforeAutospacing="1" w:after="100" w:afterAutospacing="1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4097A181" w14:textId="414E52C2" w:rsidR="003E4F21" w:rsidRPr="00C32B6C" w:rsidRDefault="003E4F21" w:rsidP="00F17091">
      <w:pPr>
        <w:pStyle w:val="ListParagraph"/>
        <w:numPr>
          <w:ilvl w:val="0"/>
          <w:numId w:val="11"/>
        </w:numPr>
        <w:ind w:right="-188"/>
        <w:jc w:val="center"/>
        <w:rPr>
          <w:b/>
          <w:sz w:val="24"/>
          <w:szCs w:val="24"/>
        </w:rPr>
      </w:pPr>
      <w:r w:rsidRPr="00C32B6C">
        <w:rPr>
          <w:b/>
          <w:sz w:val="24"/>
          <w:szCs w:val="24"/>
        </w:rPr>
        <w:lastRenderedPageBreak/>
        <w:t>NORMATIVNI OKVIR</w:t>
      </w:r>
    </w:p>
    <w:p w14:paraId="196869F4" w14:textId="28D92C05" w:rsidR="00DC3FE8" w:rsidRPr="006D4E87" w:rsidRDefault="00DC3FE8" w:rsidP="00A10794">
      <w:pPr>
        <w:pStyle w:val="NormalWeb"/>
        <w:ind w:right="-188"/>
        <w:jc w:val="both"/>
        <w:rPr>
          <w:rFonts w:asciiTheme="minorHAnsi" w:hAnsiTheme="minorHAnsi" w:cstheme="minorHAnsi"/>
        </w:rPr>
      </w:pPr>
      <w:r w:rsidRPr="006D4E87">
        <w:rPr>
          <w:rFonts w:asciiTheme="minorHAnsi" w:hAnsiTheme="minorHAnsi" w:cstheme="minorHAnsi"/>
        </w:rPr>
        <w:t xml:space="preserve">Normativni okvir </w:t>
      </w:r>
      <w:r w:rsidR="009E09F6">
        <w:rPr>
          <w:rFonts w:asciiTheme="minorHAnsi" w:hAnsiTheme="minorHAnsi" w:cstheme="minorHAnsi"/>
        </w:rPr>
        <w:t>predmetne materije</w:t>
      </w:r>
      <w:r w:rsidRPr="006D4E87">
        <w:rPr>
          <w:rFonts w:asciiTheme="minorHAnsi" w:hAnsiTheme="minorHAnsi" w:cstheme="minorHAnsi"/>
        </w:rPr>
        <w:t xml:space="preserve"> uređen je prvenstveno Porodičnim zakonom i Zakonom o vanparničnom postupku, koji zajedno obezbjeđuju materijalnopravne i procesne garancije za zaštitu porodice i prava djeteta. Ovim propisima uspostavljen je sistem koji se zasniva na načelima ravnopravnosti, zaštite ljudskog dostojanstva i najboljeg interesa djeteta</w:t>
      </w:r>
      <w:r w:rsidR="009E09F6">
        <w:rPr>
          <w:rFonts w:asciiTheme="minorHAnsi" w:hAnsiTheme="minorHAnsi" w:cstheme="minorHAnsi"/>
        </w:rPr>
        <w:t>.</w:t>
      </w:r>
    </w:p>
    <w:p w14:paraId="55B56AC4" w14:textId="7AF656D5" w:rsidR="00DC3FE8" w:rsidRPr="006D4E87" w:rsidRDefault="00DC3FE8" w:rsidP="00A10794">
      <w:pPr>
        <w:pStyle w:val="NormalWeb"/>
        <w:ind w:right="-188"/>
        <w:jc w:val="both"/>
        <w:rPr>
          <w:rFonts w:asciiTheme="minorHAnsi" w:hAnsiTheme="minorHAnsi" w:cstheme="minorHAnsi"/>
        </w:rPr>
      </w:pPr>
      <w:r w:rsidRPr="006D4E87">
        <w:rPr>
          <w:rFonts w:asciiTheme="minorHAnsi" w:hAnsiTheme="minorHAnsi" w:cstheme="minorHAnsi"/>
        </w:rPr>
        <w:t xml:space="preserve">Normativna rješenja u nacionalnom zakonodavstvu usklađena su sa međunarodnim standardima u oblasti prava djeteta, </w:t>
      </w:r>
      <w:r w:rsidR="005D231A">
        <w:rPr>
          <w:rFonts w:asciiTheme="minorHAnsi" w:hAnsiTheme="minorHAnsi" w:cstheme="minorHAnsi"/>
        </w:rPr>
        <w:t>dok p</w:t>
      </w:r>
      <w:r w:rsidRPr="006D4E87">
        <w:rPr>
          <w:rFonts w:asciiTheme="minorHAnsi" w:hAnsiTheme="minorHAnsi" w:cstheme="minorHAnsi"/>
        </w:rPr>
        <w:t xml:space="preserve">rincip najboljeg interesa djeteta, utvrđen </w:t>
      </w:r>
      <w:r w:rsidR="005D231A" w:rsidRPr="009E09F6">
        <w:rPr>
          <w:rStyle w:val="Strong"/>
          <w:rFonts w:asciiTheme="minorHAnsi" w:hAnsiTheme="minorHAnsi" w:cstheme="minorHAnsi"/>
          <w:b w:val="0"/>
        </w:rPr>
        <w:t>Konvencijom Ujedinjenih nacija o pravima djeteta</w:t>
      </w:r>
      <w:r w:rsidRPr="006D4E87">
        <w:rPr>
          <w:rFonts w:asciiTheme="minorHAnsi" w:hAnsiTheme="minorHAnsi" w:cstheme="minorHAnsi"/>
        </w:rPr>
        <w:t>, predstavlja osnovno mjerilo za tumačenje i primjenu domaćih propisa u oblasti porodičnih odnosa.</w:t>
      </w:r>
    </w:p>
    <w:p w14:paraId="2BCDB2BA" w14:textId="77777777" w:rsidR="00DC3FE8" w:rsidRPr="006D4E87" w:rsidRDefault="00DC3FE8" w:rsidP="00F17091">
      <w:pPr>
        <w:pStyle w:val="Heading3"/>
        <w:numPr>
          <w:ilvl w:val="0"/>
          <w:numId w:val="10"/>
        </w:numPr>
        <w:ind w:right="-188"/>
        <w:jc w:val="both"/>
        <w:rPr>
          <w:rFonts w:asciiTheme="minorHAnsi" w:hAnsiTheme="minorHAnsi" w:cstheme="minorHAnsi"/>
        </w:rPr>
      </w:pPr>
      <w:r w:rsidRPr="006D4E87">
        <w:rPr>
          <w:rFonts w:asciiTheme="minorHAnsi" w:hAnsiTheme="minorHAnsi" w:cstheme="minorHAnsi"/>
        </w:rPr>
        <w:t>Porodični zakon</w:t>
      </w:r>
    </w:p>
    <w:p w14:paraId="0D4E5507" w14:textId="77777777" w:rsidR="00DC3FE8" w:rsidRPr="006D4E87" w:rsidRDefault="00DC3FE8" w:rsidP="00A10794">
      <w:pPr>
        <w:pStyle w:val="NormalWeb"/>
        <w:ind w:right="-188"/>
        <w:jc w:val="both"/>
        <w:rPr>
          <w:rFonts w:asciiTheme="minorHAnsi" w:hAnsiTheme="minorHAnsi" w:cstheme="minorHAnsi"/>
        </w:rPr>
      </w:pPr>
      <w:r w:rsidRPr="006D4E87">
        <w:rPr>
          <w:rFonts w:asciiTheme="minorHAnsi" w:hAnsiTheme="minorHAnsi" w:cstheme="minorHAnsi"/>
        </w:rPr>
        <w:t>Porodični zakon predstavlja osnovni sistemski propis kojim se uređuju brak i porodični odnosi, prava i dužnosti roditelja i djece, kao i posebni oblici zaštite djece i porodice. Zakonom se propisuje obaveza države da poštuje, štiti i unapređuje prava djeteta, kao i da preduzima odgovarajuće mjere radi njegove zaštite od zanemarivanja, zlostavljanja, eksploatacije i diskriminacije, u skladu sa obavezama koje proizlaze iz Konvencije o pravima djeteta.</w:t>
      </w:r>
    </w:p>
    <w:p w14:paraId="11209DA6" w14:textId="77777777" w:rsidR="00DC3FE8" w:rsidRPr="006D4E87" w:rsidRDefault="00DC3FE8" w:rsidP="00A10794">
      <w:pPr>
        <w:pStyle w:val="NormalWeb"/>
        <w:ind w:right="-188"/>
        <w:jc w:val="both"/>
        <w:rPr>
          <w:rFonts w:asciiTheme="minorHAnsi" w:hAnsiTheme="minorHAnsi" w:cstheme="minorHAnsi"/>
        </w:rPr>
      </w:pPr>
      <w:r w:rsidRPr="006D4E87">
        <w:rPr>
          <w:rFonts w:asciiTheme="minorHAnsi" w:hAnsiTheme="minorHAnsi" w:cstheme="minorHAnsi"/>
        </w:rPr>
        <w:t>Posebno je naglašena obaveza međuinstitucionalne saradnje, pri čemu su nadležni organi, ustanove, javne službe i pojedinci dužni da, u okviru svojih ovlašćenja, zajednički djeluju radi ostvarivanja, unapređivanja i zaštite prava djeteta. Porodični zakon propisuje i dužnost svakog lica da bez odlaganja obavijesti nadležni centar za socijalni rad o povredi prava djeteta za koju sazna, čime se jača preventivni i zaštitni karakter sistema.</w:t>
      </w:r>
    </w:p>
    <w:p w14:paraId="7D852DB0" w14:textId="1D3AD54C" w:rsidR="00B51895" w:rsidRPr="006D4E87" w:rsidRDefault="00DC3FE8" w:rsidP="00A10794">
      <w:pPr>
        <w:pStyle w:val="NormalWeb"/>
        <w:ind w:right="-188"/>
        <w:jc w:val="both"/>
        <w:rPr>
          <w:rFonts w:asciiTheme="minorHAnsi" w:hAnsiTheme="minorHAnsi" w:cstheme="minorHAnsi"/>
        </w:rPr>
      </w:pPr>
      <w:r w:rsidRPr="006D4E87">
        <w:rPr>
          <w:rFonts w:asciiTheme="minorHAnsi" w:hAnsiTheme="minorHAnsi" w:cstheme="minorHAnsi"/>
        </w:rPr>
        <w:t>U oblasti zaključenja braka, Porodični zakon utvrđuje punoljetstvo kao opšti uslov, polazeći od pretpostavke zrelosti potrebne za preuzimanje prava i obaveza koje proizlaze iz bračne zajednice. Izuzetno, zakon predviđa mogućnost da sud dozvoli zaključenje braka licu koje je navršilo 16 godina, ukoliko su za to ispunjeni zakonom propisani uslovi i ako je takva odluka u najboljem interesu djeteta. Ova zakonska rješenja tumače se i primjenjuju u skladu sa međunarodnim standardima koji se odnose na zaštitu djece od štetnih praksi</w:t>
      </w:r>
      <w:r w:rsidR="00163846">
        <w:rPr>
          <w:rFonts w:asciiTheme="minorHAnsi" w:hAnsiTheme="minorHAnsi" w:cstheme="minorHAnsi"/>
        </w:rPr>
        <w:t>.</w:t>
      </w:r>
    </w:p>
    <w:p w14:paraId="38AE0DB8" w14:textId="77777777" w:rsidR="00DC3FE8" w:rsidRPr="006D4E87" w:rsidRDefault="00DC3FE8" w:rsidP="00F17091">
      <w:pPr>
        <w:pStyle w:val="Heading3"/>
        <w:numPr>
          <w:ilvl w:val="0"/>
          <w:numId w:val="10"/>
        </w:numPr>
        <w:ind w:right="-188"/>
        <w:jc w:val="both"/>
        <w:rPr>
          <w:rFonts w:asciiTheme="minorHAnsi" w:hAnsiTheme="minorHAnsi" w:cstheme="minorHAnsi"/>
        </w:rPr>
      </w:pPr>
      <w:r w:rsidRPr="006D4E87">
        <w:rPr>
          <w:rFonts w:asciiTheme="minorHAnsi" w:hAnsiTheme="minorHAnsi" w:cstheme="minorHAnsi"/>
        </w:rPr>
        <w:t>Zakon o vanparničnom postupku</w:t>
      </w:r>
    </w:p>
    <w:p w14:paraId="08512F94" w14:textId="77777777" w:rsidR="00DC3FE8" w:rsidRPr="006D4E87" w:rsidRDefault="00DC3FE8" w:rsidP="00A10794">
      <w:pPr>
        <w:pStyle w:val="NormalWeb"/>
        <w:ind w:right="-188"/>
        <w:jc w:val="both"/>
        <w:rPr>
          <w:rFonts w:asciiTheme="minorHAnsi" w:hAnsiTheme="minorHAnsi" w:cstheme="minorHAnsi"/>
        </w:rPr>
      </w:pPr>
      <w:r w:rsidRPr="006D4E87">
        <w:rPr>
          <w:rFonts w:asciiTheme="minorHAnsi" w:hAnsiTheme="minorHAnsi" w:cstheme="minorHAnsi"/>
        </w:rPr>
        <w:t>Zakon o vanparničnom postupku obezbjeđuje procesni okvir za odlučivanje u porodičnopravnim stvarima u kojima je neophodna pojačana zaštita ličnih i porodičnih prava, naročito kada su u pitanju djeca. Ovim zakonom propisano je da sud u porodičnim stvarima ima aktivnu ulogu u utvrđivanju činjenica i pribavljanju dokaza, te da može postupati i po službenoj dužnosti kada je to potrebno radi zaštite javnog interesa ili prava lica koja uživaju posebnu zaštitu.</w:t>
      </w:r>
    </w:p>
    <w:p w14:paraId="42155289" w14:textId="57A1E99F" w:rsidR="00163846" w:rsidRPr="00163846" w:rsidRDefault="00B51895" w:rsidP="00163846">
      <w:pPr>
        <w:spacing w:before="100" w:beforeAutospacing="1" w:after="100" w:afterAutospacing="1" w:line="240" w:lineRule="auto"/>
        <w:ind w:right="-188"/>
        <w:jc w:val="both"/>
        <w:rPr>
          <w:rStyle w:val="Strong"/>
          <w:rFonts w:eastAsia="Times New Roman" w:cstheme="minorHAnsi"/>
          <w:b w:val="0"/>
          <w:bCs w:val="0"/>
          <w:sz w:val="24"/>
          <w:szCs w:val="24"/>
          <w:lang w:val="en-US"/>
        </w:rPr>
      </w:pPr>
      <w:r w:rsidRPr="007A72A8">
        <w:rPr>
          <w:rFonts w:eastAsia="Times New Roman" w:cstheme="minorHAnsi"/>
          <w:sz w:val="24"/>
          <w:szCs w:val="24"/>
          <w:lang w:val="en-US"/>
        </w:rPr>
        <w:t xml:space="preserve">Odluka o davanju dozvole za zaključenje braka donosi se u sudskom postupku, nakon sveobuhvatne procjene relevantnih okolnosti konkretnog slučaja, uključujući stepen zrelosti djeteta, njegove porodične, socijalne i životne prilike, kao i potencijalne posljedice zaključenja braka po njegov dalji razvoj i ostvarivanje prava. U postupku odlučivanja </w:t>
      </w:r>
      <w:r>
        <w:rPr>
          <w:rFonts w:eastAsia="Times New Roman" w:cstheme="minorHAnsi"/>
          <w:sz w:val="24"/>
          <w:szCs w:val="24"/>
          <w:lang w:val="en-US"/>
        </w:rPr>
        <w:t xml:space="preserve">sud će po potrebi pribaviti mišljnje zdravstvene ustanove, ostvariti saradnju sa organom starateljstva, saslušati </w:t>
      </w:r>
      <w:r>
        <w:rPr>
          <w:rFonts w:eastAsia="Times New Roman" w:cstheme="minorHAnsi"/>
          <w:sz w:val="24"/>
          <w:szCs w:val="24"/>
          <w:lang w:val="en-US"/>
        </w:rPr>
        <w:lastRenderedPageBreak/>
        <w:t>podnosioca predloga, njegove roditelje ili staraoce, zatim lice sa kojim maloljetnik namjerava da zaključi brak, a po potrebi će pribaviti i izvesti I druge dokaze i podatke.</w:t>
      </w:r>
      <w:r w:rsidRPr="005E6B85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163846">
        <w:rPr>
          <w:rFonts w:eastAsia="Times New Roman" w:cstheme="minorHAnsi"/>
          <w:sz w:val="24"/>
          <w:szCs w:val="24"/>
          <w:lang w:val="en-US"/>
        </w:rPr>
        <w:t xml:space="preserve">Posebno uređen vanparnični sudski postupak obezbjeđuje </w:t>
      </w:r>
      <w:r w:rsidR="00DC3FE8" w:rsidRPr="00163846">
        <w:rPr>
          <w:rFonts w:cstheme="minorHAnsi"/>
          <w:sz w:val="24"/>
          <w:szCs w:val="24"/>
        </w:rPr>
        <w:t>da se odluke u ovim predmetima donose na osnovu cjelovito utvrđenog činjeničnog stanja, uz pribavljanje mišljenja nadležnog centra za socijalni rad i drugih relevantnih stručnih nalaza</w:t>
      </w:r>
      <w:r w:rsidR="00163846">
        <w:rPr>
          <w:rFonts w:cstheme="minorHAnsi"/>
          <w:sz w:val="24"/>
          <w:szCs w:val="24"/>
        </w:rPr>
        <w:t>.</w:t>
      </w:r>
    </w:p>
    <w:p w14:paraId="252CAE44" w14:textId="49E0E47D" w:rsidR="000D5B09" w:rsidRPr="00F17091" w:rsidRDefault="00F17091" w:rsidP="00942BCD">
      <w:pPr>
        <w:pStyle w:val="NormalWeb"/>
        <w:numPr>
          <w:ilvl w:val="0"/>
          <w:numId w:val="11"/>
        </w:numPr>
        <w:ind w:right="-18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PREGLED PODATAKA SUDOVA, CENTARA ZA SOCIJALNI RAD I JEDINICA LOKALNIH SAMOUPRAVA</w:t>
      </w:r>
    </w:p>
    <w:p w14:paraId="70AE2814" w14:textId="7615268C" w:rsidR="000D5B09" w:rsidRDefault="000D5B09" w:rsidP="00A10794">
      <w:pPr>
        <w:spacing w:line="240" w:lineRule="auto"/>
        <w:ind w:right="-188"/>
        <w:jc w:val="both"/>
        <w:rPr>
          <w:sz w:val="24"/>
          <w:szCs w:val="24"/>
        </w:rPr>
      </w:pPr>
      <w:r w:rsidRPr="000D5B09">
        <w:rPr>
          <w:sz w:val="24"/>
          <w:szCs w:val="24"/>
        </w:rPr>
        <w:t xml:space="preserve">U ovom poglavlju prikazani su podaci </w:t>
      </w:r>
      <w:r w:rsidR="00E05F42">
        <w:rPr>
          <w:sz w:val="24"/>
          <w:szCs w:val="24"/>
        </w:rPr>
        <w:t xml:space="preserve">u vezi sa </w:t>
      </w:r>
      <w:r w:rsidRPr="000D5B09">
        <w:rPr>
          <w:sz w:val="24"/>
          <w:szCs w:val="24"/>
        </w:rPr>
        <w:t>zaključivanj</w:t>
      </w:r>
      <w:r w:rsidR="00E05F42">
        <w:rPr>
          <w:sz w:val="24"/>
          <w:szCs w:val="24"/>
        </w:rPr>
        <w:t>em</w:t>
      </w:r>
      <w:r w:rsidRPr="000D5B09">
        <w:rPr>
          <w:sz w:val="24"/>
          <w:szCs w:val="24"/>
        </w:rPr>
        <w:t xml:space="preserve"> brakova </w:t>
      </w:r>
      <w:r w:rsidR="00E05F42">
        <w:rPr>
          <w:sz w:val="24"/>
          <w:szCs w:val="24"/>
        </w:rPr>
        <w:t>djece starije od 16 godina</w:t>
      </w:r>
      <w:r w:rsidRPr="000D5B09">
        <w:rPr>
          <w:sz w:val="24"/>
          <w:szCs w:val="24"/>
        </w:rPr>
        <w:t xml:space="preserve"> u Crnoj Gori u periodu od 01.01.2020. do 31.12.2024. godine, objedinjeni prema različitim izvorima – sudovima, centrima za socijalni rad i </w:t>
      </w:r>
      <w:r w:rsidR="00F17091">
        <w:rPr>
          <w:sz w:val="24"/>
          <w:szCs w:val="24"/>
        </w:rPr>
        <w:t>jedinicama lokalnih samouprava</w:t>
      </w:r>
      <w:r w:rsidRPr="000D5B09">
        <w:rPr>
          <w:sz w:val="24"/>
          <w:szCs w:val="24"/>
        </w:rPr>
        <w:t xml:space="preserve">. Cilj ovog prikaza je da omogući sagledavanje učestalosti i raspodjele </w:t>
      </w:r>
      <w:r w:rsidR="0010084A">
        <w:rPr>
          <w:sz w:val="24"/>
          <w:szCs w:val="24"/>
        </w:rPr>
        <w:t>ovih slučajeva</w:t>
      </w:r>
      <w:r w:rsidRPr="000D5B09">
        <w:rPr>
          <w:sz w:val="24"/>
          <w:szCs w:val="24"/>
        </w:rPr>
        <w:t xml:space="preserve">, identifikaciju trendova i pružanje temelja za analizu primjene instituta davanja dozvole za </w:t>
      </w:r>
      <w:r w:rsidR="00E05F42">
        <w:rPr>
          <w:sz w:val="24"/>
          <w:szCs w:val="24"/>
        </w:rPr>
        <w:t xml:space="preserve">zaključenje </w:t>
      </w:r>
      <w:r w:rsidRPr="000D5B09">
        <w:rPr>
          <w:sz w:val="24"/>
          <w:szCs w:val="24"/>
        </w:rPr>
        <w:t>brak</w:t>
      </w:r>
      <w:r w:rsidR="00E05F42">
        <w:rPr>
          <w:sz w:val="24"/>
          <w:szCs w:val="24"/>
        </w:rPr>
        <w:t>a</w:t>
      </w:r>
      <w:r w:rsidRPr="000D5B09">
        <w:rPr>
          <w:sz w:val="24"/>
          <w:szCs w:val="24"/>
        </w:rPr>
        <w:t>.</w:t>
      </w:r>
    </w:p>
    <w:p w14:paraId="291ABA7F" w14:textId="2C7B8C20" w:rsidR="003B13E3" w:rsidRPr="00D120F5" w:rsidRDefault="003B13E3" w:rsidP="00D120F5">
      <w:pPr>
        <w:pStyle w:val="ListParagraph"/>
        <w:numPr>
          <w:ilvl w:val="0"/>
          <w:numId w:val="12"/>
        </w:numPr>
        <w:spacing w:line="240" w:lineRule="auto"/>
        <w:ind w:right="-18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Postupanje osnovnih sudova po podnijetim predlozima za davanje dozvole za zaključenje braka djetetu starijem od 16 godina</w:t>
      </w:r>
    </w:p>
    <w:p w14:paraId="73CAD454" w14:textId="6FEC407F" w:rsidR="003B13E3" w:rsidRDefault="003B13E3" w:rsidP="0098258B">
      <w:pPr>
        <w:spacing w:before="100" w:beforeAutospacing="1" w:after="0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  <w:r w:rsidRPr="0024164E">
        <w:rPr>
          <w:rFonts w:eastAsia="Times New Roman" w:cstheme="minorHAnsi"/>
          <w:sz w:val="24"/>
          <w:szCs w:val="24"/>
          <w:lang w:val="en-US"/>
        </w:rPr>
        <w:t xml:space="preserve">U periodu </w:t>
      </w:r>
      <w:r w:rsidRPr="003B13E3">
        <w:rPr>
          <w:rFonts w:eastAsia="Times New Roman" w:cstheme="minorHAnsi"/>
          <w:bCs/>
          <w:sz w:val="24"/>
          <w:szCs w:val="24"/>
          <w:lang w:val="en-US"/>
        </w:rPr>
        <w:t>2020–2024. godine</w:t>
      </w:r>
      <w:r w:rsidRPr="0024164E">
        <w:rPr>
          <w:rFonts w:eastAsia="Times New Roman" w:cstheme="minorHAnsi"/>
          <w:sz w:val="24"/>
          <w:szCs w:val="24"/>
          <w:lang w:val="en-US"/>
        </w:rPr>
        <w:t xml:space="preserve"> osnovni sudovi u Crnoj Gori postupali su u </w:t>
      </w:r>
      <w:r w:rsidRPr="003B13E3">
        <w:rPr>
          <w:rFonts w:eastAsia="Times New Roman" w:cstheme="minorHAnsi"/>
          <w:bCs/>
          <w:sz w:val="24"/>
          <w:szCs w:val="24"/>
          <w:lang w:val="en-US"/>
        </w:rPr>
        <w:t>prosjeku</w:t>
      </w:r>
      <w:r w:rsidR="00D76E4F">
        <w:rPr>
          <w:rFonts w:eastAsia="Times New Roman" w:cstheme="minorHAnsi"/>
          <w:bCs/>
          <w:sz w:val="24"/>
          <w:szCs w:val="24"/>
          <w:lang w:val="en-US"/>
        </w:rPr>
        <w:t>, ukupno</w:t>
      </w:r>
      <w:r w:rsidRPr="003B13E3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r w:rsidR="00D76E4F">
        <w:rPr>
          <w:rFonts w:eastAsia="Times New Roman" w:cstheme="minorHAnsi"/>
          <w:bCs/>
          <w:sz w:val="24"/>
          <w:szCs w:val="24"/>
          <w:lang w:val="en-US"/>
        </w:rPr>
        <w:t xml:space="preserve">posmatrano, </w:t>
      </w:r>
      <w:r w:rsidRPr="003B13E3">
        <w:rPr>
          <w:rFonts w:eastAsia="Times New Roman" w:cstheme="minorHAnsi"/>
          <w:bCs/>
          <w:sz w:val="24"/>
          <w:szCs w:val="24"/>
          <w:lang w:val="en-US"/>
        </w:rPr>
        <w:t>između pet i devet predmeta</w:t>
      </w:r>
      <w:r w:rsidRPr="003B13E3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24164E">
        <w:rPr>
          <w:rFonts w:eastAsia="Times New Roman" w:cstheme="minorHAnsi"/>
          <w:sz w:val="24"/>
          <w:szCs w:val="24"/>
          <w:lang w:val="en-US"/>
        </w:rPr>
        <w:t xml:space="preserve">koji se odnose na odobravanje zaključenja braka, </w:t>
      </w:r>
      <w:r>
        <w:rPr>
          <w:rFonts w:eastAsia="Times New Roman" w:cstheme="minorHAnsi"/>
          <w:sz w:val="24"/>
          <w:szCs w:val="24"/>
          <w:lang w:val="en-US"/>
        </w:rPr>
        <w:t xml:space="preserve">koje postupanje je </w:t>
      </w:r>
      <w:r w:rsidRPr="0024164E">
        <w:rPr>
          <w:rFonts w:eastAsia="Times New Roman" w:cstheme="minorHAnsi"/>
          <w:sz w:val="24"/>
          <w:szCs w:val="24"/>
          <w:lang w:val="en-US"/>
        </w:rPr>
        <w:t>bez</w:t>
      </w:r>
      <w:r>
        <w:rPr>
          <w:rFonts w:eastAsia="Times New Roman" w:cstheme="minorHAnsi"/>
          <w:sz w:val="24"/>
          <w:szCs w:val="24"/>
          <w:lang w:val="en-US"/>
        </w:rPr>
        <w:t xml:space="preserve"> uočenih</w:t>
      </w:r>
      <w:r w:rsidRPr="0024164E">
        <w:rPr>
          <w:rFonts w:eastAsia="Times New Roman" w:cstheme="minorHAnsi"/>
          <w:sz w:val="24"/>
          <w:szCs w:val="24"/>
          <w:lang w:val="en-US"/>
        </w:rPr>
        <w:t xml:space="preserve"> značajnih oscilacija</w:t>
      </w:r>
      <w:r>
        <w:rPr>
          <w:rFonts w:eastAsia="Times New Roman" w:cstheme="minorHAnsi"/>
          <w:sz w:val="24"/>
          <w:szCs w:val="24"/>
          <w:lang w:val="en-US"/>
        </w:rPr>
        <w:t>.</w:t>
      </w:r>
      <w:r w:rsidR="00E05F42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24164E">
        <w:rPr>
          <w:rFonts w:eastAsia="Times New Roman" w:cstheme="minorHAnsi"/>
          <w:sz w:val="24"/>
          <w:szCs w:val="24"/>
          <w:lang w:val="en-US"/>
        </w:rPr>
        <w:t xml:space="preserve">U najvećem broju slučajeva sudovi su </w:t>
      </w:r>
      <w:r w:rsidRPr="003B13E3">
        <w:rPr>
          <w:rFonts w:eastAsia="Times New Roman" w:cstheme="minorHAnsi"/>
          <w:bCs/>
          <w:sz w:val="24"/>
          <w:szCs w:val="24"/>
          <w:lang w:val="en-US"/>
        </w:rPr>
        <w:t>usvajali podnijete predloge</w:t>
      </w:r>
      <w:r w:rsidRPr="0024164E">
        <w:rPr>
          <w:rFonts w:eastAsia="Times New Roman" w:cstheme="minorHAnsi"/>
          <w:sz w:val="24"/>
          <w:szCs w:val="24"/>
          <w:lang w:val="en-US"/>
        </w:rPr>
        <w:t xml:space="preserve">, </w:t>
      </w:r>
      <w:r>
        <w:rPr>
          <w:rFonts w:eastAsia="Times New Roman" w:cstheme="minorHAnsi"/>
          <w:sz w:val="24"/>
          <w:szCs w:val="24"/>
          <w:lang w:val="en-US"/>
        </w:rPr>
        <w:t>dok je prenošenje</w:t>
      </w:r>
      <w:r w:rsidRPr="0024164E">
        <w:rPr>
          <w:rFonts w:eastAsia="Times New Roman" w:cstheme="minorHAnsi"/>
          <w:sz w:val="24"/>
          <w:szCs w:val="24"/>
          <w:lang w:val="en-US"/>
        </w:rPr>
        <w:t xml:space="preserve"> neriješenih predmeta iz jedne u drugu godinu bilo izuzetno rijetko, što ukazuje na efikasno postupanje sudova.</w:t>
      </w:r>
    </w:p>
    <w:p w14:paraId="39B7BCD0" w14:textId="77777777" w:rsidR="003B13E3" w:rsidRDefault="003B13E3" w:rsidP="0098258B">
      <w:pPr>
        <w:spacing w:after="0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137C3ACC" w14:textId="02EC339D" w:rsidR="003B13E3" w:rsidRPr="0024164E" w:rsidRDefault="00A4706D" w:rsidP="0098258B">
      <w:pPr>
        <w:spacing w:after="0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  <w:r w:rsidRPr="00A4706D">
        <w:rPr>
          <w:sz w:val="24"/>
          <w:szCs w:val="24"/>
        </w:rPr>
        <w:t xml:space="preserve">Prema raspoloživim podacima, predloge su gotovo u potpunosti podnosila lica ženskog pola uzrasta 16 i 17 godina. Osobe sa kojima su namjeravale da stupe u brak u većini slučajeva bili su punoljetni muškarci, najčešće starosti između 19 i 28 godina. U tri slučaja </w:t>
      </w:r>
      <w:r>
        <w:rPr>
          <w:sz w:val="24"/>
          <w:szCs w:val="24"/>
        </w:rPr>
        <w:t xml:space="preserve">potencijalni </w:t>
      </w:r>
      <w:r w:rsidRPr="00A4706D">
        <w:rPr>
          <w:sz w:val="24"/>
          <w:szCs w:val="24"/>
        </w:rPr>
        <w:t>bračni partneri bili su maloljetnici, dok je u jednom slučaju riječ bil</w:t>
      </w:r>
      <w:r>
        <w:rPr>
          <w:sz w:val="24"/>
          <w:szCs w:val="24"/>
        </w:rPr>
        <w:t>o</w:t>
      </w:r>
      <w:r w:rsidRPr="00A4706D">
        <w:rPr>
          <w:sz w:val="24"/>
          <w:szCs w:val="24"/>
        </w:rPr>
        <w:t xml:space="preserve"> o osobi staroj 41 godinu.</w:t>
      </w:r>
      <w:r>
        <w:rPr>
          <w:sz w:val="24"/>
          <w:szCs w:val="24"/>
        </w:rPr>
        <w:t xml:space="preserve"> </w:t>
      </w:r>
    </w:p>
    <w:p w14:paraId="1FE86958" w14:textId="392F6339" w:rsidR="003B13E3" w:rsidRPr="00447DA3" w:rsidRDefault="003B13E3" w:rsidP="0098258B">
      <w:pPr>
        <w:spacing w:before="100" w:beforeAutospacing="1" w:after="0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  <w:r w:rsidRPr="0024164E">
        <w:rPr>
          <w:rFonts w:eastAsia="Times New Roman" w:cstheme="minorHAnsi"/>
          <w:sz w:val="24"/>
          <w:szCs w:val="24"/>
          <w:lang w:val="en-US"/>
        </w:rPr>
        <w:t xml:space="preserve">Predmeti nijesu bili ravnomjerno raspoređeni po teritoriji, već su se najčešće pojavljivali pred osnovnim sudovima u </w:t>
      </w:r>
      <w:r w:rsidRPr="00447DA3">
        <w:rPr>
          <w:rFonts w:eastAsia="Times New Roman" w:cstheme="minorHAnsi"/>
          <w:bCs/>
          <w:sz w:val="24"/>
          <w:szCs w:val="24"/>
          <w:lang w:val="en-US"/>
        </w:rPr>
        <w:t>Podgorici, Bijelom Polju i Nikšiću</w:t>
      </w:r>
      <w:r w:rsidRPr="0024164E">
        <w:rPr>
          <w:rFonts w:eastAsia="Times New Roman" w:cstheme="minorHAnsi"/>
          <w:sz w:val="24"/>
          <w:szCs w:val="24"/>
          <w:lang w:val="en-US"/>
        </w:rPr>
        <w:t xml:space="preserve">, dok u više sudova u pojedinim godinama nije bilo nijednog predmeta ove vrste. Predmeti u kojima su podnosioci pripadnici romske ili egipćanske populacije bili su </w:t>
      </w:r>
      <w:r w:rsidRPr="00447DA3">
        <w:rPr>
          <w:rFonts w:eastAsia="Times New Roman" w:cstheme="minorHAnsi"/>
          <w:bCs/>
          <w:sz w:val="24"/>
          <w:szCs w:val="24"/>
          <w:lang w:val="en-US"/>
        </w:rPr>
        <w:t>u manjem broju u odnosu na preostale podnesene predloge</w:t>
      </w:r>
      <w:r w:rsidRPr="00447DA3">
        <w:rPr>
          <w:rFonts w:eastAsia="Times New Roman" w:cstheme="minorHAnsi"/>
          <w:sz w:val="24"/>
          <w:szCs w:val="24"/>
          <w:lang w:val="en-US"/>
        </w:rPr>
        <w:t>.</w:t>
      </w:r>
    </w:p>
    <w:p w14:paraId="321E2884" w14:textId="77777777" w:rsidR="003B13E3" w:rsidRDefault="003B13E3" w:rsidP="0098258B">
      <w:pPr>
        <w:spacing w:before="100" w:beforeAutospacing="1" w:after="0" w:line="240" w:lineRule="auto"/>
        <w:ind w:right="-188"/>
        <w:jc w:val="both"/>
        <w:rPr>
          <w:rFonts w:eastAsia="Times New Roman" w:cstheme="minorHAnsi"/>
          <w:sz w:val="24"/>
          <w:szCs w:val="24"/>
          <w:lang w:val="en-US"/>
        </w:rPr>
      </w:pPr>
      <w:r w:rsidRPr="0024164E">
        <w:rPr>
          <w:rFonts w:eastAsia="Times New Roman" w:cstheme="minorHAnsi"/>
          <w:sz w:val="24"/>
          <w:szCs w:val="24"/>
          <w:lang w:val="en-US"/>
        </w:rPr>
        <w:t xml:space="preserve">Ukupno posmatrano, sudska praksa u navedenom periodu pokazuje </w:t>
      </w:r>
      <w:r w:rsidRPr="00447DA3">
        <w:rPr>
          <w:rFonts w:eastAsia="Times New Roman" w:cstheme="minorHAnsi"/>
          <w:bCs/>
          <w:sz w:val="24"/>
          <w:szCs w:val="24"/>
          <w:lang w:val="en-US"/>
        </w:rPr>
        <w:t>ujednačen i restriktivan pristup</w:t>
      </w:r>
      <w:r w:rsidRPr="0024164E">
        <w:rPr>
          <w:rFonts w:eastAsia="Times New Roman" w:cstheme="minorHAnsi"/>
          <w:sz w:val="24"/>
          <w:szCs w:val="24"/>
          <w:lang w:val="en-US"/>
        </w:rPr>
        <w:t>, uz dosljednu primjenu zakonskih kriterijuma i odlučivanje u skladu sa okolnostima svakog pojedinačnog slučaja.</w:t>
      </w:r>
    </w:p>
    <w:p w14:paraId="0B69761A" w14:textId="77777777" w:rsidR="003B13E3" w:rsidRDefault="003B13E3" w:rsidP="0098258B">
      <w:pPr>
        <w:spacing w:after="0" w:line="254" w:lineRule="auto"/>
        <w:ind w:right="-188"/>
        <w:jc w:val="both"/>
      </w:pPr>
    </w:p>
    <w:p w14:paraId="4A1747C1" w14:textId="286F09DC" w:rsidR="00D92B51" w:rsidRDefault="00A10794" w:rsidP="0098258B">
      <w:pPr>
        <w:spacing w:after="0" w:line="254" w:lineRule="auto"/>
        <w:ind w:right="-188"/>
        <w:jc w:val="both"/>
        <w:rPr>
          <w:i/>
        </w:rPr>
      </w:pPr>
      <w:r w:rsidRPr="003B13E3">
        <w:rPr>
          <w:i/>
        </w:rPr>
        <w:t>Tabel</w:t>
      </w:r>
      <w:r w:rsidR="00632FD3">
        <w:rPr>
          <w:i/>
        </w:rPr>
        <w:t>e</w:t>
      </w:r>
      <w:r w:rsidRPr="003B13E3">
        <w:rPr>
          <w:i/>
        </w:rPr>
        <w:t xml:space="preserve"> u nastavku prikazuj</w:t>
      </w:r>
      <w:r w:rsidR="00632FD3">
        <w:rPr>
          <w:i/>
        </w:rPr>
        <w:t>u</w:t>
      </w:r>
      <w:r w:rsidRPr="003B13E3">
        <w:rPr>
          <w:i/>
        </w:rPr>
        <w:t xml:space="preserve"> postupanje sudova po podnijetim predlozima za davanje dozvole za brak lica mlađih od 18 godina (01.01.2020–31.12.2024.), uključujući broj predmeta u radu i primljenih predmeta, odluke o usvajanju ili odbijanju predloga, razloge odbijanja, starosnu dob i pol podnosilaca, starosnu dob lica sa kojim dijete namjerava da zaključi brak, te predmete podnijete od strane pripadnika romske ili egipćanske populacije. Ovaj pregled omogućava uvid u učestalost i praksu primjene instituta davanja dozvole za brak maloljetnih lica.</w:t>
      </w:r>
    </w:p>
    <w:p w14:paraId="1E46E2AB" w14:textId="20728859" w:rsidR="007628BF" w:rsidRDefault="007628BF" w:rsidP="0098258B">
      <w:pPr>
        <w:spacing w:after="0" w:line="254" w:lineRule="auto"/>
        <w:ind w:right="-188"/>
        <w:jc w:val="both"/>
        <w:rPr>
          <w:i/>
        </w:rPr>
      </w:pPr>
    </w:p>
    <w:p w14:paraId="64E58A15" w14:textId="77777777" w:rsidR="007628BF" w:rsidRPr="00D120F5" w:rsidRDefault="007628BF" w:rsidP="003B13E3">
      <w:pPr>
        <w:spacing w:after="0" w:line="254" w:lineRule="auto"/>
        <w:ind w:right="-188"/>
        <w:jc w:val="both"/>
        <w:rPr>
          <w:i/>
        </w:rPr>
      </w:pPr>
    </w:p>
    <w:p w14:paraId="58EA466A" w14:textId="0923E656" w:rsidR="00815805" w:rsidRDefault="00815805" w:rsidP="00A10794">
      <w:pPr>
        <w:spacing w:after="0" w:line="254" w:lineRule="auto"/>
        <w:ind w:right="-188"/>
        <w:rPr>
          <w:rFonts w:ascii="Arial" w:hAnsi="Arial" w:cs="Arial"/>
        </w:rPr>
      </w:pPr>
    </w:p>
    <w:p w14:paraId="41481B5A" w14:textId="0DF748C7" w:rsidR="006A2AC2" w:rsidRPr="00447DA3" w:rsidRDefault="00632FD3" w:rsidP="00447DA3">
      <w:pPr>
        <w:pStyle w:val="ListParagraph"/>
        <w:numPr>
          <w:ilvl w:val="0"/>
          <w:numId w:val="13"/>
        </w:numPr>
        <w:spacing w:after="0" w:line="254" w:lineRule="auto"/>
        <w:ind w:right="-188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lastRenderedPageBreak/>
        <w:t>P</w:t>
      </w:r>
      <w:r w:rsidR="006354F5" w:rsidRPr="00447DA3">
        <w:rPr>
          <w:rFonts w:cstheme="minorHAnsi"/>
          <w:b/>
          <w:i/>
          <w:sz w:val="20"/>
          <w:szCs w:val="20"/>
        </w:rPr>
        <w:t>rikaz</w:t>
      </w:r>
      <w:r w:rsidR="006A2AC2" w:rsidRPr="00447DA3">
        <w:rPr>
          <w:rFonts w:cstheme="minorHAnsi"/>
          <w:b/>
          <w:i/>
          <w:sz w:val="20"/>
          <w:szCs w:val="20"/>
        </w:rPr>
        <w:t xml:space="preserve"> postupanja sudova u 2020. godini. </w:t>
      </w:r>
    </w:p>
    <w:p w14:paraId="7F7B8502" w14:textId="77777777" w:rsidR="006A2AC2" w:rsidRPr="006A2AC2" w:rsidRDefault="006A2AC2" w:rsidP="00A10794">
      <w:pPr>
        <w:spacing w:after="0" w:line="254" w:lineRule="auto"/>
        <w:ind w:right="-188"/>
        <w:rPr>
          <w:rFonts w:cstheme="minorHAnsi"/>
          <w:b/>
          <w:i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56"/>
        <w:tblW w:w="11477" w:type="dxa"/>
        <w:tblLayout w:type="fixed"/>
        <w:tblLook w:val="04A0" w:firstRow="1" w:lastRow="0" w:firstColumn="1" w:lastColumn="0" w:noHBand="0" w:noVBand="1"/>
      </w:tblPr>
      <w:tblGrid>
        <w:gridCol w:w="1114"/>
        <w:gridCol w:w="1175"/>
        <w:gridCol w:w="1228"/>
        <w:gridCol w:w="1091"/>
        <w:gridCol w:w="1108"/>
        <w:gridCol w:w="1108"/>
        <w:gridCol w:w="1053"/>
        <w:gridCol w:w="1471"/>
        <w:gridCol w:w="1086"/>
        <w:gridCol w:w="1043"/>
      </w:tblGrid>
      <w:tr w:rsidR="00632FD3" w:rsidRPr="00BF3066" w14:paraId="17E7B23E" w14:textId="77777777" w:rsidTr="00AF68B8">
        <w:trPr>
          <w:trHeight w:val="581"/>
        </w:trPr>
        <w:tc>
          <w:tcPr>
            <w:tcW w:w="1114" w:type="dxa"/>
          </w:tcPr>
          <w:p w14:paraId="2E9C2913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37E08C34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3C6F799D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 xml:space="preserve">OSNOVNI </w:t>
            </w:r>
          </w:p>
          <w:p w14:paraId="1B9943E5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SUD</w:t>
            </w:r>
          </w:p>
        </w:tc>
        <w:tc>
          <w:tcPr>
            <w:tcW w:w="1175" w:type="dxa"/>
          </w:tcPr>
          <w:p w14:paraId="61CE6315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radu na dan 01.01.2020. godine</w:t>
            </w:r>
          </w:p>
        </w:tc>
        <w:tc>
          <w:tcPr>
            <w:tcW w:w="1228" w:type="dxa"/>
          </w:tcPr>
          <w:p w14:paraId="48BA9A0F" w14:textId="77777777" w:rsidR="00632FD3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 xml:space="preserve">Ukupan broj predmeta primljenih u periodu 01.01.2020. </w:t>
            </w:r>
          </w:p>
          <w:p w14:paraId="45BC13FD" w14:textId="2EE600D4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do 31.12.2020.</w:t>
            </w:r>
          </w:p>
        </w:tc>
        <w:tc>
          <w:tcPr>
            <w:tcW w:w="1091" w:type="dxa"/>
          </w:tcPr>
          <w:p w14:paraId="5B57B84F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radu u periodu 01.01.2020. do 31.12.2020.</w:t>
            </w:r>
          </w:p>
        </w:tc>
        <w:tc>
          <w:tcPr>
            <w:tcW w:w="1108" w:type="dxa"/>
          </w:tcPr>
          <w:p w14:paraId="4F46A203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odluka u kojima je predlog usvojen u periodu 01.01.2020. do 31.12.2020.</w:t>
            </w:r>
          </w:p>
        </w:tc>
        <w:tc>
          <w:tcPr>
            <w:tcW w:w="1108" w:type="dxa"/>
          </w:tcPr>
          <w:p w14:paraId="63C23BD5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</w:rPr>
            </w:pPr>
            <w:r w:rsidRPr="00BF3066">
              <w:rPr>
                <w:b/>
                <w:sz w:val="18"/>
                <w:szCs w:val="18"/>
              </w:rPr>
              <w:t>Ukupan broj odluka u kojima je predlog odbijen u periodu 01.01.2020. do 31.12.2020.</w:t>
            </w:r>
          </w:p>
        </w:tc>
        <w:tc>
          <w:tcPr>
            <w:tcW w:w="1053" w:type="dxa"/>
          </w:tcPr>
          <w:p w14:paraId="2D7E460D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Razlozi da donošenje odluke o odbijanju predloga</w:t>
            </w:r>
          </w:p>
        </w:tc>
        <w:tc>
          <w:tcPr>
            <w:tcW w:w="1471" w:type="dxa"/>
          </w:tcPr>
          <w:p w14:paraId="60523B3C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Starosna dob i pol podnosilaca predloga</w:t>
            </w:r>
          </w:p>
        </w:tc>
        <w:tc>
          <w:tcPr>
            <w:tcW w:w="1086" w:type="dxa"/>
          </w:tcPr>
          <w:p w14:paraId="4DB756D2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Starosna dob lica sa kojim dijete starije od 16 godina namjerava da zaključi brak</w:t>
            </w:r>
          </w:p>
        </w:tc>
        <w:tc>
          <w:tcPr>
            <w:tcW w:w="1043" w:type="dxa"/>
          </w:tcPr>
          <w:p w14:paraId="0D8A90F5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kojima je predlog podnijet od strane pripadnika romske ili egipćanske populacije</w:t>
            </w:r>
          </w:p>
        </w:tc>
      </w:tr>
      <w:tr w:rsidR="00632FD3" w:rsidRPr="00BF3066" w14:paraId="72EC3F86" w14:textId="77777777" w:rsidTr="00AF68B8">
        <w:trPr>
          <w:trHeight w:val="604"/>
        </w:trPr>
        <w:tc>
          <w:tcPr>
            <w:tcW w:w="1114" w:type="dxa"/>
          </w:tcPr>
          <w:p w14:paraId="2EADA095" w14:textId="77777777" w:rsidR="00815805" w:rsidRPr="00A11247" w:rsidRDefault="00815805" w:rsidP="00A10794">
            <w:pPr>
              <w:spacing w:line="254" w:lineRule="auto"/>
              <w:ind w:right="-188"/>
            </w:pPr>
            <w:r>
              <w:t>Podgorica</w:t>
            </w:r>
          </w:p>
        </w:tc>
        <w:tc>
          <w:tcPr>
            <w:tcW w:w="1175" w:type="dxa"/>
          </w:tcPr>
          <w:p w14:paraId="55F64679" w14:textId="77777777" w:rsidR="00815805" w:rsidRPr="00AD65F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28" w:type="dxa"/>
          </w:tcPr>
          <w:p w14:paraId="63FA81B2" w14:textId="77777777" w:rsidR="00815805" w:rsidRPr="00AD65F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91" w:type="dxa"/>
          </w:tcPr>
          <w:p w14:paraId="1C4E7F87" w14:textId="77777777" w:rsidR="00815805" w:rsidRPr="00AD65F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08" w:type="dxa"/>
          </w:tcPr>
          <w:p w14:paraId="0A7F2D2C" w14:textId="77777777" w:rsidR="00815805" w:rsidRPr="00AD65F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08" w:type="dxa"/>
          </w:tcPr>
          <w:p w14:paraId="4BF49D44" w14:textId="77777777" w:rsidR="00815805" w:rsidRPr="00AD65F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53" w:type="dxa"/>
          </w:tcPr>
          <w:p w14:paraId="024220F5" w14:textId="77777777" w:rsidR="00815805" w:rsidRPr="00EB411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471" w:type="dxa"/>
          </w:tcPr>
          <w:p w14:paraId="3DF71605" w14:textId="77777777" w:rsidR="00815805" w:rsidRPr="00EB411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86" w:type="dxa"/>
          </w:tcPr>
          <w:p w14:paraId="4B148E71" w14:textId="77777777" w:rsidR="00815805" w:rsidRPr="00EB411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43" w:type="dxa"/>
          </w:tcPr>
          <w:p w14:paraId="6EA9609C" w14:textId="77777777" w:rsidR="00815805" w:rsidRPr="00EB411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632FD3" w:rsidRPr="00BF3066" w14:paraId="1B6D1F98" w14:textId="77777777" w:rsidTr="00AF68B8">
        <w:trPr>
          <w:trHeight w:val="604"/>
        </w:trPr>
        <w:tc>
          <w:tcPr>
            <w:tcW w:w="1114" w:type="dxa"/>
          </w:tcPr>
          <w:p w14:paraId="6C4DE572" w14:textId="77777777" w:rsidR="00815805" w:rsidRDefault="00815805" w:rsidP="00A10794">
            <w:pPr>
              <w:spacing w:line="254" w:lineRule="auto"/>
              <w:ind w:right="-188"/>
            </w:pPr>
            <w:r>
              <w:t>Berane</w:t>
            </w:r>
          </w:p>
        </w:tc>
        <w:tc>
          <w:tcPr>
            <w:tcW w:w="1175" w:type="dxa"/>
          </w:tcPr>
          <w:p w14:paraId="03684AA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28" w:type="dxa"/>
          </w:tcPr>
          <w:p w14:paraId="5305262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91" w:type="dxa"/>
          </w:tcPr>
          <w:p w14:paraId="0795DAE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08" w:type="dxa"/>
          </w:tcPr>
          <w:p w14:paraId="1AFB618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08" w:type="dxa"/>
          </w:tcPr>
          <w:p w14:paraId="38D945D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53" w:type="dxa"/>
          </w:tcPr>
          <w:p w14:paraId="0258519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471" w:type="dxa"/>
          </w:tcPr>
          <w:p w14:paraId="113F18E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86" w:type="dxa"/>
          </w:tcPr>
          <w:p w14:paraId="3CABF45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43" w:type="dxa"/>
          </w:tcPr>
          <w:p w14:paraId="2BCABAC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632FD3" w:rsidRPr="00BF3066" w14:paraId="5E405149" w14:textId="77777777" w:rsidTr="00AF68B8">
        <w:trPr>
          <w:trHeight w:val="604"/>
        </w:trPr>
        <w:tc>
          <w:tcPr>
            <w:tcW w:w="1114" w:type="dxa"/>
          </w:tcPr>
          <w:p w14:paraId="4461CAE2" w14:textId="77777777" w:rsidR="00815805" w:rsidRDefault="00815805" w:rsidP="00A10794">
            <w:pPr>
              <w:spacing w:line="254" w:lineRule="auto"/>
              <w:ind w:right="-188"/>
            </w:pPr>
            <w:r>
              <w:t xml:space="preserve">Kolašin </w:t>
            </w:r>
          </w:p>
        </w:tc>
        <w:tc>
          <w:tcPr>
            <w:tcW w:w="1175" w:type="dxa"/>
          </w:tcPr>
          <w:p w14:paraId="76B1109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28" w:type="dxa"/>
          </w:tcPr>
          <w:p w14:paraId="01D5B46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091" w:type="dxa"/>
          </w:tcPr>
          <w:p w14:paraId="7E7623D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08" w:type="dxa"/>
          </w:tcPr>
          <w:p w14:paraId="1549BBD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08" w:type="dxa"/>
          </w:tcPr>
          <w:p w14:paraId="48B7CB4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53" w:type="dxa"/>
          </w:tcPr>
          <w:p w14:paraId="4DFEF22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471" w:type="dxa"/>
          </w:tcPr>
          <w:p w14:paraId="24427228" w14:textId="77777777" w:rsidR="00632FD3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 godina</w:t>
            </w:r>
          </w:p>
          <w:p w14:paraId="489DCB2B" w14:textId="208EE05F" w:rsidR="00815805" w:rsidRDefault="00632FD3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</w:t>
            </w:r>
            <w:r w:rsidR="00815805">
              <w:rPr>
                <w:lang w:val="sr-Latn-RS"/>
              </w:rPr>
              <w:t>(</w:t>
            </w:r>
            <w:r>
              <w:rPr>
                <w:lang w:val="sr-Latn-RS"/>
              </w:rPr>
              <w:t>pol-Ž</w:t>
            </w:r>
            <w:r w:rsidR="00815805">
              <w:rPr>
                <w:lang w:val="sr-Latn-RS"/>
              </w:rPr>
              <w:t>)</w:t>
            </w:r>
          </w:p>
        </w:tc>
        <w:tc>
          <w:tcPr>
            <w:tcW w:w="1086" w:type="dxa"/>
          </w:tcPr>
          <w:p w14:paraId="6887FF2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26 godina</w:t>
            </w:r>
          </w:p>
          <w:p w14:paraId="4454161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18 godina</w:t>
            </w:r>
          </w:p>
        </w:tc>
        <w:tc>
          <w:tcPr>
            <w:tcW w:w="1043" w:type="dxa"/>
          </w:tcPr>
          <w:p w14:paraId="68DF6C0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632FD3" w:rsidRPr="00BF3066" w14:paraId="5D9C785F" w14:textId="77777777" w:rsidTr="00AF68B8">
        <w:trPr>
          <w:trHeight w:val="604"/>
        </w:trPr>
        <w:tc>
          <w:tcPr>
            <w:tcW w:w="1114" w:type="dxa"/>
          </w:tcPr>
          <w:p w14:paraId="647B4A50" w14:textId="77777777" w:rsidR="00815805" w:rsidRDefault="00815805" w:rsidP="00A10794">
            <w:pPr>
              <w:spacing w:line="254" w:lineRule="auto"/>
              <w:ind w:right="-188"/>
            </w:pPr>
            <w:r>
              <w:t xml:space="preserve">Pljevlja </w:t>
            </w:r>
          </w:p>
        </w:tc>
        <w:tc>
          <w:tcPr>
            <w:tcW w:w="1175" w:type="dxa"/>
          </w:tcPr>
          <w:p w14:paraId="68DED55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28" w:type="dxa"/>
          </w:tcPr>
          <w:p w14:paraId="47AC967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91" w:type="dxa"/>
          </w:tcPr>
          <w:p w14:paraId="431473B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08" w:type="dxa"/>
          </w:tcPr>
          <w:p w14:paraId="02A75D2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08" w:type="dxa"/>
          </w:tcPr>
          <w:p w14:paraId="69ADE48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53" w:type="dxa"/>
          </w:tcPr>
          <w:p w14:paraId="4F24174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471" w:type="dxa"/>
          </w:tcPr>
          <w:p w14:paraId="369F188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86" w:type="dxa"/>
          </w:tcPr>
          <w:p w14:paraId="107BC86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43" w:type="dxa"/>
          </w:tcPr>
          <w:p w14:paraId="77C50D4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632FD3" w:rsidRPr="00BF3066" w14:paraId="34D87020" w14:textId="77777777" w:rsidTr="00AF68B8">
        <w:trPr>
          <w:trHeight w:val="604"/>
        </w:trPr>
        <w:tc>
          <w:tcPr>
            <w:tcW w:w="1114" w:type="dxa"/>
          </w:tcPr>
          <w:p w14:paraId="56C2CB46" w14:textId="77777777" w:rsidR="00815805" w:rsidRDefault="00815805" w:rsidP="00A10794">
            <w:pPr>
              <w:spacing w:line="254" w:lineRule="auto"/>
              <w:ind w:right="-188"/>
            </w:pPr>
            <w:r>
              <w:t>Bar</w:t>
            </w:r>
          </w:p>
        </w:tc>
        <w:tc>
          <w:tcPr>
            <w:tcW w:w="1175" w:type="dxa"/>
          </w:tcPr>
          <w:p w14:paraId="09FD127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28" w:type="dxa"/>
          </w:tcPr>
          <w:p w14:paraId="4CB98D5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091" w:type="dxa"/>
          </w:tcPr>
          <w:p w14:paraId="056FE1A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08" w:type="dxa"/>
          </w:tcPr>
          <w:p w14:paraId="302F989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08" w:type="dxa"/>
          </w:tcPr>
          <w:p w14:paraId="2CFE583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053" w:type="dxa"/>
          </w:tcPr>
          <w:p w14:paraId="348AEAA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471" w:type="dxa"/>
          </w:tcPr>
          <w:p w14:paraId="4F22C1A9" w14:textId="77777777" w:rsidR="00632FD3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</w:t>
            </w:r>
            <w:r w:rsidR="00632FD3">
              <w:rPr>
                <w:lang w:val="sr-Latn-RS"/>
              </w:rPr>
              <w:t xml:space="preserve"> godina </w:t>
            </w:r>
          </w:p>
          <w:p w14:paraId="5058FD1B" w14:textId="2422339D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(</w:t>
            </w:r>
            <w:r w:rsidR="00632FD3">
              <w:rPr>
                <w:lang w:val="sr-Latn-RS"/>
              </w:rPr>
              <w:t>pol-Ž</w:t>
            </w:r>
            <w:r>
              <w:rPr>
                <w:lang w:val="sr-Latn-RS"/>
              </w:rPr>
              <w:t>)</w:t>
            </w:r>
          </w:p>
        </w:tc>
        <w:tc>
          <w:tcPr>
            <w:tcW w:w="1086" w:type="dxa"/>
          </w:tcPr>
          <w:p w14:paraId="00F2D8F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26</w:t>
            </w:r>
          </w:p>
        </w:tc>
        <w:tc>
          <w:tcPr>
            <w:tcW w:w="1043" w:type="dxa"/>
          </w:tcPr>
          <w:p w14:paraId="7F7B362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632FD3" w:rsidRPr="00BF3066" w14:paraId="645BADE7" w14:textId="77777777" w:rsidTr="00AF68B8">
        <w:trPr>
          <w:trHeight w:val="604"/>
        </w:trPr>
        <w:tc>
          <w:tcPr>
            <w:tcW w:w="1114" w:type="dxa"/>
          </w:tcPr>
          <w:p w14:paraId="6E523C6F" w14:textId="77777777" w:rsidR="00815805" w:rsidRDefault="00815805" w:rsidP="00A10794">
            <w:pPr>
              <w:spacing w:line="254" w:lineRule="auto"/>
              <w:ind w:right="-188"/>
            </w:pPr>
            <w:r>
              <w:t>Bijelo Polje</w:t>
            </w:r>
          </w:p>
        </w:tc>
        <w:tc>
          <w:tcPr>
            <w:tcW w:w="1175" w:type="dxa"/>
          </w:tcPr>
          <w:p w14:paraId="63E5731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28" w:type="dxa"/>
          </w:tcPr>
          <w:p w14:paraId="747D5AD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091" w:type="dxa"/>
          </w:tcPr>
          <w:p w14:paraId="08123B34" w14:textId="3FEC7553" w:rsidR="00815805" w:rsidRDefault="006A2AC2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08" w:type="dxa"/>
          </w:tcPr>
          <w:p w14:paraId="3E75F8C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08" w:type="dxa"/>
          </w:tcPr>
          <w:p w14:paraId="4ED4ED2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53" w:type="dxa"/>
          </w:tcPr>
          <w:p w14:paraId="599B310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471" w:type="dxa"/>
          </w:tcPr>
          <w:p w14:paraId="31B5ED42" w14:textId="7F2098B2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16.5 </w:t>
            </w:r>
            <w:r w:rsidR="00632FD3">
              <w:rPr>
                <w:lang w:val="sr-Latn-RS"/>
              </w:rPr>
              <w:t>godina( pol-Ž )</w:t>
            </w:r>
          </w:p>
        </w:tc>
        <w:tc>
          <w:tcPr>
            <w:tcW w:w="1086" w:type="dxa"/>
          </w:tcPr>
          <w:p w14:paraId="2B5BCA8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043" w:type="dxa"/>
          </w:tcPr>
          <w:p w14:paraId="7B7576C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632FD3" w:rsidRPr="00BF3066" w14:paraId="68209124" w14:textId="77777777" w:rsidTr="00AF68B8">
        <w:trPr>
          <w:trHeight w:val="604"/>
        </w:trPr>
        <w:tc>
          <w:tcPr>
            <w:tcW w:w="1114" w:type="dxa"/>
          </w:tcPr>
          <w:p w14:paraId="2C2B5481" w14:textId="77777777" w:rsidR="00815805" w:rsidRDefault="00815805" w:rsidP="00A10794">
            <w:pPr>
              <w:spacing w:line="254" w:lineRule="auto"/>
              <w:ind w:right="-188"/>
            </w:pPr>
          </w:p>
          <w:p w14:paraId="1555ADAF" w14:textId="77777777" w:rsidR="00815805" w:rsidRDefault="00815805" w:rsidP="00A10794">
            <w:pPr>
              <w:spacing w:line="254" w:lineRule="auto"/>
              <w:ind w:right="-188"/>
            </w:pPr>
            <w:r>
              <w:t>Kotor</w:t>
            </w:r>
          </w:p>
        </w:tc>
        <w:tc>
          <w:tcPr>
            <w:tcW w:w="1175" w:type="dxa"/>
          </w:tcPr>
          <w:p w14:paraId="12F4DDB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28" w:type="dxa"/>
          </w:tcPr>
          <w:p w14:paraId="56EB098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091" w:type="dxa"/>
          </w:tcPr>
          <w:p w14:paraId="11D95B89" w14:textId="3F084910" w:rsidR="00815805" w:rsidRDefault="006A2AC2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08" w:type="dxa"/>
          </w:tcPr>
          <w:p w14:paraId="5A9941E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08" w:type="dxa"/>
          </w:tcPr>
          <w:p w14:paraId="448312E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53" w:type="dxa"/>
          </w:tcPr>
          <w:p w14:paraId="7379717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Povučen predlog</w:t>
            </w:r>
          </w:p>
        </w:tc>
        <w:tc>
          <w:tcPr>
            <w:tcW w:w="1471" w:type="dxa"/>
          </w:tcPr>
          <w:p w14:paraId="15032054" w14:textId="7DE2C15A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16</w:t>
            </w:r>
            <w:r w:rsidR="00632FD3">
              <w:rPr>
                <w:lang w:val="sr-Latn-RS"/>
              </w:rPr>
              <w:t xml:space="preserve"> godina           </w:t>
            </w:r>
            <w:r>
              <w:rPr>
                <w:lang w:val="sr-Latn-RS"/>
              </w:rPr>
              <w:t>(</w:t>
            </w:r>
            <w:r w:rsidR="00632FD3">
              <w:rPr>
                <w:lang w:val="sr-Latn-RS"/>
              </w:rPr>
              <w:t xml:space="preserve"> pol-Ž </w:t>
            </w:r>
            <w:r>
              <w:rPr>
                <w:lang w:val="sr-Latn-RS"/>
              </w:rPr>
              <w:t>)</w:t>
            </w:r>
          </w:p>
        </w:tc>
        <w:tc>
          <w:tcPr>
            <w:tcW w:w="1086" w:type="dxa"/>
          </w:tcPr>
          <w:p w14:paraId="33FBE34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21</w:t>
            </w:r>
          </w:p>
        </w:tc>
        <w:tc>
          <w:tcPr>
            <w:tcW w:w="1043" w:type="dxa"/>
          </w:tcPr>
          <w:p w14:paraId="6149D29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632FD3" w:rsidRPr="00BF3066" w14:paraId="0AD2CCCD" w14:textId="77777777" w:rsidTr="00AF68B8">
        <w:trPr>
          <w:trHeight w:val="604"/>
        </w:trPr>
        <w:tc>
          <w:tcPr>
            <w:tcW w:w="1114" w:type="dxa"/>
          </w:tcPr>
          <w:p w14:paraId="446D0B50" w14:textId="77777777" w:rsidR="00815805" w:rsidRDefault="00815805" w:rsidP="00A10794">
            <w:pPr>
              <w:spacing w:line="254" w:lineRule="auto"/>
              <w:ind w:right="-188"/>
            </w:pPr>
            <w:r>
              <w:t>Plav</w:t>
            </w:r>
          </w:p>
        </w:tc>
        <w:tc>
          <w:tcPr>
            <w:tcW w:w="1175" w:type="dxa"/>
          </w:tcPr>
          <w:p w14:paraId="2657D1D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28" w:type="dxa"/>
          </w:tcPr>
          <w:p w14:paraId="121A979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91" w:type="dxa"/>
          </w:tcPr>
          <w:p w14:paraId="2135B42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08" w:type="dxa"/>
          </w:tcPr>
          <w:p w14:paraId="244CF62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08" w:type="dxa"/>
          </w:tcPr>
          <w:p w14:paraId="378C735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53" w:type="dxa"/>
          </w:tcPr>
          <w:p w14:paraId="223282E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471" w:type="dxa"/>
          </w:tcPr>
          <w:p w14:paraId="06D51378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0</w:t>
            </w:r>
          </w:p>
        </w:tc>
        <w:tc>
          <w:tcPr>
            <w:tcW w:w="1086" w:type="dxa"/>
          </w:tcPr>
          <w:p w14:paraId="3758888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43" w:type="dxa"/>
          </w:tcPr>
          <w:p w14:paraId="5A79B99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632FD3" w:rsidRPr="00BF3066" w14:paraId="63D53248" w14:textId="77777777" w:rsidTr="00AF68B8">
        <w:trPr>
          <w:trHeight w:val="604"/>
        </w:trPr>
        <w:tc>
          <w:tcPr>
            <w:tcW w:w="1114" w:type="dxa"/>
          </w:tcPr>
          <w:p w14:paraId="54078540" w14:textId="77777777" w:rsidR="00815805" w:rsidRDefault="00815805" w:rsidP="00A10794">
            <w:pPr>
              <w:spacing w:line="254" w:lineRule="auto"/>
              <w:ind w:right="-188"/>
            </w:pPr>
            <w:r>
              <w:t>Nikšić</w:t>
            </w:r>
          </w:p>
        </w:tc>
        <w:tc>
          <w:tcPr>
            <w:tcW w:w="1175" w:type="dxa"/>
          </w:tcPr>
          <w:p w14:paraId="3F8FCB9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28" w:type="dxa"/>
          </w:tcPr>
          <w:p w14:paraId="0A82CD9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091" w:type="dxa"/>
          </w:tcPr>
          <w:p w14:paraId="5716740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08" w:type="dxa"/>
          </w:tcPr>
          <w:p w14:paraId="136EC7C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08" w:type="dxa"/>
          </w:tcPr>
          <w:p w14:paraId="1BF3DC5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53" w:type="dxa"/>
          </w:tcPr>
          <w:p w14:paraId="7558B96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471" w:type="dxa"/>
          </w:tcPr>
          <w:p w14:paraId="14432CE7" w14:textId="46D9FD5C" w:rsidR="00632FD3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17g</w:t>
            </w:r>
            <w:r w:rsidR="00632FD3">
              <w:rPr>
                <w:lang w:val="sr-Latn-RS"/>
              </w:rPr>
              <w:t>odina</w:t>
            </w:r>
            <w:r>
              <w:rPr>
                <w:lang w:val="sr-Latn-RS"/>
              </w:rPr>
              <w:t xml:space="preserve"> 5 mj.(</w:t>
            </w:r>
            <w:r w:rsidR="00632FD3">
              <w:rPr>
                <w:lang w:val="sr-Latn-RS"/>
              </w:rPr>
              <w:t xml:space="preserve">pol-Ž </w:t>
            </w:r>
            <w:r>
              <w:rPr>
                <w:lang w:val="sr-Latn-RS"/>
              </w:rPr>
              <w:t>)</w:t>
            </w:r>
            <w:r w:rsidR="00632FD3">
              <w:rPr>
                <w:lang w:val="sr-Latn-RS"/>
              </w:rPr>
              <w:t>;</w:t>
            </w:r>
          </w:p>
          <w:p w14:paraId="67CE001B" w14:textId="701E4599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16 godina i 7</w:t>
            </w:r>
            <w:r w:rsidR="00632FD3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mjeseci</w:t>
            </w:r>
          </w:p>
        </w:tc>
        <w:tc>
          <w:tcPr>
            <w:tcW w:w="1086" w:type="dxa"/>
          </w:tcPr>
          <w:p w14:paraId="64E6FB8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41 godina</w:t>
            </w:r>
          </w:p>
        </w:tc>
        <w:tc>
          <w:tcPr>
            <w:tcW w:w="1043" w:type="dxa"/>
          </w:tcPr>
          <w:p w14:paraId="0C4C3D3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632FD3" w:rsidRPr="00BF3066" w14:paraId="6D03D5F0" w14:textId="77777777" w:rsidTr="00AF68B8">
        <w:trPr>
          <w:trHeight w:val="604"/>
        </w:trPr>
        <w:tc>
          <w:tcPr>
            <w:tcW w:w="1114" w:type="dxa"/>
            <w:shd w:val="clear" w:color="auto" w:fill="8EAADB" w:themeFill="accent1" w:themeFillTint="99"/>
          </w:tcPr>
          <w:p w14:paraId="5A80EE31" w14:textId="09045B74" w:rsidR="006A2AC2" w:rsidRPr="006A2AC2" w:rsidRDefault="006A2AC2" w:rsidP="00A10794">
            <w:pPr>
              <w:spacing w:line="254" w:lineRule="auto"/>
              <w:ind w:right="-188"/>
              <w:rPr>
                <w:b/>
              </w:rPr>
            </w:pPr>
            <w:r w:rsidRPr="006A2AC2">
              <w:rPr>
                <w:b/>
              </w:rPr>
              <w:t>UKUPNO</w:t>
            </w:r>
          </w:p>
        </w:tc>
        <w:tc>
          <w:tcPr>
            <w:tcW w:w="1175" w:type="dxa"/>
            <w:shd w:val="clear" w:color="auto" w:fill="8EAADB" w:themeFill="accent1" w:themeFillTint="99"/>
          </w:tcPr>
          <w:p w14:paraId="1F3EAFE2" w14:textId="07352598" w:rsidR="006A2AC2" w:rsidRDefault="006A2AC2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228" w:type="dxa"/>
            <w:shd w:val="clear" w:color="auto" w:fill="8EAADB" w:themeFill="accent1" w:themeFillTint="99"/>
          </w:tcPr>
          <w:p w14:paraId="42EE4206" w14:textId="1CEFF164" w:rsidR="006A2AC2" w:rsidRDefault="006A2AC2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1091" w:type="dxa"/>
            <w:shd w:val="clear" w:color="auto" w:fill="8EAADB" w:themeFill="accent1" w:themeFillTint="99"/>
          </w:tcPr>
          <w:p w14:paraId="4967C09D" w14:textId="3BE7BDC2" w:rsidR="006A2AC2" w:rsidRDefault="006A2AC2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108" w:type="dxa"/>
            <w:shd w:val="clear" w:color="auto" w:fill="8EAADB" w:themeFill="accent1" w:themeFillTint="99"/>
          </w:tcPr>
          <w:p w14:paraId="2C55181C" w14:textId="4467983D" w:rsidR="006A2AC2" w:rsidRDefault="006A2AC2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108" w:type="dxa"/>
            <w:shd w:val="clear" w:color="auto" w:fill="8EAADB" w:themeFill="accent1" w:themeFillTint="99"/>
          </w:tcPr>
          <w:p w14:paraId="578AB22D" w14:textId="5548310E" w:rsidR="006A2AC2" w:rsidRDefault="006A2AC2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053" w:type="dxa"/>
            <w:shd w:val="clear" w:color="auto" w:fill="8EAADB" w:themeFill="accent1" w:themeFillTint="99"/>
          </w:tcPr>
          <w:p w14:paraId="7EE2578A" w14:textId="4D8EB835" w:rsidR="006A2AC2" w:rsidRDefault="006A2AC2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471" w:type="dxa"/>
            <w:shd w:val="clear" w:color="auto" w:fill="8EAADB" w:themeFill="accent1" w:themeFillTint="99"/>
          </w:tcPr>
          <w:p w14:paraId="4C453840" w14:textId="628672EB" w:rsidR="006A2AC2" w:rsidRDefault="006A2AC2" w:rsidP="006A2AC2">
            <w:pPr>
              <w:tabs>
                <w:tab w:val="center" w:pos="738"/>
                <w:tab w:val="right" w:pos="1477"/>
              </w:tabs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ab/>
              <w:t>/</w:t>
            </w:r>
            <w:r>
              <w:rPr>
                <w:lang w:val="sr-Latn-RS"/>
              </w:rPr>
              <w:tab/>
              <w:t>/</w:t>
            </w:r>
          </w:p>
        </w:tc>
        <w:tc>
          <w:tcPr>
            <w:tcW w:w="1086" w:type="dxa"/>
            <w:shd w:val="clear" w:color="auto" w:fill="8EAADB" w:themeFill="accent1" w:themeFillTint="99"/>
          </w:tcPr>
          <w:p w14:paraId="168BD77A" w14:textId="5AF397D5" w:rsidR="006A2AC2" w:rsidRDefault="006A2AC2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043" w:type="dxa"/>
            <w:shd w:val="clear" w:color="auto" w:fill="8EAADB" w:themeFill="accent1" w:themeFillTint="99"/>
          </w:tcPr>
          <w:p w14:paraId="0DD63033" w14:textId="5692811C" w:rsidR="006A2AC2" w:rsidRDefault="006A2AC2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</w:tr>
    </w:tbl>
    <w:p w14:paraId="048EB09A" w14:textId="77777777" w:rsidR="00C30A25" w:rsidRDefault="00C30A25" w:rsidP="00C30A25">
      <w:pPr>
        <w:spacing w:after="0" w:line="254" w:lineRule="auto"/>
        <w:ind w:right="-188"/>
        <w:rPr>
          <w:rFonts w:ascii="Arial" w:hAnsi="Arial" w:cs="Arial"/>
        </w:rPr>
      </w:pPr>
    </w:p>
    <w:p w14:paraId="19E471E2" w14:textId="77777777" w:rsidR="00D120F5" w:rsidRDefault="00D120F5" w:rsidP="00D120F5">
      <w:pPr>
        <w:pStyle w:val="ListParagraph"/>
        <w:spacing w:after="0" w:line="254" w:lineRule="auto"/>
        <w:ind w:right="-188"/>
        <w:rPr>
          <w:rFonts w:cstheme="minorHAnsi"/>
          <w:b/>
          <w:i/>
          <w:sz w:val="20"/>
          <w:szCs w:val="20"/>
        </w:rPr>
      </w:pPr>
    </w:p>
    <w:p w14:paraId="63F6ABA6" w14:textId="0B7EC8A7" w:rsidR="006A2AC2" w:rsidRDefault="00632FD3" w:rsidP="00A10794">
      <w:pPr>
        <w:pStyle w:val="ListParagraph"/>
        <w:numPr>
          <w:ilvl w:val="0"/>
          <w:numId w:val="13"/>
        </w:numPr>
        <w:spacing w:after="0" w:line="254" w:lineRule="auto"/>
        <w:ind w:right="-188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P</w:t>
      </w:r>
      <w:r w:rsidR="00C30A25" w:rsidRPr="00447DA3">
        <w:rPr>
          <w:rFonts w:cstheme="minorHAnsi"/>
          <w:b/>
          <w:i/>
          <w:sz w:val="20"/>
          <w:szCs w:val="20"/>
        </w:rPr>
        <w:t xml:space="preserve">rikaz postupanja sudova u 2021. godini. </w:t>
      </w:r>
    </w:p>
    <w:p w14:paraId="4A6478E5" w14:textId="77777777" w:rsidR="00D120F5" w:rsidRPr="00D120F5" w:rsidRDefault="00D120F5" w:rsidP="00D120F5">
      <w:pPr>
        <w:pStyle w:val="ListParagraph"/>
        <w:spacing w:after="0" w:line="254" w:lineRule="auto"/>
        <w:ind w:right="-188"/>
        <w:rPr>
          <w:rFonts w:cstheme="minorHAnsi"/>
          <w:b/>
          <w:i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56"/>
        <w:tblW w:w="11740" w:type="dxa"/>
        <w:tblLook w:val="04A0" w:firstRow="1" w:lastRow="0" w:firstColumn="1" w:lastColumn="0" w:noHBand="0" w:noVBand="1"/>
      </w:tblPr>
      <w:tblGrid>
        <w:gridCol w:w="1121"/>
        <w:gridCol w:w="1257"/>
        <w:gridCol w:w="1197"/>
        <w:gridCol w:w="1125"/>
        <w:gridCol w:w="1125"/>
        <w:gridCol w:w="1258"/>
        <w:gridCol w:w="1033"/>
        <w:gridCol w:w="1235"/>
        <w:gridCol w:w="1038"/>
        <w:gridCol w:w="1351"/>
      </w:tblGrid>
      <w:tr w:rsidR="00815805" w:rsidRPr="00BF3066" w14:paraId="4E034F81" w14:textId="77777777" w:rsidTr="00A44C27">
        <w:trPr>
          <w:trHeight w:val="581"/>
        </w:trPr>
        <w:tc>
          <w:tcPr>
            <w:tcW w:w="1121" w:type="dxa"/>
          </w:tcPr>
          <w:p w14:paraId="0E713CF9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293CC85E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1BDF828F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 xml:space="preserve">OSNOVNI </w:t>
            </w:r>
          </w:p>
          <w:p w14:paraId="68A07B91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SUD</w:t>
            </w:r>
          </w:p>
        </w:tc>
        <w:tc>
          <w:tcPr>
            <w:tcW w:w="1257" w:type="dxa"/>
          </w:tcPr>
          <w:p w14:paraId="6FB15EC9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radu na dan 01.01.2021. godine</w:t>
            </w:r>
          </w:p>
        </w:tc>
        <w:tc>
          <w:tcPr>
            <w:tcW w:w="1197" w:type="dxa"/>
          </w:tcPr>
          <w:p w14:paraId="028E418E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primljenih u periodu 01.01.2021. do 31.12.2021.</w:t>
            </w:r>
          </w:p>
        </w:tc>
        <w:tc>
          <w:tcPr>
            <w:tcW w:w="1125" w:type="dxa"/>
          </w:tcPr>
          <w:p w14:paraId="267593DE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radu u periodu 01.01.2021. do 31.12.2021.</w:t>
            </w:r>
          </w:p>
        </w:tc>
        <w:tc>
          <w:tcPr>
            <w:tcW w:w="1125" w:type="dxa"/>
          </w:tcPr>
          <w:p w14:paraId="07B676BC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odluka u kojima je predlog usvojen u periodu 01.01.2021. do 31.12.2021.</w:t>
            </w:r>
          </w:p>
        </w:tc>
        <w:tc>
          <w:tcPr>
            <w:tcW w:w="1258" w:type="dxa"/>
          </w:tcPr>
          <w:p w14:paraId="7DF5AE8F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</w:rPr>
            </w:pPr>
            <w:r w:rsidRPr="00BF3066">
              <w:rPr>
                <w:b/>
                <w:sz w:val="18"/>
                <w:szCs w:val="18"/>
              </w:rPr>
              <w:t>Ukupan broj odluka u kojima je predlog  odbijen u periodu 01.01.2021. do 31.12.2021.</w:t>
            </w:r>
          </w:p>
        </w:tc>
        <w:tc>
          <w:tcPr>
            <w:tcW w:w="1033" w:type="dxa"/>
          </w:tcPr>
          <w:p w14:paraId="5536A0DB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Razlozi da donošenje odluke o odbijanju predloga</w:t>
            </w:r>
          </w:p>
        </w:tc>
        <w:tc>
          <w:tcPr>
            <w:tcW w:w="1235" w:type="dxa"/>
          </w:tcPr>
          <w:p w14:paraId="2BC5C39B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Starosna dob i pol podnosilaca predloga</w:t>
            </w:r>
          </w:p>
        </w:tc>
        <w:tc>
          <w:tcPr>
            <w:tcW w:w="1038" w:type="dxa"/>
          </w:tcPr>
          <w:p w14:paraId="5CEDE72D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Starosna dob lica sa kojim dijete starije od 16 godina namjerava da zaključi brak</w:t>
            </w:r>
          </w:p>
        </w:tc>
        <w:tc>
          <w:tcPr>
            <w:tcW w:w="1351" w:type="dxa"/>
          </w:tcPr>
          <w:p w14:paraId="2DCA8955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kojima je predlog podnijet od strane pripadnika romske ili egipćanske populacije</w:t>
            </w:r>
          </w:p>
        </w:tc>
      </w:tr>
      <w:tr w:rsidR="00815805" w:rsidRPr="00BF3066" w14:paraId="2F3B6D8D" w14:textId="77777777" w:rsidTr="00A44C27">
        <w:trPr>
          <w:trHeight w:val="604"/>
        </w:trPr>
        <w:tc>
          <w:tcPr>
            <w:tcW w:w="1121" w:type="dxa"/>
          </w:tcPr>
          <w:p w14:paraId="700DE898" w14:textId="77777777" w:rsidR="00815805" w:rsidRPr="008B4261" w:rsidRDefault="00815805" w:rsidP="00A10794">
            <w:pPr>
              <w:spacing w:line="254" w:lineRule="auto"/>
              <w:ind w:right="-188"/>
            </w:pPr>
            <w:r>
              <w:t>Podgorica</w:t>
            </w:r>
          </w:p>
        </w:tc>
        <w:tc>
          <w:tcPr>
            <w:tcW w:w="1257" w:type="dxa"/>
          </w:tcPr>
          <w:p w14:paraId="60A0FC2A" w14:textId="77777777" w:rsidR="00815805" w:rsidRPr="004845C2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97" w:type="dxa"/>
          </w:tcPr>
          <w:p w14:paraId="1AF6B54C" w14:textId="77777777" w:rsidR="00815805" w:rsidRPr="004845C2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125" w:type="dxa"/>
          </w:tcPr>
          <w:p w14:paraId="0595D684" w14:textId="77777777" w:rsidR="00815805" w:rsidRPr="004845C2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125" w:type="dxa"/>
          </w:tcPr>
          <w:p w14:paraId="60533861" w14:textId="77777777" w:rsidR="00815805" w:rsidRPr="00911C4A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258" w:type="dxa"/>
          </w:tcPr>
          <w:p w14:paraId="73A6C471" w14:textId="77777777" w:rsidR="00815805" w:rsidRPr="00561BF6" w:rsidRDefault="00815805" w:rsidP="00632FD3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 povlačenje</w:t>
            </w:r>
          </w:p>
        </w:tc>
        <w:tc>
          <w:tcPr>
            <w:tcW w:w="1033" w:type="dxa"/>
          </w:tcPr>
          <w:p w14:paraId="5FCB0FC5" w14:textId="77777777" w:rsidR="00815805" w:rsidRPr="00561BF6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235" w:type="dxa"/>
          </w:tcPr>
          <w:p w14:paraId="18588C36" w14:textId="20B11FF1" w:rsidR="00815805" w:rsidRDefault="00632FD3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g</w:t>
            </w:r>
            <w:r w:rsidR="00815805">
              <w:rPr>
                <w:lang w:val="sr-Latn-RS"/>
              </w:rPr>
              <w:t>odišta</w:t>
            </w:r>
            <w:r>
              <w:rPr>
                <w:lang w:val="sr-Latn-RS"/>
              </w:rPr>
              <w:t>-</w:t>
            </w:r>
          </w:p>
          <w:p w14:paraId="4F2E70A6" w14:textId="77777777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2003. 2005.</w:t>
            </w:r>
          </w:p>
          <w:p w14:paraId="1807A90B" w14:textId="5A01223F" w:rsidR="00632FD3" w:rsidRPr="00561BF6" w:rsidRDefault="00632FD3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(pol-Ž)</w:t>
            </w:r>
          </w:p>
        </w:tc>
        <w:tc>
          <w:tcPr>
            <w:tcW w:w="1038" w:type="dxa"/>
          </w:tcPr>
          <w:p w14:paraId="78ECD206" w14:textId="70E2DC1C" w:rsidR="00815805" w:rsidRDefault="00632FD3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g</w:t>
            </w:r>
            <w:r w:rsidR="00815805">
              <w:rPr>
                <w:lang w:val="sr-Latn-RS"/>
              </w:rPr>
              <w:t>odišta</w:t>
            </w:r>
            <w:r>
              <w:rPr>
                <w:lang w:val="sr-Latn-RS"/>
              </w:rPr>
              <w:t>-</w:t>
            </w:r>
          </w:p>
          <w:p w14:paraId="304237E0" w14:textId="77777777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1997.</w:t>
            </w:r>
          </w:p>
          <w:p w14:paraId="7766646A" w14:textId="33D9945B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1999.</w:t>
            </w:r>
          </w:p>
          <w:p w14:paraId="2E2720C2" w14:textId="3D1D2A0C" w:rsidR="00815805" w:rsidRPr="007075ED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2001.</w:t>
            </w:r>
          </w:p>
        </w:tc>
        <w:tc>
          <w:tcPr>
            <w:tcW w:w="1351" w:type="dxa"/>
          </w:tcPr>
          <w:p w14:paraId="2E207BD5" w14:textId="77777777" w:rsidR="00815805" w:rsidRPr="00031B47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815805" w:rsidRPr="00BF3066" w14:paraId="51814284" w14:textId="77777777" w:rsidTr="00A44C27">
        <w:trPr>
          <w:trHeight w:val="604"/>
        </w:trPr>
        <w:tc>
          <w:tcPr>
            <w:tcW w:w="1121" w:type="dxa"/>
          </w:tcPr>
          <w:p w14:paraId="15E68587" w14:textId="77777777" w:rsidR="00815805" w:rsidRDefault="00815805" w:rsidP="00A10794">
            <w:pPr>
              <w:spacing w:line="254" w:lineRule="auto"/>
              <w:ind w:right="-188"/>
            </w:pPr>
            <w:r>
              <w:lastRenderedPageBreak/>
              <w:t>Berane</w:t>
            </w:r>
          </w:p>
        </w:tc>
        <w:tc>
          <w:tcPr>
            <w:tcW w:w="1257" w:type="dxa"/>
          </w:tcPr>
          <w:p w14:paraId="479D549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97" w:type="dxa"/>
          </w:tcPr>
          <w:p w14:paraId="79C25EA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25" w:type="dxa"/>
          </w:tcPr>
          <w:p w14:paraId="30B5D89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25" w:type="dxa"/>
          </w:tcPr>
          <w:p w14:paraId="4B426A5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58" w:type="dxa"/>
          </w:tcPr>
          <w:p w14:paraId="4DF5D3B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033" w:type="dxa"/>
          </w:tcPr>
          <w:p w14:paraId="6AC7B39F" w14:textId="77777777" w:rsidR="00815805" w:rsidRDefault="00815805" w:rsidP="00632FD3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Povučen predlog</w:t>
            </w:r>
          </w:p>
        </w:tc>
        <w:tc>
          <w:tcPr>
            <w:tcW w:w="1235" w:type="dxa"/>
          </w:tcPr>
          <w:p w14:paraId="0A42D80C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 godina</w:t>
            </w:r>
          </w:p>
        </w:tc>
        <w:tc>
          <w:tcPr>
            <w:tcW w:w="1038" w:type="dxa"/>
          </w:tcPr>
          <w:p w14:paraId="4166EC72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 godina</w:t>
            </w:r>
          </w:p>
        </w:tc>
        <w:tc>
          <w:tcPr>
            <w:tcW w:w="1351" w:type="dxa"/>
          </w:tcPr>
          <w:p w14:paraId="2489B21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1- povučen predlog</w:t>
            </w:r>
          </w:p>
        </w:tc>
      </w:tr>
      <w:tr w:rsidR="00815805" w:rsidRPr="00BF3066" w14:paraId="2B5EA76E" w14:textId="77777777" w:rsidTr="00A44C27">
        <w:trPr>
          <w:trHeight w:val="604"/>
        </w:trPr>
        <w:tc>
          <w:tcPr>
            <w:tcW w:w="1121" w:type="dxa"/>
          </w:tcPr>
          <w:p w14:paraId="66E1A3F5" w14:textId="77777777" w:rsidR="00815805" w:rsidRDefault="00815805" w:rsidP="00A10794">
            <w:pPr>
              <w:spacing w:line="254" w:lineRule="auto"/>
              <w:ind w:right="-188"/>
            </w:pPr>
            <w:r>
              <w:t>Kolašin</w:t>
            </w:r>
          </w:p>
        </w:tc>
        <w:tc>
          <w:tcPr>
            <w:tcW w:w="1257" w:type="dxa"/>
          </w:tcPr>
          <w:p w14:paraId="795BDE5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97" w:type="dxa"/>
          </w:tcPr>
          <w:p w14:paraId="546CD45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5" w:type="dxa"/>
          </w:tcPr>
          <w:p w14:paraId="6E1B04D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5" w:type="dxa"/>
          </w:tcPr>
          <w:p w14:paraId="1D949F6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58" w:type="dxa"/>
          </w:tcPr>
          <w:p w14:paraId="69B394A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33" w:type="dxa"/>
          </w:tcPr>
          <w:p w14:paraId="295B600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35" w:type="dxa"/>
          </w:tcPr>
          <w:p w14:paraId="3180BD32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038" w:type="dxa"/>
          </w:tcPr>
          <w:p w14:paraId="32E70546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 0</w:t>
            </w:r>
          </w:p>
        </w:tc>
        <w:tc>
          <w:tcPr>
            <w:tcW w:w="1351" w:type="dxa"/>
          </w:tcPr>
          <w:p w14:paraId="63C22DA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50D96592" w14:textId="77777777" w:rsidTr="00A44C27">
        <w:trPr>
          <w:trHeight w:val="604"/>
        </w:trPr>
        <w:tc>
          <w:tcPr>
            <w:tcW w:w="1121" w:type="dxa"/>
          </w:tcPr>
          <w:p w14:paraId="6949E42D" w14:textId="77777777" w:rsidR="00815805" w:rsidRDefault="00815805" w:rsidP="00A10794">
            <w:pPr>
              <w:spacing w:line="254" w:lineRule="auto"/>
              <w:ind w:right="-188"/>
            </w:pPr>
            <w:r>
              <w:t>Pljevlja</w:t>
            </w:r>
          </w:p>
        </w:tc>
        <w:tc>
          <w:tcPr>
            <w:tcW w:w="1257" w:type="dxa"/>
          </w:tcPr>
          <w:p w14:paraId="52C37B8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97" w:type="dxa"/>
          </w:tcPr>
          <w:p w14:paraId="3067849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5" w:type="dxa"/>
          </w:tcPr>
          <w:p w14:paraId="0E56BA2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5" w:type="dxa"/>
          </w:tcPr>
          <w:p w14:paraId="3030121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58" w:type="dxa"/>
          </w:tcPr>
          <w:p w14:paraId="3F33688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33" w:type="dxa"/>
          </w:tcPr>
          <w:p w14:paraId="323DF14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35" w:type="dxa"/>
          </w:tcPr>
          <w:p w14:paraId="0D5D789A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038" w:type="dxa"/>
          </w:tcPr>
          <w:p w14:paraId="55E85694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 0</w:t>
            </w:r>
          </w:p>
        </w:tc>
        <w:tc>
          <w:tcPr>
            <w:tcW w:w="1351" w:type="dxa"/>
          </w:tcPr>
          <w:p w14:paraId="4D4E532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6B85BDDC" w14:textId="77777777" w:rsidTr="00A44C27">
        <w:trPr>
          <w:trHeight w:val="604"/>
        </w:trPr>
        <w:tc>
          <w:tcPr>
            <w:tcW w:w="1121" w:type="dxa"/>
          </w:tcPr>
          <w:p w14:paraId="3F1A80C9" w14:textId="77777777" w:rsidR="00815805" w:rsidRDefault="00815805" w:rsidP="00A10794">
            <w:pPr>
              <w:spacing w:line="254" w:lineRule="auto"/>
              <w:ind w:right="-188"/>
            </w:pPr>
            <w:r>
              <w:t>Bar</w:t>
            </w:r>
          </w:p>
        </w:tc>
        <w:tc>
          <w:tcPr>
            <w:tcW w:w="1257" w:type="dxa"/>
          </w:tcPr>
          <w:p w14:paraId="76CB645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97" w:type="dxa"/>
          </w:tcPr>
          <w:p w14:paraId="73D4C50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5" w:type="dxa"/>
          </w:tcPr>
          <w:p w14:paraId="4497879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5" w:type="dxa"/>
          </w:tcPr>
          <w:p w14:paraId="0438A06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58" w:type="dxa"/>
          </w:tcPr>
          <w:p w14:paraId="0B6EDB1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33" w:type="dxa"/>
          </w:tcPr>
          <w:p w14:paraId="36D7363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35" w:type="dxa"/>
          </w:tcPr>
          <w:p w14:paraId="79473B9C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038" w:type="dxa"/>
          </w:tcPr>
          <w:p w14:paraId="3CC6BDE4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 0</w:t>
            </w:r>
          </w:p>
        </w:tc>
        <w:tc>
          <w:tcPr>
            <w:tcW w:w="1351" w:type="dxa"/>
          </w:tcPr>
          <w:p w14:paraId="2F6FB52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297A5C21" w14:textId="77777777" w:rsidTr="00A44C27">
        <w:trPr>
          <w:trHeight w:val="604"/>
        </w:trPr>
        <w:tc>
          <w:tcPr>
            <w:tcW w:w="1121" w:type="dxa"/>
          </w:tcPr>
          <w:p w14:paraId="04D18435" w14:textId="77777777" w:rsidR="00815805" w:rsidRDefault="00815805" w:rsidP="00A10794">
            <w:pPr>
              <w:spacing w:line="254" w:lineRule="auto"/>
              <w:ind w:right="-188"/>
            </w:pPr>
            <w:r>
              <w:t>Bijelo Polje</w:t>
            </w:r>
          </w:p>
        </w:tc>
        <w:tc>
          <w:tcPr>
            <w:tcW w:w="1257" w:type="dxa"/>
          </w:tcPr>
          <w:p w14:paraId="74C98C4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97" w:type="dxa"/>
          </w:tcPr>
          <w:p w14:paraId="7317E51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5" w:type="dxa"/>
          </w:tcPr>
          <w:p w14:paraId="76BBDCD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5" w:type="dxa"/>
          </w:tcPr>
          <w:p w14:paraId="20144DA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58" w:type="dxa"/>
          </w:tcPr>
          <w:p w14:paraId="45F4750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33" w:type="dxa"/>
          </w:tcPr>
          <w:p w14:paraId="4E3B956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35" w:type="dxa"/>
          </w:tcPr>
          <w:p w14:paraId="5EE002F6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038" w:type="dxa"/>
          </w:tcPr>
          <w:p w14:paraId="52DE7015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 0   </w:t>
            </w:r>
          </w:p>
        </w:tc>
        <w:tc>
          <w:tcPr>
            <w:tcW w:w="1351" w:type="dxa"/>
          </w:tcPr>
          <w:p w14:paraId="3A7EB1D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1AEB7561" w14:textId="77777777" w:rsidTr="00A44C27">
        <w:trPr>
          <w:trHeight w:val="604"/>
        </w:trPr>
        <w:tc>
          <w:tcPr>
            <w:tcW w:w="1121" w:type="dxa"/>
          </w:tcPr>
          <w:p w14:paraId="562D2698" w14:textId="77777777" w:rsidR="00815805" w:rsidRDefault="00815805" w:rsidP="00A10794">
            <w:pPr>
              <w:spacing w:line="254" w:lineRule="auto"/>
              <w:ind w:right="-188"/>
            </w:pPr>
            <w:r>
              <w:t>Kotor</w:t>
            </w:r>
          </w:p>
        </w:tc>
        <w:tc>
          <w:tcPr>
            <w:tcW w:w="1257" w:type="dxa"/>
          </w:tcPr>
          <w:p w14:paraId="1D2E6F6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97" w:type="dxa"/>
          </w:tcPr>
          <w:p w14:paraId="1975C37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5" w:type="dxa"/>
          </w:tcPr>
          <w:p w14:paraId="55D8E41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5" w:type="dxa"/>
          </w:tcPr>
          <w:p w14:paraId="7CB3AFE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58" w:type="dxa"/>
          </w:tcPr>
          <w:p w14:paraId="147037C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33" w:type="dxa"/>
          </w:tcPr>
          <w:p w14:paraId="3019186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35" w:type="dxa"/>
          </w:tcPr>
          <w:p w14:paraId="4DCAD17B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0</w:t>
            </w:r>
          </w:p>
        </w:tc>
        <w:tc>
          <w:tcPr>
            <w:tcW w:w="1038" w:type="dxa"/>
          </w:tcPr>
          <w:p w14:paraId="78D34B40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 0</w:t>
            </w:r>
          </w:p>
        </w:tc>
        <w:tc>
          <w:tcPr>
            <w:tcW w:w="1351" w:type="dxa"/>
          </w:tcPr>
          <w:p w14:paraId="5CFAC1D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3006D1C7" w14:textId="77777777" w:rsidTr="00A44C27">
        <w:trPr>
          <w:trHeight w:val="604"/>
        </w:trPr>
        <w:tc>
          <w:tcPr>
            <w:tcW w:w="1121" w:type="dxa"/>
          </w:tcPr>
          <w:p w14:paraId="5602D205" w14:textId="77777777" w:rsidR="00815805" w:rsidRDefault="00815805" w:rsidP="00A10794">
            <w:pPr>
              <w:spacing w:line="254" w:lineRule="auto"/>
              <w:ind w:right="-188"/>
            </w:pPr>
            <w:r>
              <w:t>Plav</w:t>
            </w:r>
          </w:p>
        </w:tc>
        <w:tc>
          <w:tcPr>
            <w:tcW w:w="1257" w:type="dxa"/>
          </w:tcPr>
          <w:p w14:paraId="453FE41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97" w:type="dxa"/>
          </w:tcPr>
          <w:p w14:paraId="3F1EB4E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25" w:type="dxa"/>
          </w:tcPr>
          <w:p w14:paraId="180FCF2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25" w:type="dxa"/>
          </w:tcPr>
          <w:p w14:paraId="3189CF1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258" w:type="dxa"/>
          </w:tcPr>
          <w:p w14:paraId="0EDACF1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33" w:type="dxa"/>
          </w:tcPr>
          <w:p w14:paraId="7B46A8F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35" w:type="dxa"/>
          </w:tcPr>
          <w:p w14:paraId="60CD4494" w14:textId="023EC374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 g</w:t>
            </w:r>
            <w:r w:rsidR="00632FD3">
              <w:rPr>
                <w:lang w:val="sr-Latn-RS"/>
              </w:rPr>
              <w:t>odina</w:t>
            </w:r>
            <w:r>
              <w:rPr>
                <w:lang w:val="sr-Latn-RS"/>
              </w:rPr>
              <w:t xml:space="preserve"> 6 m</w:t>
            </w:r>
            <w:r w:rsidR="00632FD3">
              <w:rPr>
                <w:lang w:val="sr-Latn-RS"/>
              </w:rPr>
              <w:t>j.  (pol-Ž);</w:t>
            </w:r>
          </w:p>
          <w:p w14:paraId="3DCCBFCD" w14:textId="3EB8D49E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17g</w:t>
            </w:r>
            <w:r w:rsidR="00632FD3">
              <w:rPr>
                <w:lang w:val="sr-Latn-RS"/>
              </w:rPr>
              <w:t xml:space="preserve">odina </w:t>
            </w:r>
            <w:r>
              <w:rPr>
                <w:lang w:val="sr-Latn-RS"/>
              </w:rPr>
              <w:t>5 m</w:t>
            </w:r>
            <w:r w:rsidR="00632FD3">
              <w:rPr>
                <w:lang w:val="sr-Latn-RS"/>
              </w:rPr>
              <w:t>(pol-Ž)</w:t>
            </w:r>
          </w:p>
        </w:tc>
        <w:tc>
          <w:tcPr>
            <w:tcW w:w="1038" w:type="dxa"/>
          </w:tcPr>
          <w:p w14:paraId="72E6F3BC" w14:textId="2DE89862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24</w:t>
            </w:r>
            <w:r w:rsidR="00A44C2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godin</w:t>
            </w:r>
            <w:r w:rsidR="00A44C27">
              <w:rPr>
                <w:lang w:val="sr-Latn-RS"/>
              </w:rPr>
              <w:t>e</w:t>
            </w:r>
          </w:p>
          <w:p w14:paraId="21217274" w14:textId="4F2AA32B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28 godin</w:t>
            </w:r>
            <w:r w:rsidR="00A44C27">
              <w:rPr>
                <w:lang w:val="sr-Latn-RS"/>
              </w:rPr>
              <w:t>a</w:t>
            </w:r>
          </w:p>
        </w:tc>
        <w:tc>
          <w:tcPr>
            <w:tcW w:w="1351" w:type="dxa"/>
          </w:tcPr>
          <w:p w14:paraId="1B30890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35541CE0" w14:textId="77777777" w:rsidTr="00A44C27">
        <w:trPr>
          <w:trHeight w:val="604"/>
        </w:trPr>
        <w:tc>
          <w:tcPr>
            <w:tcW w:w="1121" w:type="dxa"/>
          </w:tcPr>
          <w:p w14:paraId="10AA8428" w14:textId="77777777" w:rsidR="00815805" w:rsidRDefault="00815805" w:rsidP="00A10794">
            <w:pPr>
              <w:spacing w:line="254" w:lineRule="auto"/>
              <w:ind w:right="-188"/>
            </w:pPr>
            <w:r>
              <w:t>NIkšić</w:t>
            </w:r>
          </w:p>
        </w:tc>
        <w:tc>
          <w:tcPr>
            <w:tcW w:w="1257" w:type="dxa"/>
          </w:tcPr>
          <w:p w14:paraId="789CA33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97" w:type="dxa"/>
          </w:tcPr>
          <w:p w14:paraId="2C2F112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5" w:type="dxa"/>
          </w:tcPr>
          <w:p w14:paraId="24B3109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5" w:type="dxa"/>
          </w:tcPr>
          <w:p w14:paraId="048F520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58" w:type="dxa"/>
          </w:tcPr>
          <w:p w14:paraId="0949ED9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033" w:type="dxa"/>
          </w:tcPr>
          <w:p w14:paraId="742BC18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35" w:type="dxa"/>
          </w:tcPr>
          <w:p w14:paraId="4DABF018" w14:textId="66A20CB9" w:rsidR="00815805" w:rsidRDefault="00815805" w:rsidP="00B306CC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 g</w:t>
            </w:r>
            <w:r w:rsidR="00A44C27">
              <w:rPr>
                <w:lang w:val="sr-Latn-RS"/>
              </w:rPr>
              <w:t>odina</w:t>
            </w:r>
            <w:r>
              <w:rPr>
                <w:lang w:val="sr-Latn-RS"/>
              </w:rPr>
              <w:t xml:space="preserve"> i 3 mj</w:t>
            </w:r>
            <w:r w:rsidR="00A44C27">
              <w:rPr>
                <w:lang w:val="sr-Latn-RS"/>
              </w:rPr>
              <w:t>.</w:t>
            </w:r>
          </w:p>
        </w:tc>
        <w:tc>
          <w:tcPr>
            <w:tcW w:w="1038" w:type="dxa"/>
          </w:tcPr>
          <w:p w14:paraId="5826AE65" w14:textId="31C291F9" w:rsidR="00815805" w:rsidRPr="0018025E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25 godina</w:t>
            </w:r>
          </w:p>
        </w:tc>
        <w:tc>
          <w:tcPr>
            <w:tcW w:w="1351" w:type="dxa"/>
          </w:tcPr>
          <w:p w14:paraId="5EFD453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C30A25" w:rsidRPr="00BF3066" w14:paraId="0DCFE354" w14:textId="77777777" w:rsidTr="00A44C27">
        <w:trPr>
          <w:trHeight w:val="604"/>
        </w:trPr>
        <w:tc>
          <w:tcPr>
            <w:tcW w:w="1121" w:type="dxa"/>
            <w:shd w:val="clear" w:color="auto" w:fill="8EAADB" w:themeFill="accent1" w:themeFillTint="99"/>
          </w:tcPr>
          <w:p w14:paraId="59BA9C6C" w14:textId="76753B9C" w:rsidR="00C30A25" w:rsidRPr="00C30A25" w:rsidRDefault="00C30A25" w:rsidP="00A10794">
            <w:pPr>
              <w:spacing w:line="254" w:lineRule="auto"/>
              <w:ind w:right="-188"/>
              <w:rPr>
                <w:b/>
              </w:rPr>
            </w:pPr>
            <w:r w:rsidRPr="00C30A25">
              <w:rPr>
                <w:b/>
              </w:rPr>
              <w:t>UKUPNO</w:t>
            </w:r>
          </w:p>
        </w:tc>
        <w:tc>
          <w:tcPr>
            <w:tcW w:w="1257" w:type="dxa"/>
            <w:shd w:val="clear" w:color="auto" w:fill="8EAADB" w:themeFill="accent1" w:themeFillTint="99"/>
          </w:tcPr>
          <w:p w14:paraId="670FBD50" w14:textId="0A7CC430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197" w:type="dxa"/>
            <w:shd w:val="clear" w:color="auto" w:fill="8EAADB" w:themeFill="accent1" w:themeFillTint="99"/>
          </w:tcPr>
          <w:p w14:paraId="61DE9D59" w14:textId="4D2BF707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1125" w:type="dxa"/>
            <w:shd w:val="clear" w:color="auto" w:fill="8EAADB" w:themeFill="accent1" w:themeFillTint="99"/>
          </w:tcPr>
          <w:p w14:paraId="34473FC4" w14:textId="56E98A3A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1125" w:type="dxa"/>
            <w:shd w:val="clear" w:color="auto" w:fill="8EAADB" w:themeFill="accent1" w:themeFillTint="99"/>
          </w:tcPr>
          <w:p w14:paraId="2C661347" w14:textId="5868B9DF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258" w:type="dxa"/>
            <w:shd w:val="clear" w:color="auto" w:fill="8EAADB" w:themeFill="accent1" w:themeFillTint="99"/>
          </w:tcPr>
          <w:p w14:paraId="62FE52CC" w14:textId="44AF81F1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033" w:type="dxa"/>
            <w:shd w:val="clear" w:color="auto" w:fill="8EAADB" w:themeFill="accent1" w:themeFillTint="99"/>
          </w:tcPr>
          <w:p w14:paraId="51BB4B4D" w14:textId="1C18E3E7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235" w:type="dxa"/>
            <w:shd w:val="clear" w:color="auto" w:fill="8EAADB" w:themeFill="accent1" w:themeFillTint="99"/>
          </w:tcPr>
          <w:p w14:paraId="1944B818" w14:textId="01EBD73C" w:rsidR="00C30A25" w:rsidRDefault="00C30A25" w:rsidP="00C30A25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038" w:type="dxa"/>
            <w:shd w:val="clear" w:color="auto" w:fill="8EAADB" w:themeFill="accent1" w:themeFillTint="99"/>
          </w:tcPr>
          <w:p w14:paraId="7C573281" w14:textId="4FACC2C2" w:rsidR="00C30A25" w:rsidRDefault="00C30A25" w:rsidP="00C30A25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351" w:type="dxa"/>
            <w:shd w:val="clear" w:color="auto" w:fill="8EAADB" w:themeFill="accent1" w:themeFillTint="99"/>
          </w:tcPr>
          <w:p w14:paraId="38396B23" w14:textId="31B85B88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</w:tbl>
    <w:p w14:paraId="79F53789" w14:textId="4F608C7D" w:rsidR="00C30A25" w:rsidRDefault="00C30A25" w:rsidP="00A10794">
      <w:pPr>
        <w:tabs>
          <w:tab w:val="left" w:pos="2085"/>
        </w:tabs>
        <w:spacing w:line="254" w:lineRule="auto"/>
        <w:ind w:right="-188"/>
      </w:pPr>
    </w:p>
    <w:p w14:paraId="33087F3C" w14:textId="77777777" w:rsidR="00C30A25" w:rsidRDefault="00C30A25" w:rsidP="00C30A25">
      <w:pPr>
        <w:spacing w:after="0" w:line="254" w:lineRule="auto"/>
        <w:ind w:right="-188"/>
        <w:rPr>
          <w:rFonts w:ascii="Arial" w:hAnsi="Arial" w:cs="Arial"/>
        </w:rPr>
      </w:pPr>
    </w:p>
    <w:p w14:paraId="46D4E340" w14:textId="43BE8DC9" w:rsidR="00C30A25" w:rsidRPr="00447DA3" w:rsidRDefault="00632FD3" w:rsidP="00447DA3">
      <w:pPr>
        <w:pStyle w:val="ListParagraph"/>
        <w:numPr>
          <w:ilvl w:val="0"/>
          <w:numId w:val="13"/>
        </w:numPr>
        <w:spacing w:after="0" w:line="254" w:lineRule="auto"/>
        <w:ind w:right="-188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P</w:t>
      </w:r>
      <w:r w:rsidR="00C30A25" w:rsidRPr="00447DA3">
        <w:rPr>
          <w:rFonts w:cstheme="minorHAnsi"/>
          <w:b/>
          <w:i/>
          <w:sz w:val="20"/>
          <w:szCs w:val="20"/>
        </w:rPr>
        <w:t xml:space="preserve">rikaz postupanja sudova u 2022. godini. </w:t>
      </w:r>
    </w:p>
    <w:p w14:paraId="45FA6BDB" w14:textId="77777777" w:rsidR="00C30A25" w:rsidRPr="00BF3066" w:rsidRDefault="00C30A25" w:rsidP="00A10794">
      <w:pPr>
        <w:tabs>
          <w:tab w:val="left" w:pos="2085"/>
        </w:tabs>
        <w:spacing w:line="254" w:lineRule="auto"/>
        <w:ind w:right="-188"/>
      </w:pPr>
    </w:p>
    <w:tbl>
      <w:tblPr>
        <w:tblStyle w:val="TableGrid"/>
        <w:tblpPr w:leftFromText="180" w:rightFromText="180" w:vertAnchor="text" w:horzAnchor="margin" w:tblpXSpec="center" w:tblpY="56"/>
        <w:tblW w:w="11740" w:type="dxa"/>
        <w:tblLook w:val="04A0" w:firstRow="1" w:lastRow="0" w:firstColumn="1" w:lastColumn="0" w:noHBand="0" w:noVBand="1"/>
      </w:tblPr>
      <w:tblGrid>
        <w:gridCol w:w="1121"/>
        <w:gridCol w:w="1234"/>
        <w:gridCol w:w="1183"/>
        <w:gridCol w:w="1120"/>
        <w:gridCol w:w="1120"/>
        <w:gridCol w:w="1184"/>
        <w:gridCol w:w="1092"/>
        <w:gridCol w:w="1239"/>
        <w:gridCol w:w="1138"/>
        <w:gridCol w:w="1309"/>
      </w:tblGrid>
      <w:tr w:rsidR="00A44C27" w:rsidRPr="00BF3066" w14:paraId="14D4CA2F" w14:textId="77777777" w:rsidTr="00815805">
        <w:trPr>
          <w:trHeight w:val="581"/>
        </w:trPr>
        <w:tc>
          <w:tcPr>
            <w:tcW w:w="1125" w:type="dxa"/>
          </w:tcPr>
          <w:p w14:paraId="3BEB7ABF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53D0C2AF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0AC9907D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 xml:space="preserve">OSNOVNI </w:t>
            </w:r>
          </w:p>
          <w:p w14:paraId="71B8C7E0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58D8CC9E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SUD</w:t>
            </w:r>
          </w:p>
        </w:tc>
        <w:tc>
          <w:tcPr>
            <w:tcW w:w="1267" w:type="dxa"/>
          </w:tcPr>
          <w:p w14:paraId="102EA723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radu na dan 01.01.2022. godine</w:t>
            </w:r>
          </w:p>
        </w:tc>
        <w:tc>
          <w:tcPr>
            <w:tcW w:w="1204" w:type="dxa"/>
          </w:tcPr>
          <w:p w14:paraId="68CEA61B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primljenih u periodu 01.01.2022. do 31.12.2022.</w:t>
            </w:r>
          </w:p>
        </w:tc>
        <w:tc>
          <w:tcPr>
            <w:tcW w:w="1127" w:type="dxa"/>
          </w:tcPr>
          <w:p w14:paraId="5AC74315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radu u periodu 01.01.2022. do 31.12.2022.</w:t>
            </w:r>
          </w:p>
        </w:tc>
        <w:tc>
          <w:tcPr>
            <w:tcW w:w="1127" w:type="dxa"/>
          </w:tcPr>
          <w:p w14:paraId="29655E56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odluka u kojima je predlog usvojen u periodu 01.01.2022. do 31.12.2022.</w:t>
            </w:r>
          </w:p>
        </w:tc>
        <w:tc>
          <w:tcPr>
            <w:tcW w:w="1127" w:type="dxa"/>
          </w:tcPr>
          <w:p w14:paraId="30E0DDB0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</w:rPr>
            </w:pPr>
            <w:r w:rsidRPr="00BF3066">
              <w:rPr>
                <w:b/>
                <w:sz w:val="18"/>
                <w:szCs w:val="18"/>
              </w:rPr>
              <w:t>Ukupan broj odluka u kojima je predlog odbijen u periodu 01.01.2022. do 31.12.2022.</w:t>
            </w:r>
          </w:p>
        </w:tc>
        <w:tc>
          <w:tcPr>
            <w:tcW w:w="1113" w:type="dxa"/>
          </w:tcPr>
          <w:p w14:paraId="3DA5779D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Razlozi da donošenje odluke o odbijanju predloga</w:t>
            </w:r>
          </w:p>
        </w:tc>
        <w:tc>
          <w:tcPr>
            <w:tcW w:w="1113" w:type="dxa"/>
          </w:tcPr>
          <w:p w14:paraId="0FEA913D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Starosna dob i pol podnosilaca predloga</w:t>
            </w:r>
          </w:p>
        </w:tc>
        <w:tc>
          <w:tcPr>
            <w:tcW w:w="1167" w:type="dxa"/>
          </w:tcPr>
          <w:p w14:paraId="34D2846A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Starosna dob lica sa kojim dijete starije od 16 godina namjerava da zaključi brak</w:t>
            </w:r>
          </w:p>
        </w:tc>
        <w:tc>
          <w:tcPr>
            <w:tcW w:w="1370" w:type="dxa"/>
          </w:tcPr>
          <w:p w14:paraId="0B2E9347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kojima je predlog podnijet od strane pripadnika romske ili egipćanske populacije</w:t>
            </w:r>
          </w:p>
        </w:tc>
      </w:tr>
      <w:tr w:rsidR="00A44C27" w:rsidRPr="00BF3066" w14:paraId="667644E3" w14:textId="77777777" w:rsidTr="00815805">
        <w:trPr>
          <w:trHeight w:val="604"/>
        </w:trPr>
        <w:tc>
          <w:tcPr>
            <w:tcW w:w="1125" w:type="dxa"/>
          </w:tcPr>
          <w:p w14:paraId="425D3A2D" w14:textId="77777777" w:rsidR="00815805" w:rsidRPr="008B4261" w:rsidRDefault="00815805" w:rsidP="00A10794">
            <w:pPr>
              <w:spacing w:line="254" w:lineRule="auto"/>
              <w:ind w:right="-188"/>
            </w:pPr>
            <w:r>
              <w:t>Podgorica</w:t>
            </w:r>
          </w:p>
        </w:tc>
        <w:tc>
          <w:tcPr>
            <w:tcW w:w="1267" w:type="dxa"/>
          </w:tcPr>
          <w:p w14:paraId="0D8DA6AB" w14:textId="77777777" w:rsidR="00815805" w:rsidRPr="004845C2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0E3FAB31" w14:textId="77777777" w:rsidR="00815805" w:rsidRPr="004845C2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127" w:type="dxa"/>
          </w:tcPr>
          <w:p w14:paraId="3B972BB3" w14:textId="77777777" w:rsidR="00815805" w:rsidRPr="004845C2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127" w:type="dxa"/>
          </w:tcPr>
          <w:p w14:paraId="31745502" w14:textId="77777777" w:rsidR="00815805" w:rsidRPr="00C73CE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127" w:type="dxa"/>
          </w:tcPr>
          <w:p w14:paraId="56EE058B" w14:textId="77777777" w:rsidR="00815805" w:rsidRPr="000127DC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 povlačenje</w:t>
            </w:r>
          </w:p>
        </w:tc>
        <w:tc>
          <w:tcPr>
            <w:tcW w:w="1113" w:type="dxa"/>
          </w:tcPr>
          <w:p w14:paraId="04577AD8" w14:textId="77777777" w:rsidR="00815805" w:rsidRPr="00561BF6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113" w:type="dxa"/>
          </w:tcPr>
          <w:p w14:paraId="2E3333F5" w14:textId="42FCC4EE" w:rsidR="00815805" w:rsidRDefault="00B306CC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g</w:t>
            </w:r>
            <w:r w:rsidR="00815805">
              <w:rPr>
                <w:lang w:val="sr-Latn-RS"/>
              </w:rPr>
              <w:t>odišta</w:t>
            </w:r>
            <w:r>
              <w:rPr>
                <w:lang w:val="sr-Latn-RS"/>
              </w:rPr>
              <w:t>-</w:t>
            </w:r>
            <w:r w:rsidR="00815805">
              <w:rPr>
                <w:lang w:val="sr-Latn-RS"/>
              </w:rPr>
              <w:t xml:space="preserve"> 2005. i </w:t>
            </w:r>
          </w:p>
          <w:p w14:paraId="1FD93AE4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2004.</w:t>
            </w:r>
          </w:p>
          <w:p w14:paraId="7D5D1C1C" w14:textId="2A52CCFB" w:rsidR="00B306CC" w:rsidRPr="00800F24" w:rsidRDefault="00B306CC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(pol-Ž)</w:t>
            </w:r>
          </w:p>
        </w:tc>
        <w:tc>
          <w:tcPr>
            <w:tcW w:w="1167" w:type="dxa"/>
          </w:tcPr>
          <w:p w14:paraId="780C63C4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godišta</w:t>
            </w:r>
          </w:p>
          <w:p w14:paraId="0E5C5150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1998. </w:t>
            </w:r>
          </w:p>
          <w:p w14:paraId="06A82E53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2000. </w:t>
            </w:r>
          </w:p>
          <w:p w14:paraId="7D05EBD5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2001. </w:t>
            </w:r>
          </w:p>
          <w:p w14:paraId="673547BB" w14:textId="77777777" w:rsidR="00815805" w:rsidRPr="004321D7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2003. </w:t>
            </w:r>
          </w:p>
        </w:tc>
        <w:tc>
          <w:tcPr>
            <w:tcW w:w="1370" w:type="dxa"/>
          </w:tcPr>
          <w:p w14:paraId="020DCCCB" w14:textId="77777777" w:rsidR="00815805" w:rsidRPr="00031B47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A44C27" w:rsidRPr="00BF3066" w14:paraId="396406FA" w14:textId="77777777" w:rsidTr="00815805">
        <w:trPr>
          <w:trHeight w:val="604"/>
        </w:trPr>
        <w:tc>
          <w:tcPr>
            <w:tcW w:w="1125" w:type="dxa"/>
          </w:tcPr>
          <w:p w14:paraId="623D9AB2" w14:textId="77777777" w:rsidR="00815805" w:rsidRDefault="00815805" w:rsidP="00A10794">
            <w:pPr>
              <w:spacing w:line="254" w:lineRule="auto"/>
              <w:ind w:right="-188"/>
            </w:pPr>
          </w:p>
          <w:p w14:paraId="70649486" w14:textId="77777777" w:rsidR="00815805" w:rsidRDefault="00815805" w:rsidP="00A10794">
            <w:pPr>
              <w:spacing w:line="254" w:lineRule="auto"/>
              <w:ind w:right="-188"/>
            </w:pPr>
            <w:r>
              <w:t>Berane</w:t>
            </w:r>
          </w:p>
        </w:tc>
        <w:tc>
          <w:tcPr>
            <w:tcW w:w="1267" w:type="dxa"/>
          </w:tcPr>
          <w:p w14:paraId="5DA2CE2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49CC1A4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361889F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66713B0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20F1FF7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7EE1569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25C4803B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0</w:t>
            </w:r>
          </w:p>
        </w:tc>
        <w:tc>
          <w:tcPr>
            <w:tcW w:w="1167" w:type="dxa"/>
          </w:tcPr>
          <w:p w14:paraId="7E781E16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0</w:t>
            </w:r>
          </w:p>
        </w:tc>
        <w:tc>
          <w:tcPr>
            <w:tcW w:w="1370" w:type="dxa"/>
          </w:tcPr>
          <w:p w14:paraId="61273D3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A44C27" w:rsidRPr="00BF3066" w14:paraId="3E6A6464" w14:textId="77777777" w:rsidTr="00815805">
        <w:trPr>
          <w:trHeight w:val="604"/>
        </w:trPr>
        <w:tc>
          <w:tcPr>
            <w:tcW w:w="1125" w:type="dxa"/>
          </w:tcPr>
          <w:p w14:paraId="4D6C6DCD" w14:textId="77777777" w:rsidR="00815805" w:rsidRDefault="00815805" w:rsidP="00A10794">
            <w:pPr>
              <w:spacing w:line="254" w:lineRule="auto"/>
              <w:ind w:right="-188"/>
            </w:pPr>
          </w:p>
          <w:p w14:paraId="53BD282A" w14:textId="77777777" w:rsidR="00815805" w:rsidRDefault="00815805" w:rsidP="00A10794">
            <w:pPr>
              <w:spacing w:line="254" w:lineRule="auto"/>
              <w:ind w:right="-188"/>
            </w:pPr>
            <w:r>
              <w:t>Kolašin</w:t>
            </w:r>
          </w:p>
        </w:tc>
        <w:tc>
          <w:tcPr>
            <w:tcW w:w="1267" w:type="dxa"/>
          </w:tcPr>
          <w:p w14:paraId="1ABAB32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07783F4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2B206BA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15CE858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2EE4D3F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1BA5BC9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40400C33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0</w:t>
            </w:r>
          </w:p>
        </w:tc>
        <w:tc>
          <w:tcPr>
            <w:tcW w:w="1167" w:type="dxa"/>
          </w:tcPr>
          <w:p w14:paraId="7420CE3A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370" w:type="dxa"/>
          </w:tcPr>
          <w:p w14:paraId="29946EC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A44C27" w:rsidRPr="00BF3066" w14:paraId="1E57AAFE" w14:textId="77777777" w:rsidTr="00815805">
        <w:trPr>
          <w:trHeight w:val="604"/>
        </w:trPr>
        <w:tc>
          <w:tcPr>
            <w:tcW w:w="1125" w:type="dxa"/>
          </w:tcPr>
          <w:p w14:paraId="129A2E97" w14:textId="77777777" w:rsidR="00815805" w:rsidRDefault="00815805" w:rsidP="00A10794">
            <w:pPr>
              <w:spacing w:line="254" w:lineRule="auto"/>
              <w:ind w:right="-188"/>
            </w:pPr>
            <w:r>
              <w:t>Pljevlja</w:t>
            </w:r>
          </w:p>
        </w:tc>
        <w:tc>
          <w:tcPr>
            <w:tcW w:w="1267" w:type="dxa"/>
          </w:tcPr>
          <w:p w14:paraId="3FFA1DA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7950CF2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2C29226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4119ABA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10DADE2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3789C97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3C021299" w14:textId="12CAD53C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 godina 10mj i 20 dana</w:t>
            </w:r>
          </w:p>
        </w:tc>
        <w:tc>
          <w:tcPr>
            <w:tcW w:w="1167" w:type="dxa"/>
          </w:tcPr>
          <w:p w14:paraId="36905EE9" w14:textId="43A1B6A4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26 godina</w:t>
            </w:r>
          </w:p>
        </w:tc>
        <w:tc>
          <w:tcPr>
            <w:tcW w:w="1370" w:type="dxa"/>
          </w:tcPr>
          <w:p w14:paraId="5B95D6A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A44C27" w:rsidRPr="00BF3066" w14:paraId="79AA6904" w14:textId="77777777" w:rsidTr="00815805">
        <w:trPr>
          <w:trHeight w:val="604"/>
        </w:trPr>
        <w:tc>
          <w:tcPr>
            <w:tcW w:w="1125" w:type="dxa"/>
          </w:tcPr>
          <w:p w14:paraId="24479736" w14:textId="77777777" w:rsidR="00815805" w:rsidRDefault="00815805" w:rsidP="00A10794">
            <w:pPr>
              <w:spacing w:line="254" w:lineRule="auto"/>
              <w:ind w:right="-188"/>
            </w:pPr>
            <w:r>
              <w:t>Bar</w:t>
            </w:r>
          </w:p>
        </w:tc>
        <w:tc>
          <w:tcPr>
            <w:tcW w:w="1267" w:type="dxa"/>
          </w:tcPr>
          <w:p w14:paraId="6980AA4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0811B12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29C5D79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25ECC56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075EACF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561DFBF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5758C93D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0</w:t>
            </w:r>
          </w:p>
        </w:tc>
        <w:tc>
          <w:tcPr>
            <w:tcW w:w="1167" w:type="dxa"/>
          </w:tcPr>
          <w:p w14:paraId="042D0913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 0</w:t>
            </w:r>
          </w:p>
        </w:tc>
        <w:tc>
          <w:tcPr>
            <w:tcW w:w="1370" w:type="dxa"/>
          </w:tcPr>
          <w:p w14:paraId="4EC1BE3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A44C27" w:rsidRPr="00BF3066" w14:paraId="3C45F45F" w14:textId="77777777" w:rsidTr="00815805">
        <w:trPr>
          <w:trHeight w:val="604"/>
        </w:trPr>
        <w:tc>
          <w:tcPr>
            <w:tcW w:w="1125" w:type="dxa"/>
          </w:tcPr>
          <w:p w14:paraId="198BAB07" w14:textId="77777777" w:rsidR="00815805" w:rsidRDefault="00815805" w:rsidP="00A10794">
            <w:pPr>
              <w:spacing w:line="254" w:lineRule="auto"/>
              <w:ind w:right="-188"/>
            </w:pPr>
            <w:r>
              <w:lastRenderedPageBreak/>
              <w:t>Bijelo Polje</w:t>
            </w:r>
          </w:p>
        </w:tc>
        <w:tc>
          <w:tcPr>
            <w:tcW w:w="1267" w:type="dxa"/>
          </w:tcPr>
          <w:p w14:paraId="1E2CE6A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04" w:type="dxa"/>
          </w:tcPr>
          <w:p w14:paraId="3B99C74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157F89A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58D0736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4FE7346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73D2C11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77466F7C" w14:textId="5312734E" w:rsidR="00815805" w:rsidRDefault="00A44C27" w:rsidP="00A44C27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 godina(pol-Ž);</w:t>
            </w:r>
          </w:p>
        </w:tc>
        <w:tc>
          <w:tcPr>
            <w:tcW w:w="1167" w:type="dxa"/>
          </w:tcPr>
          <w:p w14:paraId="642FEA0C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 21</w:t>
            </w:r>
          </w:p>
        </w:tc>
        <w:tc>
          <w:tcPr>
            <w:tcW w:w="1370" w:type="dxa"/>
          </w:tcPr>
          <w:p w14:paraId="1D32ADE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A44C27" w:rsidRPr="00BF3066" w14:paraId="4D8F59B2" w14:textId="77777777" w:rsidTr="00815805">
        <w:trPr>
          <w:trHeight w:val="604"/>
        </w:trPr>
        <w:tc>
          <w:tcPr>
            <w:tcW w:w="1125" w:type="dxa"/>
          </w:tcPr>
          <w:p w14:paraId="62BCB39B" w14:textId="77777777" w:rsidR="00815805" w:rsidRDefault="00815805" w:rsidP="00A10794">
            <w:pPr>
              <w:spacing w:line="254" w:lineRule="auto"/>
              <w:ind w:right="-188"/>
            </w:pPr>
          </w:p>
          <w:p w14:paraId="7C432C01" w14:textId="77777777" w:rsidR="00815805" w:rsidRDefault="00815805" w:rsidP="00A10794">
            <w:pPr>
              <w:spacing w:line="254" w:lineRule="auto"/>
              <w:ind w:right="-188"/>
            </w:pPr>
            <w:r>
              <w:t>Kotor</w:t>
            </w:r>
          </w:p>
        </w:tc>
        <w:tc>
          <w:tcPr>
            <w:tcW w:w="1267" w:type="dxa"/>
          </w:tcPr>
          <w:p w14:paraId="37FC156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5CCCFD2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3F19D0D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5C6D76A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6E6D1D5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6B0B491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2AFF6034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167" w:type="dxa"/>
          </w:tcPr>
          <w:p w14:paraId="221A7FF0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 0</w:t>
            </w:r>
          </w:p>
        </w:tc>
        <w:tc>
          <w:tcPr>
            <w:tcW w:w="1370" w:type="dxa"/>
          </w:tcPr>
          <w:p w14:paraId="6DAAD3E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A44C27" w:rsidRPr="00BF3066" w14:paraId="75A4690E" w14:textId="77777777" w:rsidTr="00815805">
        <w:trPr>
          <w:trHeight w:val="604"/>
        </w:trPr>
        <w:tc>
          <w:tcPr>
            <w:tcW w:w="1125" w:type="dxa"/>
          </w:tcPr>
          <w:p w14:paraId="0F70DE5B" w14:textId="77777777" w:rsidR="00815805" w:rsidRDefault="00815805" w:rsidP="00A10794">
            <w:pPr>
              <w:spacing w:line="254" w:lineRule="auto"/>
              <w:ind w:right="-188"/>
            </w:pPr>
            <w:r>
              <w:t>Plav</w:t>
            </w:r>
          </w:p>
        </w:tc>
        <w:tc>
          <w:tcPr>
            <w:tcW w:w="1267" w:type="dxa"/>
          </w:tcPr>
          <w:p w14:paraId="780EF09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7031DA0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438534E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684B41F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2A2F1FA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6CDD87C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09AFD0A4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0</w:t>
            </w:r>
          </w:p>
        </w:tc>
        <w:tc>
          <w:tcPr>
            <w:tcW w:w="1167" w:type="dxa"/>
          </w:tcPr>
          <w:p w14:paraId="38E3DF26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 0</w:t>
            </w:r>
          </w:p>
        </w:tc>
        <w:tc>
          <w:tcPr>
            <w:tcW w:w="1370" w:type="dxa"/>
          </w:tcPr>
          <w:p w14:paraId="18F477C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A44C27" w:rsidRPr="00BF3066" w14:paraId="324AED69" w14:textId="77777777" w:rsidTr="00815805">
        <w:trPr>
          <w:trHeight w:val="604"/>
        </w:trPr>
        <w:tc>
          <w:tcPr>
            <w:tcW w:w="1125" w:type="dxa"/>
          </w:tcPr>
          <w:p w14:paraId="3F5F34C6" w14:textId="77777777" w:rsidR="00815805" w:rsidRDefault="00815805" w:rsidP="00A10794">
            <w:pPr>
              <w:spacing w:line="254" w:lineRule="auto"/>
              <w:ind w:right="-188"/>
            </w:pPr>
            <w:r>
              <w:t>Nikšić</w:t>
            </w:r>
          </w:p>
        </w:tc>
        <w:tc>
          <w:tcPr>
            <w:tcW w:w="1267" w:type="dxa"/>
          </w:tcPr>
          <w:p w14:paraId="42785EF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1EE08ED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27D5794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439B174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2FD7C66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03E2E9D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3332563E" w14:textId="21DDDFF8" w:rsidR="00815805" w:rsidRDefault="00A44C27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16 </w:t>
            </w:r>
            <w:r w:rsidR="00815805">
              <w:rPr>
                <w:lang w:val="sr-Latn-RS"/>
              </w:rPr>
              <w:t>godina</w:t>
            </w:r>
          </w:p>
        </w:tc>
        <w:tc>
          <w:tcPr>
            <w:tcW w:w="1167" w:type="dxa"/>
          </w:tcPr>
          <w:p w14:paraId="2D2360A4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24 godine</w:t>
            </w:r>
          </w:p>
        </w:tc>
        <w:tc>
          <w:tcPr>
            <w:tcW w:w="1370" w:type="dxa"/>
          </w:tcPr>
          <w:p w14:paraId="413F3E6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A44C27" w:rsidRPr="00BF3066" w14:paraId="127FAC91" w14:textId="77777777" w:rsidTr="00C30A25">
        <w:trPr>
          <w:trHeight w:val="604"/>
        </w:trPr>
        <w:tc>
          <w:tcPr>
            <w:tcW w:w="1125" w:type="dxa"/>
            <w:shd w:val="clear" w:color="auto" w:fill="8EAADB" w:themeFill="accent1" w:themeFillTint="99"/>
          </w:tcPr>
          <w:p w14:paraId="1F0DC766" w14:textId="07748757" w:rsidR="00C30A25" w:rsidRPr="00C30A25" w:rsidRDefault="00C30A25" w:rsidP="00A10794">
            <w:pPr>
              <w:spacing w:line="254" w:lineRule="auto"/>
              <w:ind w:right="-188"/>
              <w:rPr>
                <w:b/>
              </w:rPr>
            </w:pPr>
            <w:r w:rsidRPr="00C30A25">
              <w:rPr>
                <w:b/>
              </w:rPr>
              <w:t>UKUPNO</w:t>
            </w:r>
          </w:p>
        </w:tc>
        <w:tc>
          <w:tcPr>
            <w:tcW w:w="1267" w:type="dxa"/>
            <w:shd w:val="clear" w:color="auto" w:fill="8EAADB" w:themeFill="accent1" w:themeFillTint="99"/>
          </w:tcPr>
          <w:p w14:paraId="6EA75FBB" w14:textId="1C78BAAC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04" w:type="dxa"/>
            <w:shd w:val="clear" w:color="auto" w:fill="8EAADB" w:themeFill="accent1" w:themeFillTint="99"/>
          </w:tcPr>
          <w:p w14:paraId="2610744F" w14:textId="5E9E1673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604AB96A" w14:textId="71D01BEE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2DB7F29F" w14:textId="57CC77B7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04E392CF" w14:textId="5A1983DE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113" w:type="dxa"/>
            <w:shd w:val="clear" w:color="auto" w:fill="8EAADB" w:themeFill="accent1" w:themeFillTint="99"/>
          </w:tcPr>
          <w:p w14:paraId="2983C8E5" w14:textId="1FE4B411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113" w:type="dxa"/>
            <w:shd w:val="clear" w:color="auto" w:fill="8EAADB" w:themeFill="accent1" w:themeFillTint="99"/>
          </w:tcPr>
          <w:p w14:paraId="3FBECDC9" w14:textId="23DCB08B" w:rsidR="00C30A25" w:rsidRDefault="00C30A25" w:rsidP="00C30A25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167" w:type="dxa"/>
            <w:shd w:val="clear" w:color="auto" w:fill="8EAADB" w:themeFill="accent1" w:themeFillTint="99"/>
          </w:tcPr>
          <w:p w14:paraId="15E974A2" w14:textId="646D7918" w:rsidR="00C30A25" w:rsidRDefault="00C30A25" w:rsidP="00C30A25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370" w:type="dxa"/>
            <w:shd w:val="clear" w:color="auto" w:fill="8EAADB" w:themeFill="accent1" w:themeFillTint="99"/>
          </w:tcPr>
          <w:p w14:paraId="382C31CF" w14:textId="56CB7B30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</w:tbl>
    <w:p w14:paraId="43650E7E" w14:textId="16E9C434" w:rsidR="00C30A25" w:rsidRDefault="00C30A25" w:rsidP="00A10794">
      <w:pPr>
        <w:tabs>
          <w:tab w:val="left" w:pos="2085"/>
        </w:tabs>
        <w:spacing w:line="254" w:lineRule="auto"/>
        <w:ind w:right="-188"/>
      </w:pPr>
    </w:p>
    <w:p w14:paraId="4D11FFB7" w14:textId="6B69A0F0" w:rsidR="00C30A25" w:rsidRPr="00447DA3" w:rsidRDefault="00632FD3" w:rsidP="00447DA3">
      <w:pPr>
        <w:pStyle w:val="ListParagraph"/>
        <w:numPr>
          <w:ilvl w:val="0"/>
          <w:numId w:val="13"/>
        </w:numPr>
        <w:spacing w:after="0" w:line="254" w:lineRule="auto"/>
        <w:ind w:right="-188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P</w:t>
      </w:r>
      <w:r w:rsidR="00C30A25" w:rsidRPr="00447DA3">
        <w:rPr>
          <w:rFonts w:cstheme="minorHAnsi"/>
          <w:b/>
          <w:i/>
          <w:sz w:val="20"/>
          <w:szCs w:val="20"/>
        </w:rPr>
        <w:t xml:space="preserve">rikaz postupanja sudova u 2023. godini. </w:t>
      </w:r>
    </w:p>
    <w:p w14:paraId="2118BCDC" w14:textId="77777777" w:rsidR="00C30A25" w:rsidRPr="00BF3066" w:rsidRDefault="00C30A25" w:rsidP="00A10794">
      <w:pPr>
        <w:tabs>
          <w:tab w:val="left" w:pos="2085"/>
        </w:tabs>
        <w:spacing w:line="254" w:lineRule="auto"/>
        <w:ind w:right="-188"/>
      </w:pPr>
    </w:p>
    <w:tbl>
      <w:tblPr>
        <w:tblStyle w:val="TableGrid"/>
        <w:tblpPr w:leftFromText="180" w:rightFromText="180" w:vertAnchor="text" w:horzAnchor="margin" w:tblpXSpec="center" w:tblpY="56"/>
        <w:tblW w:w="11740" w:type="dxa"/>
        <w:tblLook w:val="04A0" w:firstRow="1" w:lastRow="0" w:firstColumn="1" w:lastColumn="0" w:noHBand="0" w:noVBand="1"/>
      </w:tblPr>
      <w:tblGrid>
        <w:gridCol w:w="1125"/>
        <w:gridCol w:w="1267"/>
        <w:gridCol w:w="1204"/>
        <w:gridCol w:w="1127"/>
        <w:gridCol w:w="1127"/>
        <w:gridCol w:w="1127"/>
        <w:gridCol w:w="1113"/>
        <w:gridCol w:w="1113"/>
        <w:gridCol w:w="1167"/>
        <w:gridCol w:w="1370"/>
      </w:tblGrid>
      <w:tr w:rsidR="00815805" w:rsidRPr="00BF3066" w14:paraId="6825180A" w14:textId="77777777" w:rsidTr="00815805">
        <w:trPr>
          <w:trHeight w:val="581"/>
        </w:trPr>
        <w:tc>
          <w:tcPr>
            <w:tcW w:w="1125" w:type="dxa"/>
          </w:tcPr>
          <w:p w14:paraId="1A604E42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7BA6EFC6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4E4968CE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 xml:space="preserve">OSNOVNI </w:t>
            </w:r>
          </w:p>
          <w:p w14:paraId="714673A2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36CF1506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SUD</w:t>
            </w:r>
          </w:p>
        </w:tc>
        <w:tc>
          <w:tcPr>
            <w:tcW w:w="1267" w:type="dxa"/>
          </w:tcPr>
          <w:p w14:paraId="416654BB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radu na dan 01.01.2023. godine</w:t>
            </w:r>
          </w:p>
        </w:tc>
        <w:tc>
          <w:tcPr>
            <w:tcW w:w="1204" w:type="dxa"/>
          </w:tcPr>
          <w:p w14:paraId="0DCD63B3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primljenih u periodu 01.01.2023. do 31.12.2023.</w:t>
            </w:r>
          </w:p>
        </w:tc>
        <w:tc>
          <w:tcPr>
            <w:tcW w:w="1127" w:type="dxa"/>
          </w:tcPr>
          <w:p w14:paraId="1B7694BC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radu u periodu 01.01.2023. do 31.12.2023.</w:t>
            </w:r>
          </w:p>
        </w:tc>
        <w:tc>
          <w:tcPr>
            <w:tcW w:w="1127" w:type="dxa"/>
          </w:tcPr>
          <w:p w14:paraId="2F34A772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odluka u kojima je predlog usvojen u periodu 01.01.2023. do 31.12.2023.</w:t>
            </w:r>
          </w:p>
        </w:tc>
        <w:tc>
          <w:tcPr>
            <w:tcW w:w="1127" w:type="dxa"/>
          </w:tcPr>
          <w:p w14:paraId="12088E45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</w:rPr>
            </w:pPr>
            <w:r w:rsidRPr="00BF3066">
              <w:rPr>
                <w:b/>
                <w:sz w:val="18"/>
                <w:szCs w:val="18"/>
              </w:rPr>
              <w:t>Ukupan broj odluka u kojima je predlog odbijen u periodu 01.01.2023. do 31.12.2023.</w:t>
            </w:r>
          </w:p>
        </w:tc>
        <w:tc>
          <w:tcPr>
            <w:tcW w:w="1113" w:type="dxa"/>
          </w:tcPr>
          <w:p w14:paraId="6D4695FA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Razlozi da donošenje odluke o odbijanju predloga</w:t>
            </w:r>
          </w:p>
        </w:tc>
        <w:tc>
          <w:tcPr>
            <w:tcW w:w="1113" w:type="dxa"/>
          </w:tcPr>
          <w:p w14:paraId="47F47867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Starosna dob i pol podnosilaca predloga</w:t>
            </w:r>
          </w:p>
        </w:tc>
        <w:tc>
          <w:tcPr>
            <w:tcW w:w="1167" w:type="dxa"/>
          </w:tcPr>
          <w:p w14:paraId="08BBE681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Starosna dob lica sa kojim dijete starije od 16 godina namjerava da zaključi brak</w:t>
            </w:r>
          </w:p>
        </w:tc>
        <w:tc>
          <w:tcPr>
            <w:tcW w:w="1370" w:type="dxa"/>
          </w:tcPr>
          <w:p w14:paraId="2B86A999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kojima je predlog podnijet od strane pripadnika romske ili egipćanske populacije</w:t>
            </w:r>
          </w:p>
        </w:tc>
      </w:tr>
      <w:tr w:rsidR="00815805" w:rsidRPr="00BF3066" w14:paraId="2368E5C6" w14:textId="77777777" w:rsidTr="00815805">
        <w:trPr>
          <w:trHeight w:val="604"/>
        </w:trPr>
        <w:tc>
          <w:tcPr>
            <w:tcW w:w="1125" w:type="dxa"/>
          </w:tcPr>
          <w:p w14:paraId="72182015" w14:textId="77777777" w:rsidR="00815805" w:rsidRPr="008B4261" w:rsidRDefault="00815805" w:rsidP="00A10794">
            <w:pPr>
              <w:spacing w:line="254" w:lineRule="auto"/>
              <w:ind w:right="-188"/>
            </w:pPr>
            <w:r>
              <w:t>Podgorica</w:t>
            </w:r>
          </w:p>
        </w:tc>
        <w:tc>
          <w:tcPr>
            <w:tcW w:w="1267" w:type="dxa"/>
          </w:tcPr>
          <w:p w14:paraId="2293A76A" w14:textId="77777777" w:rsidR="00815805" w:rsidRPr="004845C2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158A42A3" w14:textId="77777777" w:rsidR="00815805" w:rsidRPr="004845C2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742B125F" w14:textId="77777777" w:rsidR="00815805" w:rsidRPr="00C73CE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336CB854" w14:textId="77777777" w:rsidR="00815805" w:rsidRPr="00C73CE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6CE8450E" w14:textId="77777777" w:rsidR="00815805" w:rsidRPr="00C73CE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25AE226C" w14:textId="77777777" w:rsidR="00815805" w:rsidRPr="00C73CE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246B5849" w14:textId="77777777" w:rsidR="00815805" w:rsidRPr="00C73CE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67" w:type="dxa"/>
          </w:tcPr>
          <w:p w14:paraId="4526B432" w14:textId="77777777" w:rsidR="00815805" w:rsidRPr="00C73CE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370" w:type="dxa"/>
          </w:tcPr>
          <w:p w14:paraId="78DBCD88" w14:textId="77777777" w:rsidR="00815805" w:rsidRPr="00C73CE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1AE182E9" w14:textId="77777777" w:rsidTr="00815805">
        <w:trPr>
          <w:trHeight w:val="604"/>
        </w:trPr>
        <w:tc>
          <w:tcPr>
            <w:tcW w:w="1125" w:type="dxa"/>
          </w:tcPr>
          <w:p w14:paraId="0A43B114" w14:textId="77777777" w:rsidR="00815805" w:rsidRDefault="00815805" w:rsidP="00A10794">
            <w:pPr>
              <w:spacing w:line="254" w:lineRule="auto"/>
              <w:ind w:right="-188"/>
            </w:pPr>
            <w:r>
              <w:t>Berane</w:t>
            </w:r>
          </w:p>
        </w:tc>
        <w:tc>
          <w:tcPr>
            <w:tcW w:w="1267" w:type="dxa"/>
          </w:tcPr>
          <w:p w14:paraId="61ECFF1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5C020ED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5600E60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7B85D87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58CEF87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171FE5E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3DC36027" w14:textId="77777777" w:rsidR="00815805" w:rsidRDefault="00815805" w:rsidP="00A44C27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 godina</w:t>
            </w:r>
          </w:p>
        </w:tc>
        <w:tc>
          <w:tcPr>
            <w:tcW w:w="1167" w:type="dxa"/>
          </w:tcPr>
          <w:p w14:paraId="0B4C897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17 godina</w:t>
            </w:r>
          </w:p>
        </w:tc>
        <w:tc>
          <w:tcPr>
            <w:tcW w:w="1370" w:type="dxa"/>
          </w:tcPr>
          <w:p w14:paraId="1242772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6407BB6D" w14:textId="77777777" w:rsidTr="00815805">
        <w:trPr>
          <w:trHeight w:val="604"/>
        </w:trPr>
        <w:tc>
          <w:tcPr>
            <w:tcW w:w="1125" w:type="dxa"/>
          </w:tcPr>
          <w:p w14:paraId="5867EE86" w14:textId="77777777" w:rsidR="00815805" w:rsidRDefault="00815805" w:rsidP="00A10794">
            <w:pPr>
              <w:spacing w:line="254" w:lineRule="auto"/>
              <w:ind w:right="-188"/>
            </w:pPr>
            <w:r>
              <w:t>Kolašin</w:t>
            </w:r>
          </w:p>
        </w:tc>
        <w:tc>
          <w:tcPr>
            <w:tcW w:w="1267" w:type="dxa"/>
          </w:tcPr>
          <w:p w14:paraId="2636684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104ACD8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20BB58D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4E4BC45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4BB7F2B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6AE7C17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57F570F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67" w:type="dxa"/>
          </w:tcPr>
          <w:p w14:paraId="7DFB3D8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370" w:type="dxa"/>
          </w:tcPr>
          <w:p w14:paraId="2A74F5D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44DDA009" w14:textId="77777777" w:rsidTr="00815805">
        <w:trPr>
          <w:trHeight w:val="604"/>
        </w:trPr>
        <w:tc>
          <w:tcPr>
            <w:tcW w:w="1125" w:type="dxa"/>
          </w:tcPr>
          <w:p w14:paraId="17AE36A4" w14:textId="77777777" w:rsidR="00815805" w:rsidRDefault="00815805" w:rsidP="00A10794">
            <w:pPr>
              <w:spacing w:line="254" w:lineRule="auto"/>
              <w:ind w:right="-188"/>
            </w:pPr>
            <w:r>
              <w:t xml:space="preserve">Pljevlja </w:t>
            </w:r>
          </w:p>
        </w:tc>
        <w:tc>
          <w:tcPr>
            <w:tcW w:w="1267" w:type="dxa"/>
          </w:tcPr>
          <w:p w14:paraId="1172F69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026ABD8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53F4854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66A9F45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210EE47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535FEB5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21D5673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67" w:type="dxa"/>
          </w:tcPr>
          <w:p w14:paraId="12E487D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370" w:type="dxa"/>
          </w:tcPr>
          <w:p w14:paraId="643AF53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26FA3E28" w14:textId="77777777" w:rsidTr="00815805">
        <w:trPr>
          <w:trHeight w:val="604"/>
        </w:trPr>
        <w:tc>
          <w:tcPr>
            <w:tcW w:w="1125" w:type="dxa"/>
          </w:tcPr>
          <w:p w14:paraId="05515270" w14:textId="77777777" w:rsidR="00815805" w:rsidRDefault="00815805" w:rsidP="00A10794">
            <w:pPr>
              <w:spacing w:line="254" w:lineRule="auto"/>
              <w:ind w:right="-188"/>
            </w:pPr>
            <w:r>
              <w:t xml:space="preserve">Bar </w:t>
            </w:r>
          </w:p>
        </w:tc>
        <w:tc>
          <w:tcPr>
            <w:tcW w:w="1267" w:type="dxa"/>
          </w:tcPr>
          <w:p w14:paraId="1BD44C0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3A74C0D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2C16E95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0601DA3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101E1BC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6E1C249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48B48E6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67" w:type="dxa"/>
          </w:tcPr>
          <w:p w14:paraId="51C794E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370" w:type="dxa"/>
          </w:tcPr>
          <w:p w14:paraId="70A938F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578D931D" w14:textId="77777777" w:rsidTr="00815805">
        <w:trPr>
          <w:trHeight w:val="604"/>
        </w:trPr>
        <w:tc>
          <w:tcPr>
            <w:tcW w:w="1125" w:type="dxa"/>
          </w:tcPr>
          <w:p w14:paraId="692F5ED1" w14:textId="77777777" w:rsidR="00815805" w:rsidRDefault="00815805" w:rsidP="00A10794">
            <w:pPr>
              <w:spacing w:line="254" w:lineRule="auto"/>
              <w:ind w:right="-188"/>
            </w:pPr>
            <w:r>
              <w:t>Bijelo Polje</w:t>
            </w:r>
          </w:p>
        </w:tc>
        <w:tc>
          <w:tcPr>
            <w:tcW w:w="1267" w:type="dxa"/>
          </w:tcPr>
          <w:p w14:paraId="59557368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204" w:type="dxa"/>
          </w:tcPr>
          <w:p w14:paraId="3E3943C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127" w:type="dxa"/>
          </w:tcPr>
          <w:p w14:paraId="35EB2CA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127" w:type="dxa"/>
          </w:tcPr>
          <w:p w14:paraId="1A1D9F7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127" w:type="dxa"/>
          </w:tcPr>
          <w:p w14:paraId="7D7BA86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0BF7F07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41D049D0" w14:textId="29B7332F" w:rsidR="00815805" w:rsidRDefault="00815805" w:rsidP="00560158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16.5</w:t>
            </w:r>
            <w:r w:rsidR="00A44C27">
              <w:rPr>
                <w:lang w:val="sr-Latn-RS"/>
              </w:rPr>
              <w:t xml:space="preserve"> godina</w:t>
            </w:r>
            <w:r>
              <w:rPr>
                <w:lang w:val="sr-Latn-RS"/>
              </w:rPr>
              <w:t xml:space="preserve"> </w:t>
            </w:r>
            <w:r w:rsidR="00A44C27">
              <w:rPr>
                <w:lang w:val="sr-Latn-RS"/>
              </w:rPr>
              <w:t>(pol-Ž);</w:t>
            </w:r>
          </w:p>
        </w:tc>
        <w:tc>
          <w:tcPr>
            <w:tcW w:w="1167" w:type="dxa"/>
          </w:tcPr>
          <w:p w14:paraId="6EAC88D3" w14:textId="52F5F651" w:rsidR="00815805" w:rsidRDefault="00815805" w:rsidP="00560158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19</w:t>
            </w:r>
            <w:r w:rsidR="00A44C27">
              <w:rPr>
                <w:lang w:val="sr-Latn-RS"/>
              </w:rPr>
              <w:t xml:space="preserve"> godina</w:t>
            </w:r>
          </w:p>
        </w:tc>
        <w:tc>
          <w:tcPr>
            <w:tcW w:w="1370" w:type="dxa"/>
          </w:tcPr>
          <w:p w14:paraId="6C0A05C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41A56BCC" w14:textId="77777777" w:rsidTr="00815805">
        <w:trPr>
          <w:trHeight w:val="604"/>
        </w:trPr>
        <w:tc>
          <w:tcPr>
            <w:tcW w:w="1125" w:type="dxa"/>
          </w:tcPr>
          <w:p w14:paraId="6D51B34C" w14:textId="77777777" w:rsidR="00815805" w:rsidRDefault="00815805" w:rsidP="00A10794">
            <w:pPr>
              <w:spacing w:line="254" w:lineRule="auto"/>
              <w:ind w:right="-188"/>
            </w:pPr>
            <w:r>
              <w:t>Kotor</w:t>
            </w:r>
          </w:p>
        </w:tc>
        <w:tc>
          <w:tcPr>
            <w:tcW w:w="1267" w:type="dxa"/>
          </w:tcPr>
          <w:p w14:paraId="72585CC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42ECF76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17DCA0B6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0</w:t>
            </w:r>
          </w:p>
        </w:tc>
        <w:tc>
          <w:tcPr>
            <w:tcW w:w="1127" w:type="dxa"/>
          </w:tcPr>
          <w:p w14:paraId="060E1B9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66464A6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31A1084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09C6F10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67" w:type="dxa"/>
          </w:tcPr>
          <w:p w14:paraId="301A12C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370" w:type="dxa"/>
          </w:tcPr>
          <w:p w14:paraId="734E553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  <w:p w14:paraId="1F274C4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</w:p>
        </w:tc>
      </w:tr>
      <w:tr w:rsidR="00815805" w:rsidRPr="00BF3066" w14:paraId="729AF3E8" w14:textId="77777777" w:rsidTr="00815805">
        <w:trPr>
          <w:trHeight w:val="604"/>
        </w:trPr>
        <w:tc>
          <w:tcPr>
            <w:tcW w:w="1125" w:type="dxa"/>
          </w:tcPr>
          <w:p w14:paraId="02255990" w14:textId="77777777" w:rsidR="00815805" w:rsidRDefault="00815805" w:rsidP="00A10794">
            <w:pPr>
              <w:spacing w:line="254" w:lineRule="auto"/>
              <w:ind w:right="-188"/>
            </w:pPr>
            <w:r>
              <w:t>Plav</w:t>
            </w:r>
          </w:p>
        </w:tc>
        <w:tc>
          <w:tcPr>
            <w:tcW w:w="1267" w:type="dxa"/>
          </w:tcPr>
          <w:p w14:paraId="6DE9A4B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3761755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30DFB8F7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0</w:t>
            </w:r>
          </w:p>
        </w:tc>
        <w:tc>
          <w:tcPr>
            <w:tcW w:w="1127" w:type="dxa"/>
          </w:tcPr>
          <w:p w14:paraId="11C7A93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33B3290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7B3AA68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14142600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67" w:type="dxa"/>
          </w:tcPr>
          <w:p w14:paraId="6402791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370" w:type="dxa"/>
          </w:tcPr>
          <w:p w14:paraId="4DEC057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69E32086" w14:textId="77777777" w:rsidTr="00815805">
        <w:trPr>
          <w:trHeight w:val="604"/>
        </w:trPr>
        <w:tc>
          <w:tcPr>
            <w:tcW w:w="1125" w:type="dxa"/>
          </w:tcPr>
          <w:p w14:paraId="3D8BFC46" w14:textId="77777777" w:rsidR="00815805" w:rsidRDefault="00815805" w:rsidP="00A10794">
            <w:pPr>
              <w:spacing w:line="254" w:lineRule="auto"/>
              <w:ind w:right="-188"/>
            </w:pPr>
            <w:r>
              <w:t>Nikšić</w:t>
            </w:r>
          </w:p>
        </w:tc>
        <w:tc>
          <w:tcPr>
            <w:tcW w:w="1267" w:type="dxa"/>
          </w:tcPr>
          <w:p w14:paraId="3E59DFF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18F2256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1C92BBDD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1</w:t>
            </w:r>
          </w:p>
        </w:tc>
        <w:tc>
          <w:tcPr>
            <w:tcW w:w="1127" w:type="dxa"/>
          </w:tcPr>
          <w:p w14:paraId="443DCB0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11A298C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25CC880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328A4330" w14:textId="77777777" w:rsidR="00815805" w:rsidRDefault="00815805" w:rsidP="00560158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 godina</w:t>
            </w:r>
          </w:p>
        </w:tc>
        <w:tc>
          <w:tcPr>
            <w:tcW w:w="1167" w:type="dxa"/>
          </w:tcPr>
          <w:p w14:paraId="7D406472" w14:textId="580CFB59" w:rsidR="00815805" w:rsidRDefault="00A44C27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nema podataka</w:t>
            </w:r>
          </w:p>
        </w:tc>
        <w:tc>
          <w:tcPr>
            <w:tcW w:w="1370" w:type="dxa"/>
          </w:tcPr>
          <w:p w14:paraId="2A5A6BB7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C30A25" w:rsidRPr="00BF3066" w14:paraId="1121BB5B" w14:textId="77777777" w:rsidTr="00C30A25">
        <w:trPr>
          <w:trHeight w:val="604"/>
        </w:trPr>
        <w:tc>
          <w:tcPr>
            <w:tcW w:w="1125" w:type="dxa"/>
            <w:shd w:val="clear" w:color="auto" w:fill="8EAADB" w:themeFill="accent1" w:themeFillTint="99"/>
          </w:tcPr>
          <w:p w14:paraId="1A4D214A" w14:textId="6F320695" w:rsidR="00C30A25" w:rsidRPr="00C30A25" w:rsidRDefault="00C30A25" w:rsidP="00A10794">
            <w:pPr>
              <w:spacing w:line="254" w:lineRule="auto"/>
              <w:ind w:right="-188"/>
              <w:rPr>
                <w:b/>
              </w:rPr>
            </w:pPr>
            <w:r w:rsidRPr="00C30A25">
              <w:rPr>
                <w:b/>
              </w:rPr>
              <w:t>UKUPNO</w:t>
            </w:r>
          </w:p>
        </w:tc>
        <w:tc>
          <w:tcPr>
            <w:tcW w:w="1267" w:type="dxa"/>
            <w:shd w:val="clear" w:color="auto" w:fill="8EAADB" w:themeFill="accent1" w:themeFillTint="99"/>
          </w:tcPr>
          <w:p w14:paraId="1C02D140" w14:textId="6D33645C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204" w:type="dxa"/>
            <w:shd w:val="clear" w:color="auto" w:fill="8EAADB" w:themeFill="accent1" w:themeFillTint="99"/>
          </w:tcPr>
          <w:p w14:paraId="33225506" w14:textId="679DFC5B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472499AD" w14:textId="32E70E4B" w:rsidR="00C30A25" w:rsidRDefault="00C30A25" w:rsidP="00C30A25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62285B29" w14:textId="651C27EA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413E2184" w14:textId="2083AF0B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113" w:type="dxa"/>
            <w:shd w:val="clear" w:color="auto" w:fill="8EAADB" w:themeFill="accent1" w:themeFillTint="99"/>
          </w:tcPr>
          <w:p w14:paraId="079894D5" w14:textId="76DEEB32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113" w:type="dxa"/>
            <w:shd w:val="clear" w:color="auto" w:fill="8EAADB" w:themeFill="accent1" w:themeFillTint="99"/>
          </w:tcPr>
          <w:p w14:paraId="0392549F" w14:textId="60F1D1D3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167" w:type="dxa"/>
            <w:shd w:val="clear" w:color="auto" w:fill="8EAADB" w:themeFill="accent1" w:themeFillTint="99"/>
          </w:tcPr>
          <w:p w14:paraId="1FC515CE" w14:textId="380B84D0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370" w:type="dxa"/>
            <w:shd w:val="clear" w:color="auto" w:fill="8EAADB" w:themeFill="accent1" w:themeFillTint="99"/>
          </w:tcPr>
          <w:p w14:paraId="66E24298" w14:textId="2CF2EE63" w:rsidR="00C30A25" w:rsidRDefault="00C30A2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</w:tbl>
    <w:p w14:paraId="496394BD" w14:textId="7A625D00" w:rsidR="00815805" w:rsidRDefault="00815805" w:rsidP="00A10794">
      <w:pPr>
        <w:tabs>
          <w:tab w:val="left" w:pos="2085"/>
        </w:tabs>
        <w:spacing w:line="254" w:lineRule="auto"/>
        <w:ind w:right="-188"/>
      </w:pPr>
    </w:p>
    <w:p w14:paraId="777A3A43" w14:textId="77777777" w:rsidR="00C30A25" w:rsidRPr="00BF3066" w:rsidRDefault="00C30A25" w:rsidP="00A10794">
      <w:pPr>
        <w:tabs>
          <w:tab w:val="left" w:pos="2085"/>
        </w:tabs>
        <w:spacing w:line="254" w:lineRule="auto"/>
        <w:ind w:right="-188"/>
      </w:pPr>
    </w:p>
    <w:p w14:paraId="434DAE12" w14:textId="77777777" w:rsidR="001619D2" w:rsidRDefault="001619D2" w:rsidP="001619D2">
      <w:pPr>
        <w:pStyle w:val="ListParagraph"/>
        <w:spacing w:after="0" w:line="254" w:lineRule="auto"/>
        <w:ind w:right="-188"/>
        <w:rPr>
          <w:rFonts w:cstheme="minorHAnsi"/>
          <w:b/>
          <w:i/>
          <w:sz w:val="20"/>
          <w:szCs w:val="20"/>
        </w:rPr>
      </w:pPr>
    </w:p>
    <w:p w14:paraId="271A0312" w14:textId="343729DC" w:rsidR="00C30A25" w:rsidRPr="00447DA3" w:rsidRDefault="00632FD3" w:rsidP="00447DA3">
      <w:pPr>
        <w:pStyle w:val="ListParagraph"/>
        <w:numPr>
          <w:ilvl w:val="0"/>
          <w:numId w:val="13"/>
        </w:numPr>
        <w:spacing w:after="0" w:line="254" w:lineRule="auto"/>
        <w:ind w:right="-188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lastRenderedPageBreak/>
        <w:t>P</w:t>
      </w:r>
      <w:r w:rsidR="00C30A25" w:rsidRPr="00447DA3">
        <w:rPr>
          <w:rFonts w:cstheme="minorHAnsi"/>
          <w:b/>
          <w:i/>
          <w:sz w:val="20"/>
          <w:szCs w:val="20"/>
        </w:rPr>
        <w:t xml:space="preserve">rikaz postupanja sudova u 2024. godini. </w:t>
      </w:r>
    </w:p>
    <w:p w14:paraId="0C4DEB42" w14:textId="77777777" w:rsidR="00815805" w:rsidRPr="00BF3066" w:rsidRDefault="00815805" w:rsidP="00A10794">
      <w:pPr>
        <w:tabs>
          <w:tab w:val="left" w:pos="2085"/>
        </w:tabs>
        <w:spacing w:line="254" w:lineRule="auto"/>
        <w:ind w:right="-188"/>
      </w:pPr>
    </w:p>
    <w:tbl>
      <w:tblPr>
        <w:tblStyle w:val="TableGrid"/>
        <w:tblpPr w:leftFromText="180" w:rightFromText="180" w:vertAnchor="text" w:horzAnchor="margin" w:tblpXSpec="center" w:tblpY="56"/>
        <w:tblW w:w="11740" w:type="dxa"/>
        <w:tblLook w:val="04A0" w:firstRow="1" w:lastRow="0" w:firstColumn="1" w:lastColumn="0" w:noHBand="0" w:noVBand="1"/>
      </w:tblPr>
      <w:tblGrid>
        <w:gridCol w:w="1121"/>
        <w:gridCol w:w="1236"/>
        <w:gridCol w:w="1184"/>
        <w:gridCol w:w="1121"/>
        <w:gridCol w:w="1121"/>
        <w:gridCol w:w="1121"/>
        <w:gridCol w:w="1264"/>
        <w:gridCol w:w="1113"/>
        <w:gridCol w:w="1147"/>
        <w:gridCol w:w="1312"/>
      </w:tblGrid>
      <w:tr w:rsidR="00815805" w:rsidRPr="00BF3066" w14:paraId="7261FB31" w14:textId="77777777" w:rsidTr="00815805">
        <w:trPr>
          <w:trHeight w:val="581"/>
        </w:trPr>
        <w:tc>
          <w:tcPr>
            <w:tcW w:w="1125" w:type="dxa"/>
          </w:tcPr>
          <w:p w14:paraId="2446F93A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51D3ED07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4A38FFE8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 xml:space="preserve">OSNOVNI </w:t>
            </w:r>
          </w:p>
          <w:p w14:paraId="07BE435F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</w:p>
          <w:p w14:paraId="292B500E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SUD</w:t>
            </w:r>
          </w:p>
        </w:tc>
        <w:tc>
          <w:tcPr>
            <w:tcW w:w="1267" w:type="dxa"/>
          </w:tcPr>
          <w:p w14:paraId="7DAAF9EE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radu na dan 01.01.2024. godine</w:t>
            </w:r>
          </w:p>
        </w:tc>
        <w:tc>
          <w:tcPr>
            <w:tcW w:w="1204" w:type="dxa"/>
          </w:tcPr>
          <w:p w14:paraId="23431F4A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primljenih u periodu 01.01.2024. do 31.12.2024.</w:t>
            </w:r>
          </w:p>
        </w:tc>
        <w:tc>
          <w:tcPr>
            <w:tcW w:w="1127" w:type="dxa"/>
          </w:tcPr>
          <w:p w14:paraId="61142F39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radu u periodu 01.01.2024. do 31.12.2024.</w:t>
            </w:r>
          </w:p>
        </w:tc>
        <w:tc>
          <w:tcPr>
            <w:tcW w:w="1127" w:type="dxa"/>
          </w:tcPr>
          <w:p w14:paraId="5E6499A3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odluka u kojima je predlog usvojen u periodu 01.01.2024. do 31.12.2024.</w:t>
            </w:r>
          </w:p>
        </w:tc>
        <w:tc>
          <w:tcPr>
            <w:tcW w:w="1127" w:type="dxa"/>
          </w:tcPr>
          <w:p w14:paraId="5466ECB0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</w:rPr>
            </w:pPr>
            <w:r w:rsidRPr="00BF3066">
              <w:rPr>
                <w:b/>
                <w:sz w:val="18"/>
                <w:szCs w:val="18"/>
              </w:rPr>
              <w:t>Ukupan broj odluka u kojima je predlog odbijen u periodu 01.01.2024. do 31.12.2024.</w:t>
            </w:r>
          </w:p>
        </w:tc>
        <w:tc>
          <w:tcPr>
            <w:tcW w:w="1113" w:type="dxa"/>
          </w:tcPr>
          <w:p w14:paraId="0B92FA0D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Razlozi da donošenje odluke o odbijanju predloga</w:t>
            </w:r>
          </w:p>
        </w:tc>
        <w:tc>
          <w:tcPr>
            <w:tcW w:w="1113" w:type="dxa"/>
          </w:tcPr>
          <w:p w14:paraId="208F7D98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Starosna dob i pol podnosilaca predloga</w:t>
            </w:r>
          </w:p>
        </w:tc>
        <w:tc>
          <w:tcPr>
            <w:tcW w:w="1167" w:type="dxa"/>
          </w:tcPr>
          <w:p w14:paraId="3BD204E3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Starosna dob lica sa kojim dijete starije od 16 godina namjerava da zaključi brak</w:t>
            </w:r>
          </w:p>
        </w:tc>
        <w:tc>
          <w:tcPr>
            <w:tcW w:w="1370" w:type="dxa"/>
          </w:tcPr>
          <w:p w14:paraId="03125C0C" w14:textId="77777777" w:rsidR="00815805" w:rsidRPr="00BF3066" w:rsidRDefault="00815805" w:rsidP="00A10794">
            <w:pPr>
              <w:spacing w:line="254" w:lineRule="auto"/>
              <w:ind w:right="-188"/>
              <w:rPr>
                <w:b/>
                <w:sz w:val="18"/>
                <w:szCs w:val="18"/>
              </w:rPr>
            </w:pPr>
            <w:r w:rsidRPr="00BF3066">
              <w:rPr>
                <w:b/>
                <w:sz w:val="18"/>
                <w:szCs w:val="18"/>
              </w:rPr>
              <w:t>Ukupan broj predmeta u kojima je predlog podnijet od strane pripadnika romske ili egipćanske populacije</w:t>
            </w:r>
          </w:p>
        </w:tc>
      </w:tr>
      <w:tr w:rsidR="00815805" w:rsidRPr="00BF3066" w14:paraId="719D153B" w14:textId="77777777" w:rsidTr="00815805">
        <w:trPr>
          <w:trHeight w:val="604"/>
        </w:trPr>
        <w:tc>
          <w:tcPr>
            <w:tcW w:w="1125" w:type="dxa"/>
          </w:tcPr>
          <w:p w14:paraId="33EE87E8" w14:textId="77777777" w:rsidR="00815805" w:rsidRPr="008B4261" w:rsidRDefault="00815805" w:rsidP="00A10794">
            <w:pPr>
              <w:spacing w:line="254" w:lineRule="auto"/>
              <w:ind w:right="-188"/>
            </w:pPr>
            <w:r>
              <w:t>Podgorica</w:t>
            </w:r>
          </w:p>
        </w:tc>
        <w:tc>
          <w:tcPr>
            <w:tcW w:w="1267" w:type="dxa"/>
          </w:tcPr>
          <w:p w14:paraId="60E0987C" w14:textId="77777777" w:rsidR="00815805" w:rsidRPr="004845C2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204" w:type="dxa"/>
          </w:tcPr>
          <w:p w14:paraId="2346B8A5" w14:textId="77777777" w:rsidR="00815805" w:rsidRPr="004845C2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6B26657C" w14:textId="77777777" w:rsidR="00815805" w:rsidRPr="004845C2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3B103431" w14:textId="77777777" w:rsidR="00815805" w:rsidRPr="00561BF6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77AF163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  <w:p w14:paraId="12F50538" w14:textId="77777777" w:rsidR="00815805" w:rsidRPr="00561BF6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odbačaj</w:t>
            </w:r>
          </w:p>
        </w:tc>
        <w:tc>
          <w:tcPr>
            <w:tcW w:w="1113" w:type="dxa"/>
          </w:tcPr>
          <w:p w14:paraId="5CD5EDEA" w14:textId="77777777" w:rsidR="00815805" w:rsidRPr="00572A36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Prijedlog odbačen jer je u periodu od podnošenja prijedlog do donošenja odluke postala punoljetna</w:t>
            </w:r>
          </w:p>
        </w:tc>
        <w:tc>
          <w:tcPr>
            <w:tcW w:w="1113" w:type="dxa"/>
          </w:tcPr>
          <w:p w14:paraId="1615092B" w14:textId="77777777" w:rsidR="00815805" w:rsidRPr="00173FD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U ime osobe ženskog pola godište 2007. prijedlog je podnio Centar za socijalni rad</w:t>
            </w:r>
          </w:p>
        </w:tc>
        <w:tc>
          <w:tcPr>
            <w:tcW w:w="1167" w:type="dxa"/>
          </w:tcPr>
          <w:p w14:paraId="400D8452" w14:textId="77777777" w:rsidR="00815805" w:rsidRPr="009D0CEC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nema podataka </w:t>
            </w:r>
          </w:p>
        </w:tc>
        <w:tc>
          <w:tcPr>
            <w:tcW w:w="1370" w:type="dxa"/>
          </w:tcPr>
          <w:p w14:paraId="619A257D" w14:textId="77777777" w:rsidR="00815805" w:rsidRPr="00C73CE8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815805" w:rsidRPr="00BF3066" w14:paraId="722B4827" w14:textId="77777777" w:rsidTr="00815805">
        <w:trPr>
          <w:trHeight w:val="604"/>
        </w:trPr>
        <w:tc>
          <w:tcPr>
            <w:tcW w:w="1125" w:type="dxa"/>
          </w:tcPr>
          <w:p w14:paraId="32447D0F" w14:textId="77777777" w:rsidR="00815805" w:rsidRDefault="00815805" w:rsidP="00A10794">
            <w:pPr>
              <w:spacing w:line="254" w:lineRule="auto"/>
              <w:ind w:right="-188"/>
            </w:pPr>
          </w:p>
          <w:p w14:paraId="087E6F69" w14:textId="77777777" w:rsidR="00815805" w:rsidRDefault="00815805" w:rsidP="00A10794">
            <w:pPr>
              <w:spacing w:line="254" w:lineRule="auto"/>
              <w:ind w:right="-188"/>
            </w:pPr>
            <w:r>
              <w:t>Berane</w:t>
            </w:r>
          </w:p>
        </w:tc>
        <w:tc>
          <w:tcPr>
            <w:tcW w:w="1267" w:type="dxa"/>
          </w:tcPr>
          <w:p w14:paraId="7584C324" w14:textId="312AC7EF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013F3E88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27" w:type="dxa"/>
          </w:tcPr>
          <w:p w14:paraId="724EA405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27" w:type="dxa"/>
          </w:tcPr>
          <w:p w14:paraId="4DF751F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2411848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13" w:type="dxa"/>
          </w:tcPr>
          <w:p w14:paraId="4F15B6D6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Povučen predlog</w:t>
            </w:r>
          </w:p>
        </w:tc>
        <w:tc>
          <w:tcPr>
            <w:tcW w:w="1113" w:type="dxa"/>
          </w:tcPr>
          <w:p w14:paraId="0F140563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 godina</w:t>
            </w:r>
          </w:p>
        </w:tc>
        <w:tc>
          <w:tcPr>
            <w:tcW w:w="1167" w:type="dxa"/>
          </w:tcPr>
          <w:p w14:paraId="0E1F720C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 godina</w:t>
            </w:r>
          </w:p>
        </w:tc>
        <w:tc>
          <w:tcPr>
            <w:tcW w:w="1370" w:type="dxa"/>
          </w:tcPr>
          <w:p w14:paraId="6766E9F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5DCB6EEA" w14:textId="77777777" w:rsidTr="00815805">
        <w:trPr>
          <w:trHeight w:val="604"/>
        </w:trPr>
        <w:tc>
          <w:tcPr>
            <w:tcW w:w="1125" w:type="dxa"/>
          </w:tcPr>
          <w:p w14:paraId="017BF7AF" w14:textId="77777777" w:rsidR="00815805" w:rsidRDefault="00815805" w:rsidP="00A10794">
            <w:pPr>
              <w:spacing w:line="254" w:lineRule="auto"/>
              <w:ind w:right="-188"/>
            </w:pPr>
          </w:p>
          <w:p w14:paraId="0BD99D44" w14:textId="77777777" w:rsidR="00815805" w:rsidRDefault="00815805" w:rsidP="00A10794">
            <w:pPr>
              <w:spacing w:line="254" w:lineRule="auto"/>
              <w:ind w:right="-188"/>
            </w:pPr>
            <w:r>
              <w:t>Kolašin</w:t>
            </w:r>
          </w:p>
        </w:tc>
        <w:tc>
          <w:tcPr>
            <w:tcW w:w="1267" w:type="dxa"/>
          </w:tcPr>
          <w:p w14:paraId="3672DF05" w14:textId="5144E13E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6FE29353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623ACAD7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0484855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6AFBBE9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56CB3684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113" w:type="dxa"/>
          </w:tcPr>
          <w:p w14:paraId="4CF73E71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0</w:t>
            </w:r>
          </w:p>
        </w:tc>
        <w:tc>
          <w:tcPr>
            <w:tcW w:w="1167" w:type="dxa"/>
          </w:tcPr>
          <w:p w14:paraId="442362BF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370" w:type="dxa"/>
          </w:tcPr>
          <w:p w14:paraId="1C90103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6D0FF0E3" w14:textId="77777777" w:rsidTr="00815805">
        <w:trPr>
          <w:trHeight w:val="604"/>
        </w:trPr>
        <w:tc>
          <w:tcPr>
            <w:tcW w:w="1125" w:type="dxa"/>
          </w:tcPr>
          <w:p w14:paraId="606AEBC9" w14:textId="77777777" w:rsidR="00815805" w:rsidRDefault="00815805" w:rsidP="00A10794">
            <w:pPr>
              <w:spacing w:line="254" w:lineRule="auto"/>
              <w:ind w:right="-188"/>
            </w:pPr>
            <w:r>
              <w:t xml:space="preserve">Pljevlja </w:t>
            </w:r>
          </w:p>
        </w:tc>
        <w:tc>
          <w:tcPr>
            <w:tcW w:w="1267" w:type="dxa"/>
          </w:tcPr>
          <w:p w14:paraId="00E463A0" w14:textId="5A81E8AB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54CEB04A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184DE572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7F680E31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55F56E74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439B2D56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113" w:type="dxa"/>
          </w:tcPr>
          <w:p w14:paraId="332703E0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0</w:t>
            </w:r>
          </w:p>
        </w:tc>
        <w:tc>
          <w:tcPr>
            <w:tcW w:w="1167" w:type="dxa"/>
          </w:tcPr>
          <w:p w14:paraId="7ACC74B9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370" w:type="dxa"/>
          </w:tcPr>
          <w:p w14:paraId="10A6E0E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1A8F2808" w14:textId="77777777" w:rsidTr="00815805">
        <w:trPr>
          <w:trHeight w:val="604"/>
        </w:trPr>
        <w:tc>
          <w:tcPr>
            <w:tcW w:w="1125" w:type="dxa"/>
          </w:tcPr>
          <w:p w14:paraId="179919EC" w14:textId="77777777" w:rsidR="00815805" w:rsidRDefault="00815805" w:rsidP="00A10794">
            <w:pPr>
              <w:spacing w:line="254" w:lineRule="auto"/>
              <w:ind w:right="-188"/>
            </w:pPr>
            <w:r>
              <w:t>Bar</w:t>
            </w:r>
          </w:p>
        </w:tc>
        <w:tc>
          <w:tcPr>
            <w:tcW w:w="1267" w:type="dxa"/>
          </w:tcPr>
          <w:p w14:paraId="6784241C" w14:textId="44C7C1E3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536A3AE9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2D62D656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43C564F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06BFAC75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0247AB9F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113" w:type="dxa"/>
          </w:tcPr>
          <w:p w14:paraId="128F9F33" w14:textId="4BC5DA12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</w:t>
            </w:r>
            <w:r w:rsidR="00A44C27">
              <w:rPr>
                <w:lang w:val="sr-Latn-RS"/>
              </w:rPr>
              <w:t xml:space="preserve"> godina</w:t>
            </w:r>
          </w:p>
        </w:tc>
        <w:tc>
          <w:tcPr>
            <w:tcW w:w="1167" w:type="dxa"/>
          </w:tcPr>
          <w:p w14:paraId="2ADB0FFE" w14:textId="7703FA4E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19</w:t>
            </w:r>
            <w:r w:rsidR="00A44C27">
              <w:rPr>
                <w:lang w:val="sr-Latn-RS"/>
              </w:rPr>
              <w:t xml:space="preserve"> godina</w:t>
            </w:r>
          </w:p>
        </w:tc>
        <w:tc>
          <w:tcPr>
            <w:tcW w:w="1370" w:type="dxa"/>
          </w:tcPr>
          <w:p w14:paraId="3101510D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815805" w:rsidRPr="00BF3066" w14:paraId="59FBDA9D" w14:textId="77777777" w:rsidTr="00815805">
        <w:trPr>
          <w:trHeight w:val="604"/>
        </w:trPr>
        <w:tc>
          <w:tcPr>
            <w:tcW w:w="1125" w:type="dxa"/>
          </w:tcPr>
          <w:p w14:paraId="00FF7940" w14:textId="77777777" w:rsidR="00815805" w:rsidRDefault="00815805" w:rsidP="00A10794">
            <w:pPr>
              <w:spacing w:line="254" w:lineRule="auto"/>
              <w:ind w:right="-188"/>
            </w:pPr>
            <w:r>
              <w:t>Bijelo Polje</w:t>
            </w:r>
          </w:p>
        </w:tc>
        <w:tc>
          <w:tcPr>
            <w:tcW w:w="1267" w:type="dxa"/>
          </w:tcPr>
          <w:p w14:paraId="63DB4485" w14:textId="3E65EC2B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04" w:type="dxa"/>
          </w:tcPr>
          <w:p w14:paraId="6DE08BF7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5A666C61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2658A393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31880C2E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4B480904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113" w:type="dxa"/>
          </w:tcPr>
          <w:p w14:paraId="5E0AA7C7" w14:textId="77777777" w:rsidR="00A44C27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17</w:t>
            </w:r>
            <w:r w:rsidR="00A44C27">
              <w:rPr>
                <w:lang w:val="sr-Latn-RS"/>
              </w:rPr>
              <w:t>godina</w:t>
            </w:r>
          </w:p>
          <w:p w14:paraId="258EC329" w14:textId="3B98553C" w:rsidR="00815805" w:rsidRDefault="00A44C27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(pol-Ž);</w:t>
            </w:r>
          </w:p>
        </w:tc>
        <w:tc>
          <w:tcPr>
            <w:tcW w:w="1167" w:type="dxa"/>
          </w:tcPr>
          <w:p w14:paraId="70E1B42A" w14:textId="301177DC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  <w:r w:rsidR="00A44C27">
              <w:rPr>
                <w:lang w:val="sr-Latn-RS"/>
              </w:rPr>
              <w:t xml:space="preserve"> godina</w:t>
            </w:r>
          </w:p>
        </w:tc>
        <w:tc>
          <w:tcPr>
            <w:tcW w:w="1370" w:type="dxa"/>
          </w:tcPr>
          <w:p w14:paraId="1DC998E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7A80093C" w14:textId="77777777" w:rsidTr="00815805">
        <w:trPr>
          <w:trHeight w:val="604"/>
        </w:trPr>
        <w:tc>
          <w:tcPr>
            <w:tcW w:w="1125" w:type="dxa"/>
          </w:tcPr>
          <w:p w14:paraId="2DFEAD2D" w14:textId="77777777" w:rsidR="00815805" w:rsidRDefault="00815805" w:rsidP="00A10794">
            <w:pPr>
              <w:spacing w:line="254" w:lineRule="auto"/>
              <w:ind w:right="-188"/>
            </w:pPr>
            <w:r>
              <w:t>Kotor</w:t>
            </w:r>
          </w:p>
        </w:tc>
        <w:tc>
          <w:tcPr>
            <w:tcW w:w="1267" w:type="dxa"/>
          </w:tcPr>
          <w:p w14:paraId="1E465FA8" w14:textId="67220B21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0CD06E60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33271126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7CC9A216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5E5C2A8A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10D8D66A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113" w:type="dxa"/>
          </w:tcPr>
          <w:p w14:paraId="69A651A9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167" w:type="dxa"/>
          </w:tcPr>
          <w:p w14:paraId="2C97A03B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0</w:t>
            </w:r>
          </w:p>
        </w:tc>
        <w:tc>
          <w:tcPr>
            <w:tcW w:w="1370" w:type="dxa"/>
          </w:tcPr>
          <w:p w14:paraId="4FEAB71F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4371C891" w14:textId="77777777" w:rsidTr="00815805">
        <w:trPr>
          <w:trHeight w:val="604"/>
        </w:trPr>
        <w:tc>
          <w:tcPr>
            <w:tcW w:w="1125" w:type="dxa"/>
          </w:tcPr>
          <w:p w14:paraId="1CEF2EFF" w14:textId="77777777" w:rsidR="00815805" w:rsidRDefault="00815805" w:rsidP="00A10794">
            <w:pPr>
              <w:spacing w:line="254" w:lineRule="auto"/>
              <w:ind w:right="-188"/>
            </w:pPr>
            <w:r>
              <w:t>Plav</w:t>
            </w:r>
          </w:p>
        </w:tc>
        <w:tc>
          <w:tcPr>
            <w:tcW w:w="1267" w:type="dxa"/>
          </w:tcPr>
          <w:p w14:paraId="1EEAAB34" w14:textId="2011E534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2BB6B711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1B99E477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79DE622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27" w:type="dxa"/>
          </w:tcPr>
          <w:p w14:paraId="636933F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55FC2A14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0</w:t>
            </w:r>
          </w:p>
        </w:tc>
        <w:tc>
          <w:tcPr>
            <w:tcW w:w="1113" w:type="dxa"/>
          </w:tcPr>
          <w:p w14:paraId="45E731CF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      0</w:t>
            </w:r>
          </w:p>
        </w:tc>
        <w:tc>
          <w:tcPr>
            <w:tcW w:w="1167" w:type="dxa"/>
          </w:tcPr>
          <w:p w14:paraId="516EA54B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0</w:t>
            </w:r>
          </w:p>
        </w:tc>
        <w:tc>
          <w:tcPr>
            <w:tcW w:w="1370" w:type="dxa"/>
          </w:tcPr>
          <w:p w14:paraId="1CC818F2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15805" w:rsidRPr="00BF3066" w14:paraId="5DF74968" w14:textId="77777777" w:rsidTr="00815805">
        <w:trPr>
          <w:trHeight w:val="604"/>
        </w:trPr>
        <w:tc>
          <w:tcPr>
            <w:tcW w:w="1125" w:type="dxa"/>
          </w:tcPr>
          <w:p w14:paraId="7F28358B" w14:textId="77777777" w:rsidR="00815805" w:rsidRDefault="00815805" w:rsidP="00A10794">
            <w:pPr>
              <w:spacing w:line="254" w:lineRule="auto"/>
              <w:ind w:right="-188"/>
            </w:pPr>
            <w:r>
              <w:t>Nikšić</w:t>
            </w:r>
          </w:p>
        </w:tc>
        <w:tc>
          <w:tcPr>
            <w:tcW w:w="1267" w:type="dxa"/>
          </w:tcPr>
          <w:p w14:paraId="449B11A7" w14:textId="6992CB2A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204" w:type="dxa"/>
          </w:tcPr>
          <w:p w14:paraId="0C010CC3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1F534732" w14:textId="77777777" w:rsidR="00815805" w:rsidRDefault="00815805" w:rsidP="00560158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58DEFF09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27" w:type="dxa"/>
          </w:tcPr>
          <w:p w14:paraId="7DEAED1C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38973A24" w14:textId="77777777" w:rsidR="00815805" w:rsidRDefault="00815805" w:rsidP="00256B9C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113" w:type="dxa"/>
          </w:tcPr>
          <w:p w14:paraId="1C9E515F" w14:textId="029EAD96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>16  godina</w:t>
            </w:r>
          </w:p>
        </w:tc>
        <w:tc>
          <w:tcPr>
            <w:tcW w:w="1167" w:type="dxa"/>
          </w:tcPr>
          <w:p w14:paraId="00A45845" w14:textId="77777777" w:rsidR="00815805" w:rsidRDefault="00815805" w:rsidP="00A10794">
            <w:pPr>
              <w:spacing w:line="254" w:lineRule="auto"/>
              <w:ind w:right="-188"/>
              <w:rPr>
                <w:lang w:val="sr-Latn-RS"/>
              </w:rPr>
            </w:pPr>
            <w:r>
              <w:rPr>
                <w:lang w:val="sr-Latn-RS"/>
              </w:rPr>
              <w:t xml:space="preserve"> 0 </w:t>
            </w:r>
          </w:p>
        </w:tc>
        <w:tc>
          <w:tcPr>
            <w:tcW w:w="1370" w:type="dxa"/>
          </w:tcPr>
          <w:p w14:paraId="3BDB0FBB" w14:textId="77777777" w:rsidR="00815805" w:rsidRDefault="00815805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C30A25" w:rsidRPr="00BF3066" w14:paraId="0EFE4AFA" w14:textId="77777777" w:rsidTr="004C3D17">
        <w:trPr>
          <w:trHeight w:val="604"/>
        </w:trPr>
        <w:tc>
          <w:tcPr>
            <w:tcW w:w="1125" w:type="dxa"/>
            <w:shd w:val="clear" w:color="auto" w:fill="8EAADB" w:themeFill="accent1" w:themeFillTint="99"/>
          </w:tcPr>
          <w:p w14:paraId="29F1CCC4" w14:textId="18EC232E" w:rsidR="00C30A25" w:rsidRDefault="00C30A25" w:rsidP="00A10794">
            <w:pPr>
              <w:spacing w:line="254" w:lineRule="auto"/>
              <w:ind w:right="-188"/>
            </w:pPr>
            <w:r>
              <w:t>UKUPNO</w:t>
            </w:r>
          </w:p>
        </w:tc>
        <w:tc>
          <w:tcPr>
            <w:tcW w:w="1267" w:type="dxa"/>
            <w:shd w:val="clear" w:color="auto" w:fill="8EAADB" w:themeFill="accent1" w:themeFillTint="99"/>
          </w:tcPr>
          <w:p w14:paraId="3C4949CE" w14:textId="360E62AB" w:rsidR="00C30A25" w:rsidRDefault="00C30A25" w:rsidP="00C30A25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04" w:type="dxa"/>
            <w:shd w:val="clear" w:color="auto" w:fill="8EAADB" w:themeFill="accent1" w:themeFillTint="99"/>
          </w:tcPr>
          <w:p w14:paraId="62A12C11" w14:textId="60EC147C" w:rsidR="00C30A25" w:rsidRDefault="00C30A25" w:rsidP="00C30A25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5C2465E9" w14:textId="00647D8D" w:rsidR="00C30A25" w:rsidRDefault="00256B9C" w:rsidP="00256B9C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7B667E66" w14:textId="2A313E73" w:rsidR="00C30A25" w:rsidRDefault="00256B9C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260BF855" w14:textId="3E358C68" w:rsidR="00C30A25" w:rsidRDefault="00256B9C" w:rsidP="00A10794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13" w:type="dxa"/>
            <w:shd w:val="clear" w:color="auto" w:fill="8EAADB" w:themeFill="accent1" w:themeFillTint="99"/>
          </w:tcPr>
          <w:p w14:paraId="3442904C" w14:textId="275856B6" w:rsidR="00C30A25" w:rsidRDefault="00256B9C" w:rsidP="00256B9C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113" w:type="dxa"/>
            <w:shd w:val="clear" w:color="auto" w:fill="8EAADB" w:themeFill="accent1" w:themeFillTint="99"/>
          </w:tcPr>
          <w:p w14:paraId="78A68F05" w14:textId="0303514C" w:rsidR="00C30A25" w:rsidRDefault="00256B9C" w:rsidP="00256B9C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167" w:type="dxa"/>
            <w:shd w:val="clear" w:color="auto" w:fill="8EAADB" w:themeFill="accent1" w:themeFillTint="99"/>
          </w:tcPr>
          <w:p w14:paraId="28C9A3BC" w14:textId="31528788" w:rsidR="00C30A25" w:rsidRDefault="00256B9C" w:rsidP="00256B9C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370" w:type="dxa"/>
            <w:shd w:val="clear" w:color="auto" w:fill="8EAADB" w:themeFill="accent1" w:themeFillTint="99"/>
          </w:tcPr>
          <w:p w14:paraId="5A9B32F2" w14:textId="46264BB8" w:rsidR="00C30A25" w:rsidRDefault="00256B9C" w:rsidP="00256B9C">
            <w:pPr>
              <w:spacing w:line="254" w:lineRule="auto"/>
              <w:ind w:right="-188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</w:tbl>
    <w:p w14:paraId="1E9CD1BC" w14:textId="1ABB6931" w:rsidR="00D92B51" w:rsidRPr="00D120F5" w:rsidRDefault="00815805" w:rsidP="00D120F5">
      <w:pPr>
        <w:spacing w:after="0" w:line="240" w:lineRule="auto"/>
        <w:ind w:right="-188"/>
        <w:jc w:val="both"/>
        <w:rPr>
          <w:rFonts w:ascii="Arial" w:eastAsia="Calibri" w:hAnsi="Arial" w:cs="Arial"/>
        </w:rPr>
      </w:pPr>
      <w:r w:rsidRPr="00BF3066">
        <w:rPr>
          <w:rFonts w:ascii="Arial" w:eastAsia="Calibri" w:hAnsi="Arial" w:cs="Arial"/>
        </w:rPr>
        <w:t xml:space="preserve">                                                                                                         </w:t>
      </w:r>
    </w:p>
    <w:p w14:paraId="59C1C4DD" w14:textId="6AA387C7" w:rsidR="00815805" w:rsidRPr="00447DA3" w:rsidRDefault="00447DA3" w:rsidP="00447DA3">
      <w:pPr>
        <w:pStyle w:val="NormalWeb"/>
        <w:numPr>
          <w:ilvl w:val="0"/>
          <w:numId w:val="12"/>
        </w:numPr>
        <w:ind w:right="-188"/>
        <w:jc w:val="both"/>
        <w:rPr>
          <w:rFonts w:asciiTheme="minorHAnsi" w:hAnsiTheme="minorHAnsi"/>
          <w:b/>
        </w:rPr>
      </w:pPr>
      <w:r w:rsidRPr="00447DA3">
        <w:rPr>
          <w:rFonts w:asciiTheme="minorHAnsi" w:hAnsiTheme="minorHAnsi"/>
          <w:b/>
        </w:rPr>
        <w:t xml:space="preserve">Postupanje centara za socijalni rad </w:t>
      </w:r>
    </w:p>
    <w:p w14:paraId="16373102" w14:textId="07AB2600" w:rsidR="00E05F42" w:rsidRDefault="00F17091" w:rsidP="00F17091">
      <w:pPr>
        <w:pStyle w:val="NormalWeb"/>
        <w:ind w:right="-188"/>
        <w:jc w:val="both"/>
        <w:rPr>
          <w:rFonts w:asciiTheme="minorHAnsi" w:hAnsiTheme="minorHAnsi"/>
        </w:rPr>
      </w:pPr>
      <w:r w:rsidRPr="002421CF">
        <w:rPr>
          <w:rFonts w:asciiTheme="minorHAnsi" w:hAnsiTheme="minorHAnsi"/>
        </w:rPr>
        <w:t xml:space="preserve">Prema izjašnjenju </w:t>
      </w:r>
      <w:r w:rsidR="000D0C9C">
        <w:rPr>
          <w:rFonts w:asciiTheme="minorHAnsi" w:hAnsiTheme="minorHAnsi"/>
        </w:rPr>
        <w:t>dostavljenom</w:t>
      </w:r>
      <w:r w:rsidRPr="002421CF">
        <w:rPr>
          <w:rFonts w:asciiTheme="minorHAnsi" w:hAnsiTheme="minorHAnsi"/>
        </w:rPr>
        <w:t xml:space="preserve"> od strane centara za socijalni rad o broju zahtjeva koje su sudovi uputili za potrebe postupaka davanja dozvole za zaključenje braka prije punoljetstva, nadležno ministarstvo je izvijestilo da je u posmatranom periodu bilo ukupno pet zahtjeva za dostavljanje mišljenja. Ovi podaci omogućavaju sagledavanje učestalosti primjene instituta davanja dozvole za brak maloljetnim licima i predstavljaju važan pokazatelj u analizi procedure </w:t>
      </w:r>
      <w:r w:rsidRPr="002421CF">
        <w:rPr>
          <w:rFonts w:asciiTheme="minorHAnsi" w:hAnsiTheme="minorHAnsi"/>
        </w:rPr>
        <w:lastRenderedPageBreak/>
        <w:t>i prakse nadležnih organa. Konkretno, JU Centar za socijalni rad za opštine Pljevlja i Žabljak u 2022. godini je imao jedan zahtjev, dok su JU Cent</w:t>
      </w:r>
      <w:r w:rsidR="000D0C9C">
        <w:rPr>
          <w:rFonts w:asciiTheme="minorHAnsi" w:hAnsiTheme="minorHAnsi"/>
        </w:rPr>
        <w:t>ar</w:t>
      </w:r>
      <w:r w:rsidRPr="002421CF">
        <w:rPr>
          <w:rFonts w:asciiTheme="minorHAnsi" w:hAnsiTheme="minorHAnsi"/>
        </w:rPr>
        <w:t xml:space="preserve"> za socijalni rad za opštine Nikšić, Plužine i Šavnik u 2020., 2022.</w:t>
      </w:r>
      <w:r w:rsidR="00E05F42">
        <w:rPr>
          <w:rFonts w:asciiTheme="minorHAnsi" w:hAnsiTheme="minorHAnsi"/>
        </w:rPr>
        <w:t xml:space="preserve">, </w:t>
      </w:r>
      <w:r w:rsidRPr="002421CF">
        <w:rPr>
          <w:rFonts w:asciiTheme="minorHAnsi" w:hAnsiTheme="minorHAnsi"/>
        </w:rPr>
        <w:t xml:space="preserve">2023. </w:t>
      </w:r>
      <w:r w:rsidR="000D0C9C">
        <w:rPr>
          <w:rFonts w:asciiTheme="minorHAnsi" w:hAnsiTheme="minorHAnsi"/>
        </w:rPr>
        <w:t>i</w:t>
      </w:r>
      <w:r w:rsidR="00E05F42">
        <w:rPr>
          <w:rFonts w:asciiTheme="minorHAnsi" w:hAnsiTheme="minorHAnsi"/>
        </w:rPr>
        <w:t xml:space="preserve"> 2024. </w:t>
      </w:r>
      <w:r w:rsidRPr="002421CF">
        <w:rPr>
          <w:rFonts w:asciiTheme="minorHAnsi" w:hAnsiTheme="minorHAnsi"/>
        </w:rPr>
        <w:t xml:space="preserve">godini evidentirali po jedan zahtjev. </w:t>
      </w:r>
    </w:p>
    <w:p w14:paraId="2BEF17FE" w14:textId="2F9DE48A" w:rsidR="00F17091" w:rsidRPr="00E05F42" w:rsidRDefault="00E05F42" w:rsidP="00F17091">
      <w:pPr>
        <w:pStyle w:val="NormalWeb"/>
        <w:ind w:right="-188"/>
        <w:jc w:val="both"/>
        <w:rPr>
          <w:rFonts w:asciiTheme="minorHAnsi" w:hAnsiTheme="minorHAnsi" w:cstheme="minorHAnsi"/>
        </w:rPr>
      </w:pPr>
      <w:r w:rsidRPr="00E05F42">
        <w:rPr>
          <w:rFonts w:asciiTheme="minorHAnsi" w:hAnsiTheme="minorHAnsi" w:cstheme="minorHAnsi"/>
        </w:rPr>
        <w:t xml:space="preserve">Ovakav mali broj zahtjeva upućenih centrima za socijalni rad ukazuje na nedovoljnu uključenost ovih institucija od strane sudova, iako centri, imajući u vidu svoju zakonsku ulogu i stručnu nadležnost u zaštiti prava i najboljeg interesa djeteta, predstavljaju </w:t>
      </w:r>
      <w:r w:rsidR="00786204">
        <w:rPr>
          <w:rFonts w:asciiTheme="minorHAnsi" w:hAnsiTheme="minorHAnsi" w:cstheme="minorHAnsi"/>
        </w:rPr>
        <w:t>važan</w:t>
      </w:r>
      <w:r w:rsidRPr="00E05F42">
        <w:rPr>
          <w:rFonts w:asciiTheme="minorHAnsi" w:hAnsiTheme="minorHAnsi" w:cstheme="minorHAnsi"/>
        </w:rPr>
        <w:t xml:space="preserve"> faktor u postupcima odlučivanja o zaključenju braka prije punoljetstva.</w:t>
      </w:r>
    </w:p>
    <w:p w14:paraId="00F909AD" w14:textId="01951DF8" w:rsidR="00447DA3" w:rsidRPr="00447DA3" w:rsidRDefault="00447DA3" w:rsidP="00447DA3">
      <w:pPr>
        <w:pStyle w:val="NormalWeb"/>
        <w:numPr>
          <w:ilvl w:val="0"/>
          <w:numId w:val="12"/>
        </w:numPr>
        <w:ind w:right="-188"/>
        <w:jc w:val="both"/>
        <w:rPr>
          <w:rFonts w:asciiTheme="minorHAnsi" w:hAnsiTheme="minorHAnsi"/>
          <w:b/>
        </w:rPr>
      </w:pPr>
      <w:r w:rsidRPr="00447DA3">
        <w:rPr>
          <w:rFonts w:asciiTheme="minorHAnsi" w:hAnsiTheme="minorHAnsi"/>
          <w:b/>
        </w:rPr>
        <w:t>Podaci o broju zaključenih brakova pred nadležnim organima jedinica lokalnih samouprava</w:t>
      </w:r>
      <w:r w:rsidR="00391DAF">
        <w:rPr>
          <w:rFonts w:asciiTheme="minorHAnsi" w:hAnsiTheme="minorHAnsi"/>
          <w:b/>
        </w:rPr>
        <w:t xml:space="preserve"> </w:t>
      </w:r>
    </w:p>
    <w:p w14:paraId="47AF35C3" w14:textId="1CC203A3" w:rsidR="00173F99" w:rsidRPr="00173F99" w:rsidRDefault="00173F99" w:rsidP="00684AFC">
      <w:pPr>
        <w:spacing w:before="100" w:beforeAutospacing="1" w:after="100" w:afterAutospacing="1" w:line="240" w:lineRule="auto"/>
        <w:ind w:right="-330"/>
        <w:jc w:val="both"/>
        <w:rPr>
          <w:rFonts w:eastAsia="Times New Roman" w:cstheme="minorHAnsi"/>
          <w:sz w:val="24"/>
          <w:szCs w:val="24"/>
          <w:lang w:val="en-US"/>
        </w:rPr>
      </w:pPr>
      <w:r w:rsidRPr="00173F99">
        <w:rPr>
          <w:rFonts w:eastAsia="Times New Roman" w:cstheme="minorHAnsi"/>
          <w:sz w:val="24"/>
          <w:szCs w:val="24"/>
          <w:lang w:val="en-US"/>
        </w:rPr>
        <w:t>Na osnovu raspoloživih podataka za period od 2020. do 2024. godine</w:t>
      </w:r>
      <w:r w:rsidR="001A6A97" w:rsidRPr="001A6A97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1A6A97" w:rsidRPr="00173F99">
        <w:rPr>
          <w:rFonts w:eastAsia="Times New Roman" w:cstheme="minorHAnsi"/>
          <w:sz w:val="24"/>
          <w:szCs w:val="24"/>
          <w:lang w:val="en-US"/>
        </w:rPr>
        <w:t>na nivou svih opština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, evidentirano je </w:t>
      </w:r>
      <w:r w:rsidRPr="00230614">
        <w:rPr>
          <w:rFonts w:eastAsia="Times New Roman" w:cstheme="minorHAnsi"/>
          <w:bCs/>
          <w:sz w:val="24"/>
          <w:szCs w:val="24"/>
          <w:lang w:val="en-US"/>
        </w:rPr>
        <w:t>ukupno 26 slučajeva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1A6A97">
        <w:rPr>
          <w:rFonts w:eastAsia="Times New Roman" w:cstheme="minorHAnsi"/>
          <w:sz w:val="24"/>
          <w:szCs w:val="24"/>
          <w:lang w:val="en-US"/>
        </w:rPr>
        <w:t>zaključenja braka u kojima je jedan od supružnika dijete starije od 16 godina.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 Analiza prostorne raspodjele ukazuje na </w:t>
      </w:r>
      <w:r w:rsidRPr="00230614">
        <w:rPr>
          <w:rFonts w:eastAsia="Times New Roman" w:cstheme="minorHAnsi"/>
          <w:bCs/>
          <w:sz w:val="24"/>
          <w:szCs w:val="24"/>
          <w:lang w:val="en-US"/>
        </w:rPr>
        <w:t>značajne razlike među opštinama</w:t>
      </w:r>
      <w:r w:rsidRPr="00173F99">
        <w:rPr>
          <w:rFonts w:eastAsia="Times New Roman" w:cstheme="minorHAnsi"/>
          <w:sz w:val="24"/>
          <w:szCs w:val="24"/>
          <w:lang w:val="en-US"/>
        </w:rPr>
        <w:t>, uz izraženu koncentrac</w:t>
      </w:r>
      <w:bookmarkStart w:id="0" w:name="_GoBack"/>
      <w:bookmarkEnd w:id="0"/>
      <w:r w:rsidRPr="00173F99">
        <w:rPr>
          <w:rFonts w:eastAsia="Times New Roman" w:cstheme="minorHAnsi"/>
          <w:sz w:val="24"/>
          <w:szCs w:val="24"/>
          <w:lang w:val="en-US"/>
        </w:rPr>
        <w:t>iju u ograničenom broju lokalnih samouprava.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Najveći broj registrovanih slučajeva zabilježen je u opštini </w:t>
      </w:r>
      <w:r w:rsidRPr="00173F99">
        <w:rPr>
          <w:rFonts w:eastAsia="Times New Roman" w:cstheme="minorHAnsi"/>
          <w:bCs/>
          <w:sz w:val="24"/>
          <w:szCs w:val="24"/>
          <w:lang w:val="en-US"/>
        </w:rPr>
        <w:t>Rožaje (11)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, što predstavlja dominantan udio u ukupnoj strukturi. Opština </w:t>
      </w:r>
      <w:r w:rsidRPr="00173F99">
        <w:rPr>
          <w:rFonts w:eastAsia="Times New Roman" w:cstheme="minorHAnsi"/>
          <w:bCs/>
          <w:sz w:val="24"/>
          <w:szCs w:val="24"/>
          <w:lang w:val="en-US"/>
        </w:rPr>
        <w:t>Nikšić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 bilježi </w:t>
      </w:r>
      <w:r w:rsidRPr="00173F99">
        <w:rPr>
          <w:rFonts w:eastAsia="Times New Roman" w:cstheme="minorHAnsi"/>
          <w:bCs/>
          <w:sz w:val="24"/>
          <w:szCs w:val="24"/>
          <w:lang w:val="en-US"/>
        </w:rPr>
        <w:t>6 slučajeva</w:t>
      </w:r>
      <w:r w:rsidRPr="00173F99">
        <w:rPr>
          <w:rFonts w:eastAsia="Times New Roman" w:cstheme="minorHAnsi"/>
          <w:sz w:val="24"/>
          <w:szCs w:val="24"/>
          <w:lang w:val="en-US"/>
        </w:rPr>
        <w:t>, pri čemu je jedina opština sa kontinuiranim evidentiranjem tokom svih posmatranih godina</w:t>
      </w:r>
      <w:r w:rsidR="00230614">
        <w:rPr>
          <w:rFonts w:eastAsia="Times New Roman" w:cstheme="minorHAnsi"/>
          <w:sz w:val="24"/>
          <w:szCs w:val="24"/>
          <w:lang w:val="en-US"/>
        </w:rPr>
        <w:t>.</w:t>
      </w:r>
    </w:p>
    <w:p w14:paraId="682E6EF3" w14:textId="161BB784" w:rsidR="00173F99" w:rsidRPr="001619D2" w:rsidRDefault="00173F99" w:rsidP="00684AFC">
      <w:pPr>
        <w:spacing w:before="100" w:beforeAutospacing="1" w:after="100" w:afterAutospacing="1" w:line="240" w:lineRule="auto"/>
        <w:ind w:right="-330"/>
        <w:jc w:val="both"/>
        <w:rPr>
          <w:rFonts w:eastAsia="Times New Roman" w:cstheme="minorHAnsi"/>
          <w:sz w:val="24"/>
          <w:szCs w:val="24"/>
          <w:lang w:val="en-US"/>
        </w:rPr>
      </w:pPr>
      <w:r w:rsidRPr="00173F99">
        <w:rPr>
          <w:rFonts w:eastAsia="Times New Roman" w:cstheme="minorHAnsi"/>
          <w:sz w:val="24"/>
          <w:szCs w:val="24"/>
          <w:lang w:val="en-US"/>
        </w:rPr>
        <w:t xml:space="preserve">Umjeren nivo zastupljenosti registrovan je u opštinama </w:t>
      </w:r>
      <w:r w:rsidRPr="003757AC">
        <w:rPr>
          <w:rFonts w:eastAsia="Times New Roman" w:cstheme="minorHAnsi"/>
          <w:bCs/>
          <w:sz w:val="24"/>
          <w:szCs w:val="24"/>
          <w:lang w:val="en-US"/>
        </w:rPr>
        <w:t>Podgorica</w:t>
      </w:r>
      <w:r w:rsidRPr="003757AC">
        <w:rPr>
          <w:rFonts w:eastAsia="Times New Roman" w:cstheme="minorHAnsi"/>
          <w:sz w:val="24"/>
          <w:szCs w:val="24"/>
          <w:lang w:val="en-US"/>
        </w:rPr>
        <w:t xml:space="preserve"> i </w:t>
      </w:r>
      <w:r w:rsidRPr="003757AC">
        <w:rPr>
          <w:rFonts w:eastAsia="Times New Roman" w:cstheme="minorHAnsi"/>
          <w:bCs/>
          <w:sz w:val="24"/>
          <w:szCs w:val="24"/>
          <w:lang w:val="en-US"/>
        </w:rPr>
        <w:t>Bar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, sa po </w:t>
      </w:r>
      <w:r w:rsidRPr="003757AC">
        <w:rPr>
          <w:rFonts w:eastAsia="Times New Roman" w:cstheme="minorHAnsi"/>
          <w:bCs/>
          <w:sz w:val="24"/>
          <w:szCs w:val="24"/>
          <w:lang w:val="en-US"/>
        </w:rPr>
        <w:t>2 slučaja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, dok su u opštinama </w:t>
      </w:r>
      <w:r w:rsidRPr="003757AC">
        <w:rPr>
          <w:rFonts w:eastAsia="Times New Roman" w:cstheme="minorHAnsi"/>
          <w:bCs/>
          <w:sz w:val="24"/>
          <w:szCs w:val="24"/>
          <w:lang w:val="en-US"/>
        </w:rPr>
        <w:t>Bijelo Polje, Danilovgrad, Gusinje, Kolašin i Tuzi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 evidentirani pojedinačni slučajevi.</w:t>
      </w:r>
      <w:r w:rsidR="003757AC">
        <w:rPr>
          <w:rFonts w:eastAsia="Times New Roman" w:cstheme="minorHAnsi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sz w:val="24"/>
          <w:szCs w:val="24"/>
          <w:lang w:val="en-US"/>
        </w:rPr>
        <w:t>U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 preostalih </w:t>
      </w:r>
      <w:r w:rsidRPr="003757AC">
        <w:rPr>
          <w:rFonts w:eastAsia="Times New Roman" w:cstheme="minorHAnsi"/>
          <w:bCs/>
          <w:sz w:val="24"/>
          <w:szCs w:val="24"/>
          <w:lang w:val="en-US"/>
        </w:rPr>
        <w:t>1</w:t>
      </w:r>
      <w:r w:rsidR="00393A95">
        <w:rPr>
          <w:rFonts w:eastAsia="Times New Roman" w:cstheme="minorHAnsi"/>
          <w:bCs/>
          <w:sz w:val="24"/>
          <w:szCs w:val="24"/>
          <w:lang w:val="en-US"/>
        </w:rPr>
        <w:t>6</w:t>
      </w:r>
      <w:r w:rsidRPr="003757AC">
        <w:rPr>
          <w:rFonts w:eastAsia="Times New Roman" w:cstheme="minorHAnsi"/>
          <w:bCs/>
          <w:sz w:val="24"/>
          <w:szCs w:val="24"/>
          <w:lang w:val="en-US"/>
        </w:rPr>
        <w:t xml:space="preserve"> opština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 tokom analiziranog perioda </w:t>
      </w:r>
      <w:r w:rsidRPr="003757AC">
        <w:rPr>
          <w:rFonts w:eastAsia="Times New Roman" w:cstheme="minorHAnsi"/>
          <w:bCs/>
          <w:sz w:val="24"/>
          <w:szCs w:val="24"/>
          <w:lang w:val="en-US"/>
        </w:rPr>
        <w:t>nije zabilježena nijedna pojava</w:t>
      </w:r>
      <w:r w:rsidRPr="003757AC">
        <w:rPr>
          <w:rFonts w:eastAsia="Times New Roman" w:cstheme="minorHAnsi"/>
          <w:sz w:val="24"/>
          <w:szCs w:val="24"/>
          <w:lang w:val="en-US"/>
        </w:rPr>
        <w:t>,</w:t>
      </w:r>
      <w:r w:rsidRPr="00173F99">
        <w:rPr>
          <w:rFonts w:eastAsia="Times New Roman" w:cstheme="minorHAnsi"/>
          <w:sz w:val="24"/>
          <w:szCs w:val="24"/>
          <w:lang w:val="en-US"/>
        </w:rPr>
        <w:t xml:space="preserve"> što ukazuje na izrazitu neujednačenost u teritorijalnoj raspodjeli podataka.</w:t>
      </w:r>
    </w:p>
    <w:p w14:paraId="70A4DBF8" w14:textId="5F24BEB6" w:rsidR="00F17091" w:rsidRPr="00314AB5" w:rsidRDefault="00F17091" w:rsidP="00684AFC">
      <w:pPr>
        <w:spacing w:line="240" w:lineRule="auto"/>
        <w:ind w:right="-330"/>
        <w:jc w:val="both"/>
        <w:rPr>
          <w:b/>
          <w:i/>
          <w:sz w:val="20"/>
          <w:szCs w:val="20"/>
        </w:rPr>
      </w:pPr>
      <w:r w:rsidRPr="00314AB5">
        <w:rPr>
          <w:b/>
          <w:i/>
          <w:sz w:val="20"/>
          <w:szCs w:val="20"/>
        </w:rPr>
        <w:t>U nastavku je prikazan detaljan pregled podataka</w:t>
      </w:r>
      <w:r w:rsidR="00DB3487">
        <w:rPr>
          <w:b/>
          <w:i/>
          <w:sz w:val="20"/>
          <w:szCs w:val="20"/>
        </w:rPr>
        <w:t xml:space="preserve"> zaključenih brakova</w:t>
      </w:r>
      <w:r w:rsidRPr="00314AB5">
        <w:rPr>
          <w:b/>
          <w:i/>
          <w:sz w:val="20"/>
          <w:szCs w:val="20"/>
        </w:rPr>
        <w:t xml:space="preserve"> po opštinama Crne Gore za period od 1. januara 2020. do 31. decembra 2024. godine.</w:t>
      </w:r>
    </w:p>
    <w:tbl>
      <w:tblPr>
        <w:tblStyle w:val="TableGrid"/>
        <w:tblpPr w:leftFromText="180" w:rightFromText="180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1291"/>
        <w:gridCol w:w="923"/>
        <w:gridCol w:w="923"/>
        <w:gridCol w:w="923"/>
        <w:gridCol w:w="923"/>
        <w:gridCol w:w="923"/>
        <w:gridCol w:w="1177"/>
      </w:tblGrid>
      <w:tr w:rsidR="00F17091" w:rsidRPr="00D666A1" w14:paraId="2330E493" w14:textId="77777777" w:rsidTr="00F17091">
        <w:trPr>
          <w:trHeight w:val="389"/>
        </w:trPr>
        <w:tc>
          <w:tcPr>
            <w:tcW w:w="1291" w:type="dxa"/>
          </w:tcPr>
          <w:p w14:paraId="7F97B399" w14:textId="77777777" w:rsidR="00F17091" w:rsidRPr="00D666A1" w:rsidRDefault="00F17091" w:rsidP="00F17091">
            <w:pPr>
              <w:ind w:right="-188"/>
              <w:jc w:val="center"/>
              <w:rPr>
                <w:b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:b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Opština</w:t>
            </w:r>
          </w:p>
        </w:tc>
        <w:tc>
          <w:tcPr>
            <w:tcW w:w="923" w:type="dxa"/>
          </w:tcPr>
          <w:p w14:paraId="79D1F42F" w14:textId="77777777" w:rsidR="00F17091" w:rsidRPr="00D666A1" w:rsidRDefault="00F17091" w:rsidP="00F17091">
            <w:pPr>
              <w:ind w:right="-188"/>
              <w:jc w:val="center"/>
              <w:rPr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2020</w:t>
            </w:r>
          </w:p>
        </w:tc>
        <w:tc>
          <w:tcPr>
            <w:tcW w:w="923" w:type="dxa"/>
          </w:tcPr>
          <w:p w14:paraId="069195CE" w14:textId="77777777" w:rsidR="00F17091" w:rsidRPr="00D666A1" w:rsidRDefault="00F17091" w:rsidP="00F17091">
            <w:pPr>
              <w:ind w:right="-188"/>
              <w:jc w:val="center"/>
              <w:rPr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2021</w:t>
            </w:r>
          </w:p>
        </w:tc>
        <w:tc>
          <w:tcPr>
            <w:tcW w:w="923" w:type="dxa"/>
          </w:tcPr>
          <w:p w14:paraId="1A2CB483" w14:textId="77777777" w:rsidR="00F17091" w:rsidRPr="00D666A1" w:rsidRDefault="00F17091" w:rsidP="00F17091">
            <w:pPr>
              <w:ind w:right="-188"/>
              <w:jc w:val="center"/>
              <w:rPr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2022</w:t>
            </w:r>
          </w:p>
        </w:tc>
        <w:tc>
          <w:tcPr>
            <w:tcW w:w="923" w:type="dxa"/>
          </w:tcPr>
          <w:p w14:paraId="4015D3AA" w14:textId="77777777" w:rsidR="00F17091" w:rsidRPr="00D666A1" w:rsidRDefault="00F17091" w:rsidP="00F17091">
            <w:pPr>
              <w:ind w:right="-188"/>
              <w:jc w:val="center"/>
              <w:rPr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2023</w:t>
            </w:r>
          </w:p>
        </w:tc>
        <w:tc>
          <w:tcPr>
            <w:tcW w:w="923" w:type="dxa"/>
          </w:tcPr>
          <w:p w14:paraId="206604F0" w14:textId="77777777" w:rsidR="00F17091" w:rsidRPr="00D666A1" w:rsidRDefault="00F17091" w:rsidP="00F17091">
            <w:pPr>
              <w:ind w:right="-188"/>
              <w:jc w:val="center"/>
              <w:rPr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2024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04D83F69" w14:textId="77777777" w:rsidR="00F17091" w:rsidRPr="00D666A1" w:rsidRDefault="00F17091" w:rsidP="00F17091">
            <w:pPr>
              <w:ind w:right="-188"/>
              <w:jc w:val="center"/>
              <w:rPr>
                <w:b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:b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Ukupno</w:t>
            </w:r>
          </w:p>
          <w:p w14:paraId="770558E9" w14:textId="77777777" w:rsidR="00F17091" w:rsidRPr="00D666A1" w:rsidRDefault="00F17091" w:rsidP="00F17091">
            <w:pPr>
              <w:ind w:right="-188"/>
              <w:jc w:val="center"/>
              <w:rPr>
                <w:b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</w:tr>
      <w:tr w:rsidR="00F17091" w:rsidRPr="00D666A1" w14:paraId="40BA5D76" w14:textId="77777777" w:rsidTr="00F17091">
        <w:tc>
          <w:tcPr>
            <w:tcW w:w="1291" w:type="dxa"/>
          </w:tcPr>
          <w:p w14:paraId="25BD8DAE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Andrijevica</w:t>
            </w:r>
          </w:p>
        </w:tc>
        <w:tc>
          <w:tcPr>
            <w:tcW w:w="923" w:type="dxa"/>
          </w:tcPr>
          <w:p w14:paraId="73F1217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049E3A4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452ECAD3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2F27E55B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2896B2B2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385219F3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00E830B8" w14:textId="77777777" w:rsidTr="00F17091">
        <w:tc>
          <w:tcPr>
            <w:tcW w:w="1291" w:type="dxa"/>
          </w:tcPr>
          <w:p w14:paraId="48A05E12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Bar</w:t>
            </w:r>
          </w:p>
        </w:tc>
        <w:tc>
          <w:tcPr>
            <w:tcW w:w="923" w:type="dxa"/>
          </w:tcPr>
          <w:p w14:paraId="4B45A916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923" w:type="dxa"/>
          </w:tcPr>
          <w:p w14:paraId="4A7494F2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7582ED9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AE1A65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7DB7A521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0946EC69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2</w:t>
            </w:r>
          </w:p>
        </w:tc>
      </w:tr>
      <w:tr w:rsidR="00F17091" w:rsidRPr="00D666A1" w14:paraId="0DEE6270" w14:textId="77777777" w:rsidTr="00F17091">
        <w:tc>
          <w:tcPr>
            <w:tcW w:w="1291" w:type="dxa"/>
          </w:tcPr>
          <w:p w14:paraId="66A1BBA3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Berane </w:t>
            </w:r>
          </w:p>
        </w:tc>
        <w:tc>
          <w:tcPr>
            <w:tcW w:w="923" w:type="dxa"/>
          </w:tcPr>
          <w:p w14:paraId="65A8504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051CA6F6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73DE5D0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5CA62A1D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DAA744C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3F3C78AD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4E2DC164" w14:textId="77777777" w:rsidTr="00F17091">
        <w:tc>
          <w:tcPr>
            <w:tcW w:w="1291" w:type="dxa"/>
          </w:tcPr>
          <w:p w14:paraId="0D431125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Bijelo Polje</w:t>
            </w:r>
          </w:p>
        </w:tc>
        <w:tc>
          <w:tcPr>
            <w:tcW w:w="923" w:type="dxa"/>
          </w:tcPr>
          <w:p w14:paraId="60F5839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45C63F2D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1727CD5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923" w:type="dxa"/>
          </w:tcPr>
          <w:p w14:paraId="002BEF45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086CF2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3EC60800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F17091" w:rsidRPr="00D666A1" w14:paraId="12632A27" w14:textId="77777777" w:rsidTr="00F17091">
        <w:tc>
          <w:tcPr>
            <w:tcW w:w="1291" w:type="dxa"/>
          </w:tcPr>
          <w:p w14:paraId="4C60E78E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Budva</w:t>
            </w:r>
          </w:p>
        </w:tc>
        <w:tc>
          <w:tcPr>
            <w:tcW w:w="923" w:type="dxa"/>
          </w:tcPr>
          <w:p w14:paraId="3C9FFE5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0ED1B95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03480404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7CCEBB9B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22002552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7AA47681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4D192A27" w14:textId="77777777" w:rsidTr="00F17091">
        <w:tc>
          <w:tcPr>
            <w:tcW w:w="1291" w:type="dxa"/>
          </w:tcPr>
          <w:p w14:paraId="0154D43E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Cetinje</w:t>
            </w:r>
          </w:p>
        </w:tc>
        <w:tc>
          <w:tcPr>
            <w:tcW w:w="923" w:type="dxa"/>
          </w:tcPr>
          <w:p w14:paraId="2E5EF93C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0C8C3ACF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7AB8C52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D70DA0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0D6900DC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1052A1E3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1218251B" w14:textId="77777777" w:rsidTr="00F17091">
        <w:tc>
          <w:tcPr>
            <w:tcW w:w="1291" w:type="dxa"/>
          </w:tcPr>
          <w:p w14:paraId="5972E5D8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Danilovgrad</w:t>
            </w:r>
          </w:p>
        </w:tc>
        <w:tc>
          <w:tcPr>
            <w:tcW w:w="923" w:type="dxa"/>
          </w:tcPr>
          <w:p w14:paraId="27E87AD8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1CBD6F1C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2A5C5951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33DB5197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7FD5ED89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7" w:type="dxa"/>
            <w:shd w:val="clear" w:color="auto" w:fill="D9E2F3" w:themeFill="accent1" w:themeFillTint="33"/>
          </w:tcPr>
          <w:p w14:paraId="4D069F3F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F17091" w:rsidRPr="00D666A1" w14:paraId="17A26754" w14:textId="77777777" w:rsidTr="00F17091">
        <w:tc>
          <w:tcPr>
            <w:tcW w:w="1291" w:type="dxa"/>
          </w:tcPr>
          <w:p w14:paraId="435441E5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Gusinje</w:t>
            </w:r>
          </w:p>
        </w:tc>
        <w:tc>
          <w:tcPr>
            <w:tcW w:w="923" w:type="dxa"/>
          </w:tcPr>
          <w:p w14:paraId="1270B3CE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08AE8F80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923" w:type="dxa"/>
          </w:tcPr>
          <w:p w14:paraId="2BC3D4AD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2C2CD03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563FAF99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644073AC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F17091" w:rsidRPr="00D666A1" w14:paraId="43D2B6A6" w14:textId="77777777" w:rsidTr="00F17091">
        <w:tc>
          <w:tcPr>
            <w:tcW w:w="1291" w:type="dxa"/>
          </w:tcPr>
          <w:p w14:paraId="4C62ACD3" w14:textId="77777777" w:rsidR="00F17091" w:rsidRPr="00D666A1" w:rsidRDefault="00F17091" w:rsidP="00F17091">
            <w:pPr>
              <w:ind w:right="-188"/>
              <w:rPr>
                <w:sz w:val="20"/>
                <w:szCs w:val="2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:sz w:val="20"/>
                <w:szCs w:val="2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Herceg Novi</w:t>
            </w:r>
          </w:p>
        </w:tc>
        <w:tc>
          <w:tcPr>
            <w:tcW w:w="923" w:type="dxa"/>
          </w:tcPr>
          <w:p w14:paraId="008CF40C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A7B1839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F5D0E7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50009C4F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42795B90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44BA8D7C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6D95B85B" w14:textId="77777777" w:rsidTr="00F17091">
        <w:tc>
          <w:tcPr>
            <w:tcW w:w="1291" w:type="dxa"/>
          </w:tcPr>
          <w:p w14:paraId="05B5C7AA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Kolašin</w:t>
            </w:r>
          </w:p>
        </w:tc>
        <w:tc>
          <w:tcPr>
            <w:tcW w:w="923" w:type="dxa"/>
          </w:tcPr>
          <w:p w14:paraId="29B97191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923" w:type="dxa"/>
          </w:tcPr>
          <w:p w14:paraId="4A4692F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0816FB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50A792B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47B4BBD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7B9711E0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F17091" w:rsidRPr="00D666A1" w14:paraId="74719E4E" w14:textId="77777777" w:rsidTr="00F17091">
        <w:tc>
          <w:tcPr>
            <w:tcW w:w="1291" w:type="dxa"/>
          </w:tcPr>
          <w:p w14:paraId="23CE702C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Kotor</w:t>
            </w:r>
          </w:p>
        </w:tc>
        <w:tc>
          <w:tcPr>
            <w:tcW w:w="923" w:type="dxa"/>
          </w:tcPr>
          <w:p w14:paraId="41B21E3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93E738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BE307CB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FAEB2FC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C156F40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7D59ADE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6AF9B963" w14:textId="77777777" w:rsidTr="00F17091">
        <w:tc>
          <w:tcPr>
            <w:tcW w:w="1291" w:type="dxa"/>
          </w:tcPr>
          <w:p w14:paraId="45D30E72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Mojkovac</w:t>
            </w:r>
          </w:p>
        </w:tc>
        <w:tc>
          <w:tcPr>
            <w:tcW w:w="923" w:type="dxa"/>
          </w:tcPr>
          <w:p w14:paraId="4CDE0BD9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7D7954E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2BB104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4D6CAFC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5DA0A81B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775DF7D6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2C7F2BE8" w14:textId="77777777" w:rsidTr="00F17091">
        <w:tc>
          <w:tcPr>
            <w:tcW w:w="1291" w:type="dxa"/>
          </w:tcPr>
          <w:p w14:paraId="0949F37E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Nikšić</w:t>
            </w:r>
          </w:p>
        </w:tc>
        <w:tc>
          <w:tcPr>
            <w:tcW w:w="923" w:type="dxa"/>
          </w:tcPr>
          <w:p w14:paraId="750EEB3B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923" w:type="dxa"/>
          </w:tcPr>
          <w:p w14:paraId="58633B0E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923" w:type="dxa"/>
          </w:tcPr>
          <w:p w14:paraId="71DD756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923" w:type="dxa"/>
          </w:tcPr>
          <w:p w14:paraId="57EDF125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923" w:type="dxa"/>
          </w:tcPr>
          <w:p w14:paraId="5E48F4AD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2FDF81B1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6</w:t>
            </w:r>
          </w:p>
        </w:tc>
      </w:tr>
      <w:tr w:rsidR="00F17091" w:rsidRPr="00D666A1" w14:paraId="0CF5D14E" w14:textId="77777777" w:rsidTr="00F17091">
        <w:tc>
          <w:tcPr>
            <w:tcW w:w="1291" w:type="dxa"/>
          </w:tcPr>
          <w:p w14:paraId="25C43D7F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Plav</w:t>
            </w:r>
          </w:p>
        </w:tc>
        <w:tc>
          <w:tcPr>
            <w:tcW w:w="923" w:type="dxa"/>
          </w:tcPr>
          <w:p w14:paraId="7477FF49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A897EAB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47CD365F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26ABA29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21897105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30C19174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6629BA5E" w14:textId="77777777" w:rsidTr="00F17091">
        <w:tc>
          <w:tcPr>
            <w:tcW w:w="1291" w:type="dxa"/>
          </w:tcPr>
          <w:p w14:paraId="4D6B5FB9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Pljevlja</w:t>
            </w:r>
          </w:p>
        </w:tc>
        <w:tc>
          <w:tcPr>
            <w:tcW w:w="923" w:type="dxa"/>
          </w:tcPr>
          <w:p w14:paraId="2B441380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DACE06D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C2AA804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2B7C6304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5DEF67D1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446EB530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3FEDE528" w14:textId="77777777" w:rsidTr="00F17091">
        <w:tc>
          <w:tcPr>
            <w:tcW w:w="1291" w:type="dxa"/>
          </w:tcPr>
          <w:p w14:paraId="69DF905F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lastRenderedPageBreak/>
              <w:t>Plužine</w:t>
            </w:r>
          </w:p>
        </w:tc>
        <w:tc>
          <w:tcPr>
            <w:tcW w:w="923" w:type="dxa"/>
          </w:tcPr>
          <w:p w14:paraId="40B27FC0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ADBD08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7DDB947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BDBC01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8654656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1048478F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127B31F5" w14:textId="77777777" w:rsidTr="00F17091">
        <w:tc>
          <w:tcPr>
            <w:tcW w:w="1291" w:type="dxa"/>
          </w:tcPr>
          <w:p w14:paraId="247D0FD1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Podgorica</w:t>
            </w:r>
          </w:p>
        </w:tc>
        <w:tc>
          <w:tcPr>
            <w:tcW w:w="923" w:type="dxa"/>
          </w:tcPr>
          <w:p w14:paraId="6CD4880F" w14:textId="09271E9B" w:rsidR="00F17091" w:rsidRPr="00D666A1" w:rsidRDefault="00230614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0749E10" w14:textId="62B3C342" w:rsidR="00F17091" w:rsidRPr="00D666A1" w:rsidRDefault="00230614" w:rsidP="00230614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923" w:type="dxa"/>
          </w:tcPr>
          <w:p w14:paraId="04E093F9" w14:textId="2556AC92" w:rsidR="00F17091" w:rsidRPr="00D666A1" w:rsidRDefault="00230614" w:rsidP="00230614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923" w:type="dxa"/>
          </w:tcPr>
          <w:p w14:paraId="369967DD" w14:textId="3CCDD150" w:rsidR="00F17091" w:rsidRPr="00D666A1" w:rsidRDefault="00230614" w:rsidP="00230614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63249CD" w14:textId="3EE3BBF6" w:rsidR="00F17091" w:rsidRPr="00D666A1" w:rsidRDefault="00230614" w:rsidP="00230614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42460002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2</w:t>
            </w:r>
          </w:p>
        </w:tc>
      </w:tr>
      <w:tr w:rsidR="00F17091" w:rsidRPr="00D666A1" w14:paraId="67EBDED4" w14:textId="77777777" w:rsidTr="00F17091">
        <w:tc>
          <w:tcPr>
            <w:tcW w:w="1291" w:type="dxa"/>
          </w:tcPr>
          <w:p w14:paraId="1B3846B1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Petnjica</w:t>
            </w:r>
          </w:p>
        </w:tc>
        <w:tc>
          <w:tcPr>
            <w:tcW w:w="923" w:type="dxa"/>
          </w:tcPr>
          <w:p w14:paraId="58FCC11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7388E340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5830229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DF6DF1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2D993C1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60062CA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2C83AD3B" w14:textId="77777777" w:rsidTr="00F17091">
        <w:tc>
          <w:tcPr>
            <w:tcW w:w="1291" w:type="dxa"/>
          </w:tcPr>
          <w:p w14:paraId="5ED054E3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Rožaje</w:t>
            </w:r>
          </w:p>
        </w:tc>
        <w:tc>
          <w:tcPr>
            <w:tcW w:w="923" w:type="dxa"/>
          </w:tcPr>
          <w:p w14:paraId="79557B8D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5F71D06C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2C55B759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6F678B53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7258DF9E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7" w:type="dxa"/>
            <w:shd w:val="clear" w:color="auto" w:fill="D9E2F3" w:themeFill="accent1" w:themeFillTint="33"/>
          </w:tcPr>
          <w:p w14:paraId="5687A2F6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11</w:t>
            </w:r>
          </w:p>
        </w:tc>
      </w:tr>
      <w:tr w:rsidR="00F17091" w:rsidRPr="00D666A1" w14:paraId="70BED758" w14:textId="77777777" w:rsidTr="00F17091">
        <w:tc>
          <w:tcPr>
            <w:tcW w:w="1291" w:type="dxa"/>
          </w:tcPr>
          <w:p w14:paraId="52997F8F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Tivat</w:t>
            </w:r>
          </w:p>
        </w:tc>
        <w:tc>
          <w:tcPr>
            <w:tcW w:w="923" w:type="dxa"/>
          </w:tcPr>
          <w:p w14:paraId="65BF639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7A5CA57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4F44D1F9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E380E2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783E00F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49377CE2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3A3474A7" w14:textId="77777777" w:rsidTr="00F17091">
        <w:tc>
          <w:tcPr>
            <w:tcW w:w="1291" w:type="dxa"/>
          </w:tcPr>
          <w:p w14:paraId="645844BA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Tuzi</w:t>
            </w:r>
          </w:p>
        </w:tc>
        <w:tc>
          <w:tcPr>
            <w:tcW w:w="923" w:type="dxa"/>
          </w:tcPr>
          <w:p w14:paraId="295173DB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4D65BB2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923" w:type="dxa"/>
          </w:tcPr>
          <w:p w14:paraId="1E888BE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776C5816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27C3A2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42CFD53E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F17091" w:rsidRPr="00D666A1" w14:paraId="41020600" w14:textId="77777777" w:rsidTr="00F17091">
        <w:tc>
          <w:tcPr>
            <w:tcW w:w="1291" w:type="dxa"/>
          </w:tcPr>
          <w:p w14:paraId="096C0F4D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Ulcinj</w:t>
            </w:r>
          </w:p>
        </w:tc>
        <w:tc>
          <w:tcPr>
            <w:tcW w:w="923" w:type="dxa"/>
          </w:tcPr>
          <w:p w14:paraId="1193AE4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6991A133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2E1FF5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030D6FF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58D3BE2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063F2F30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6407E094" w14:textId="77777777" w:rsidTr="00F17091">
        <w:tc>
          <w:tcPr>
            <w:tcW w:w="1291" w:type="dxa"/>
          </w:tcPr>
          <w:p w14:paraId="05AD055F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Žabljak</w:t>
            </w:r>
          </w:p>
        </w:tc>
        <w:tc>
          <w:tcPr>
            <w:tcW w:w="923" w:type="dxa"/>
          </w:tcPr>
          <w:p w14:paraId="59B3B90B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5ECEC94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E0D041C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463730D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46417B23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591DB725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6B43FCAD" w14:textId="77777777" w:rsidTr="00F17091">
        <w:tc>
          <w:tcPr>
            <w:tcW w:w="1291" w:type="dxa"/>
          </w:tcPr>
          <w:p w14:paraId="1D3F7B50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Šavnik</w:t>
            </w:r>
          </w:p>
        </w:tc>
        <w:tc>
          <w:tcPr>
            <w:tcW w:w="923" w:type="dxa"/>
          </w:tcPr>
          <w:p w14:paraId="276A74F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A161DD1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7D82BEF4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1BE4834A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288D700C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55103EBF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47FAB2C6" w14:textId="77777777" w:rsidTr="00F17091">
        <w:tc>
          <w:tcPr>
            <w:tcW w:w="1291" w:type="dxa"/>
          </w:tcPr>
          <w:p w14:paraId="2A416A24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Zeta</w:t>
            </w:r>
          </w:p>
        </w:tc>
        <w:tc>
          <w:tcPr>
            <w:tcW w:w="923" w:type="dxa"/>
          </w:tcPr>
          <w:p w14:paraId="2A91B322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291E0D7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216B6881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3094F2E2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923" w:type="dxa"/>
          </w:tcPr>
          <w:p w14:paraId="5D368FA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1177" w:type="dxa"/>
            <w:shd w:val="clear" w:color="auto" w:fill="D9E2F3" w:themeFill="accent1" w:themeFillTint="33"/>
          </w:tcPr>
          <w:p w14:paraId="11320BC8" w14:textId="77777777" w:rsidR="00F17091" w:rsidRPr="00D666A1" w:rsidRDefault="00F17091" w:rsidP="00F17091">
            <w:pPr>
              <w:ind w:right="-188"/>
              <w:jc w:val="center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/</w:t>
            </w:r>
          </w:p>
        </w:tc>
      </w:tr>
      <w:tr w:rsidR="00F17091" w:rsidRPr="00D666A1" w14:paraId="4D50E72B" w14:textId="77777777" w:rsidTr="00F17091">
        <w:tc>
          <w:tcPr>
            <w:tcW w:w="1291" w:type="dxa"/>
          </w:tcPr>
          <w:p w14:paraId="77A93BD4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Ukupno</w:t>
            </w:r>
          </w:p>
        </w:tc>
        <w:tc>
          <w:tcPr>
            <w:tcW w:w="923" w:type="dxa"/>
          </w:tcPr>
          <w:p w14:paraId="3269356B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09331806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082D62F8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503A6DD4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3" w:type="dxa"/>
          </w:tcPr>
          <w:p w14:paraId="6C943E85" w14:textId="77777777" w:rsidR="00F17091" w:rsidRPr="00D666A1" w:rsidRDefault="00F17091" w:rsidP="00F17091">
            <w:pPr>
              <w:ind w:right="-188"/>
              <w:rPr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7" w:type="dxa"/>
            <w:shd w:val="clear" w:color="auto" w:fill="D9E2F3" w:themeFill="accent1" w:themeFillTint="33"/>
          </w:tcPr>
          <w:p w14:paraId="0E2F72B9" w14:textId="77777777" w:rsidR="00F17091" w:rsidRPr="00D666A1" w:rsidRDefault="00F17091" w:rsidP="00F17091">
            <w:pPr>
              <w:ind w:right="-188"/>
              <w:jc w:val="center"/>
              <w:rPr>
                <w:b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666A1">
              <w:rPr>
                <w:b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26</w:t>
            </w:r>
          </w:p>
        </w:tc>
      </w:tr>
    </w:tbl>
    <w:p w14:paraId="33C12CCC" w14:textId="77777777" w:rsidR="00F17091" w:rsidRPr="00D666A1" w:rsidRDefault="00F17091" w:rsidP="00F17091">
      <w:pPr>
        <w:ind w:right="-188"/>
        <w:jc w:val="both"/>
        <w:rPr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14E04F3A" w14:textId="77777777" w:rsidR="00F17091" w:rsidRPr="00D666A1" w:rsidRDefault="00F17091" w:rsidP="00F17091">
      <w:pPr>
        <w:ind w:right="-188"/>
        <w:jc w:val="both"/>
        <w:rPr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7C4C11A0" w14:textId="77777777" w:rsidR="00F17091" w:rsidRPr="00D666A1" w:rsidRDefault="00F17091" w:rsidP="00F17091">
      <w:pPr>
        <w:ind w:right="-188"/>
        <w:jc w:val="both"/>
        <w:rPr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0D4D11C0" w14:textId="77777777" w:rsidR="00F17091" w:rsidRPr="00D666A1" w:rsidRDefault="00F17091" w:rsidP="00F17091">
      <w:pPr>
        <w:ind w:right="-188"/>
        <w:jc w:val="both"/>
        <w:rPr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60AEB882" w14:textId="77777777" w:rsidR="00F17091" w:rsidRPr="00D666A1" w:rsidRDefault="00F17091" w:rsidP="00F17091">
      <w:pPr>
        <w:ind w:right="-188"/>
        <w:jc w:val="both"/>
        <w:rPr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29E93130" w14:textId="77777777" w:rsidR="00F17091" w:rsidRPr="00D666A1" w:rsidRDefault="00F17091" w:rsidP="00F17091">
      <w:pPr>
        <w:ind w:right="-188"/>
        <w:jc w:val="both"/>
        <w:rPr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7958A015" w14:textId="77777777" w:rsidR="00F17091" w:rsidRPr="00D666A1" w:rsidRDefault="00F17091" w:rsidP="00F17091">
      <w:pPr>
        <w:ind w:right="-188"/>
        <w:rPr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0380D98D" w14:textId="77777777" w:rsidR="00DB3487" w:rsidRDefault="00DB3487" w:rsidP="006A751B">
      <w:pPr>
        <w:ind w:right="-188"/>
        <w:jc w:val="both"/>
        <w:rPr>
          <w:b/>
          <w:i/>
          <w:sz w:val="18"/>
          <w:szCs w:val="18"/>
        </w:rPr>
      </w:pPr>
    </w:p>
    <w:p w14:paraId="3D8279EF" w14:textId="1FB52609" w:rsidR="00806653" w:rsidRPr="006A751B" w:rsidRDefault="00230614" w:rsidP="006A751B">
      <w:pPr>
        <w:ind w:right="-188"/>
        <w:jc w:val="both"/>
        <w:rPr>
          <w:i/>
          <w:sz w:val="18"/>
          <w:szCs w:val="18"/>
        </w:rPr>
      </w:pPr>
      <w:r w:rsidRPr="006A751B">
        <w:rPr>
          <w:b/>
          <w:i/>
          <w:sz w:val="18"/>
          <w:szCs w:val="18"/>
        </w:rPr>
        <w:t>Napomena:</w:t>
      </w:r>
      <w:r w:rsidRPr="006A751B">
        <w:rPr>
          <w:i/>
          <w:sz w:val="18"/>
          <w:szCs w:val="18"/>
        </w:rPr>
        <w:t xml:space="preserve"> kada su u pitanju podaci dostavljeni od strane opština Danilovgrad i Rožaje, isti nisu mogli biti </w:t>
      </w:r>
      <w:r w:rsidR="009A48D6">
        <w:rPr>
          <w:i/>
          <w:sz w:val="18"/>
          <w:szCs w:val="18"/>
        </w:rPr>
        <w:t>razvrstan</w:t>
      </w:r>
      <w:r w:rsidRPr="006A751B">
        <w:rPr>
          <w:i/>
          <w:sz w:val="18"/>
          <w:szCs w:val="18"/>
        </w:rPr>
        <w:t xml:space="preserve">i po godinama u kojim su brakovi zaključeni, obzirom da su podaci dostavljeni zbirno. </w:t>
      </w:r>
    </w:p>
    <w:p w14:paraId="74BE0310" w14:textId="124B3B9E" w:rsidR="00806653" w:rsidRPr="00806653" w:rsidRDefault="00806653" w:rsidP="00B66C5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val="en-US"/>
        </w:rPr>
      </w:pPr>
      <w:r w:rsidRPr="00806653">
        <w:rPr>
          <w:rFonts w:eastAsia="Times New Roman" w:cstheme="minorHAnsi"/>
          <w:b/>
          <w:sz w:val="24"/>
          <w:szCs w:val="24"/>
          <w:lang w:val="en-US"/>
        </w:rPr>
        <w:t>OCJENA STANJA</w:t>
      </w:r>
    </w:p>
    <w:p w14:paraId="7FEB87DC" w14:textId="1704DE24" w:rsidR="00B66C53" w:rsidRPr="00806653" w:rsidRDefault="00B66C53" w:rsidP="0080665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806653">
        <w:rPr>
          <w:rFonts w:eastAsia="Times New Roman" w:cstheme="minorHAnsi"/>
          <w:sz w:val="24"/>
          <w:szCs w:val="24"/>
          <w:lang w:val="en-US"/>
        </w:rPr>
        <w:t xml:space="preserve">Na osnovu analize raspoloživih podataka o sudskoj praksi, može se ocijeniti da je u periodu od 2020. do 2024. godine institut davanja dozvole za zaključenje braka prije punoljetstva </w:t>
      </w:r>
      <w:r w:rsidRPr="00806653">
        <w:rPr>
          <w:rFonts w:eastAsia="Times New Roman" w:cstheme="minorHAnsi"/>
          <w:bCs/>
          <w:sz w:val="24"/>
          <w:szCs w:val="24"/>
          <w:lang w:val="en-US"/>
        </w:rPr>
        <w:t>primjenjivan</w:t>
      </w:r>
      <w:r w:rsidR="00806653">
        <w:rPr>
          <w:rFonts w:eastAsia="Times New Roman" w:cstheme="minorHAnsi"/>
          <w:bCs/>
          <w:sz w:val="24"/>
          <w:szCs w:val="24"/>
          <w:lang w:val="en-US"/>
        </w:rPr>
        <w:t xml:space="preserve"> u umjerenom broju slučajeva</w:t>
      </w:r>
      <w:r w:rsidR="00385955">
        <w:rPr>
          <w:rFonts w:eastAsia="Times New Roman" w:cstheme="minorHAnsi"/>
          <w:bCs/>
          <w:sz w:val="24"/>
          <w:szCs w:val="24"/>
          <w:lang w:val="en-US"/>
        </w:rPr>
        <w:t xml:space="preserve">, </w:t>
      </w:r>
      <w:r w:rsidR="00092440">
        <w:rPr>
          <w:rFonts w:eastAsia="Times New Roman" w:cstheme="minorHAnsi"/>
          <w:bCs/>
          <w:sz w:val="24"/>
          <w:szCs w:val="24"/>
          <w:lang w:val="en-US"/>
        </w:rPr>
        <w:t xml:space="preserve">u 2020., 2021., 2022. i 2023. godini sud je donio odluku o usvajanju podnijetih predloga za davanje dozvole za zaključenje braka, dok je u 2024. godini usvojio 4 takva pradloga, </w:t>
      </w:r>
      <w:r w:rsidR="00385955">
        <w:rPr>
          <w:rFonts w:eastAsia="Times New Roman" w:cstheme="minorHAnsi"/>
          <w:bCs/>
          <w:sz w:val="24"/>
          <w:szCs w:val="24"/>
          <w:lang w:val="en-US"/>
        </w:rPr>
        <w:t>što predstavlja relevantan podatak o sudskoj praksi u ovoj oblasti</w:t>
      </w:r>
      <w:r w:rsidR="00BA145D" w:rsidRPr="00BA145D">
        <w:t xml:space="preserve"> </w:t>
      </w:r>
      <w:r w:rsidR="00BA145D" w:rsidRPr="00BA145D">
        <w:rPr>
          <w:sz w:val="24"/>
          <w:szCs w:val="24"/>
        </w:rPr>
        <w:t>i omogućava sagledavanje opštih trendova u primjeni ovog instituta</w:t>
      </w:r>
      <w:r w:rsidR="00385955" w:rsidRPr="00BA145D">
        <w:rPr>
          <w:rFonts w:eastAsia="Times New Roman" w:cstheme="minorHAnsi"/>
          <w:bCs/>
          <w:sz w:val="24"/>
          <w:szCs w:val="24"/>
          <w:lang w:val="en-US"/>
        </w:rPr>
        <w:t>.</w:t>
      </w:r>
      <w:r w:rsidR="00385955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</w:p>
    <w:p w14:paraId="09C7FDF5" w14:textId="7E79B991" w:rsidR="00B66C53" w:rsidRPr="00993190" w:rsidRDefault="00B66C53" w:rsidP="0080665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806653">
        <w:rPr>
          <w:rFonts w:eastAsia="Times New Roman" w:cstheme="minorHAnsi"/>
          <w:sz w:val="24"/>
          <w:szCs w:val="24"/>
          <w:lang w:val="en-US"/>
        </w:rPr>
        <w:t>Broj predmeta pred osnovnim sudovima bio je</w:t>
      </w:r>
      <w:r w:rsidR="00806653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806653">
        <w:rPr>
          <w:rFonts w:eastAsia="Times New Roman" w:cstheme="minorHAnsi"/>
          <w:sz w:val="24"/>
          <w:szCs w:val="24"/>
          <w:lang w:val="en-US"/>
        </w:rPr>
        <w:t xml:space="preserve">stabilan, bez izraženih oscilacija, dok je prenošenje neriješenih predmeta iz godine u godinu gotovo izostalo, što ukazuje na </w:t>
      </w:r>
      <w:r w:rsidRPr="00806653">
        <w:rPr>
          <w:rFonts w:eastAsia="Times New Roman" w:cstheme="minorHAnsi"/>
          <w:bCs/>
          <w:sz w:val="24"/>
          <w:szCs w:val="24"/>
          <w:lang w:val="en-US"/>
        </w:rPr>
        <w:t>efikasno i ažurno postupanje sudova</w:t>
      </w:r>
      <w:r w:rsidRPr="00806653">
        <w:rPr>
          <w:rFonts w:eastAsia="Times New Roman" w:cstheme="minorHAnsi"/>
          <w:sz w:val="24"/>
          <w:szCs w:val="24"/>
          <w:lang w:val="en-US"/>
        </w:rPr>
        <w:t>. Sudska praksa pokazuje ujednačen pristup, pri</w:t>
      </w:r>
      <w:r w:rsidR="00993190" w:rsidRPr="00993190">
        <w:t xml:space="preserve"> </w:t>
      </w:r>
      <w:r w:rsidR="00993190" w:rsidRPr="00993190">
        <w:rPr>
          <w:sz w:val="24"/>
          <w:szCs w:val="24"/>
        </w:rPr>
        <w:t>čemu se konstatuje potreba češćeg i sistematičnijeg uključivanja centara za socijalni rad u postupke odlučivanja</w:t>
      </w:r>
      <w:r w:rsidRPr="00993190">
        <w:rPr>
          <w:rFonts w:eastAsia="Times New Roman" w:cstheme="minorHAnsi"/>
          <w:sz w:val="24"/>
          <w:szCs w:val="24"/>
          <w:lang w:val="en-US"/>
        </w:rPr>
        <w:t>.</w:t>
      </w:r>
    </w:p>
    <w:p w14:paraId="58665D5E" w14:textId="7FEB274A" w:rsidR="00B66C53" w:rsidRPr="00806653" w:rsidRDefault="00B66C53" w:rsidP="0080665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806653">
        <w:rPr>
          <w:rFonts w:eastAsia="Times New Roman" w:cstheme="minorHAnsi"/>
          <w:sz w:val="24"/>
          <w:szCs w:val="24"/>
          <w:lang w:val="en-US"/>
        </w:rPr>
        <w:t xml:space="preserve">Struktura podnosilaca predloga, koji su gotovo isključivo bila maloljetna lica ženskog pola uzrasta 16 i 17 godina, kao i starosna struktura budućih bračnih partnera, dodatno potvrđuju da je riječ o </w:t>
      </w:r>
      <w:r w:rsidRPr="00806653">
        <w:rPr>
          <w:rFonts w:eastAsia="Times New Roman" w:cstheme="minorHAnsi"/>
          <w:bCs/>
          <w:sz w:val="24"/>
          <w:szCs w:val="24"/>
          <w:lang w:val="en-US"/>
        </w:rPr>
        <w:t>izuzetno osjetljivoj oblasti</w:t>
      </w:r>
      <w:r w:rsidRPr="00806653">
        <w:rPr>
          <w:rFonts w:eastAsia="Times New Roman" w:cstheme="minorHAnsi"/>
          <w:sz w:val="24"/>
          <w:szCs w:val="24"/>
          <w:lang w:val="en-US"/>
        </w:rPr>
        <w:t xml:space="preserve"> koja zahtijeva poseban stepen pažnje i odgovornosti svih uključenih institucija. </w:t>
      </w:r>
    </w:p>
    <w:p w14:paraId="6A18D648" w14:textId="35FA86B7" w:rsidR="00B66C53" w:rsidRPr="00806653" w:rsidRDefault="00B66C53" w:rsidP="0080665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806653">
        <w:rPr>
          <w:rFonts w:eastAsia="Times New Roman" w:cstheme="minorHAnsi"/>
          <w:sz w:val="24"/>
          <w:szCs w:val="24"/>
          <w:lang w:val="en-US"/>
        </w:rPr>
        <w:t xml:space="preserve">Podaci o zaključenim brakovima pred organima lokalne samouprave dodatno potvrđuju da je pojava </w:t>
      </w:r>
      <w:r w:rsidRPr="00465F3E">
        <w:rPr>
          <w:rFonts w:eastAsia="Times New Roman" w:cstheme="minorHAnsi"/>
          <w:bCs/>
          <w:sz w:val="24"/>
          <w:szCs w:val="24"/>
          <w:lang w:val="en-US"/>
        </w:rPr>
        <w:t>prostorno koncentrisana i ukupno</w:t>
      </w:r>
      <w:r w:rsidR="00465F3E">
        <w:rPr>
          <w:rFonts w:eastAsia="Times New Roman" w:cstheme="minorHAnsi"/>
          <w:bCs/>
          <w:sz w:val="24"/>
          <w:szCs w:val="24"/>
          <w:lang w:val="en-US"/>
        </w:rPr>
        <w:t xml:space="preserve"> umjerena</w:t>
      </w:r>
      <w:r w:rsidRPr="00806653">
        <w:rPr>
          <w:rFonts w:eastAsia="Times New Roman" w:cstheme="minorHAnsi"/>
          <w:sz w:val="24"/>
          <w:szCs w:val="24"/>
          <w:lang w:val="en-US"/>
        </w:rPr>
        <w:t>, sa dominantnim učešćem malog broja opština, dok u većini opština nije evidentiran nijedan slučaj u posmatranom periodu. Ovakva distribucija ne ukazuje na sistemsku ili masovnu pojavu, već na lokalno specifične okolnosti.</w:t>
      </w:r>
      <w:r w:rsidR="002B0AB9">
        <w:rPr>
          <w:rFonts w:eastAsia="Times New Roman" w:cstheme="minorHAnsi"/>
          <w:sz w:val="24"/>
          <w:szCs w:val="24"/>
          <w:lang w:val="en-US"/>
        </w:rPr>
        <w:t xml:space="preserve"> Osim navedenog, broj zaključenih brakova</w:t>
      </w:r>
      <w:r w:rsidR="00F02D58">
        <w:rPr>
          <w:rFonts w:eastAsia="Times New Roman" w:cstheme="minorHAnsi"/>
          <w:sz w:val="24"/>
          <w:szCs w:val="24"/>
          <w:lang w:val="en-US"/>
        </w:rPr>
        <w:t>,</w:t>
      </w:r>
      <w:r w:rsidR="002B0AB9">
        <w:rPr>
          <w:rFonts w:eastAsia="Times New Roman" w:cstheme="minorHAnsi"/>
          <w:sz w:val="24"/>
          <w:szCs w:val="24"/>
          <w:lang w:val="en-US"/>
        </w:rPr>
        <w:t xml:space="preserve"> uporedno posmatran u odnosu na broj donijetih odluka suda o usvajanju predloga za davanje dozvole, ukazuje da brak nije zaključen u svakom slučaju o kojem je sud odlučivao, što može ukazivati i na sadržajnost sudskog postupka koji daje priliku za sagledavanje svih okolnosti slučaja ne samo sa stanovišta suda, već i sa stanovišta ostalih njegovih učesnika. </w:t>
      </w:r>
    </w:p>
    <w:p w14:paraId="55E18104" w14:textId="40511798" w:rsidR="00B66C53" w:rsidRPr="00806653" w:rsidRDefault="00B66C53" w:rsidP="0080665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806653">
        <w:rPr>
          <w:rFonts w:eastAsia="Times New Roman" w:cstheme="minorHAnsi"/>
          <w:sz w:val="24"/>
          <w:szCs w:val="24"/>
          <w:lang w:val="en-US"/>
        </w:rPr>
        <w:t xml:space="preserve">Sveukupno posmatrano, može se ocijeniti da </w:t>
      </w:r>
      <w:r w:rsidRPr="00465F3E">
        <w:rPr>
          <w:rFonts w:eastAsia="Times New Roman" w:cstheme="minorHAnsi"/>
          <w:bCs/>
          <w:sz w:val="24"/>
          <w:szCs w:val="24"/>
          <w:lang w:val="en-US"/>
        </w:rPr>
        <w:t xml:space="preserve">važeće zakonsko rješenje </w:t>
      </w:r>
      <w:r w:rsidR="00465F3E">
        <w:rPr>
          <w:rFonts w:eastAsia="Times New Roman" w:cstheme="minorHAnsi"/>
          <w:sz w:val="24"/>
          <w:szCs w:val="24"/>
          <w:lang w:val="en-US"/>
        </w:rPr>
        <w:t xml:space="preserve">stvara </w:t>
      </w:r>
      <w:proofErr w:type="gramStart"/>
      <w:r w:rsidR="00465F3E">
        <w:rPr>
          <w:rFonts w:eastAsia="Times New Roman" w:cstheme="minorHAnsi"/>
          <w:sz w:val="24"/>
          <w:szCs w:val="24"/>
          <w:lang w:val="en-US"/>
        </w:rPr>
        <w:t>uslove  za</w:t>
      </w:r>
      <w:proofErr w:type="gramEnd"/>
      <w:r w:rsidR="00465F3E">
        <w:rPr>
          <w:rFonts w:eastAsia="Times New Roman" w:cstheme="minorHAnsi"/>
          <w:sz w:val="24"/>
          <w:szCs w:val="24"/>
          <w:lang w:val="en-US"/>
        </w:rPr>
        <w:t xml:space="preserve"> kontrolisano i</w:t>
      </w:r>
      <w:r w:rsidRPr="00806653">
        <w:rPr>
          <w:rFonts w:eastAsia="Times New Roman" w:cstheme="minorHAnsi"/>
          <w:sz w:val="24"/>
          <w:szCs w:val="24"/>
          <w:lang w:val="en-US"/>
        </w:rPr>
        <w:t xml:space="preserve"> izuzetno odstupanje od opšteg pravila punoljetstva za zaključenje braka, uz </w:t>
      </w:r>
      <w:r w:rsidRPr="00806653">
        <w:rPr>
          <w:rFonts w:eastAsia="Times New Roman" w:cstheme="minorHAnsi"/>
          <w:sz w:val="24"/>
          <w:szCs w:val="24"/>
          <w:lang w:val="en-US"/>
        </w:rPr>
        <w:lastRenderedPageBreak/>
        <w:t xml:space="preserve">istovremenu zaštitu najboljeg interesa djeteta kroz sudsku kontrolu i uključenost organa starateljstva. </w:t>
      </w:r>
    </w:p>
    <w:p w14:paraId="471F4FC4" w14:textId="0202F398" w:rsidR="00B66C53" w:rsidRDefault="00B66C53" w:rsidP="0080665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806653">
        <w:rPr>
          <w:rFonts w:eastAsia="Times New Roman" w:cstheme="minorHAnsi"/>
          <w:sz w:val="24"/>
          <w:szCs w:val="24"/>
          <w:lang w:val="en-US"/>
        </w:rPr>
        <w:t xml:space="preserve">Istovremeno, ostaje obaveza nadležnih organa da </w:t>
      </w:r>
      <w:r w:rsidRPr="00465F3E">
        <w:rPr>
          <w:rFonts w:eastAsia="Times New Roman" w:cstheme="minorHAnsi"/>
          <w:bCs/>
          <w:sz w:val="24"/>
          <w:szCs w:val="24"/>
          <w:lang w:val="en-US"/>
        </w:rPr>
        <w:t>nastave da prate primjenu ovog instituta</w:t>
      </w:r>
      <w:r w:rsidRPr="00806653">
        <w:rPr>
          <w:rFonts w:eastAsia="Times New Roman" w:cstheme="minorHAnsi"/>
          <w:sz w:val="24"/>
          <w:szCs w:val="24"/>
          <w:lang w:val="en-US"/>
        </w:rPr>
        <w:t>, imajući u vidu međunarodne standarde zaštite prava djeteta, društveni kontekst i potencijalne rizike koje rano zaključenje braka može imati po razvoj, obrazovanje i socijalnu uključenost maloljetnih lica.</w:t>
      </w:r>
    </w:p>
    <w:p w14:paraId="0A27A3CE" w14:textId="4AF2EFD0" w:rsidR="00465F3E" w:rsidRDefault="00465F3E" w:rsidP="00465F3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val="en-US"/>
        </w:rPr>
      </w:pPr>
      <w:r w:rsidRPr="00465F3E">
        <w:rPr>
          <w:rFonts w:eastAsia="Times New Roman" w:cstheme="minorHAnsi"/>
          <w:b/>
          <w:sz w:val="24"/>
          <w:szCs w:val="24"/>
          <w:lang w:val="en-US"/>
        </w:rPr>
        <w:t xml:space="preserve">PREPORUKE ZA NAREDNI PERIOD </w:t>
      </w:r>
    </w:p>
    <w:p w14:paraId="64E6E596" w14:textId="699F90FC" w:rsidR="00465F3E" w:rsidRDefault="00465F3E" w:rsidP="00465F3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US"/>
        </w:rPr>
      </w:pPr>
    </w:p>
    <w:p w14:paraId="298A1014" w14:textId="26D00C2A" w:rsidR="00993190" w:rsidRPr="00993190" w:rsidRDefault="00993190" w:rsidP="00465F3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93190">
        <w:rPr>
          <w:rFonts w:eastAsia="Times New Roman" w:cstheme="minorHAnsi"/>
          <w:sz w:val="24"/>
          <w:szCs w:val="24"/>
          <w:lang w:val="en-US"/>
        </w:rPr>
        <w:t>Imajući u vidu specifičnost i značaj instituta, u narednom periodu potrebno je:</w:t>
      </w:r>
    </w:p>
    <w:p w14:paraId="166F6BAC" w14:textId="77777777" w:rsidR="00993190" w:rsidRPr="00465F3E" w:rsidRDefault="00993190" w:rsidP="00465F3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US"/>
        </w:rPr>
      </w:pPr>
    </w:p>
    <w:p w14:paraId="796BEF6B" w14:textId="25759699" w:rsidR="002C61A6" w:rsidRPr="00465F3E" w:rsidRDefault="002C61A6" w:rsidP="00C32B6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465F3E">
        <w:rPr>
          <w:rFonts w:eastAsia="Times New Roman" w:cstheme="minorHAnsi"/>
          <w:bCs/>
          <w:sz w:val="24"/>
          <w:szCs w:val="24"/>
          <w:lang w:val="en-US"/>
        </w:rPr>
        <w:t>Nastaviti praćenje primjene instituta</w:t>
      </w:r>
      <w:r w:rsidRPr="00465F3E">
        <w:rPr>
          <w:rFonts w:eastAsia="Times New Roman" w:cstheme="minorHAnsi"/>
          <w:sz w:val="24"/>
          <w:szCs w:val="24"/>
          <w:lang w:val="en-US"/>
        </w:rPr>
        <w:t xml:space="preserve"> kroz </w:t>
      </w:r>
      <w:proofErr w:type="gramStart"/>
      <w:r w:rsidR="00F02D58">
        <w:rPr>
          <w:rFonts w:eastAsia="Times New Roman" w:cstheme="minorHAnsi"/>
          <w:sz w:val="24"/>
          <w:szCs w:val="24"/>
          <w:lang w:val="en-US"/>
        </w:rPr>
        <w:t xml:space="preserve">periodične </w:t>
      </w:r>
      <w:r w:rsidR="00407137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465F3E">
        <w:rPr>
          <w:rFonts w:eastAsia="Times New Roman" w:cstheme="minorHAnsi"/>
          <w:sz w:val="24"/>
          <w:szCs w:val="24"/>
          <w:lang w:val="en-US"/>
        </w:rPr>
        <w:t>analize</w:t>
      </w:r>
      <w:proofErr w:type="gramEnd"/>
      <w:r w:rsidRPr="00465F3E">
        <w:rPr>
          <w:rFonts w:eastAsia="Times New Roman" w:cstheme="minorHAnsi"/>
          <w:sz w:val="24"/>
          <w:szCs w:val="24"/>
          <w:lang w:val="en-US"/>
        </w:rPr>
        <w:t xml:space="preserve"> sudske prakse i statističke pokazatelje, u cilju očuvanja usklađenosti sa međunarodnim standardima zaštite prava djeteta</w:t>
      </w:r>
      <w:r w:rsidR="00164505">
        <w:rPr>
          <w:rFonts w:eastAsia="Times New Roman" w:cstheme="minorHAnsi"/>
          <w:sz w:val="24"/>
          <w:szCs w:val="24"/>
          <w:lang w:val="en-US"/>
        </w:rPr>
        <w:t>;</w:t>
      </w:r>
    </w:p>
    <w:p w14:paraId="3CCCD21C" w14:textId="39E1CB92" w:rsidR="002C61A6" w:rsidRPr="00465F3E" w:rsidRDefault="002C61A6" w:rsidP="00C32B6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465F3E">
        <w:rPr>
          <w:rFonts w:eastAsia="Times New Roman" w:cstheme="minorHAnsi"/>
          <w:bCs/>
          <w:sz w:val="24"/>
          <w:szCs w:val="24"/>
          <w:lang w:val="en-US"/>
        </w:rPr>
        <w:t>Dalje jačati međuinstitucionalnu saradnju</w:t>
      </w:r>
      <w:r w:rsidRPr="00465F3E">
        <w:rPr>
          <w:rFonts w:eastAsia="Times New Roman" w:cstheme="minorHAnsi"/>
          <w:sz w:val="24"/>
          <w:szCs w:val="24"/>
          <w:lang w:val="en-US"/>
        </w:rPr>
        <w:t xml:space="preserve"> sudova, centara za socijalni rad i organa lokalne samouprave, u skladu sa principom sveobuhvatne zaštite djeteta</w:t>
      </w:r>
      <w:r w:rsidR="00164505">
        <w:rPr>
          <w:rFonts w:eastAsia="Times New Roman" w:cstheme="minorHAnsi"/>
          <w:sz w:val="24"/>
          <w:szCs w:val="24"/>
          <w:lang w:val="en-US"/>
        </w:rPr>
        <w:t>;</w:t>
      </w:r>
    </w:p>
    <w:p w14:paraId="18A547ED" w14:textId="360E7B40" w:rsidR="002C61A6" w:rsidRPr="00465F3E" w:rsidRDefault="002C61A6" w:rsidP="00C32B6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465F3E">
        <w:rPr>
          <w:rFonts w:eastAsia="Times New Roman" w:cstheme="minorHAnsi"/>
          <w:bCs/>
          <w:sz w:val="24"/>
          <w:szCs w:val="24"/>
          <w:lang w:val="en-US"/>
        </w:rPr>
        <w:t>Unapređivati preventivne i informativne mjere</w:t>
      </w:r>
      <w:r w:rsidRPr="00465F3E">
        <w:rPr>
          <w:rFonts w:eastAsia="Times New Roman" w:cstheme="minorHAnsi"/>
          <w:sz w:val="24"/>
          <w:szCs w:val="24"/>
          <w:lang w:val="en-US"/>
        </w:rPr>
        <w:t>, posebno u lokalnim zajednicama u kojima se bilježi veći broj slučajeva</w:t>
      </w:r>
      <w:r w:rsidR="00164505">
        <w:rPr>
          <w:rFonts w:eastAsia="Times New Roman" w:cstheme="minorHAnsi"/>
          <w:sz w:val="24"/>
          <w:szCs w:val="24"/>
          <w:lang w:val="en-US"/>
        </w:rPr>
        <w:t>;</w:t>
      </w:r>
    </w:p>
    <w:p w14:paraId="17C51B14" w14:textId="275DD01A" w:rsidR="002C61A6" w:rsidRPr="00465F3E" w:rsidRDefault="002C61A6" w:rsidP="00C32B6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465F3E">
        <w:rPr>
          <w:rFonts w:eastAsia="Times New Roman" w:cstheme="minorHAnsi"/>
          <w:bCs/>
          <w:sz w:val="24"/>
          <w:szCs w:val="24"/>
          <w:lang w:val="en-US"/>
        </w:rPr>
        <w:t>Obezbijediti kontinuitet stručnog usavršavanja</w:t>
      </w:r>
      <w:r w:rsidRPr="00465F3E">
        <w:rPr>
          <w:rFonts w:eastAsia="Times New Roman" w:cstheme="minorHAnsi"/>
          <w:sz w:val="24"/>
          <w:szCs w:val="24"/>
          <w:lang w:val="en-US"/>
        </w:rPr>
        <w:t xml:space="preserve"> sudija i stručnih radnika, kako bi se međunarodni standardi dosljedno reflektovali u svakom pojedinačnom postupku.</w:t>
      </w:r>
    </w:p>
    <w:p w14:paraId="58FB569E" w14:textId="77777777" w:rsidR="00AD5A08" w:rsidRPr="00806653" w:rsidRDefault="00AD5A08" w:rsidP="00C32B6C">
      <w:pPr>
        <w:ind w:right="-188"/>
        <w:jc w:val="both"/>
        <w:rPr>
          <w:rFonts w:cstheme="minorHAnsi"/>
        </w:rPr>
      </w:pPr>
    </w:p>
    <w:sectPr w:rsidR="00AD5A08" w:rsidRPr="0080665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A2DF0" w14:textId="77777777" w:rsidR="00A42B4A" w:rsidRDefault="00A42B4A" w:rsidP="001D2275">
      <w:pPr>
        <w:spacing w:after="0" w:line="240" w:lineRule="auto"/>
      </w:pPr>
      <w:r>
        <w:separator/>
      </w:r>
    </w:p>
  </w:endnote>
  <w:endnote w:type="continuationSeparator" w:id="0">
    <w:p w14:paraId="1C76ED77" w14:textId="77777777" w:rsidR="00A42B4A" w:rsidRDefault="00A42B4A" w:rsidP="001D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C5885" w14:textId="77777777" w:rsidR="0000338A" w:rsidRDefault="0000338A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24B77C4" w14:textId="77777777" w:rsidR="0000338A" w:rsidRDefault="00003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02B01" w14:textId="77777777" w:rsidR="00A42B4A" w:rsidRDefault="00A42B4A" w:rsidP="001D2275">
      <w:pPr>
        <w:spacing w:after="0" w:line="240" w:lineRule="auto"/>
      </w:pPr>
      <w:r>
        <w:separator/>
      </w:r>
    </w:p>
  </w:footnote>
  <w:footnote w:type="continuationSeparator" w:id="0">
    <w:p w14:paraId="2CEDA71F" w14:textId="77777777" w:rsidR="00A42B4A" w:rsidRDefault="00A42B4A" w:rsidP="001D2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FD680" w14:textId="416FB08B" w:rsidR="0000338A" w:rsidRDefault="0000338A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D498B6" wp14:editId="1AF3849E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FB4C7" w14:textId="77777777" w:rsidR="0000338A" w:rsidRDefault="0000338A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D498B6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CAFB4C7" w14:textId="77777777" w:rsidR="0000338A" w:rsidRDefault="0000338A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7FE6"/>
    <w:multiLevelType w:val="multilevel"/>
    <w:tmpl w:val="CCC6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C7649"/>
    <w:multiLevelType w:val="hybridMultilevel"/>
    <w:tmpl w:val="C40A48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32B7B"/>
    <w:multiLevelType w:val="multilevel"/>
    <w:tmpl w:val="A388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E22BE"/>
    <w:multiLevelType w:val="multilevel"/>
    <w:tmpl w:val="08D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C1CB2"/>
    <w:multiLevelType w:val="multilevel"/>
    <w:tmpl w:val="3728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57745"/>
    <w:multiLevelType w:val="hybridMultilevel"/>
    <w:tmpl w:val="7E1447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75E58"/>
    <w:multiLevelType w:val="hybridMultilevel"/>
    <w:tmpl w:val="9FF87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5466C"/>
    <w:multiLevelType w:val="multilevel"/>
    <w:tmpl w:val="B72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24B1D"/>
    <w:multiLevelType w:val="hybridMultilevel"/>
    <w:tmpl w:val="D444E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413"/>
    <w:multiLevelType w:val="hybridMultilevel"/>
    <w:tmpl w:val="7B247AFC"/>
    <w:lvl w:ilvl="0" w:tplc="04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D198F"/>
    <w:multiLevelType w:val="multilevel"/>
    <w:tmpl w:val="8906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B02AD"/>
    <w:multiLevelType w:val="multilevel"/>
    <w:tmpl w:val="B2F8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06544"/>
    <w:multiLevelType w:val="multilevel"/>
    <w:tmpl w:val="4CCA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877DE"/>
    <w:multiLevelType w:val="multilevel"/>
    <w:tmpl w:val="A296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B92245"/>
    <w:multiLevelType w:val="hybridMultilevel"/>
    <w:tmpl w:val="AEDCC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12"/>
  </w:num>
  <w:num w:numId="10">
    <w:abstractNumId w:val="5"/>
  </w:num>
  <w:num w:numId="11">
    <w:abstractNumId w:val="1"/>
  </w:num>
  <w:num w:numId="12">
    <w:abstractNumId w:val="9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A5"/>
    <w:rsid w:val="0000338A"/>
    <w:rsid w:val="00092440"/>
    <w:rsid w:val="000B2984"/>
    <w:rsid w:val="000D0C9C"/>
    <w:rsid w:val="000D5B09"/>
    <w:rsid w:val="000E1759"/>
    <w:rsid w:val="0010084A"/>
    <w:rsid w:val="00147666"/>
    <w:rsid w:val="001619D2"/>
    <w:rsid w:val="00163846"/>
    <w:rsid w:val="00164505"/>
    <w:rsid w:val="00173F99"/>
    <w:rsid w:val="00176D88"/>
    <w:rsid w:val="001A6A97"/>
    <w:rsid w:val="001D2275"/>
    <w:rsid w:val="001E743C"/>
    <w:rsid w:val="002239C9"/>
    <w:rsid w:val="00230614"/>
    <w:rsid w:val="0024164E"/>
    <w:rsid w:val="002421CF"/>
    <w:rsid w:val="00256B9C"/>
    <w:rsid w:val="00271BC0"/>
    <w:rsid w:val="0027433B"/>
    <w:rsid w:val="0027509C"/>
    <w:rsid w:val="0028425C"/>
    <w:rsid w:val="002B0AB9"/>
    <w:rsid w:val="002C420D"/>
    <w:rsid w:val="002C61A6"/>
    <w:rsid w:val="00302DD0"/>
    <w:rsid w:val="00314AB5"/>
    <w:rsid w:val="00340CD8"/>
    <w:rsid w:val="003757AC"/>
    <w:rsid w:val="00385955"/>
    <w:rsid w:val="00391DAF"/>
    <w:rsid w:val="00393A95"/>
    <w:rsid w:val="003B13E3"/>
    <w:rsid w:val="003E4F21"/>
    <w:rsid w:val="003F1D44"/>
    <w:rsid w:val="00401AA8"/>
    <w:rsid w:val="00407137"/>
    <w:rsid w:val="004263AD"/>
    <w:rsid w:val="00447DA3"/>
    <w:rsid w:val="00452FEB"/>
    <w:rsid w:val="00465F3E"/>
    <w:rsid w:val="004728FC"/>
    <w:rsid w:val="004B2F2B"/>
    <w:rsid w:val="004C3D17"/>
    <w:rsid w:val="005362E2"/>
    <w:rsid w:val="00560158"/>
    <w:rsid w:val="005C48B6"/>
    <w:rsid w:val="005D231A"/>
    <w:rsid w:val="005D5315"/>
    <w:rsid w:val="005E3D22"/>
    <w:rsid w:val="005E6B85"/>
    <w:rsid w:val="006138AA"/>
    <w:rsid w:val="00632FD3"/>
    <w:rsid w:val="006354F5"/>
    <w:rsid w:val="00684AFC"/>
    <w:rsid w:val="006A2AC2"/>
    <w:rsid w:val="006A751B"/>
    <w:rsid w:val="006D4E87"/>
    <w:rsid w:val="007045AD"/>
    <w:rsid w:val="007628BF"/>
    <w:rsid w:val="0077146B"/>
    <w:rsid w:val="00786204"/>
    <w:rsid w:val="007A72A8"/>
    <w:rsid w:val="007B0700"/>
    <w:rsid w:val="007B1D78"/>
    <w:rsid w:val="00806653"/>
    <w:rsid w:val="00815805"/>
    <w:rsid w:val="008413D7"/>
    <w:rsid w:val="0092576A"/>
    <w:rsid w:val="00940295"/>
    <w:rsid w:val="00942BCD"/>
    <w:rsid w:val="009529C6"/>
    <w:rsid w:val="0098258B"/>
    <w:rsid w:val="00993190"/>
    <w:rsid w:val="009A414C"/>
    <w:rsid w:val="009A48D6"/>
    <w:rsid w:val="009B0943"/>
    <w:rsid w:val="009B54DC"/>
    <w:rsid w:val="009D5B01"/>
    <w:rsid w:val="009E09F6"/>
    <w:rsid w:val="00A10794"/>
    <w:rsid w:val="00A20443"/>
    <w:rsid w:val="00A42B4A"/>
    <w:rsid w:val="00A44C27"/>
    <w:rsid w:val="00A4706D"/>
    <w:rsid w:val="00A53645"/>
    <w:rsid w:val="00AA0418"/>
    <w:rsid w:val="00AB3194"/>
    <w:rsid w:val="00AD5A08"/>
    <w:rsid w:val="00AF68B8"/>
    <w:rsid w:val="00B25233"/>
    <w:rsid w:val="00B306CC"/>
    <w:rsid w:val="00B30E31"/>
    <w:rsid w:val="00B373D9"/>
    <w:rsid w:val="00B51895"/>
    <w:rsid w:val="00B66C53"/>
    <w:rsid w:val="00BA145D"/>
    <w:rsid w:val="00BD275B"/>
    <w:rsid w:val="00C30A25"/>
    <w:rsid w:val="00C32B6C"/>
    <w:rsid w:val="00C36C0D"/>
    <w:rsid w:val="00C82A7E"/>
    <w:rsid w:val="00C86F67"/>
    <w:rsid w:val="00D120F5"/>
    <w:rsid w:val="00D666A1"/>
    <w:rsid w:val="00D76E4F"/>
    <w:rsid w:val="00D92B51"/>
    <w:rsid w:val="00DA20A5"/>
    <w:rsid w:val="00DB3487"/>
    <w:rsid w:val="00DC3FE8"/>
    <w:rsid w:val="00DD2820"/>
    <w:rsid w:val="00E05F42"/>
    <w:rsid w:val="00E32682"/>
    <w:rsid w:val="00EF37BA"/>
    <w:rsid w:val="00F02D58"/>
    <w:rsid w:val="00F17091"/>
    <w:rsid w:val="00F87C53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D39C"/>
  <w15:chartTrackingRefBased/>
  <w15:docId w15:val="{17D2D135-CEC8-4E9B-9417-88A485E9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33B"/>
  </w:style>
  <w:style w:type="paragraph" w:styleId="Heading2">
    <w:name w:val="heading 2"/>
    <w:basedOn w:val="Normal"/>
    <w:link w:val="Heading2Char"/>
    <w:uiPriority w:val="9"/>
    <w:qFormat/>
    <w:rsid w:val="007A72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F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27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Header">
    <w:name w:val="header"/>
    <w:basedOn w:val="Normal"/>
    <w:link w:val="HeaderChar"/>
    <w:uiPriority w:val="99"/>
    <w:unhideWhenUsed/>
    <w:rsid w:val="001D2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275"/>
  </w:style>
  <w:style w:type="paragraph" w:styleId="Footer">
    <w:name w:val="footer"/>
    <w:basedOn w:val="Normal"/>
    <w:link w:val="FooterChar"/>
    <w:uiPriority w:val="99"/>
    <w:unhideWhenUsed/>
    <w:rsid w:val="001D2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275"/>
  </w:style>
  <w:style w:type="character" w:customStyle="1" w:styleId="Heading2Char">
    <w:name w:val="Heading 2 Char"/>
    <w:basedOn w:val="DefaultParagraphFont"/>
    <w:link w:val="Heading2"/>
    <w:uiPriority w:val="9"/>
    <w:rsid w:val="007A72A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7A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3F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C3FE8"/>
    <w:rPr>
      <w:b/>
      <w:bCs/>
    </w:rPr>
  </w:style>
  <w:style w:type="table" w:customStyle="1" w:styleId="Calendar1">
    <w:name w:val="Calendar 1"/>
    <w:basedOn w:val="TableNormal"/>
    <w:uiPriority w:val="99"/>
    <w:qFormat/>
    <w:rsid w:val="001E743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lainTable4">
    <w:name w:val="Plain Table 4"/>
    <w:basedOn w:val="TableNormal"/>
    <w:uiPriority w:val="44"/>
    <w:rsid w:val="00AB31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B31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27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330C-79C7-4413-863C-990275D6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11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Jelena Dragicevic</cp:lastModifiedBy>
  <cp:revision>76</cp:revision>
  <cp:lastPrinted>2025-12-25T08:08:00Z</cp:lastPrinted>
  <dcterms:created xsi:type="dcterms:W3CDTF">2025-05-26T07:06:00Z</dcterms:created>
  <dcterms:modified xsi:type="dcterms:W3CDTF">2025-12-29T12:33:00Z</dcterms:modified>
</cp:coreProperties>
</file>