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3A3" w:rsidRDefault="00A733A3" w:rsidP="00A733A3">
      <w:pPr>
        <w:jc w:val="center"/>
        <w:rPr>
          <w:b/>
          <w:u w:val="single"/>
          <w:lang w:val="sr-Latn-ME"/>
        </w:rPr>
      </w:pPr>
      <w:r w:rsidRPr="00EE361E">
        <w:rPr>
          <w:b/>
          <w:u w:val="single"/>
          <w:lang w:val="sr-Latn-ME"/>
        </w:rPr>
        <w:t xml:space="preserve">Izvještaj o izvršenju budžeta Crne Gore za </w:t>
      </w:r>
      <w:r w:rsidR="00695C05" w:rsidRPr="00EE361E">
        <w:rPr>
          <w:b/>
          <w:u w:val="single"/>
          <w:lang w:val="sr-Latn-ME"/>
        </w:rPr>
        <w:t>januar-</w:t>
      </w:r>
      <w:r w:rsidR="00336689" w:rsidRPr="00EE361E">
        <w:rPr>
          <w:b/>
          <w:u w:val="single"/>
          <w:lang w:val="sr-Latn-ME"/>
        </w:rPr>
        <w:t xml:space="preserve">mart </w:t>
      </w:r>
      <w:r w:rsidRPr="00EE361E">
        <w:rPr>
          <w:b/>
          <w:u w:val="single"/>
          <w:lang w:val="sr-Latn-ME"/>
        </w:rPr>
        <w:t>2024. godine</w:t>
      </w:r>
    </w:p>
    <w:p w:rsidR="007F7A15" w:rsidRPr="00EE361E" w:rsidRDefault="007F7A15" w:rsidP="00A733A3">
      <w:pPr>
        <w:jc w:val="center"/>
        <w:rPr>
          <w:b/>
          <w:u w:val="single"/>
          <w:lang w:val="sr-Latn-ME"/>
        </w:rPr>
      </w:pPr>
    </w:p>
    <w:p w:rsidR="00DF008A" w:rsidRPr="00EE361E" w:rsidRDefault="00336689" w:rsidP="00DF008A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lang w:val="sr-Latn-ME" w:eastAsia="en-GB"/>
        </w:rPr>
      </w:pPr>
      <w:r w:rsidRPr="00EE361E">
        <w:rPr>
          <w:rFonts w:eastAsia="Times New Roman" w:cstheme="minorHAnsi"/>
          <w:b/>
          <w:bCs/>
          <w:color w:val="000000"/>
          <w:lang w:val="sr-Latn-ME" w:eastAsia="en-GB"/>
        </w:rPr>
        <w:t>Prihodi budžeta u periodu januar – mart 2024. godine iznosili su 57</w:t>
      </w:r>
      <w:r w:rsidR="002B3B59" w:rsidRPr="00EE361E">
        <w:rPr>
          <w:rFonts w:eastAsia="Times New Roman" w:cstheme="minorHAnsi"/>
          <w:b/>
          <w:bCs/>
          <w:color w:val="000000"/>
          <w:lang w:val="sr-Latn-ME" w:eastAsia="en-GB"/>
        </w:rPr>
        <w:t>8,5</w:t>
      </w:r>
      <w:r w:rsidRPr="00EE361E">
        <w:rPr>
          <w:rFonts w:eastAsia="Times New Roman" w:cstheme="minorHAnsi"/>
          <w:b/>
          <w:bCs/>
          <w:color w:val="000000"/>
          <w:lang w:val="sr-Latn-ME" w:eastAsia="en-GB"/>
        </w:rPr>
        <w:t xml:space="preserve"> mil. €</w:t>
      </w:r>
      <w:r w:rsidR="002B3B59" w:rsidRPr="00EE361E">
        <w:rPr>
          <w:rFonts w:eastAsia="Times New Roman" w:cstheme="minorHAnsi"/>
          <w:b/>
          <w:bCs/>
          <w:color w:val="000000"/>
          <w:lang w:val="sr-Latn-ME" w:eastAsia="en-GB"/>
        </w:rPr>
        <w:t xml:space="preserve"> ili 8,2% procijenjenog BDP-a (7.034,0 mil. €)</w:t>
      </w:r>
      <w:r w:rsidRPr="00EE361E">
        <w:rPr>
          <w:rFonts w:eastAsia="Times New Roman" w:cstheme="minorHAnsi"/>
          <w:b/>
          <w:bCs/>
          <w:color w:val="000000"/>
          <w:lang w:val="sr-Latn-ME" w:eastAsia="en-GB"/>
        </w:rPr>
        <w:t xml:space="preserve">, što je u odnosu na isti period prethodne godine veće za </w:t>
      </w:r>
      <w:r w:rsidR="002B3B59" w:rsidRPr="00EE361E">
        <w:rPr>
          <w:rFonts w:eastAsia="Times New Roman" w:cstheme="minorHAnsi"/>
          <w:b/>
          <w:bCs/>
          <w:color w:val="000000"/>
          <w:lang w:val="sr-Latn-ME" w:eastAsia="en-GB"/>
        </w:rPr>
        <w:t>36,0</w:t>
      </w:r>
      <w:r w:rsidRPr="00EE361E">
        <w:rPr>
          <w:rFonts w:eastAsia="Times New Roman" w:cstheme="minorHAnsi"/>
          <w:b/>
          <w:bCs/>
          <w:color w:val="000000"/>
          <w:lang w:val="sr-Latn-ME" w:eastAsia="en-GB"/>
        </w:rPr>
        <w:t xml:space="preserve"> mil. € ili 6,</w:t>
      </w:r>
      <w:r w:rsidR="002B3B59" w:rsidRPr="00EE361E">
        <w:rPr>
          <w:rFonts w:eastAsia="Times New Roman" w:cstheme="minorHAnsi"/>
          <w:b/>
          <w:bCs/>
          <w:color w:val="000000"/>
          <w:lang w:val="sr-Latn-ME" w:eastAsia="en-GB"/>
        </w:rPr>
        <w:t>6</w:t>
      </w:r>
      <w:r w:rsidRPr="00EE361E">
        <w:rPr>
          <w:rFonts w:eastAsia="Times New Roman" w:cstheme="minorHAnsi"/>
          <w:b/>
          <w:bCs/>
          <w:color w:val="000000"/>
          <w:lang w:val="sr-Latn-ME" w:eastAsia="en-GB"/>
        </w:rPr>
        <w:t xml:space="preserve">%. </w:t>
      </w:r>
      <w:bookmarkStart w:id="0" w:name="_Hlk160001935"/>
      <w:r w:rsidRPr="00EE361E">
        <w:rPr>
          <w:rFonts w:eastAsia="Times New Roman" w:cstheme="minorHAnsi"/>
          <w:b/>
          <w:bCs/>
          <w:color w:val="000000"/>
          <w:lang w:val="sr-Latn-ME" w:eastAsia="en-GB"/>
        </w:rPr>
        <w:t>U poređenju sa planom za period januar – mart, prihodi su iznad plana za 4</w:t>
      </w:r>
      <w:r w:rsidR="002B3B59" w:rsidRPr="00EE361E">
        <w:rPr>
          <w:rFonts w:eastAsia="Times New Roman" w:cstheme="minorHAnsi"/>
          <w:b/>
          <w:bCs/>
          <w:color w:val="000000"/>
          <w:lang w:val="sr-Latn-ME" w:eastAsia="en-GB"/>
        </w:rPr>
        <w:t>5,6</w:t>
      </w:r>
      <w:r w:rsidRPr="00EE361E">
        <w:rPr>
          <w:rFonts w:eastAsia="Times New Roman" w:cstheme="minorHAnsi"/>
          <w:b/>
          <w:bCs/>
          <w:color w:val="000000"/>
          <w:lang w:val="sr-Latn-ME" w:eastAsia="en-GB"/>
        </w:rPr>
        <w:t xml:space="preserve"> mil. € ili 8,</w:t>
      </w:r>
      <w:r w:rsidR="002B3B59" w:rsidRPr="00EE361E">
        <w:rPr>
          <w:rFonts w:eastAsia="Times New Roman" w:cstheme="minorHAnsi"/>
          <w:b/>
          <w:bCs/>
          <w:color w:val="000000"/>
          <w:lang w:val="sr-Latn-ME" w:eastAsia="en-GB"/>
        </w:rPr>
        <w:t>6</w:t>
      </w:r>
      <w:r w:rsidRPr="00EE361E">
        <w:rPr>
          <w:rFonts w:eastAsia="Times New Roman" w:cstheme="minorHAnsi"/>
          <w:b/>
          <w:bCs/>
          <w:color w:val="000000"/>
          <w:lang w:val="sr-Latn-ME" w:eastAsia="en-GB"/>
        </w:rPr>
        <w:t xml:space="preserve">%. </w:t>
      </w:r>
      <w:bookmarkEnd w:id="0"/>
    </w:p>
    <w:p w:rsidR="00123865" w:rsidRDefault="00123865" w:rsidP="00DF008A">
      <w:pPr>
        <w:shd w:val="clear" w:color="auto" w:fill="FFFFFF"/>
        <w:jc w:val="both"/>
        <w:rPr>
          <w:rFonts w:cstheme="minorHAnsi"/>
          <w:b/>
          <w:lang w:val="sr-Latn-ME"/>
        </w:rPr>
      </w:pPr>
      <w:r w:rsidRPr="00EE361E">
        <w:rPr>
          <w:rFonts w:cstheme="minorHAnsi"/>
          <w:lang w:val="sr-Latn-ME"/>
        </w:rPr>
        <w:t xml:space="preserve">Neophodno je napomenuti da su, u posmatranom periodu 2023. godine prihodi jednokratnog karaktera iznosili 69,9 mil. €, dok su u istom periodu 2024. godine iznosili 6,1 mil €. </w:t>
      </w:r>
      <w:r w:rsidRPr="00EE361E">
        <w:rPr>
          <w:rFonts w:cstheme="minorHAnsi"/>
          <w:b/>
          <w:lang w:val="sr-Latn-ME"/>
        </w:rPr>
        <w:t>Shodno tome, izuzimajući prihode jednokratnog karaktera ostvareni rast na nivou perioda januar – mart iznosio bi 99,8 mil. € ili 21%.</w:t>
      </w:r>
    </w:p>
    <w:p w:rsidR="00123865" w:rsidRDefault="00123865" w:rsidP="00123865">
      <w:pPr>
        <w:jc w:val="both"/>
        <w:rPr>
          <w:rFonts w:cstheme="minorHAnsi"/>
          <w:b/>
          <w:lang w:val="sr-Latn-ME"/>
        </w:rPr>
      </w:pPr>
      <w:r w:rsidRPr="00EE361E">
        <w:rPr>
          <w:rFonts w:cstheme="minorHAnsi"/>
          <w:b/>
          <w:lang w:val="sr-Latn-ME"/>
        </w:rPr>
        <w:t>Prihodi budžeta u martu mjesecu iznosili su 244,5 mil. €, što je u odnosu na isti mjesec prethodne godine veće za 12,1 mil. € ili 5,2%. U poređenju sa planom za mjesec mart, prihodi su iznad plana za 18,5 mil. € ili 8,2%.</w:t>
      </w:r>
    </w:p>
    <w:p w:rsidR="00E21D4C" w:rsidRPr="00710C4B" w:rsidRDefault="00E21D4C" w:rsidP="00E21D4C">
      <w:pPr>
        <w:jc w:val="both"/>
        <w:rPr>
          <w:lang w:val="sr-Latn-ME"/>
        </w:rPr>
      </w:pPr>
      <w:r w:rsidRPr="00710C4B">
        <w:rPr>
          <w:b/>
          <w:lang w:val="sr-Latn-ME"/>
        </w:rPr>
        <w:t>Izdaci budžeta</w:t>
      </w:r>
      <w:r w:rsidRPr="00710C4B">
        <w:rPr>
          <w:lang w:val="sr-Latn-ME"/>
        </w:rPr>
        <w:t xml:space="preserve"> u martu mjesecu iznosili su 231,1 mil. €, što je u odnosu na planirane manje za 7 mil. € ili 2,9%, dok su u odnosu na isti mjesec prethodne godine veći za 37,4 mil. €ili 19,3%. </w:t>
      </w:r>
    </w:p>
    <w:p w:rsidR="00E21D4C" w:rsidRPr="00E21D4C" w:rsidRDefault="00E21D4C" w:rsidP="00123865">
      <w:pPr>
        <w:jc w:val="both"/>
        <w:rPr>
          <w:b/>
          <w:bCs/>
          <w:lang w:val="sr-Latn-ME"/>
        </w:rPr>
      </w:pPr>
      <w:r w:rsidRPr="00710C4B">
        <w:rPr>
          <w:lang w:val="sr-Latn-ME"/>
        </w:rPr>
        <w:t>Uzimajući u obzir ostvarene prihode i izvršene rashode</w:t>
      </w:r>
      <w:r w:rsidR="00F70103">
        <w:rPr>
          <w:lang w:val="sr-Latn-ME"/>
        </w:rPr>
        <w:t xml:space="preserve"> (koji su u prva tri mjeseca izn</w:t>
      </w:r>
      <w:bookmarkStart w:id="1" w:name="_GoBack"/>
      <w:bookmarkEnd w:id="1"/>
      <w:r w:rsidR="00F70103">
        <w:rPr>
          <w:lang w:val="sr-Latn-ME"/>
        </w:rPr>
        <w:t>osili 583.4 mil €)</w:t>
      </w:r>
      <w:r w:rsidRPr="00710C4B">
        <w:rPr>
          <w:lang w:val="sr-Latn-ME"/>
        </w:rPr>
        <w:t xml:space="preserve">, </w:t>
      </w:r>
      <w:r w:rsidR="00F70103">
        <w:rPr>
          <w:lang w:val="sr-Latn-ME"/>
        </w:rPr>
        <w:t xml:space="preserve">u prva tri mjeseca </w:t>
      </w:r>
      <w:r w:rsidRPr="00710C4B">
        <w:rPr>
          <w:lang w:val="sr-Latn-ME"/>
        </w:rPr>
        <w:t xml:space="preserve">2024. godine ostvaren </w:t>
      </w:r>
      <w:r>
        <w:rPr>
          <w:lang w:val="sr-Latn-ME"/>
        </w:rPr>
        <w:t xml:space="preserve">je </w:t>
      </w:r>
      <w:r w:rsidRPr="00710C4B">
        <w:rPr>
          <w:b/>
          <w:lang w:val="sr-Latn-ME"/>
        </w:rPr>
        <w:t>budžetski deficit</w:t>
      </w:r>
      <w:r w:rsidRPr="00710C4B">
        <w:rPr>
          <w:lang w:val="sr-Latn-ME"/>
        </w:rPr>
        <w:t xml:space="preserve"> u iznosu od 4,9 mil € odnosno 0,1% BDP-a</w:t>
      </w:r>
      <w:r w:rsidR="00843B53">
        <w:rPr>
          <w:lang w:val="sr-Latn-ME"/>
        </w:rPr>
        <w:t>, što je za 117,7 mil € niži deficit od plana</w:t>
      </w:r>
      <w:r w:rsidRPr="00710C4B">
        <w:rPr>
          <w:lang w:val="sr-Latn-ME"/>
        </w:rPr>
        <w:t xml:space="preserve">. </w:t>
      </w:r>
      <w:r w:rsidRPr="00550E55">
        <w:rPr>
          <w:b/>
          <w:bCs/>
          <w:lang w:val="sr-Latn-ME"/>
        </w:rPr>
        <w:t xml:space="preserve">U martu mjesecu ostvaren je suficit </w:t>
      </w:r>
      <w:r>
        <w:rPr>
          <w:b/>
          <w:bCs/>
          <w:lang w:val="sr-Latn-ME"/>
        </w:rPr>
        <w:t>budžeta</w:t>
      </w:r>
      <w:r w:rsidRPr="00550E55">
        <w:rPr>
          <w:b/>
          <w:bCs/>
          <w:lang w:val="sr-Latn-ME"/>
        </w:rPr>
        <w:t xml:space="preserve"> od 13,</w:t>
      </w:r>
      <w:r w:rsidR="00660BF6">
        <w:rPr>
          <w:b/>
          <w:bCs/>
          <w:lang w:val="sr-Latn-ME"/>
        </w:rPr>
        <w:t>4</w:t>
      </w:r>
      <w:r w:rsidRPr="00550E55">
        <w:rPr>
          <w:b/>
          <w:bCs/>
          <w:lang w:val="sr-Latn-ME"/>
        </w:rPr>
        <w:t xml:space="preserve"> mil €, odnosno 0</w:t>
      </w:r>
      <w:r>
        <w:rPr>
          <w:b/>
          <w:bCs/>
          <w:lang w:val="sr-Latn-ME"/>
        </w:rPr>
        <w:t>,</w:t>
      </w:r>
      <w:r w:rsidRPr="00550E55">
        <w:rPr>
          <w:b/>
          <w:bCs/>
          <w:lang w:val="sr-Latn-ME"/>
        </w:rPr>
        <w:t>2% BDP-a.</w:t>
      </w:r>
    </w:p>
    <w:p w:rsidR="00DF008A" w:rsidRPr="00EE361E" w:rsidRDefault="009E1C1C" w:rsidP="00DF008A">
      <w:pPr>
        <w:shd w:val="clear" w:color="auto" w:fill="FFFFFF"/>
        <w:jc w:val="both"/>
        <w:rPr>
          <w:rFonts w:eastAsia="Times New Roman" w:cstheme="minorHAnsi"/>
          <w:bCs/>
          <w:color w:val="000000"/>
          <w:lang w:val="sr-Latn-ME" w:eastAsia="en-GB"/>
        </w:rPr>
      </w:pPr>
      <w:r>
        <w:rPr>
          <w:rFonts w:eastAsia="Times New Roman" w:cstheme="minorHAnsi"/>
          <w:bCs/>
          <w:color w:val="000000"/>
          <w:lang w:val="sr-Latn-ME" w:eastAsia="en-GB"/>
        </w:rPr>
        <w:t xml:space="preserve">U prvom kvartalu ove godine, </w:t>
      </w:r>
      <w:r w:rsidR="00DF008A" w:rsidRPr="00EE361E">
        <w:rPr>
          <w:rFonts w:eastAsia="Times New Roman" w:cstheme="minorHAnsi"/>
          <w:bCs/>
          <w:color w:val="000000"/>
          <w:lang w:val="sr-Latn-ME" w:eastAsia="en-GB"/>
        </w:rPr>
        <w:t>gotovo sve kategorije prihoda budžeta bilježe rast, kako u odnosu na plan tako i u odnosu na uporedni period prethodne godine.</w:t>
      </w:r>
    </w:p>
    <w:p w:rsidR="006D2A75" w:rsidRPr="00EE361E" w:rsidRDefault="00336689" w:rsidP="00DF008A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lang w:val="sr-Latn-ME" w:eastAsia="en-GB"/>
        </w:rPr>
      </w:pPr>
      <w:r w:rsidRPr="00EE361E">
        <w:rPr>
          <w:rFonts w:cstheme="minorHAnsi"/>
          <w:color w:val="000000"/>
          <w:lang w:val="sr-Latn-ME"/>
        </w:rPr>
        <w:t>Najznačajniji rast bilježe sljedeće kategorije</w:t>
      </w:r>
      <w:r w:rsidR="00DF008A" w:rsidRPr="00EE361E">
        <w:rPr>
          <w:rFonts w:cstheme="minorHAnsi"/>
          <w:color w:val="000000"/>
          <w:lang w:val="sr-Latn-ME"/>
        </w:rPr>
        <w:t>:</w:t>
      </w:r>
      <w:r w:rsidR="00DF008A" w:rsidRPr="00EE361E">
        <w:rPr>
          <w:rFonts w:eastAsia="Times New Roman" w:cstheme="minorHAnsi"/>
          <w:b/>
          <w:bCs/>
          <w:color w:val="000000"/>
          <w:lang w:val="sr-Latn-ME" w:eastAsia="en-GB"/>
        </w:rPr>
        <w:t xml:space="preserve"> </w:t>
      </w:r>
    </w:p>
    <w:p w:rsidR="006D2A75" w:rsidRPr="00EE361E" w:rsidRDefault="00DF008A" w:rsidP="006D2A7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eastAsia="Times New Roman" w:cstheme="minorHAnsi"/>
          <w:bCs/>
          <w:color w:val="000000"/>
          <w:lang w:val="sr-Latn-ME" w:eastAsia="en-GB"/>
        </w:rPr>
      </w:pPr>
      <w:r w:rsidRPr="00EE361E">
        <w:rPr>
          <w:rFonts w:cstheme="minorHAnsi"/>
          <w:b/>
          <w:color w:val="000000"/>
          <w:lang w:val="sr-Latn-ME"/>
        </w:rPr>
        <w:t>p</w:t>
      </w:r>
      <w:r w:rsidR="00336689" w:rsidRPr="00EE361E">
        <w:rPr>
          <w:rFonts w:asciiTheme="minorHAnsi" w:hAnsiTheme="minorHAnsi" w:cstheme="minorHAnsi"/>
          <w:b/>
          <w:color w:val="000000"/>
          <w:lang w:val="sr-Latn-ME"/>
        </w:rPr>
        <w:t xml:space="preserve">orez na dobit pravnih </w:t>
      </w:r>
      <w:r w:rsidR="00336689" w:rsidRPr="00EE361E">
        <w:rPr>
          <w:rFonts w:asciiTheme="minorHAnsi" w:hAnsiTheme="minorHAnsi" w:cstheme="minorHAnsi"/>
          <w:color w:val="000000"/>
          <w:lang w:val="sr-Latn-ME"/>
        </w:rPr>
        <w:t>lica</w:t>
      </w:r>
      <w:r w:rsidR="00F46267" w:rsidRPr="00EE361E">
        <w:rPr>
          <w:rFonts w:asciiTheme="minorHAnsi" w:hAnsiTheme="minorHAnsi" w:cstheme="minorHAnsi"/>
          <w:color w:val="000000"/>
          <w:lang w:val="sr-Latn-ME"/>
        </w:rPr>
        <w:t xml:space="preserve"> koji je ostvaren u iznosu od 78,9 mil. €, što je</w:t>
      </w:r>
      <w:r w:rsidR="00F46267" w:rsidRPr="00EE361E">
        <w:rPr>
          <w:rFonts w:asciiTheme="minorHAnsi" w:hAnsiTheme="minorHAnsi" w:cstheme="minorHAnsi"/>
          <w:b/>
          <w:color w:val="000000"/>
          <w:lang w:val="sr-Latn-ME"/>
        </w:rPr>
        <w:t xml:space="preserve"> </w:t>
      </w:r>
      <w:r w:rsidR="00336689" w:rsidRPr="00EE361E">
        <w:rPr>
          <w:rFonts w:asciiTheme="minorHAnsi" w:hAnsiTheme="minorHAnsi" w:cstheme="minorHAnsi"/>
          <w:b/>
          <w:color w:val="000000"/>
          <w:lang w:val="sr-Latn-ME"/>
        </w:rPr>
        <w:t xml:space="preserve"> </w:t>
      </w:r>
      <w:r w:rsidR="00336689" w:rsidRPr="00EE361E">
        <w:rPr>
          <w:rFonts w:asciiTheme="minorHAnsi" w:hAnsiTheme="minorHAnsi" w:cstheme="minorHAnsi"/>
          <w:color w:val="000000"/>
          <w:lang w:val="sr-Latn-ME"/>
        </w:rPr>
        <w:t>32,5 mil. € ili 69,9%</w:t>
      </w:r>
      <w:r w:rsidRPr="00EE361E">
        <w:rPr>
          <w:rFonts w:cstheme="minorHAnsi"/>
          <w:color w:val="000000"/>
          <w:lang w:val="sr-Latn-ME"/>
        </w:rPr>
        <w:t xml:space="preserve"> </w:t>
      </w:r>
      <w:r w:rsidR="00F46267" w:rsidRPr="00EE361E">
        <w:rPr>
          <w:rFonts w:cstheme="minorHAnsi"/>
          <w:color w:val="000000"/>
          <w:lang w:val="sr-Latn-ME"/>
        </w:rPr>
        <w:t xml:space="preserve">veće </w:t>
      </w:r>
      <w:r w:rsidRPr="00EE361E">
        <w:rPr>
          <w:rFonts w:cstheme="minorHAnsi"/>
          <w:color w:val="000000"/>
          <w:lang w:val="sr-Latn-ME"/>
        </w:rPr>
        <w:t>u odnosu na plan i 36,2 mil. € ili 84,9%</w:t>
      </w:r>
      <w:r w:rsidR="008F1F09" w:rsidRPr="00EE361E">
        <w:rPr>
          <w:rFonts w:cstheme="minorHAnsi"/>
          <w:color w:val="000000"/>
          <w:lang w:val="sr-Latn-ME"/>
        </w:rPr>
        <w:t xml:space="preserve"> veće</w:t>
      </w:r>
      <w:r w:rsidRPr="00EE361E">
        <w:rPr>
          <w:rFonts w:cstheme="minorHAnsi"/>
          <w:color w:val="000000"/>
          <w:lang w:val="sr-Latn-ME"/>
        </w:rPr>
        <w:t xml:space="preserve"> u odnosu na 2023. godinu</w:t>
      </w:r>
      <w:r w:rsidR="00336689" w:rsidRPr="00EE361E">
        <w:rPr>
          <w:rFonts w:asciiTheme="minorHAnsi" w:hAnsiTheme="minorHAnsi" w:cstheme="minorHAnsi"/>
          <w:b/>
          <w:color w:val="000000"/>
          <w:lang w:val="sr-Latn-ME"/>
        </w:rPr>
        <w:t>;</w:t>
      </w:r>
    </w:p>
    <w:p w:rsidR="002866A7" w:rsidRPr="00EE361E" w:rsidRDefault="00DF008A" w:rsidP="006D2A7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eastAsia="Times New Roman" w:cstheme="minorHAnsi"/>
          <w:bCs/>
          <w:color w:val="000000"/>
          <w:lang w:val="sr-Latn-ME" w:eastAsia="en-GB"/>
        </w:rPr>
      </w:pPr>
      <w:r w:rsidRPr="00EE361E">
        <w:rPr>
          <w:rFonts w:cstheme="minorHAnsi"/>
          <w:b/>
          <w:color w:val="000000"/>
          <w:lang w:val="sr-Latn-ME"/>
        </w:rPr>
        <w:t>p</w:t>
      </w:r>
      <w:r w:rsidR="00336689" w:rsidRPr="00EE361E">
        <w:rPr>
          <w:rFonts w:asciiTheme="minorHAnsi" w:hAnsiTheme="minorHAnsi" w:cstheme="minorHAnsi"/>
          <w:b/>
          <w:color w:val="000000"/>
          <w:lang w:val="sr-Latn-ME"/>
        </w:rPr>
        <w:t xml:space="preserve">orez na dohodak fizičkih lica </w:t>
      </w:r>
      <w:r w:rsidR="008F1F09" w:rsidRPr="00EE361E">
        <w:rPr>
          <w:rFonts w:asciiTheme="minorHAnsi" w:hAnsiTheme="minorHAnsi" w:cstheme="minorHAnsi"/>
          <w:color w:val="000000"/>
          <w:lang w:val="sr-Latn-ME"/>
        </w:rPr>
        <w:t xml:space="preserve"> koji je ostvaren u iznosu od 14,9 mil. € što je </w:t>
      </w:r>
      <w:r w:rsidR="00336689" w:rsidRPr="00EE361E">
        <w:rPr>
          <w:rFonts w:asciiTheme="minorHAnsi" w:hAnsiTheme="minorHAnsi" w:cstheme="minorHAnsi"/>
          <w:color w:val="000000"/>
          <w:lang w:val="sr-Latn-ME"/>
        </w:rPr>
        <w:t>3,3 mil. € ili 28,1%</w:t>
      </w:r>
      <w:r w:rsidRPr="00EE361E">
        <w:rPr>
          <w:rFonts w:cstheme="minorHAnsi"/>
          <w:color w:val="000000"/>
          <w:lang w:val="sr-Latn-ME"/>
        </w:rPr>
        <w:t xml:space="preserve"> </w:t>
      </w:r>
      <w:r w:rsidR="008F1F09" w:rsidRPr="00EE361E">
        <w:rPr>
          <w:rFonts w:cstheme="minorHAnsi"/>
          <w:color w:val="000000"/>
          <w:lang w:val="sr-Latn-ME"/>
        </w:rPr>
        <w:t xml:space="preserve">veće </w:t>
      </w:r>
      <w:r w:rsidRPr="00EE361E">
        <w:rPr>
          <w:rFonts w:cstheme="minorHAnsi"/>
          <w:color w:val="000000"/>
          <w:lang w:val="sr-Latn-ME"/>
        </w:rPr>
        <w:t xml:space="preserve">u odnosu na plan i 5,3 mil. € ili 55,8% </w:t>
      </w:r>
      <w:r w:rsidR="008F1F09" w:rsidRPr="00EE361E">
        <w:rPr>
          <w:rFonts w:cstheme="minorHAnsi"/>
          <w:color w:val="000000"/>
          <w:lang w:val="sr-Latn-ME"/>
        </w:rPr>
        <w:t xml:space="preserve">veće </w:t>
      </w:r>
      <w:r w:rsidRPr="00EE361E">
        <w:rPr>
          <w:rFonts w:cstheme="minorHAnsi"/>
          <w:color w:val="000000"/>
          <w:lang w:val="sr-Latn-ME"/>
        </w:rPr>
        <w:t>u odnosu na 2023. godinu</w:t>
      </w:r>
      <w:r w:rsidR="002866A7" w:rsidRPr="00EE361E">
        <w:rPr>
          <w:rFonts w:cstheme="minorHAnsi"/>
          <w:color w:val="000000"/>
          <w:lang w:val="sr-Latn-ME"/>
        </w:rPr>
        <w:t>;</w:t>
      </w:r>
    </w:p>
    <w:p w:rsidR="00DF008A" w:rsidRPr="00EE361E" w:rsidRDefault="00DF008A" w:rsidP="006D2A75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eastAsia="Times New Roman" w:cstheme="minorHAnsi"/>
          <w:bCs/>
          <w:color w:val="000000"/>
          <w:lang w:val="sr-Latn-ME" w:eastAsia="en-GB"/>
        </w:rPr>
      </w:pPr>
      <w:r w:rsidRPr="00EE361E">
        <w:rPr>
          <w:rFonts w:cstheme="minorHAnsi"/>
          <w:b/>
          <w:color w:val="000000"/>
          <w:lang w:val="sr-Latn-ME"/>
        </w:rPr>
        <w:t>d</w:t>
      </w:r>
      <w:r w:rsidR="00336689" w:rsidRPr="00EE361E">
        <w:rPr>
          <w:rFonts w:asciiTheme="minorHAnsi" w:hAnsiTheme="minorHAnsi" w:cstheme="minorHAnsi"/>
          <w:b/>
          <w:color w:val="000000"/>
          <w:lang w:val="sr-Latn-ME"/>
        </w:rPr>
        <w:t>oprinosi</w:t>
      </w:r>
      <w:r w:rsidR="008F1F09" w:rsidRPr="00EE361E">
        <w:rPr>
          <w:rFonts w:asciiTheme="minorHAnsi" w:hAnsiTheme="minorHAnsi" w:cstheme="minorHAnsi"/>
          <w:color w:val="000000"/>
          <w:lang w:val="sr-Latn-ME"/>
        </w:rPr>
        <w:t xml:space="preserve"> koji su ostvareni u</w:t>
      </w:r>
      <w:r w:rsidR="00336689" w:rsidRPr="00EE361E">
        <w:rPr>
          <w:rFonts w:asciiTheme="minorHAnsi" w:hAnsiTheme="minorHAnsi" w:cstheme="minorHAnsi"/>
          <w:color w:val="000000"/>
          <w:lang w:val="sr-Latn-ME"/>
        </w:rPr>
        <w:t xml:space="preserve"> iznosu od</w:t>
      </w:r>
      <w:r w:rsidR="008F1F09" w:rsidRPr="00EE361E">
        <w:rPr>
          <w:rFonts w:asciiTheme="minorHAnsi" w:hAnsiTheme="minorHAnsi" w:cstheme="minorHAnsi"/>
          <w:color w:val="000000"/>
          <w:lang w:val="sr-Latn-ME"/>
        </w:rPr>
        <w:t xml:space="preserve"> 114,8 mil. € što je</w:t>
      </w:r>
      <w:r w:rsidR="00336689" w:rsidRPr="00EE361E">
        <w:rPr>
          <w:rFonts w:asciiTheme="minorHAnsi" w:hAnsiTheme="minorHAnsi" w:cstheme="minorHAnsi"/>
          <w:color w:val="000000"/>
          <w:lang w:val="sr-Latn-ME"/>
        </w:rPr>
        <w:t xml:space="preserve"> 10,0 mil. € ili 9,5%</w:t>
      </w:r>
      <w:r w:rsidRPr="00EE361E">
        <w:rPr>
          <w:rFonts w:cstheme="minorHAnsi"/>
          <w:color w:val="000000"/>
          <w:lang w:val="sr-Latn-ME"/>
        </w:rPr>
        <w:t xml:space="preserve"> </w:t>
      </w:r>
      <w:r w:rsidR="008F1F09" w:rsidRPr="00EE361E">
        <w:rPr>
          <w:rFonts w:cstheme="minorHAnsi"/>
          <w:color w:val="000000"/>
          <w:lang w:val="sr-Latn-ME"/>
        </w:rPr>
        <w:t xml:space="preserve">veće </w:t>
      </w:r>
      <w:r w:rsidRPr="00EE361E">
        <w:rPr>
          <w:rFonts w:cstheme="minorHAnsi"/>
          <w:color w:val="000000"/>
          <w:lang w:val="sr-Latn-ME"/>
        </w:rPr>
        <w:t xml:space="preserve">u odnosu na plan i 15,1 mil. € ili 15,1% </w:t>
      </w:r>
      <w:r w:rsidR="008F1F09" w:rsidRPr="00EE361E">
        <w:rPr>
          <w:rFonts w:cstheme="minorHAnsi"/>
          <w:color w:val="000000"/>
          <w:lang w:val="sr-Latn-ME"/>
        </w:rPr>
        <w:t xml:space="preserve">veće </w:t>
      </w:r>
      <w:r w:rsidRPr="00EE361E">
        <w:rPr>
          <w:rFonts w:cstheme="minorHAnsi"/>
          <w:color w:val="000000"/>
          <w:lang w:val="sr-Latn-ME"/>
        </w:rPr>
        <w:t>u odnosu na prethodnu godinu.</w:t>
      </w:r>
    </w:p>
    <w:p w:rsidR="002866A7" w:rsidRPr="00EE361E" w:rsidRDefault="002866A7" w:rsidP="002866A7">
      <w:pPr>
        <w:pStyle w:val="ListParagraph"/>
        <w:shd w:val="clear" w:color="auto" w:fill="FFFFFF"/>
        <w:jc w:val="both"/>
        <w:rPr>
          <w:rFonts w:eastAsia="Times New Roman" w:cstheme="minorHAnsi"/>
          <w:bCs/>
          <w:color w:val="000000"/>
          <w:lang w:val="sr-Latn-ME" w:eastAsia="en-GB"/>
        </w:rPr>
      </w:pPr>
    </w:p>
    <w:p w:rsidR="00336689" w:rsidRPr="00EE361E" w:rsidRDefault="00DF008A" w:rsidP="00550E55">
      <w:pPr>
        <w:jc w:val="both"/>
        <w:rPr>
          <w:rFonts w:cstheme="minorHAnsi"/>
          <w:color w:val="000000"/>
          <w:lang w:val="sr-Latn-ME"/>
        </w:rPr>
      </w:pPr>
      <w:r w:rsidRPr="00EE361E">
        <w:rPr>
          <w:rFonts w:cstheme="minorHAnsi"/>
          <w:color w:val="000000"/>
          <w:lang w:val="sr-Latn-ME"/>
        </w:rPr>
        <w:t xml:space="preserve">Zaključno sa martom mjesecom naplaćeno je ukupno 252,4 mil. € </w:t>
      </w:r>
      <w:r w:rsidRPr="00EE361E">
        <w:rPr>
          <w:rFonts w:cstheme="minorHAnsi"/>
          <w:b/>
          <w:color w:val="000000"/>
          <w:lang w:val="sr-Latn-ME"/>
        </w:rPr>
        <w:t>PDV-a</w:t>
      </w:r>
      <w:r w:rsidRPr="00EE361E">
        <w:rPr>
          <w:rFonts w:cstheme="minorHAnsi"/>
          <w:color w:val="000000"/>
          <w:lang w:val="sr-Latn-ME"/>
        </w:rPr>
        <w:t xml:space="preserve"> što je na nivou plana, dok su u odnosu na uporedni period 2023. godine prihodi od PDV-a veći za 30,6 mil. € ili 13,8%. </w:t>
      </w:r>
      <w:r w:rsidR="00A67F70">
        <w:rPr>
          <w:rFonts w:cstheme="minorHAnsi"/>
          <w:color w:val="000000"/>
          <w:lang w:val="sr-Latn-ME"/>
        </w:rPr>
        <w:t xml:space="preserve">Na dimaniku naplate prihoda od Poreza na dodatu vrijednost u neto iznosu utiče dinamika povraćaja PDV-a koja je od početka godine ubrzana od strane Poreske uprave, imajući u vidu akumulirane iznose zahtjeva za povraćajima iz </w:t>
      </w:r>
      <w:r w:rsidR="00417D76">
        <w:rPr>
          <w:rFonts w:cstheme="minorHAnsi"/>
          <w:color w:val="000000"/>
          <w:lang w:val="sr-Latn-ME"/>
        </w:rPr>
        <w:t>prethodnog perioda</w:t>
      </w:r>
      <w:r w:rsidR="00A67F70">
        <w:rPr>
          <w:rFonts w:cstheme="minorHAnsi"/>
          <w:color w:val="000000"/>
          <w:lang w:val="sr-Latn-ME"/>
        </w:rPr>
        <w:t xml:space="preserve">. </w:t>
      </w:r>
    </w:p>
    <w:p w:rsidR="00336689" w:rsidRPr="00EE361E" w:rsidRDefault="00336689" w:rsidP="00336689">
      <w:pPr>
        <w:jc w:val="both"/>
        <w:rPr>
          <w:rFonts w:cstheme="minorHAnsi"/>
          <w:lang w:val="sr-Latn-ME"/>
        </w:rPr>
      </w:pPr>
      <w:r w:rsidRPr="00EE361E">
        <w:rPr>
          <w:rFonts w:cstheme="minorHAnsi"/>
          <w:lang w:val="sr-Latn-ME"/>
        </w:rPr>
        <w:t xml:space="preserve">Kategorija prihoda od </w:t>
      </w:r>
      <w:r w:rsidRPr="00EE361E">
        <w:rPr>
          <w:rFonts w:cstheme="minorHAnsi"/>
          <w:b/>
          <w:lang w:val="sr-Latn-ME"/>
        </w:rPr>
        <w:t>akciza</w:t>
      </w:r>
      <w:r w:rsidRPr="00EE361E">
        <w:rPr>
          <w:rFonts w:cstheme="minorHAnsi"/>
          <w:lang w:val="sr-Latn-ME"/>
        </w:rPr>
        <w:t>, u navedenom periodu, naplaćena je u iznosu od 66,9 mil. €, što je u odnosu na plan niže za 2,1 mil. € ili 3%, odnosno 8,6 mil. € ili 14,8% veće u odnosu na isti period prethodne godine.</w:t>
      </w:r>
      <w:r w:rsidR="007D66EC" w:rsidRPr="00EE361E">
        <w:rPr>
          <w:rFonts w:cstheme="minorHAnsi"/>
          <w:lang w:val="sr-Latn-ME"/>
        </w:rPr>
        <w:t xml:space="preserve"> </w:t>
      </w:r>
    </w:p>
    <w:p w:rsidR="009B4B11" w:rsidRPr="00EE361E" w:rsidRDefault="009B4B11" w:rsidP="009B4B11">
      <w:pPr>
        <w:jc w:val="both"/>
        <w:rPr>
          <w:lang w:val="sr-Latn-ME"/>
        </w:rPr>
      </w:pPr>
      <w:r w:rsidRPr="00EE361E">
        <w:rPr>
          <w:b/>
          <w:lang w:val="sr-Latn-ME"/>
        </w:rPr>
        <w:t>Izdaci budžeta</w:t>
      </w:r>
      <w:r w:rsidRPr="00EE361E">
        <w:rPr>
          <w:lang w:val="sr-Latn-ME"/>
        </w:rPr>
        <w:t xml:space="preserve"> za prva tri mjeseca 2024. godine iznosili su 5</w:t>
      </w:r>
      <w:r w:rsidR="004955A0">
        <w:rPr>
          <w:lang w:val="sr-Latn-ME"/>
        </w:rPr>
        <w:t>83</w:t>
      </w:r>
      <w:r w:rsidRPr="00EE361E">
        <w:rPr>
          <w:lang w:val="sr-Latn-ME"/>
        </w:rPr>
        <w:t>,</w:t>
      </w:r>
      <w:r w:rsidR="004955A0">
        <w:rPr>
          <w:lang w:val="sr-Latn-ME"/>
        </w:rPr>
        <w:t>4</w:t>
      </w:r>
      <w:r w:rsidRPr="00EE361E">
        <w:rPr>
          <w:lang w:val="sr-Latn-ME"/>
        </w:rPr>
        <w:t xml:space="preserve"> mil. € ili </w:t>
      </w:r>
      <w:r w:rsidR="004955A0">
        <w:rPr>
          <w:lang w:val="sr-Latn-ME"/>
        </w:rPr>
        <w:t>8</w:t>
      </w:r>
      <w:r w:rsidR="0031355F">
        <w:rPr>
          <w:lang w:val="sr-Latn-ME"/>
        </w:rPr>
        <w:t>,</w:t>
      </w:r>
      <w:r w:rsidR="004955A0">
        <w:rPr>
          <w:lang w:val="sr-Latn-ME"/>
        </w:rPr>
        <w:t>3%</w:t>
      </w:r>
      <w:r w:rsidRPr="00EE361E">
        <w:rPr>
          <w:lang w:val="sr-Latn-ME"/>
        </w:rPr>
        <w:t xml:space="preserve"> procijenjenog BDP-a i u odnosu na planirane manji su za </w:t>
      </w:r>
      <w:r w:rsidR="004955A0">
        <w:rPr>
          <w:lang w:val="sr-Latn-ME"/>
        </w:rPr>
        <w:t>72</w:t>
      </w:r>
      <w:r w:rsidR="0031355F">
        <w:rPr>
          <w:lang w:val="sr-Latn-ME"/>
        </w:rPr>
        <w:t>,</w:t>
      </w:r>
      <w:r w:rsidR="004955A0">
        <w:rPr>
          <w:lang w:val="sr-Latn-ME"/>
        </w:rPr>
        <w:t>1 m</w:t>
      </w:r>
      <w:r w:rsidRPr="00EE361E">
        <w:rPr>
          <w:lang w:val="sr-Latn-ME"/>
        </w:rPr>
        <w:t>il. € ili 1</w:t>
      </w:r>
      <w:r w:rsidR="004955A0">
        <w:rPr>
          <w:lang w:val="sr-Latn-ME"/>
        </w:rPr>
        <w:t>1</w:t>
      </w:r>
      <w:r w:rsidR="0031355F">
        <w:rPr>
          <w:lang w:val="sr-Latn-ME"/>
        </w:rPr>
        <w:t>,</w:t>
      </w:r>
      <w:r w:rsidRPr="00EE361E">
        <w:rPr>
          <w:lang w:val="sr-Latn-ME"/>
        </w:rPr>
        <w:t xml:space="preserve">8%. U odnosu na posmatrani period prethodne godine, izdaci su veći za </w:t>
      </w:r>
      <w:r w:rsidR="004955A0">
        <w:rPr>
          <w:lang w:val="sr-Latn-ME"/>
        </w:rPr>
        <w:t>104</w:t>
      </w:r>
      <w:r w:rsidRPr="00EE361E">
        <w:rPr>
          <w:lang w:val="sr-Latn-ME"/>
        </w:rPr>
        <w:t>,</w:t>
      </w:r>
      <w:r w:rsidR="004955A0">
        <w:rPr>
          <w:lang w:val="sr-Latn-ME"/>
        </w:rPr>
        <w:t>2</w:t>
      </w:r>
      <w:r w:rsidRPr="00EE361E">
        <w:rPr>
          <w:lang w:val="sr-Latn-ME"/>
        </w:rPr>
        <w:t xml:space="preserve"> mil € odnosno </w:t>
      </w:r>
      <w:r w:rsidR="004955A0">
        <w:rPr>
          <w:lang w:val="sr-Latn-ME"/>
        </w:rPr>
        <w:t>21</w:t>
      </w:r>
      <w:r w:rsidR="0031355F">
        <w:rPr>
          <w:lang w:val="sr-Latn-ME"/>
        </w:rPr>
        <w:t>,</w:t>
      </w:r>
      <w:r w:rsidR="004955A0">
        <w:rPr>
          <w:lang w:val="sr-Latn-ME"/>
        </w:rPr>
        <w:t>7</w:t>
      </w:r>
      <w:r w:rsidRPr="00EE361E">
        <w:rPr>
          <w:lang w:val="sr-Latn-ME"/>
        </w:rPr>
        <w:t>%.</w:t>
      </w:r>
    </w:p>
    <w:p w:rsidR="009B4B11" w:rsidRPr="00EE361E" w:rsidRDefault="009B4B11" w:rsidP="009B4B11">
      <w:pPr>
        <w:jc w:val="both"/>
        <w:rPr>
          <w:lang w:val="sr-Latn-ME"/>
        </w:rPr>
      </w:pPr>
      <w:r w:rsidRPr="00EE361E">
        <w:rPr>
          <w:lang w:val="sr-Latn-ME"/>
        </w:rPr>
        <w:t xml:space="preserve">Rast izdataka </w:t>
      </w:r>
      <w:r w:rsidR="00EE361E" w:rsidRPr="00EE361E">
        <w:rPr>
          <w:lang w:val="sr-Latn-ME"/>
        </w:rPr>
        <w:t xml:space="preserve">u odnosu na prethodnu godinu </w:t>
      </w:r>
      <w:r w:rsidRPr="00EE361E">
        <w:rPr>
          <w:lang w:val="sr-Latn-ME"/>
        </w:rPr>
        <w:t xml:space="preserve">u najvećoj mjeri uslovljen je rastom izdvajanja za isplatu prava iz oblasti penzijskog i invalidskog osiguranja usljed </w:t>
      </w:r>
      <w:r w:rsidR="00EE361E" w:rsidRPr="00EE361E">
        <w:rPr>
          <w:lang w:val="sr-Latn-ME"/>
        </w:rPr>
        <w:t xml:space="preserve">dominantno </w:t>
      </w:r>
      <w:r w:rsidRPr="00EE361E">
        <w:rPr>
          <w:lang w:val="sr-Latn-ME"/>
        </w:rPr>
        <w:t>povećanja minimalne penzije kao</w:t>
      </w:r>
      <w:r w:rsidR="00E21D4C">
        <w:rPr>
          <w:lang w:val="sr-Latn-ME"/>
        </w:rPr>
        <w:t xml:space="preserve"> i</w:t>
      </w:r>
      <w:r w:rsidR="00EE361E" w:rsidRPr="00EE361E">
        <w:rPr>
          <w:lang w:val="sr-Latn-ME"/>
        </w:rPr>
        <w:t xml:space="preserve"> </w:t>
      </w:r>
      <w:r w:rsidRPr="00EE361E">
        <w:rPr>
          <w:lang w:val="sr-Latn-ME"/>
        </w:rPr>
        <w:t xml:space="preserve">rasta izdvajanja za bruto zarade (usvajanja granskih kolektivnih ugovora kojima su povećane </w:t>
      </w:r>
      <w:r w:rsidRPr="00EE361E">
        <w:rPr>
          <w:lang w:val="sr-Latn-ME"/>
        </w:rPr>
        <w:lastRenderedPageBreak/>
        <w:t>zarade zaposlenih u javnom sektoru u 2023. godini)</w:t>
      </w:r>
      <w:r w:rsidR="00EE361E" w:rsidRPr="00EE361E">
        <w:rPr>
          <w:lang w:val="sr-Latn-ME"/>
        </w:rPr>
        <w:t xml:space="preserve">, kao </w:t>
      </w:r>
      <w:r w:rsidR="00E21D4C">
        <w:rPr>
          <w:lang w:val="sr-Latn-ME"/>
        </w:rPr>
        <w:t xml:space="preserve">i </w:t>
      </w:r>
      <w:r w:rsidR="00EE361E" w:rsidRPr="00EE361E">
        <w:rPr>
          <w:lang w:val="sr-Latn-ME"/>
        </w:rPr>
        <w:t>transfera institucijama, pojedincima, nevladinom i javnom sektoru</w:t>
      </w:r>
      <w:r w:rsidRPr="00EE361E">
        <w:rPr>
          <w:lang w:val="sr-Latn-ME"/>
        </w:rPr>
        <w:t>.</w:t>
      </w:r>
    </w:p>
    <w:p w:rsidR="009B4B11" w:rsidRPr="00EB7100" w:rsidRDefault="009B4B11" w:rsidP="009B4B11">
      <w:pPr>
        <w:jc w:val="both"/>
        <w:rPr>
          <w:color w:val="FF0000"/>
          <w:lang w:val="sr-Latn-ME"/>
        </w:rPr>
      </w:pPr>
      <w:r w:rsidRPr="00EB7100">
        <w:rPr>
          <w:lang w:val="sr-Latn-ME"/>
        </w:rPr>
        <w:t xml:space="preserve">U strukturi ukupne potrošnje, </w:t>
      </w:r>
      <w:r w:rsidRPr="00EB7100">
        <w:rPr>
          <w:b/>
          <w:lang w:val="sr-Latn-ME"/>
        </w:rPr>
        <w:t>tekući izdaci</w:t>
      </w:r>
      <w:r w:rsidRPr="00EB7100">
        <w:rPr>
          <w:lang w:val="sr-Latn-ME"/>
        </w:rPr>
        <w:t xml:space="preserve"> u </w:t>
      </w:r>
      <w:r w:rsidR="00741B31" w:rsidRPr="00EB7100">
        <w:rPr>
          <w:lang w:val="sr-Latn-ME"/>
        </w:rPr>
        <w:t xml:space="preserve">periodu janur - mart </w:t>
      </w:r>
      <w:r w:rsidRPr="00EB7100">
        <w:rPr>
          <w:lang w:val="sr-Latn-ME"/>
        </w:rPr>
        <w:t xml:space="preserve"> ostvareni su u iznosu od </w:t>
      </w:r>
      <w:r w:rsidR="007F0CFC" w:rsidRPr="00EB7100">
        <w:rPr>
          <w:lang w:val="sr-Latn-ME"/>
        </w:rPr>
        <w:t>23</w:t>
      </w:r>
      <w:r w:rsidR="00EB7100" w:rsidRPr="00EB7100">
        <w:rPr>
          <w:lang w:val="sr-Latn-ME"/>
        </w:rPr>
        <w:t>3</w:t>
      </w:r>
      <w:r w:rsidR="00E21D4C">
        <w:rPr>
          <w:lang w:val="sr-Latn-ME"/>
        </w:rPr>
        <w:t>,</w:t>
      </w:r>
      <w:r w:rsidR="00EB7100" w:rsidRPr="00EB7100">
        <w:rPr>
          <w:lang w:val="sr-Latn-ME"/>
        </w:rPr>
        <w:t>6</w:t>
      </w:r>
      <w:r w:rsidRPr="00EB7100">
        <w:rPr>
          <w:lang w:val="sr-Latn-ME"/>
        </w:rPr>
        <w:t xml:space="preserve"> mil. € što je za 3</w:t>
      </w:r>
      <w:r w:rsidR="00EB7100" w:rsidRPr="00EB7100">
        <w:rPr>
          <w:lang w:val="sr-Latn-ME"/>
        </w:rPr>
        <w:t>6</w:t>
      </w:r>
      <w:r w:rsidRPr="00EB7100">
        <w:rPr>
          <w:lang w:val="sr-Latn-ME"/>
        </w:rPr>
        <w:t>,</w:t>
      </w:r>
      <w:r w:rsidR="007F0CFC" w:rsidRPr="00EB7100">
        <w:rPr>
          <w:lang w:val="sr-Latn-ME"/>
        </w:rPr>
        <w:t>6</w:t>
      </w:r>
      <w:r w:rsidRPr="00EB7100">
        <w:rPr>
          <w:lang w:val="sr-Latn-ME"/>
        </w:rPr>
        <w:t xml:space="preserve"> mil. € ili </w:t>
      </w:r>
      <w:r w:rsidR="00EB7100" w:rsidRPr="00EB7100">
        <w:rPr>
          <w:lang w:val="sr-Latn-ME"/>
        </w:rPr>
        <w:t>13</w:t>
      </w:r>
      <w:r w:rsidR="00E21D4C">
        <w:rPr>
          <w:lang w:val="sr-Latn-ME"/>
        </w:rPr>
        <w:t>,</w:t>
      </w:r>
      <w:r w:rsidR="00EB7100" w:rsidRPr="00EB7100">
        <w:rPr>
          <w:lang w:val="sr-Latn-ME"/>
        </w:rPr>
        <w:t>5</w:t>
      </w:r>
      <w:r w:rsidRPr="00EB7100">
        <w:rPr>
          <w:lang w:val="sr-Latn-ME"/>
        </w:rPr>
        <w:t xml:space="preserve">% manje od plana, usljed sporije dinamike plaćanja u odnosu na plan, dominantno u okviru pozicije Ostali izdaci. </w:t>
      </w:r>
    </w:p>
    <w:p w:rsidR="009B4B11" w:rsidRPr="00EB7100" w:rsidRDefault="009B4B11" w:rsidP="009B4B11">
      <w:pPr>
        <w:jc w:val="both"/>
        <w:rPr>
          <w:lang w:val="sr-Latn-ME"/>
        </w:rPr>
      </w:pPr>
      <w:r w:rsidRPr="00EB7100">
        <w:rPr>
          <w:lang w:val="sr-Latn-ME"/>
        </w:rPr>
        <w:t xml:space="preserve">Pored navedenog, niže ostvarenje od plana evidentirano </w:t>
      </w:r>
      <w:r w:rsidR="00E21D4C">
        <w:rPr>
          <w:lang w:val="sr-Latn-ME"/>
        </w:rPr>
        <w:t xml:space="preserve">je </w:t>
      </w:r>
      <w:r w:rsidRPr="00EB7100">
        <w:rPr>
          <w:lang w:val="sr-Latn-ME"/>
        </w:rPr>
        <w:t xml:space="preserve">kod </w:t>
      </w:r>
      <w:r w:rsidRPr="00EB7100">
        <w:rPr>
          <w:b/>
          <w:lang w:val="sr-Latn-ME"/>
        </w:rPr>
        <w:t>transfera za socijalnu zaštitu</w:t>
      </w:r>
      <w:r w:rsidRPr="00EB7100">
        <w:rPr>
          <w:lang w:val="sr-Latn-ME"/>
        </w:rPr>
        <w:t xml:space="preserve"> u iznosu od 9,</w:t>
      </w:r>
      <w:r w:rsidR="00EB7100" w:rsidRPr="00EB7100">
        <w:rPr>
          <w:lang w:val="sr-Latn-ME"/>
        </w:rPr>
        <w:t>5</w:t>
      </w:r>
      <w:r w:rsidRPr="00EB7100">
        <w:rPr>
          <w:lang w:val="sr-Latn-ME"/>
        </w:rPr>
        <w:t xml:space="preserve"> mil. € ili </w:t>
      </w:r>
      <w:r w:rsidR="00EB7100" w:rsidRPr="00EB7100">
        <w:rPr>
          <w:lang w:val="sr-Latn-ME"/>
        </w:rPr>
        <w:t>3.9</w:t>
      </w:r>
      <w:r w:rsidRPr="00EB7100">
        <w:rPr>
          <w:lang w:val="sr-Latn-ME"/>
        </w:rPr>
        <w:t xml:space="preserve">%, a u skladu sa stvarnim obračunom </w:t>
      </w:r>
      <w:r w:rsidR="00E21D4C">
        <w:rPr>
          <w:lang w:val="sr-Latn-ME"/>
        </w:rPr>
        <w:t xml:space="preserve">ovih prava </w:t>
      </w:r>
      <w:r w:rsidRPr="00EB7100">
        <w:rPr>
          <w:lang w:val="sr-Latn-ME"/>
        </w:rPr>
        <w:t xml:space="preserve">i redovnim usklađivanjem. Dodatno, sredstva u okviru kategorije izdataka </w:t>
      </w:r>
      <w:r w:rsidRPr="00EB7100">
        <w:rPr>
          <w:b/>
          <w:lang w:val="sr-Latn-ME"/>
        </w:rPr>
        <w:t>Transferi institucijama, pojedincima, nevladinom i javnom sektoru</w:t>
      </w:r>
      <w:r w:rsidRPr="00EB7100">
        <w:rPr>
          <w:lang w:val="sr-Latn-ME"/>
        </w:rPr>
        <w:t xml:space="preserve"> ostvarena je takođe u iznosu nižem od plana i to za 1</w:t>
      </w:r>
      <w:r w:rsidR="00EB7100" w:rsidRPr="00EB7100">
        <w:rPr>
          <w:lang w:val="sr-Latn-ME"/>
        </w:rPr>
        <w:t>6</w:t>
      </w:r>
      <w:r w:rsidR="00E21D4C">
        <w:rPr>
          <w:lang w:val="sr-Latn-ME"/>
        </w:rPr>
        <w:t>,</w:t>
      </w:r>
      <w:r w:rsidR="00EB7100" w:rsidRPr="00EB7100">
        <w:rPr>
          <w:lang w:val="sr-Latn-ME"/>
        </w:rPr>
        <w:t>8</w:t>
      </w:r>
      <w:r w:rsidRPr="00EB7100">
        <w:rPr>
          <w:lang w:val="sr-Latn-ME"/>
        </w:rPr>
        <w:t xml:space="preserve"> mil. € ili </w:t>
      </w:r>
      <w:r w:rsidR="00EB7100" w:rsidRPr="00EB7100">
        <w:rPr>
          <w:lang w:val="sr-Latn-ME"/>
        </w:rPr>
        <w:t>17</w:t>
      </w:r>
      <w:r w:rsidR="00E21D4C">
        <w:rPr>
          <w:lang w:val="sr-Latn-ME"/>
        </w:rPr>
        <w:t>,</w:t>
      </w:r>
      <w:r w:rsidR="00EB7100" w:rsidRPr="00EB7100">
        <w:rPr>
          <w:lang w:val="sr-Latn-ME"/>
        </w:rPr>
        <w:t>8</w:t>
      </w:r>
      <w:r w:rsidRPr="00EB7100">
        <w:rPr>
          <w:lang w:val="sr-Latn-ME"/>
        </w:rPr>
        <w:t>%,</w:t>
      </w:r>
      <w:r w:rsidR="00EB7100" w:rsidRPr="00EB7100">
        <w:rPr>
          <w:lang w:val="sr-Latn-ME"/>
        </w:rPr>
        <w:t xml:space="preserve">, dok </w:t>
      </w:r>
      <w:r w:rsidR="00E21D4C">
        <w:rPr>
          <w:lang w:val="sr-Latn-ME"/>
        </w:rPr>
        <w:t>su</w:t>
      </w:r>
      <w:r w:rsidR="00E21D4C" w:rsidRPr="00EB7100">
        <w:rPr>
          <w:lang w:val="sr-Latn-ME"/>
        </w:rPr>
        <w:t xml:space="preserve"> </w:t>
      </w:r>
      <w:r w:rsidR="00EB7100" w:rsidRPr="00EB7100">
        <w:rPr>
          <w:lang w:val="sr-Latn-ME"/>
        </w:rPr>
        <w:t>u</w:t>
      </w:r>
      <w:r w:rsidRPr="00EB7100">
        <w:rPr>
          <w:lang w:val="sr-Latn-ME"/>
        </w:rPr>
        <w:t xml:space="preserve"> odnosu na isti period 2023. godine, izdaci za navedene namjene veći </w:t>
      </w:r>
      <w:r w:rsidR="00EB7100" w:rsidRPr="00EB7100">
        <w:rPr>
          <w:lang w:val="sr-Latn-ME"/>
        </w:rPr>
        <w:t>za 5</w:t>
      </w:r>
      <w:r w:rsidR="00E21D4C">
        <w:rPr>
          <w:lang w:val="sr-Latn-ME"/>
        </w:rPr>
        <w:t>,</w:t>
      </w:r>
      <w:r w:rsidRPr="00EB7100">
        <w:rPr>
          <w:lang w:val="sr-Latn-ME"/>
        </w:rPr>
        <w:t xml:space="preserve">1%. </w:t>
      </w:r>
    </w:p>
    <w:p w:rsidR="00EB7100" w:rsidRPr="00521E83" w:rsidRDefault="009B4B11" w:rsidP="009B4B11">
      <w:pPr>
        <w:jc w:val="both"/>
        <w:rPr>
          <w:lang w:val="sr-Latn-ME"/>
        </w:rPr>
      </w:pPr>
      <w:r w:rsidRPr="00521E83">
        <w:rPr>
          <w:b/>
          <w:lang w:val="sr-Latn-ME"/>
        </w:rPr>
        <w:t>Kapitalni budžet</w:t>
      </w:r>
      <w:r w:rsidRPr="00521E83">
        <w:rPr>
          <w:lang w:val="sr-Latn-ME"/>
        </w:rPr>
        <w:t xml:space="preserve"> realizovan je u iznosu od </w:t>
      </w:r>
      <w:r w:rsidR="00EB7100" w:rsidRPr="00521E83">
        <w:rPr>
          <w:lang w:val="sr-Latn-ME"/>
        </w:rPr>
        <w:t xml:space="preserve">26 </w:t>
      </w:r>
      <w:r w:rsidRPr="00521E83">
        <w:rPr>
          <w:lang w:val="sr-Latn-ME"/>
        </w:rPr>
        <w:t xml:space="preserve">mil €, što predstavlja </w:t>
      </w:r>
      <w:r w:rsidR="00EB7100" w:rsidRPr="00521E83">
        <w:rPr>
          <w:lang w:val="sr-Latn-ME"/>
        </w:rPr>
        <w:t>96</w:t>
      </w:r>
      <w:r w:rsidR="00E21D4C">
        <w:rPr>
          <w:lang w:val="sr-Latn-ME"/>
        </w:rPr>
        <w:t>,</w:t>
      </w:r>
      <w:r w:rsidR="00EB7100" w:rsidRPr="00521E83">
        <w:rPr>
          <w:lang w:val="sr-Latn-ME"/>
        </w:rPr>
        <w:t>2</w:t>
      </w:r>
      <w:r w:rsidRPr="00521E83">
        <w:rPr>
          <w:lang w:val="sr-Latn-ME"/>
        </w:rPr>
        <w:t xml:space="preserve">% </w:t>
      </w:r>
      <w:r w:rsidR="00E21D4C">
        <w:rPr>
          <w:lang w:val="sr-Latn-ME"/>
        </w:rPr>
        <w:t>ukupno planiranih sredstava u periodu januar-mart</w:t>
      </w:r>
      <w:r w:rsidR="00EB7100" w:rsidRPr="00521E83">
        <w:rPr>
          <w:lang w:val="sr-Latn-ME"/>
        </w:rPr>
        <w:t xml:space="preserve">, dok je u odnosu na isti period prethodne godine realizacija veća za </w:t>
      </w:r>
      <w:r w:rsidR="00521E83" w:rsidRPr="00521E83">
        <w:rPr>
          <w:lang w:val="sr-Latn-ME"/>
        </w:rPr>
        <w:t>caa 12 mil €, odnosno ok</w:t>
      </w:r>
      <w:r w:rsidR="00E21D4C">
        <w:rPr>
          <w:lang w:val="sr-Latn-ME"/>
        </w:rPr>
        <w:t>o</w:t>
      </w:r>
      <w:r w:rsidR="00521E83" w:rsidRPr="00521E83">
        <w:rPr>
          <w:lang w:val="sr-Latn-ME"/>
        </w:rPr>
        <w:t xml:space="preserve"> 90%</w:t>
      </w:r>
      <w:r w:rsidR="00E21D4C">
        <w:rPr>
          <w:lang w:val="sr-Latn-ME"/>
        </w:rPr>
        <w:t>.</w:t>
      </w:r>
    </w:p>
    <w:p w:rsidR="009B4B11" w:rsidRPr="00EE361E" w:rsidRDefault="009B4B11" w:rsidP="00336689">
      <w:pPr>
        <w:jc w:val="both"/>
        <w:rPr>
          <w:rFonts w:cstheme="minorHAnsi"/>
          <w:b/>
          <w:lang w:val="sr-Latn-ME"/>
        </w:rPr>
      </w:pPr>
    </w:p>
    <w:p w:rsidR="00100238" w:rsidRPr="00EE361E" w:rsidRDefault="00100238" w:rsidP="00A733A3">
      <w:pPr>
        <w:jc w:val="both"/>
        <w:rPr>
          <w:lang w:val="sr-Latn-ME"/>
        </w:rPr>
      </w:pPr>
    </w:p>
    <w:sectPr w:rsidR="00100238" w:rsidRPr="00EE361E" w:rsidSect="00BF4FC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737"/>
    <w:multiLevelType w:val="hybridMultilevel"/>
    <w:tmpl w:val="EA06A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6C9B"/>
    <w:multiLevelType w:val="hybridMultilevel"/>
    <w:tmpl w:val="AB5C7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31"/>
    <w:rsid w:val="00022516"/>
    <w:rsid w:val="00052F72"/>
    <w:rsid w:val="0005462C"/>
    <w:rsid w:val="00093712"/>
    <w:rsid w:val="000A178F"/>
    <w:rsid w:val="000A7884"/>
    <w:rsid w:val="000D1E34"/>
    <w:rsid w:val="000E2F2E"/>
    <w:rsid w:val="00100238"/>
    <w:rsid w:val="001018DB"/>
    <w:rsid w:val="00107B99"/>
    <w:rsid w:val="001224DF"/>
    <w:rsid w:val="00123865"/>
    <w:rsid w:val="00134E26"/>
    <w:rsid w:val="001377FB"/>
    <w:rsid w:val="00153BEC"/>
    <w:rsid w:val="00163AA2"/>
    <w:rsid w:val="001961D1"/>
    <w:rsid w:val="001C4AB5"/>
    <w:rsid w:val="001C4E94"/>
    <w:rsid w:val="001D3F1C"/>
    <w:rsid w:val="001D4D26"/>
    <w:rsid w:val="001E7361"/>
    <w:rsid w:val="00216D17"/>
    <w:rsid w:val="002603A6"/>
    <w:rsid w:val="002626E8"/>
    <w:rsid w:val="00285B3B"/>
    <w:rsid w:val="002866A7"/>
    <w:rsid w:val="002B3B59"/>
    <w:rsid w:val="002D3E7F"/>
    <w:rsid w:val="002E3703"/>
    <w:rsid w:val="002F25B4"/>
    <w:rsid w:val="002F3ABC"/>
    <w:rsid w:val="0030391D"/>
    <w:rsid w:val="0031355F"/>
    <w:rsid w:val="003272E3"/>
    <w:rsid w:val="00335035"/>
    <w:rsid w:val="00335BEE"/>
    <w:rsid w:val="00336689"/>
    <w:rsid w:val="00361DBE"/>
    <w:rsid w:val="00366DA3"/>
    <w:rsid w:val="00374E25"/>
    <w:rsid w:val="003A5469"/>
    <w:rsid w:val="003B7D51"/>
    <w:rsid w:val="003D0DDD"/>
    <w:rsid w:val="003E107E"/>
    <w:rsid w:val="003F0456"/>
    <w:rsid w:val="00417D76"/>
    <w:rsid w:val="00420120"/>
    <w:rsid w:val="004339D3"/>
    <w:rsid w:val="00486726"/>
    <w:rsid w:val="0048715D"/>
    <w:rsid w:val="004955A0"/>
    <w:rsid w:val="004C7FD8"/>
    <w:rsid w:val="004D01C4"/>
    <w:rsid w:val="00521E83"/>
    <w:rsid w:val="00527F8C"/>
    <w:rsid w:val="00543B8F"/>
    <w:rsid w:val="00550E55"/>
    <w:rsid w:val="005805AC"/>
    <w:rsid w:val="005912A9"/>
    <w:rsid w:val="00596291"/>
    <w:rsid w:val="005C4C84"/>
    <w:rsid w:val="00603731"/>
    <w:rsid w:val="006115BD"/>
    <w:rsid w:val="0065034E"/>
    <w:rsid w:val="00660BF6"/>
    <w:rsid w:val="00660C9A"/>
    <w:rsid w:val="00685D88"/>
    <w:rsid w:val="00695C05"/>
    <w:rsid w:val="006D2A75"/>
    <w:rsid w:val="006D6438"/>
    <w:rsid w:val="00710C4B"/>
    <w:rsid w:val="00741B31"/>
    <w:rsid w:val="00744251"/>
    <w:rsid w:val="007520A9"/>
    <w:rsid w:val="00754F09"/>
    <w:rsid w:val="00762CCA"/>
    <w:rsid w:val="007939DD"/>
    <w:rsid w:val="00795985"/>
    <w:rsid w:val="007A3CD6"/>
    <w:rsid w:val="007B5678"/>
    <w:rsid w:val="007C2D73"/>
    <w:rsid w:val="007C610F"/>
    <w:rsid w:val="007D5050"/>
    <w:rsid w:val="007D66EC"/>
    <w:rsid w:val="007F0CFC"/>
    <w:rsid w:val="007F3866"/>
    <w:rsid w:val="007F6E10"/>
    <w:rsid w:val="007F7A15"/>
    <w:rsid w:val="0080243F"/>
    <w:rsid w:val="00843B53"/>
    <w:rsid w:val="0084669B"/>
    <w:rsid w:val="008550D7"/>
    <w:rsid w:val="008908F8"/>
    <w:rsid w:val="008A0434"/>
    <w:rsid w:val="008A74FF"/>
    <w:rsid w:val="008B31D7"/>
    <w:rsid w:val="008F1F09"/>
    <w:rsid w:val="00934418"/>
    <w:rsid w:val="0093613F"/>
    <w:rsid w:val="009414C1"/>
    <w:rsid w:val="009635B0"/>
    <w:rsid w:val="009777A0"/>
    <w:rsid w:val="009A4724"/>
    <w:rsid w:val="009B4B11"/>
    <w:rsid w:val="009E1C1C"/>
    <w:rsid w:val="00A15C57"/>
    <w:rsid w:val="00A16DAC"/>
    <w:rsid w:val="00A67F70"/>
    <w:rsid w:val="00A733A3"/>
    <w:rsid w:val="00AA0D03"/>
    <w:rsid w:val="00AB552D"/>
    <w:rsid w:val="00AF5E4F"/>
    <w:rsid w:val="00B562CB"/>
    <w:rsid w:val="00B6078E"/>
    <w:rsid w:val="00B60B1A"/>
    <w:rsid w:val="00B61516"/>
    <w:rsid w:val="00B82090"/>
    <w:rsid w:val="00B97464"/>
    <w:rsid w:val="00BB7015"/>
    <w:rsid w:val="00BD3298"/>
    <w:rsid w:val="00BD4564"/>
    <w:rsid w:val="00BE7363"/>
    <w:rsid w:val="00BF4FC5"/>
    <w:rsid w:val="00C82255"/>
    <w:rsid w:val="00C86378"/>
    <w:rsid w:val="00CC6CD9"/>
    <w:rsid w:val="00CD5774"/>
    <w:rsid w:val="00CD5FAD"/>
    <w:rsid w:val="00CE609A"/>
    <w:rsid w:val="00CF2572"/>
    <w:rsid w:val="00D15DFD"/>
    <w:rsid w:val="00D33DC4"/>
    <w:rsid w:val="00D469DC"/>
    <w:rsid w:val="00D50541"/>
    <w:rsid w:val="00D55C42"/>
    <w:rsid w:val="00D56A8A"/>
    <w:rsid w:val="00D80543"/>
    <w:rsid w:val="00D82A6C"/>
    <w:rsid w:val="00D93310"/>
    <w:rsid w:val="00DB3B69"/>
    <w:rsid w:val="00DD0A74"/>
    <w:rsid w:val="00DE5505"/>
    <w:rsid w:val="00DF008A"/>
    <w:rsid w:val="00E16F63"/>
    <w:rsid w:val="00E21D4C"/>
    <w:rsid w:val="00E50FF1"/>
    <w:rsid w:val="00E57B73"/>
    <w:rsid w:val="00EB2A51"/>
    <w:rsid w:val="00EB7100"/>
    <w:rsid w:val="00EE361E"/>
    <w:rsid w:val="00F0549A"/>
    <w:rsid w:val="00F46267"/>
    <w:rsid w:val="00F70103"/>
    <w:rsid w:val="00F94040"/>
    <w:rsid w:val="00FB0F52"/>
    <w:rsid w:val="00FB7F24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659D"/>
  <w15:chartTrackingRefBased/>
  <w15:docId w15:val="{47926978-3518-4A82-A355-796385F8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3668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689"/>
    <w:pPr>
      <w:spacing w:after="0" w:line="240" w:lineRule="auto"/>
      <w:ind w:left="720"/>
    </w:pPr>
    <w:rPr>
      <w:rFonts w:ascii="Calibri" w:hAnsi="Calibri" w:cs="Calibri"/>
      <w:lang w:val="en-GB"/>
    </w:rPr>
  </w:style>
  <w:style w:type="paragraph" w:styleId="Revision">
    <w:name w:val="Revision"/>
    <w:hidden/>
    <w:uiPriority w:val="99"/>
    <w:semiHidden/>
    <w:rsid w:val="00123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3A82-7BA7-49DE-950D-49BB4771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Bojan Paunovic</cp:lastModifiedBy>
  <cp:revision>2</cp:revision>
  <cp:lastPrinted>2024-04-30T13:50:00Z</cp:lastPrinted>
  <dcterms:created xsi:type="dcterms:W3CDTF">2024-04-30T16:03:00Z</dcterms:created>
  <dcterms:modified xsi:type="dcterms:W3CDTF">2024-04-30T16:03:00Z</dcterms:modified>
</cp:coreProperties>
</file>