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70B" w:rsidRPr="0020440D" w:rsidRDefault="007B41C4" w:rsidP="00660364">
      <w:pPr>
        <w:spacing w:after="0" w:line="240" w:lineRule="auto"/>
        <w:rPr>
          <w:rFonts w:ascii="Cambria" w:hAnsi="Cambria" w:cs="Cambria"/>
          <w:b/>
          <w:bCs/>
          <w:noProof/>
          <w:sz w:val="28"/>
          <w:szCs w:val="28"/>
        </w:rPr>
      </w:pPr>
      <w:r w:rsidRPr="0020440D">
        <w:rPr>
          <w:rFonts w:ascii="Cambria" w:hAnsi="Cambria" w:cs="Cambria"/>
          <w:noProof/>
        </w:rPr>
        <w:drawing>
          <wp:inline distT="0" distB="0" distL="0" distR="0">
            <wp:extent cx="675640" cy="81216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70B" w:rsidRPr="0020440D" w:rsidRDefault="0082570B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</w:rPr>
      </w:pPr>
      <w:r w:rsidRPr="0020440D">
        <w:rPr>
          <w:b/>
          <w:bCs/>
          <w:noProof/>
          <w:sz w:val="28"/>
          <w:szCs w:val="28"/>
        </w:rPr>
        <w:t>CRNA GORA</w:t>
      </w:r>
    </w:p>
    <w:p w:rsidR="0082570B" w:rsidRPr="0020440D" w:rsidRDefault="0082570B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</w:rPr>
      </w:pPr>
      <w:r w:rsidRPr="0020440D">
        <w:rPr>
          <w:b/>
          <w:bCs/>
          <w:noProof/>
          <w:sz w:val="28"/>
          <w:szCs w:val="28"/>
        </w:rPr>
        <w:t>MINISTARSTVO FINANSIJA</w:t>
      </w:r>
    </w:p>
    <w:p w:rsidR="0082570B" w:rsidRPr="0020440D" w:rsidRDefault="00DC4AD1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</w:rPr>
      </w:pPr>
      <w:r w:rsidRPr="0020440D">
        <w:rPr>
          <w:b/>
          <w:bCs/>
          <w:noProof/>
          <w:sz w:val="28"/>
          <w:szCs w:val="28"/>
        </w:rPr>
        <w:t>Direktorat</w:t>
      </w:r>
      <w:r w:rsidR="0082570B" w:rsidRPr="0020440D">
        <w:rPr>
          <w:b/>
          <w:bCs/>
          <w:noProof/>
          <w:sz w:val="28"/>
          <w:szCs w:val="28"/>
        </w:rPr>
        <w:t xml:space="preserve"> za ekonomsku politiku i razvoj</w:t>
      </w:r>
    </w:p>
    <w:p w:rsidR="0082570B" w:rsidRPr="0020440D" w:rsidRDefault="0082570B" w:rsidP="00D61692">
      <w:pPr>
        <w:rPr>
          <w:rFonts w:cs="Calibri"/>
          <w:noProof/>
        </w:rPr>
      </w:pPr>
    </w:p>
    <w:p w:rsidR="0082570B" w:rsidRPr="0020440D" w:rsidRDefault="0082570B" w:rsidP="00D61692">
      <w:pPr>
        <w:jc w:val="center"/>
        <w:rPr>
          <w:rFonts w:cs="Calibri"/>
          <w:b/>
          <w:bCs/>
          <w:i/>
          <w:iCs/>
          <w:noProof/>
          <w:sz w:val="36"/>
          <w:szCs w:val="36"/>
        </w:rPr>
      </w:pPr>
    </w:p>
    <w:p w:rsidR="0082570B" w:rsidRPr="0020440D" w:rsidRDefault="0082570B" w:rsidP="000F756E">
      <w:pPr>
        <w:rPr>
          <w:rFonts w:cs="Calibri"/>
          <w:b/>
          <w:bCs/>
          <w:i/>
          <w:iCs/>
          <w:noProof/>
          <w:sz w:val="36"/>
          <w:szCs w:val="36"/>
        </w:rPr>
      </w:pPr>
    </w:p>
    <w:p w:rsidR="0082570B" w:rsidRPr="0020440D" w:rsidRDefault="0082570B" w:rsidP="000F756E">
      <w:pPr>
        <w:rPr>
          <w:rFonts w:cs="Calibri"/>
          <w:b/>
          <w:bCs/>
          <w:i/>
          <w:iCs/>
          <w:noProof/>
          <w:sz w:val="36"/>
          <w:szCs w:val="36"/>
        </w:rPr>
      </w:pPr>
    </w:p>
    <w:p w:rsidR="0082570B" w:rsidRPr="0020440D" w:rsidRDefault="0082570B" w:rsidP="0002564B">
      <w:pPr>
        <w:spacing w:line="240" w:lineRule="auto"/>
        <w:jc w:val="center"/>
        <w:outlineLvl w:val="0"/>
        <w:rPr>
          <w:rFonts w:cs="Calibri"/>
          <w:b/>
          <w:bCs/>
          <w:iCs/>
          <w:noProof/>
          <w:sz w:val="52"/>
          <w:szCs w:val="52"/>
        </w:rPr>
      </w:pPr>
      <w:r w:rsidRPr="0020440D">
        <w:rPr>
          <w:rFonts w:cs="Calibri"/>
          <w:b/>
          <w:bCs/>
          <w:iCs/>
          <w:noProof/>
          <w:sz w:val="52"/>
          <w:szCs w:val="52"/>
        </w:rPr>
        <w:t>MJESEČNI MAKROEKONOMSKI INDIKATORI</w:t>
      </w:r>
    </w:p>
    <w:p w:rsidR="0082570B" w:rsidRPr="0020440D" w:rsidRDefault="00BC1B61" w:rsidP="005D48A0">
      <w:pPr>
        <w:spacing w:line="240" w:lineRule="auto"/>
        <w:ind w:firstLine="720"/>
        <w:jc w:val="center"/>
        <w:outlineLvl w:val="0"/>
        <w:rPr>
          <w:rFonts w:cs="Calibri"/>
          <w:b/>
          <w:bCs/>
          <w:noProof/>
          <w:sz w:val="32"/>
          <w:szCs w:val="32"/>
        </w:rPr>
      </w:pPr>
      <w:r>
        <w:rPr>
          <w:rFonts w:cs="Calibri"/>
          <w:b/>
          <w:bCs/>
          <w:noProof/>
          <w:sz w:val="32"/>
          <w:szCs w:val="32"/>
        </w:rPr>
        <w:t>Mart</w:t>
      </w:r>
      <w:r w:rsidR="00C45B95">
        <w:rPr>
          <w:rFonts w:cs="Calibri"/>
          <w:b/>
          <w:bCs/>
          <w:noProof/>
          <w:sz w:val="32"/>
          <w:szCs w:val="32"/>
        </w:rPr>
        <w:t xml:space="preserve"> 2015</w:t>
      </w:r>
      <w:r w:rsidR="0082570B" w:rsidRPr="0020440D">
        <w:rPr>
          <w:rFonts w:cs="Calibri"/>
          <w:b/>
          <w:bCs/>
          <w:noProof/>
          <w:sz w:val="32"/>
          <w:szCs w:val="32"/>
        </w:rPr>
        <w:t>.</w:t>
      </w:r>
    </w:p>
    <w:p w:rsidR="0082570B" w:rsidRPr="0020440D" w:rsidRDefault="0082570B" w:rsidP="00D61692">
      <w:pPr>
        <w:spacing w:after="0" w:line="240" w:lineRule="auto"/>
        <w:rPr>
          <w:rFonts w:cs="Calibri"/>
          <w:b/>
          <w:bCs/>
          <w:noProof/>
          <w:sz w:val="28"/>
          <w:szCs w:val="28"/>
        </w:rPr>
      </w:pPr>
    </w:p>
    <w:p w:rsidR="0082570B" w:rsidRDefault="0082570B" w:rsidP="00D61692">
      <w:pPr>
        <w:spacing w:after="0" w:line="240" w:lineRule="auto"/>
        <w:rPr>
          <w:rFonts w:cs="Calibri"/>
          <w:b/>
          <w:bCs/>
          <w:noProof/>
          <w:sz w:val="28"/>
          <w:szCs w:val="28"/>
        </w:rPr>
      </w:pPr>
    </w:p>
    <w:p w:rsidR="009F74C6" w:rsidRPr="0020440D" w:rsidRDefault="009F74C6" w:rsidP="00D61692">
      <w:pPr>
        <w:spacing w:after="0" w:line="240" w:lineRule="auto"/>
        <w:rPr>
          <w:rFonts w:cs="Calibri"/>
          <w:b/>
          <w:bCs/>
          <w:noProof/>
          <w:sz w:val="28"/>
          <w:szCs w:val="28"/>
        </w:rPr>
      </w:pPr>
    </w:p>
    <w:p w:rsidR="0082570B" w:rsidRPr="0020440D" w:rsidRDefault="00431050" w:rsidP="00D20CDA">
      <w:pPr>
        <w:spacing w:after="0" w:line="240" w:lineRule="auto"/>
        <w:rPr>
          <w:rFonts w:cs="Calibri"/>
          <w:bCs/>
          <w:noProof/>
          <w:sz w:val="28"/>
          <w:szCs w:val="28"/>
        </w:rPr>
      </w:pPr>
      <w:r w:rsidRPr="00431050"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margin-left:2.1pt;margin-top:5in;width:252.6pt;height:338pt;rotation:-360;z-index:-251658240;mso-position-horizontal-relative:margin;mso-position-vertical-relative:margin" wrapcoords="1315 -107 900 -53 -138 587 -138 20747 277 21227 277 21333 1038 21653 1246 21653 20285 21653 20423 21653 21392 21227 21738 20480 21738 1440 21669 587 20769 0 20285 -107 1315 -107" o:allowincell="f" adj="1739" fillcolor="#943634" strokecolor="#548dd4 [1951]" strokeweight="3pt">
            <v:imagedata embosscolor="shadow add(51)"/>
            <v:shadow type="emboss" color="lineOrFill darken(153)" color2="shadow add(102)" offset="1pt,1pt"/>
            <v:textbox style="mso-next-textbox:#_x0000_s1026" inset="3.6pt,,3.6pt">
              <w:txbxContent>
                <w:p w:rsidR="00E06CF6" w:rsidRDefault="00E06CF6" w:rsidP="00E876BD">
                  <w:pPr>
                    <w:pStyle w:val="NoSpacing"/>
                    <w:jc w:val="center"/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</w:pPr>
                  <w:r w:rsidRPr="003A5C77"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  <w:t>KLJUČNE PORUKE</w:t>
                  </w:r>
                </w:p>
                <w:p w:rsidR="00E06CF6" w:rsidRDefault="00E06CF6" w:rsidP="00DF3850">
                  <w:pPr>
                    <w:pStyle w:val="NoSpacing"/>
                    <w:ind w:left="1080"/>
                    <w:rPr>
                      <w:b/>
                      <w:bCs/>
                      <w:color w:val="000000"/>
                      <w:sz w:val="24"/>
                      <w:szCs w:val="40"/>
                      <w:lang w:val="pl-PL"/>
                    </w:rPr>
                  </w:pPr>
                </w:p>
                <w:p w:rsidR="00E06CF6" w:rsidRDefault="00E06CF6" w:rsidP="00DF3850">
                  <w:pPr>
                    <w:pStyle w:val="NoSpacing"/>
                    <w:ind w:left="1080"/>
                    <w:rPr>
                      <w:b/>
                      <w:bCs/>
                      <w:color w:val="000000"/>
                      <w:sz w:val="24"/>
                      <w:szCs w:val="40"/>
                      <w:lang w:val="pl-PL"/>
                    </w:rPr>
                  </w:pPr>
                </w:p>
                <w:p w:rsidR="00E06CF6" w:rsidRDefault="00E06CF6" w:rsidP="00DF3850">
                  <w:pPr>
                    <w:pStyle w:val="NoSpacing"/>
                    <w:numPr>
                      <w:ilvl w:val="0"/>
                      <w:numId w:val="41"/>
                    </w:numPr>
                    <w:spacing w:after="200"/>
                    <w:jc w:val="both"/>
                    <w:rPr>
                      <w:b/>
                      <w:bCs/>
                      <w:color w:val="000000"/>
                      <w:sz w:val="24"/>
                      <w:szCs w:val="40"/>
                      <w:lang w:val="pl-P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40"/>
                      <w:lang w:val="pl-PL"/>
                    </w:rPr>
                    <w:t>PMI-</w:t>
                  </w:r>
                  <w:r w:rsidRPr="00E876BD">
                    <w:rPr>
                      <w:b/>
                      <w:bCs/>
                      <w:color w:val="000000"/>
                      <w:sz w:val="24"/>
                      <w:szCs w:val="40"/>
                      <w:lang w:val="pl-PL"/>
                    </w:rPr>
                    <w:t xml:space="preserve">Markit ekonomski indikator </w:t>
                  </w:r>
                  <w:r>
                    <w:rPr>
                      <w:b/>
                      <w:bCs/>
                      <w:color w:val="000000"/>
                      <w:sz w:val="24"/>
                      <w:szCs w:val="40"/>
                      <w:lang w:val="pl-PL"/>
                    </w:rPr>
                    <w:t>za eurozonu, ukazuje na jači rast ekonomske aktivnosti</w:t>
                  </w:r>
                </w:p>
                <w:p w:rsidR="00E06CF6" w:rsidRPr="00DF3850" w:rsidRDefault="00E06CF6" w:rsidP="00DF3850">
                  <w:pPr>
                    <w:pStyle w:val="NoSpacing"/>
                    <w:numPr>
                      <w:ilvl w:val="0"/>
                      <w:numId w:val="41"/>
                    </w:numPr>
                    <w:spacing w:after="200"/>
                    <w:jc w:val="both"/>
                    <w:rPr>
                      <w:b/>
                      <w:bCs/>
                      <w:color w:val="000000"/>
                      <w:sz w:val="24"/>
                      <w:szCs w:val="40"/>
                      <w:lang w:val="pl-PL"/>
                    </w:rPr>
                  </w:pPr>
                  <w:r w:rsidRPr="00DF3850">
                    <w:rPr>
                      <w:b/>
                      <w:bCs/>
                      <w:color w:val="000000"/>
                      <w:sz w:val="24"/>
                      <w:szCs w:val="40"/>
                      <w:lang w:val="pl-PL"/>
                    </w:rPr>
                    <w:t>Indikatori aktivnosti realnog sektora u februaru pokazuju rast u većini oblasti</w:t>
                  </w:r>
                </w:p>
                <w:p w:rsidR="00E06CF6" w:rsidRPr="00DF3850" w:rsidRDefault="00E06CF6" w:rsidP="00DF3850">
                  <w:pPr>
                    <w:pStyle w:val="NoSpacing"/>
                    <w:numPr>
                      <w:ilvl w:val="0"/>
                      <w:numId w:val="41"/>
                    </w:numPr>
                    <w:spacing w:after="200"/>
                    <w:jc w:val="both"/>
                    <w:rPr>
                      <w:b/>
                      <w:bCs/>
                      <w:color w:val="000000"/>
                      <w:sz w:val="24"/>
                      <w:szCs w:val="40"/>
                      <w:lang w:val="pl-PL"/>
                    </w:rPr>
                  </w:pPr>
                  <w:r w:rsidRPr="00DF3850">
                    <w:rPr>
                      <w:b/>
                      <w:bCs/>
                      <w:color w:val="000000"/>
                      <w:sz w:val="24"/>
                      <w:szCs w:val="40"/>
                      <w:lang w:val="pl-PL"/>
                    </w:rPr>
                    <w:t>Potrošačke cijene u februaru 2015. bilježe rast po svim pokazateljima</w:t>
                  </w:r>
                </w:p>
                <w:p w:rsidR="00E06CF6" w:rsidRPr="00DF3850" w:rsidRDefault="00E06CF6" w:rsidP="00DF3850">
                  <w:pPr>
                    <w:pStyle w:val="NoSpacing"/>
                    <w:numPr>
                      <w:ilvl w:val="0"/>
                      <w:numId w:val="41"/>
                    </w:numPr>
                    <w:spacing w:after="200"/>
                    <w:jc w:val="both"/>
                    <w:rPr>
                      <w:b/>
                      <w:bCs/>
                      <w:color w:val="000000"/>
                      <w:sz w:val="24"/>
                      <w:szCs w:val="40"/>
                      <w:lang w:val="pl-PL"/>
                    </w:rPr>
                  </w:pPr>
                  <w:r w:rsidRPr="00DF3850">
                    <w:rPr>
                      <w:b/>
                      <w:bCs/>
                      <w:color w:val="000000"/>
                      <w:sz w:val="24"/>
                      <w:szCs w:val="40"/>
                      <w:lang w:val="pl-PL"/>
                    </w:rPr>
                    <w:t>U februaru zabilježen blagi pad ukupnih depozita i rast kreditne aktivnosti na mjesečnom nivou</w:t>
                  </w:r>
                </w:p>
                <w:p w:rsidR="00E06CF6" w:rsidRPr="00E876BD" w:rsidRDefault="00E06CF6" w:rsidP="00DF3850">
                  <w:pPr>
                    <w:pStyle w:val="NoSpacing"/>
                    <w:numPr>
                      <w:ilvl w:val="0"/>
                      <w:numId w:val="41"/>
                    </w:numPr>
                    <w:spacing w:after="200"/>
                    <w:jc w:val="both"/>
                    <w:rPr>
                      <w:b/>
                      <w:bCs/>
                      <w:color w:val="000000"/>
                      <w:sz w:val="24"/>
                      <w:szCs w:val="40"/>
                      <w:lang w:val="pl-PL"/>
                    </w:rPr>
                  </w:pPr>
                  <w:r w:rsidRPr="00DF3850">
                    <w:rPr>
                      <w:b/>
                      <w:bCs/>
                      <w:color w:val="000000"/>
                      <w:sz w:val="24"/>
                      <w:szCs w:val="40"/>
                      <w:lang w:val="pl-PL"/>
                    </w:rPr>
                    <w:t>U prva dva mjeseca 2015. zabilježen rastući trend izvoza i uvoza roba</w:t>
                  </w:r>
                </w:p>
                <w:p w:rsidR="00E06CF6" w:rsidRPr="00DF3850" w:rsidRDefault="00E06CF6" w:rsidP="00DF3850">
                  <w:pPr>
                    <w:pStyle w:val="NoSpacing"/>
                    <w:numPr>
                      <w:ilvl w:val="0"/>
                      <w:numId w:val="41"/>
                    </w:numPr>
                    <w:spacing w:after="200"/>
                    <w:jc w:val="both"/>
                    <w:rPr>
                      <w:b/>
                      <w:bCs/>
                      <w:color w:val="000000"/>
                      <w:sz w:val="24"/>
                      <w:szCs w:val="40"/>
                      <w:lang w:val="pl-PL"/>
                    </w:rPr>
                  </w:pPr>
                </w:p>
                <w:p w:rsidR="00E06CF6" w:rsidRDefault="00E06CF6"/>
              </w:txbxContent>
            </v:textbox>
            <w10:wrap type="tight" anchorx="margin" anchory="margin"/>
          </v:shape>
        </w:pict>
      </w:r>
    </w:p>
    <w:p w:rsidR="0082570B" w:rsidRPr="0020440D" w:rsidRDefault="0082570B" w:rsidP="00D20CDA">
      <w:pPr>
        <w:spacing w:after="0" w:line="240" w:lineRule="auto"/>
        <w:rPr>
          <w:rFonts w:cs="Calibri"/>
          <w:bCs/>
          <w:iCs/>
          <w:noProof/>
          <w:sz w:val="26"/>
          <w:szCs w:val="26"/>
        </w:rPr>
      </w:pPr>
    </w:p>
    <w:p w:rsidR="0082570B" w:rsidRPr="0020440D" w:rsidRDefault="0082570B" w:rsidP="00D61692">
      <w:pPr>
        <w:pStyle w:val="NoSpacing"/>
        <w:rPr>
          <w:bCs/>
          <w:iCs/>
          <w:noProof/>
          <w:sz w:val="26"/>
          <w:szCs w:val="26"/>
        </w:rPr>
      </w:pPr>
    </w:p>
    <w:p w:rsidR="0082570B" w:rsidRPr="0020440D" w:rsidRDefault="0085138D" w:rsidP="00694445">
      <w:pPr>
        <w:pStyle w:val="NoSpacing"/>
        <w:rPr>
          <w:bCs/>
          <w:noProof/>
          <w:sz w:val="28"/>
          <w:szCs w:val="20"/>
        </w:rPr>
      </w:pPr>
      <w:r w:rsidRPr="0020440D">
        <w:rPr>
          <w:bCs/>
          <w:noProof/>
          <w:sz w:val="28"/>
          <w:szCs w:val="20"/>
          <w:lang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912495</wp:posOffset>
            </wp:positionH>
            <wp:positionV relativeFrom="paragraph">
              <wp:posOffset>136525</wp:posOffset>
            </wp:positionV>
            <wp:extent cx="2238375" cy="2644140"/>
            <wp:effectExtent l="19050" t="0" r="9525" b="0"/>
            <wp:wrapSquare wrapText="bothSides"/>
            <wp:docPr id="13" name="Picture 1" descr="C:\Users\radovan.zivkovic\Desktop\push-to-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dovan.zivkovic\Desktop\push-to-vertical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644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570B" w:rsidRPr="0020440D" w:rsidRDefault="0082570B" w:rsidP="003324D9">
      <w:pPr>
        <w:pStyle w:val="NoSpacing"/>
        <w:rPr>
          <w:noProof/>
          <w:sz w:val="32"/>
        </w:rPr>
      </w:pPr>
    </w:p>
    <w:p w:rsidR="0082570B" w:rsidRPr="0020440D" w:rsidRDefault="0082570B" w:rsidP="003324D9">
      <w:pPr>
        <w:pStyle w:val="NoSpacing"/>
        <w:rPr>
          <w:noProof/>
          <w:sz w:val="32"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9F74C6" w:rsidRDefault="009F74C6" w:rsidP="00A423C3">
      <w:pPr>
        <w:pStyle w:val="NoSpacing"/>
        <w:outlineLvl w:val="0"/>
        <w:rPr>
          <w:b/>
          <w:bCs/>
          <w:noProof/>
          <w:color w:val="000000"/>
          <w:sz w:val="16"/>
          <w:szCs w:val="16"/>
        </w:rPr>
      </w:pPr>
    </w:p>
    <w:p w:rsidR="009F74C6" w:rsidRDefault="009F74C6" w:rsidP="00A423C3">
      <w:pPr>
        <w:pStyle w:val="NoSpacing"/>
        <w:outlineLvl w:val="0"/>
        <w:rPr>
          <w:b/>
          <w:bCs/>
          <w:noProof/>
          <w:color w:val="000000"/>
          <w:sz w:val="16"/>
          <w:szCs w:val="16"/>
        </w:rPr>
      </w:pPr>
    </w:p>
    <w:p w:rsidR="009F74C6" w:rsidRDefault="009F74C6" w:rsidP="00A423C3">
      <w:pPr>
        <w:pStyle w:val="NoSpacing"/>
        <w:outlineLvl w:val="0"/>
        <w:rPr>
          <w:b/>
          <w:bCs/>
          <w:noProof/>
          <w:color w:val="000000"/>
          <w:sz w:val="16"/>
          <w:szCs w:val="16"/>
        </w:rPr>
      </w:pPr>
    </w:p>
    <w:p w:rsidR="009F74C6" w:rsidRDefault="009F74C6" w:rsidP="00A423C3">
      <w:pPr>
        <w:pStyle w:val="NoSpacing"/>
        <w:outlineLvl w:val="0"/>
        <w:rPr>
          <w:b/>
          <w:bCs/>
          <w:noProof/>
          <w:color w:val="000000"/>
          <w:sz w:val="16"/>
          <w:szCs w:val="16"/>
        </w:rPr>
      </w:pPr>
    </w:p>
    <w:p w:rsidR="009F74C6" w:rsidRDefault="009F74C6" w:rsidP="00A423C3">
      <w:pPr>
        <w:pStyle w:val="NoSpacing"/>
        <w:outlineLvl w:val="0"/>
        <w:rPr>
          <w:b/>
          <w:bCs/>
          <w:noProof/>
          <w:color w:val="000000"/>
          <w:sz w:val="16"/>
          <w:szCs w:val="16"/>
        </w:rPr>
      </w:pPr>
    </w:p>
    <w:p w:rsidR="009F74C6" w:rsidRDefault="0082570B" w:rsidP="00A423C3">
      <w:pPr>
        <w:pStyle w:val="NoSpacing"/>
        <w:outlineLvl w:val="0"/>
        <w:rPr>
          <w:bCs/>
          <w:noProof/>
          <w:color w:val="000000"/>
          <w:sz w:val="16"/>
          <w:szCs w:val="16"/>
        </w:rPr>
      </w:pPr>
      <w:r w:rsidRPr="0020440D">
        <w:rPr>
          <w:b/>
          <w:bCs/>
          <w:noProof/>
          <w:color w:val="000000"/>
          <w:sz w:val="16"/>
          <w:szCs w:val="16"/>
        </w:rPr>
        <w:t xml:space="preserve">Autori priloga: </w:t>
      </w:r>
      <w:r w:rsidR="00423EE9" w:rsidRPr="0020440D">
        <w:rPr>
          <w:bCs/>
          <w:noProof/>
          <w:color w:val="000000"/>
          <w:sz w:val="16"/>
          <w:szCs w:val="16"/>
        </w:rPr>
        <w:t>Radovan Živković</w:t>
      </w:r>
      <w:r w:rsidR="002A2CED" w:rsidRPr="0020440D">
        <w:rPr>
          <w:bCs/>
          <w:noProof/>
          <w:color w:val="000000"/>
          <w:sz w:val="16"/>
          <w:szCs w:val="16"/>
        </w:rPr>
        <w:t>, Radojka Martinović</w:t>
      </w:r>
      <w:r w:rsidR="00423EE9" w:rsidRPr="0020440D">
        <w:rPr>
          <w:bCs/>
          <w:noProof/>
          <w:color w:val="000000"/>
          <w:sz w:val="16"/>
          <w:szCs w:val="16"/>
        </w:rPr>
        <w:t xml:space="preserve">, Olja Tomanović, </w:t>
      </w:r>
      <w:r w:rsidR="004B5F63" w:rsidRPr="0020440D">
        <w:rPr>
          <w:bCs/>
          <w:noProof/>
          <w:color w:val="000000"/>
          <w:sz w:val="16"/>
          <w:szCs w:val="16"/>
        </w:rPr>
        <w:t>Marija Novosel</w:t>
      </w:r>
      <w:r w:rsidR="00A423C3" w:rsidRPr="0020440D">
        <w:rPr>
          <w:bCs/>
          <w:noProof/>
          <w:color w:val="000000"/>
          <w:sz w:val="16"/>
          <w:szCs w:val="16"/>
        </w:rPr>
        <w:t>,</w:t>
      </w:r>
      <w:r w:rsidR="002A2CED" w:rsidRPr="0020440D">
        <w:rPr>
          <w:bCs/>
          <w:noProof/>
          <w:color w:val="000000"/>
          <w:sz w:val="16"/>
          <w:szCs w:val="16"/>
        </w:rPr>
        <w:t xml:space="preserve"> Zdenka</w:t>
      </w:r>
      <w:r w:rsidR="00F52B50">
        <w:rPr>
          <w:bCs/>
          <w:noProof/>
          <w:color w:val="000000"/>
          <w:sz w:val="16"/>
          <w:szCs w:val="16"/>
        </w:rPr>
        <w:t xml:space="preserve"> </w:t>
      </w:r>
      <w:r w:rsidR="002A2CED" w:rsidRPr="0020440D">
        <w:rPr>
          <w:bCs/>
          <w:noProof/>
          <w:color w:val="000000"/>
          <w:sz w:val="16"/>
          <w:szCs w:val="16"/>
        </w:rPr>
        <w:t>Dabović</w:t>
      </w:r>
      <w:r w:rsidR="00E2362B" w:rsidRPr="0020440D">
        <w:rPr>
          <w:bCs/>
          <w:noProof/>
          <w:color w:val="000000"/>
          <w:sz w:val="16"/>
          <w:szCs w:val="16"/>
        </w:rPr>
        <w:t>, Milanka Jovanović</w:t>
      </w:r>
      <w:r w:rsidR="00A73F8B" w:rsidRPr="0020440D">
        <w:rPr>
          <w:bCs/>
          <w:noProof/>
          <w:color w:val="000000"/>
          <w:sz w:val="16"/>
          <w:szCs w:val="16"/>
        </w:rPr>
        <w:t>,</w:t>
      </w:r>
      <w:r w:rsidR="002167C4">
        <w:rPr>
          <w:bCs/>
          <w:noProof/>
          <w:color w:val="000000"/>
          <w:sz w:val="16"/>
          <w:szCs w:val="16"/>
        </w:rPr>
        <w:t xml:space="preserve">Miloš Popović, </w:t>
      </w:r>
      <w:r w:rsidR="00A73F8B" w:rsidRPr="0020440D">
        <w:rPr>
          <w:bCs/>
          <w:noProof/>
          <w:color w:val="000000"/>
          <w:sz w:val="16"/>
          <w:szCs w:val="16"/>
        </w:rPr>
        <w:t>Vesna Obradović</w:t>
      </w:r>
      <w:r w:rsidR="00625243">
        <w:rPr>
          <w:bCs/>
          <w:noProof/>
          <w:color w:val="000000"/>
          <w:sz w:val="16"/>
          <w:szCs w:val="16"/>
        </w:rPr>
        <w:t>.</w:t>
      </w:r>
    </w:p>
    <w:tbl>
      <w:tblPr>
        <w:tblStyle w:val="TableGrid"/>
        <w:tblpPr w:leftFromText="141" w:rightFromText="141" w:horzAnchor="margin" w:tblpY="420"/>
        <w:tblW w:w="4985" w:type="pct"/>
        <w:tblBorders>
          <w:top w:val="threeDEmboss" w:sz="12" w:space="0" w:color="auto"/>
          <w:left w:val="none" w:sz="0" w:space="0" w:color="auto"/>
          <w:bottom w:val="threeDEmboss" w:sz="12" w:space="0" w:color="auto"/>
          <w:right w:val="none" w:sz="0" w:space="0" w:color="auto"/>
          <w:insideH w:val="threeDEmboss" w:sz="12" w:space="0" w:color="auto"/>
          <w:insideV w:val="none" w:sz="0" w:space="0" w:color="auto"/>
        </w:tblBorders>
        <w:tblLook w:val="04A0"/>
      </w:tblPr>
      <w:tblGrid>
        <w:gridCol w:w="6887"/>
        <w:gridCol w:w="4011"/>
      </w:tblGrid>
      <w:tr w:rsidR="00C45B95" w:rsidTr="009F4261">
        <w:trPr>
          <w:trHeight w:hRule="exact" w:val="4033"/>
        </w:trPr>
        <w:tc>
          <w:tcPr>
            <w:tcW w:w="3236" w:type="pct"/>
          </w:tcPr>
          <w:p w:rsidR="001B7C2A" w:rsidRPr="001B7C2A" w:rsidRDefault="001B7C2A" w:rsidP="00000106">
            <w:pPr>
              <w:pStyle w:val="ListParagraph"/>
              <w:numPr>
                <w:ilvl w:val="0"/>
                <w:numId w:val="36"/>
              </w:numPr>
              <w:spacing w:after="0"/>
              <w:jc w:val="both"/>
              <w:rPr>
                <w:b/>
              </w:rPr>
            </w:pPr>
            <w:r w:rsidRPr="001B7C2A">
              <w:rPr>
                <w:b/>
              </w:rPr>
              <w:lastRenderedPageBreak/>
              <w:t>Međunarodno okruženje</w:t>
            </w:r>
          </w:p>
          <w:p w:rsidR="001C6781" w:rsidRDefault="001C6781" w:rsidP="001C6781">
            <w:pPr>
              <w:pBdr>
                <w:top w:val="single" w:sz="4" w:space="1" w:color="auto"/>
              </w:pBdr>
              <w:jc w:val="both"/>
            </w:pPr>
            <w:r>
              <w:t>Kompozitni indikator ekonomske aktivnosti (PMI-purchasing manager index-koji objavljuje kompanija Markit) za Eurozonu dostigao je vrijednost od 54,1 indeksnih poena, što je pokazatelj da ekonomska aktivnost i njeni izgledi rastu. Ovaj indikator ima visoku korelaciju s kretanjem BDP-a, a tromjesečni prosjek indikatora za prvi kvartal je 53,3 poena, što je njegova najveća vrijednost u četvorogodišnjem periodu. Ovaj dugo očekivani rast je znak da su se mjere kvantitativne podrške (QE) odrazile na realni sektor ekonomije. Rast novih porudžbi je najači u Njemačkoj, ali porudžbe rastu i u Francuskoj. Ohrabrujuća vijest je da zaposlenost blago raste, a najave pojačane tražnje za radnom snagom će imati pozitivan uticaj na dalji pad visoke nezaposlenosti (11%). Smanjuju se deflatorni pritisci kroz pad vrijednosti eura, a time i poskupljenje uvoza, ali i blagog rasta zarada. Rast aktivnosti u eurozoni je pozitivan znak i za male ekonomije Zapadnog Balkana zbog rasta tražnje i raspoloživog dohotka.</w:t>
            </w:r>
          </w:p>
          <w:p w:rsidR="002A5A8C" w:rsidRDefault="002A5A8C" w:rsidP="00A90070"/>
          <w:p w:rsidR="002A5A8C" w:rsidRDefault="002A5A8C" w:rsidP="00A90070"/>
          <w:p w:rsidR="00C45B95" w:rsidRDefault="00C45B95" w:rsidP="00A90070"/>
        </w:tc>
        <w:tc>
          <w:tcPr>
            <w:tcW w:w="1764" w:type="pct"/>
            <w:vAlign w:val="center"/>
          </w:tcPr>
          <w:p w:rsidR="00C45B95" w:rsidRDefault="00AD2612" w:rsidP="00F07EA0">
            <w:r w:rsidRPr="00AD2612">
              <w:rPr>
                <w:noProof/>
              </w:rPr>
              <w:drawing>
                <wp:inline distT="0" distB="0" distL="0" distR="0">
                  <wp:extent cx="2088000" cy="2124000"/>
                  <wp:effectExtent l="0" t="0" r="0" b="0"/>
                  <wp:docPr id="3" name="Chart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C45B95" w:rsidTr="0031387C">
        <w:trPr>
          <w:trHeight w:hRule="exact" w:val="4244"/>
        </w:trPr>
        <w:tc>
          <w:tcPr>
            <w:tcW w:w="3236" w:type="pct"/>
          </w:tcPr>
          <w:p w:rsidR="00000106" w:rsidRPr="00000106" w:rsidRDefault="003D49BD" w:rsidP="00E00F3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Realni sek</w:t>
            </w:r>
            <w:r w:rsidR="00000106" w:rsidRPr="00000106">
              <w:rPr>
                <w:b/>
              </w:rPr>
              <w:t>tor</w:t>
            </w:r>
          </w:p>
          <w:p w:rsidR="001C6781" w:rsidRPr="006633C9" w:rsidRDefault="001C6781" w:rsidP="001C6781">
            <w:pPr>
              <w:pBdr>
                <w:top w:val="single" w:sz="4" w:space="1" w:color="auto"/>
              </w:pBdr>
              <w:jc w:val="both"/>
              <w:rPr>
                <w:color w:val="FF0000"/>
              </w:rPr>
            </w:pPr>
            <w:r>
              <w:rPr>
                <w:b/>
              </w:rPr>
              <w:t xml:space="preserve">Indikatori aktivnosti realnog sektora u februaru 2015. godine pokazuju rast u većini oblasti. </w:t>
            </w:r>
            <w:r w:rsidRPr="00D0310A">
              <w:t xml:space="preserve">Industrijska proizvodnja u februaru 2015. bilježi </w:t>
            </w:r>
            <w:r>
              <w:t>g</w:t>
            </w:r>
            <w:r w:rsidRPr="00201897">
              <w:t xml:space="preserve">odišnji rast </w:t>
            </w:r>
            <w:r>
              <w:t>od</w:t>
            </w:r>
            <w:r w:rsidRPr="00201897">
              <w:t xml:space="preserve"> 5,9%, mjesečni </w:t>
            </w:r>
            <w:r>
              <w:t xml:space="preserve">rast od </w:t>
            </w:r>
            <w:r w:rsidRPr="00201897">
              <w:t>10,1%, dok j</w:t>
            </w:r>
            <w:r>
              <w:t>e za prva dva mjeseca</w:t>
            </w:r>
            <w:r w:rsidRPr="00201897">
              <w:t xml:space="preserve"> rast </w:t>
            </w:r>
            <w:r>
              <w:t>iznosio</w:t>
            </w:r>
            <w:r w:rsidRPr="00201897">
              <w:t xml:space="preserve"> 1,3% g-n-g. Godišnji rast u februaru dominantno je opredijeljen rastom </w:t>
            </w:r>
            <w:r>
              <w:t xml:space="preserve">u sektoru „prerađivačka industrija“ (13,8%), usljed rasta </w:t>
            </w:r>
            <w:r w:rsidRPr="00201897">
              <w:t>proizvodnje osnovnih metala (33,55) i farmaceutskih proizvoda (12,0%)</w:t>
            </w:r>
            <w:r>
              <w:t>. Rast je ostvaren i u sektoru „vađenje rude i kamena“ (15,2%), dok je sektor „snabdijevanje el.energijom, gasom i parom“ zabilježio pad od 2,0%. Turistički promet i u februaru bilježi rast dolazaka i noćenja turista. Crnu Goru je posjetilo 21,5 hilj.turista i ostvareno 77,8 hilj.noćenja, što je rast od 25,6 i 21,0 % g-n-g, respektivno.</w:t>
            </w:r>
            <w:r w:rsidRPr="00297A0A">
              <w:t xml:space="preserve"> </w:t>
            </w:r>
            <w:r>
              <w:t>Na rast dolazaka i noćenja u februaru značajno je uticala bolja posjećenost zimskih turističkih centara, ali i niska osnova iz prethodne godine (Kolašin i Žabljak bilježe rast dolazaka i noćenja od 86,7 i 61,7% g-n-g).</w:t>
            </w:r>
            <w:r w:rsidRPr="00517D34">
              <w:t xml:space="preserve"> </w:t>
            </w:r>
            <w:r>
              <w:t>Promet u trgovini na malo u februaru 2015, u tekućim cijenama, veći je za 2,8% g-n-g.</w:t>
            </w:r>
          </w:p>
          <w:p w:rsidR="00C45B95" w:rsidRDefault="00C45B95" w:rsidP="00BC1B61">
            <w:pPr>
              <w:pBdr>
                <w:top w:val="single" w:sz="4" w:space="1" w:color="auto"/>
              </w:pBdr>
              <w:jc w:val="both"/>
            </w:pPr>
          </w:p>
        </w:tc>
        <w:tc>
          <w:tcPr>
            <w:tcW w:w="1764" w:type="pct"/>
            <w:vAlign w:val="center"/>
          </w:tcPr>
          <w:p w:rsidR="00000106" w:rsidRDefault="0031387C" w:rsidP="00963732">
            <w:pPr>
              <w:spacing w:line="240" w:lineRule="auto"/>
            </w:pPr>
            <w:r w:rsidRPr="0031387C">
              <w:rPr>
                <w:noProof/>
              </w:rPr>
              <w:drawing>
                <wp:inline distT="0" distB="0" distL="0" distR="0">
                  <wp:extent cx="2268000" cy="2268000"/>
                  <wp:effectExtent l="0" t="0" r="0" b="0"/>
                  <wp:docPr id="5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C45B95" w:rsidTr="00363A53">
        <w:trPr>
          <w:trHeight w:hRule="exact" w:val="3680"/>
        </w:trPr>
        <w:tc>
          <w:tcPr>
            <w:tcW w:w="3236" w:type="pct"/>
          </w:tcPr>
          <w:p w:rsidR="00000106" w:rsidRPr="00000106" w:rsidRDefault="00000106" w:rsidP="00000106">
            <w:pPr>
              <w:pStyle w:val="ListParagraph"/>
              <w:numPr>
                <w:ilvl w:val="0"/>
                <w:numId w:val="36"/>
              </w:numPr>
              <w:spacing w:after="0"/>
              <w:jc w:val="both"/>
              <w:rPr>
                <w:b/>
              </w:rPr>
            </w:pPr>
            <w:r w:rsidRPr="00000106">
              <w:rPr>
                <w:b/>
              </w:rPr>
              <w:t>Inflacija</w:t>
            </w:r>
          </w:p>
          <w:p w:rsidR="001C6781" w:rsidRPr="00CF4446" w:rsidRDefault="001C6781" w:rsidP="001C6781">
            <w:pPr>
              <w:pBdr>
                <w:top w:val="single" w:sz="4" w:space="1" w:color="auto"/>
              </w:pBd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Potrošačke cijene u februaru 2015. bilježe rast po svim pokazateljima. </w:t>
            </w:r>
            <w:r w:rsidRPr="00D36BCC">
              <w:rPr>
                <w:rFonts w:asciiTheme="minorHAnsi" w:hAnsiTheme="minorHAnsi"/>
              </w:rPr>
              <w:t xml:space="preserve">Godišnja stopa </w:t>
            </w:r>
            <w:r>
              <w:rPr>
                <w:rFonts w:asciiTheme="minorHAnsi" w:hAnsiTheme="minorHAnsi"/>
              </w:rPr>
              <w:t xml:space="preserve">inflacije (CPI) </w:t>
            </w:r>
            <w:r w:rsidRPr="00D36BCC">
              <w:rPr>
                <w:rFonts w:asciiTheme="minorHAnsi" w:hAnsiTheme="minorHAnsi"/>
              </w:rPr>
              <w:t>iznosila je 0,6%, mjesečna 0,3%, dok je u periodu jan</w:t>
            </w:r>
            <w:r w:rsidR="002C095E">
              <w:rPr>
                <w:rFonts w:asciiTheme="minorHAnsi" w:hAnsiTheme="minorHAnsi"/>
              </w:rPr>
              <w:t>u</w:t>
            </w:r>
            <w:r w:rsidRPr="00D36BCC">
              <w:rPr>
                <w:rFonts w:asciiTheme="minorHAnsi" w:hAnsiTheme="minorHAnsi"/>
              </w:rPr>
              <w:t xml:space="preserve">ar-februar zabilježen rast od 0,4% g-n-g. Najveći uticaj na godišnju stopu </w:t>
            </w:r>
            <w:r>
              <w:rPr>
                <w:rFonts w:asciiTheme="minorHAnsi" w:hAnsiTheme="minorHAnsi"/>
              </w:rPr>
              <w:t xml:space="preserve">inflacije </w:t>
            </w:r>
            <w:r w:rsidRPr="00D36BCC">
              <w:rPr>
                <w:rFonts w:asciiTheme="minorHAnsi" w:hAnsiTheme="minorHAnsi"/>
              </w:rPr>
              <w:t>imale su cijene u oblastima „hrana i bezalkoholna pića“ (0,82 p.p), „odjeća i obuć</w:t>
            </w:r>
            <w:r>
              <w:rPr>
                <w:rFonts w:asciiTheme="minorHAnsi" w:hAnsiTheme="minorHAnsi"/>
              </w:rPr>
              <w:t>a“ (0,26 p.p) i „prevoz“ (-0,82 p.p</w:t>
            </w:r>
            <w:r w:rsidRPr="00D36BCC">
              <w:rPr>
                <w:rFonts w:asciiTheme="minorHAnsi" w:hAnsiTheme="minorHAnsi"/>
              </w:rPr>
              <w:t>).</w:t>
            </w:r>
            <w:r>
              <w:rPr>
                <w:rFonts w:asciiTheme="minorHAnsi" w:hAnsiTheme="minorHAnsi"/>
              </w:rPr>
              <w:t xml:space="preserve"> Inflacija mjerena HICP-om u februaru bilježi blagi godišnji pad (-0,1%), dok je u odnosu na januar i za period januar-februar, zabilježen rast od 0,3 i 0,1%, respektivno. Cijene proizvođača industrijskih proizvoda u februaru bilježe rast od 0,6% g-n-g, i rast od 0,7% u periodu januar-februar g-n-g. Cijene industrijskih proizvoda iz uvoza u februaru bilježe godišnji pad od 3,4% g-n-g, dok su cijene industrijskih proizvoda za izvoz bile veće za 17,3% g-n-g, usljed rasta cijena osnovnih metala od 21,8%. Inflacija</w:t>
            </w:r>
            <w:r w:rsidRPr="00CF4446">
              <w:rPr>
                <w:rFonts w:asciiTheme="minorHAnsi" w:hAnsiTheme="minorHAnsi"/>
              </w:rPr>
              <w:t xml:space="preserve"> u Evropskoj Uniji u </w:t>
            </w:r>
            <w:r>
              <w:rPr>
                <w:rFonts w:asciiTheme="minorHAnsi" w:hAnsiTheme="minorHAnsi"/>
              </w:rPr>
              <w:t>februaru 2015</w:t>
            </w:r>
            <w:r w:rsidRPr="00CF4446">
              <w:rPr>
                <w:rFonts w:asciiTheme="minorHAnsi" w:hAnsiTheme="minorHAnsi"/>
              </w:rPr>
              <w:t xml:space="preserve">. </w:t>
            </w:r>
            <w:r>
              <w:rPr>
                <w:rFonts w:asciiTheme="minorHAnsi" w:hAnsiTheme="minorHAnsi"/>
              </w:rPr>
              <w:t>g</w:t>
            </w:r>
            <w:r w:rsidRPr="00CF4446">
              <w:rPr>
                <w:rFonts w:asciiTheme="minorHAnsi" w:hAnsiTheme="minorHAnsi"/>
              </w:rPr>
              <w:t>odine</w:t>
            </w:r>
            <w:r>
              <w:rPr>
                <w:rFonts w:asciiTheme="minorHAnsi" w:hAnsiTheme="minorHAnsi"/>
              </w:rPr>
              <w:t xml:space="preserve"> </w:t>
            </w:r>
            <w:r w:rsidRPr="00CF4446">
              <w:rPr>
                <w:rFonts w:asciiTheme="minorHAnsi" w:hAnsiTheme="minorHAnsi"/>
              </w:rPr>
              <w:t xml:space="preserve">iznosila je </w:t>
            </w:r>
            <w:r>
              <w:rPr>
                <w:rFonts w:asciiTheme="minorHAnsi" w:hAnsiTheme="minorHAnsi"/>
              </w:rPr>
              <w:t>-0,2%, dok je u Eu</w:t>
            </w:r>
            <w:r w:rsidRPr="00CF4446">
              <w:rPr>
                <w:rFonts w:asciiTheme="minorHAnsi" w:hAnsiTheme="minorHAnsi"/>
              </w:rPr>
              <w:t xml:space="preserve">zoni </w:t>
            </w:r>
            <w:r>
              <w:rPr>
                <w:rFonts w:asciiTheme="minorHAnsi" w:hAnsiTheme="minorHAnsi"/>
              </w:rPr>
              <w:t>iznosila -0,3</w:t>
            </w:r>
            <w:r w:rsidRPr="00CF4446">
              <w:rPr>
                <w:rFonts w:asciiTheme="minorHAnsi" w:hAnsiTheme="minorHAnsi"/>
              </w:rPr>
              <w:t>%.</w:t>
            </w:r>
          </w:p>
          <w:p w:rsidR="00363A53" w:rsidRDefault="00363A53" w:rsidP="00363A53"/>
          <w:p w:rsidR="00C45B95" w:rsidRDefault="00C45B95" w:rsidP="00C55D2F">
            <w:pPr>
              <w:pBdr>
                <w:top w:val="single" w:sz="4" w:space="1" w:color="auto"/>
              </w:pBdr>
              <w:spacing w:after="0"/>
              <w:jc w:val="both"/>
            </w:pPr>
          </w:p>
        </w:tc>
        <w:tc>
          <w:tcPr>
            <w:tcW w:w="1764" w:type="pct"/>
            <w:vAlign w:val="center"/>
          </w:tcPr>
          <w:p w:rsidR="00C45B95" w:rsidRDefault="00363A53" w:rsidP="00963732">
            <w:r w:rsidRPr="00363A53">
              <w:rPr>
                <w:noProof/>
              </w:rPr>
              <w:drawing>
                <wp:inline distT="0" distB="0" distL="0" distR="0">
                  <wp:extent cx="2268000" cy="1908000"/>
                  <wp:effectExtent l="0" t="0" r="0" b="0"/>
                  <wp:docPr id="6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C45B95" w:rsidTr="001E53D5">
        <w:trPr>
          <w:trHeight w:hRule="exact" w:val="3410"/>
        </w:trPr>
        <w:tc>
          <w:tcPr>
            <w:tcW w:w="3236" w:type="pct"/>
          </w:tcPr>
          <w:p w:rsidR="00000106" w:rsidRPr="00000106" w:rsidRDefault="00000106" w:rsidP="00000106">
            <w:pPr>
              <w:pStyle w:val="ListParagraph"/>
              <w:numPr>
                <w:ilvl w:val="0"/>
                <w:numId w:val="36"/>
              </w:numPr>
              <w:spacing w:after="0"/>
              <w:jc w:val="both"/>
              <w:rPr>
                <w:b/>
              </w:rPr>
            </w:pPr>
            <w:r w:rsidRPr="00000106">
              <w:rPr>
                <w:b/>
              </w:rPr>
              <w:t>Zaposlenost i zarade</w:t>
            </w:r>
          </w:p>
          <w:p w:rsidR="001C6781" w:rsidRDefault="001C6781" w:rsidP="001C6781">
            <w:pPr>
              <w:pBdr>
                <w:top w:val="single" w:sz="4" w:space="1" w:color="auto"/>
              </w:pBdr>
              <w:jc w:val="both"/>
            </w:pPr>
            <w:r>
              <w:t>U prva dva mjeseca kretanja na tržištu rada ukazuju na blago povećanje i zaposlenosti i nezaposlenosti. U februaru 2015. broj zaposlenih je iznosio 170.486 (povećanje od 1,1% g-n-g), a nezaposlenih 35.172 (povećanje 1,2% g-n-g). Stopa nezaposlenosti je povećana sa 14,9% u februaru 2014. na 15,2% u februaru 2015. I dalje je visok rast lica koja prvi put traže zaposlenje i to za uporedni period 7,5%, ali je smanjen broj prijavljenih za zapošljavanje za 6,9%. U perodu januar-februar je oglašeno 6.078 slobodnih radnih mjesta ili oko tri puta više nego u istom periodu prethodne godine. U prva dva mjeseca ove godine izdato je 4.878 radnih dozvola za strance ili 30,7% više nego u uporednom periodu prethodne godine. Prosječna zarada u februaru 2015. je iznosila 732€. Prosječna neto zarada je iznosila 483€, a realno je povećana 0,3% g-n-g.</w:t>
            </w:r>
          </w:p>
          <w:p w:rsidR="007F5F68" w:rsidRDefault="007F5F68" w:rsidP="00F35863">
            <w:pPr>
              <w:jc w:val="both"/>
            </w:pPr>
          </w:p>
        </w:tc>
        <w:tc>
          <w:tcPr>
            <w:tcW w:w="1764" w:type="pct"/>
            <w:vAlign w:val="center"/>
          </w:tcPr>
          <w:p w:rsidR="00C45B95" w:rsidRDefault="00A85168" w:rsidP="00A90070">
            <w:pPr>
              <w:jc w:val="center"/>
            </w:pPr>
            <w:r w:rsidRPr="00A85168">
              <w:rPr>
                <w:noProof/>
              </w:rPr>
              <w:drawing>
                <wp:inline distT="0" distB="0" distL="0" distR="0">
                  <wp:extent cx="2119505" cy="1960938"/>
                  <wp:effectExtent l="0" t="0" r="0" b="0"/>
                  <wp:docPr id="8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C45B95" w:rsidTr="003A2AF5">
        <w:trPr>
          <w:trHeight w:hRule="exact" w:val="3318"/>
        </w:trPr>
        <w:tc>
          <w:tcPr>
            <w:tcW w:w="3236" w:type="pct"/>
          </w:tcPr>
          <w:p w:rsidR="00FF2790" w:rsidRDefault="00FF2790" w:rsidP="00000106">
            <w:pPr>
              <w:pStyle w:val="ListParagraph"/>
              <w:numPr>
                <w:ilvl w:val="0"/>
                <w:numId w:val="36"/>
              </w:numPr>
              <w:spacing w:after="0"/>
              <w:ind w:left="0" w:hanging="11"/>
              <w:jc w:val="both"/>
              <w:rPr>
                <w:rFonts w:eastAsia="Times New Roman"/>
                <w:b/>
                <w:noProof/>
                <w:color w:val="000000"/>
              </w:rPr>
            </w:pPr>
            <w:r w:rsidRPr="00ED19D2">
              <w:rPr>
                <w:b/>
              </w:rPr>
              <w:lastRenderedPageBreak/>
              <w:t>Javne finansije</w:t>
            </w:r>
          </w:p>
          <w:p w:rsidR="001C6781" w:rsidRPr="004E6ACE" w:rsidRDefault="001C6781" w:rsidP="001C6781">
            <w:pPr>
              <w:pStyle w:val="ListParagraph"/>
              <w:pBdr>
                <w:top w:val="single" w:sz="4" w:space="1" w:color="auto"/>
              </w:pBdr>
              <w:spacing w:after="0" w:line="240" w:lineRule="auto"/>
              <w:ind w:left="0" w:hanging="11"/>
              <w:jc w:val="both"/>
              <w:rPr>
                <w:szCs w:val="22"/>
              </w:rPr>
            </w:pPr>
            <w:r w:rsidRPr="004E6ACE">
              <w:rPr>
                <w:b/>
                <w:bCs/>
                <w:szCs w:val="22"/>
                <w:lang w:val="sr-Latn-CS"/>
              </w:rPr>
              <w:t>Izvorni prihodi budžeta Crne Gore u februaru 2015. godine iznosili su 86,</w:t>
            </w:r>
            <w:r w:rsidR="00BD145B">
              <w:rPr>
                <w:b/>
                <w:bCs/>
                <w:szCs w:val="22"/>
                <w:lang w:val="sr-Latn-CS"/>
              </w:rPr>
              <w:t>8</w:t>
            </w:r>
            <w:r w:rsidRPr="004E6ACE">
              <w:rPr>
                <w:b/>
                <w:bCs/>
                <w:szCs w:val="22"/>
                <w:lang w:val="sr-Latn-CS"/>
              </w:rPr>
              <w:t xml:space="preserve"> mil. € i  veći su za 5,</w:t>
            </w:r>
            <w:r w:rsidR="00BD145B">
              <w:rPr>
                <w:b/>
                <w:bCs/>
                <w:szCs w:val="22"/>
                <w:lang w:val="sr-Latn-CS"/>
              </w:rPr>
              <w:t>6</w:t>
            </w:r>
            <w:r w:rsidR="00CE4117">
              <w:rPr>
                <w:b/>
                <w:bCs/>
                <w:szCs w:val="22"/>
                <w:lang w:val="sr-Latn-CS"/>
              </w:rPr>
              <w:t xml:space="preserve"> </w:t>
            </w:r>
            <w:r w:rsidRPr="004E6ACE">
              <w:rPr>
                <w:b/>
                <w:bCs/>
                <w:szCs w:val="22"/>
                <w:lang w:val="sr-Latn-CS"/>
              </w:rPr>
              <w:t xml:space="preserve">% u odnosu na februar 2014. </w:t>
            </w:r>
            <w:r w:rsidR="002C095E">
              <w:rPr>
                <w:b/>
                <w:bCs/>
                <w:szCs w:val="22"/>
                <w:lang w:val="sr-Latn-CS"/>
              </w:rPr>
              <w:t>godine</w:t>
            </w:r>
            <w:r w:rsidRPr="004E6ACE">
              <w:rPr>
                <w:b/>
                <w:bCs/>
                <w:szCs w:val="22"/>
                <w:lang w:val="sr-Latn-CS"/>
              </w:rPr>
              <w:t xml:space="preserve">, </w:t>
            </w:r>
            <w:r>
              <w:rPr>
                <w:b/>
                <w:bCs/>
                <w:szCs w:val="22"/>
                <w:lang w:val="sr-Latn-CS"/>
              </w:rPr>
              <w:t>a</w:t>
            </w:r>
            <w:r w:rsidRPr="004E6ACE">
              <w:rPr>
                <w:b/>
                <w:bCs/>
                <w:szCs w:val="22"/>
                <w:lang w:val="sr-Latn-CS"/>
              </w:rPr>
              <w:t xml:space="preserve"> u odnosu na plan za 6,</w:t>
            </w:r>
            <w:r w:rsidR="00BD145B">
              <w:rPr>
                <w:b/>
                <w:bCs/>
                <w:szCs w:val="22"/>
                <w:lang w:val="sr-Latn-CS"/>
              </w:rPr>
              <w:t>7</w:t>
            </w:r>
            <w:r w:rsidRPr="004E6ACE">
              <w:rPr>
                <w:b/>
                <w:bCs/>
                <w:szCs w:val="22"/>
                <w:lang w:val="sr-Latn-CS"/>
              </w:rPr>
              <w:t>%.</w:t>
            </w:r>
            <w:r w:rsidRPr="004E6ACE">
              <w:rPr>
                <w:szCs w:val="22"/>
                <w:lang w:val="sr-Latn-CS"/>
              </w:rPr>
              <w:t> </w:t>
            </w:r>
            <w:r w:rsidRPr="004E6ACE">
              <w:rPr>
                <w:szCs w:val="22"/>
              </w:rPr>
              <w:t>Naplata prihoda po osnovu akciza bilježi rast od 18,6%,</w:t>
            </w:r>
            <w:r>
              <w:rPr>
                <w:szCs w:val="22"/>
              </w:rPr>
              <w:t xml:space="preserve"> carine 11,0%, porezi i doprinosi na zarade 5,2%, i</w:t>
            </w:r>
            <w:r w:rsidRPr="004E6ACE">
              <w:rPr>
                <w:szCs w:val="22"/>
              </w:rPr>
              <w:t xml:space="preserve"> PDV za 4,3% u odnosu na isti mjesec prošle godine. To je rezultat borbe protiv sive eko</w:t>
            </w:r>
            <w:r>
              <w:rPr>
                <w:szCs w:val="22"/>
              </w:rPr>
              <w:t>nomije posebno na tržištu rada i</w:t>
            </w:r>
            <w:r w:rsidR="000B466A">
              <w:rPr>
                <w:szCs w:val="22"/>
              </w:rPr>
              <w:t xml:space="preserve"> akciznih proizvoda,</w:t>
            </w:r>
            <w:r w:rsidRPr="004E6ACE">
              <w:rPr>
                <w:szCs w:val="22"/>
              </w:rPr>
              <w:t xml:space="preserve">samim </w:t>
            </w:r>
            <w:r>
              <w:rPr>
                <w:szCs w:val="22"/>
              </w:rPr>
              <w:t>tim porasta poreske discipline</w:t>
            </w:r>
            <w:r w:rsidR="000B466A">
              <w:rPr>
                <w:szCs w:val="22"/>
              </w:rPr>
              <w:t>, ali</w:t>
            </w:r>
            <w:r w:rsidR="00343EC3">
              <w:rPr>
                <w:szCs w:val="22"/>
              </w:rPr>
              <w:t xml:space="preserve"> i</w:t>
            </w:r>
            <w:r w:rsidR="000B466A">
              <w:rPr>
                <w:szCs w:val="22"/>
              </w:rPr>
              <w:t xml:space="preserve"> odraz rasta u realnom sektoru</w:t>
            </w:r>
            <w:r>
              <w:rPr>
                <w:szCs w:val="22"/>
              </w:rPr>
              <w:t xml:space="preserve">. </w:t>
            </w:r>
            <w:r w:rsidRPr="004E6ACE">
              <w:rPr>
                <w:b/>
                <w:szCs w:val="22"/>
              </w:rPr>
              <w:t>Izdaci budžeta</w:t>
            </w:r>
            <w:r>
              <w:rPr>
                <w:szCs w:val="22"/>
              </w:rPr>
              <w:t xml:space="preserve"> u februaru 2015</w:t>
            </w:r>
            <w:r w:rsidR="002C095E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 w:rsidRPr="004E6ACE">
              <w:rPr>
                <w:szCs w:val="22"/>
              </w:rPr>
              <w:t xml:space="preserve">iznosili su </w:t>
            </w:r>
            <w:r w:rsidR="00BD145B">
              <w:rPr>
                <w:szCs w:val="22"/>
              </w:rPr>
              <w:t>108,1</w:t>
            </w:r>
            <w:r w:rsidRPr="004E6ACE">
              <w:rPr>
                <w:szCs w:val="22"/>
              </w:rPr>
              <w:t xml:space="preserve"> mil. € i niži su u odnosu na plan za </w:t>
            </w:r>
            <w:r w:rsidR="00BD145B">
              <w:rPr>
                <w:szCs w:val="22"/>
              </w:rPr>
              <w:t>17,1</w:t>
            </w:r>
            <w:r w:rsidRPr="004E6ACE">
              <w:rPr>
                <w:szCs w:val="22"/>
              </w:rPr>
              <w:t xml:space="preserve">%. </w:t>
            </w:r>
            <w:r w:rsidRPr="004E6ACE">
              <w:rPr>
                <w:b/>
                <w:szCs w:val="22"/>
              </w:rPr>
              <w:t xml:space="preserve">Deficit budžeta </w:t>
            </w:r>
            <w:r w:rsidRPr="004E6ACE">
              <w:rPr>
                <w:szCs w:val="22"/>
              </w:rPr>
              <w:t>u februa</w:t>
            </w:r>
            <w:r>
              <w:rPr>
                <w:szCs w:val="22"/>
              </w:rPr>
              <w:t xml:space="preserve">ru 2015. iznosio je </w:t>
            </w:r>
            <w:r w:rsidR="00BD145B">
              <w:rPr>
                <w:szCs w:val="22"/>
              </w:rPr>
              <w:t>21,3</w:t>
            </w:r>
            <w:r>
              <w:rPr>
                <w:szCs w:val="22"/>
              </w:rPr>
              <w:t xml:space="preserve"> mil € i</w:t>
            </w:r>
            <w:r w:rsidRPr="004E6ACE">
              <w:rPr>
                <w:szCs w:val="22"/>
              </w:rPr>
              <w:t xml:space="preserve"> niži je u odnosu na plan za </w:t>
            </w:r>
            <w:r w:rsidR="00BD145B">
              <w:rPr>
                <w:szCs w:val="22"/>
              </w:rPr>
              <w:t>56,6</w:t>
            </w:r>
            <w:r w:rsidRPr="004E6ACE">
              <w:rPr>
                <w:szCs w:val="22"/>
              </w:rPr>
              <w:t xml:space="preserve">% </w:t>
            </w:r>
            <w:r w:rsidR="000959C4">
              <w:rPr>
                <w:szCs w:val="22"/>
              </w:rPr>
              <w:t>.</w:t>
            </w:r>
            <w:r w:rsidRPr="000959C4">
              <w:rPr>
                <w:b/>
                <w:szCs w:val="22"/>
              </w:rPr>
              <w:t>Državni dug</w:t>
            </w:r>
            <w:r w:rsidRPr="004E6ACE">
              <w:rPr>
                <w:szCs w:val="22"/>
              </w:rPr>
              <w:t xml:space="preserve"> na kraju </w:t>
            </w:r>
            <w:r w:rsidR="00E06CF6">
              <w:rPr>
                <w:szCs w:val="22"/>
              </w:rPr>
              <w:t>decembra</w:t>
            </w:r>
            <w:r w:rsidRPr="004E6ACE">
              <w:rPr>
                <w:szCs w:val="22"/>
              </w:rPr>
              <w:t xml:space="preserve"> 2014. </w:t>
            </w:r>
            <w:r w:rsidR="003F3365">
              <w:rPr>
                <w:szCs w:val="22"/>
              </w:rPr>
              <w:t xml:space="preserve">(uključujući depozite) </w:t>
            </w:r>
            <w:r w:rsidRPr="004E6ACE">
              <w:rPr>
                <w:szCs w:val="22"/>
              </w:rPr>
              <w:t xml:space="preserve">iznosio je </w:t>
            </w:r>
            <w:r w:rsidR="000959C4">
              <w:rPr>
                <w:szCs w:val="22"/>
              </w:rPr>
              <w:t>1.893,4</w:t>
            </w:r>
            <w:r w:rsidRPr="004E6ACE">
              <w:rPr>
                <w:szCs w:val="22"/>
              </w:rPr>
              <w:t xml:space="preserve"> mil.€, što predstavlja </w:t>
            </w:r>
            <w:r w:rsidR="00E06CF6">
              <w:rPr>
                <w:szCs w:val="22"/>
              </w:rPr>
              <w:t>55</w:t>
            </w:r>
            <w:r w:rsidRPr="004E6ACE">
              <w:rPr>
                <w:szCs w:val="22"/>
              </w:rPr>
              <w:t>,8% procijenjenog BDP-a, od č</w:t>
            </w:r>
            <w:r w:rsidR="00E06CF6">
              <w:rPr>
                <w:szCs w:val="22"/>
              </w:rPr>
              <w:t xml:space="preserve">ega se na spoljni dug odnosi </w:t>
            </w:r>
            <w:r w:rsidRPr="004E6ACE">
              <w:rPr>
                <w:szCs w:val="22"/>
              </w:rPr>
              <w:t xml:space="preserve"> </w:t>
            </w:r>
            <w:r w:rsidR="00E06CF6">
              <w:rPr>
                <w:szCs w:val="22"/>
              </w:rPr>
              <w:t>1.5</w:t>
            </w:r>
            <w:r w:rsidR="005227A7">
              <w:rPr>
                <w:szCs w:val="22"/>
              </w:rPr>
              <w:t>61,7mil€, unutrašnji 381,2mil€ i depozite 49,5mil€(u</w:t>
            </w:r>
            <w:r w:rsidR="00E06CF6">
              <w:rPr>
                <w:szCs w:val="22"/>
              </w:rPr>
              <w:t xml:space="preserve"> skladu sa Zakonom o budžetu I fiskalnoj odgovornosti)</w:t>
            </w:r>
            <w:r w:rsidRPr="004E6ACE">
              <w:rPr>
                <w:szCs w:val="22"/>
              </w:rPr>
              <w:t>.</w:t>
            </w:r>
          </w:p>
          <w:p w:rsidR="00C45B95" w:rsidRDefault="00C45B95" w:rsidP="00BC1B61">
            <w:pPr>
              <w:pStyle w:val="ListParagraph"/>
              <w:pBdr>
                <w:top w:val="single" w:sz="4" w:space="1" w:color="auto"/>
              </w:pBdr>
              <w:spacing w:after="0"/>
              <w:ind w:left="0" w:hanging="11"/>
              <w:jc w:val="both"/>
            </w:pPr>
          </w:p>
        </w:tc>
        <w:tc>
          <w:tcPr>
            <w:tcW w:w="1764" w:type="pct"/>
            <w:vAlign w:val="center"/>
          </w:tcPr>
          <w:p w:rsidR="00C45B95" w:rsidRDefault="00BD145B" w:rsidP="001E53D5">
            <w:r w:rsidRPr="00BD145B">
              <w:rPr>
                <w:noProof/>
              </w:rPr>
              <w:drawing>
                <wp:inline distT="0" distB="0" distL="0" distR="0">
                  <wp:extent cx="2276475" cy="2066925"/>
                  <wp:effectExtent l="0" t="0" r="0" b="0"/>
                  <wp:docPr id="16" name="Chart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C45B95" w:rsidTr="00C13F76">
        <w:trPr>
          <w:trHeight w:hRule="exact" w:val="4540"/>
        </w:trPr>
        <w:tc>
          <w:tcPr>
            <w:tcW w:w="3236" w:type="pct"/>
          </w:tcPr>
          <w:p w:rsidR="006E7A12" w:rsidRPr="006E7A12" w:rsidRDefault="006E7A12" w:rsidP="006E7A12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b/>
                <w:noProof/>
              </w:rPr>
            </w:pPr>
            <w:r w:rsidRPr="006E7A12">
              <w:rPr>
                <w:b/>
                <w:noProof/>
              </w:rPr>
              <w:t>Monetarni sektor</w:t>
            </w:r>
          </w:p>
          <w:p w:rsidR="00C45B95" w:rsidRDefault="001C6781" w:rsidP="003A2AF5">
            <w:pPr>
              <w:pBdr>
                <w:top w:val="single" w:sz="4" w:space="1" w:color="auto"/>
              </w:pBdr>
              <w:spacing w:after="0" w:line="240" w:lineRule="auto"/>
              <w:jc w:val="both"/>
            </w:pPr>
            <w:r>
              <w:rPr>
                <w:b/>
                <w:noProof/>
              </w:rPr>
              <w:t>Februarska kretanja, u monetarnoj oblasti, je obilježi</w:t>
            </w:r>
            <w:r w:rsidRPr="00C20FA8">
              <w:rPr>
                <w:b/>
                <w:noProof/>
              </w:rPr>
              <w:t>o</w:t>
            </w:r>
            <w:r>
              <w:rPr>
                <w:b/>
                <w:noProof/>
              </w:rPr>
              <w:t xml:space="preserve"> blagi pad</w:t>
            </w:r>
            <w:r w:rsidRPr="00C20FA8">
              <w:rPr>
                <w:b/>
                <w:noProof/>
              </w:rPr>
              <w:t xml:space="preserve"> ukupnih depozita </w:t>
            </w:r>
            <w:r>
              <w:rPr>
                <w:b/>
                <w:noProof/>
              </w:rPr>
              <w:t>i rast kreditne aktivnosti na mjesečnom nivou.</w:t>
            </w:r>
            <w:r w:rsidRPr="00C20FA8">
              <w:rPr>
                <w:b/>
                <w:noProof/>
              </w:rPr>
              <w:t xml:space="preserve"> </w:t>
            </w:r>
            <w:r w:rsidRPr="00C20FA8">
              <w:rPr>
                <w:noProof/>
              </w:rPr>
              <w:t xml:space="preserve">Ukupni </w:t>
            </w:r>
            <w:r w:rsidRPr="00C20FA8">
              <w:rPr>
                <w:b/>
                <w:noProof/>
              </w:rPr>
              <w:t>depoziti</w:t>
            </w:r>
            <w:r w:rsidRPr="00C20FA8">
              <w:rPr>
                <w:noProof/>
              </w:rPr>
              <w:t xml:space="preserve"> su iznosili </w:t>
            </w:r>
            <w:r>
              <w:rPr>
                <w:noProof/>
              </w:rPr>
              <w:t>2.295,4</w:t>
            </w:r>
            <w:r w:rsidRPr="00C20FA8">
              <w:rPr>
                <w:noProof/>
              </w:rPr>
              <w:t xml:space="preserve"> mil.€</w:t>
            </w:r>
            <w:r>
              <w:rPr>
                <w:noProof/>
              </w:rPr>
              <w:t>,</w:t>
            </w:r>
            <w:r w:rsidRPr="00C20FA8">
              <w:rPr>
                <w:noProof/>
              </w:rPr>
              <w:t xml:space="preserve"> </w:t>
            </w:r>
            <w:r>
              <w:rPr>
                <w:noProof/>
              </w:rPr>
              <w:t xml:space="preserve">što predstavlja smanjenje od 0,7% u odnosu na prethodni mjesec, dok je na godišnjem nivou ostvaren rast od 9,2%. </w:t>
            </w:r>
            <w:r w:rsidRPr="00C20FA8">
              <w:rPr>
                <w:noProof/>
              </w:rPr>
              <w:t xml:space="preserve">Ukupno odobreni </w:t>
            </w:r>
            <w:r w:rsidRPr="00C20FA8">
              <w:rPr>
                <w:b/>
                <w:noProof/>
              </w:rPr>
              <w:t>krediti</w:t>
            </w:r>
            <w:r w:rsidRPr="00C20FA8">
              <w:rPr>
                <w:noProof/>
              </w:rPr>
              <w:t xml:space="preserve"> i ostala potraživanja su krajem </w:t>
            </w:r>
            <w:r>
              <w:rPr>
                <w:noProof/>
              </w:rPr>
              <w:t>februara</w:t>
            </w:r>
            <w:r w:rsidRPr="00C20FA8">
              <w:rPr>
                <w:noProof/>
              </w:rPr>
              <w:t xml:space="preserve"> iznosili </w:t>
            </w:r>
            <w:r>
              <w:rPr>
                <w:noProof/>
              </w:rPr>
              <w:t>2.375,2</w:t>
            </w:r>
            <w:r w:rsidRPr="00C20FA8">
              <w:rPr>
                <w:noProof/>
              </w:rPr>
              <w:t xml:space="preserve"> mil.€ i </w:t>
            </w:r>
            <w:r>
              <w:rPr>
                <w:noProof/>
              </w:rPr>
              <w:t>povećani su za 0,8%</w:t>
            </w:r>
            <w:r w:rsidRPr="00C20FA8">
              <w:rPr>
                <w:noProof/>
              </w:rPr>
              <w:t xml:space="preserve"> u odnosu na prethodni mjesec</w:t>
            </w:r>
            <w:r>
              <w:rPr>
                <w:noProof/>
              </w:rPr>
              <w:t xml:space="preserve">, dok su na godišnjem nivou smanjeni za 1,6%. Posmatrano po sektorima, na godišnjem nivou krediti stanovništva bilježe rast od 1,9%, dok su krediti privrede ostvarili pad od 2,7% . Iako postoji tendencija smanjenja </w:t>
            </w:r>
            <w:r w:rsidRPr="002436B0">
              <w:rPr>
                <w:b/>
                <w:noProof/>
              </w:rPr>
              <w:t xml:space="preserve">kamatnih </w:t>
            </w:r>
            <w:r>
              <w:rPr>
                <w:noProof/>
              </w:rPr>
              <w:t xml:space="preserve">stopa, njihov pad još uvijek nije dostigao očekivani nivo.Tako je prosječno ponderisana kamatna stopa na ukupne kredite iznosila 9,17%, što predstavlja pad od 0,03 p.p.na mjesečnom nivou, dok je u odnosu na februar prethodne godine smanjena za 0,25 p.p. </w:t>
            </w:r>
            <w:r w:rsidRPr="00C20FA8">
              <w:rPr>
                <w:noProof/>
              </w:rPr>
              <w:t xml:space="preserve">Poslovni ambijent značajno otežava visok stepen </w:t>
            </w:r>
            <w:r w:rsidRPr="00C20FA8">
              <w:rPr>
                <w:b/>
                <w:noProof/>
              </w:rPr>
              <w:t>nelikvidnosti privrede</w:t>
            </w:r>
            <w:r w:rsidRPr="00C20FA8">
              <w:rPr>
                <w:noProof/>
              </w:rPr>
              <w:t xml:space="preserve"> i rastući nivo zaduženosti. U </w:t>
            </w:r>
            <w:r>
              <w:rPr>
                <w:noProof/>
              </w:rPr>
              <w:t xml:space="preserve">februaru </w:t>
            </w:r>
            <w:r w:rsidRPr="00C20FA8">
              <w:rPr>
                <w:noProof/>
              </w:rPr>
              <w:t xml:space="preserve">su bila u blokadi </w:t>
            </w:r>
            <w:r>
              <w:rPr>
                <w:noProof/>
              </w:rPr>
              <w:t>14.370</w:t>
            </w:r>
            <w:r w:rsidRPr="00C20FA8">
              <w:rPr>
                <w:noProof/>
              </w:rPr>
              <w:t xml:space="preserve"> izvršna dužnika, što na mjesečnom nivou predstavlja povećanje od </w:t>
            </w:r>
            <w:r>
              <w:rPr>
                <w:noProof/>
              </w:rPr>
              <w:t>0,75</w:t>
            </w:r>
            <w:r w:rsidRPr="00C20FA8">
              <w:rPr>
                <w:noProof/>
              </w:rPr>
              <w:t xml:space="preserve">%. Pri tome, ukupan iznos duga, po osnovu koga je izvršeno blokiranje računa, je iznosio </w:t>
            </w:r>
            <w:r>
              <w:rPr>
                <w:noProof/>
              </w:rPr>
              <w:t>512,8</w:t>
            </w:r>
            <w:r w:rsidRPr="00C20FA8">
              <w:rPr>
                <w:noProof/>
              </w:rPr>
              <w:t xml:space="preserve"> mil.€ i povećan je za </w:t>
            </w:r>
            <w:r>
              <w:rPr>
                <w:noProof/>
              </w:rPr>
              <w:t>1,87</w:t>
            </w:r>
            <w:r w:rsidRPr="00C20FA8">
              <w:rPr>
                <w:noProof/>
              </w:rPr>
              <w:t xml:space="preserve">% u odnosu na prethodni mjesec i </w:t>
            </w:r>
            <w:r>
              <w:rPr>
                <w:noProof/>
              </w:rPr>
              <w:t>10,8%</w:t>
            </w:r>
            <w:r w:rsidRPr="00C20FA8">
              <w:rPr>
                <w:noProof/>
              </w:rPr>
              <w:t xml:space="preserve"> na godišnjem nivou</w:t>
            </w:r>
            <w:r>
              <w:rPr>
                <w:noProof/>
              </w:rPr>
              <w:t>.</w:t>
            </w:r>
          </w:p>
        </w:tc>
        <w:tc>
          <w:tcPr>
            <w:tcW w:w="1764" w:type="pct"/>
            <w:vAlign w:val="center"/>
          </w:tcPr>
          <w:p w:rsidR="00C45B95" w:rsidRDefault="00812E7C" w:rsidP="001E53D5">
            <w:r w:rsidRPr="00812E7C">
              <w:rPr>
                <w:noProof/>
              </w:rPr>
              <w:drawing>
                <wp:inline distT="0" distB="0" distL="0" distR="0">
                  <wp:extent cx="2409245" cy="2480807"/>
                  <wp:effectExtent l="0" t="0" r="0" b="0"/>
                  <wp:docPr id="4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C45B95" w:rsidTr="00E33A62">
        <w:trPr>
          <w:trHeight w:hRule="exact" w:val="7224"/>
        </w:trPr>
        <w:tc>
          <w:tcPr>
            <w:tcW w:w="3236" w:type="pct"/>
          </w:tcPr>
          <w:p w:rsidR="006E7A12" w:rsidRPr="006E7A12" w:rsidRDefault="006E7A12" w:rsidP="00E70D2B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b/>
                <w:noProof/>
                <w:color w:val="000000"/>
              </w:rPr>
            </w:pPr>
            <w:r w:rsidRPr="006E7A12">
              <w:rPr>
                <w:b/>
                <w:noProof/>
                <w:color w:val="000000"/>
              </w:rPr>
              <w:t>Spoljnotrgovinska razmjena</w:t>
            </w:r>
          </w:p>
          <w:p w:rsidR="001C6781" w:rsidRDefault="001C6781" w:rsidP="001C6781">
            <w:pPr>
              <w:pBdr>
                <w:top w:val="single" w:sz="4" w:space="1" w:color="auto"/>
              </w:pBdr>
              <w:spacing w:line="240" w:lineRule="auto"/>
              <w:jc w:val="both"/>
              <w:rPr>
                <w:rFonts w:asciiTheme="minorHAnsi" w:hAnsiTheme="minorHAnsi" w:cstheme="minorHAnsi"/>
                <w:lang w:val="sr-Latn-CS"/>
              </w:rPr>
            </w:pPr>
            <w:r>
              <w:rPr>
                <w:b/>
                <w:noProof/>
                <w:color w:val="000000"/>
              </w:rPr>
              <w:t>Kretanja u eksternom sektoru za prva dva mjeseca</w:t>
            </w:r>
            <w:r w:rsidRPr="00F5230D">
              <w:rPr>
                <w:b/>
                <w:noProof/>
                <w:color w:val="000000"/>
                <w:lang w:val="sr-Latn-CS"/>
              </w:rPr>
              <w:t xml:space="preserve"> 201</w:t>
            </w:r>
            <w:r>
              <w:rPr>
                <w:b/>
                <w:noProof/>
                <w:color w:val="000000"/>
                <w:lang w:val="sr-Latn-CS"/>
              </w:rPr>
              <w:t>5</w:t>
            </w:r>
            <w:r w:rsidRPr="00F5230D">
              <w:rPr>
                <w:b/>
                <w:noProof/>
                <w:color w:val="000000"/>
                <w:lang w:val="sr-Latn-CS"/>
              </w:rPr>
              <w:t xml:space="preserve">. </w:t>
            </w:r>
            <w:r>
              <w:rPr>
                <w:b/>
                <w:noProof/>
                <w:color w:val="000000"/>
                <w:lang w:val="sr-Latn-CS"/>
              </w:rPr>
              <w:t xml:space="preserve">karakteriše rastući </w:t>
            </w:r>
            <w:r w:rsidRPr="00F5230D">
              <w:rPr>
                <w:b/>
                <w:noProof/>
                <w:color w:val="000000"/>
                <w:lang w:val="sr-Latn-CS"/>
              </w:rPr>
              <w:t>trend izvoza</w:t>
            </w:r>
            <w:r>
              <w:rPr>
                <w:b/>
                <w:noProof/>
                <w:color w:val="000000"/>
                <w:lang w:val="sr-Latn-CS"/>
              </w:rPr>
              <w:t xml:space="preserve"> i uvoza, u uslovima</w:t>
            </w:r>
            <w:r w:rsidRPr="00E01A87">
              <w:rPr>
                <w:b/>
                <w:noProof/>
                <w:color w:val="000000"/>
                <w:lang w:val="sr-Latn-CS"/>
              </w:rPr>
              <w:t xml:space="preserve"> </w:t>
            </w:r>
            <w:r>
              <w:rPr>
                <w:b/>
                <w:noProof/>
                <w:color w:val="000000"/>
                <w:lang w:val="sr-Latn-CS"/>
              </w:rPr>
              <w:t>povećane izvozne proizvodnje metalske industrije i visoke zavisnosti od uvoza hrane.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4375C6">
              <w:rPr>
                <w:rFonts w:asciiTheme="minorHAnsi" w:hAnsiTheme="minorHAnsi" w:cstheme="minorHAnsi"/>
              </w:rPr>
              <w:t>Ukupna robna ra</w:t>
            </w:r>
            <w:r w:rsidRPr="004375C6">
              <w:rPr>
                <w:rFonts w:asciiTheme="minorHAnsi" w:hAnsiTheme="minorHAnsi" w:cstheme="minorHAnsi"/>
                <w:lang w:val="sr-Latn-CS"/>
              </w:rPr>
              <w:t xml:space="preserve">zmjena u periodu </w:t>
            </w:r>
            <w:r w:rsidRPr="00030DAB">
              <w:rPr>
                <w:rFonts w:asciiTheme="minorHAnsi" w:hAnsiTheme="minorHAnsi" w:cstheme="minorHAnsi"/>
                <w:lang w:val="sr-Latn-CS"/>
              </w:rPr>
              <w:t>januar</w:t>
            </w:r>
            <w:r>
              <w:rPr>
                <w:rFonts w:asciiTheme="minorHAnsi" w:hAnsiTheme="minorHAnsi" w:cstheme="minorHAnsi"/>
                <w:lang w:val="sr-Latn-CS"/>
              </w:rPr>
              <w:t>-</w:t>
            </w:r>
            <w:r w:rsidRPr="00030DAB">
              <w:rPr>
                <w:rFonts w:asciiTheme="minorHAnsi" w:hAnsiTheme="minorHAnsi" w:cstheme="minorHAnsi"/>
                <w:lang w:val="sr-Latn-CS"/>
              </w:rPr>
              <w:t>februar 2015.</w:t>
            </w:r>
            <w:r w:rsidRPr="004375C6">
              <w:rPr>
                <w:rFonts w:asciiTheme="minorHAnsi" w:hAnsiTheme="minorHAnsi" w:cstheme="minorHAnsi"/>
                <w:b/>
                <w:lang w:val="sr-Latn-CS"/>
              </w:rPr>
              <w:t xml:space="preserve"> </w:t>
            </w:r>
            <w:r w:rsidRPr="004375C6">
              <w:rPr>
                <w:rFonts w:asciiTheme="minorHAnsi" w:hAnsiTheme="minorHAnsi" w:cstheme="minorHAnsi"/>
                <w:lang w:val="sr-Latn-CS"/>
              </w:rPr>
              <w:t>iznos</w:t>
            </w:r>
            <w:r>
              <w:rPr>
                <w:rFonts w:asciiTheme="minorHAnsi" w:hAnsiTheme="minorHAnsi" w:cstheme="minorHAnsi"/>
                <w:lang w:val="sr-Latn-CS"/>
              </w:rPr>
              <w:t xml:space="preserve">ila je 255,8mil.€, što ukazuje </w:t>
            </w:r>
            <w:r w:rsidRPr="004375C6">
              <w:rPr>
                <w:rFonts w:asciiTheme="minorHAnsi" w:hAnsiTheme="minorHAnsi" w:cstheme="minorHAnsi"/>
                <w:lang w:val="sr-Latn-CS"/>
              </w:rPr>
              <w:t>na rast od 6,4%</w:t>
            </w:r>
            <w:r>
              <w:rPr>
                <w:rFonts w:asciiTheme="minorHAnsi" w:hAnsiTheme="minorHAnsi" w:cstheme="minorHAnsi"/>
                <w:lang w:val="sr-Latn-CS"/>
              </w:rPr>
              <w:t>.</w:t>
            </w:r>
            <w:r w:rsidRPr="004375C6">
              <w:rPr>
                <w:rFonts w:asciiTheme="minorHAnsi" w:hAnsiTheme="minorHAnsi" w:cstheme="minorHAnsi"/>
                <w:lang w:val="sr-Latn-CS"/>
              </w:rPr>
              <w:t xml:space="preserve"> Spoljnotrgovinski deficit iznosio je 157,2 mil.€ i veći je za</w:t>
            </w:r>
            <w:r w:rsidRPr="004375C6">
              <w:rPr>
                <w:rFonts w:asciiTheme="minorHAnsi" w:hAnsiTheme="minorHAnsi" w:cstheme="minorHAnsi"/>
              </w:rPr>
              <w:t xml:space="preserve"> 4,4%</w:t>
            </w:r>
            <w:r>
              <w:rPr>
                <w:rFonts w:asciiTheme="minorHAnsi" w:hAnsiTheme="minorHAnsi" w:cstheme="minorHAnsi"/>
              </w:rPr>
              <w:t>.</w:t>
            </w:r>
            <w:r w:rsidRPr="004375C6">
              <w:rPr>
                <w:rFonts w:asciiTheme="minorHAnsi" w:hAnsiTheme="minorHAnsi" w:cstheme="minorHAnsi"/>
              </w:rPr>
              <w:t xml:space="preserve"> Povećanje deficita posljedica je većeg nominalnog rasta uvoza roba, </w:t>
            </w:r>
            <w:r>
              <w:rPr>
                <w:rFonts w:asciiTheme="minorHAnsi" w:hAnsiTheme="minorHAnsi" w:cstheme="minorHAnsi"/>
              </w:rPr>
              <w:t xml:space="preserve">iako </w:t>
            </w:r>
            <w:r w:rsidRPr="004375C6">
              <w:rPr>
                <w:rFonts w:asciiTheme="minorHAnsi" w:hAnsiTheme="minorHAnsi" w:cstheme="minorHAnsi"/>
              </w:rPr>
              <w:t>je izvoz zabilježio procentualno veći rast od uvoza. Ukupan i</w:t>
            </w:r>
            <w:r w:rsidRPr="004375C6">
              <w:rPr>
                <w:rFonts w:asciiTheme="minorHAnsi" w:hAnsiTheme="minorHAnsi" w:cstheme="minorHAnsi"/>
                <w:lang w:val="sr-Latn-CS"/>
              </w:rPr>
              <w:t>zvoz</w:t>
            </w:r>
            <w:r>
              <w:rPr>
                <w:rFonts w:asciiTheme="minorHAnsi" w:hAnsiTheme="minorHAnsi" w:cstheme="minorHAnsi"/>
              </w:rPr>
              <w:t xml:space="preserve"> roba iznosio je </w:t>
            </w:r>
            <w:r w:rsidRPr="004375C6">
              <w:rPr>
                <w:rFonts w:asciiTheme="minorHAnsi" w:hAnsiTheme="minorHAnsi" w:cstheme="minorHAnsi"/>
              </w:rPr>
              <w:t>49,1mil.€, što je za 9,6% više</w:t>
            </w:r>
            <w:r w:rsidR="002C095E">
              <w:rPr>
                <w:rFonts w:asciiTheme="minorHAnsi" w:hAnsiTheme="minorHAnsi" w:cstheme="minorHAnsi"/>
              </w:rPr>
              <w:t>.</w:t>
            </w:r>
            <w:r w:rsidRPr="004375C6">
              <w:rPr>
                <w:rFonts w:asciiTheme="minorHAnsi" w:hAnsiTheme="minorHAnsi" w:cstheme="minorHAnsi"/>
              </w:rPr>
              <w:t xml:space="preserve"> Na povećanje izvoza uticao je rast izvoza aluminijuma i gvožđa i čelika, koji čine 38,4% ukupnog izvoza Crne Gore. Vrijednost izvoza aluminijuma iznosila je 15,0 mil.€, što je za 38,0% više, dok je izvoz gvožđa i čelika iznosio 3,8 mil.€ ili oko četiri puta više</w:t>
            </w:r>
            <w:r>
              <w:rPr>
                <w:rFonts w:asciiTheme="minorHAnsi" w:hAnsiTheme="minorHAnsi" w:cstheme="minorHAnsi"/>
              </w:rPr>
              <w:t>.</w:t>
            </w:r>
            <w:r w:rsidRPr="004375C6">
              <w:rPr>
                <w:rFonts w:asciiTheme="minorHAnsi" w:hAnsiTheme="minorHAnsi" w:cstheme="minorHAnsi"/>
              </w:rPr>
              <w:t xml:space="preserve"> Na kretanje izvoza navedenih kategorija uticalo je povećanje fizičkog obima proizvodnje osnovnih metala za 8,5% i izvoznih cijena osnovnih metala za 21,5%. Ukupan uvoz roba iznosio je 206,7 mil.€, što je za 5,6% više</w:t>
            </w:r>
            <w:r>
              <w:rPr>
                <w:rFonts w:asciiTheme="minorHAnsi" w:hAnsiTheme="minorHAnsi" w:cstheme="minorHAnsi"/>
              </w:rPr>
              <w:t>.</w:t>
            </w:r>
            <w:r w:rsidRPr="004375C6">
              <w:rPr>
                <w:rFonts w:asciiTheme="minorHAnsi" w:hAnsiTheme="minorHAnsi" w:cstheme="minorHAnsi"/>
                <w:lang w:val="sr-Latn-CS"/>
              </w:rPr>
              <w:t xml:space="preserve"> Rast </w:t>
            </w:r>
            <w:r w:rsidRPr="004375C6">
              <w:rPr>
                <w:rFonts w:asciiTheme="minorHAnsi" w:hAnsiTheme="minorHAnsi" w:cstheme="minorHAnsi"/>
                <w:b/>
                <w:lang w:val="sr-Latn-CS"/>
              </w:rPr>
              <w:t>uvoza</w:t>
            </w:r>
            <w:r w:rsidRPr="004375C6">
              <w:rPr>
                <w:rFonts w:asciiTheme="minorHAnsi" w:hAnsiTheme="minorHAnsi" w:cstheme="minorHAnsi"/>
                <w:lang w:val="sr-Latn-CS"/>
              </w:rPr>
              <w:t xml:space="preserve"> roba je pod uticajem povećanja uvoza hrane (21,0%) i mašina i transportnih uređaja (10,0%). </w:t>
            </w:r>
            <w:r>
              <w:rPr>
                <w:rFonts w:asciiTheme="minorHAnsi" w:hAnsiTheme="minorHAnsi" w:cstheme="minorHAnsi"/>
                <w:lang w:val="sr-Latn-CS"/>
              </w:rPr>
              <w:t>Bi</w:t>
            </w:r>
            <w:r w:rsidRPr="004375C6">
              <w:rPr>
                <w:rFonts w:asciiTheme="minorHAnsi" w:hAnsiTheme="minorHAnsi" w:cstheme="minorHAnsi"/>
                <w:lang w:val="sr-Latn-CS"/>
              </w:rPr>
              <w:t>lježi se pad vrijednosti uvoza nafte i naftnih derivata za 4,7 mil.€ ili 23,0%, usljed pada uvoznih cijena od 15,0%. Visok robni deficit sa Republikom Srbijom (11,0% veći), posljedica je relativno niske vrijednosti izvoza (11,0 mil.€) i značajno veće vrije</w:t>
            </w:r>
            <w:r>
              <w:rPr>
                <w:rFonts w:asciiTheme="minorHAnsi" w:hAnsiTheme="minorHAnsi" w:cstheme="minorHAnsi"/>
                <w:lang w:val="sr-Latn-CS"/>
              </w:rPr>
              <w:t>d</w:t>
            </w:r>
            <w:r w:rsidRPr="004375C6">
              <w:rPr>
                <w:rFonts w:asciiTheme="minorHAnsi" w:hAnsiTheme="minorHAnsi" w:cstheme="minorHAnsi"/>
                <w:lang w:val="sr-Latn-CS"/>
              </w:rPr>
              <w:t>nosti uvoza (54,2mil.€).</w:t>
            </w:r>
          </w:p>
          <w:p w:rsidR="004E366C" w:rsidRDefault="001C6781" w:rsidP="001C6781">
            <w:pPr>
              <w:pBdr>
                <w:top w:val="single" w:sz="4" w:space="1" w:color="auto"/>
              </w:pBdr>
              <w:spacing w:line="240" w:lineRule="auto"/>
              <w:jc w:val="both"/>
            </w:pPr>
            <w:r>
              <w:rPr>
                <w:b/>
                <w:noProof/>
              </w:rPr>
              <w:t xml:space="preserve">Neto priliv </w:t>
            </w:r>
            <w:r w:rsidRPr="00C62E16">
              <w:rPr>
                <w:b/>
                <w:noProof/>
              </w:rPr>
              <w:t>SDI u januaru 2015. iznosio je 25,6 mil.€,</w:t>
            </w:r>
            <w:r>
              <w:rPr>
                <w:b/>
                <w:noProof/>
              </w:rPr>
              <w:t xml:space="preserve"> što je za oko 50% više nego u </w:t>
            </w:r>
            <w:r w:rsidRPr="00C62E16">
              <w:rPr>
                <w:b/>
                <w:noProof/>
              </w:rPr>
              <w:t>januaru 2014. (17,2 mil.€).</w:t>
            </w:r>
            <w:r>
              <w:rPr>
                <w:noProof/>
              </w:rPr>
              <w:t xml:space="preserve"> Ukupan priliv SDI iznosio je 32,3 mil.€, </w:t>
            </w:r>
            <w:r>
              <w:rPr>
                <w:noProof/>
                <w:lang w:val="sr-Latn-CS"/>
              </w:rPr>
              <w:t xml:space="preserve">što je za </w:t>
            </w:r>
            <w:r>
              <w:rPr>
                <w:noProof/>
              </w:rPr>
              <w:t>3,3% više nego u januaru 2014. Priliv po osnovu vlasničkih ulaganja u januaru 2015. ostvaren je u iznosu od 19,4 mil.€, što čini 60,2% ukupnog priliva. Struktura ukupnog priliva SDI: investicije u preduzeća i banke 25,0%, (70,1% više) i investicije u nekretnine 35,2% (7,9% više). Ostvareni priliv po osnovu interkompanijskog duga, sa učešćem od 37,7%, ukazuje na pad od 21,4% u odnosu na januar 2014. dok kategorija ostalo učestvuje sa 2,1% (oko 39,0% više). Ukupan odliv SDI iznosio je 6,6 mil.€, što je za 52,5% manje nego u 2014.godini.</w:t>
            </w:r>
          </w:p>
        </w:tc>
        <w:tc>
          <w:tcPr>
            <w:tcW w:w="1764" w:type="pct"/>
            <w:vAlign w:val="center"/>
          </w:tcPr>
          <w:p w:rsidR="00C45B95" w:rsidRDefault="00E70D2B" w:rsidP="001E53D5">
            <w:r w:rsidRPr="00E70D2B">
              <w:rPr>
                <w:noProof/>
              </w:rPr>
              <w:drawing>
                <wp:inline distT="0" distB="0" distL="0" distR="0">
                  <wp:extent cx="2404925" cy="2357355"/>
                  <wp:effectExtent l="0" t="0" r="0" b="0"/>
                  <wp:docPr id="7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</w:tbl>
    <w:p w:rsidR="00C45B95" w:rsidRDefault="00C45B95" w:rsidP="001E53D5">
      <w:pPr>
        <w:framePr w:w="10770" w:wrap="auto" w:hAnchor="text"/>
        <w:sectPr w:rsidR="00C45B95" w:rsidSect="00A90070">
          <w:pgSz w:w="11906" w:h="16838"/>
          <w:pgMar w:top="567" w:right="624" w:bottom="624" w:left="567" w:header="708" w:footer="708" w:gutter="0"/>
          <w:cols w:space="708"/>
          <w:docGrid w:linePitch="360"/>
        </w:sectPr>
      </w:pPr>
    </w:p>
    <w:p w:rsidR="00C45B95" w:rsidRDefault="00C45B95" w:rsidP="00C45B95">
      <w:pPr>
        <w:spacing w:after="0"/>
        <w:jc w:val="center"/>
        <w:outlineLvl w:val="0"/>
        <w:rPr>
          <w:noProof/>
          <w:sz w:val="17"/>
          <w:szCs w:val="16"/>
        </w:rPr>
      </w:pPr>
      <w:r w:rsidRPr="0020440D">
        <w:rPr>
          <w:noProof/>
          <w:sz w:val="17"/>
          <w:szCs w:val="16"/>
        </w:rPr>
        <w:lastRenderedPageBreak/>
        <w:t xml:space="preserve">Tabela 1: </w:t>
      </w:r>
      <w:r w:rsidRPr="0020440D">
        <w:rPr>
          <w:b/>
          <w:bCs/>
          <w:noProof/>
          <w:sz w:val="17"/>
          <w:szCs w:val="16"/>
        </w:rPr>
        <w:t>MAKROEKONOMSKI INDIKATORI</w:t>
      </w:r>
      <w:r w:rsidRPr="0020440D">
        <w:rPr>
          <w:noProof/>
          <w:sz w:val="17"/>
          <w:szCs w:val="16"/>
        </w:rPr>
        <w:t xml:space="preserve"> –</w:t>
      </w:r>
      <w:r w:rsidR="00BC1B61">
        <w:rPr>
          <w:noProof/>
          <w:sz w:val="17"/>
          <w:szCs w:val="16"/>
        </w:rPr>
        <w:t xml:space="preserve"> februar </w:t>
      </w:r>
      <w:r w:rsidR="00745D7B">
        <w:rPr>
          <w:noProof/>
          <w:sz w:val="17"/>
          <w:szCs w:val="16"/>
        </w:rPr>
        <w:t>2015</w:t>
      </w:r>
      <w:r w:rsidRPr="0020440D">
        <w:rPr>
          <w:noProof/>
          <w:sz w:val="17"/>
          <w:szCs w:val="16"/>
        </w:rPr>
        <w:t>.</w:t>
      </w:r>
    </w:p>
    <w:p w:rsidR="00782553" w:rsidRDefault="00782553" w:rsidP="00C45B95">
      <w:pPr>
        <w:spacing w:after="0"/>
        <w:jc w:val="center"/>
        <w:outlineLvl w:val="0"/>
        <w:rPr>
          <w:noProof/>
          <w:sz w:val="17"/>
          <w:szCs w:val="16"/>
        </w:rPr>
      </w:pPr>
    </w:p>
    <w:p w:rsidR="00782553" w:rsidRDefault="00782553" w:rsidP="00C45B95">
      <w:pPr>
        <w:spacing w:after="0"/>
        <w:jc w:val="center"/>
        <w:outlineLvl w:val="0"/>
        <w:rPr>
          <w:noProof/>
          <w:sz w:val="17"/>
          <w:szCs w:val="16"/>
        </w:rPr>
      </w:pPr>
    </w:p>
    <w:p w:rsidR="00C45B95" w:rsidRPr="0020440D" w:rsidRDefault="00C45B95" w:rsidP="00C45B95">
      <w:pPr>
        <w:spacing w:after="0"/>
        <w:outlineLvl w:val="0"/>
        <w:rPr>
          <w:b/>
          <w:i/>
          <w:noProof/>
          <w:sz w:val="16"/>
          <w:szCs w:val="16"/>
        </w:rPr>
      </w:pPr>
      <w:r w:rsidRPr="0020440D">
        <w:rPr>
          <w:b/>
          <w:i/>
          <w:noProof/>
          <w:sz w:val="16"/>
          <w:szCs w:val="16"/>
        </w:rPr>
        <w:t>Izvor: MONSTAT, Centralna Banka, Zavod za zapošljavanje Crne Gore</w:t>
      </w:r>
    </w:p>
    <w:p w:rsidR="00C45B95" w:rsidRPr="0020440D" w:rsidRDefault="00C45B95" w:rsidP="00C45B95">
      <w:pPr>
        <w:spacing w:after="0"/>
        <w:ind w:firstLine="142"/>
        <w:rPr>
          <w:i/>
          <w:iCs/>
          <w:noProof/>
          <w:sz w:val="12"/>
          <w:szCs w:val="12"/>
        </w:rPr>
      </w:pPr>
      <w:r w:rsidRPr="0020440D">
        <w:rPr>
          <w:i/>
          <w:iCs/>
          <w:noProof/>
          <w:sz w:val="12"/>
          <w:szCs w:val="12"/>
        </w:rPr>
        <w:t>Svi indikatori su prikazani kao godišnje stope rasta (stopa promjene indikatora u posmatranom mjesecu u odnosu na isti mjesec prethodne godine u %) ukoliko nije drugačije naznačeno u nazivu</w:t>
      </w:r>
    </w:p>
    <w:p w:rsidR="00C45B95" w:rsidRDefault="00C45B95" w:rsidP="00C45B95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  <w:r w:rsidRPr="0020440D">
        <w:rPr>
          <w:i/>
          <w:iCs/>
          <w:noProof/>
          <w:sz w:val="12"/>
          <w:szCs w:val="12"/>
        </w:rPr>
        <w:t>M-n-M označava mjesečnu promjenu (stopa promjene indikatora u posmatranom mjesecu u odnosu na prethodni mjesec u %)g-n-g označava godišnju promjenu (stopa promjene indikatora u posmatranom mjesecuili periodu  u odnosu na isti mmjesec ili periodprethodne godine u %)</w:t>
      </w:r>
      <w:r w:rsidR="00BF2D81">
        <w:rPr>
          <w:i/>
          <w:iCs/>
          <w:noProof/>
          <w:sz w:val="12"/>
          <w:szCs w:val="12"/>
        </w:rPr>
        <w:t>.</w:t>
      </w:r>
    </w:p>
    <w:p w:rsidR="00745D7B" w:rsidRDefault="00745D7B" w:rsidP="00C45B95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20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  <w:gridCol w:w="796"/>
        <w:gridCol w:w="796"/>
        <w:gridCol w:w="796"/>
        <w:gridCol w:w="1198"/>
        <w:gridCol w:w="918"/>
      </w:tblGrid>
      <w:tr w:rsidR="00522A1E" w:rsidRPr="00522A1E" w:rsidTr="00DB00DC">
        <w:trPr>
          <w:divId w:val="491339982"/>
          <w:trHeight w:val="480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Indikatori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II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III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IV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VI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VII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VIII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IX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X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XI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XII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2015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II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M-n-M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feb 2015/feb2014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jan-feb 2015/jan-feb 2014</w:t>
            </w:r>
          </w:p>
        </w:tc>
      </w:tr>
      <w:tr w:rsidR="00522A1E" w:rsidRPr="00522A1E" w:rsidTr="00A3689A">
        <w:trPr>
          <w:divId w:val="491339982"/>
          <w:trHeight w:hRule="exact" w:val="215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REALNI SEKTOR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</w:tr>
      <w:tr w:rsidR="00522A1E" w:rsidRPr="00522A1E" w:rsidTr="00A3689A">
        <w:trPr>
          <w:divId w:val="491339982"/>
          <w:trHeight w:hRule="exact" w:val="215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Industrijska proizvodnja (stopa rasta)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25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5,70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-20,60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-27,90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-23,40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-26,40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-16,30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-12,70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7,50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8,20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-19,80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-7,00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-3,40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5,90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10,1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5,9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1,3</w:t>
            </w:r>
          </w:p>
        </w:tc>
      </w:tr>
      <w:tr w:rsidR="00522A1E" w:rsidRPr="00522A1E" w:rsidTr="00A3689A">
        <w:trPr>
          <w:divId w:val="491339982"/>
          <w:trHeight w:hRule="exact" w:val="215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Prerađivačka industrija (stopa rasta)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25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20,50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18,40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-44,90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-10,90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-5,00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-24,60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-19,70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-3,20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0,30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-18,10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-20,50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-13,20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13,80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26,9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13,8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0,1</w:t>
            </w:r>
          </w:p>
        </w:tc>
      </w:tr>
      <w:tr w:rsidR="00522A1E" w:rsidRPr="00522A1E" w:rsidTr="00A3689A">
        <w:trPr>
          <w:divId w:val="491339982"/>
          <w:trHeight w:hRule="exact" w:val="215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Noćenja u turizmu (stopa rasta)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25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2,70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5,30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2,10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-4,20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-1,30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0,90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2,40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1,90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4,20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12,80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7,30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28,30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21,00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4,3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21,0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24,4</w:t>
            </w:r>
          </w:p>
        </w:tc>
      </w:tr>
      <w:tr w:rsidR="00522A1E" w:rsidRPr="00522A1E" w:rsidTr="00A3689A">
        <w:trPr>
          <w:divId w:val="491339982"/>
          <w:trHeight w:hRule="exact" w:val="215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Promet u maloprodaji (stopa rasta)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25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4,90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2,50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3,10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2,60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3,90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3,50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4,30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3,50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-0,60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1,40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2,90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2,80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2,8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3,0</w:t>
            </w:r>
          </w:p>
        </w:tc>
      </w:tr>
      <w:tr w:rsidR="00522A1E" w:rsidRPr="00522A1E" w:rsidTr="00A3689A">
        <w:trPr>
          <w:divId w:val="491339982"/>
          <w:trHeight w:hRule="exact" w:val="215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Vrijednost radova u gradjevinarstvu (stopa rasta)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25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30,3</w:t>
            </w:r>
          </w:p>
        </w:tc>
        <w:tc>
          <w:tcPr>
            <w:tcW w:w="7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3,3</w:t>
            </w:r>
          </w:p>
        </w:tc>
        <w:tc>
          <w:tcPr>
            <w:tcW w:w="7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-5,5</w:t>
            </w:r>
          </w:p>
        </w:tc>
        <w:tc>
          <w:tcPr>
            <w:tcW w:w="7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-6,9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color w:val="993300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color w:val="993300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color w:val="993300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color w:val="993300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color w:val="993300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color w:val="993300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522A1E" w:rsidRPr="00522A1E" w:rsidTr="00A3689A">
        <w:trPr>
          <w:divId w:val="491339982"/>
          <w:trHeight w:hRule="exact" w:val="215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INFLACIJA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125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522A1E" w:rsidRPr="00522A1E" w:rsidTr="00A3689A">
        <w:trPr>
          <w:divId w:val="491339982"/>
          <w:trHeight w:hRule="exact" w:val="215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Indeks potrošačkih cijena (stopa rasta)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25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-0,6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-0,9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-1,4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-1,3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-0,1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-1,2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-1,1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-0,7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-0,5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-0,3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0,4</w:t>
            </w:r>
          </w:p>
        </w:tc>
      </w:tr>
      <w:tr w:rsidR="00522A1E" w:rsidRPr="00522A1E" w:rsidTr="00A3689A">
        <w:trPr>
          <w:divId w:val="491339982"/>
          <w:trHeight w:hRule="exact" w:val="215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Harmonizovani indeks potrošačkih cijena (stopa rasta)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25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-0,4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-0,8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-0,7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-0,9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-0,7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-0,9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-0,8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-0,3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-0,6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-0,4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-0,1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-0,1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n/p</w:t>
            </w:r>
          </w:p>
        </w:tc>
      </w:tr>
      <w:tr w:rsidR="00522A1E" w:rsidRPr="00522A1E" w:rsidTr="00A3689A">
        <w:trPr>
          <w:divId w:val="491339982"/>
          <w:trHeight w:hRule="exact" w:val="215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Indeks proizvodjačkih cijena (stopa rasta)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25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-1,2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-0,3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-0,2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-0,1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1,0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1,0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1,1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0,7</w:t>
            </w:r>
          </w:p>
        </w:tc>
      </w:tr>
      <w:tr w:rsidR="00522A1E" w:rsidRPr="00522A1E" w:rsidTr="00A3689A">
        <w:trPr>
          <w:divId w:val="491339982"/>
          <w:trHeight w:hRule="exact" w:val="215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ZAPOSLENOST I ZARADE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125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522A1E" w:rsidRPr="00522A1E" w:rsidTr="00A3689A">
        <w:trPr>
          <w:divId w:val="491339982"/>
          <w:trHeight w:hRule="exact" w:val="215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Zaposlenost (broj, kraj perioda)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25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168.805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170.177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172.202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174.917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179.774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181.408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178.558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173.942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172.306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172.273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171.158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169.719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170.486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1,0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1,1</w:t>
            </w:r>
          </w:p>
        </w:tc>
      </w:tr>
      <w:tr w:rsidR="00522A1E" w:rsidRPr="00522A1E" w:rsidTr="00A3689A">
        <w:trPr>
          <w:divId w:val="491339982"/>
          <w:trHeight w:hRule="exact" w:val="215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Broj nezaposlenih (broj, kraj perioda)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25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34.664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34.671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33.906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32.763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31.548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31.115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31.163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31.548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33.744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34.733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34.687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35.152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35.172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1,5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1,2</w:t>
            </w:r>
          </w:p>
        </w:tc>
      </w:tr>
      <w:tr w:rsidR="00522A1E" w:rsidRPr="00522A1E" w:rsidTr="00A3689A">
        <w:trPr>
          <w:divId w:val="491339982"/>
          <w:trHeight w:hRule="exact" w:val="215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Stopa nezaposlenosti (%)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25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14,9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14,9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14,6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14,1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13,6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13,4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13,4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13,6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14,5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15,0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14,9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15,1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2,0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1,3</w:t>
            </w:r>
          </w:p>
        </w:tc>
      </w:tr>
      <w:tr w:rsidR="00522A1E" w:rsidRPr="00522A1E" w:rsidTr="00A3689A">
        <w:trPr>
          <w:divId w:val="491339982"/>
          <w:trHeight w:hRule="exact" w:val="215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Stopa nezaposlenosti (ARS) (%)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25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19,1</w:t>
            </w:r>
          </w:p>
        </w:tc>
        <w:tc>
          <w:tcPr>
            <w:tcW w:w="7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18,5</w:t>
            </w:r>
          </w:p>
        </w:tc>
        <w:tc>
          <w:tcPr>
            <w:tcW w:w="7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16,4</w:t>
            </w:r>
          </w:p>
        </w:tc>
        <w:tc>
          <w:tcPr>
            <w:tcW w:w="7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18,1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522A1E" w:rsidRPr="00522A1E" w:rsidTr="00A3689A">
        <w:trPr>
          <w:divId w:val="491339982"/>
          <w:trHeight w:hRule="exact" w:val="215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Oglašena radna mjesta (broj)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25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1.051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3.077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5.399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4.984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2.605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3.616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2.235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2.605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2.563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2.434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2.098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3.735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2.343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-37,3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122,9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660364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>
              <w:rPr>
                <w:rFonts w:cs="Calibri"/>
                <w:sz w:val="14"/>
                <w:szCs w:val="14"/>
                <w:lang w:val="sr-Latn-CS" w:eastAsia="sr-Latn-CS"/>
              </w:rPr>
              <w:t>192,4</w:t>
            </w:r>
          </w:p>
        </w:tc>
      </w:tr>
      <w:tr w:rsidR="00522A1E" w:rsidRPr="00522A1E" w:rsidTr="00A3689A">
        <w:trPr>
          <w:divId w:val="491339982"/>
          <w:trHeight w:hRule="exact" w:val="215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Prosječna mjesečna bruto zarada (u €)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25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729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720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720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726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725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713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718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722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724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723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734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731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732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0,5</w:t>
            </w:r>
          </w:p>
        </w:tc>
      </w:tr>
      <w:tr w:rsidR="00522A1E" w:rsidRPr="00522A1E" w:rsidTr="00A3689A">
        <w:trPr>
          <w:divId w:val="491339982"/>
          <w:trHeight w:hRule="exact" w:val="215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Prosječna mjesečna neto zarada (u €)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25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480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474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474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478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478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470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473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476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478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477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484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482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483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0,7</w:t>
            </w:r>
          </w:p>
        </w:tc>
      </w:tr>
      <w:tr w:rsidR="00522A1E" w:rsidRPr="00522A1E" w:rsidTr="00A3689A">
        <w:trPr>
          <w:divId w:val="491339982"/>
          <w:trHeight w:hRule="exact" w:val="215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MONETARNI SEKTOR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125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522A1E" w:rsidRPr="00522A1E" w:rsidTr="00A3689A">
        <w:trPr>
          <w:divId w:val="491339982"/>
          <w:trHeight w:hRule="exact" w:val="215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Ukupni krediti (kumulativ, mil. €)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25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2.415,0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2.405,0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2.386,6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2.383,1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2.376,2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2.402,7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2.453,0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2.443,2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2.424,1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2.426,5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2.367,2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2.355,3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2.375,2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-1,6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522A1E" w:rsidRPr="00522A1E" w:rsidTr="00A3689A">
        <w:trPr>
          <w:divId w:val="491339982"/>
          <w:trHeight w:hRule="exact" w:val="215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Udio kredita u kašnjenju u ukupnim kreditima (u %)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25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522A1E" w:rsidRPr="00522A1E" w:rsidTr="00A3689A">
        <w:trPr>
          <w:divId w:val="491339982"/>
          <w:trHeight w:hRule="exact" w:val="215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Nekvalitetni krediti (kumulativ, mil €)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25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426,3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393,9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406,1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417,6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402,6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422,4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400,2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398,9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391,8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375,6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389,7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522A1E" w:rsidRPr="00522A1E" w:rsidTr="00A3689A">
        <w:trPr>
          <w:divId w:val="491339982"/>
          <w:trHeight w:hRule="exact" w:val="215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Udio nekvalitetnih kredita u ukupnim kreditima (u %)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25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17,7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16,4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17,0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17,5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16,9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17,2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16,4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16,5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16,1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15,9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16,5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522A1E" w:rsidRPr="00522A1E" w:rsidTr="00A3689A">
        <w:trPr>
          <w:divId w:val="491339982"/>
          <w:trHeight w:hRule="exact" w:val="215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Ukupni depoziti (kumulativ, mil €)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25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2.101,7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2.104,3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2.094,8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2.114,3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2.146,4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2.188,2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2.254,5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2.268,0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2.251,5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2.274,9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2.308,1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2.311,3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2.295,4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-0,7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9,2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522A1E" w:rsidRPr="00522A1E" w:rsidTr="00A3689A">
        <w:trPr>
          <w:divId w:val="491339982"/>
          <w:trHeight w:hRule="exact" w:val="215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Ukupni depoziti (stopa rasta)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25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5,6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5,3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7,3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7,1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6,8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5,5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5,1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7,8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7,0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9,1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10,0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10,2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9,2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-0,7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64,3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522A1E" w:rsidRPr="00522A1E" w:rsidTr="00A3689A">
        <w:trPr>
          <w:divId w:val="491339982"/>
          <w:trHeight w:hRule="exact" w:val="215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Krediti privredi (kumulativ, u mil €)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25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951,6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947,7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958,5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959,8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950,4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932,3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911,3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900,9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890,4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898,1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917,9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917,7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925,6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-2,7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522A1E" w:rsidRPr="00522A1E" w:rsidTr="00A3689A">
        <w:trPr>
          <w:divId w:val="491339982"/>
          <w:trHeight w:hRule="exact" w:val="215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Krediti domaćinstvima (kumulativ, u mil €)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25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882,6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887,1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887,4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890,7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891,5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893,6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893,0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892,7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893,0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895,4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893,8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897,5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899,2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1,9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522A1E" w:rsidRPr="00522A1E" w:rsidTr="00A3689A">
        <w:trPr>
          <w:divId w:val="491339982"/>
          <w:trHeight w:hRule="exact" w:val="215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Depoziti privrede (kumulativ, u mil €)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25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549,6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542,8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533,0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551,7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576,4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596,1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639,4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633,5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634,2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647,5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640,7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635,0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624,6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-1,6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13,6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522A1E" w:rsidRPr="00522A1E" w:rsidTr="00A3689A">
        <w:trPr>
          <w:divId w:val="491339982"/>
          <w:trHeight w:hRule="exact" w:val="215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Lična štednja (kumulativ, u mil €)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25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1.236,4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1.239,2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1.247,8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1.245,5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1.244,5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1.270,1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1.288,5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1.300,0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1.299,3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1.305,9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1.331,7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1.334,5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1.335,9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8,0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522A1E" w:rsidRPr="00522A1E" w:rsidTr="00A3689A">
        <w:trPr>
          <w:divId w:val="491339982"/>
          <w:trHeight w:hRule="exact" w:val="215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Kamatna stopa na kredite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25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9,42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9,42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9,45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9,51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9,54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9,55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9,31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9,57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9,28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9,28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-0,03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-2,7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522A1E" w:rsidRPr="00522A1E" w:rsidTr="00A3689A">
        <w:trPr>
          <w:divId w:val="491339982"/>
          <w:trHeight w:hRule="exact" w:val="215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Kamatna stopa na depozite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25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2,45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2,34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2,31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2,25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2,19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2,08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2,01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1,96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1,93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1,89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-0,04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-29,4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522A1E" w:rsidRPr="00522A1E" w:rsidTr="00A3689A">
        <w:trPr>
          <w:divId w:val="491339982"/>
          <w:trHeight w:hRule="exact" w:val="215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EKSTERNI SEKTOR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125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522A1E" w:rsidRPr="00522A1E" w:rsidTr="00A3689A">
        <w:trPr>
          <w:divId w:val="491339982"/>
          <w:trHeight w:hRule="exact" w:val="215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Izvoz roba (u mil. €)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25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22,2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24,7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23,2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25,7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28,3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31,7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27,7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35,3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33,8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34,5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28,3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26,0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23,1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-10,9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4,1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660364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>
              <w:rPr>
                <w:rFonts w:cs="Calibri"/>
                <w:sz w:val="14"/>
                <w:szCs w:val="14"/>
                <w:lang w:val="sr-Latn-CS" w:eastAsia="sr-Latn-CS"/>
              </w:rPr>
              <w:t>9,6</w:t>
            </w:r>
          </w:p>
        </w:tc>
      </w:tr>
      <w:tr w:rsidR="00522A1E" w:rsidRPr="00522A1E" w:rsidTr="00A3689A">
        <w:trPr>
          <w:divId w:val="491339982"/>
          <w:trHeight w:hRule="exact" w:val="215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Uvoz roba (u mil. €)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25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112,6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145,9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158,4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158,0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171,9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184,3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164,4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154,7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158,4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132,7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159,3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85,9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120,8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40,6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7,2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660364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>
              <w:rPr>
                <w:rFonts w:cs="Calibri"/>
                <w:sz w:val="14"/>
                <w:szCs w:val="14"/>
                <w:lang w:val="sr-Latn-CS" w:eastAsia="sr-Latn-CS"/>
              </w:rPr>
              <w:t>5,6</w:t>
            </w:r>
          </w:p>
        </w:tc>
      </w:tr>
      <w:tr w:rsidR="00522A1E" w:rsidRPr="00522A1E" w:rsidTr="00A3689A">
        <w:trPr>
          <w:divId w:val="491339982"/>
          <w:trHeight w:hRule="exact" w:val="215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Spoljnotrgovinski bilans (u mil €)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25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-90,4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-121,2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-135,2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-132,2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-143,6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-152,6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-136,7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-119,3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-124,6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-98,2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-131,0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-60,0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-97,7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62,8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8,0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660364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>
              <w:rPr>
                <w:rFonts w:cs="Calibri"/>
                <w:sz w:val="14"/>
                <w:szCs w:val="14"/>
                <w:lang w:val="sr-Latn-CS" w:eastAsia="sr-Latn-CS"/>
              </w:rPr>
              <w:t>4,4</w:t>
            </w:r>
          </w:p>
        </w:tc>
      </w:tr>
      <w:tr w:rsidR="00522A1E" w:rsidRPr="00522A1E" w:rsidTr="00A3689A">
        <w:trPr>
          <w:divId w:val="491339982"/>
          <w:trHeight w:hRule="exact" w:val="215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Strane direktne investicije (mil.€)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25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29,1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32,6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6,7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29,7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40,4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27,4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27,2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50,8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31,4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26,5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34,8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25,6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-26,4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48,6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48,6</w:t>
            </w:r>
          </w:p>
        </w:tc>
      </w:tr>
      <w:tr w:rsidR="00522A1E" w:rsidRPr="00522A1E" w:rsidTr="00A3689A">
        <w:trPr>
          <w:divId w:val="491339982"/>
          <w:trHeight w:hRule="exact" w:val="215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MEĐUNARODNO OKRUŽENJE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125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1"/>
              <w:jc w:val="right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522A1E" w:rsidRPr="00522A1E" w:rsidTr="00A3689A">
        <w:trPr>
          <w:divId w:val="491339982"/>
          <w:trHeight w:hRule="exact" w:val="215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Brent crude oil (USD/barel)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25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109,7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107,7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108,0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109,6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112,5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105,6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103,0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94,8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85,9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70,2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58,0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55,0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60,0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9,2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-45,3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660364" w:rsidP="00660364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>
              <w:rPr>
                <w:rFonts w:cs="Calibri"/>
                <w:sz w:val="14"/>
                <w:szCs w:val="14"/>
                <w:lang w:val="sr-Latn-CS" w:eastAsia="sr-Latn-CS"/>
              </w:rPr>
              <w:t xml:space="preserve">                  -47,4</w:t>
            </w:r>
          </w:p>
        </w:tc>
      </w:tr>
      <w:tr w:rsidR="00522A1E" w:rsidRPr="00522A1E" w:rsidTr="00A3689A">
        <w:trPr>
          <w:divId w:val="491339982"/>
          <w:trHeight w:hRule="exact" w:val="215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Aluminijum (USD/T)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25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1.695,2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1.705,4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1.810,7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1.751,1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1.839,0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1.948,3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2.030,5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1.990,4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1.946,2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2.055,6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1.909,5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1.814,7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1.817,8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7,2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5,</w:t>
            </w:r>
            <w:r w:rsidR="00660364">
              <w:rPr>
                <w:rFonts w:cs="Calibri"/>
                <w:sz w:val="14"/>
                <w:szCs w:val="14"/>
                <w:lang w:val="sr-Latn-CS" w:eastAsia="sr-Latn-CS"/>
              </w:rPr>
              <w:t>7</w:t>
            </w:r>
          </w:p>
        </w:tc>
      </w:tr>
      <w:tr w:rsidR="00522A1E" w:rsidRPr="00522A1E" w:rsidTr="00A3689A">
        <w:trPr>
          <w:divId w:val="491339982"/>
          <w:trHeight w:hRule="exact" w:val="215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Euribor (12 mjeseci)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25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0,55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0,59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0,61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0,57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0,49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0,49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0,43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0,34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0,34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0,33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0,32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0,27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0,23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-0,04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-0,3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660364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>
              <w:rPr>
                <w:rFonts w:cs="Calibri"/>
                <w:sz w:val="14"/>
                <w:szCs w:val="14"/>
                <w:lang w:val="sr-Latn-CS" w:eastAsia="sr-Latn-CS"/>
              </w:rPr>
              <w:t>-</w:t>
            </w:r>
            <w:r w:rsidR="00522A1E" w:rsidRPr="00522A1E">
              <w:rPr>
                <w:rFonts w:cs="Calibri"/>
                <w:sz w:val="14"/>
                <w:szCs w:val="14"/>
                <w:lang w:val="sr-Latn-CS" w:eastAsia="sr-Latn-CS"/>
              </w:rPr>
              <w:t>0,3</w:t>
            </w:r>
          </w:p>
        </w:tc>
      </w:tr>
      <w:tr w:rsidR="00522A1E" w:rsidRPr="00522A1E" w:rsidTr="00A3689A">
        <w:trPr>
          <w:divId w:val="491339982"/>
          <w:trHeight w:hRule="exact" w:val="215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522A1E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Inflacija u Eurozoni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25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0,7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0,5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0,7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0,5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0,5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0,4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0,4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0,3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0,4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0,3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-0,2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-0,6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-0,3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522A1E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522A1E">
              <w:rPr>
                <w:rFonts w:cs="Calibri"/>
                <w:sz w:val="14"/>
                <w:szCs w:val="14"/>
                <w:lang w:val="sr-Latn-CS" w:eastAsia="sr-Latn-CS"/>
              </w:rPr>
              <w:t>-1,0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522A1E" w:rsidRPr="00522A1E" w:rsidRDefault="00660364" w:rsidP="00522A1E">
            <w:pPr>
              <w:spacing w:after="0" w:line="240" w:lineRule="auto"/>
              <w:ind w:firstLineChars="100" w:firstLine="140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>
              <w:rPr>
                <w:rFonts w:cs="Calibri"/>
                <w:sz w:val="14"/>
                <w:szCs w:val="14"/>
                <w:lang w:val="sr-Latn-CS" w:eastAsia="sr-Latn-CS"/>
              </w:rPr>
              <w:t>-</w:t>
            </w:r>
            <w:r w:rsidR="00522A1E" w:rsidRPr="00522A1E">
              <w:rPr>
                <w:rFonts w:cs="Calibri"/>
                <w:sz w:val="14"/>
                <w:szCs w:val="14"/>
                <w:lang w:val="sr-Latn-CS" w:eastAsia="sr-Latn-CS"/>
              </w:rPr>
              <w:t>1,2</w:t>
            </w:r>
          </w:p>
        </w:tc>
      </w:tr>
    </w:tbl>
    <w:p w:rsidR="00745D7B" w:rsidRDefault="00745D7B" w:rsidP="00C45B95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</w:p>
    <w:p w:rsidR="00745D7B" w:rsidRDefault="00745D7B" w:rsidP="00C45B95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</w:p>
    <w:p w:rsidR="009C1DC4" w:rsidRDefault="009C1DC4" w:rsidP="00C45B95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</w:p>
    <w:p w:rsidR="009C1DC4" w:rsidRDefault="009C1DC4" w:rsidP="00C45B95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</w:p>
    <w:p w:rsidR="00A90070" w:rsidRDefault="00A3689A" w:rsidP="00355F01">
      <w:pPr>
        <w:spacing w:after="0"/>
        <w:jc w:val="center"/>
        <w:outlineLvl w:val="0"/>
        <w:rPr>
          <w:noProof/>
          <w:sz w:val="17"/>
          <w:szCs w:val="16"/>
        </w:rPr>
      </w:pPr>
      <w:r>
        <w:rPr>
          <w:noProof/>
          <w:sz w:val="17"/>
          <w:szCs w:val="16"/>
        </w:rPr>
        <w:t>T</w:t>
      </w:r>
      <w:r w:rsidR="00A90070" w:rsidRPr="00355F01">
        <w:rPr>
          <w:noProof/>
          <w:sz w:val="17"/>
          <w:szCs w:val="16"/>
        </w:rPr>
        <w:t xml:space="preserve">abela </w:t>
      </w:r>
      <w:r w:rsidR="00431050" w:rsidRPr="00355F01">
        <w:rPr>
          <w:noProof/>
          <w:sz w:val="17"/>
          <w:szCs w:val="16"/>
        </w:rPr>
        <w:fldChar w:fldCharType="begin"/>
      </w:r>
      <w:r w:rsidR="003A12AD" w:rsidRPr="00355F01">
        <w:rPr>
          <w:noProof/>
          <w:sz w:val="17"/>
          <w:szCs w:val="16"/>
        </w:rPr>
        <w:instrText xml:space="preserve"> SEQ Tabela \* ARABIC </w:instrText>
      </w:r>
      <w:r w:rsidR="00431050" w:rsidRPr="00355F01">
        <w:rPr>
          <w:noProof/>
          <w:sz w:val="17"/>
          <w:szCs w:val="16"/>
        </w:rPr>
        <w:fldChar w:fldCharType="separate"/>
      </w:r>
      <w:r w:rsidR="009409D0">
        <w:rPr>
          <w:noProof/>
          <w:sz w:val="17"/>
          <w:szCs w:val="16"/>
        </w:rPr>
        <w:t>1</w:t>
      </w:r>
      <w:r w:rsidR="00431050" w:rsidRPr="00355F01">
        <w:rPr>
          <w:noProof/>
          <w:sz w:val="17"/>
          <w:szCs w:val="16"/>
        </w:rPr>
        <w:fldChar w:fldCharType="end"/>
      </w:r>
      <w:r w:rsidR="00D52F3D">
        <w:rPr>
          <w:noProof/>
          <w:sz w:val="17"/>
          <w:szCs w:val="16"/>
        </w:rPr>
        <w:t xml:space="preserve">: </w:t>
      </w:r>
      <w:r w:rsidR="006D6A98" w:rsidRPr="00355F01">
        <w:rPr>
          <w:b/>
          <w:noProof/>
          <w:sz w:val="20"/>
          <w:szCs w:val="16"/>
        </w:rPr>
        <w:t>Fiskalni indikatori</w:t>
      </w:r>
      <w:r w:rsidR="006D6A98" w:rsidRPr="00355F01">
        <w:rPr>
          <w:noProof/>
          <w:sz w:val="17"/>
          <w:szCs w:val="16"/>
        </w:rPr>
        <w:t>–</w:t>
      </w:r>
      <w:r w:rsidR="009C1DC4">
        <w:rPr>
          <w:noProof/>
          <w:sz w:val="17"/>
          <w:szCs w:val="16"/>
        </w:rPr>
        <w:t xml:space="preserve">februar </w:t>
      </w:r>
      <w:r w:rsidR="00745D7B" w:rsidRPr="00355F01">
        <w:rPr>
          <w:noProof/>
          <w:sz w:val="17"/>
          <w:szCs w:val="16"/>
        </w:rPr>
        <w:t>2015</w:t>
      </w:r>
      <w:r w:rsidR="006D6A98" w:rsidRPr="00355F01">
        <w:rPr>
          <w:noProof/>
          <w:sz w:val="17"/>
          <w:szCs w:val="16"/>
        </w:rPr>
        <w:t xml:space="preserve">. </w:t>
      </w:r>
    </w:p>
    <w:p w:rsidR="00782553" w:rsidRDefault="00782553" w:rsidP="00355F01">
      <w:pPr>
        <w:spacing w:after="0"/>
        <w:jc w:val="center"/>
        <w:outlineLvl w:val="0"/>
        <w:rPr>
          <w:noProof/>
          <w:sz w:val="17"/>
          <w:szCs w:val="16"/>
        </w:rPr>
      </w:pPr>
    </w:p>
    <w:tbl>
      <w:tblPr>
        <w:tblW w:w="16466" w:type="dxa"/>
        <w:tblInd w:w="85" w:type="dxa"/>
        <w:tblLook w:val="04A0"/>
      </w:tblPr>
      <w:tblGrid>
        <w:gridCol w:w="3233"/>
        <w:gridCol w:w="787"/>
        <w:gridCol w:w="787"/>
        <w:gridCol w:w="787"/>
        <w:gridCol w:w="787"/>
        <w:gridCol w:w="787"/>
        <w:gridCol w:w="787"/>
        <w:gridCol w:w="787"/>
        <w:gridCol w:w="787"/>
        <w:gridCol w:w="787"/>
        <w:gridCol w:w="787"/>
        <w:gridCol w:w="787"/>
        <w:gridCol w:w="697"/>
        <w:gridCol w:w="760"/>
        <w:gridCol w:w="807"/>
        <w:gridCol w:w="744"/>
        <w:gridCol w:w="807"/>
        <w:gridCol w:w="899"/>
      </w:tblGrid>
      <w:tr w:rsidR="003F3365" w:rsidRPr="003F3365" w:rsidTr="003F3365">
        <w:trPr>
          <w:trHeight w:val="315"/>
        </w:trPr>
        <w:tc>
          <w:tcPr>
            <w:tcW w:w="323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F3365">
              <w:rPr>
                <w:b/>
                <w:bCs/>
                <w:sz w:val="16"/>
                <w:szCs w:val="16"/>
              </w:rPr>
              <w:t>BUDŽET CRNE GORE</w:t>
            </w:r>
          </w:p>
        </w:tc>
        <w:tc>
          <w:tcPr>
            <w:tcW w:w="8519" w:type="dxa"/>
            <w:gridSpan w:val="11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365">
              <w:rPr>
                <w:sz w:val="16"/>
                <w:szCs w:val="16"/>
              </w:rPr>
              <w:t>2014</w:t>
            </w:r>
          </w:p>
        </w:tc>
        <w:tc>
          <w:tcPr>
            <w:tcW w:w="145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365">
              <w:rPr>
                <w:sz w:val="16"/>
                <w:szCs w:val="16"/>
              </w:rPr>
              <w:t>2015</w:t>
            </w:r>
          </w:p>
        </w:tc>
        <w:tc>
          <w:tcPr>
            <w:tcW w:w="80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365">
              <w:rPr>
                <w:sz w:val="16"/>
                <w:szCs w:val="16"/>
              </w:rPr>
              <w:t>plan 2015</w:t>
            </w:r>
          </w:p>
        </w:tc>
        <w:tc>
          <w:tcPr>
            <w:tcW w:w="2450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EEECE1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365">
              <w:rPr>
                <w:sz w:val="16"/>
                <w:szCs w:val="16"/>
              </w:rPr>
              <w:t>Analitika-Februar</w:t>
            </w:r>
          </w:p>
        </w:tc>
      </w:tr>
      <w:tr w:rsidR="003F3365" w:rsidRPr="003F3365" w:rsidTr="003F3365">
        <w:trPr>
          <w:trHeight w:val="735"/>
        </w:trPr>
        <w:tc>
          <w:tcPr>
            <w:tcW w:w="323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F3365">
              <w:rPr>
                <w:sz w:val="14"/>
                <w:szCs w:val="14"/>
              </w:rPr>
              <w:t>II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F3365">
              <w:rPr>
                <w:sz w:val="14"/>
                <w:szCs w:val="14"/>
              </w:rPr>
              <w:t>III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F3365">
              <w:rPr>
                <w:sz w:val="14"/>
                <w:szCs w:val="14"/>
              </w:rPr>
              <w:t>IV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F3365">
              <w:rPr>
                <w:sz w:val="14"/>
                <w:szCs w:val="14"/>
              </w:rPr>
              <w:t>V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F3365">
              <w:rPr>
                <w:sz w:val="14"/>
                <w:szCs w:val="14"/>
              </w:rPr>
              <w:t>VI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F3365">
              <w:rPr>
                <w:sz w:val="14"/>
                <w:szCs w:val="14"/>
              </w:rPr>
              <w:t>VII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F3365">
              <w:rPr>
                <w:sz w:val="14"/>
                <w:szCs w:val="14"/>
              </w:rPr>
              <w:t>VIII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F3365">
              <w:rPr>
                <w:sz w:val="14"/>
                <w:szCs w:val="14"/>
              </w:rPr>
              <w:t>IX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F3365">
              <w:rPr>
                <w:sz w:val="14"/>
                <w:szCs w:val="14"/>
              </w:rPr>
              <w:t>X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F3365">
              <w:rPr>
                <w:sz w:val="14"/>
                <w:szCs w:val="14"/>
              </w:rPr>
              <w:t>XI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F3365">
              <w:rPr>
                <w:sz w:val="14"/>
                <w:szCs w:val="14"/>
              </w:rPr>
              <w:t>XII</w:t>
            </w:r>
          </w:p>
        </w:tc>
        <w:tc>
          <w:tcPr>
            <w:tcW w:w="6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F3365">
              <w:rPr>
                <w:sz w:val="14"/>
                <w:szCs w:val="14"/>
              </w:rPr>
              <w:t>I</w:t>
            </w:r>
          </w:p>
        </w:tc>
        <w:tc>
          <w:tcPr>
            <w:tcW w:w="7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F3365">
              <w:rPr>
                <w:sz w:val="14"/>
                <w:szCs w:val="14"/>
              </w:rPr>
              <w:t>II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F3365">
              <w:rPr>
                <w:sz w:val="14"/>
                <w:szCs w:val="14"/>
              </w:rPr>
              <w:t>II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F3365">
              <w:rPr>
                <w:sz w:val="14"/>
                <w:szCs w:val="14"/>
              </w:rPr>
              <w:t>feb 2015/ feb 2014 (%)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F3365">
              <w:rPr>
                <w:sz w:val="14"/>
                <w:szCs w:val="14"/>
              </w:rPr>
              <w:t>jan-feb 2015 / jan-feb 2014(%)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F3365">
              <w:rPr>
                <w:sz w:val="14"/>
                <w:szCs w:val="14"/>
              </w:rPr>
              <w:t>feb 2015/feb 2015plan (%)</w:t>
            </w:r>
          </w:p>
        </w:tc>
      </w:tr>
      <w:tr w:rsidR="003F3365" w:rsidRPr="003F3365" w:rsidTr="003F3365">
        <w:trPr>
          <w:trHeight w:val="330"/>
        </w:trPr>
        <w:tc>
          <w:tcPr>
            <w:tcW w:w="323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3F3365">
              <w:rPr>
                <w:b/>
                <w:bCs/>
                <w:sz w:val="16"/>
                <w:szCs w:val="16"/>
              </w:rPr>
              <w:t>IZVORNI PRIHODI, od čega:</w:t>
            </w:r>
          </w:p>
        </w:tc>
        <w:tc>
          <w:tcPr>
            <w:tcW w:w="775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82,13</w:t>
            </w:r>
          </w:p>
        </w:tc>
        <w:tc>
          <w:tcPr>
            <w:tcW w:w="775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100,71</w:t>
            </w:r>
          </w:p>
        </w:tc>
        <w:tc>
          <w:tcPr>
            <w:tcW w:w="775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109,08</w:t>
            </w:r>
          </w:p>
        </w:tc>
        <w:tc>
          <w:tcPr>
            <w:tcW w:w="775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102,08</w:t>
            </w:r>
          </w:p>
        </w:tc>
        <w:tc>
          <w:tcPr>
            <w:tcW w:w="775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109,93</w:t>
            </w:r>
          </w:p>
        </w:tc>
        <w:tc>
          <w:tcPr>
            <w:tcW w:w="774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120,72</w:t>
            </w:r>
          </w:p>
        </w:tc>
        <w:tc>
          <w:tcPr>
            <w:tcW w:w="774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126,56</w:t>
            </w:r>
          </w:p>
        </w:tc>
        <w:tc>
          <w:tcPr>
            <w:tcW w:w="774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117,90</w:t>
            </w:r>
          </w:p>
        </w:tc>
        <w:tc>
          <w:tcPr>
            <w:tcW w:w="774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158,21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98,50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155,25</w:t>
            </w:r>
          </w:p>
        </w:tc>
        <w:tc>
          <w:tcPr>
            <w:tcW w:w="6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71,18</w:t>
            </w:r>
          </w:p>
        </w:tc>
        <w:tc>
          <w:tcPr>
            <w:tcW w:w="7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86,77</w:t>
            </w:r>
          </w:p>
        </w:tc>
        <w:tc>
          <w:tcPr>
            <w:tcW w:w="80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F3365">
              <w:rPr>
                <w:b/>
                <w:bCs/>
                <w:sz w:val="16"/>
                <w:szCs w:val="16"/>
              </w:rPr>
              <w:t>81,33</w:t>
            </w:r>
          </w:p>
        </w:tc>
        <w:tc>
          <w:tcPr>
            <w:tcW w:w="73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F3365">
              <w:rPr>
                <w:b/>
                <w:bCs/>
                <w:sz w:val="16"/>
                <w:szCs w:val="16"/>
              </w:rPr>
              <w:t>5,65</w:t>
            </w:r>
          </w:p>
        </w:tc>
        <w:tc>
          <w:tcPr>
            <w:tcW w:w="80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i/>
                <w:iCs/>
                <w:color w:val="000000"/>
                <w:sz w:val="16"/>
                <w:szCs w:val="16"/>
              </w:rPr>
              <w:t>3,30</w:t>
            </w:r>
          </w:p>
        </w:tc>
        <w:tc>
          <w:tcPr>
            <w:tcW w:w="91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F3365">
              <w:rPr>
                <w:b/>
                <w:bCs/>
                <w:sz w:val="16"/>
                <w:szCs w:val="16"/>
              </w:rPr>
              <w:t>6,69</w:t>
            </w:r>
          </w:p>
        </w:tc>
      </w:tr>
      <w:tr w:rsidR="003F3365" w:rsidRPr="003F3365" w:rsidTr="003F3365">
        <w:trPr>
          <w:trHeight w:val="315"/>
        </w:trPr>
        <w:tc>
          <w:tcPr>
            <w:tcW w:w="3233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rPr>
                <w:sz w:val="16"/>
                <w:szCs w:val="16"/>
              </w:rPr>
            </w:pPr>
            <w:r w:rsidRPr="003F3365">
              <w:rPr>
                <w:sz w:val="16"/>
                <w:szCs w:val="16"/>
              </w:rPr>
              <w:t>Porezi i doprinosi na  zarade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34,36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37,91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40,21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45,74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45,71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44,52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45,43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40,40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59,14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43,27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90,80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23,46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36,14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365">
              <w:rPr>
                <w:sz w:val="16"/>
                <w:szCs w:val="16"/>
              </w:rPr>
              <w:t>34,26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F3365">
              <w:rPr>
                <w:b/>
                <w:bCs/>
                <w:sz w:val="16"/>
                <w:szCs w:val="16"/>
              </w:rPr>
              <w:t>5,19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i/>
                <w:iCs/>
                <w:color w:val="000000"/>
                <w:sz w:val="16"/>
                <w:szCs w:val="16"/>
              </w:rPr>
              <w:t>7,22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F3365">
              <w:rPr>
                <w:b/>
                <w:bCs/>
                <w:sz w:val="16"/>
                <w:szCs w:val="16"/>
              </w:rPr>
              <w:t>5,49</w:t>
            </w:r>
          </w:p>
        </w:tc>
      </w:tr>
      <w:tr w:rsidR="003F3365" w:rsidRPr="003F3365" w:rsidTr="003F3365">
        <w:trPr>
          <w:trHeight w:val="300"/>
        </w:trPr>
        <w:tc>
          <w:tcPr>
            <w:tcW w:w="3233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rPr>
                <w:sz w:val="16"/>
                <w:szCs w:val="16"/>
              </w:rPr>
            </w:pPr>
            <w:r w:rsidRPr="003F3365">
              <w:rPr>
                <w:sz w:val="16"/>
                <w:szCs w:val="16"/>
              </w:rPr>
              <w:t>Porez na dobit pravnih lica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0,96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12,11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11,31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2,49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2,38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5,92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2,52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2,05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1,76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0,50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1,48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0,50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0,78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365">
              <w:rPr>
                <w:sz w:val="16"/>
                <w:szCs w:val="16"/>
              </w:rPr>
              <w:t>0,96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F3365">
              <w:rPr>
                <w:b/>
                <w:bCs/>
                <w:sz w:val="16"/>
                <w:szCs w:val="16"/>
              </w:rPr>
              <w:t>-18,81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i/>
                <w:iCs/>
                <w:color w:val="000000"/>
                <w:sz w:val="16"/>
                <w:szCs w:val="16"/>
              </w:rPr>
              <w:t>-48,86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F3365">
              <w:rPr>
                <w:b/>
                <w:bCs/>
                <w:sz w:val="16"/>
                <w:szCs w:val="16"/>
              </w:rPr>
              <w:t>-19,18</w:t>
            </w:r>
          </w:p>
        </w:tc>
      </w:tr>
      <w:tr w:rsidR="003F3365" w:rsidRPr="003F3365" w:rsidTr="003F3365">
        <w:trPr>
          <w:trHeight w:val="300"/>
        </w:trPr>
        <w:tc>
          <w:tcPr>
            <w:tcW w:w="3233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rPr>
                <w:sz w:val="16"/>
                <w:szCs w:val="16"/>
              </w:rPr>
            </w:pPr>
            <w:r w:rsidRPr="003F3365">
              <w:rPr>
                <w:sz w:val="16"/>
                <w:szCs w:val="16"/>
              </w:rPr>
              <w:t>Porez na dodatu vrijednost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31,16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34,92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39,01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33,08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37,06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45,61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49,64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49,31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74,54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33,89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37,18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31,20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32,50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365">
              <w:rPr>
                <w:sz w:val="16"/>
                <w:szCs w:val="16"/>
              </w:rPr>
              <w:t>29,92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F3365">
              <w:rPr>
                <w:b/>
                <w:bCs/>
                <w:sz w:val="16"/>
                <w:szCs w:val="16"/>
              </w:rPr>
              <w:t>4,32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i/>
                <w:iCs/>
                <w:color w:val="000000"/>
                <w:sz w:val="16"/>
                <w:szCs w:val="16"/>
              </w:rPr>
              <w:t>0,59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F3365">
              <w:rPr>
                <w:b/>
                <w:bCs/>
                <w:sz w:val="16"/>
                <w:szCs w:val="16"/>
              </w:rPr>
              <w:t>8,63</w:t>
            </w:r>
          </w:p>
        </w:tc>
      </w:tr>
      <w:tr w:rsidR="003F3365" w:rsidRPr="003F3365" w:rsidTr="003F3365">
        <w:trPr>
          <w:trHeight w:val="300"/>
        </w:trPr>
        <w:tc>
          <w:tcPr>
            <w:tcW w:w="3233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rPr>
                <w:sz w:val="16"/>
                <w:szCs w:val="16"/>
              </w:rPr>
            </w:pPr>
            <w:r w:rsidRPr="003F3365">
              <w:rPr>
                <w:sz w:val="16"/>
                <w:szCs w:val="16"/>
              </w:rPr>
              <w:t>Akcize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8,37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9,53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10,78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12,29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14,55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15,75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19,49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17,28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13,40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12,18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13,10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11,28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9,93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365">
              <w:rPr>
                <w:sz w:val="16"/>
                <w:szCs w:val="16"/>
              </w:rPr>
              <w:t>8,54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F3365">
              <w:rPr>
                <w:b/>
                <w:bCs/>
                <w:sz w:val="16"/>
                <w:szCs w:val="16"/>
              </w:rPr>
              <w:t>18,60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i/>
                <w:iCs/>
                <w:color w:val="000000"/>
                <w:sz w:val="16"/>
                <w:szCs w:val="16"/>
              </w:rPr>
              <w:t>17,10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F3365">
              <w:rPr>
                <w:b/>
                <w:bCs/>
                <w:sz w:val="16"/>
                <w:szCs w:val="16"/>
              </w:rPr>
              <w:t>16,22</w:t>
            </w:r>
          </w:p>
        </w:tc>
      </w:tr>
      <w:tr w:rsidR="003F3365" w:rsidRPr="003F3365" w:rsidTr="003F3365">
        <w:trPr>
          <w:trHeight w:val="315"/>
        </w:trPr>
        <w:tc>
          <w:tcPr>
            <w:tcW w:w="3233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rPr>
                <w:sz w:val="16"/>
                <w:szCs w:val="16"/>
              </w:rPr>
            </w:pPr>
            <w:r w:rsidRPr="003F3365">
              <w:rPr>
                <w:sz w:val="16"/>
                <w:szCs w:val="16"/>
              </w:rPr>
              <w:t>Porez na medj trgovinu i transak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1,30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1,64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1,83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1,87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2,14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2,58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2,35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2,20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1,43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1,97</w:t>
            </w:r>
          </w:p>
        </w:tc>
        <w:tc>
          <w:tcPr>
            <w:tcW w:w="69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1,07</w:t>
            </w:r>
          </w:p>
        </w:tc>
        <w:tc>
          <w:tcPr>
            <w:tcW w:w="7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1,44</w:t>
            </w:r>
          </w:p>
        </w:tc>
        <w:tc>
          <w:tcPr>
            <w:tcW w:w="80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365">
              <w:rPr>
                <w:sz w:val="16"/>
                <w:szCs w:val="16"/>
              </w:rPr>
              <w:t>1,33</w:t>
            </w:r>
          </w:p>
        </w:tc>
        <w:tc>
          <w:tcPr>
            <w:tcW w:w="73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F3365">
              <w:rPr>
                <w:b/>
                <w:bCs/>
                <w:sz w:val="16"/>
                <w:szCs w:val="16"/>
              </w:rPr>
              <w:t>11,00</w:t>
            </w:r>
          </w:p>
        </w:tc>
        <w:tc>
          <w:tcPr>
            <w:tcW w:w="80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i/>
                <w:iCs/>
                <w:color w:val="000000"/>
                <w:sz w:val="16"/>
                <w:szCs w:val="16"/>
              </w:rPr>
              <w:t>11,42</w:t>
            </w:r>
          </w:p>
        </w:tc>
        <w:tc>
          <w:tcPr>
            <w:tcW w:w="9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F3365">
              <w:rPr>
                <w:b/>
                <w:bCs/>
                <w:sz w:val="16"/>
                <w:szCs w:val="16"/>
              </w:rPr>
              <w:t>8,53</w:t>
            </w:r>
          </w:p>
        </w:tc>
      </w:tr>
      <w:tr w:rsidR="003F3365" w:rsidRPr="003F3365" w:rsidTr="003F3365">
        <w:trPr>
          <w:trHeight w:val="330"/>
        </w:trPr>
        <w:tc>
          <w:tcPr>
            <w:tcW w:w="3233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3F3365">
              <w:rPr>
                <w:b/>
                <w:bCs/>
                <w:sz w:val="16"/>
                <w:szCs w:val="16"/>
              </w:rPr>
              <w:t>IZDACI BUDŽETA, od čega :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90,55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117,73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124,04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107,60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115,30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118,22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116,09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122,09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159,65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111,38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173,92</w:t>
            </w:r>
          </w:p>
        </w:tc>
        <w:tc>
          <w:tcPr>
            <w:tcW w:w="6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93,12</w:t>
            </w:r>
          </w:p>
        </w:tc>
        <w:tc>
          <w:tcPr>
            <w:tcW w:w="7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108,06</w:t>
            </w:r>
          </w:p>
        </w:tc>
        <w:tc>
          <w:tcPr>
            <w:tcW w:w="80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F3365">
              <w:rPr>
                <w:b/>
                <w:bCs/>
                <w:sz w:val="16"/>
                <w:szCs w:val="16"/>
              </w:rPr>
              <w:t>130,41</w:t>
            </w:r>
          </w:p>
        </w:tc>
        <w:tc>
          <w:tcPr>
            <w:tcW w:w="73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F3365">
              <w:rPr>
                <w:b/>
                <w:bCs/>
                <w:sz w:val="16"/>
                <w:szCs w:val="16"/>
              </w:rPr>
              <w:t>19,33</w:t>
            </w:r>
          </w:p>
        </w:tc>
        <w:tc>
          <w:tcPr>
            <w:tcW w:w="80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i/>
                <w:iCs/>
                <w:color w:val="000000"/>
                <w:sz w:val="16"/>
                <w:szCs w:val="16"/>
              </w:rPr>
              <w:t>6,78</w:t>
            </w:r>
          </w:p>
        </w:tc>
        <w:tc>
          <w:tcPr>
            <w:tcW w:w="9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F3365">
              <w:rPr>
                <w:b/>
                <w:bCs/>
                <w:sz w:val="16"/>
                <w:szCs w:val="16"/>
              </w:rPr>
              <w:t>-17,14</w:t>
            </w:r>
          </w:p>
        </w:tc>
      </w:tr>
      <w:tr w:rsidR="003F3365" w:rsidRPr="003F3365" w:rsidTr="003F3365">
        <w:trPr>
          <w:trHeight w:val="315"/>
        </w:trPr>
        <w:tc>
          <w:tcPr>
            <w:tcW w:w="3233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rPr>
                <w:sz w:val="16"/>
                <w:szCs w:val="16"/>
              </w:rPr>
            </w:pPr>
            <w:r w:rsidRPr="003F3365">
              <w:rPr>
                <w:sz w:val="16"/>
                <w:szCs w:val="16"/>
              </w:rPr>
              <w:t>Bruto zarade i doprinosi na teret poslodavca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31,99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28,95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33,40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33,99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29,16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31,64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33,57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32,19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28,62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36,53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35,56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31,42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31,71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365">
              <w:rPr>
                <w:sz w:val="16"/>
                <w:szCs w:val="16"/>
              </w:rPr>
              <w:t>31,61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F3365">
              <w:rPr>
                <w:b/>
                <w:bCs/>
                <w:sz w:val="16"/>
                <w:szCs w:val="16"/>
              </w:rPr>
              <w:t>-0,87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i/>
                <w:iCs/>
                <w:color w:val="000000"/>
                <w:sz w:val="16"/>
                <w:szCs w:val="16"/>
              </w:rPr>
              <w:t>-0,95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F3365">
              <w:rPr>
                <w:b/>
                <w:bCs/>
                <w:sz w:val="16"/>
                <w:szCs w:val="16"/>
              </w:rPr>
              <w:t>0,31</w:t>
            </w:r>
          </w:p>
        </w:tc>
      </w:tr>
      <w:tr w:rsidR="003F3365" w:rsidRPr="003F3365" w:rsidTr="003F3365">
        <w:trPr>
          <w:trHeight w:val="300"/>
        </w:trPr>
        <w:tc>
          <w:tcPr>
            <w:tcW w:w="3233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rPr>
                <w:sz w:val="16"/>
                <w:szCs w:val="16"/>
              </w:rPr>
            </w:pPr>
            <w:r w:rsidRPr="003F3365">
              <w:rPr>
                <w:sz w:val="16"/>
                <w:szCs w:val="16"/>
              </w:rPr>
              <w:t>Rashodi za materijal i usluge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4,42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6,41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5,25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6,28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6,62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5,96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5,94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5,30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8,69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6,36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16,15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2,31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5,50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365">
              <w:rPr>
                <w:sz w:val="16"/>
                <w:szCs w:val="16"/>
              </w:rPr>
              <w:t>5,91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F3365">
              <w:rPr>
                <w:b/>
                <w:bCs/>
                <w:sz w:val="16"/>
                <w:szCs w:val="16"/>
              </w:rPr>
              <w:t>24,41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i/>
                <w:iCs/>
                <w:color w:val="000000"/>
                <w:sz w:val="16"/>
                <w:szCs w:val="16"/>
              </w:rPr>
              <w:t>3,51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F3365">
              <w:rPr>
                <w:b/>
                <w:bCs/>
                <w:sz w:val="16"/>
                <w:szCs w:val="16"/>
              </w:rPr>
              <w:t>-6,90</w:t>
            </w:r>
          </w:p>
        </w:tc>
      </w:tr>
      <w:tr w:rsidR="003F3365" w:rsidRPr="003F3365" w:rsidTr="003F3365">
        <w:trPr>
          <w:trHeight w:val="300"/>
        </w:trPr>
        <w:tc>
          <w:tcPr>
            <w:tcW w:w="3233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rPr>
                <w:sz w:val="16"/>
                <w:szCs w:val="16"/>
              </w:rPr>
            </w:pPr>
            <w:r w:rsidRPr="003F3365">
              <w:rPr>
                <w:sz w:val="16"/>
                <w:szCs w:val="16"/>
              </w:rPr>
              <w:t>Kamate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1,11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4,62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24,66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4,72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5,61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6,41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1,25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17,46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0,59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0,55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5,68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2,23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2,89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365">
              <w:rPr>
                <w:sz w:val="16"/>
                <w:szCs w:val="16"/>
              </w:rPr>
              <w:t>6,31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F3365">
              <w:rPr>
                <w:b/>
                <w:bCs/>
                <w:sz w:val="16"/>
                <w:szCs w:val="16"/>
              </w:rPr>
              <w:t>160,38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i/>
                <w:iCs/>
                <w:color w:val="000000"/>
                <w:sz w:val="16"/>
                <w:szCs w:val="16"/>
              </w:rPr>
              <w:t>49,68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F3365">
              <w:rPr>
                <w:b/>
                <w:bCs/>
                <w:sz w:val="16"/>
                <w:szCs w:val="16"/>
              </w:rPr>
              <w:t>-54,22</w:t>
            </w:r>
          </w:p>
        </w:tc>
      </w:tr>
      <w:tr w:rsidR="003F3365" w:rsidRPr="003F3365" w:rsidTr="003F3365">
        <w:trPr>
          <w:trHeight w:val="300"/>
        </w:trPr>
        <w:tc>
          <w:tcPr>
            <w:tcW w:w="3233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rPr>
                <w:sz w:val="16"/>
                <w:szCs w:val="16"/>
              </w:rPr>
            </w:pPr>
            <w:r w:rsidRPr="003F3365">
              <w:rPr>
                <w:sz w:val="16"/>
                <w:szCs w:val="16"/>
              </w:rPr>
              <w:t>Transferi za socijalnu zaštitu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41,43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41,91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40,42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40,51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40,39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42,65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41,82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39,29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40,46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40,89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42,84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39,79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40,07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365">
              <w:rPr>
                <w:sz w:val="16"/>
                <w:szCs w:val="16"/>
              </w:rPr>
              <w:t>42,07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F3365">
              <w:rPr>
                <w:b/>
                <w:bCs/>
                <w:sz w:val="16"/>
                <w:szCs w:val="16"/>
              </w:rPr>
              <w:t>-3,27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i/>
                <w:iCs/>
                <w:color w:val="000000"/>
                <w:sz w:val="16"/>
                <w:szCs w:val="16"/>
              </w:rPr>
              <w:t>-1,39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F3365">
              <w:rPr>
                <w:b/>
                <w:bCs/>
                <w:sz w:val="16"/>
                <w:szCs w:val="16"/>
              </w:rPr>
              <w:t>-4,75</w:t>
            </w:r>
          </w:p>
        </w:tc>
      </w:tr>
      <w:tr w:rsidR="003F3365" w:rsidRPr="003F3365" w:rsidTr="003F3365">
        <w:trPr>
          <w:trHeight w:val="300"/>
        </w:trPr>
        <w:tc>
          <w:tcPr>
            <w:tcW w:w="3233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rPr>
                <w:sz w:val="16"/>
                <w:szCs w:val="16"/>
              </w:rPr>
            </w:pPr>
            <w:r w:rsidRPr="003F3365">
              <w:rPr>
                <w:sz w:val="16"/>
                <w:szCs w:val="16"/>
              </w:rPr>
              <w:t>Transferi instit, pojed i NVO sektoru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3,67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11,94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8,80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7,96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8,71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7,34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8,85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7,11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13,73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4,71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11,50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11,46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6,75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365">
              <w:rPr>
                <w:sz w:val="16"/>
                <w:szCs w:val="16"/>
              </w:rPr>
              <w:t>10,69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F3365">
              <w:rPr>
                <w:b/>
                <w:bCs/>
                <w:sz w:val="16"/>
                <w:szCs w:val="16"/>
              </w:rPr>
              <w:t>84,07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i/>
                <w:iCs/>
                <w:color w:val="000000"/>
                <w:sz w:val="16"/>
                <w:szCs w:val="16"/>
              </w:rPr>
              <w:t>116,84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F3365">
              <w:rPr>
                <w:b/>
                <w:bCs/>
                <w:sz w:val="16"/>
                <w:szCs w:val="16"/>
              </w:rPr>
              <w:t>-36,84</w:t>
            </w:r>
          </w:p>
        </w:tc>
      </w:tr>
      <w:tr w:rsidR="003F3365" w:rsidRPr="003F3365" w:rsidTr="003F3365">
        <w:trPr>
          <w:trHeight w:val="315"/>
        </w:trPr>
        <w:tc>
          <w:tcPr>
            <w:tcW w:w="3233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rPr>
                <w:sz w:val="16"/>
                <w:szCs w:val="16"/>
              </w:rPr>
            </w:pPr>
            <w:r w:rsidRPr="003F3365">
              <w:rPr>
                <w:sz w:val="16"/>
                <w:szCs w:val="16"/>
              </w:rPr>
              <w:t>Kapitalni izdaci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1,07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6,63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3,85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6,72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6,75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6,63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9,38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5,21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56,13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10,75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24,72</w:t>
            </w:r>
          </w:p>
        </w:tc>
        <w:tc>
          <w:tcPr>
            <w:tcW w:w="69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0,27</w:t>
            </w:r>
          </w:p>
        </w:tc>
        <w:tc>
          <w:tcPr>
            <w:tcW w:w="7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13,35</w:t>
            </w:r>
          </w:p>
        </w:tc>
        <w:tc>
          <w:tcPr>
            <w:tcW w:w="80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365">
              <w:rPr>
                <w:sz w:val="16"/>
                <w:szCs w:val="16"/>
              </w:rPr>
              <w:t>24,88</w:t>
            </w:r>
          </w:p>
        </w:tc>
        <w:tc>
          <w:tcPr>
            <w:tcW w:w="73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F3365">
              <w:rPr>
                <w:b/>
                <w:bCs/>
                <w:sz w:val="16"/>
                <w:szCs w:val="16"/>
              </w:rPr>
              <w:t>1142,91</w:t>
            </w:r>
          </w:p>
        </w:tc>
        <w:tc>
          <w:tcPr>
            <w:tcW w:w="80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i/>
                <w:iCs/>
                <w:color w:val="000000"/>
                <w:sz w:val="16"/>
                <w:szCs w:val="16"/>
              </w:rPr>
              <w:t>395,75</w:t>
            </w:r>
          </w:p>
        </w:tc>
        <w:tc>
          <w:tcPr>
            <w:tcW w:w="9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F3365">
              <w:rPr>
                <w:b/>
                <w:bCs/>
                <w:sz w:val="16"/>
                <w:szCs w:val="16"/>
              </w:rPr>
              <w:t>-46,32</w:t>
            </w:r>
          </w:p>
        </w:tc>
      </w:tr>
      <w:tr w:rsidR="003F3365" w:rsidRPr="003F3365" w:rsidTr="003F3365">
        <w:trPr>
          <w:trHeight w:val="330"/>
        </w:trPr>
        <w:tc>
          <w:tcPr>
            <w:tcW w:w="3233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3F3365">
              <w:rPr>
                <w:b/>
                <w:bCs/>
                <w:sz w:val="16"/>
                <w:szCs w:val="16"/>
              </w:rPr>
              <w:t>Suficit / Deficit budžeta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-8,42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-17,02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-14,96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-5,52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-5,36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2,50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10,46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-4,19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-1,44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-12,89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-18,67</w:t>
            </w:r>
          </w:p>
        </w:tc>
        <w:tc>
          <w:tcPr>
            <w:tcW w:w="69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-21,94</w:t>
            </w:r>
          </w:p>
        </w:tc>
        <w:tc>
          <w:tcPr>
            <w:tcW w:w="7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-21,31</w:t>
            </w:r>
          </w:p>
        </w:tc>
        <w:tc>
          <w:tcPr>
            <w:tcW w:w="80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F3365">
              <w:rPr>
                <w:b/>
                <w:bCs/>
                <w:sz w:val="16"/>
                <w:szCs w:val="16"/>
              </w:rPr>
              <w:t>-49,09</w:t>
            </w:r>
          </w:p>
        </w:tc>
        <w:tc>
          <w:tcPr>
            <w:tcW w:w="73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F3365">
              <w:rPr>
                <w:b/>
                <w:bCs/>
                <w:sz w:val="16"/>
                <w:szCs w:val="16"/>
              </w:rPr>
              <w:t>152,96</w:t>
            </w:r>
          </w:p>
        </w:tc>
        <w:tc>
          <w:tcPr>
            <w:tcW w:w="80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i/>
                <w:iCs/>
                <w:color w:val="000000"/>
                <w:sz w:val="16"/>
                <w:szCs w:val="16"/>
              </w:rPr>
              <w:t>21,82</w:t>
            </w:r>
          </w:p>
        </w:tc>
        <w:tc>
          <w:tcPr>
            <w:tcW w:w="9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F3365">
              <w:rPr>
                <w:b/>
                <w:bCs/>
                <w:sz w:val="16"/>
                <w:szCs w:val="16"/>
              </w:rPr>
              <w:t>-56,59</w:t>
            </w:r>
          </w:p>
        </w:tc>
      </w:tr>
      <w:tr w:rsidR="003F3365" w:rsidRPr="003F3365" w:rsidTr="003F3365">
        <w:trPr>
          <w:trHeight w:val="315"/>
        </w:trPr>
        <w:tc>
          <w:tcPr>
            <w:tcW w:w="3233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rPr>
                <w:sz w:val="16"/>
                <w:szCs w:val="16"/>
              </w:rPr>
            </w:pPr>
            <w:r w:rsidRPr="003F3365">
              <w:rPr>
                <w:sz w:val="16"/>
                <w:szCs w:val="16"/>
              </w:rPr>
              <w:t>Primarni bilans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-7,31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-12,40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9,70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-0,79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0,25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8,91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11,71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13,27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-0,85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-12,33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-12,99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-19,73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-18,42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365">
              <w:rPr>
                <w:sz w:val="16"/>
                <w:szCs w:val="16"/>
              </w:rPr>
              <w:t>-42,77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F3365">
              <w:rPr>
                <w:b/>
                <w:bCs/>
                <w:sz w:val="16"/>
                <w:szCs w:val="16"/>
              </w:rPr>
              <w:t>151,83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i/>
                <w:iCs/>
                <w:color w:val="000000"/>
                <w:sz w:val="16"/>
                <w:szCs w:val="16"/>
              </w:rPr>
              <w:t>18,91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F3365">
              <w:rPr>
                <w:b/>
                <w:bCs/>
                <w:sz w:val="16"/>
                <w:szCs w:val="16"/>
              </w:rPr>
              <w:t>-56,94</w:t>
            </w:r>
          </w:p>
        </w:tc>
      </w:tr>
      <w:tr w:rsidR="003F3365" w:rsidRPr="003F3365" w:rsidTr="003F3365">
        <w:trPr>
          <w:trHeight w:val="315"/>
        </w:trPr>
        <w:tc>
          <w:tcPr>
            <w:tcW w:w="3233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rPr>
                <w:sz w:val="16"/>
                <w:szCs w:val="16"/>
              </w:rPr>
            </w:pPr>
            <w:r w:rsidRPr="003F3365">
              <w:rPr>
                <w:sz w:val="16"/>
                <w:szCs w:val="16"/>
              </w:rPr>
              <w:t>Otplata dugova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3,34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7,98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37,33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9,65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51,08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31,42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4,55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14,57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10,15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5,47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31,22</w:t>
            </w:r>
          </w:p>
        </w:tc>
        <w:tc>
          <w:tcPr>
            <w:tcW w:w="69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17,04</w:t>
            </w:r>
          </w:p>
        </w:tc>
        <w:tc>
          <w:tcPr>
            <w:tcW w:w="7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1,93</w:t>
            </w:r>
          </w:p>
        </w:tc>
        <w:tc>
          <w:tcPr>
            <w:tcW w:w="80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365">
              <w:rPr>
                <w:sz w:val="16"/>
                <w:szCs w:val="16"/>
              </w:rPr>
              <w:t>33,19</w:t>
            </w:r>
          </w:p>
        </w:tc>
        <w:tc>
          <w:tcPr>
            <w:tcW w:w="73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F3365">
              <w:rPr>
                <w:b/>
                <w:bCs/>
                <w:sz w:val="16"/>
                <w:szCs w:val="16"/>
              </w:rPr>
              <w:t>-42,06</w:t>
            </w:r>
          </w:p>
        </w:tc>
        <w:tc>
          <w:tcPr>
            <w:tcW w:w="80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i/>
                <w:iCs/>
                <w:color w:val="000000"/>
                <w:sz w:val="16"/>
                <w:szCs w:val="16"/>
              </w:rPr>
              <w:t>199,71</w:t>
            </w:r>
          </w:p>
        </w:tc>
        <w:tc>
          <w:tcPr>
            <w:tcW w:w="9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F3365">
              <w:rPr>
                <w:b/>
                <w:bCs/>
                <w:sz w:val="16"/>
                <w:szCs w:val="16"/>
              </w:rPr>
              <w:t>-94,18</w:t>
            </w:r>
          </w:p>
        </w:tc>
      </w:tr>
      <w:tr w:rsidR="003F3365" w:rsidRPr="003F3365" w:rsidTr="003F3365">
        <w:trPr>
          <w:trHeight w:val="330"/>
        </w:trPr>
        <w:tc>
          <w:tcPr>
            <w:tcW w:w="3233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3F3365">
              <w:rPr>
                <w:b/>
                <w:bCs/>
                <w:sz w:val="16"/>
                <w:szCs w:val="16"/>
              </w:rPr>
              <w:t>Državni dug (stanje duga)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1.950,70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2.006,00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1.990,30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2.180,50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2.022,10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1.985,20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1.982,50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1.969,53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1.964,90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1.961,90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1.893,40</w:t>
            </w:r>
          </w:p>
        </w:tc>
        <w:tc>
          <w:tcPr>
            <w:tcW w:w="6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F336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F336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F3365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3F3365" w:rsidRPr="003F3365" w:rsidTr="003F3365">
        <w:trPr>
          <w:trHeight w:val="315"/>
        </w:trPr>
        <w:tc>
          <w:tcPr>
            <w:tcW w:w="3233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rPr>
                <w:sz w:val="16"/>
                <w:szCs w:val="16"/>
              </w:rPr>
            </w:pPr>
            <w:r w:rsidRPr="003F3365">
              <w:rPr>
                <w:sz w:val="16"/>
                <w:szCs w:val="16"/>
              </w:rPr>
              <w:t>Domaći dug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513,40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572,60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588,10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583,30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438,30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412,10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406,90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394,93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392,20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389,80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381,20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365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365">
              <w:rPr>
                <w:sz w:val="16"/>
                <w:szCs w:val="16"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365">
              <w:rPr>
                <w:sz w:val="16"/>
                <w:szCs w:val="16"/>
              </w:rPr>
              <w:t>-</w:t>
            </w:r>
          </w:p>
        </w:tc>
      </w:tr>
      <w:tr w:rsidR="003F3365" w:rsidRPr="003F3365" w:rsidTr="003F3365">
        <w:trPr>
          <w:trHeight w:val="315"/>
        </w:trPr>
        <w:tc>
          <w:tcPr>
            <w:tcW w:w="3233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rPr>
                <w:sz w:val="16"/>
                <w:szCs w:val="16"/>
              </w:rPr>
            </w:pPr>
            <w:r w:rsidRPr="003F3365">
              <w:rPr>
                <w:sz w:val="16"/>
                <w:szCs w:val="16"/>
              </w:rPr>
              <w:t>Inostrani dug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1.437,30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1.433,40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1.402,20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1.597,20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1.583,80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1.573,10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1.575,60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1.574,60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1.572,70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1.572,10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1.561,70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365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365">
              <w:rPr>
                <w:sz w:val="16"/>
                <w:szCs w:val="16"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365">
              <w:rPr>
                <w:sz w:val="16"/>
                <w:szCs w:val="16"/>
              </w:rPr>
              <w:t>-</w:t>
            </w:r>
          </w:p>
        </w:tc>
      </w:tr>
      <w:tr w:rsidR="003F3365" w:rsidRPr="003F3365" w:rsidTr="003F3365">
        <w:trPr>
          <w:trHeight w:val="480"/>
        </w:trPr>
        <w:tc>
          <w:tcPr>
            <w:tcW w:w="3233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rPr>
                <w:sz w:val="16"/>
                <w:szCs w:val="16"/>
              </w:rPr>
            </w:pPr>
            <w:r w:rsidRPr="003F3365">
              <w:rPr>
                <w:sz w:val="16"/>
                <w:szCs w:val="16"/>
              </w:rPr>
              <w:t>Depoziti*     (U skladu sa Zakonom o budžetu i fiskalnoj odgovornosti)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F3365">
              <w:rPr>
                <w:color w:val="000000"/>
                <w:sz w:val="16"/>
                <w:szCs w:val="16"/>
              </w:rPr>
              <w:t>49,50</w:t>
            </w:r>
          </w:p>
        </w:tc>
        <w:tc>
          <w:tcPr>
            <w:tcW w:w="69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365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365">
              <w:rPr>
                <w:sz w:val="16"/>
                <w:szCs w:val="16"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F3365">
              <w:rPr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F3365" w:rsidRPr="003F3365" w:rsidRDefault="003F3365" w:rsidP="003F33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365">
              <w:rPr>
                <w:sz w:val="16"/>
                <w:szCs w:val="16"/>
              </w:rPr>
              <w:t>-</w:t>
            </w:r>
          </w:p>
        </w:tc>
      </w:tr>
    </w:tbl>
    <w:p w:rsidR="00782553" w:rsidRDefault="00782553" w:rsidP="00355F01">
      <w:pPr>
        <w:spacing w:after="0"/>
        <w:jc w:val="center"/>
        <w:outlineLvl w:val="0"/>
        <w:rPr>
          <w:noProof/>
          <w:sz w:val="17"/>
          <w:szCs w:val="16"/>
        </w:rPr>
      </w:pPr>
    </w:p>
    <w:p w:rsidR="00782553" w:rsidRDefault="00782553" w:rsidP="00355F01">
      <w:pPr>
        <w:spacing w:after="0"/>
        <w:jc w:val="center"/>
        <w:outlineLvl w:val="0"/>
        <w:rPr>
          <w:noProof/>
          <w:sz w:val="17"/>
          <w:szCs w:val="16"/>
        </w:rPr>
      </w:pPr>
    </w:p>
    <w:p w:rsidR="00782553" w:rsidRPr="00355F01" w:rsidRDefault="00782553" w:rsidP="00355F01">
      <w:pPr>
        <w:spacing w:after="0"/>
        <w:jc w:val="center"/>
        <w:outlineLvl w:val="0"/>
        <w:rPr>
          <w:noProof/>
          <w:sz w:val="17"/>
          <w:szCs w:val="16"/>
        </w:rPr>
      </w:pPr>
    </w:p>
    <w:p w:rsidR="006A50FA" w:rsidRPr="006A50FA" w:rsidRDefault="006A50FA" w:rsidP="006A50FA">
      <w:pPr>
        <w:spacing w:after="0" w:line="240" w:lineRule="auto"/>
        <w:rPr>
          <w:i/>
          <w:iCs/>
          <w:sz w:val="16"/>
          <w:szCs w:val="16"/>
        </w:rPr>
      </w:pPr>
      <w:r w:rsidRPr="006A50FA">
        <w:rPr>
          <w:i/>
          <w:iCs/>
          <w:sz w:val="16"/>
          <w:szCs w:val="16"/>
        </w:rPr>
        <w:t>Izvor: Ministarstvo finansija Crne Gore</w:t>
      </w:r>
    </w:p>
    <w:p w:rsidR="00A90070" w:rsidRDefault="00A90070" w:rsidP="00C45B95"/>
    <w:p w:rsidR="00C45B95" w:rsidRDefault="00C45B95" w:rsidP="00A423C3">
      <w:pPr>
        <w:pStyle w:val="NoSpacing"/>
        <w:outlineLvl w:val="0"/>
        <w:rPr>
          <w:bCs/>
          <w:noProof/>
          <w:color w:val="000000"/>
          <w:sz w:val="16"/>
          <w:szCs w:val="16"/>
        </w:rPr>
      </w:pPr>
    </w:p>
    <w:sectPr w:rsidR="00C45B95" w:rsidSect="00A90070">
      <w:pgSz w:w="16839" w:h="11907" w:orient="landscape" w:code="9"/>
      <w:pgMar w:top="284" w:right="426" w:bottom="284" w:left="25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E2C" w:rsidRDefault="00FA2E2C" w:rsidP="00965FCD">
      <w:pPr>
        <w:spacing w:after="0" w:line="240" w:lineRule="auto"/>
      </w:pPr>
      <w:r>
        <w:separator/>
      </w:r>
    </w:p>
  </w:endnote>
  <w:endnote w:type="continuationSeparator" w:id="1">
    <w:p w:rsidR="00FA2E2C" w:rsidRDefault="00FA2E2C" w:rsidP="0096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E2C" w:rsidRDefault="00FA2E2C" w:rsidP="00965FCD">
      <w:pPr>
        <w:spacing w:after="0" w:line="240" w:lineRule="auto"/>
      </w:pPr>
      <w:r>
        <w:separator/>
      </w:r>
    </w:p>
  </w:footnote>
  <w:footnote w:type="continuationSeparator" w:id="1">
    <w:p w:rsidR="00FA2E2C" w:rsidRDefault="00FA2E2C" w:rsidP="00965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2C1A"/>
    <w:multiLevelType w:val="hybridMultilevel"/>
    <w:tmpl w:val="30AA2F4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47929"/>
    <w:multiLevelType w:val="hybridMultilevel"/>
    <w:tmpl w:val="91FAB53C"/>
    <w:lvl w:ilvl="0" w:tplc="72EA05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416C16"/>
    <w:multiLevelType w:val="hybridMultilevel"/>
    <w:tmpl w:val="A8881E4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B535E"/>
    <w:multiLevelType w:val="hybridMultilevel"/>
    <w:tmpl w:val="23CE0FC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44420"/>
    <w:multiLevelType w:val="hybridMultilevel"/>
    <w:tmpl w:val="6D141CC4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A7F5D"/>
    <w:multiLevelType w:val="hybridMultilevel"/>
    <w:tmpl w:val="D5861986"/>
    <w:lvl w:ilvl="0" w:tplc="08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6B83CB2"/>
    <w:multiLevelType w:val="hybridMultilevel"/>
    <w:tmpl w:val="6DF487A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F455C5"/>
    <w:multiLevelType w:val="hybridMultilevel"/>
    <w:tmpl w:val="A3349FA2"/>
    <w:lvl w:ilvl="0" w:tplc="0D8ACA5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2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AD75D1E"/>
    <w:multiLevelType w:val="hybridMultilevel"/>
    <w:tmpl w:val="D1FE9B4C"/>
    <w:lvl w:ilvl="0" w:tplc="3CB0BA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D15614F"/>
    <w:multiLevelType w:val="hybridMultilevel"/>
    <w:tmpl w:val="9BF2355E"/>
    <w:lvl w:ilvl="0" w:tplc="08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E6489D"/>
    <w:multiLevelType w:val="hybridMultilevel"/>
    <w:tmpl w:val="FE768EF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3D37D0"/>
    <w:multiLevelType w:val="hybridMultilevel"/>
    <w:tmpl w:val="D4C08A40"/>
    <w:lvl w:ilvl="0" w:tplc="08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8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03C509B"/>
    <w:multiLevelType w:val="hybridMultilevel"/>
    <w:tmpl w:val="C694C4E4"/>
    <w:lvl w:ilvl="0" w:tplc="103E7AA0">
      <w:numFmt w:val="bullet"/>
      <w:lvlText w:val="*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8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21B54940"/>
    <w:multiLevelType w:val="hybridMultilevel"/>
    <w:tmpl w:val="E408973A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40F0C99"/>
    <w:multiLevelType w:val="hybridMultilevel"/>
    <w:tmpl w:val="3C02798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8668F7"/>
    <w:multiLevelType w:val="hybridMultilevel"/>
    <w:tmpl w:val="B6A42554"/>
    <w:lvl w:ilvl="0" w:tplc="85244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535C14"/>
    <w:multiLevelType w:val="hybridMultilevel"/>
    <w:tmpl w:val="8EEEE808"/>
    <w:lvl w:ilvl="0" w:tplc="5F662FB4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B03CE7"/>
    <w:multiLevelType w:val="hybridMultilevel"/>
    <w:tmpl w:val="9FECAB34"/>
    <w:lvl w:ilvl="0" w:tplc="7DA6C83E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  <w:sz w:val="20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F76453A"/>
    <w:multiLevelType w:val="hybridMultilevel"/>
    <w:tmpl w:val="C51085F4"/>
    <w:lvl w:ilvl="0" w:tplc="58DA0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FD6A9E"/>
    <w:multiLevelType w:val="hybridMultilevel"/>
    <w:tmpl w:val="7FB84D4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E02C45"/>
    <w:multiLevelType w:val="hybridMultilevel"/>
    <w:tmpl w:val="1324B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B60745"/>
    <w:multiLevelType w:val="hybridMultilevel"/>
    <w:tmpl w:val="1E52891C"/>
    <w:lvl w:ilvl="0" w:tplc="0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301141A"/>
    <w:multiLevelType w:val="hybridMultilevel"/>
    <w:tmpl w:val="D0A8692C"/>
    <w:lvl w:ilvl="0" w:tplc="08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5499401B"/>
    <w:multiLevelType w:val="hybridMultilevel"/>
    <w:tmpl w:val="31A4DA1E"/>
    <w:lvl w:ilvl="0" w:tplc="901E34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55BA0AB7"/>
    <w:multiLevelType w:val="hybridMultilevel"/>
    <w:tmpl w:val="75E8BCEE"/>
    <w:lvl w:ilvl="0" w:tplc="08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6A37EC6"/>
    <w:multiLevelType w:val="hybridMultilevel"/>
    <w:tmpl w:val="B78AAF86"/>
    <w:lvl w:ilvl="0" w:tplc="213C6408">
      <w:start w:val="1"/>
      <w:numFmt w:val="decimal"/>
      <w:lvlText w:val="%1."/>
      <w:lvlJc w:val="left"/>
      <w:pPr>
        <w:ind w:left="1800" w:hanging="360"/>
      </w:pPr>
      <w:rPr>
        <w:sz w:val="28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8C121CD"/>
    <w:multiLevelType w:val="hybridMultilevel"/>
    <w:tmpl w:val="F1943F8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1D6498"/>
    <w:multiLevelType w:val="hybridMultilevel"/>
    <w:tmpl w:val="D71CF91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1D2112"/>
    <w:multiLevelType w:val="hybridMultilevel"/>
    <w:tmpl w:val="B8425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6E7D4B"/>
    <w:multiLevelType w:val="hybridMultilevel"/>
    <w:tmpl w:val="31A4DA1E"/>
    <w:lvl w:ilvl="0" w:tplc="901E34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5ECC0A8D"/>
    <w:multiLevelType w:val="hybridMultilevel"/>
    <w:tmpl w:val="0A4EB86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097970"/>
    <w:multiLevelType w:val="hybridMultilevel"/>
    <w:tmpl w:val="31A4DA1E"/>
    <w:lvl w:ilvl="0" w:tplc="901E34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61246544"/>
    <w:multiLevelType w:val="hybridMultilevel"/>
    <w:tmpl w:val="3D148D9E"/>
    <w:lvl w:ilvl="0" w:tplc="B564503E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934FA9"/>
    <w:multiLevelType w:val="hybridMultilevel"/>
    <w:tmpl w:val="28C6A5DE"/>
    <w:lvl w:ilvl="0" w:tplc="A99EAD8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66417E"/>
    <w:multiLevelType w:val="hybridMultilevel"/>
    <w:tmpl w:val="62A2514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5E58CA"/>
    <w:multiLevelType w:val="hybridMultilevel"/>
    <w:tmpl w:val="F788E09E"/>
    <w:lvl w:ilvl="0" w:tplc="72EA05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215A22"/>
    <w:multiLevelType w:val="hybridMultilevel"/>
    <w:tmpl w:val="018EDD7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B52292"/>
    <w:multiLevelType w:val="hybridMultilevel"/>
    <w:tmpl w:val="C1E0685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>
    <w:nsid w:val="7D7715E1"/>
    <w:multiLevelType w:val="hybridMultilevel"/>
    <w:tmpl w:val="0016A4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9"/>
  </w:num>
  <w:num w:numId="3">
    <w:abstractNumId w:val="38"/>
  </w:num>
  <w:num w:numId="4">
    <w:abstractNumId w:val="26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28"/>
  </w:num>
  <w:num w:numId="8">
    <w:abstractNumId w:val="3"/>
  </w:num>
  <w:num w:numId="9">
    <w:abstractNumId w:val="0"/>
  </w:num>
  <w:num w:numId="10">
    <w:abstractNumId w:val="36"/>
  </w:num>
  <w:num w:numId="11">
    <w:abstractNumId w:val="2"/>
  </w:num>
  <w:num w:numId="12">
    <w:abstractNumId w:val="34"/>
  </w:num>
  <w:num w:numId="13">
    <w:abstractNumId w:val="30"/>
  </w:num>
  <w:num w:numId="14">
    <w:abstractNumId w:val="10"/>
  </w:num>
  <w:num w:numId="15">
    <w:abstractNumId w:val="8"/>
  </w:num>
  <w:num w:numId="16">
    <w:abstractNumId w:val="21"/>
  </w:num>
  <w:num w:numId="17">
    <w:abstractNumId w:val="12"/>
  </w:num>
  <w:num w:numId="18">
    <w:abstractNumId w:val="25"/>
  </w:num>
  <w:num w:numId="19">
    <w:abstractNumId w:val="11"/>
  </w:num>
  <w:num w:numId="20">
    <w:abstractNumId w:val="22"/>
  </w:num>
  <w:num w:numId="21">
    <w:abstractNumId w:val="24"/>
  </w:num>
  <w:num w:numId="22">
    <w:abstractNumId w:val="17"/>
  </w:num>
  <w:num w:numId="23">
    <w:abstractNumId w:val="16"/>
  </w:num>
  <w:num w:numId="24">
    <w:abstractNumId w:val="32"/>
  </w:num>
  <w:num w:numId="25">
    <w:abstractNumId w:val="6"/>
  </w:num>
  <w:num w:numId="26">
    <w:abstractNumId w:val="13"/>
  </w:num>
  <w:num w:numId="27">
    <w:abstractNumId w:val="29"/>
  </w:num>
  <w:num w:numId="28">
    <w:abstractNumId w:val="5"/>
  </w:num>
  <w:num w:numId="29">
    <w:abstractNumId w:val="7"/>
  </w:num>
  <w:num w:numId="30">
    <w:abstractNumId w:val="23"/>
  </w:num>
  <w:num w:numId="31">
    <w:abstractNumId w:val="33"/>
  </w:num>
  <w:num w:numId="32">
    <w:abstractNumId w:val="19"/>
  </w:num>
  <w:num w:numId="33">
    <w:abstractNumId w:val="37"/>
  </w:num>
  <w:num w:numId="3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14"/>
  </w:num>
  <w:num w:numId="37">
    <w:abstractNumId w:val="27"/>
  </w:num>
  <w:num w:numId="38">
    <w:abstractNumId w:val="18"/>
  </w:num>
  <w:num w:numId="39">
    <w:abstractNumId w:val="4"/>
  </w:num>
  <w:num w:numId="40">
    <w:abstractNumId w:val="1"/>
  </w:num>
  <w:num w:numId="41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61692"/>
    <w:rsid w:val="000000CB"/>
    <w:rsid w:val="00000106"/>
    <w:rsid w:val="000009E1"/>
    <w:rsid w:val="000010A3"/>
    <w:rsid w:val="00003D78"/>
    <w:rsid w:val="000040B3"/>
    <w:rsid w:val="00004B56"/>
    <w:rsid w:val="00005AD2"/>
    <w:rsid w:val="00005D5A"/>
    <w:rsid w:val="00007424"/>
    <w:rsid w:val="00012F84"/>
    <w:rsid w:val="0001459D"/>
    <w:rsid w:val="000147A0"/>
    <w:rsid w:val="00014AAB"/>
    <w:rsid w:val="00014D0B"/>
    <w:rsid w:val="00014E6A"/>
    <w:rsid w:val="0001641E"/>
    <w:rsid w:val="0001692A"/>
    <w:rsid w:val="00017070"/>
    <w:rsid w:val="00017AE3"/>
    <w:rsid w:val="0002071C"/>
    <w:rsid w:val="00021033"/>
    <w:rsid w:val="000216CA"/>
    <w:rsid w:val="000224B4"/>
    <w:rsid w:val="00022789"/>
    <w:rsid w:val="00022F81"/>
    <w:rsid w:val="0002327A"/>
    <w:rsid w:val="00024DC9"/>
    <w:rsid w:val="0002564B"/>
    <w:rsid w:val="00025AC0"/>
    <w:rsid w:val="000263A4"/>
    <w:rsid w:val="00026971"/>
    <w:rsid w:val="00027D5E"/>
    <w:rsid w:val="000300F0"/>
    <w:rsid w:val="00030DAB"/>
    <w:rsid w:val="000314E5"/>
    <w:rsid w:val="00031722"/>
    <w:rsid w:val="00031FAD"/>
    <w:rsid w:val="00032524"/>
    <w:rsid w:val="00032D34"/>
    <w:rsid w:val="0003370D"/>
    <w:rsid w:val="000341DE"/>
    <w:rsid w:val="00034923"/>
    <w:rsid w:val="0003497A"/>
    <w:rsid w:val="00034D42"/>
    <w:rsid w:val="00034F07"/>
    <w:rsid w:val="0003544A"/>
    <w:rsid w:val="00036822"/>
    <w:rsid w:val="000369E1"/>
    <w:rsid w:val="00037558"/>
    <w:rsid w:val="00037B58"/>
    <w:rsid w:val="0004205C"/>
    <w:rsid w:val="000421A3"/>
    <w:rsid w:val="00042CE6"/>
    <w:rsid w:val="00043DED"/>
    <w:rsid w:val="000449CD"/>
    <w:rsid w:val="00044CB0"/>
    <w:rsid w:val="00045654"/>
    <w:rsid w:val="00045D59"/>
    <w:rsid w:val="00046C9E"/>
    <w:rsid w:val="00050101"/>
    <w:rsid w:val="00050D3F"/>
    <w:rsid w:val="00050EAB"/>
    <w:rsid w:val="000525B8"/>
    <w:rsid w:val="00052732"/>
    <w:rsid w:val="00052BB7"/>
    <w:rsid w:val="00052DC4"/>
    <w:rsid w:val="00054068"/>
    <w:rsid w:val="000547A1"/>
    <w:rsid w:val="00054837"/>
    <w:rsid w:val="00055E5C"/>
    <w:rsid w:val="00055F78"/>
    <w:rsid w:val="0005630C"/>
    <w:rsid w:val="00056750"/>
    <w:rsid w:val="00056E43"/>
    <w:rsid w:val="000572EC"/>
    <w:rsid w:val="0005797E"/>
    <w:rsid w:val="000601A4"/>
    <w:rsid w:val="00060976"/>
    <w:rsid w:val="00061391"/>
    <w:rsid w:val="000624EE"/>
    <w:rsid w:val="00064395"/>
    <w:rsid w:val="000645F3"/>
    <w:rsid w:val="00065B6F"/>
    <w:rsid w:val="00067726"/>
    <w:rsid w:val="00067FD6"/>
    <w:rsid w:val="00070965"/>
    <w:rsid w:val="000712B9"/>
    <w:rsid w:val="0007229B"/>
    <w:rsid w:val="000734AF"/>
    <w:rsid w:val="00073786"/>
    <w:rsid w:val="0007424D"/>
    <w:rsid w:val="00074378"/>
    <w:rsid w:val="000746C7"/>
    <w:rsid w:val="000747AC"/>
    <w:rsid w:val="00074C3E"/>
    <w:rsid w:val="00074D69"/>
    <w:rsid w:val="0007530C"/>
    <w:rsid w:val="0007555E"/>
    <w:rsid w:val="000771F2"/>
    <w:rsid w:val="00077211"/>
    <w:rsid w:val="00080AEE"/>
    <w:rsid w:val="000812E2"/>
    <w:rsid w:val="0008138F"/>
    <w:rsid w:val="00082395"/>
    <w:rsid w:val="00082D87"/>
    <w:rsid w:val="000831EE"/>
    <w:rsid w:val="00083320"/>
    <w:rsid w:val="00084C03"/>
    <w:rsid w:val="00085B67"/>
    <w:rsid w:val="0008654B"/>
    <w:rsid w:val="00090FDD"/>
    <w:rsid w:val="00091154"/>
    <w:rsid w:val="00091539"/>
    <w:rsid w:val="000915D3"/>
    <w:rsid w:val="000917D8"/>
    <w:rsid w:val="000924C0"/>
    <w:rsid w:val="000925F7"/>
    <w:rsid w:val="00094311"/>
    <w:rsid w:val="000945C9"/>
    <w:rsid w:val="000947A0"/>
    <w:rsid w:val="0009505C"/>
    <w:rsid w:val="0009548F"/>
    <w:rsid w:val="000956EB"/>
    <w:rsid w:val="000959C4"/>
    <w:rsid w:val="000963A6"/>
    <w:rsid w:val="000963C2"/>
    <w:rsid w:val="00097527"/>
    <w:rsid w:val="00097E38"/>
    <w:rsid w:val="000A01B0"/>
    <w:rsid w:val="000A0BBC"/>
    <w:rsid w:val="000A1159"/>
    <w:rsid w:val="000A1459"/>
    <w:rsid w:val="000A14DA"/>
    <w:rsid w:val="000A2350"/>
    <w:rsid w:val="000A2E85"/>
    <w:rsid w:val="000A2F52"/>
    <w:rsid w:val="000A33CB"/>
    <w:rsid w:val="000A4226"/>
    <w:rsid w:val="000A42FE"/>
    <w:rsid w:val="000A43CE"/>
    <w:rsid w:val="000A47FF"/>
    <w:rsid w:val="000A4E37"/>
    <w:rsid w:val="000A5E23"/>
    <w:rsid w:val="000A787A"/>
    <w:rsid w:val="000A7FBB"/>
    <w:rsid w:val="000B19D0"/>
    <w:rsid w:val="000B1DD7"/>
    <w:rsid w:val="000B28FC"/>
    <w:rsid w:val="000B2B16"/>
    <w:rsid w:val="000B34E4"/>
    <w:rsid w:val="000B37A3"/>
    <w:rsid w:val="000B40A4"/>
    <w:rsid w:val="000B45AB"/>
    <w:rsid w:val="000B466A"/>
    <w:rsid w:val="000B4800"/>
    <w:rsid w:val="000B48EE"/>
    <w:rsid w:val="000B502D"/>
    <w:rsid w:val="000B54A3"/>
    <w:rsid w:val="000B5DD4"/>
    <w:rsid w:val="000B6252"/>
    <w:rsid w:val="000B62D3"/>
    <w:rsid w:val="000B67B1"/>
    <w:rsid w:val="000B69BF"/>
    <w:rsid w:val="000B788B"/>
    <w:rsid w:val="000B7AE2"/>
    <w:rsid w:val="000C06C5"/>
    <w:rsid w:val="000C0B0A"/>
    <w:rsid w:val="000C108E"/>
    <w:rsid w:val="000C1965"/>
    <w:rsid w:val="000C26C8"/>
    <w:rsid w:val="000C2FAD"/>
    <w:rsid w:val="000C3655"/>
    <w:rsid w:val="000C36DB"/>
    <w:rsid w:val="000C4998"/>
    <w:rsid w:val="000C5764"/>
    <w:rsid w:val="000C5FBB"/>
    <w:rsid w:val="000C65A2"/>
    <w:rsid w:val="000C6818"/>
    <w:rsid w:val="000C7278"/>
    <w:rsid w:val="000C72DD"/>
    <w:rsid w:val="000D0368"/>
    <w:rsid w:val="000D0374"/>
    <w:rsid w:val="000D09EB"/>
    <w:rsid w:val="000D0BE6"/>
    <w:rsid w:val="000D1AA8"/>
    <w:rsid w:val="000D2DFE"/>
    <w:rsid w:val="000D52CF"/>
    <w:rsid w:val="000D588E"/>
    <w:rsid w:val="000D5D48"/>
    <w:rsid w:val="000D5ED7"/>
    <w:rsid w:val="000D6CD4"/>
    <w:rsid w:val="000D6DF1"/>
    <w:rsid w:val="000D765B"/>
    <w:rsid w:val="000D7A66"/>
    <w:rsid w:val="000E13EB"/>
    <w:rsid w:val="000E2251"/>
    <w:rsid w:val="000E2351"/>
    <w:rsid w:val="000E294A"/>
    <w:rsid w:val="000E3987"/>
    <w:rsid w:val="000E40CC"/>
    <w:rsid w:val="000E4DD4"/>
    <w:rsid w:val="000E5DCB"/>
    <w:rsid w:val="000E6096"/>
    <w:rsid w:val="000E77A4"/>
    <w:rsid w:val="000E7A16"/>
    <w:rsid w:val="000E7E9D"/>
    <w:rsid w:val="000F1186"/>
    <w:rsid w:val="000F1AA9"/>
    <w:rsid w:val="000F260E"/>
    <w:rsid w:val="000F4D73"/>
    <w:rsid w:val="000F5B09"/>
    <w:rsid w:val="000F6577"/>
    <w:rsid w:val="000F6C6B"/>
    <w:rsid w:val="000F756E"/>
    <w:rsid w:val="000F7DDF"/>
    <w:rsid w:val="00100371"/>
    <w:rsid w:val="001021CB"/>
    <w:rsid w:val="00102786"/>
    <w:rsid w:val="001030CC"/>
    <w:rsid w:val="0010339D"/>
    <w:rsid w:val="00103CA9"/>
    <w:rsid w:val="001040F3"/>
    <w:rsid w:val="0010452C"/>
    <w:rsid w:val="00105AEF"/>
    <w:rsid w:val="00106446"/>
    <w:rsid w:val="0010656B"/>
    <w:rsid w:val="00107128"/>
    <w:rsid w:val="00107647"/>
    <w:rsid w:val="00107A07"/>
    <w:rsid w:val="00111C8A"/>
    <w:rsid w:val="001124C4"/>
    <w:rsid w:val="001124FF"/>
    <w:rsid w:val="00112853"/>
    <w:rsid w:val="00112E23"/>
    <w:rsid w:val="00114109"/>
    <w:rsid w:val="001141E2"/>
    <w:rsid w:val="00114378"/>
    <w:rsid w:val="00115519"/>
    <w:rsid w:val="00115C83"/>
    <w:rsid w:val="00116365"/>
    <w:rsid w:val="001164A1"/>
    <w:rsid w:val="00116A8F"/>
    <w:rsid w:val="00117AB0"/>
    <w:rsid w:val="001209D0"/>
    <w:rsid w:val="00120A3A"/>
    <w:rsid w:val="00123909"/>
    <w:rsid w:val="00123BF5"/>
    <w:rsid w:val="00123CBD"/>
    <w:rsid w:val="00124730"/>
    <w:rsid w:val="001251D5"/>
    <w:rsid w:val="0012708A"/>
    <w:rsid w:val="0012719F"/>
    <w:rsid w:val="001276C7"/>
    <w:rsid w:val="00127B5A"/>
    <w:rsid w:val="00130DCC"/>
    <w:rsid w:val="00131185"/>
    <w:rsid w:val="001321AB"/>
    <w:rsid w:val="001326B7"/>
    <w:rsid w:val="00134816"/>
    <w:rsid w:val="00134A21"/>
    <w:rsid w:val="00134C6C"/>
    <w:rsid w:val="00136C72"/>
    <w:rsid w:val="00136E70"/>
    <w:rsid w:val="00141D67"/>
    <w:rsid w:val="00141FDD"/>
    <w:rsid w:val="00143FCB"/>
    <w:rsid w:val="00144C86"/>
    <w:rsid w:val="00144EE5"/>
    <w:rsid w:val="0014607D"/>
    <w:rsid w:val="00147278"/>
    <w:rsid w:val="00150230"/>
    <w:rsid w:val="00150707"/>
    <w:rsid w:val="00151155"/>
    <w:rsid w:val="00152409"/>
    <w:rsid w:val="00152E4F"/>
    <w:rsid w:val="001530CE"/>
    <w:rsid w:val="0015322D"/>
    <w:rsid w:val="00153490"/>
    <w:rsid w:val="00154145"/>
    <w:rsid w:val="0015515C"/>
    <w:rsid w:val="00156C2D"/>
    <w:rsid w:val="00156E33"/>
    <w:rsid w:val="001575F1"/>
    <w:rsid w:val="00157601"/>
    <w:rsid w:val="001577A1"/>
    <w:rsid w:val="00160183"/>
    <w:rsid w:val="00160A29"/>
    <w:rsid w:val="001610BD"/>
    <w:rsid w:val="001613FC"/>
    <w:rsid w:val="001627A3"/>
    <w:rsid w:val="00163041"/>
    <w:rsid w:val="00163A7B"/>
    <w:rsid w:val="00163AF0"/>
    <w:rsid w:val="001644C7"/>
    <w:rsid w:val="001646BA"/>
    <w:rsid w:val="00165773"/>
    <w:rsid w:val="00165DE6"/>
    <w:rsid w:val="00167281"/>
    <w:rsid w:val="001672AB"/>
    <w:rsid w:val="001678F1"/>
    <w:rsid w:val="001708D0"/>
    <w:rsid w:val="00170C82"/>
    <w:rsid w:val="00170CCE"/>
    <w:rsid w:val="00172053"/>
    <w:rsid w:val="00172816"/>
    <w:rsid w:val="00172D59"/>
    <w:rsid w:val="00172F78"/>
    <w:rsid w:val="001730BE"/>
    <w:rsid w:val="00174836"/>
    <w:rsid w:val="00174FD6"/>
    <w:rsid w:val="0017540F"/>
    <w:rsid w:val="001754F5"/>
    <w:rsid w:val="0017563A"/>
    <w:rsid w:val="00175718"/>
    <w:rsid w:val="00177AD9"/>
    <w:rsid w:val="00181309"/>
    <w:rsid w:val="001824C2"/>
    <w:rsid w:val="00182872"/>
    <w:rsid w:val="0018289E"/>
    <w:rsid w:val="0018331D"/>
    <w:rsid w:val="00184FDC"/>
    <w:rsid w:val="0018592D"/>
    <w:rsid w:val="0018626E"/>
    <w:rsid w:val="0018666E"/>
    <w:rsid w:val="00186BEF"/>
    <w:rsid w:val="00186F09"/>
    <w:rsid w:val="0018794A"/>
    <w:rsid w:val="00187C66"/>
    <w:rsid w:val="00190285"/>
    <w:rsid w:val="00191F90"/>
    <w:rsid w:val="00192506"/>
    <w:rsid w:val="00192F1E"/>
    <w:rsid w:val="00193080"/>
    <w:rsid w:val="001931C2"/>
    <w:rsid w:val="00193785"/>
    <w:rsid w:val="001942BA"/>
    <w:rsid w:val="001971A8"/>
    <w:rsid w:val="001A0035"/>
    <w:rsid w:val="001A0A6C"/>
    <w:rsid w:val="001A2829"/>
    <w:rsid w:val="001A2F7A"/>
    <w:rsid w:val="001A392F"/>
    <w:rsid w:val="001A594D"/>
    <w:rsid w:val="001A5B99"/>
    <w:rsid w:val="001A65F4"/>
    <w:rsid w:val="001A7319"/>
    <w:rsid w:val="001A783E"/>
    <w:rsid w:val="001B0396"/>
    <w:rsid w:val="001B1D1D"/>
    <w:rsid w:val="001B259F"/>
    <w:rsid w:val="001B25FF"/>
    <w:rsid w:val="001B3267"/>
    <w:rsid w:val="001B399F"/>
    <w:rsid w:val="001B3BE3"/>
    <w:rsid w:val="001B4CB9"/>
    <w:rsid w:val="001B4F99"/>
    <w:rsid w:val="001B6D24"/>
    <w:rsid w:val="001B725A"/>
    <w:rsid w:val="001B7AD0"/>
    <w:rsid w:val="001B7C2A"/>
    <w:rsid w:val="001B7D00"/>
    <w:rsid w:val="001C0237"/>
    <w:rsid w:val="001C0AB4"/>
    <w:rsid w:val="001C1490"/>
    <w:rsid w:val="001C1928"/>
    <w:rsid w:val="001C1F7E"/>
    <w:rsid w:val="001C2278"/>
    <w:rsid w:val="001C22CB"/>
    <w:rsid w:val="001C23DD"/>
    <w:rsid w:val="001C264C"/>
    <w:rsid w:val="001C2751"/>
    <w:rsid w:val="001C51EC"/>
    <w:rsid w:val="001C5CE9"/>
    <w:rsid w:val="001C6120"/>
    <w:rsid w:val="001C6698"/>
    <w:rsid w:val="001C6750"/>
    <w:rsid w:val="001C6781"/>
    <w:rsid w:val="001C6817"/>
    <w:rsid w:val="001C6D1F"/>
    <w:rsid w:val="001C70BA"/>
    <w:rsid w:val="001D0226"/>
    <w:rsid w:val="001D0A32"/>
    <w:rsid w:val="001D21BD"/>
    <w:rsid w:val="001D37FD"/>
    <w:rsid w:val="001D4E81"/>
    <w:rsid w:val="001D7822"/>
    <w:rsid w:val="001E2403"/>
    <w:rsid w:val="001E29C8"/>
    <w:rsid w:val="001E29D1"/>
    <w:rsid w:val="001E2BC7"/>
    <w:rsid w:val="001E33FE"/>
    <w:rsid w:val="001E4EAE"/>
    <w:rsid w:val="001E53D5"/>
    <w:rsid w:val="001E5BE3"/>
    <w:rsid w:val="001E5E69"/>
    <w:rsid w:val="001E698E"/>
    <w:rsid w:val="001F1378"/>
    <w:rsid w:val="001F19CC"/>
    <w:rsid w:val="001F27F8"/>
    <w:rsid w:val="001F2B57"/>
    <w:rsid w:val="001F3E69"/>
    <w:rsid w:val="001F4118"/>
    <w:rsid w:val="001F4C02"/>
    <w:rsid w:val="001F69DD"/>
    <w:rsid w:val="001F7445"/>
    <w:rsid w:val="001F7741"/>
    <w:rsid w:val="001F7C33"/>
    <w:rsid w:val="001F7C4B"/>
    <w:rsid w:val="002000E5"/>
    <w:rsid w:val="00200602"/>
    <w:rsid w:val="00200A3F"/>
    <w:rsid w:val="002010F0"/>
    <w:rsid w:val="00201AEB"/>
    <w:rsid w:val="0020246C"/>
    <w:rsid w:val="00203447"/>
    <w:rsid w:val="0020440D"/>
    <w:rsid w:val="002049C0"/>
    <w:rsid w:val="00205D15"/>
    <w:rsid w:val="00205E88"/>
    <w:rsid w:val="00206062"/>
    <w:rsid w:val="0020648A"/>
    <w:rsid w:val="00207613"/>
    <w:rsid w:val="00207B53"/>
    <w:rsid w:val="0021042E"/>
    <w:rsid w:val="00212126"/>
    <w:rsid w:val="00212633"/>
    <w:rsid w:val="002127F9"/>
    <w:rsid w:val="002128D8"/>
    <w:rsid w:val="002129D4"/>
    <w:rsid w:val="00212CDE"/>
    <w:rsid w:val="002135A2"/>
    <w:rsid w:val="002138EC"/>
    <w:rsid w:val="0021614C"/>
    <w:rsid w:val="002167C4"/>
    <w:rsid w:val="00216C6D"/>
    <w:rsid w:val="00220834"/>
    <w:rsid w:val="00220B59"/>
    <w:rsid w:val="002210E9"/>
    <w:rsid w:val="00222175"/>
    <w:rsid w:val="0022227F"/>
    <w:rsid w:val="00223E45"/>
    <w:rsid w:val="00224AD0"/>
    <w:rsid w:val="00224D43"/>
    <w:rsid w:val="002251C3"/>
    <w:rsid w:val="00225534"/>
    <w:rsid w:val="00225F74"/>
    <w:rsid w:val="002260FD"/>
    <w:rsid w:val="002263B3"/>
    <w:rsid w:val="0022695C"/>
    <w:rsid w:val="0022764C"/>
    <w:rsid w:val="00227682"/>
    <w:rsid w:val="00227D75"/>
    <w:rsid w:val="0023090D"/>
    <w:rsid w:val="00230C34"/>
    <w:rsid w:val="00230DE8"/>
    <w:rsid w:val="00230FA2"/>
    <w:rsid w:val="00231268"/>
    <w:rsid w:val="00232185"/>
    <w:rsid w:val="00232A05"/>
    <w:rsid w:val="00233D4D"/>
    <w:rsid w:val="0023443E"/>
    <w:rsid w:val="00234902"/>
    <w:rsid w:val="00235857"/>
    <w:rsid w:val="00236B99"/>
    <w:rsid w:val="00237066"/>
    <w:rsid w:val="00237CC5"/>
    <w:rsid w:val="00240136"/>
    <w:rsid w:val="002402C1"/>
    <w:rsid w:val="002402CA"/>
    <w:rsid w:val="00240CF4"/>
    <w:rsid w:val="002417C5"/>
    <w:rsid w:val="00242535"/>
    <w:rsid w:val="002427AE"/>
    <w:rsid w:val="00243419"/>
    <w:rsid w:val="00245A6C"/>
    <w:rsid w:val="00245B04"/>
    <w:rsid w:val="00247F1B"/>
    <w:rsid w:val="002503CE"/>
    <w:rsid w:val="0025102C"/>
    <w:rsid w:val="0025137D"/>
    <w:rsid w:val="00252FF6"/>
    <w:rsid w:val="002537BD"/>
    <w:rsid w:val="00253ECF"/>
    <w:rsid w:val="00253F71"/>
    <w:rsid w:val="00256550"/>
    <w:rsid w:val="0025757E"/>
    <w:rsid w:val="00257D9D"/>
    <w:rsid w:val="00257EFB"/>
    <w:rsid w:val="00260066"/>
    <w:rsid w:val="00260465"/>
    <w:rsid w:val="00260688"/>
    <w:rsid w:val="00260976"/>
    <w:rsid w:val="00260EF0"/>
    <w:rsid w:val="002611D1"/>
    <w:rsid w:val="0026475B"/>
    <w:rsid w:val="0026489F"/>
    <w:rsid w:val="00265023"/>
    <w:rsid w:val="002650CF"/>
    <w:rsid w:val="00265406"/>
    <w:rsid w:val="00265A3D"/>
    <w:rsid w:val="002662BE"/>
    <w:rsid w:val="002668AA"/>
    <w:rsid w:val="0026780C"/>
    <w:rsid w:val="002679BB"/>
    <w:rsid w:val="0027004E"/>
    <w:rsid w:val="00270FD9"/>
    <w:rsid w:val="002717A8"/>
    <w:rsid w:val="0027226D"/>
    <w:rsid w:val="002723A7"/>
    <w:rsid w:val="002723D9"/>
    <w:rsid w:val="00273280"/>
    <w:rsid w:val="00273D6D"/>
    <w:rsid w:val="0027442C"/>
    <w:rsid w:val="00274EBC"/>
    <w:rsid w:val="00275609"/>
    <w:rsid w:val="0027672F"/>
    <w:rsid w:val="0027697B"/>
    <w:rsid w:val="0027775D"/>
    <w:rsid w:val="00280105"/>
    <w:rsid w:val="00281E75"/>
    <w:rsid w:val="0028233F"/>
    <w:rsid w:val="002823F9"/>
    <w:rsid w:val="00282488"/>
    <w:rsid w:val="00282B2B"/>
    <w:rsid w:val="00282DBE"/>
    <w:rsid w:val="00283704"/>
    <w:rsid w:val="00283DB5"/>
    <w:rsid w:val="002843B8"/>
    <w:rsid w:val="00284B2C"/>
    <w:rsid w:val="00285B0F"/>
    <w:rsid w:val="00287019"/>
    <w:rsid w:val="00287A18"/>
    <w:rsid w:val="00290CF1"/>
    <w:rsid w:val="002916F7"/>
    <w:rsid w:val="0029214C"/>
    <w:rsid w:val="00292EC3"/>
    <w:rsid w:val="00294586"/>
    <w:rsid w:val="00294DE0"/>
    <w:rsid w:val="00296127"/>
    <w:rsid w:val="002961DB"/>
    <w:rsid w:val="00296B08"/>
    <w:rsid w:val="002977E4"/>
    <w:rsid w:val="00297AC4"/>
    <w:rsid w:val="002A046A"/>
    <w:rsid w:val="002A0CAC"/>
    <w:rsid w:val="002A0D49"/>
    <w:rsid w:val="002A10A8"/>
    <w:rsid w:val="002A1639"/>
    <w:rsid w:val="002A1B2B"/>
    <w:rsid w:val="002A1CC2"/>
    <w:rsid w:val="002A1DC4"/>
    <w:rsid w:val="002A235B"/>
    <w:rsid w:val="002A2BD6"/>
    <w:rsid w:val="002A2CED"/>
    <w:rsid w:val="002A4910"/>
    <w:rsid w:val="002A5A8C"/>
    <w:rsid w:val="002A5C73"/>
    <w:rsid w:val="002A68B8"/>
    <w:rsid w:val="002B0705"/>
    <w:rsid w:val="002B0DED"/>
    <w:rsid w:val="002B10AE"/>
    <w:rsid w:val="002B210C"/>
    <w:rsid w:val="002B318C"/>
    <w:rsid w:val="002B3824"/>
    <w:rsid w:val="002B5129"/>
    <w:rsid w:val="002B552A"/>
    <w:rsid w:val="002B74C5"/>
    <w:rsid w:val="002B77D8"/>
    <w:rsid w:val="002B7CC9"/>
    <w:rsid w:val="002C010C"/>
    <w:rsid w:val="002C095E"/>
    <w:rsid w:val="002C1A52"/>
    <w:rsid w:val="002C1FBF"/>
    <w:rsid w:val="002C25C6"/>
    <w:rsid w:val="002C2DFD"/>
    <w:rsid w:val="002C3F24"/>
    <w:rsid w:val="002C454A"/>
    <w:rsid w:val="002C4737"/>
    <w:rsid w:val="002C47B8"/>
    <w:rsid w:val="002C4845"/>
    <w:rsid w:val="002C4A81"/>
    <w:rsid w:val="002C6888"/>
    <w:rsid w:val="002C75B9"/>
    <w:rsid w:val="002C78FB"/>
    <w:rsid w:val="002C7BD3"/>
    <w:rsid w:val="002D0814"/>
    <w:rsid w:val="002D0F81"/>
    <w:rsid w:val="002D170B"/>
    <w:rsid w:val="002D175D"/>
    <w:rsid w:val="002D2E80"/>
    <w:rsid w:val="002D3579"/>
    <w:rsid w:val="002D3B0F"/>
    <w:rsid w:val="002D4073"/>
    <w:rsid w:val="002D447A"/>
    <w:rsid w:val="002D4C71"/>
    <w:rsid w:val="002D4C76"/>
    <w:rsid w:val="002D4CDE"/>
    <w:rsid w:val="002D5187"/>
    <w:rsid w:val="002D54A4"/>
    <w:rsid w:val="002D5865"/>
    <w:rsid w:val="002D6027"/>
    <w:rsid w:val="002D6F60"/>
    <w:rsid w:val="002D77A7"/>
    <w:rsid w:val="002D7BA6"/>
    <w:rsid w:val="002E068D"/>
    <w:rsid w:val="002E294A"/>
    <w:rsid w:val="002E3693"/>
    <w:rsid w:val="002E4D6D"/>
    <w:rsid w:val="002E6CB0"/>
    <w:rsid w:val="002F03B5"/>
    <w:rsid w:val="002F184C"/>
    <w:rsid w:val="002F19E7"/>
    <w:rsid w:val="002F2166"/>
    <w:rsid w:val="002F323A"/>
    <w:rsid w:val="002F3B70"/>
    <w:rsid w:val="002F47D9"/>
    <w:rsid w:val="002F5002"/>
    <w:rsid w:val="002F567B"/>
    <w:rsid w:val="002F579B"/>
    <w:rsid w:val="002F58BF"/>
    <w:rsid w:val="002F58EC"/>
    <w:rsid w:val="002F5EEC"/>
    <w:rsid w:val="002F6AB2"/>
    <w:rsid w:val="002F707E"/>
    <w:rsid w:val="002F7C7C"/>
    <w:rsid w:val="002F7DB2"/>
    <w:rsid w:val="003004B8"/>
    <w:rsid w:val="003022A7"/>
    <w:rsid w:val="00303173"/>
    <w:rsid w:val="00303D85"/>
    <w:rsid w:val="00303F02"/>
    <w:rsid w:val="0030680B"/>
    <w:rsid w:val="00307430"/>
    <w:rsid w:val="00307512"/>
    <w:rsid w:val="00307F4D"/>
    <w:rsid w:val="0031098B"/>
    <w:rsid w:val="00311A9D"/>
    <w:rsid w:val="00312994"/>
    <w:rsid w:val="003133F9"/>
    <w:rsid w:val="0031387C"/>
    <w:rsid w:val="00313CA3"/>
    <w:rsid w:val="00314EC3"/>
    <w:rsid w:val="0031558E"/>
    <w:rsid w:val="00315780"/>
    <w:rsid w:val="00315B94"/>
    <w:rsid w:val="003165E5"/>
    <w:rsid w:val="003201BC"/>
    <w:rsid w:val="00320293"/>
    <w:rsid w:val="003212E4"/>
    <w:rsid w:val="003217C9"/>
    <w:rsid w:val="00321CA6"/>
    <w:rsid w:val="00322238"/>
    <w:rsid w:val="00322DF3"/>
    <w:rsid w:val="00323E6A"/>
    <w:rsid w:val="00325C96"/>
    <w:rsid w:val="00326769"/>
    <w:rsid w:val="00327AC3"/>
    <w:rsid w:val="00327BFC"/>
    <w:rsid w:val="00330832"/>
    <w:rsid w:val="00330C13"/>
    <w:rsid w:val="00331520"/>
    <w:rsid w:val="00331B5C"/>
    <w:rsid w:val="00331C0E"/>
    <w:rsid w:val="00331D9F"/>
    <w:rsid w:val="003324D9"/>
    <w:rsid w:val="00332574"/>
    <w:rsid w:val="0033273E"/>
    <w:rsid w:val="0033276A"/>
    <w:rsid w:val="0033283B"/>
    <w:rsid w:val="00333C49"/>
    <w:rsid w:val="00336033"/>
    <w:rsid w:val="0033636B"/>
    <w:rsid w:val="00337362"/>
    <w:rsid w:val="00337648"/>
    <w:rsid w:val="00340752"/>
    <w:rsid w:val="00340909"/>
    <w:rsid w:val="003409C9"/>
    <w:rsid w:val="00341583"/>
    <w:rsid w:val="00341F7C"/>
    <w:rsid w:val="00343EC3"/>
    <w:rsid w:val="00344581"/>
    <w:rsid w:val="00344DF2"/>
    <w:rsid w:val="003454A9"/>
    <w:rsid w:val="00345ADD"/>
    <w:rsid w:val="0034655C"/>
    <w:rsid w:val="00346A8A"/>
    <w:rsid w:val="00346FFA"/>
    <w:rsid w:val="00347594"/>
    <w:rsid w:val="00350496"/>
    <w:rsid w:val="00350CFE"/>
    <w:rsid w:val="0035139C"/>
    <w:rsid w:val="003524FD"/>
    <w:rsid w:val="00354DDA"/>
    <w:rsid w:val="00355F01"/>
    <w:rsid w:val="003561B8"/>
    <w:rsid w:val="003568F4"/>
    <w:rsid w:val="00357182"/>
    <w:rsid w:val="00357B8D"/>
    <w:rsid w:val="00357E66"/>
    <w:rsid w:val="00360100"/>
    <w:rsid w:val="00360197"/>
    <w:rsid w:val="00361309"/>
    <w:rsid w:val="00361C27"/>
    <w:rsid w:val="003625F1"/>
    <w:rsid w:val="00362CC0"/>
    <w:rsid w:val="003634DC"/>
    <w:rsid w:val="003638CF"/>
    <w:rsid w:val="00363A53"/>
    <w:rsid w:val="00363C84"/>
    <w:rsid w:val="00364D14"/>
    <w:rsid w:val="00365311"/>
    <w:rsid w:val="003655B6"/>
    <w:rsid w:val="00365E46"/>
    <w:rsid w:val="00366100"/>
    <w:rsid w:val="003667BB"/>
    <w:rsid w:val="00366F41"/>
    <w:rsid w:val="00367D77"/>
    <w:rsid w:val="003724C4"/>
    <w:rsid w:val="00375E12"/>
    <w:rsid w:val="00376523"/>
    <w:rsid w:val="0037726C"/>
    <w:rsid w:val="00377697"/>
    <w:rsid w:val="00377A53"/>
    <w:rsid w:val="003804E7"/>
    <w:rsid w:val="003809F3"/>
    <w:rsid w:val="0038117E"/>
    <w:rsid w:val="0038135E"/>
    <w:rsid w:val="003813A6"/>
    <w:rsid w:val="00381900"/>
    <w:rsid w:val="00381B03"/>
    <w:rsid w:val="0038259A"/>
    <w:rsid w:val="00382F01"/>
    <w:rsid w:val="00384476"/>
    <w:rsid w:val="003846BE"/>
    <w:rsid w:val="00384DC2"/>
    <w:rsid w:val="003873E1"/>
    <w:rsid w:val="00387C29"/>
    <w:rsid w:val="00387DAD"/>
    <w:rsid w:val="0039047F"/>
    <w:rsid w:val="00390732"/>
    <w:rsid w:val="00391CC7"/>
    <w:rsid w:val="0039257B"/>
    <w:rsid w:val="003935B1"/>
    <w:rsid w:val="0039441A"/>
    <w:rsid w:val="00395C18"/>
    <w:rsid w:val="003965DA"/>
    <w:rsid w:val="00396D7E"/>
    <w:rsid w:val="00396FDF"/>
    <w:rsid w:val="00397760"/>
    <w:rsid w:val="003A0325"/>
    <w:rsid w:val="003A0776"/>
    <w:rsid w:val="003A0C23"/>
    <w:rsid w:val="003A0F73"/>
    <w:rsid w:val="003A1150"/>
    <w:rsid w:val="003A12AD"/>
    <w:rsid w:val="003A1E5E"/>
    <w:rsid w:val="003A2AF5"/>
    <w:rsid w:val="003A5C77"/>
    <w:rsid w:val="003A5EB6"/>
    <w:rsid w:val="003A68AE"/>
    <w:rsid w:val="003A6A2F"/>
    <w:rsid w:val="003A6F63"/>
    <w:rsid w:val="003A785D"/>
    <w:rsid w:val="003A7A69"/>
    <w:rsid w:val="003B04DA"/>
    <w:rsid w:val="003B0E7A"/>
    <w:rsid w:val="003B15C8"/>
    <w:rsid w:val="003B17BB"/>
    <w:rsid w:val="003B1992"/>
    <w:rsid w:val="003B1A29"/>
    <w:rsid w:val="003B1C22"/>
    <w:rsid w:val="003B1D25"/>
    <w:rsid w:val="003B2900"/>
    <w:rsid w:val="003B2B30"/>
    <w:rsid w:val="003B2CAA"/>
    <w:rsid w:val="003B30D8"/>
    <w:rsid w:val="003B3299"/>
    <w:rsid w:val="003B436A"/>
    <w:rsid w:val="003B450F"/>
    <w:rsid w:val="003B48D5"/>
    <w:rsid w:val="003B4F8C"/>
    <w:rsid w:val="003B51CD"/>
    <w:rsid w:val="003B5512"/>
    <w:rsid w:val="003B62EC"/>
    <w:rsid w:val="003B6749"/>
    <w:rsid w:val="003B6844"/>
    <w:rsid w:val="003B6B3A"/>
    <w:rsid w:val="003B75FC"/>
    <w:rsid w:val="003B7F5E"/>
    <w:rsid w:val="003C0B90"/>
    <w:rsid w:val="003C1215"/>
    <w:rsid w:val="003C14C9"/>
    <w:rsid w:val="003C15EF"/>
    <w:rsid w:val="003C1D23"/>
    <w:rsid w:val="003C2670"/>
    <w:rsid w:val="003C3A57"/>
    <w:rsid w:val="003C4817"/>
    <w:rsid w:val="003C5E7B"/>
    <w:rsid w:val="003C6A22"/>
    <w:rsid w:val="003C7870"/>
    <w:rsid w:val="003C79AC"/>
    <w:rsid w:val="003D1EDB"/>
    <w:rsid w:val="003D3260"/>
    <w:rsid w:val="003D4359"/>
    <w:rsid w:val="003D4739"/>
    <w:rsid w:val="003D49BD"/>
    <w:rsid w:val="003D4D5D"/>
    <w:rsid w:val="003D56FD"/>
    <w:rsid w:val="003D6440"/>
    <w:rsid w:val="003D75A1"/>
    <w:rsid w:val="003D78F3"/>
    <w:rsid w:val="003D7D58"/>
    <w:rsid w:val="003E0266"/>
    <w:rsid w:val="003E0C4A"/>
    <w:rsid w:val="003E151E"/>
    <w:rsid w:val="003E221F"/>
    <w:rsid w:val="003E3296"/>
    <w:rsid w:val="003E3C65"/>
    <w:rsid w:val="003E3F0E"/>
    <w:rsid w:val="003E4749"/>
    <w:rsid w:val="003E4CC0"/>
    <w:rsid w:val="003E51DE"/>
    <w:rsid w:val="003E5B35"/>
    <w:rsid w:val="003E5D3F"/>
    <w:rsid w:val="003E60D1"/>
    <w:rsid w:val="003E6360"/>
    <w:rsid w:val="003E719B"/>
    <w:rsid w:val="003E757E"/>
    <w:rsid w:val="003F0052"/>
    <w:rsid w:val="003F0CAE"/>
    <w:rsid w:val="003F0EA8"/>
    <w:rsid w:val="003F250B"/>
    <w:rsid w:val="003F3365"/>
    <w:rsid w:val="003F3687"/>
    <w:rsid w:val="003F5183"/>
    <w:rsid w:val="003F56BD"/>
    <w:rsid w:val="003F5A35"/>
    <w:rsid w:val="003F7085"/>
    <w:rsid w:val="0040060E"/>
    <w:rsid w:val="00400C11"/>
    <w:rsid w:val="004010A8"/>
    <w:rsid w:val="00401DED"/>
    <w:rsid w:val="00402680"/>
    <w:rsid w:val="00402C40"/>
    <w:rsid w:val="00404325"/>
    <w:rsid w:val="00404546"/>
    <w:rsid w:val="00406097"/>
    <w:rsid w:val="00406C7B"/>
    <w:rsid w:val="00407182"/>
    <w:rsid w:val="004078E5"/>
    <w:rsid w:val="00407FE4"/>
    <w:rsid w:val="00412F68"/>
    <w:rsid w:val="0041311D"/>
    <w:rsid w:val="00413243"/>
    <w:rsid w:val="00413CAA"/>
    <w:rsid w:val="00413FFD"/>
    <w:rsid w:val="00415784"/>
    <w:rsid w:val="00415806"/>
    <w:rsid w:val="004159BE"/>
    <w:rsid w:val="004168B3"/>
    <w:rsid w:val="0041784C"/>
    <w:rsid w:val="00417DAC"/>
    <w:rsid w:val="00417E13"/>
    <w:rsid w:val="0042010A"/>
    <w:rsid w:val="00420CBC"/>
    <w:rsid w:val="00421432"/>
    <w:rsid w:val="00421732"/>
    <w:rsid w:val="00421CD5"/>
    <w:rsid w:val="00421E9D"/>
    <w:rsid w:val="00422784"/>
    <w:rsid w:val="00423EE9"/>
    <w:rsid w:val="00425876"/>
    <w:rsid w:val="004258FE"/>
    <w:rsid w:val="00425998"/>
    <w:rsid w:val="00425EC2"/>
    <w:rsid w:val="00427187"/>
    <w:rsid w:val="00427696"/>
    <w:rsid w:val="00427FB8"/>
    <w:rsid w:val="004306A4"/>
    <w:rsid w:val="00431050"/>
    <w:rsid w:val="00431253"/>
    <w:rsid w:val="00431CDE"/>
    <w:rsid w:val="00432066"/>
    <w:rsid w:val="004330BE"/>
    <w:rsid w:val="00435D37"/>
    <w:rsid w:val="00436469"/>
    <w:rsid w:val="00436FB4"/>
    <w:rsid w:val="004375C6"/>
    <w:rsid w:val="004379FA"/>
    <w:rsid w:val="0044041E"/>
    <w:rsid w:val="00442E20"/>
    <w:rsid w:val="0044465C"/>
    <w:rsid w:val="0044519A"/>
    <w:rsid w:val="004453B9"/>
    <w:rsid w:val="0044550D"/>
    <w:rsid w:val="00445736"/>
    <w:rsid w:val="00446DA9"/>
    <w:rsid w:val="004471B9"/>
    <w:rsid w:val="00447221"/>
    <w:rsid w:val="004509F6"/>
    <w:rsid w:val="0045207A"/>
    <w:rsid w:val="00452E5F"/>
    <w:rsid w:val="00453CE3"/>
    <w:rsid w:val="00454093"/>
    <w:rsid w:val="00454C7D"/>
    <w:rsid w:val="00455227"/>
    <w:rsid w:val="004553F5"/>
    <w:rsid w:val="00455A56"/>
    <w:rsid w:val="00456193"/>
    <w:rsid w:val="00456F4F"/>
    <w:rsid w:val="004574D9"/>
    <w:rsid w:val="0045758B"/>
    <w:rsid w:val="00461324"/>
    <w:rsid w:val="0046148B"/>
    <w:rsid w:val="00461657"/>
    <w:rsid w:val="00461995"/>
    <w:rsid w:val="00461BB0"/>
    <w:rsid w:val="00463225"/>
    <w:rsid w:val="004634E4"/>
    <w:rsid w:val="00463506"/>
    <w:rsid w:val="004639A5"/>
    <w:rsid w:val="004655E7"/>
    <w:rsid w:val="0046659C"/>
    <w:rsid w:val="00466A02"/>
    <w:rsid w:val="00466E96"/>
    <w:rsid w:val="00466F15"/>
    <w:rsid w:val="00467156"/>
    <w:rsid w:val="00467511"/>
    <w:rsid w:val="0047022C"/>
    <w:rsid w:val="00470C83"/>
    <w:rsid w:val="00470C90"/>
    <w:rsid w:val="00471E2A"/>
    <w:rsid w:val="004725CB"/>
    <w:rsid w:val="0047278D"/>
    <w:rsid w:val="00472CF3"/>
    <w:rsid w:val="004732BC"/>
    <w:rsid w:val="00475763"/>
    <w:rsid w:val="00475BE2"/>
    <w:rsid w:val="00480082"/>
    <w:rsid w:val="00483B9D"/>
    <w:rsid w:val="0048470D"/>
    <w:rsid w:val="004848E8"/>
    <w:rsid w:val="00484EA7"/>
    <w:rsid w:val="004864AA"/>
    <w:rsid w:val="004865CE"/>
    <w:rsid w:val="004868F5"/>
    <w:rsid w:val="0048699B"/>
    <w:rsid w:val="00487296"/>
    <w:rsid w:val="0049070F"/>
    <w:rsid w:val="00491368"/>
    <w:rsid w:val="0049250B"/>
    <w:rsid w:val="00492CE5"/>
    <w:rsid w:val="004932C1"/>
    <w:rsid w:val="00493B63"/>
    <w:rsid w:val="00493F77"/>
    <w:rsid w:val="004940E0"/>
    <w:rsid w:val="00496006"/>
    <w:rsid w:val="00496861"/>
    <w:rsid w:val="004A1113"/>
    <w:rsid w:val="004A2665"/>
    <w:rsid w:val="004A3449"/>
    <w:rsid w:val="004A3489"/>
    <w:rsid w:val="004A350C"/>
    <w:rsid w:val="004A382B"/>
    <w:rsid w:val="004A3894"/>
    <w:rsid w:val="004A38D1"/>
    <w:rsid w:val="004A3B47"/>
    <w:rsid w:val="004A55B1"/>
    <w:rsid w:val="004A56BE"/>
    <w:rsid w:val="004A5717"/>
    <w:rsid w:val="004A61E8"/>
    <w:rsid w:val="004A62DA"/>
    <w:rsid w:val="004B1C2A"/>
    <w:rsid w:val="004B1ECF"/>
    <w:rsid w:val="004B378C"/>
    <w:rsid w:val="004B41B2"/>
    <w:rsid w:val="004B50C6"/>
    <w:rsid w:val="004B533B"/>
    <w:rsid w:val="004B5F63"/>
    <w:rsid w:val="004B7800"/>
    <w:rsid w:val="004B7883"/>
    <w:rsid w:val="004B7C4B"/>
    <w:rsid w:val="004C0135"/>
    <w:rsid w:val="004C0176"/>
    <w:rsid w:val="004C0541"/>
    <w:rsid w:val="004C0F79"/>
    <w:rsid w:val="004C16F3"/>
    <w:rsid w:val="004C1D3E"/>
    <w:rsid w:val="004C206D"/>
    <w:rsid w:val="004C2EA5"/>
    <w:rsid w:val="004C373F"/>
    <w:rsid w:val="004C3C31"/>
    <w:rsid w:val="004C659C"/>
    <w:rsid w:val="004D40C6"/>
    <w:rsid w:val="004D49A0"/>
    <w:rsid w:val="004D4E0F"/>
    <w:rsid w:val="004D6472"/>
    <w:rsid w:val="004D7775"/>
    <w:rsid w:val="004E02D3"/>
    <w:rsid w:val="004E0DE7"/>
    <w:rsid w:val="004E12DB"/>
    <w:rsid w:val="004E28B9"/>
    <w:rsid w:val="004E366C"/>
    <w:rsid w:val="004E4063"/>
    <w:rsid w:val="004E40DA"/>
    <w:rsid w:val="004E475F"/>
    <w:rsid w:val="004E5F03"/>
    <w:rsid w:val="004E6169"/>
    <w:rsid w:val="004E6ACE"/>
    <w:rsid w:val="004E6C21"/>
    <w:rsid w:val="004E6F45"/>
    <w:rsid w:val="004E7335"/>
    <w:rsid w:val="004E7676"/>
    <w:rsid w:val="004F17AF"/>
    <w:rsid w:val="004F2797"/>
    <w:rsid w:val="004F288B"/>
    <w:rsid w:val="004F31D0"/>
    <w:rsid w:val="004F3817"/>
    <w:rsid w:val="004F4CFC"/>
    <w:rsid w:val="004F50B8"/>
    <w:rsid w:val="004F5C17"/>
    <w:rsid w:val="004F5DA8"/>
    <w:rsid w:val="004F62C2"/>
    <w:rsid w:val="004F731B"/>
    <w:rsid w:val="004F7808"/>
    <w:rsid w:val="004F7D2D"/>
    <w:rsid w:val="004F7F54"/>
    <w:rsid w:val="004F7F71"/>
    <w:rsid w:val="005025EC"/>
    <w:rsid w:val="005027D6"/>
    <w:rsid w:val="0050365D"/>
    <w:rsid w:val="005065E6"/>
    <w:rsid w:val="005070CF"/>
    <w:rsid w:val="005078B9"/>
    <w:rsid w:val="00507D4D"/>
    <w:rsid w:val="00507FBA"/>
    <w:rsid w:val="00511F1F"/>
    <w:rsid w:val="0051201B"/>
    <w:rsid w:val="0051345D"/>
    <w:rsid w:val="005157FF"/>
    <w:rsid w:val="005161CB"/>
    <w:rsid w:val="00516264"/>
    <w:rsid w:val="00516511"/>
    <w:rsid w:val="00517175"/>
    <w:rsid w:val="00517B19"/>
    <w:rsid w:val="00521DE6"/>
    <w:rsid w:val="005221F4"/>
    <w:rsid w:val="00522282"/>
    <w:rsid w:val="005227A7"/>
    <w:rsid w:val="00522A1E"/>
    <w:rsid w:val="00524587"/>
    <w:rsid w:val="0052511E"/>
    <w:rsid w:val="0052531F"/>
    <w:rsid w:val="005253C0"/>
    <w:rsid w:val="005253D1"/>
    <w:rsid w:val="005264EC"/>
    <w:rsid w:val="00526611"/>
    <w:rsid w:val="00526AFB"/>
    <w:rsid w:val="0053016A"/>
    <w:rsid w:val="005308B0"/>
    <w:rsid w:val="005309A7"/>
    <w:rsid w:val="00530AE6"/>
    <w:rsid w:val="00531684"/>
    <w:rsid w:val="00532B88"/>
    <w:rsid w:val="005331BD"/>
    <w:rsid w:val="0053330B"/>
    <w:rsid w:val="005337B0"/>
    <w:rsid w:val="00533C4D"/>
    <w:rsid w:val="005340BA"/>
    <w:rsid w:val="005343F8"/>
    <w:rsid w:val="00534ED3"/>
    <w:rsid w:val="0053502A"/>
    <w:rsid w:val="0053621B"/>
    <w:rsid w:val="00536525"/>
    <w:rsid w:val="0053722D"/>
    <w:rsid w:val="005374C9"/>
    <w:rsid w:val="00540842"/>
    <w:rsid w:val="00540D55"/>
    <w:rsid w:val="00541131"/>
    <w:rsid w:val="00541453"/>
    <w:rsid w:val="00541D70"/>
    <w:rsid w:val="005426C0"/>
    <w:rsid w:val="005429A2"/>
    <w:rsid w:val="005436E2"/>
    <w:rsid w:val="00543A1F"/>
    <w:rsid w:val="00543F14"/>
    <w:rsid w:val="00543F2D"/>
    <w:rsid w:val="00545372"/>
    <w:rsid w:val="005468F5"/>
    <w:rsid w:val="00546967"/>
    <w:rsid w:val="00547212"/>
    <w:rsid w:val="005479C8"/>
    <w:rsid w:val="00547B34"/>
    <w:rsid w:val="00547C53"/>
    <w:rsid w:val="005523CF"/>
    <w:rsid w:val="00552402"/>
    <w:rsid w:val="0055364A"/>
    <w:rsid w:val="00553E61"/>
    <w:rsid w:val="0055409D"/>
    <w:rsid w:val="0055411D"/>
    <w:rsid w:val="00554387"/>
    <w:rsid w:val="00555066"/>
    <w:rsid w:val="0055507E"/>
    <w:rsid w:val="00555A5E"/>
    <w:rsid w:val="005562D6"/>
    <w:rsid w:val="005568D7"/>
    <w:rsid w:val="0055713F"/>
    <w:rsid w:val="00557DB0"/>
    <w:rsid w:val="00560113"/>
    <w:rsid w:val="00560529"/>
    <w:rsid w:val="00560667"/>
    <w:rsid w:val="00561992"/>
    <w:rsid w:val="00562086"/>
    <w:rsid w:val="005636A8"/>
    <w:rsid w:val="00564436"/>
    <w:rsid w:val="005644BB"/>
    <w:rsid w:val="0056509E"/>
    <w:rsid w:val="00565662"/>
    <w:rsid w:val="00565D84"/>
    <w:rsid w:val="00566BFA"/>
    <w:rsid w:val="005700F4"/>
    <w:rsid w:val="00570C9B"/>
    <w:rsid w:val="00570EEF"/>
    <w:rsid w:val="005715D6"/>
    <w:rsid w:val="00571A37"/>
    <w:rsid w:val="0057438A"/>
    <w:rsid w:val="00575B7D"/>
    <w:rsid w:val="00575E14"/>
    <w:rsid w:val="00575E37"/>
    <w:rsid w:val="005764FB"/>
    <w:rsid w:val="00580172"/>
    <w:rsid w:val="00580203"/>
    <w:rsid w:val="00580859"/>
    <w:rsid w:val="00581749"/>
    <w:rsid w:val="005818A8"/>
    <w:rsid w:val="00581D4E"/>
    <w:rsid w:val="005829D9"/>
    <w:rsid w:val="00583591"/>
    <w:rsid w:val="005838F0"/>
    <w:rsid w:val="0058458E"/>
    <w:rsid w:val="00584669"/>
    <w:rsid w:val="005852DA"/>
    <w:rsid w:val="005858DC"/>
    <w:rsid w:val="00585B6B"/>
    <w:rsid w:val="00585F7B"/>
    <w:rsid w:val="005874DD"/>
    <w:rsid w:val="0058776D"/>
    <w:rsid w:val="00590ABD"/>
    <w:rsid w:val="00590B7B"/>
    <w:rsid w:val="005916D5"/>
    <w:rsid w:val="00591720"/>
    <w:rsid w:val="00592DF3"/>
    <w:rsid w:val="00593B25"/>
    <w:rsid w:val="00595DA2"/>
    <w:rsid w:val="00596079"/>
    <w:rsid w:val="005966E6"/>
    <w:rsid w:val="005A0061"/>
    <w:rsid w:val="005A054F"/>
    <w:rsid w:val="005A0B3D"/>
    <w:rsid w:val="005A13E6"/>
    <w:rsid w:val="005A17DE"/>
    <w:rsid w:val="005A1C61"/>
    <w:rsid w:val="005A2BD0"/>
    <w:rsid w:val="005A47F5"/>
    <w:rsid w:val="005A4AB8"/>
    <w:rsid w:val="005A5064"/>
    <w:rsid w:val="005A5229"/>
    <w:rsid w:val="005B0DB1"/>
    <w:rsid w:val="005B155D"/>
    <w:rsid w:val="005B18F4"/>
    <w:rsid w:val="005B25F8"/>
    <w:rsid w:val="005B2BF5"/>
    <w:rsid w:val="005B2E65"/>
    <w:rsid w:val="005B2F26"/>
    <w:rsid w:val="005B32A9"/>
    <w:rsid w:val="005B5CB7"/>
    <w:rsid w:val="005B5F21"/>
    <w:rsid w:val="005B7040"/>
    <w:rsid w:val="005C19AB"/>
    <w:rsid w:val="005C2D8D"/>
    <w:rsid w:val="005C363C"/>
    <w:rsid w:val="005C3727"/>
    <w:rsid w:val="005C3915"/>
    <w:rsid w:val="005C3D3E"/>
    <w:rsid w:val="005C4CBE"/>
    <w:rsid w:val="005C4DBD"/>
    <w:rsid w:val="005C4E87"/>
    <w:rsid w:val="005C5F38"/>
    <w:rsid w:val="005D07D1"/>
    <w:rsid w:val="005D0E14"/>
    <w:rsid w:val="005D2F3D"/>
    <w:rsid w:val="005D483A"/>
    <w:rsid w:val="005D48A0"/>
    <w:rsid w:val="005D4BC4"/>
    <w:rsid w:val="005D5D14"/>
    <w:rsid w:val="005D5E2D"/>
    <w:rsid w:val="005D6EEB"/>
    <w:rsid w:val="005D751B"/>
    <w:rsid w:val="005D7FE7"/>
    <w:rsid w:val="005E0358"/>
    <w:rsid w:val="005E038B"/>
    <w:rsid w:val="005E150E"/>
    <w:rsid w:val="005E199C"/>
    <w:rsid w:val="005E2852"/>
    <w:rsid w:val="005E2B06"/>
    <w:rsid w:val="005E2EE9"/>
    <w:rsid w:val="005E35C9"/>
    <w:rsid w:val="005E4CD1"/>
    <w:rsid w:val="005E55DD"/>
    <w:rsid w:val="005E5941"/>
    <w:rsid w:val="005E6D35"/>
    <w:rsid w:val="005F060E"/>
    <w:rsid w:val="005F13D5"/>
    <w:rsid w:val="005F38AB"/>
    <w:rsid w:val="005F50EA"/>
    <w:rsid w:val="005F568D"/>
    <w:rsid w:val="005F66B5"/>
    <w:rsid w:val="006006C6"/>
    <w:rsid w:val="0060487F"/>
    <w:rsid w:val="0060509D"/>
    <w:rsid w:val="006050EA"/>
    <w:rsid w:val="00605707"/>
    <w:rsid w:val="0060648E"/>
    <w:rsid w:val="006070E0"/>
    <w:rsid w:val="006071F2"/>
    <w:rsid w:val="00607217"/>
    <w:rsid w:val="00607500"/>
    <w:rsid w:val="00607541"/>
    <w:rsid w:val="0061084D"/>
    <w:rsid w:val="00610DDD"/>
    <w:rsid w:val="006113DD"/>
    <w:rsid w:val="00611BC2"/>
    <w:rsid w:val="006127E9"/>
    <w:rsid w:val="00612A53"/>
    <w:rsid w:val="00612A74"/>
    <w:rsid w:val="00612DDA"/>
    <w:rsid w:val="00612F5E"/>
    <w:rsid w:val="00613445"/>
    <w:rsid w:val="00613676"/>
    <w:rsid w:val="006139C9"/>
    <w:rsid w:val="006142D5"/>
    <w:rsid w:val="006152FB"/>
    <w:rsid w:val="0061569F"/>
    <w:rsid w:val="00616B6E"/>
    <w:rsid w:val="00617CA0"/>
    <w:rsid w:val="00620ACF"/>
    <w:rsid w:val="00620FA4"/>
    <w:rsid w:val="0062188F"/>
    <w:rsid w:val="00621B53"/>
    <w:rsid w:val="0062271A"/>
    <w:rsid w:val="00622F10"/>
    <w:rsid w:val="00622FAC"/>
    <w:rsid w:val="00623BC4"/>
    <w:rsid w:val="00624C12"/>
    <w:rsid w:val="00625243"/>
    <w:rsid w:val="00630010"/>
    <w:rsid w:val="006304FD"/>
    <w:rsid w:val="00632692"/>
    <w:rsid w:val="00634B74"/>
    <w:rsid w:val="006357BA"/>
    <w:rsid w:val="0063610A"/>
    <w:rsid w:val="006364A1"/>
    <w:rsid w:val="00642A13"/>
    <w:rsid w:val="00642F40"/>
    <w:rsid w:val="006435D8"/>
    <w:rsid w:val="0064542D"/>
    <w:rsid w:val="00645ED4"/>
    <w:rsid w:val="00647463"/>
    <w:rsid w:val="00647B12"/>
    <w:rsid w:val="006509EE"/>
    <w:rsid w:val="00650AC3"/>
    <w:rsid w:val="00650FF3"/>
    <w:rsid w:val="00651027"/>
    <w:rsid w:val="0065108A"/>
    <w:rsid w:val="006526F3"/>
    <w:rsid w:val="006534C5"/>
    <w:rsid w:val="0065398C"/>
    <w:rsid w:val="00653CF3"/>
    <w:rsid w:val="0065416C"/>
    <w:rsid w:val="00654A8A"/>
    <w:rsid w:val="0065518C"/>
    <w:rsid w:val="0065597E"/>
    <w:rsid w:val="00655E97"/>
    <w:rsid w:val="0065608E"/>
    <w:rsid w:val="0065775B"/>
    <w:rsid w:val="00657F58"/>
    <w:rsid w:val="00660364"/>
    <w:rsid w:val="00661339"/>
    <w:rsid w:val="00661C7E"/>
    <w:rsid w:val="00661E40"/>
    <w:rsid w:val="00662030"/>
    <w:rsid w:val="00663690"/>
    <w:rsid w:val="00664211"/>
    <w:rsid w:val="00664DEB"/>
    <w:rsid w:val="00665DCB"/>
    <w:rsid w:val="00666EFC"/>
    <w:rsid w:val="0066756D"/>
    <w:rsid w:val="00670373"/>
    <w:rsid w:val="006705D4"/>
    <w:rsid w:val="00670C5E"/>
    <w:rsid w:val="00670C6E"/>
    <w:rsid w:val="00671200"/>
    <w:rsid w:val="00671844"/>
    <w:rsid w:val="00671961"/>
    <w:rsid w:val="006719B2"/>
    <w:rsid w:val="00671C11"/>
    <w:rsid w:val="00671E6B"/>
    <w:rsid w:val="006723F0"/>
    <w:rsid w:val="00672DCB"/>
    <w:rsid w:val="00673787"/>
    <w:rsid w:val="006751BF"/>
    <w:rsid w:val="006752C1"/>
    <w:rsid w:val="006754D2"/>
    <w:rsid w:val="006756E9"/>
    <w:rsid w:val="006759B4"/>
    <w:rsid w:val="00675DCF"/>
    <w:rsid w:val="006760A4"/>
    <w:rsid w:val="00676256"/>
    <w:rsid w:val="00676A4B"/>
    <w:rsid w:val="00676BD4"/>
    <w:rsid w:val="00676C8B"/>
    <w:rsid w:val="0067730D"/>
    <w:rsid w:val="00677E65"/>
    <w:rsid w:val="006807FE"/>
    <w:rsid w:val="00680A78"/>
    <w:rsid w:val="00681351"/>
    <w:rsid w:val="006817D4"/>
    <w:rsid w:val="00681A9E"/>
    <w:rsid w:val="00682718"/>
    <w:rsid w:val="00684818"/>
    <w:rsid w:val="00684902"/>
    <w:rsid w:val="00685393"/>
    <w:rsid w:val="006900D2"/>
    <w:rsid w:val="00690A2B"/>
    <w:rsid w:val="00690D87"/>
    <w:rsid w:val="00690EA9"/>
    <w:rsid w:val="006910F4"/>
    <w:rsid w:val="00691EB2"/>
    <w:rsid w:val="00692810"/>
    <w:rsid w:val="0069434B"/>
    <w:rsid w:val="00694445"/>
    <w:rsid w:val="00694991"/>
    <w:rsid w:val="00695141"/>
    <w:rsid w:val="00695A2D"/>
    <w:rsid w:val="00695AC5"/>
    <w:rsid w:val="006966E3"/>
    <w:rsid w:val="00696D67"/>
    <w:rsid w:val="006971AF"/>
    <w:rsid w:val="00697A91"/>
    <w:rsid w:val="00697FE4"/>
    <w:rsid w:val="006A0B4A"/>
    <w:rsid w:val="006A144B"/>
    <w:rsid w:val="006A174E"/>
    <w:rsid w:val="006A1C8D"/>
    <w:rsid w:val="006A290B"/>
    <w:rsid w:val="006A469E"/>
    <w:rsid w:val="006A478E"/>
    <w:rsid w:val="006A4801"/>
    <w:rsid w:val="006A50FA"/>
    <w:rsid w:val="006A5DE6"/>
    <w:rsid w:val="006A5F7F"/>
    <w:rsid w:val="006A69AD"/>
    <w:rsid w:val="006A6C58"/>
    <w:rsid w:val="006A6FB2"/>
    <w:rsid w:val="006A7052"/>
    <w:rsid w:val="006B159D"/>
    <w:rsid w:val="006B21AB"/>
    <w:rsid w:val="006B22E5"/>
    <w:rsid w:val="006B2866"/>
    <w:rsid w:val="006B325D"/>
    <w:rsid w:val="006B3579"/>
    <w:rsid w:val="006B4656"/>
    <w:rsid w:val="006B4777"/>
    <w:rsid w:val="006B48BD"/>
    <w:rsid w:val="006B5211"/>
    <w:rsid w:val="006B5863"/>
    <w:rsid w:val="006B729D"/>
    <w:rsid w:val="006B7725"/>
    <w:rsid w:val="006C1458"/>
    <w:rsid w:val="006C15C6"/>
    <w:rsid w:val="006C1751"/>
    <w:rsid w:val="006C1C26"/>
    <w:rsid w:val="006C27EC"/>
    <w:rsid w:val="006C28CF"/>
    <w:rsid w:val="006C2906"/>
    <w:rsid w:val="006C2EF6"/>
    <w:rsid w:val="006C3C84"/>
    <w:rsid w:val="006C4D99"/>
    <w:rsid w:val="006C4E28"/>
    <w:rsid w:val="006C5096"/>
    <w:rsid w:val="006C5F17"/>
    <w:rsid w:val="006C6303"/>
    <w:rsid w:val="006C6B7E"/>
    <w:rsid w:val="006C6BF9"/>
    <w:rsid w:val="006C6C06"/>
    <w:rsid w:val="006C6CA3"/>
    <w:rsid w:val="006C7BA4"/>
    <w:rsid w:val="006C7EA3"/>
    <w:rsid w:val="006D1A57"/>
    <w:rsid w:val="006D1BC2"/>
    <w:rsid w:val="006D2608"/>
    <w:rsid w:val="006D2A9C"/>
    <w:rsid w:val="006D2B20"/>
    <w:rsid w:val="006D2D6C"/>
    <w:rsid w:val="006D3720"/>
    <w:rsid w:val="006D3727"/>
    <w:rsid w:val="006D3763"/>
    <w:rsid w:val="006D42F8"/>
    <w:rsid w:val="006D4A5C"/>
    <w:rsid w:val="006D53D7"/>
    <w:rsid w:val="006D555C"/>
    <w:rsid w:val="006D5B24"/>
    <w:rsid w:val="006D6988"/>
    <w:rsid w:val="006D6A98"/>
    <w:rsid w:val="006D7398"/>
    <w:rsid w:val="006D74DB"/>
    <w:rsid w:val="006E11AC"/>
    <w:rsid w:val="006E11E0"/>
    <w:rsid w:val="006E2834"/>
    <w:rsid w:val="006E4128"/>
    <w:rsid w:val="006E4746"/>
    <w:rsid w:val="006E4A03"/>
    <w:rsid w:val="006E4B91"/>
    <w:rsid w:val="006E5637"/>
    <w:rsid w:val="006E6751"/>
    <w:rsid w:val="006E7282"/>
    <w:rsid w:val="006E7A12"/>
    <w:rsid w:val="006F0752"/>
    <w:rsid w:val="006F1525"/>
    <w:rsid w:val="006F1AFE"/>
    <w:rsid w:val="006F2861"/>
    <w:rsid w:val="006F4259"/>
    <w:rsid w:val="006F4309"/>
    <w:rsid w:val="006F4C84"/>
    <w:rsid w:val="006F5E1B"/>
    <w:rsid w:val="006F6B2B"/>
    <w:rsid w:val="006F6D5E"/>
    <w:rsid w:val="006F7123"/>
    <w:rsid w:val="006F7C03"/>
    <w:rsid w:val="00701093"/>
    <w:rsid w:val="007027D1"/>
    <w:rsid w:val="00703B0B"/>
    <w:rsid w:val="00703D19"/>
    <w:rsid w:val="00705089"/>
    <w:rsid w:val="007055C9"/>
    <w:rsid w:val="00705D44"/>
    <w:rsid w:val="007067B2"/>
    <w:rsid w:val="00706A33"/>
    <w:rsid w:val="00706CF0"/>
    <w:rsid w:val="00707D50"/>
    <w:rsid w:val="00707E96"/>
    <w:rsid w:val="007107A8"/>
    <w:rsid w:val="00710BC7"/>
    <w:rsid w:val="00711947"/>
    <w:rsid w:val="00712271"/>
    <w:rsid w:val="00712C9A"/>
    <w:rsid w:val="00712CC4"/>
    <w:rsid w:val="00713AA0"/>
    <w:rsid w:val="00715429"/>
    <w:rsid w:val="00715597"/>
    <w:rsid w:val="00715DEB"/>
    <w:rsid w:val="00716A7D"/>
    <w:rsid w:val="00716B14"/>
    <w:rsid w:val="0071757A"/>
    <w:rsid w:val="00717FE8"/>
    <w:rsid w:val="00720A33"/>
    <w:rsid w:val="00721DCD"/>
    <w:rsid w:val="007227E1"/>
    <w:rsid w:val="00722A4C"/>
    <w:rsid w:val="007234B4"/>
    <w:rsid w:val="00725D07"/>
    <w:rsid w:val="00725E16"/>
    <w:rsid w:val="00727967"/>
    <w:rsid w:val="00727BED"/>
    <w:rsid w:val="007307C9"/>
    <w:rsid w:val="0073095F"/>
    <w:rsid w:val="007319C8"/>
    <w:rsid w:val="00731BF4"/>
    <w:rsid w:val="007326D7"/>
    <w:rsid w:val="007335DB"/>
    <w:rsid w:val="00733BCB"/>
    <w:rsid w:val="0073431B"/>
    <w:rsid w:val="00734688"/>
    <w:rsid w:val="00734729"/>
    <w:rsid w:val="0073530B"/>
    <w:rsid w:val="00736A98"/>
    <w:rsid w:val="00736C15"/>
    <w:rsid w:val="00736E76"/>
    <w:rsid w:val="0073706D"/>
    <w:rsid w:val="007375FD"/>
    <w:rsid w:val="00737DB4"/>
    <w:rsid w:val="007406F2"/>
    <w:rsid w:val="007409AF"/>
    <w:rsid w:val="00742C04"/>
    <w:rsid w:val="00743684"/>
    <w:rsid w:val="007452A1"/>
    <w:rsid w:val="00745BCE"/>
    <w:rsid w:val="00745D7B"/>
    <w:rsid w:val="00745F91"/>
    <w:rsid w:val="00746132"/>
    <w:rsid w:val="007469F9"/>
    <w:rsid w:val="00746E03"/>
    <w:rsid w:val="00747828"/>
    <w:rsid w:val="00750866"/>
    <w:rsid w:val="00750F18"/>
    <w:rsid w:val="007515DA"/>
    <w:rsid w:val="007534AA"/>
    <w:rsid w:val="00753C0A"/>
    <w:rsid w:val="00753E85"/>
    <w:rsid w:val="00754027"/>
    <w:rsid w:val="007548EE"/>
    <w:rsid w:val="00754D46"/>
    <w:rsid w:val="00754F86"/>
    <w:rsid w:val="0075551E"/>
    <w:rsid w:val="00755DB9"/>
    <w:rsid w:val="00755FB7"/>
    <w:rsid w:val="0075626E"/>
    <w:rsid w:val="00756761"/>
    <w:rsid w:val="00756F11"/>
    <w:rsid w:val="00756F80"/>
    <w:rsid w:val="00757942"/>
    <w:rsid w:val="007579F4"/>
    <w:rsid w:val="00757A6C"/>
    <w:rsid w:val="00760D2A"/>
    <w:rsid w:val="0076100C"/>
    <w:rsid w:val="00761287"/>
    <w:rsid w:val="0076182F"/>
    <w:rsid w:val="007618B8"/>
    <w:rsid w:val="00762622"/>
    <w:rsid w:val="007631E2"/>
    <w:rsid w:val="0076365D"/>
    <w:rsid w:val="0076413B"/>
    <w:rsid w:val="00764D09"/>
    <w:rsid w:val="007652FD"/>
    <w:rsid w:val="0076645A"/>
    <w:rsid w:val="007675AF"/>
    <w:rsid w:val="00767AC1"/>
    <w:rsid w:val="00770772"/>
    <w:rsid w:val="00770DAB"/>
    <w:rsid w:val="00771538"/>
    <w:rsid w:val="00771D94"/>
    <w:rsid w:val="007720D7"/>
    <w:rsid w:val="007722BC"/>
    <w:rsid w:val="00772523"/>
    <w:rsid w:val="00772A01"/>
    <w:rsid w:val="00772F45"/>
    <w:rsid w:val="00773C65"/>
    <w:rsid w:val="00775529"/>
    <w:rsid w:val="007759BD"/>
    <w:rsid w:val="00776710"/>
    <w:rsid w:val="00776A67"/>
    <w:rsid w:val="00776DE5"/>
    <w:rsid w:val="00777134"/>
    <w:rsid w:val="00781377"/>
    <w:rsid w:val="00781FAF"/>
    <w:rsid w:val="00782553"/>
    <w:rsid w:val="00783810"/>
    <w:rsid w:val="00783A9F"/>
    <w:rsid w:val="00784166"/>
    <w:rsid w:val="0078476D"/>
    <w:rsid w:val="007847FB"/>
    <w:rsid w:val="00784B89"/>
    <w:rsid w:val="00784BF8"/>
    <w:rsid w:val="00784DAE"/>
    <w:rsid w:val="00784E09"/>
    <w:rsid w:val="00785339"/>
    <w:rsid w:val="00786F50"/>
    <w:rsid w:val="00787851"/>
    <w:rsid w:val="00787A25"/>
    <w:rsid w:val="00787E88"/>
    <w:rsid w:val="0079169B"/>
    <w:rsid w:val="00791DC2"/>
    <w:rsid w:val="00793784"/>
    <w:rsid w:val="00793A27"/>
    <w:rsid w:val="00793F4D"/>
    <w:rsid w:val="007941BB"/>
    <w:rsid w:val="007946DB"/>
    <w:rsid w:val="00794B8C"/>
    <w:rsid w:val="00796ED1"/>
    <w:rsid w:val="007978AC"/>
    <w:rsid w:val="00797B66"/>
    <w:rsid w:val="00797B6A"/>
    <w:rsid w:val="00797BA2"/>
    <w:rsid w:val="007A0816"/>
    <w:rsid w:val="007A1882"/>
    <w:rsid w:val="007A1CFE"/>
    <w:rsid w:val="007A2091"/>
    <w:rsid w:val="007A2838"/>
    <w:rsid w:val="007A299E"/>
    <w:rsid w:val="007A2D7A"/>
    <w:rsid w:val="007A33EE"/>
    <w:rsid w:val="007A3B09"/>
    <w:rsid w:val="007A56A8"/>
    <w:rsid w:val="007A5A5D"/>
    <w:rsid w:val="007A67CB"/>
    <w:rsid w:val="007A6A82"/>
    <w:rsid w:val="007A73EE"/>
    <w:rsid w:val="007A7E1A"/>
    <w:rsid w:val="007B0888"/>
    <w:rsid w:val="007B0B93"/>
    <w:rsid w:val="007B0DD9"/>
    <w:rsid w:val="007B0E60"/>
    <w:rsid w:val="007B3427"/>
    <w:rsid w:val="007B41C4"/>
    <w:rsid w:val="007B5A1B"/>
    <w:rsid w:val="007B5C2E"/>
    <w:rsid w:val="007B7DBE"/>
    <w:rsid w:val="007B7EED"/>
    <w:rsid w:val="007C0AE4"/>
    <w:rsid w:val="007C1EE8"/>
    <w:rsid w:val="007C2107"/>
    <w:rsid w:val="007C2827"/>
    <w:rsid w:val="007C2B1C"/>
    <w:rsid w:val="007C37A1"/>
    <w:rsid w:val="007C43BE"/>
    <w:rsid w:val="007C49FF"/>
    <w:rsid w:val="007C5F96"/>
    <w:rsid w:val="007C601C"/>
    <w:rsid w:val="007C650B"/>
    <w:rsid w:val="007C7AE8"/>
    <w:rsid w:val="007C7E17"/>
    <w:rsid w:val="007D0106"/>
    <w:rsid w:val="007D033B"/>
    <w:rsid w:val="007D0956"/>
    <w:rsid w:val="007D2BA5"/>
    <w:rsid w:val="007D39CD"/>
    <w:rsid w:val="007D410B"/>
    <w:rsid w:val="007D48C4"/>
    <w:rsid w:val="007D4C9D"/>
    <w:rsid w:val="007D4EE7"/>
    <w:rsid w:val="007D5AB1"/>
    <w:rsid w:val="007D6AA1"/>
    <w:rsid w:val="007D78E3"/>
    <w:rsid w:val="007E01F2"/>
    <w:rsid w:val="007E0203"/>
    <w:rsid w:val="007E056C"/>
    <w:rsid w:val="007E0761"/>
    <w:rsid w:val="007E081D"/>
    <w:rsid w:val="007E1AB8"/>
    <w:rsid w:val="007E26A8"/>
    <w:rsid w:val="007E293C"/>
    <w:rsid w:val="007E36EB"/>
    <w:rsid w:val="007E380A"/>
    <w:rsid w:val="007E5CC1"/>
    <w:rsid w:val="007E5D5E"/>
    <w:rsid w:val="007E7DDD"/>
    <w:rsid w:val="007F182C"/>
    <w:rsid w:val="007F2376"/>
    <w:rsid w:val="007F2783"/>
    <w:rsid w:val="007F33E9"/>
    <w:rsid w:val="007F388B"/>
    <w:rsid w:val="007F4571"/>
    <w:rsid w:val="007F4D55"/>
    <w:rsid w:val="007F589D"/>
    <w:rsid w:val="007F5F68"/>
    <w:rsid w:val="007F5FD8"/>
    <w:rsid w:val="007F61AF"/>
    <w:rsid w:val="007F775F"/>
    <w:rsid w:val="007F7F34"/>
    <w:rsid w:val="0080031F"/>
    <w:rsid w:val="00801411"/>
    <w:rsid w:val="00801C17"/>
    <w:rsid w:val="00801DB8"/>
    <w:rsid w:val="0080291E"/>
    <w:rsid w:val="00802B7F"/>
    <w:rsid w:val="00804F0B"/>
    <w:rsid w:val="00805844"/>
    <w:rsid w:val="00805AF2"/>
    <w:rsid w:val="00805F78"/>
    <w:rsid w:val="00806B4B"/>
    <w:rsid w:val="00810837"/>
    <w:rsid w:val="00810CC6"/>
    <w:rsid w:val="00810CDD"/>
    <w:rsid w:val="00811332"/>
    <w:rsid w:val="0081184B"/>
    <w:rsid w:val="00811943"/>
    <w:rsid w:val="00811DF5"/>
    <w:rsid w:val="00812862"/>
    <w:rsid w:val="00812E0B"/>
    <w:rsid w:val="00812E7C"/>
    <w:rsid w:val="00813346"/>
    <w:rsid w:val="00813F13"/>
    <w:rsid w:val="00814063"/>
    <w:rsid w:val="00814309"/>
    <w:rsid w:val="00815A2F"/>
    <w:rsid w:val="00815E6D"/>
    <w:rsid w:val="00817A6A"/>
    <w:rsid w:val="0082070B"/>
    <w:rsid w:val="0082084A"/>
    <w:rsid w:val="0082159B"/>
    <w:rsid w:val="00822F67"/>
    <w:rsid w:val="008239BC"/>
    <w:rsid w:val="008251C2"/>
    <w:rsid w:val="0082570B"/>
    <w:rsid w:val="008269CE"/>
    <w:rsid w:val="0082721B"/>
    <w:rsid w:val="0083011C"/>
    <w:rsid w:val="008312F3"/>
    <w:rsid w:val="008343BA"/>
    <w:rsid w:val="00834A2C"/>
    <w:rsid w:val="0083553F"/>
    <w:rsid w:val="008355A8"/>
    <w:rsid w:val="00835BC9"/>
    <w:rsid w:val="00836A00"/>
    <w:rsid w:val="00840621"/>
    <w:rsid w:val="00841315"/>
    <w:rsid w:val="00842AFE"/>
    <w:rsid w:val="00842C5E"/>
    <w:rsid w:val="00842FB5"/>
    <w:rsid w:val="00843DFF"/>
    <w:rsid w:val="00844116"/>
    <w:rsid w:val="00844B4B"/>
    <w:rsid w:val="00845320"/>
    <w:rsid w:val="00845675"/>
    <w:rsid w:val="0084680E"/>
    <w:rsid w:val="00846DA4"/>
    <w:rsid w:val="00847B5B"/>
    <w:rsid w:val="00847C9F"/>
    <w:rsid w:val="00847EBF"/>
    <w:rsid w:val="0085098F"/>
    <w:rsid w:val="0085138D"/>
    <w:rsid w:val="00854098"/>
    <w:rsid w:val="00855ED0"/>
    <w:rsid w:val="00856102"/>
    <w:rsid w:val="0085673A"/>
    <w:rsid w:val="00856B6A"/>
    <w:rsid w:val="00856DE2"/>
    <w:rsid w:val="008573C7"/>
    <w:rsid w:val="00857B59"/>
    <w:rsid w:val="00860BDB"/>
    <w:rsid w:val="00861096"/>
    <w:rsid w:val="008617B7"/>
    <w:rsid w:val="00861AC7"/>
    <w:rsid w:val="00861D85"/>
    <w:rsid w:val="00861F52"/>
    <w:rsid w:val="00862A4F"/>
    <w:rsid w:val="00863019"/>
    <w:rsid w:val="008632BF"/>
    <w:rsid w:val="00864891"/>
    <w:rsid w:val="00864D7E"/>
    <w:rsid w:val="008654E2"/>
    <w:rsid w:val="008656F4"/>
    <w:rsid w:val="00865ABB"/>
    <w:rsid w:val="00866008"/>
    <w:rsid w:val="00870795"/>
    <w:rsid w:val="00871ED5"/>
    <w:rsid w:val="008722E4"/>
    <w:rsid w:val="00873808"/>
    <w:rsid w:val="00873FD5"/>
    <w:rsid w:val="00874F31"/>
    <w:rsid w:val="0087527E"/>
    <w:rsid w:val="00875C4F"/>
    <w:rsid w:val="00876420"/>
    <w:rsid w:val="008770B1"/>
    <w:rsid w:val="00877642"/>
    <w:rsid w:val="00877FE9"/>
    <w:rsid w:val="00880646"/>
    <w:rsid w:val="00881C0B"/>
    <w:rsid w:val="00881E8E"/>
    <w:rsid w:val="00882650"/>
    <w:rsid w:val="00882703"/>
    <w:rsid w:val="00882CDA"/>
    <w:rsid w:val="00883754"/>
    <w:rsid w:val="008842AB"/>
    <w:rsid w:val="008844C7"/>
    <w:rsid w:val="008855BC"/>
    <w:rsid w:val="00886294"/>
    <w:rsid w:val="00886302"/>
    <w:rsid w:val="00886930"/>
    <w:rsid w:val="00886A95"/>
    <w:rsid w:val="00886F12"/>
    <w:rsid w:val="008902D3"/>
    <w:rsid w:val="00890605"/>
    <w:rsid w:val="00890A93"/>
    <w:rsid w:val="0089194A"/>
    <w:rsid w:val="0089243B"/>
    <w:rsid w:val="00892AFB"/>
    <w:rsid w:val="0089368B"/>
    <w:rsid w:val="00893A0A"/>
    <w:rsid w:val="0089561D"/>
    <w:rsid w:val="0089702D"/>
    <w:rsid w:val="00897403"/>
    <w:rsid w:val="008A1B88"/>
    <w:rsid w:val="008A1D16"/>
    <w:rsid w:val="008A1FE3"/>
    <w:rsid w:val="008A20BC"/>
    <w:rsid w:val="008A280E"/>
    <w:rsid w:val="008A30DD"/>
    <w:rsid w:val="008A31C0"/>
    <w:rsid w:val="008A3BC7"/>
    <w:rsid w:val="008A3F44"/>
    <w:rsid w:val="008A466B"/>
    <w:rsid w:val="008A68EC"/>
    <w:rsid w:val="008A73B0"/>
    <w:rsid w:val="008B24DD"/>
    <w:rsid w:val="008B285E"/>
    <w:rsid w:val="008B2B3C"/>
    <w:rsid w:val="008B4A2E"/>
    <w:rsid w:val="008B58DE"/>
    <w:rsid w:val="008B599F"/>
    <w:rsid w:val="008B6202"/>
    <w:rsid w:val="008B665D"/>
    <w:rsid w:val="008B6D0D"/>
    <w:rsid w:val="008B6F16"/>
    <w:rsid w:val="008C01EB"/>
    <w:rsid w:val="008C15C8"/>
    <w:rsid w:val="008C215C"/>
    <w:rsid w:val="008C2299"/>
    <w:rsid w:val="008C2443"/>
    <w:rsid w:val="008C2522"/>
    <w:rsid w:val="008C2CD3"/>
    <w:rsid w:val="008C34B7"/>
    <w:rsid w:val="008C3941"/>
    <w:rsid w:val="008C4151"/>
    <w:rsid w:val="008C5163"/>
    <w:rsid w:val="008C5984"/>
    <w:rsid w:val="008C5E67"/>
    <w:rsid w:val="008C730F"/>
    <w:rsid w:val="008C7C7F"/>
    <w:rsid w:val="008D0308"/>
    <w:rsid w:val="008D0998"/>
    <w:rsid w:val="008D1539"/>
    <w:rsid w:val="008D20A3"/>
    <w:rsid w:val="008D27EB"/>
    <w:rsid w:val="008D2C8B"/>
    <w:rsid w:val="008D30AF"/>
    <w:rsid w:val="008D3CDF"/>
    <w:rsid w:val="008D4618"/>
    <w:rsid w:val="008D47EA"/>
    <w:rsid w:val="008D5823"/>
    <w:rsid w:val="008D644F"/>
    <w:rsid w:val="008D6A5D"/>
    <w:rsid w:val="008D6E5C"/>
    <w:rsid w:val="008D6E96"/>
    <w:rsid w:val="008D6F6A"/>
    <w:rsid w:val="008D6F78"/>
    <w:rsid w:val="008D76BE"/>
    <w:rsid w:val="008E0886"/>
    <w:rsid w:val="008E0E90"/>
    <w:rsid w:val="008E10D6"/>
    <w:rsid w:val="008E27E6"/>
    <w:rsid w:val="008E2B58"/>
    <w:rsid w:val="008E33EA"/>
    <w:rsid w:val="008E3805"/>
    <w:rsid w:val="008E3D20"/>
    <w:rsid w:val="008E4582"/>
    <w:rsid w:val="008E462B"/>
    <w:rsid w:val="008E58D2"/>
    <w:rsid w:val="008E5901"/>
    <w:rsid w:val="008E5EDA"/>
    <w:rsid w:val="008E636B"/>
    <w:rsid w:val="008E6D00"/>
    <w:rsid w:val="008E6EC2"/>
    <w:rsid w:val="008E6F6E"/>
    <w:rsid w:val="008E7183"/>
    <w:rsid w:val="008E77D5"/>
    <w:rsid w:val="008F0415"/>
    <w:rsid w:val="008F0BE5"/>
    <w:rsid w:val="008F195C"/>
    <w:rsid w:val="008F34CB"/>
    <w:rsid w:val="008F3986"/>
    <w:rsid w:val="008F4F59"/>
    <w:rsid w:val="008F56AC"/>
    <w:rsid w:val="008F6653"/>
    <w:rsid w:val="008F6C10"/>
    <w:rsid w:val="008F71E6"/>
    <w:rsid w:val="008F7755"/>
    <w:rsid w:val="00900139"/>
    <w:rsid w:val="009008A2"/>
    <w:rsid w:val="00900B2B"/>
    <w:rsid w:val="00900F62"/>
    <w:rsid w:val="009019D1"/>
    <w:rsid w:val="0090210D"/>
    <w:rsid w:val="0090227C"/>
    <w:rsid w:val="00902289"/>
    <w:rsid w:val="009022BB"/>
    <w:rsid w:val="00902FD4"/>
    <w:rsid w:val="009045B3"/>
    <w:rsid w:val="0090493D"/>
    <w:rsid w:val="00904C72"/>
    <w:rsid w:val="00904D4B"/>
    <w:rsid w:val="00904F52"/>
    <w:rsid w:val="009050F4"/>
    <w:rsid w:val="00905430"/>
    <w:rsid w:val="00905BF5"/>
    <w:rsid w:val="00905F6A"/>
    <w:rsid w:val="00907FE0"/>
    <w:rsid w:val="00910CBD"/>
    <w:rsid w:val="0091144B"/>
    <w:rsid w:val="00912260"/>
    <w:rsid w:val="009126D6"/>
    <w:rsid w:val="0091298D"/>
    <w:rsid w:val="00912ADF"/>
    <w:rsid w:val="00912CF8"/>
    <w:rsid w:val="00914124"/>
    <w:rsid w:val="00915488"/>
    <w:rsid w:val="00915576"/>
    <w:rsid w:val="00915B6A"/>
    <w:rsid w:val="0091631F"/>
    <w:rsid w:val="00916A0F"/>
    <w:rsid w:val="00917A7F"/>
    <w:rsid w:val="00920528"/>
    <w:rsid w:val="00922BF8"/>
    <w:rsid w:val="0092368D"/>
    <w:rsid w:val="0092378E"/>
    <w:rsid w:val="0092403C"/>
    <w:rsid w:val="009241C9"/>
    <w:rsid w:val="00924234"/>
    <w:rsid w:val="0092474C"/>
    <w:rsid w:val="00925116"/>
    <w:rsid w:val="0092522F"/>
    <w:rsid w:val="00925448"/>
    <w:rsid w:val="00925536"/>
    <w:rsid w:val="00925FF2"/>
    <w:rsid w:val="009271A2"/>
    <w:rsid w:val="009309A2"/>
    <w:rsid w:val="00930CF7"/>
    <w:rsid w:val="009329C9"/>
    <w:rsid w:val="00933305"/>
    <w:rsid w:val="0093378D"/>
    <w:rsid w:val="0093484E"/>
    <w:rsid w:val="00935A48"/>
    <w:rsid w:val="00937C0F"/>
    <w:rsid w:val="00940467"/>
    <w:rsid w:val="009404CE"/>
    <w:rsid w:val="009409D0"/>
    <w:rsid w:val="00940D56"/>
    <w:rsid w:val="00941319"/>
    <w:rsid w:val="00941C71"/>
    <w:rsid w:val="00941E99"/>
    <w:rsid w:val="0094299F"/>
    <w:rsid w:val="00942C49"/>
    <w:rsid w:val="00944E9D"/>
    <w:rsid w:val="009472A1"/>
    <w:rsid w:val="00947A04"/>
    <w:rsid w:val="00947B02"/>
    <w:rsid w:val="00947E4E"/>
    <w:rsid w:val="009508FA"/>
    <w:rsid w:val="009519B0"/>
    <w:rsid w:val="00951A56"/>
    <w:rsid w:val="009543FD"/>
    <w:rsid w:val="009545F5"/>
    <w:rsid w:val="00954BAD"/>
    <w:rsid w:val="009553DE"/>
    <w:rsid w:val="00955421"/>
    <w:rsid w:val="0095549B"/>
    <w:rsid w:val="00956F1D"/>
    <w:rsid w:val="0095708D"/>
    <w:rsid w:val="009570EC"/>
    <w:rsid w:val="009571D8"/>
    <w:rsid w:val="00957325"/>
    <w:rsid w:val="00960DB5"/>
    <w:rsid w:val="009611F6"/>
    <w:rsid w:val="00961D65"/>
    <w:rsid w:val="00961F4C"/>
    <w:rsid w:val="00962311"/>
    <w:rsid w:val="00962341"/>
    <w:rsid w:val="00962426"/>
    <w:rsid w:val="009636C3"/>
    <w:rsid w:val="00963732"/>
    <w:rsid w:val="009637F1"/>
    <w:rsid w:val="009647DB"/>
    <w:rsid w:val="00965B35"/>
    <w:rsid w:val="00965C70"/>
    <w:rsid w:val="00965E55"/>
    <w:rsid w:val="00965FCD"/>
    <w:rsid w:val="009667E4"/>
    <w:rsid w:val="00966C86"/>
    <w:rsid w:val="00966CC3"/>
    <w:rsid w:val="009674E4"/>
    <w:rsid w:val="00967750"/>
    <w:rsid w:val="00967D5B"/>
    <w:rsid w:val="009707F3"/>
    <w:rsid w:val="00970817"/>
    <w:rsid w:val="0097121E"/>
    <w:rsid w:val="009729C4"/>
    <w:rsid w:val="00972CD2"/>
    <w:rsid w:val="00972F5D"/>
    <w:rsid w:val="00973022"/>
    <w:rsid w:val="0097377E"/>
    <w:rsid w:val="0097384A"/>
    <w:rsid w:val="00974320"/>
    <w:rsid w:val="00974AD2"/>
    <w:rsid w:val="00974F42"/>
    <w:rsid w:val="00975511"/>
    <w:rsid w:val="00976263"/>
    <w:rsid w:val="00980D4F"/>
    <w:rsid w:val="0098296F"/>
    <w:rsid w:val="00982E62"/>
    <w:rsid w:val="009836D7"/>
    <w:rsid w:val="0098375C"/>
    <w:rsid w:val="00983E2A"/>
    <w:rsid w:val="009842D5"/>
    <w:rsid w:val="00984FFD"/>
    <w:rsid w:val="009851E4"/>
    <w:rsid w:val="0098562F"/>
    <w:rsid w:val="00985BF6"/>
    <w:rsid w:val="00985C9B"/>
    <w:rsid w:val="009860B5"/>
    <w:rsid w:val="009869DC"/>
    <w:rsid w:val="009869F0"/>
    <w:rsid w:val="00991300"/>
    <w:rsid w:val="00991897"/>
    <w:rsid w:val="00992420"/>
    <w:rsid w:val="00992B90"/>
    <w:rsid w:val="00993C8B"/>
    <w:rsid w:val="00993E5A"/>
    <w:rsid w:val="00994161"/>
    <w:rsid w:val="0099417D"/>
    <w:rsid w:val="00994D96"/>
    <w:rsid w:val="009960CD"/>
    <w:rsid w:val="00997454"/>
    <w:rsid w:val="009A0736"/>
    <w:rsid w:val="009A077D"/>
    <w:rsid w:val="009A1376"/>
    <w:rsid w:val="009A19E2"/>
    <w:rsid w:val="009A24E1"/>
    <w:rsid w:val="009A2EA5"/>
    <w:rsid w:val="009A4C61"/>
    <w:rsid w:val="009A4CA6"/>
    <w:rsid w:val="009A5015"/>
    <w:rsid w:val="009A5640"/>
    <w:rsid w:val="009A63D0"/>
    <w:rsid w:val="009A66BD"/>
    <w:rsid w:val="009A6AC7"/>
    <w:rsid w:val="009A6D2F"/>
    <w:rsid w:val="009A74A7"/>
    <w:rsid w:val="009A792A"/>
    <w:rsid w:val="009A7E4A"/>
    <w:rsid w:val="009B07AA"/>
    <w:rsid w:val="009B1049"/>
    <w:rsid w:val="009B159E"/>
    <w:rsid w:val="009B1B81"/>
    <w:rsid w:val="009B1C0A"/>
    <w:rsid w:val="009B320B"/>
    <w:rsid w:val="009B37AE"/>
    <w:rsid w:val="009B43DB"/>
    <w:rsid w:val="009B5779"/>
    <w:rsid w:val="009B65AF"/>
    <w:rsid w:val="009B6603"/>
    <w:rsid w:val="009B6985"/>
    <w:rsid w:val="009B75F3"/>
    <w:rsid w:val="009C0493"/>
    <w:rsid w:val="009C162D"/>
    <w:rsid w:val="009C1D43"/>
    <w:rsid w:val="009C1DC4"/>
    <w:rsid w:val="009C406B"/>
    <w:rsid w:val="009C41DE"/>
    <w:rsid w:val="009C42D7"/>
    <w:rsid w:val="009C4652"/>
    <w:rsid w:val="009C4D32"/>
    <w:rsid w:val="009C4EAF"/>
    <w:rsid w:val="009C5011"/>
    <w:rsid w:val="009C5462"/>
    <w:rsid w:val="009C5A68"/>
    <w:rsid w:val="009C62C0"/>
    <w:rsid w:val="009C6466"/>
    <w:rsid w:val="009C6D28"/>
    <w:rsid w:val="009C6DF3"/>
    <w:rsid w:val="009C7459"/>
    <w:rsid w:val="009C756D"/>
    <w:rsid w:val="009D04AF"/>
    <w:rsid w:val="009D198A"/>
    <w:rsid w:val="009D2F97"/>
    <w:rsid w:val="009D36B4"/>
    <w:rsid w:val="009D3AEA"/>
    <w:rsid w:val="009D3E8D"/>
    <w:rsid w:val="009D45FA"/>
    <w:rsid w:val="009D64D9"/>
    <w:rsid w:val="009D6D64"/>
    <w:rsid w:val="009D7885"/>
    <w:rsid w:val="009E04A3"/>
    <w:rsid w:val="009E21B0"/>
    <w:rsid w:val="009E36CD"/>
    <w:rsid w:val="009E3E79"/>
    <w:rsid w:val="009E510B"/>
    <w:rsid w:val="009E51BC"/>
    <w:rsid w:val="009E58AC"/>
    <w:rsid w:val="009E5D48"/>
    <w:rsid w:val="009E6747"/>
    <w:rsid w:val="009E70C1"/>
    <w:rsid w:val="009E7177"/>
    <w:rsid w:val="009F0EB0"/>
    <w:rsid w:val="009F1090"/>
    <w:rsid w:val="009F150B"/>
    <w:rsid w:val="009F17D9"/>
    <w:rsid w:val="009F18E0"/>
    <w:rsid w:val="009F216B"/>
    <w:rsid w:val="009F2C2B"/>
    <w:rsid w:val="009F3035"/>
    <w:rsid w:val="009F3089"/>
    <w:rsid w:val="009F327D"/>
    <w:rsid w:val="009F35DF"/>
    <w:rsid w:val="009F3C6F"/>
    <w:rsid w:val="009F3CF9"/>
    <w:rsid w:val="009F3DA9"/>
    <w:rsid w:val="009F4195"/>
    <w:rsid w:val="009F4261"/>
    <w:rsid w:val="009F4E29"/>
    <w:rsid w:val="009F74C6"/>
    <w:rsid w:val="00A00218"/>
    <w:rsid w:val="00A0022E"/>
    <w:rsid w:val="00A0035B"/>
    <w:rsid w:val="00A01261"/>
    <w:rsid w:val="00A0131C"/>
    <w:rsid w:val="00A01975"/>
    <w:rsid w:val="00A0226B"/>
    <w:rsid w:val="00A040F6"/>
    <w:rsid w:val="00A049F4"/>
    <w:rsid w:val="00A04FBF"/>
    <w:rsid w:val="00A060B3"/>
    <w:rsid w:val="00A06C70"/>
    <w:rsid w:val="00A06E10"/>
    <w:rsid w:val="00A07539"/>
    <w:rsid w:val="00A105A7"/>
    <w:rsid w:val="00A10CF5"/>
    <w:rsid w:val="00A119B4"/>
    <w:rsid w:val="00A119F1"/>
    <w:rsid w:val="00A11CDE"/>
    <w:rsid w:val="00A11E17"/>
    <w:rsid w:val="00A145D0"/>
    <w:rsid w:val="00A14996"/>
    <w:rsid w:val="00A16685"/>
    <w:rsid w:val="00A16C9B"/>
    <w:rsid w:val="00A17447"/>
    <w:rsid w:val="00A178C8"/>
    <w:rsid w:val="00A20571"/>
    <w:rsid w:val="00A2097F"/>
    <w:rsid w:val="00A209F6"/>
    <w:rsid w:val="00A20D1B"/>
    <w:rsid w:val="00A223E6"/>
    <w:rsid w:val="00A22776"/>
    <w:rsid w:val="00A22911"/>
    <w:rsid w:val="00A22FCE"/>
    <w:rsid w:val="00A233F2"/>
    <w:rsid w:val="00A23A9A"/>
    <w:rsid w:val="00A23C7E"/>
    <w:rsid w:val="00A2480A"/>
    <w:rsid w:val="00A24849"/>
    <w:rsid w:val="00A2559B"/>
    <w:rsid w:val="00A25D5F"/>
    <w:rsid w:val="00A3033D"/>
    <w:rsid w:val="00A30660"/>
    <w:rsid w:val="00A30E95"/>
    <w:rsid w:val="00A3121D"/>
    <w:rsid w:val="00A319E4"/>
    <w:rsid w:val="00A324F2"/>
    <w:rsid w:val="00A32588"/>
    <w:rsid w:val="00A33860"/>
    <w:rsid w:val="00A34BB6"/>
    <w:rsid w:val="00A34E49"/>
    <w:rsid w:val="00A34E8F"/>
    <w:rsid w:val="00A34E9D"/>
    <w:rsid w:val="00A35125"/>
    <w:rsid w:val="00A3560C"/>
    <w:rsid w:val="00A35630"/>
    <w:rsid w:val="00A358F6"/>
    <w:rsid w:val="00A35C10"/>
    <w:rsid w:val="00A360C2"/>
    <w:rsid w:val="00A36406"/>
    <w:rsid w:val="00A3689A"/>
    <w:rsid w:val="00A36F39"/>
    <w:rsid w:val="00A37526"/>
    <w:rsid w:val="00A3777A"/>
    <w:rsid w:val="00A40D24"/>
    <w:rsid w:val="00A4133A"/>
    <w:rsid w:val="00A419CE"/>
    <w:rsid w:val="00A423C3"/>
    <w:rsid w:val="00A429F2"/>
    <w:rsid w:val="00A4482B"/>
    <w:rsid w:val="00A44F75"/>
    <w:rsid w:val="00A451B1"/>
    <w:rsid w:val="00A451E5"/>
    <w:rsid w:val="00A45934"/>
    <w:rsid w:val="00A459FF"/>
    <w:rsid w:val="00A45F99"/>
    <w:rsid w:val="00A468B1"/>
    <w:rsid w:val="00A4692E"/>
    <w:rsid w:val="00A4692F"/>
    <w:rsid w:val="00A46C9C"/>
    <w:rsid w:val="00A46DEF"/>
    <w:rsid w:val="00A46E75"/>
    <w:rsid w:val="00A478AD"/>
    <w:rsid w:val="00A524E5"/>
    <w:rsid w:val="00A52BC0"/>
    <w:rsid w:val="00A52EA8"/>
    <w:rsid w:val="00A5443B"/>
    <w:rsid w:val="00A55077"/>
    <w:rsid w:val="00A55764"/>
    <w:rsid w:val="00A55823"/>
    <w:rsid w:val="00A559ED"/>
    <w:rsid w:val="00A55A6E"/>
    <w:rsid w:val="00A55AB0"/>
    <w:rsid w:val="00A5642C"/>
    <w:rsid w:val="00A56F16"/>
    <w:rsid w:val="00A57868"/>
    <w:rsid w:val="00A57AE3"/>
    <w:rsid w:val="00A57CDB"/>
    <w:rsid w:val="00A6119A"/>
    <w:rsid w:val="00A6220E"/>
    <w:rsid w:val="00A6246A"/>
    <w:rsid w:val="00A62711"/>
    <w:rsid w:val="00A63167"/>
    <w:rsid w:val="00A63DB2"/>
    <w:rsid w:val="00A664C8"/>
    <w:rsid w:val="00A66869"/>
    <w:rsid w:val="00A66994"/>
    <w:rsid w:val="00A66BEC"/>
    <w:rsid w:val="00A67103"/>
    <w:rsid w:val="00A67F78"/>
    <w:rsid w:val="00A719D1"/>
    <w:rsid w:val="00A71AEE"/>
    <w:rsid w:val="00A72B22"/>
    <w:rsid w:val="00A73828"/>
    <w:rsid w:val="00A738C7"/>
    <w:rsid w:val="00A73F8B"/>
    <w:rsid w:val="00A74590"/>
    <w:rsid w:val="00A75004"/>
    <w:rsid w:val="00A76078"/>
    <w:rsid w:val="00A76BD3"/>
    <w:rsid w:val="00A80523"/>
    <w:rsid w:val="00A8105B"/>
    <w:rsid w:val="00A8196A"/>
    <w:rsid w:val="00A81A72"/>
    <w:rsid w:val="00A81DD8"/>
    <w:rsid w:val="00A82E03"/>
    <w:rsid w:val="00A84EF6"/>
    <w:rsid w:val="00A85168"/>
    <w:rsid w:val="00A85320"/>
    <w:rsid w:val="00A85322"/>
    <w:rsid w:val="00A862EE"/>
    <w:rsid w:val="00A86AE2"/>
    <w:rsid w:val="00A87A73"/>
    <w:rsid w:val="00A90070"/>
    <w:rsid w:val="00A90134"/>
    <w:rsid w:val="00A919D2"/>
    <w:rsid w:val="00A91C99"/>
    <w:rsid w:val="00A92A57"/>
    <w:rsid w:val="00A92C88"/>
    <w:rsid w:val="00A93193"/>
    <w:rsid w:val="00A94105"/>
    <w:rsid w:val="00A9414F"/>
    <w:rsid w:val="00A94444"/>
    <w:rsid w:val="00A944B7"/>
    <w:rsid w:val="00A95390"/>
    <w:rsid w:val="00A95F41"/>
    <w:rsid w:val="00A96249"/>
    <w:rsid w:val="00A965E6"/>
    <w:rsid w:val="00A96B95"/>
    <w:rsid w:val="00A975A4"/>
    <w:rsid w:val="00AA1568"/>
    <w:rsid w:val="00AA15ED"/>
    <w:rsid w:val="00AA4229"/>
    <w:rsid w:val="00AA4C9B"/>
    <w:rsid w:val="00AA53FC"/>
    <w:rsid w:val="00AA57C2"/>
    <w:rsid w:val="00AA6286"/>
    <w:rsid w:val="00AA6372"/>
    <w:rsid w:val="00AA728A"/>
    <w:rsid w:val="00AB0576"/>
    <w:rsid w:val="00AB08DE"/>
    <w:rsid w:val="00AB1AAD"/>
    <w:rsid w:val="00AB356D"/>
    <w:rsid w:val="00AB3700"/>
    <w:rsid w:val="00AB47EB"/>
    <w:rsid w:val="00AB4C24"/>
    <w:rsid w:val="00AB4C79"/>
    <w:rsid w:val="00AB517A"/>
    <w:rsid w:val="00AB7198"/>
    <w:rsid w:val="00AC28E1"/>
    <w:rsid w:val="00AC2EF2"/>
    <w:rsid w:val="00AC32CE"/>
    <w:rsid w:val="00AC33D0"/>
    <w:rsid w:val="00AC41A8"/>
    <w:rsid w:val="00AC4D78"/>
    <w:rsid w:val="00AC4E44"/>
    <w:rsid w:val="00AC5FC3"/>
    <w:rsid w:val="00AC7151"/>
    <w:rsid w:val="00AC717C"/>
    <w:rsid w:val="00AC7CE7"/>
    <w:rsid w:val="00AD02E0"/>
    <w:rsid w:val="00AD0474"/>
    <w:rsid w:val="00AD0892"/>
    <w:rsid w:val="00AD0FC1"/>
    <w:rsid w:val="00AD1B16"/>
    <w:rsid w:val="00AD1CF2"/>
    <w:rsid w:val="00AD2612"/>
    <w:rsid w:val="00AD2C28"/>
    <w:rsid w:val="00AD308A"/>
    <w:rsid w:val="00AD314C"/>
    <w:rsid w:val="00AD4978"/>
    <w:rsid w:val="00AD5FD2"/>
    <w:rsid w:val="00AD677F"/>
    <w:rsid w:val="00AD69AC"/>
    <w:rsid w:val="00AD6C85"/>
    <w:rsid w:val="00AD6E0C"/>
    <w:rsid w:val="00AD71D3"/>
    <w:rsid w:val="00AD725A"/>
    <w:rsid w:val="00AD7672"/>
    <w:rsid w:val="00AE1A52"/>
    <w:rsid w:val="00AE2ACA"/>
    <w:rsid w:val="00AE2C4C"/>
    <w:rsid w:val="00AE2FC9"/>
    <w:rsid w:val="00AE332A"/>
    <w:rsid w:val="00AE3B29"/>
    <w:rsid w:val="00AE3EC8"/>
    <w:rsid w:val="00AE46D2"/>
    <w:rsid w:val="00AE745C"/>
    <w:rsid w:val="00AF16EF"/>
    <w:rsid w:val="00AF2879"/>
    <w:rsid w:val="00AF29C0"/>
    <w:rsid w:val="00AF2A35"/>
    <w:rsid w:val="00AF39C0"/>
    <w:rsid w:val="00AF3F13"/>
    <w:rsid w:val="00AF62DF"/>
    <w:rsid w:val="00AF6471"/>
    <w:rsid w:val="00AF71DC"/>
    <w:rsid w:val="00AF7CF3"/>
    <w:rsid w:val="00AF7E83"/>
    <w:rsid w:val="00B012FF"/>
    <w:rsid w:val="00B022B2"/>
    <w:rsid w:val="00B02D66"/>
    <w:rsid w:val="00B03435"/>
    <w:rsid w:val="00B039A4"/>
    <w:rsid w:val="00B0449D"/>
    <w:rsid w:val="00B063C0"/>
    <w:rsid w:val="00B06824"/>
    <w:rsid w:val="00B10371"/>
    <w:rsid w:val="00B12463"/>
    <w:rsid w:val="00B12E31"/>
    <w:rsid w:val="00B12FFF"/>
    <w:rsid w:val="00B13932"/>
    <w:rsid w:val="00B1410C"/>
    <w:rsid w:val="00B144B8"/>
    <w:rsid w:val="00B14CA8"/>
    <w:rsid w:val="00B15B7B"/>
    <w:rsid w:val="00B16A6B"/>
    <w:rsid w:val="00B1724F"/>
    <w:rsid w:val="00B17E2D"/>
    <w:rsid w:val="00B20DEE"/>
    <w:rsid w:val="00B215A7"/>
    <w:rsid w:val="00B21B23"/>
    <w:rsid w:val="00B22227"/>
    <w:rsid w:val="00B2229B"/>
    <w:rsid w:val="00B2262C"/>
    <w:rsid w:val="00B2447D"/>
    <w:rsid w:val="00B2654F"/>
    <w:rsid w:val="00B271CF"/>
    <w:rsid w:val="00B27D61"/>
    <w:rsid w:val="00B30BC0"/>
    <w:rsid w:val="00B3132A"/>
    <w:rsid w:val="00B31F68"/>
    <w:rsid w:val="00B336D1"/>
    <w:rsid w:val="00B351C1"/>
    <w:rsid w:val="00B355D6"/>
    <w:rsid w:val="00B36D48"/>
    <w:rsid w:val="00B40133"/>
    <w:rsid w:val="00B41E7A"/>
    <w:rsid w:val="00B42AAB"/>
    <w:rsid w:val="00B4327B"/>
    <w:rsid w:val="00B434CF"/>
    <w:rsid w:val="00B43B1F"/>
    <w:rsid w:val="00B44688"/>
    <w:rsid w:val="00B45BDC"/>
    <w:rsid w:val="00B46ABF"/>
    <w:rsid w:val="00B47CAB"/>
    <w:rsid w:val="00B50021"/>
    <w:rsid w:val="00B507D3"/>
    <w:rsid w:val="00B50CF4"/>
    <w:rsid w:val="00B5154B"/>
    <w:rsid w:val="00B51806"/>
    <w:rsid w:val="00B52271"/>
    <w:rsid w:val="00B5329A"/>
    <w:rsid w:val="00B53433"/>
    <w:rsid w:val="00B554D3"/>
    <w:rsid w:val="00B5629A"/>
    <w:rsid w:val="00B57358"/>
    <w:rsid w:val="00B57E89"/>
    <w:rsid w:val="00B600D9"/>
    <w:rsid w:val="00B603E6"/>
    <w:rsid w:val="00B62D9E"/>
    <w:rsid w:val="00B6394D"/>
    <w:rsid w:val="00B63FBA"/>
    <w:rsid w:val="00B6519A"/>
    <w:rsid w:val="00B663B8"/>
    <w:rsid w:val="00B669C4"/>
    <w:rsid w:val="00B66E0F"/>
    <w:rsid w:val="00B67014"/>
    <w:rsid w:val="00B71665"/>
    <w:rsid w:val="00B71C0B"/>
    <w:rsid w:val="00B72332"/>
    <w:rsid w:val="00B72446"/>
    <w:rsid w:val="00B73D36"/>
    <w:rsid w:val="00B73FD4"/>
    <w:rsid w:val="00B74693"/>
    <w:rsid w:val="00B74947"/>
    <w:rsid w:val="00B7548F"/>
    <w:rsid w:val="00B7591E"/>
    <w:rsid w:val="00B75991"/>
    <w:rsid w:val="00B760A2"/>
    <w:rsid w:val="00B76838"/>
    <w:rsid w:val="00B77D13"/>
    <w:rsid w:val="00B801BF"/>
    <w:rsid w:val="00B80711"/>
    <w:rsid w:val="00B810E2"/>
    <w:rsid w:val="00B81BD0"/>
    <w:rsid w:val="00B820AC"/>
    <w:rsid w:val="00B82794"/>
    <w:rsid w:val="00B82B9C"/>
    <w:rsid w:val="00B82F96"/>
    <w:rsid w:val="00B84CCB"/>
    <w:rsid w:val="00B862AF"/>
    <w:rsid w:val="00B86637"/>
    <w:rsid w:val="00B86906"/>
    <w:rsid w:val="00B86E20"/>
    <w:rsid w:val="00B87E79"/>
    <w:rsid w:val="00B90D97"/>
    <w:rsid w:val="00B91241"/>
    <w:rsid w:val="00B91D36"/>
    <w:rsid w:val="00B92746"/>
    <w:rsid w:val="00B92D47"/>
    <w:rsid w:val="00B96894"/>
    <w:rsid w:val="00B969AC"/>
    <w:rsid w:val="00B9719C"/>
    <w:rsid w:val="00BA06C1"/>
    <w:rsid w:val="00BA0B65"/>
    <w:rsid w:val="00BA1E04"/>
    <w:rsid w:val="00BA1F78"/>
    <w:rsid w:val="00BA2E14"/>
    <w:rsid w:val="00BA4E3C"/>
    <w:rsid w:val="00BA54D0"/>
    <w:rsid w:val="00BA6C18"/>
    <w:rsid w:val="00BA6F69"/>
    <w:rsid w:val="00BA6FEF"/>
    <w:rsid w:val="00BB058C"/>
    <w:rsid w:val="00BB24C2"/>
    <w:rsid w:val="00BB2CF5"/>
    <w:rsid w:val="00BB30FF"/>
    <w:rsid w:val="00BB360B"/>
    <w:rsid w:val="00BB40F6"/>
    <w:rsid w:val="00BB4C6C"/>
    <w:rsid w:val="00BB573E"/>
    <w:rsid w:val="00BB5FE7"/>
    <w:rsid w:val="00BB60B2"/>
    <w:rsid w:val="00BB68A6"/>
    <w:rsid w:val="00BB6C77"/>
    <w:rsid w:val="00BB7001"/>
    <w:rsid w:val="00BB785F"/>
    <w:rsid w:val="00BB7878"/>
    <w:rsid w:val="00BB7D3F"/>
    <w:rsid w:val="00BB7F73"/>
    <w:rsid w:val="00BC05DD"/>
    <w:rsid w:val="00BC188E"/>
    <w:rsid w:val="00BC1B61"/>
    <w:rsid w:val="00BC1BBF"/>
    <w:rsid w:val="00BC2E39"/>
    <w:rsid w:val="00BC3FB6"/>
    <w:rsid w:val="00BC4BB9"/>
    <w:rsid w:val="00BC5779"/>
    <w:rsid w:val="00BC6076"/>
    <w:rsid w:val="00BC6DA1"/>
    <w:rsid w:val="00BC6E86"/>
    <w:rsid w:val="00BC73F7"/>
    <w:rsid w:val="00BC76FE"/>
    <w:rsid w:val="00BD0972"/>
    <w:rsid w:val="00BD0C9A"/>
    <w:rsid w:val="00BD0F4E"/>
    <w:rsid w:val="00BD145B"/>
    <w:rsid w:val="00BD18F0"/>
    <w:rsid w:val="00BD251F"/>
    <w:rsid w:val="00BD2B67"/>
    <w:rsid w:val="00BD30D2"/>
    <w:rsid w:val="00BE1624"/>
    <w:rsid w:val="00BE20AC"/>
    <w:rsid w:val="00BE2ABD"/>
    <w:rsid w:val="00BE2E1E"/>
    <w:rsid w:val="00BE3029"/>
    <w:rsid w:val="00BE3C50"/>
    <w:rsid w:val="00BE3FF4"/>
    <w:rsid w:val="00BE47BD"/>
    <w:rsid w:val="00BE5B52"/>
    <w:rsid w:val="00BE6311"/>
    <w:rsid w:val="00BE6BEE"/>
    <w:rsid w:val="00BE6E6D"/>
    <w:rsid w:val="00BF0ACC"/>
    <w:rsid w:val="00BF0C5D"/>
    <w:rsid w:val="00BF1440"/>
    <w:rsid w:val="00BF1786"/>
    <w:rsid w:val="00BF1A0B"/>
    <w:rsid w:val="00BF1CB0"/>
    <w:rsid w:val="00BF1F70"/>
    <w:rsid w:val="00BF2B93"/>
    <w:rsid w:val="00BF2D81"/>
    <w:rsid w:val="00BF2DC6"/>
    <w:rsid w:val="00BF301B"/>
    <w:rsid w:val="00BF3436"/>
    <w:rsid w:val="00BF43FA"/>
    <w:rsid w:val="00BF6AAD"/>
    <w:rsid w:val="00BF7150"/>
    <w:rsid w:val="00BF72CE"/>
    <w:rsid w:val="00C00142"/>
    <w:rsid w:val="00C00FED"/>
    <w:rsid w:val="00C0135E"/>
    <w:rsid w:val="00C01F4F"/>
    <w:rsid w:val="00C025D3"/>
    <w:rsid w:val="00C0337D"/>
    <w:rsid w:val="00C038CD"/>
    <w:rsid w:val="00C06AB7"/>
    <w:rsid w:val="00C07170"/>
    <w:rsid w:val="00C077DA"/>
    <w:rsid w:val="00C0788A"/>
    <w:rsid w:val="00C07EBB"/>
    <w:rsid w:val="00C11266"/>
    <w:rsid w:val="00C123A0"/>
    <w:rsid w:val="00C12BC9"/>
    <w:rsid w:val="00C131FA"/>
    <w:rsid w:val="00C13F58"/>
    <w:rsid w:val="00C13F76"/>
    <w:rsid w:val="00C14571"/>
    <w:rsid w:val="00C1491F"/>
    <w:rsid w:val="00C14ED8"/>
    <w:rsid w:val="00C15137"/>
    <w:rsid w:val="00C15748"/>
    <w:rsid w:val="00C157D1"/>
    <w:rsid w:val="00C15E22"/>
    <w:rsid w:val="00C15F7A"/>
    <w:rsid w:val="00C16FE2"/>
    <w:rsid w:val="00C20050"/>
    <w:rsid w:val="00C20226"/>
    <w:rsid w:val="00C20BFE"/>
    <w:rsid w:val="00C20E5A"/>
    <w:rsid w:val="00C22E55"/>
    <w:rsid w:val="00C23729"/>
    <w:rsid w:val="00C237D7"/>
    <w:rsid w:val="00C25367"/>
    <w:rsid w:val="00C2679E"/>
    <w:rsid w:val="00C26844"/>
    <w:rsid w:val="00C26B0A"/>
    <w:rsid w:val="00C2734A"/>
    <w:rsid w:val="00C309B8"/>
    <w:rsid w:val="00C31ABA"/>
    <w:rsid w:val="00C31D0E"/>
    <w:rsid w:val="00C321B7"/>
    <w:rsid w:val="00C32335"/>
    <w:rsid w:val="00C32B54"/>
    <w:rsid w:val="00C32DED"/>
    <w:rsid w:val="00C34184"/>
    <w:rsid w:val="00C34787"/>
    <w:rsid w:val="00C34A4A"/>
    <w:rsid w:val="00C34AC1"/>
    <w:rsid w:val="00C34C00"/>
    <w:rsid w:val="00C35CAA"/>
    <w:rsid w:val="00C36610"/>
    <w:rsid w:val="00C37756"/>
    <w:rsid w:val="00C37AF3"/>
    <w:rsid w:val="00C37B69"/>
    <w:rsid w:val="00C40651"/>
    <w:rsid w:val="00C40CFD"/>
    <w:rsid w:val="00C411FB"/>
    <w:rsid w:val="00C41B46"/>
    <w:rsid w:val="00C41BAB"/>
    <w:rsid w:val="00C41D78"/>
    <w:rsid w:val="00C41E2D"/>
    <w:rsid w:val="00C41E50"/>
    <w:rsid w:val="00C42122"/>
    <w:rsid w:val="00C427B1"/>
    <w:rsid w:val="00C42838"/>
    <w:rsid w:val="00C43371"/>
    <w:rsid w:val="00C44313"/>
    <w:rsid w:val="00C45B6B"/>
    <w:rsid w:val="00C45B95"/>
    <w:rsid w:val="00C4601D"/>
    <w:rsid w:val="00C46235"/>
    <w:rsid w:val="00C47275"/>
    <w:rsid w:val="00C479E2"/>
    <w:rsid w:val="00C50494"/>
    <w:rsid w:val="00C51BC7"/>
    <w:rsid w:val="00C53291"/>
    <w:rsid w:val="00C535A6"/>
    <w:rsid w:val="00C53A70"/>
    <w:rsid w:val="00C549E0"/>
    <w:rsid w:val="00C55D2F"/>
    <w:rsid w:val="00C565D2"/>
    <w:rsid w:val="00C56A3A"/>
    <w:rsid w:val="00C576EA"/>
    <w:rsid w:val="00C5774D"/>
    <w:rsid w:val="00C57CD2"/>
    <w:rsid w:val="00C603DE"/>
    <w:rsid w:val="00C6164F"/>
    <w:rsid w:val="00C62171"/>
    <w:rsid w:val="00C62E16"/>
    <w:rsid w:val="00C6348A"/>
    <w:rsid w:val="00C63916"/>
    <w:rsid w:val="00C63D3F"/>
    <w:rsid w:val="00C63FC1"/>
    <w:rsid w:val="00C6406C"/>
    <w:rsid w:val="00C64636"/>
    <w:rsid w:val="00C646AC"/>
    <w:rsid w:val="00C64C5D"/>
    <w:rsid w:val="00C652CE"/>
    <w:rsid w:val="00C6630B"/>
    <w:rsid w:val="00C663B6"/>
    <w:rsid w:val="00C672D1"/>
    <w:rsid w:val="00C701AF"/>
    <w:rsid w:val="00C7054F"/>
    <w:rsid w:val="00C70D2D"/>
    <w:rsid w:val="00C72651"/>
    <w:rsid w:val="00C72C89"/>
    <w:rsid w:val="00C73B10"/>
    <w:rsid w:val="00C74B05"/>
    <w:rsid w:val="00C75A66"/>
    <w:rsid w:val="00C75F0D"/>
    <w:rsid w:val="00C75F73"/>
    <w:rsid w:val="00C7630E"/>
    <w:rsid w:val="00C77503"/>
    <w:rsid w:val="00C80520"/>
    <w:rsid w:val="00C80EF3"/>
    <w:rsid w:val="00C81007"/>
    <w:rsid w:val="00C810AD"/>
    <w:rsid w:val="00C83BDD"/>
    <w:rsid w:val="00C83E8F"/>
    <w:rsid w:val="00C84A12"/>
    <w:rsid w:val="00C84D6D"/>
    <w:rsid w:val="00C84E32"/>
    <w:rsid w:val="00C85EA2"/>
    <w:rsid w:val="00C86D66"/>
    <w:rsid w:val="00C87E02"/>
    <w:rsid w:val="00C90367"/>
    <w:rsid w:val="00C907BB"/>
    <w:rsid w:val="00C909BF"/>
    <w:rsid w:val="00C9152B"/>
    <w:rsid w:val="00C91FD4"/>
    <w:rsid w:val="00C9246F"/>
    <w:rsid w:val="00C9290A"/>
    <w:rsid w:val="00C93342"/>
    <w:rsid w:val="00C93695"/>
    <w:rsid w:val="00C93D87"/>
    <w:rsid w:val="00C93DA1"/>
    <w:rsid w:val="00C94C39"/>
    <w:rsid w:val="00C961DD"/>
    <w:rsid w:val="00C9626E"/>
    <w:rsid w:val="00C97975"/>
    <w:rsid w:val="00CA1C2A"/>
    <w:rsid w:val="00CA211C"/>
    <w:rsid w:val="00CA2C46"/>
    <w:rsid w:val="00CA2DC5"/>
    <w:rsid w:val="00CA3070"/>
    <w:rsid w:val="00CA3FDD"/>
    <w:rsid w:val="00CA4127"/>
    <w:rsid w:val="00CA44ED"/>
    <w:rsid w:val="00CA5469"/>
    <w:rsid w:val="00CA621E"/>
    <w:rsid w:val="00CA6A3E"/>
    <w:rsid w:val="00CA6E7C"/>
    <w:rsid w:val="00CA7058"/>
    <w:rsid w:val="00CA7C68"/>
    <w:rsid w:val="00CA7C77"/>
    <w:rsid w:val="00CB0013"/>
    <w:rsid w:val="00CB01AB"/>
    <w:rsid w:val="00CB04AC"/>
    <w:rsid w:val="00CB0D35"/>
    <w:rsid w:val="00CB1B20"/>
    <w:rsid w:val="00CB1EA7"/>
    <w:rsid w:val="00CB25D4"/>
    <w:rsid w:val="00CB2C84"/>
    <w:rsid w:val="00CB311F"/>
    <w:rsid w:val="00CB3B77"/>
    <w:rsid w:val="00CB407D"/>
    <w:rsid w:val="00CB4560"/>
    <w:rsid w:val="00CB47DE"/>
    <w:rsid w:val="00CB776C"/>
    <w:rsid w:val="00CB7966"/>
    <w:rsid w:val="00CB7EB3"/>
    <w:rsid w:val="00CC16C7"/>
    <w:rsid w:val="00CC199B"/>
    <w:rsid w:val="00CC2AAE"/>
    <w:rsid w:val="00CC504A"/>
    <w:rsid w:val="00CC51BF"/>
    <w:rsid w:val="00CC53C4"/>
    <w:rsid w:val="00CC577F"/>
    <w:rsid w:val="00CC5A14"/>
    <w:rsid w:val="00CC67DD"/>
    <w:rsid w:val="00CC6A54"/>
    <w:rsid w:val="00CC6EAC"/>
    <w:rsid w:val="00CC7595"/>
    <w:rsid w:val="00CC7811"/>
    <w:rsid w:val="00CD019B"/>
    <w:rsid w:val="00CD0FEF"/>
    <w:rsid w:val="00CD1303"/>
    <w:rsid w:val="00CD16E6"/>
    <w:rsid w:val="00CD1F78"/>
    <w:rsid w:val="00CD3371"/>
    <w:rsid w:val="00CD4B5D"/>
    <w:rsid w:val="00CD68CA"/>
    <w:rsid w:val="00CD699F"/>
    <w:rsid w:val="00CD707C"/>
    <w:rsid w:val="00CD769F"/>
    <w:rsid w:val="00CE0770"/>
    <w:rsid w:val="00CE0D08"/>
    <w:rsid w:val="00CE1254"/>
    <w:rsid w:val="00CE3C0D"/>
    <w:rsid w:val="00CE4117"/>
    <w:rsid w:val="00CE518B"/>
    <w:rsid w:val="00CE69B5"/>
    <w:rsid w:val="00CE6CFC"/>
    <w:rsid w:val="00CE7444"/>
    <w:rsid w:val="00CF0291"/>
    <w:rsid w:val="00CF0D75"/>
    <w:rsid w:val="00CF15D8"/>
    <w:rsid w:val="00CF162C"/>
    <w:rsid w:val="00CF1DF9"/>
    <w:rsid w:val="00CF2BBA"/>
    <w:rsid w:val="00CF3173"/>
    <w:rsid w:val="00CF4858"/>
    <w:rsid w:val="00CF4E1E"/>
    <w:rsid w:val="00CF586D"/>
    <w:rsid w:val="00CF5FA3"/>
    <w:rsid w:val="00CF7392"/>
    <w:rsid w:val="00CF76B6"/>
    <w:rsid w:val="00D00156"/>
    <w:rsid w:val="00D004D6"/>
    <w:rsid w:val="00D0057C"/>
    <w:rsid w:val="00D00D24"/>
    <w:rsid w:val="00D0131E"/>
    <w:rsid w:val="00D01C27"/>
    <w:rsid w:val="00D01E6B"/>
    <w:rsid w:val="00D02C61"/>
    <w:rsid w:val="00D0344E"/>
    <w:rsid w:val="00D0409E"/>
    <w:rsid w:val="00D04EE0"/>
    <w:rsid w:val="00D0655B"/>
    <w:rsid w:val="00D06D66"/>
    <w:rsid w:val="00D0711F"/>
    <w:rsid w:val="00D10F1E"/>
    <w:rsid w:val="00D134CD"/>
    <w:rsid w:val="00D14D13"/>
    <w:rsid w:val="00D15C59"/>
    <w:rsid w:val="00D17067"/>
    <w:rsid w:val="00D17EA4"/>
    <w:rsid w:val="00D20419"/>
    <w:rsid w:val="00D20CDA"/>
    <w:rsid w:val="00D21843"/>
    <w:rsid w:val="00D21899"/>
    <w:rsid w:val="00D222E7"/>
    <w:rsid w:val="00D2271A"/>
    <w:rsid w:val="00D253F6"/>
    <w:rsid w:val="00D259D6"/>
    <w:rsid w:val="00D26913"/>
    <w:rsid w:val="00D26B12"/>
    <w:rsid w:val="00D26EB8"/>
    <w:rsid w:val="00D27200"/>
    <w:rsid w:val="00D30045"/>
    <w:rsid w:val="00D31577"/>
    <w:rsid w:val="00D31748"/>
    <w:rsid w:val="00D3212B"/>
    <w:rsid w:val="00D32131"/>
    <w:rsid w:val="00D322B0"/>
    <w:rsid w:val="00D32FC1"/>
    <w:rsid w:val="00D330DB"/>
    <w:rsid w:val="00D333BF"/>
    <w:rsid w:val="00D33EDE"/>
    <w:rsid w:val="00D3402D"/>
    <w:rsid w:val="00D34181"/>
    <w:rsid w:val="00D34827"/>
    <w:rsid w:val="00D35983"/>
    <w:rsid w:val="00D3631D"/>
    <w:rsid w:val="00D36486"/>
    <w:rsid w:val="00D3717C"/>
    <w:rsid w:val="00D4058D"/>
    <w:rsid w:val="00D40A23"/>
    <w:rsid w:val="00D41AE3"/>
    <w:rsid w:val="00D4336D"/>
    <w:rsid w:val="00D44ED9"/>
    <w:rsid w:val="00D45256"/>
    <w:rsid w:val="00D47D6A"/>
    <w:rsid w:val="00D501DA"/>
    <w:rsid w:val="00D506A3"/>
    <w:rsid w:val="00D50FD4"/>
    <w:rsid w:val="00D51C00"/>
    <w:rsid w:val="00D51E0A"/>
    <w:rsid w:val="00D524A2"/>
    <w:rsid w:val="00D526DB"/>
    <w:rsid w:val="00D527AF"/>
    <w:rsid w:val="00D52AB9"/>
    <w:rsid w:val="00D52F3D"/>
    <w:rsid w:val="00D5331F"/>
    <w:rsid w:val="00D5378F"/>
    <w:rsid w:val="00D53E29"/>
    <w:rsid w:val="00D542E5"/>
    <w:rsid w:val="00D55775"/>
    <w:rsid w:val="00D55D3B"/>
    <w:rsid w:val="00D564C8"/>
    <w:rsid w:val="00D5705A"/>
    <w:rsid w:val="00D5714E"/>
    <w:rsid w:val="00D57413"/>
    <w:rsid w:val="00D60D35"/>
    <w:rsid w:val="00D61282"/>
    <w:rsid w:val="00D61692"/>
    <w:rsid w:val="00D61837"/>
    <w:rsid w:val="00D61B63"/>
    <w:rsid w:val="00D61E86"/>
    <w:rsid w:val="00D62029"/>
    <w:rsid w:val="00D6202D"/>
    <w:rsid w:val="00D621B2"/>
    <w:rsid w:val="00D63E78"/>
    <w:rsid w:val="00D64D69"/>
    <w:rsid w:val="00D64F6E"/>
    <w:rsid w:val="00D64FD3"/>
    <w:rsid w:val="00D66F3C"/>
    <w:rsid w:val="00D67D95"/>
    <w:rsid w:val="00D710FD"/>
    <w:rsid w:val="00D71690"/>
    <w:rsid w:val="00D719A0"/>
    <w:rsid w:val="00D733AC"/>
    <w:rsid w:val="00D736AA"/>
    <w:rsid w:val="00D737CD"/>
    <w:rsid w:val="00D73AA8"/>
    <w:rsid w:val="00D75F50"/>
    <w:rsid w:val="00D765A3"/>
    <w:rsid w:val="00D76A94"/>
    <w:rsid w:val="00D7718A"/>
    <w:rsid w:val="00D778E1"/>
    <w:rsid w:val="00D77F3E"/>
    <w:rsid w:val="00D800B5"/>
    <w:rsid w:val="00D803C1"/>
    <w:rsid w:val="00D80FC5"/>
    <w:rsid w:val="00D834E8"/>
    <w:rsid w:val="00D848EE"/>
    <w:rsid w:val="00D85C94"/>
    <w:rsid w:val="00D85F1E"/>
    <w:rsid w:val="00D8651E"/>
    <w:rsid w:val="00D90D26"/>
    <w:rsid w:val="00D91904"/>
    <w:rsid w:val="00D928AF"/>
    <w:rsid w:val="00D92C91"/>
    <w:rsid w:val="00D943CE"/>
    <w:rsid w:val="00D94466"/>
    <w:rsid w:val="00D96335"/>
    <w:rsid w:val="00D965EE"/>
    <w:rsid w:val="00D96B77"/>
    <w:rsid w:val="00D96CD3"/>
    <w:rsid w:val="00D97C9E"/>
    <w:rsid w:val="00DA1A1F"/>
    <w:rsid w:val="00DA2655"/>
    <w:rsid w:val="00DA2F0A"/>
    <w:rsid w:val="00DA35C2"/>
    <w:rsid w:val="00DA372E"/>
    <w:rsid w:val="00DA3BC4"/>
    <w:rsid w:val="00DA40A3"/>
    <w:rsid w:val="00DA6330"/>
    <w:rsid w:val="00DB00DC"/>
    <w:rsid w:val="00DB0D61"/>
    <w:rsid w:val="00DB2EE2"/>
    <w:rsid w:val="00DB3E5E"/>
    <w:rsid w:val="00DB3ED2"/>
    <w:rsid w:val="00DB3FE3"/>
    <w:rsid w:val="00DB4049"/>
    <w:rsid w:val="00DB4A28"/>
    <w:rsid w:val="00DB51B0"/>
    <w:rsid w:val="00DB55E7"/>
    <w:rsid w:val="00DB560E"/>
    <w:rsid w:val="00DB561E"/>
    <w:rsid w:val="00DB67E3"/>
    <w:rsid w:val="00DB6B8F"/>
    <w:rsid w:val="00DB6DB6"/>
    <w:rsid w:val="00DB721D"/>
    <w:rsid w:val="00DB7C5D"/>
    <w:rsid w:val="00DC006E"/>
    <w:rsid w:val="00DC0241"/>
    <w:rsid w:val="00DC04AD"/>
    <w:rsid w:val="00DC1184"/>
    <w:rsid w:val="00DC19DD"/>
    <w:rsid w:val="00DC3690"/>
    <w:rsid w:val="00DC3FF1"/>
    <w:rsid w:val="00DC47F3"/>
    <w:rsid w:val="00DC48C0"/>
    <w:rsid w:val="00DC4AD1"/>
    <w:rsid w:val="00DC4EE0"/>
    <w:rsid w:val="00DC6634"/>
    <w:rsid w:val="00DC718F"/>
    <w:rsid w:val="00DC74BC"/>
    <w:rsid w:val="00DC7E28"/>
    <w:rsid w:val="00DD0300"/>
    <w:rsid w:val="00DD1016"/>
    <w:rsid w:val="00DD1A3B"/>
    <w:rsid w:val="00DD230D"/>
    <w:rsid w:val="00DD2925"/>
    <w:rsid w:val="00DD2C83"/>
    <w:rsid w:val="00DD351E"/>
    <w:rsid w:val="00DD5A8F"/>
    <w:rsid w:val="00DD6AB8"/>
    <w:rsid w:val="00DD6B2D"/>
    <w:rsid w:val="00DD756A"/>
    <w:rsid w:val="00DD75DD"/>
    <w:rsid w:val="00DE0595"/>
    <w:rsid w:val="00DE1A7C"/>
    <w:rsid w:val="00DE2A1F"/>
    <w:rsid w:val="00DE2C31"/>
    <w:rsid w:val="00DE4794"/>
    <w:rsid w:val="00DE47FC"/>
    <w:rsid w:val="00DE495F"/>
    <w:rsid w:val="00DE4B55"/>
    <w:rsid w:val="00DE587D"/>
    <w:rsid w:val="00DE63E8"/>
    <w:rsid w:val="00DE7609"/>
    <w:rsid w:val="00DF1409"/>
    <w:rsid w:val="00DF1C86"/>
    <w:rsid w:val="00DF1ED1"/>
    <w:rsid w:val="00DF228E"/>
    <w:rsid w:val="00DF2695"/>
    <w:rsid w:val="00DF27B1"/>
    <w:rsid w:val="00DF2AA3"/>
    <w:rsid w:val="00DF2C31"/>
    <w:rsid w:val="00DF3850"/>
    <w:rsid w:val="00DF4F9D"/>
    <w:rsid w:val="00DF5B2A"/>
    <w:rsid w:val="00DF698C"/>
    <w:rsid w:val="00DF6B9D"/>
    <w:rsid w:val="00DF7783"/>
    <w:rsid w:val="00E00EA3"/>
    <w:rsid w:val="00E00EAA"/>
    <w:rsid w:val="00E00F3A"/>
    <w:rsid w:val="00E01B04"/>
    <w:rsid w:val="00E01F45"/>
    <w:rsid w:val="00E0269D"/>
    <w:rsid w:val="00E0276A"/>
    <w:rsid w:val="00E02E82"/>
    <w:rsid w:val="00E03367"/>
    <w:rsid w:val="00E03F48"/>
    <w:rsid w:val="00E04E50"/>
    <w:rsid w:val="00E0598B"/>
    <w:rsid w:val="00E05C49"/>
    <w:rsid w:val="00E06824"/>
    <w:rsid w:val="00E06855"/>
    <w:rsid w:val="00E06CF6"/>
    <w:rsid w:val="00E0706D"/>
    <w:rsid w:val="00E072B7"/>
    <w:rsid w:val="00E074E4"/>
    <w:rsid w:val="00E07B0C"/>
    <w:rsid w:val="00E07C08"/>
    <w:rsid w:val="00E10677"/>
    <w:rsid w:val="00E11F76"/>
    <w:rsid w:val="00E1390E"/>
    <w:rsid w:val="00E139E6"/>
    <w:rsid w:val="00E143F2"/>
    <w:rsid w:val="00E146CB"/>
    <w:rsid w:val="00E1484A"/>
    <w:rsid w:val="00E14901"/>
    <w:rsid w:val="00E157D0"/>
    <w:rsid w:val="00E16763"/>
    <w:rsid w:val="00E20800"/>
    <w:rsid w:val="00E2133B"/>
    <w:rsid w:val="00E21DD8"/>
    <w:rsid w:val="00E22571"/>
    <w:rsid w:val="00E2307A"/>
    <w:rsid w:val="00E2362B"/>
    <w:rsid w:val="00E237D9"/>
    <w:rsid w:val="00E249A9"/>
    <w:rsid w:val="00E25472"/>
    <w:rsid w:val="00E27740"/>
    <w:rsid w:val="00E27F19"/>
    <w:rsid w:val="00E30184"/>
    <w:rsid w:val="00E301CE"/>
    <w:rsid w:val="00E3083C"/>
    <w:rsid w:val="00E30F05"/>
    <w:rsid w:val="00E31062"/>
    <w:rsid w:val="00E313FC"/>
    <w:rsid w:val="00E318AD"/>
    <w:rsid w:val="00E32169"/>
    <w:rsid w:val="00E32881"/>
    <w:rsid w:val="00E328B1"/>
    <w:rsid w:val="00E33A62"/>
    <w:rsid w:val="00E34692"/>
    <w:rsid w:val="00E34A15"/>
    <w:rsid w:val="00E35767"/>
    <w:rsid w:val="00E35972"/>
    <w:rsid w:val="00E35BCC"/>
    <w:rsid w:val="00E36E18"/>
    <w:rsid w:val="00E37149"/>
    <w:rsid w:val="00E37A47"/>
    <w:rsid w:val="00E40915"/>
    <w:rsid w:val="00E41355"/>
    <w:rsid w:val="00E42290"/>
    <w:rsid w:val="00E42CCB"/>
    <w:rsid w:val="00E43D7A"/>
    <w:rsid w:val="00E44BCC"/>
    <w:rsid w:val="00E44FC4"/>
    <w:rsid w:val="00E453FC"/>
    <w:rsid w:val="00E456CD"/>
    <w:rsid w:val="00E461A4"/>
    <w:rsid w:val="00E46823"/>
    <w:rsid w:val="00E4745C"/>
    <w:rsid w:val="00E474C1"/>
    <w:rsid w:val="00E50BCF"/>
    <w:rsid w:val="00E51282"/>
    <w:rsid w:val="00E523EF"/>
    <w:rsid w:val="00E527EE"/>
    <w:rsid w:val="00E53719"/>
    <w:rsid w:val="00E5473E"/>
    <w:rsid w:val="00E54993"/>
    <w:rsid w:val="00E54D5C"/>
    <w:rsid w:val="00E54F87"/>
    <w:rsid w:val="00E565C1"/>
    <w:rsid w:val="00E56648"/>
    <w:rsid w:val="00E56972"/>
    <w:rsid w:val="00E56E69"/>
    <w:rsid w:val="00E57610"/>
    <w:rsid w:val="00E57695"/>
    <w:rsid w:val="00E57725"/>
    <w:rsid w:val="00E57C4B"/>
    <w:rsid w:val="00E610DC"/>
    <w:rsid w:val="00E62908"/>
    <w:rsid w:val="00E63CB1"/>
    <w:rsid w:val="00E64520"/>
    <w:rsid w:val="00E64AA5"/>
    <w:rsid w:val="00E64E93"/>
    <w:rsid w:val="00E65897"/>
    <w:rsid w:val="00E660EE"/>
    <w:rsid w:val="00E671BD"/>
    <w:rsid w:val="00E70D2B"/>
    <w:rsid w:val="00E72541"/>
    <w:rsid w:val="00E72808"/>
    <w:rsid w:val="00E72ABE"/>
    <w:rsid w:val="00E72F93"/>
    <w:rsid w:val="00E734B7"/>
    <w:rsid w:val="00E73E27"/>
    <w:rsid w:val="00E75796"/>
    <w:rsid w:val="00E75F1B"/>
    <w:rsid w:val="00E802C5"/>
    <w:rsid w:val="00E8093F"/>
    <w:rsid w:val="00E81A2E"/>
    <w:rsid w:val="00E82901"/>
    <w:rsid w:val="00E82AAA"/>
    <w:rsid w:val="00E82C42"/>
    <w:rsid w:val="00E83DA8"/>
    <w:rsid w:val="00E83E92"/>
    <w:rsid w:val="00E842DE"/>
    <w:rsid w:val="00E84A41"/>
    <w:rsid w:val="00E8523D"/>
    <w:rsid w:val="00E85243"/>
    <w:rsid w:val="00E85E7A"/>
    <w:rsid w:val="00E86C6C"/>
    <w:rsid w:val="00E86FF2"/>
    <w:rsid w:val="00E8761C"/>
    <w:rsid w:val="00E876BD"/>
    <w:rsid w:val="00E87BA7"/>
    <w:rsid w:val="00E9031B"/>
    <w:rsid w:val="00E9050A"/>
    <w:rsid w:val="00E90903"/>
    <w:rsid w:val="00E90B13"/>
    <w:rsid w:val="00E9108B"/>
    <w:rsid w:val="00E91311"/>
    <w:rsid w:val="00E91ED3"/>
    <w:rsid w:val="00E92380"/>
    <w:rsid w:val="00E95A95"/>
    <w:rsid w:val="00E95F4E"/>
    <w:rsid w:val="00E979C0"/>
    <w:rsid w:val="00EA0BE5"/>
    <w:rsid w:val="00EA1B4B"/>
    <w:rsid w:val="00EA1B59"/>
    <w:rsid w:val="00EA262B"/>
    <w:rsid w:val="00EA2D02"/>
    <w:rsid w:val="00EA2FB5"/>
    <w:rsid w:val="00EA36C4"/>
    <w:rsid w:val="00EA43D5"/>
    <w:rsid w:val="00EA5738"/>
    <w:rsid w:val="00EA5E4B"/>
    <w:rsid w:val="00EA60A7"/>
    <w:rsid w:val="00EB250E"/>
    <w:rsid w:val="00EB2AA8"/>
    <w:rsid w:val="00EB32D7"/>
    <w:rsid w:val="00EB3658"/>
    <w:rsid w:val="00EB39B5"/>
    <w:rsid w:val="00EB39E1"/>
    <w:rsid w:val="00EB405A"/>
    <w:rsid w:val="00EB54F9"/>
    <w:rsid w:val="00EB568C"/>
    <w:rsid w:val="00EB5F0E"/>
    <w:rsid w:val="00EB6068"/>
    <w:rsid w:val="00EB64B9"/>
    <w:rsid w:val="00EB7CD3"/>
    <w:rsid w:val="00EB7CD9"/>
    <w:rsid w:val="00EC0C1D"/>
    <w:rsid w:val="00EC0D33"/>
    <w:rsid w:val="00EC1003"/>
    <w:rsid w:val="00EC128A"/>
    <w:rsid w:val="00EC3691"/>
    <w:rsid w:val="00EC3842"/>
    <w:rsid w:val="00EC3B14"/>
    <w:rsid w:val="00EC4680"/>
    <w:rsid w:val="00EC6854"/>
    <w:rsid w:val="00EC70BD"/>
    <w:rsid w:val="00ED05BC"/>
    <w:rsid w:val="00ED0E4C"/>
    <w:rsid w:val="00ED19D2"/>
    <w:rsid w:val="00ED21BB"/>
    <w:rsid w:val="00ED2422"/>
    <w:rsid w:val="00ED2988"/>
    <w:rsid w:val="00ED301D"/>
    <w:rsid w:val="00ED3980"/>
    <w:rsid w:val="00ED3FE9"/>
    <w:rsid w:val="00ED4AD3"/>
    <w:rsid w:val="00ED4E43"/>
    <w:rsid w:val="00ED63EC"/>
    <w:rsid w:val="00ED66A9"/>
    <w:rsid w:val="00ED69B4"/>
    <w:rsid w:val="00ED7615"/>
    <w:rsid w:val="00EE0167"/>
    <w:rsid w:val="00EE0860"/>
    <w:rsid w:val="00EE096D"/>
    <w:rsid w:val="00EE0F98"/>
    <w:rsid w:val="00EE2019"/>
    <w:rsid w:val="00EE219A"/>
    <w:rsid w:val="00EE2426"/>
    <w:rsid w:val="00EE337A"/>
    <w:rsid w:val="00EE400A"/>
    <w:rsid w:val="00EE4F3A"/>
    <w:rsid w:val="00EE5F9C"/>
    <w:rsid w:val="00EE725A"/>
    <w:rsid w:val="00EE7773"/>
    <w:rsid w:val="00EF0EF4"/>
    <w:rsid w:val="00EF10E3"/>
    <w:rsid w:val="00EF282D"/>
    <w:rsid w:val="00EF3CD5"/>
    <w:rsid w:val="00EF4511"/>
    <w:rsid w:val="00EF490F"/>
    <w:rsid w:val="00EF5EA4"/>
    <w:rsid w:val="00EF668F"/>
    <w:rsid w:val="00EF6766"/>
    <w:rsid w:val="00EF6D1A"/>
    <w:rsid w:val="00EF737D"/>
    <w:rsid w:val="00EF7691"/>
    <w:rsid w:val="00EF7D63"/>
    <w:rsid w:val="00F004F6"/>
    <w:rsid w:val="00F00B04"/>
    <w:rsid w:val="00F01200"/>
    <w:rsid w:val="00F01A24"/>
    <w:rsid w:val="00F02C33"/>
    <w:rsid w:val="00F032DD"/>
    <w:rsid w:val="00F03604"/>
    <w:rsid w:val="00F037C2"/>
    <w:rsid w:val="00F03B06"/>
    <w:rsid w:val="00F03CCF"/>
    <w:rsid w:val="00F04386"/>
    <w:rsid w:val="00F048C2"/>
    <w:rsid w:val="00F04AF5"/>
    <w:rsid w:val="00F053FC"/>
    <w:rsid w:val="00F05610"/>
    <w:rsid w:val="00F05776"/>
    <w:rsid w:val="00F063AE"/>
    <w:rsid w:val="00F064DC"/>
    <w:rsid w:val="00F076BD"/>
    <w:rsid w:val="00F07EA0"/>
    <w:rsid w:val="00F10750"/>
    <w:rsid w:val="00F10EBC"/>
    <w:rsid w:val="00F1178A"/>
    <w:rsid w:val="00F11F0D"/>
    <w:rsid w:val="00F1270D"/>
    <w:rsid w:val="00F13923"/>
    <w:rsid w:val="00F13EE1"/>
    <w:rsid w:val="00F1493B"/>
    <w:rsid w:val="00F16281"/>
    <w:rsid w:val="00F166B1"/>
    <w:rsid w:val="00F16D4D"/>
    <w:rsid w:val="00F16DB0"/>
    <w:rsid w:val="00F176FB"/>
    <w:rsid w:val="00F17E2E"/>
    <w:rsid w:val="00F20B19"/>
    <w:rsid w:val="00F21847"/>
    <w:rsid w:val="00F21D60"/>
    <w:rsid w:val="00F21F03"/>
    <w:rsid w:val="00F22301"/>
    <w:rsid w:val="00F225BD"/>
    <w:rsid w:val="00F231BA"/>
    <w:rsid w:val="00F2366D"/>
    <w:rsid w:val="00F24232"/>
    <w:rsid w:val="00F24992"/>
    <w:rsid w:val="00F24A0A"/>
    <w:rsid w:val="00F25012"/>
    <w:rsid w:val="00F2525E"/>
    <w:rsid w:val="00F26EE8"/>
    <w:rsid w:val="00F27924"/>
    <w:rsid w:val="00F3219F"/>
    <w:rsid w:val="00F32946"/>
    <w:rsid w:val="00F32E78"/>
    <w:rsid w:val="00F34299"/>
    <w:rsid w:val="00F351EA"/>
    <w:rsid w:val="00F35863"/>
    <w:rsid w:val="00F36375"/>
    <w:rsid w:val="00F37681"/>
    <w:rsid w:val="00F37E59"/>
    <w:rsid w:val="00F37F75"/>
    <w:rsid w:val="00F40003"/>
    <w:rsid w:val="00F409E5"/>
    <w:rsid w:val="00F41321"/>
    <w:rsid w:val="00F4195C"/>
    <w:rsid w:val="00F41ABF"/>
    <w:rsid w:val="00F42E77"/>
    <w:rsid w:val="00F43051"/>
    <w:rsid w:val="00F44108"/>
    <w:rsid w:val="00F44671"/>
    <w:rsid w:val="00F45FFE"/>
    <w:rsid w:val="00F4794F"/>
    <w:rsid w:val="00F500C1"/>
    <w:rsid w:val="00F52077"/>
    <w:rsid w:val="00F52271"/>
    <w:rsid w:val="00F522C9"/>
    <w:rsid w:val="00F52987"/>
    <w:rsid w:val="00F52B50"/>
    <w:rsid w:val="00F54342"/>
    <w:rsid w:val="00F54BF8"/>
    <w:rsid w:val="00F54EEB"/>
    <w:rsid w:val="00F550CB"/>
    <w:rsid w:val="00F55573"/>
    <w:rsid w:val="00F55921"/>
    <w:rsid w:val="00F5720E"/>
    <w:rsid w:val="00F5737B"/>
    <w:rsid w:val="00F61509"/>
    <w:rsid w:val="00F619FF"/>
    <w:rsid w:val="00F63463"/>
    <w:rsid w:val="00F6365F"/>
    <w:rsid w:val="00F63D6B"/>
    <w:rsid w:val="00F65299"/>
    <w:rsid w:val="00F653CD"/>
    <w:rsid w:val="00F658A6"/>
    <w:rsid w:val="00F65D2D"/>
    <w:rsid w:val="00F6620F"/>
    <w:rsid w:val="00F664A5"/>
    <w:rsid w:val="00F6696A"/>
    <w:rsid w:val="00F67252"/>
    <w:rsid w:val="00F67463"/>
    <w:rsid w:val="00F6756A"/>
    <w:rsid w:val="00F70CC9"/>
    <w:rsid w:val="00F72EE3"/>
    <w:rsid w:val="00F737D1"/>
    <w:rsid w:val="00F737F3"/>
    <w:rsid w:val="00F73FC6"/>
    <w:rsid w:val="00F74097"/>
    <w:rsid w:val="00F743B0"/>
    <w:rsid w:val="00F76762"/>
    <w:rsid w:val="00F80192"/>
    <w:rsid w:val="00F8076B"/>
    <w:rsid w:val="00F8107E"/>
    <w:rsid w:val="00F81AF7"/>
    <w:rsid w:val="00F81F17"/>
    <w:rsid w:val="00F82B84"/>
    <w:rsid w:val="00F8300B"/>
    <w:rsid w:val="00F838C5"/>
    <w:rsid w:val="00F83B3C"/>
    <w:rsid w:val="00F84966"/>
    <w:rsid w:val="00F84CEA"/>
    <w:rsid w:val="00F86085"/>
    <w:rsid w:val="00F8680A"/>
    <w:rsid w:val="00F911BE"/>
    <w:rsid w:val="00F9185B"/>
    <w:rsid w:val="00F91A17"/>
    <w:rsid w:val="00F91DF0"/>
    <w:rsid w:val="00F92862"/>
    <w:rsid w:val="00F92BD8"/>
    <w:rsid w:val="00F92E4D"/>
    <w:rsid w:val="00F92EB4"/>
    <w:rsid w:val="00F92FB6"/>
    <w:rsid w:val="00F93E6F"/>
    <w:rsid w:val="00F943E3"/>
    <w:rsid w:val="00F94653"/>
    <w:rsid w:val="00F94BEB"/>
    <w:rsid w:val="00F967FC"/>
    <w:rsid w:val="00F96C7B"/>
    <w:rsid w:val="00F96E71"/>
    <w:rsid w:val="00FA053C"/>
    <w:rsid w:val="00FA0AE5"/>
    <w:rsid w:val="00FA1BE2"/>
    <w:rsid w:val="00FA1F25"/>
    <w:rsid w:val="00FA2AA4"/>
    <w:rsid w:val="00FA2E2C"/>
    <w:rsid w:val="00FA3278"/>
    <w:rsid w:val="00FA3780"/>
    <w:rsid w:val="00FA3E67"/>
    <w:rsid w:val="00FA739B"/>
    <w:rsid w:val="00FB03D2"/>
    <w:rsid w:val="00FB0828"/>
    <w:rsid w:val="00FB33C7"/>
    <w:rsid w:val="00FB33D1"/>
    <w:rsid w:val="00FB3CC6"/>
    <w:rsid w:val="00FB3D41"/>
    <w:rsid w:val="00FB495F"/>
    <w:rsid w:val="00FB54D1"/>
    <w:rsid w:val="00FB55B2"/>
    <w:rsid w:val="00FB6971"/>
    <w:rsid w:val="00FB6B92"/>
    <w:rsid w:val="00FB73F7"/>
    <w:rsid w:val="00FC02E2"/>
    <w:rsid w:val="00FC1555"/>
    <w:rsid w:val="00FC1EDA"/>
    <w:rsid w:val="00FC2E1D"/>
    <w:rsid w:val="00FC39C8"/>
    <w:rsid w:val="00FC3AFD"/>
    <w:rsid w:val="00FC4259"/>
    <w:rsid w:val="00FC4C8A"/>
    <w:rsid w:val="00FC6E75"/>
    <w:rsid w:val="00FD004E"/>
    <w:rsid w:val="00FD0116"/>
    <w:rsid w:val="00FD0297"/>
    <w:rsid w:val="00FD06B2"/>
    <w:rsid w:val="00FD0AB9"/>
    <w:rsid w:val="00FD1B17"/>
    <w:rsid w:val="00FD1DE9"/>
    <w:rsid w:val="00FD2C51"/>
    <w:rsid w:val="00FD2F04"/>
    <w:rsid w:val="00FD40CE"/>
    <w:rsid w:val="00FD41E4"/>
    <w:rsid w:val="00FD4282"/>
    <w:rsid w:val="00FD6D73"/>
    <w:rsid w:val="00FE0243"/>
    <w:rsid w:val="00FE040C"/>
    <w:rsid w:val="00FE097A"/>
    <w:rsid w:val="00FE138A"/>
    <w:rsid w:val="00FE28DC"/>
    <w:rsid w:val="00FE337F"/>
    <w:rsid w:val="00FE3405"/>
    <w:rsid w:val="00FE4291"/>
    <w:rsid w:val="00FE4F9D"/>
    <w:rsid w:val="00FE5A47"/>
    <w:rsid w:val="00FE5CB3"/>
    <w:rsid w:val="00FE6153"/>
    <w:rsid w:val="00FE641C"/>
    <w:rsid w:val="00FE6A48"/>
    <w:rsid w:val="00FE7290"/>
    <w:rsid w:val="00FE76FA"/>
    <w:rsid w:val="00FF0188"/>
    <w:rsid w:val="00FF068D"/>
    <w:rsid w:val="00FF13A2"/>
    <w:rsid w:val="00FF1463"/>
    <w:rsid w:val="00FF1471"/>
    <w:rsid w:val="00FF2790"/>
    <w:rsid w:val="00FF2BA5"/>
    <w:rsid w:val="00FF2D0B"/>
    <w:rsid w:val="00FF390E"/>
    <w:rsid w:val="00FF3DED"/>
    <w:rsid w:val="00FF5BDC"/>
    <w:rsid w:val="00FF5D0A"/>
    <w:rsid w:val="00FF614F"/>
    <w:rsid w:val="00FF6A0C"/>
    <w:rsid w:val="00FF7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nhideWhenUsed="0"/>
    <w:lsdException w:name="caption" w:locked="1" w:semiHidden="0" w:unhideWhenUsed="0" w:qFormat="1"/>
    <w:lsdException w:name="annotation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2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D61692"/>
    <w:rPr>
      <w:rFonts w:eastAsia="PMingLiU" w:cs="Calibri"/>
      <w:lang w:eastAsia="zh-TW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61692"/>
    <w:rPr>
      <w:rFonts w:eastAsia="PMingLiU" w:cs="Calibri"/>
      <w:sz w:val="22"/>
      <w:szCs w:val="22"/>
      <w:lang w:val="en-US" w:eastAsia="zh-TW" w:bidi="ar-SA"/>
    </w:rPr>
  </w:style>
  <w:style w:type="paragraph" w:styleId="ListParagraph">
    <w:name w:val="List Paragraph"/>
    <w:basedOn w:val="Normal"/>
    <w:uiPriority w:val="34"/>
    <w:qFormat/>
    <w:rsid w:val="00D61692"/>
    <w:pPr>
      <w:ind w:left="720"/>
    </w:pPr>
    <w:rPr>
      <w:rFonts w:eastAsia="PMingLiU" w:cs="Calibri"/>
      <w:lang w:eastAsia="zh-TW"/>
    </w:rPr>
  </w:style>
  <w:style w:type="paragraph" w:styleId="Caption">
    <w:name w:val="caption"/>
    <w:basedOn w:val="Normal"/>
    <w:next w:val="Normal"/>
    <w:link w:val="CaptionChar"/>
    <w:uiPriority w:val="99"/>
    <w:qFormat/>
    <w:rsid w:val="00D61692"/>
    <w:rPr>
      <w:rFonts w:eastAsia="PMingLiU" w:cs="Calibri"/>
      <w:b/>
      <w:bCs/>
      <w:sz w:val="20"/>
      <w:szCs w:val="20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rsid w:val="00D6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16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5C4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0421A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42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421A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42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421A3"/>
    <w:rPr>
      <w:rFonts w:cs="Times New Roman"/>
      <w:b/>
      <w:bCs/>
      <w:sz w:val="20"/>
      <w:szCs w:val="20"/>
    </w:rPr>
  </w:style>
  <w:style w:type="paragraph" w:customStyle="1" w:styleId="xmsonormal">
    <w:name w:val="x_msonormal"/>
    <w:basedOn w:val="Normal"/>
    <w:uiPriority w:val="99"/>
    <w:rsid w:val="006944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5FC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5FCD"/>
    <w:rPr>
      <w:rFonts w:cs="Times New Roman"/>
    </w:rPr>
  </w:style>
  <w:style w:type="paragraph" w:customStyle="1" w:styleId="msonospacing0">
    <w:name w:val="msonospacing"/>
    <w:uiPriority w:val="99"/>
    <w:rsid w:val="0055364A"/>
    <w:rPr>
      <w:rFonts w:ascii="PMingLiU" w:eastAsia="PMingLiU" w:hAnsi="Times New Roman"/>
      <w:lang w:eastAsia="zh-TW"/>
    </w:rPr>
  </w:style>
  <w:style w:type="table" w:styleId="TableGrid">
    <w:name w:val="Table Grid"/>
    <w:basedOn w:val="TableNormal"/>
    <w:uiPriority w:val="59"/>
    <w:rsid w:val="00CD130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84DC2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sr-Latn-CS" w:eastAsia="sr-Latn-CS"/>
    </w:rPr>
  </w:style>
  <w:style w:type="character" w:customStyle="1" w:styleId="CaptionChar">
    <w:name w:val="Caption Char"/>
    <w:basedOn w:val="DefaultParagraphFont"/>
    <w:link w:val="Caption"/>
    <w:uiPriority w:val="99"/>
    <w:locked/>
    <w:rsid w:val="005253D1"/>
    <w:rPr>
      <w:rFonts w:ascii="Calibri" w:eastAsia="PMingLiU" w:hAnsi="Calibri" w:cs="Calibri"/>
      <w:b/>
      <w:bCs/>
      <w:sz w:val="20"/>
      <w:szCs w:val="20"/>
      <w:lang w:eastAsia="zh-TW"/>
    </w:rPr>
  </w:style>
  <w:style w:type="paragraph" w:styleId="FootnoteText">
    <w:name w:val="footnote text"/>
    <w:basedOn w:val="Normal"/>
    <w:link w:val="FootnoteTextChar"/>
    <w:uiPriority w:val="99"/>
    <w:semiHidden/>
    <w:rsid w:val="007F61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F61AF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F61AF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02564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6630B"/>
    <w:rPr>
      <w:rFonts w:ascii="Times New Roman" w:hAnsi="Times New Roman" w:cs="Times New Roman"/>
      <w:sz w:val="2"/>
    </w:rPr>
  </w:style>
  <w:style w:type="character" w:styleId="Hyperlink">
    <w:name w:val="Hyperlink"/>
    <w:basedOn w:val="DefaultParagraphFont"/>
    <w:uiPriority w:val="99"/>
    <w:rsid w:val="00034D4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497A"/>
    <w:rPr>
      <w:color w:val="800080"/>
      <w:u w:val="single"/>
    </w:rPr>
  </w:style>
  <w:style w:type="paragraph" w:customStyle="1" w:styleId="xl170">
    <w:name w:val="xl170"/>
    <w:basedOn w:val="Normal"/>
    <w:rsid w:val="0003497A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171">
    <w:name w:val="xl171"/>
    <w:basedOn w:val="Normal"/>
    <w:rsid w:val="0003497A"/>
    <w:pP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172">
    <w:name w:val="xl17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173">
    <w:name w:val="xl17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4">
    <w:name w:val="xl17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5">
    <w:name w:val="xl17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6">
    <w:name w:val="xl17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7">
    <w:name w:val="xl17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8">
    <w:name w:val="xl17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9">
    <w:name w:val="xl17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0">
    <w:name w:val="xl18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1">
    <w:name w:val="xl18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2">
    <w:name w:val="xl18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3">
    <w:name w:val="xl18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4">
    <w:name w:val="xl18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5">
    <w:name w:val="xl18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6">
    <w:name w:val="xl18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7">
    <w:name w:val="xl18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8">
    <w:name w:val="xl18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color w:val="993300"/>
      <w:sz w:val="16"/>
      <w:szCs w:val="16"/>
      <w:lang w:val="sr-Latn-CS" w:eastAsia="sr-Latn-CS"/>
    </w:rPr>
  </w:style>
  <w:style w:type="paragraph" w:customStyle="1" w:styleId="xl189">
    <w:name w:val="xl18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0">
    <w:name w:val="xl19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1">
    <w:name w:val="xl19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2">
    <w:name w:val="xl19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3">
    <w:name w:val="xl19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4">
    <w:name w:val="xl19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5">
    <w:name w:val="xl19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6">
    <w:name w:val="xl19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7">
    <w:name w:val="xl19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8">
    <w:name w:val="xl19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9">
    <w:name w:val="xl19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00">
    <w:name w:val="xl20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1">
    <w:name w:val="xl20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2">
    <w:name w:val="xl20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3">
    <w:name w:val="xl20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4">
    <w:name w:val="xl20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5">
    <w:name w:val="xl20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6">
    <w:name w:val="xl20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7">
    <w:name w:val="xl20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8">
    <w:name w:val="xl20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9">
    <w:name w:val="xl20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10">
    <w:name w:val="xl21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1">
    <w:name w:val="xl21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2">
    <w:name w:val="xl21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3">
    <w:name w:val="xl21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4">
    <w:name w:val="xl21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5">
    <w:name w:val="xl21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6">
    <w:name w:val="xl216"/>
    <w:basedOn w:val="Normal"/>
    <w:rsid w:val="00034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7">
    <w:name w:val="xl21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character" w:customStyle="1" w:styleId="hps">
    <w:name w:val="hps"/>
    <w:basedOn w:val="DefaultParagraphFont"/>
    <w:rsid w:val="00172816"/>
  </w:style>
  <w:style w:type="character" w:customStyle="1" w:styleId="atn">
    <w:name w:val="atn"/>
    <w:basedOn w:val="DefaultParagraphFont"/>
    <w:rsid w:val="00172816"/>
  </w:style>
  <w:style w:type="paragraph" w:customStyle="1" w:styleId="xl230">
    <w:name w:val="xl230"/>
    <w:basedOn w:val="Normal"/>
    <w:rsid w:val="00842C5E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231">
    <w:name w:val="xl231"/>
    <w:basedOn w:val="Normal"/>
    <w:rsid w:val="00842C5E"/>
    <w:pP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232">
    <w:name w:val="xl23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3">
    <w:name w:val="xl233"/>
    <w:basedOn w:val="Normal"/>
    <w:rsid w:val="00842C5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4">
    <w:name w:val="xl234"/>
    <w:basedOn w:val="Normal"/>
    <w:rsid w:val="00842C5E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5">
    <w:name w:val="xl235"/>
    <w:basedOn w:val="Normal"/>
    <w:rsid w:val="00842C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6">
    <w:name w:val="xl236"/>
    <w:basedOn w:val="Normal"/>
    <w:rsid w:val="00842C5E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color w:val="FF0000"/>
      <w:sz w:val="18"/>
      <w:szCs w:val="18"/>
      <w:lang w:val="sr-Latn-CS" w:eastAsia="sr-Latn-CS"/>
    </w:rPr>
  </w:style>
  <w:style w:type="paragraph" w:customStyle="1" w:styleId="xl237">
    <w:name w:val="xl237"/>
    <w:basedOn w:val="Normal"/>
    <w:rsid w:val="00842C5E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8">
    <w:name w:val="xl23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39">
    <w:name w:val="xl23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0">
    <w:name w:val="xl24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1">
    <w:name w:val="xl24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2">
    <w:name w:val="xl24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3">
    <w:name w:val="xl24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4">
    <w:name w:val="xl24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5">
    <w:name w:val="xl24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6">
    <w:name w:val="xl24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7">
    <w:name w:val="xl24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8">
    <w:name w:val="xl24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9">
    <w:name w:val="xl24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0">
    <w:name w:val="xl25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1">
    <w:name w:val="xl25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2">
    <w:name w:val="xl25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color w:val="993300"/>
      <w:sz w:val="16"/>
      <w:szCs w:val="16"/>
      <w:lang w:val="sr-Latn-CS" w:eastAsia="sr-Latn-CS"/>
    </w:rPr>
  </w:style>
  <w:style w:type="paragraph" w:customStyle="1" w:styleId="xl253">
    <w:name w:val="xl25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4">
    <w:name w:val="xl25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5">
    <w:name w:val="xl25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6">
    <w:name w:val="xl25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7">
    <w:name w:val="xl25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8">
    <w:name w:val="xl25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9">
    <w:name w:val="xl25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0">
    <w:name w:val="xl26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1">
    <w:name w:val="xl26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2">
    <w:name w:val="xl26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3">
    <w:name w:val="xl26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64">
    <w:name w:val="xl26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65">
    <w:name w:val="xl26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66">
    <w:name w:val="xl26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7">
    <w:name w:val="xl26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8">
    <w:name w:val="xl26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9">
    <w:name w:val="xl26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0">
    <w:name w:val="xl27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1">
    <w:name w:val="xl27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72">
    <w:name w:val="xl27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73">
    <w:name w:val="xl27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4">
    <w:name w:val="xl27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5">
    <w:name w:val="xl27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6">
    <w:name w:val="xl27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7">
    <w:name w:val="xl27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8">
    <w:name w:val="xl27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9">
    <w:name w:val="xl279"/>
    <w:basedOn w:val="Normal"/>
    <w:rsid w:val="00842C5E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280">
    <w:name w:val="xl28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1">
    <w:name w:val="xl28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2">
    <w:name w:val="xl28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3">
    <w:name w:val="xl28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4">
    <w:name w:val="xl28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5">
    <w:name w:val="xl285"/>
    <w:basedOn w:val="Normal"/>
    <w:rsid w:val="00842C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6">
    <w:name w:val="xl286"/>
    <w:basedOn w:val="Normal"/>
    <w:rsid w:val="00842C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7">
    <w:name w:val="xl287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8">
    <w:name w:val="xl288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9">
    <w:name w:val="xl289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0">
    <w:name w:val="xl290"/>
    <w:basedOn w:val="Normal"/>
    <w:rsid w:val="00CE3C0D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291">
    <w:name w:val="xl291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2">
    <w:name w:val="xl292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3">
    <w:name w:val="xl293"/>
    <w:basedOn w:val="Normal"/>
    <w:rsid w:val="00CE3C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294">
    <w:name w:val="xl294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295">
    <w:name w:val="xl295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96">
    <w:name w:val="xl296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7">
    <w:name w:val="xl297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8">
    <w:name w:val="xl298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9">
    <w:name w:val="xl299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0">
    <w:name w:val="xl300"/>
    <w:basedOn w:val="Normal"/>
    <w:rsid w:val="00CE3C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1">
    <w:name w:val="xl301"/>
    <w:basedOn w:val="Normal"/>
    <w:rsid w:val="00CE3C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2">
    <w:name w:val="xl30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3">
    <w:name w:val="xl30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4">
    <w:name w:val="xl30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5">
    <w:name w:val="xl30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6">
    <w:name w:val="xl30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7">
    <w:name w:val="xl30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8">
    <w:name w:val="xl30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9">
    <w:name w:val="xl30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0">
    <w:name w:val="xl31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1">
    <w:name w:val="xl31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2">
    <w:name w:val="xl31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3">
    <w:name w:val="xl31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314">
    <w:name w:val="xl31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15">
    <w:name w:val="xl31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16">
    <w:name w:val="xl31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7">
    <w:name w:val="xl31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8">
    <w:name w:val="xl31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9">
    <w:name w:val="xl31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20">
    <w:name w:val="xl32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21">
    <w:name w:val="xl32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22">
    <w:name w:val="xl32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23">
    <w:name w:val="xl323"/>
    <w:basedOn w:val="Normal"/>
    <w:rsid w:val="00052BB7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324">
    <w:name w:val="xl324"/>
    <w:basedOn w:val="Normal"/>
    <w:rsid w:val="00052B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25">
    <w:name w:val="xl325"/>
    <w:basedOn w:val="Normal"/>
    <w:rsid w:val="00052B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26">
    <w:name w:val="xl32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27">
    <w:name w:val="xl32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28">
    <w:name w:val="xl328"/>
    <w:basedOn w:val="Normal"/>
    <w:rsid w:val="00052B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4"/>
      <w:szCs w:val="14"/>
      <w:lang w:val="sr-Latn-CS" w:eastAsia="sr-Latn-CS"/>
    </w:rPr>
  </w:style>
  <w:style w:type="paragraph" w:customStyle="1" w:styleId="xl329">
    <w:name w:val="xl32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color w:val="993300"/>
      <w:sz w:val="14"/>
      <w:szCs w:val="14"/>
      <w:lang w:val="sr-Latn-CS" w:eastAsia="sr-Latn-CS"/>
    </w:rPr>
  </w:style>
  <w:style w:type="paragraph" w:customStyle="1" w:styleId="xl330">
    <w:name w:val="xl33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4"/>
      <w:szCs w:val="14"/>
      <w:lang w:val="sr-Latn-CS" w:eastAsia="sr-Latn-CS"/>
    </w:rPr>
  </w:style>
  <w:style w:type="paragraph" w:customStyle="1" w:styleId="xl331">
    <w:name w:val="xl331"/>
    <w:basedOn w:val="Normal"/>
    <w:rsid w:val="00052BB7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sz w:val="14"/>
      <w:szCs w:val="14"/>
      <w:lang w:val="sr-Latn-CS" w:eastAsia="sr-Latn-CS"/>
    </w:rPr>
  </w:style>
  <w:style w:type="paragraph" w:customStyle="1" w:styleId="xl332">
    <w:name w:val="xl33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3">
    <w:name w:val="xl33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4">
    <w:name w:val="xl33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5">
    <w:name w:val="xl33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6">
    <w:name w:val="xl33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7">
    <w:name w:val="xl33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8">
    <w:name w:val="xl33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9">
    <w:name w:val="xl33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0">
    <w:name w:val="xl340"/>
    <w:basedOn w:val="Normal"/>
    <w:rsid w:val="00052BB7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color w:val="FF0000"/>
      <w:sz w:val="14"/>
      <w:szCs w:val="14"/>
      <w:lang w:val="sr-Latn-CS" w:eastAsia="sr-Latn-CS"/>
    </w:rPr>
  </w:style>
  <w:style w:type="paragraph" w:customStyle="1" w:styleId="xl341">
    <w:name w:val="xl34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2">
    <w:name w:val="xl34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3">
    <w:name w:val="xl34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4">
    <w:name w:val="xl34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5">
    <w:name w:val="xl34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6">
    <w:name w:val="xl34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7">
    <w:name w:val="xl34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8">
    <w:name w:val="xl34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9">
    <w:name w:val="xl34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0">
    <w:name w:val="xl35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1">
    <w:name w:val="xl35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2">
    <w:name w:val="xl35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3">
    <w:name w:val="xl35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4">
    <w:name w:val="xl35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5">
    <w:name w:val="xl35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6">
    <w:name w:val="xl35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7">
    <w:name w:val="xl35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8">
    <w:name w:val="xl358"/>
    <w:basedOn w:val="Normal"/>
    <w:rsid w:val="00052BB7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4"/>
      <w:szCs w:val="14"/>
      <w:lang w:val="sr-Latn-CS" w:eastAsia="sr-Latn-CS"/>
    </w:rPr>
  </w:style>
  <w:style w:type="paragraph" w:customStyle="1" w:styleId="xl359">
    <w:name w:val="xl35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0">
    <w:name w:val="xl36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1">
    <w:name w:val="xl36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2">
    <w:name w:val="xl36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3">
    <w:name w:val="xl363"/>
    <w:basedOn w:val="Normal"/>
    <w:rsid w:val="00052B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4">
    <w:name w:val="xl364"/>
    <w:basedOn w:val="Normal"/>
    <w:rsid w:val="00052B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5">
    <w:name w:val="xl36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66">
    <w:name w:val="xl36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7">
    <w:name w:val="xl36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68">
    <w:name w:val="xl36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table" w:customStyle="1" w:styleId="LightShading-Accent11">
    <w:name w:val="Light Shading - Accent 11"/>
    <w:basedOn w:val="TableNormal"/>
    <w:uiPriority w:val="60"/>
    <w:rsid w:val="004F731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76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8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9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9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8372">
                                      <w:marLeft w:val="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66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03605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2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dovan.zivkovic\Dropbox\Radovan\Markit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H:\Documents%20and%20Settings\radojka.martinovic\Desktop\mmi-sirovi%20podaci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H:\Documents%20and%20Settings\radojka.martinovic\Desktop\mmi-sirovi%20podaci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Documents%20and%20Settings\olja.tomanovic\My%20Documents\Dropbox\MINISTARSTVO%20FINANSIJA\SEP\02_MMI\MMI_2015%2003\mmi%202015-03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vesna.obradovic\Dropbox\MINISTARSTVO%20FINANSIJA\SEP\02_MMI\MMI_2015%2003\mmi%202015-03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ija.novosel\Desktop\mmi%202015-03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zdenka.dabovic\Desktop\MMI\mmi_sirovi%20podaci_2015%200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sr-Latn-CS"/>
            </a:pPr>
            <a:r>
              <a:rPr lang="en-US" sz="800"/>
              <a:t>Eurozona - BDP i PMI indikator</a:t>
            </a:r>
          </a:p>
        </c:rich>
      </c:tx>
      <c:layout>
        <c:manualLayout>
          <c:xMode val="edge"/>
          <c:yMode val="edge"/>
          <c:x val="0.17783141762452109"/>
          <c:y val="0"/>
        </c:manualLayout>
      </c:layout>
      <c:overlay val="1"/>
    </c:title>
    <c:plotArea>
      <c:layout>
        <c:manualLayout>
          <c:layoutTarget val="inner"/>
          <c:xMode val="edge"/>
          <c:yMode val="edge"/>
          <c:x val="0.16189272030651317"/>
          <c:y val="6.577212806026371E-2"/>
          <c:w val="0.67621455938697361"/>
          <c:h val="0.68297175141243271"/>
        </c:manualLayout>
      </c:layout>
      <c:barChart>
        <c:barDir val="col"/>
        <c:grouping val="clustered"/>
        <c:ser>
          <c:idx val="1"/>
          <c:order val="1"/>
          <c:tx>
            <c:v>Eurozona-kvartalni BDP</c:v>
          </c:tx>
          <c:dLbls>
            <c:dLbl>
              <c:idx val="16"/>
              <c:layout>
                <c:manualLayout>
                  <c:x val="0.23113026819923371"/>
                  <c:y val="-2.3917137476460015E-2"/>
                </c:manualLayout>
              </c:layout>
              <c:tx>
                <c:rich>
                  <a:bodyPr/>
                  <a:lstStyle/>
                  <a:p>
                    <a:r>
                      <a:rPr lang="en-US" b="1" baseline="0">
                        <a:solidFill>
                          <a:schemeClr val="accent6">
                            <a:lumMod val="50000"/>
                          </a:schemeClr>
                        </a:solidFill>
                      </a:rPr>
                      <a:t>BDP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elete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Sheet1!$C$4:$C$24</c:f>
              <c:numCache>
                <c:formatCode>mmm/yy</c:formatCode>
                <c:ptCount val="21"/>
                <c:pt idx="0">
                  <c:v>41456</c:v>
                </c:pt>
                <c:pt idx="1">
                  <c:v>41487</c:v>
                </c:pt>
                <c:pt idx="2">
                  <c:v>41518</c:v>
                </c:pt>
                <c:pt idx="3">
                  <c:v>41548</c:v>
                </c:pt>
                <c:pt idx="4">
                  <c:v>41579</c:v>
                </c:pt>
                <c:pt idx="5">
                  <c:v>41609</c:v>
                </c:pt>
                <c:pt idx="6">
                  <c:v>41640</c:v>
                </c:pt>
                <c:pt idx="7">
                  <c:v>41671</c:v>
                </c:pt>
                <c:pt idx="8">
                  <c:v>41699</c:v>
                </c:pt>
                <c:pt idx="9">
                  <c:v>41730</c:v>
                </c:pt>
                <c:pt idx="10">
                  <c:v>41760</c:v>
                </c:pt>
                <c:pt idx="11">
                  <c:v>41791</c:v>
                </c:pt>
                <c:pt idx="12">
                  <c:v>41821</c:v>
                </c:pt>
                <c:pt idx="13">
                  <c:v>41852</c:v>
                </c:pt>
                <c:pt idx="14">
                  <c:v>41883</c:v>
                </c:pt>
                <c:pt idx="15">
                  <c:v>41913</c:v>
                </c:pt>
                <c:pt idx="16">
                  <c:v>41944</c:v>
                </c:pt>
                <c:pt idx="17">
                  <c:v>41974</c:v>
                </c:pt>
                <c:pt idx="18">
                  <c:v>42005</c:v>
                </c:pt>
                <c:pt idx="19">
                  <c:v>42036</c:v>
                </c:pt>
                <c:pt idx="20">
                  <c:v>42064</c:v>
                </c:pt>
              </c:numCache>
            </c:numRef>
          </c:cat>
          <c:val>
            <c:numRef>
              <c:f>Sheet1!$E$4:$E$24</c:f>
              <c:numCache>
                <c:formatCode>General</c:formatCode>
                <c:ptCount val="21"/>
                <c:pt idx="1">
                  <c:v>0.1</c:v>
                </c:pt>
                <c:pt idx="4">
                  <c:v>0.30000000000000032</c:v>
                </c:pt>
                <c:pt idx="7">
                  <c:v>0.30000000000000032</c:v>
                </c:pt>
                <c:pt idx="10">
                  <c:v>0.1</c:v>
                </c:pt>
                <c:pt idx="13">
                  <c:v>0.2</c:v>
                </c:pt>
                <c:pt idx="16">
                  <c:v>0.30000000000000032</c:v>
                </c:pt>
              </c:numCache>
            </c:numRef>
          </c:val>
        </c:ser>
        <c:gapWidth val="0"/>
        <c:overlap val="-100"/>
        <c:axId val="78539392"/>
        <c:axId val="78537856"/>
      </c:barChart>
      <c:lineChart>
        <c:grouping val="standard"/>
        <c:ser>
          <c:idx val="0"/>
          <c:order val="0"/>
          <c:tx>
            <c:v>Markit PMI</c:v>
          </c:tx>
          <c:marker>
            <c:symbol val="none"/>
          </c:marker>
          <c:cat>
            <c:numRef>
              <c:f>Sheet1!$C$4:$C$24</c:f>
              <c:numCache>
                <c:formatCode>mmm/yy</c:formatCode>
                <c:ptCount val="21"/>
                <c:pt idx="0">
                  <c:v>41456</c:v>
                </c:pt>
                <c:pt idx="1">
                  <c:v>41487</c:v>
                </c:pt>
                <c:pt idx="2">
                  <c:v>41518</c:v>
                </c:pt>
                <c:pt idx="3">
                  <c:v>41548</c:v>
                </c:pt>
                <c:pt idx="4">
                  <c:v>41579</c:v>
                </c:pt>
                <c:pt idx="5">
                  <c:v>41609</c:v>
                </c:pt>
                <c:pt idx="6">
                  <c:v>41640</c:v>
                </c:pt>
                <c:pt idx="7">
                  <c:v>41671</c:v>
                </c:pt>
                <c:pt idx="8">
                  <c:v>41699</c:v>
                </c:pt>
                <c:pt idx="9">
                  <c:v>41730</c:v>
                </c:pt>
                <c:pt idx="10">
                  <c:v>41760</c:v>
                </c:pt>
                <c:pt idx="11">
                  <c:v>41791</c:v>
                </c:pt>
                <c:pt idx="12">
                  <c:v>41821</c:v>
                </c:pt>
                <c:pt idx="13">
                  <c:v>41852</c:v>
                </c:pt>
                <c:pt idx="14">
                  <c:v>41883</c:v>
                </c:pt>
                <c:pt idx="15">
                  <c:v>41913</c:v>
                </c:pt>
                <c:pt idx="16">
                  <c:v>41944</c:v>
                </c:pt>
                <c:pt idx="17">
                  <c:v>41974</c:v>
                </c:pt>
                <c:pt idx="18">
                  <c:v>42005</c:v>
                </c:pt>
                <c:pt idx="19">
                  <c:v>42036</c:v>
                </c:pt>
                <c:pt idx="20">
                  <c:v>42064</c:v>
                </c:pt>
              </c:numCache>
            </c:numRef>
          </c:cat>
          <c:val>
            <c:numRef>
              <c:f>Sheet1!$D$4:$D$24</c:f>
              <c:numCache>
                <c:formatCode>General</c:formatCode>
                <c:ptCount val="21"/>
                <c:pt idx="0">
                  <c:v>50.3</c:v>
                </c:pt>
                <c:pt idx="1">
                  <c:v>51.4</c:v>
                </c:pt>
                <c:pt idx="2">
                  <c:v>50.3</c:v>
                </c:pt>
                <c:pt idx="3">
                  <c:v>50.6</c:v>
                </c:pt>
                <c:pt idx="4">
                  <c:v>51.6</c:v>
                </c:pt>
                <c:pt idx="5">
                  <c:v>52.7</c:v>
                </c:pt>
                <c:pt idx="6" formatCode="0.0">
                  <c:v>54</c:v>
                </c:pt>
                <c:pt idx="7">
                  <c:v>53.3</c:v>
                </c:pt>
                <c:pt idx="8">
                  <c:v>54.1</c:v>
                </c:pt>
                <c:pt idx="9">
                  <c:v>53.4</c:v>
                </c:pt>
                <c:pt idx="10">
                  <c:v>52.2</c:v>
                </c:pt>
                <c:pt idx="11">
                  <c:v>51.8</c:v>
                </c:pt>
                <c:pt idx="12">
                  <c:v>51.8</c:v>
                </c:pt>
                <c:pt idx="13">
                  <c:v>50.7</c:v>
                </c:pt>
                <c:pt idx="14">
                  <c:v>50.3</c:v>
                </c:pt>
                <c:pt idx="15">
                  <c:v>50.6</c:v>
                </c:pt>
                <c:pt idx="16">
                  <c:v>50.1</c:v>
                </c:pt>
                <c:pt idx="17">
                  <c:v>50.6</c:v>
                </c:pt>
                <c:pt idx="18">
                  <c:v>54</c:v>
                </c:pt>
                <c:pt idx="19">
                  <c:v>52.1</c:v>
                </c:pt>
                <c:pt idx="20">
                  <c:v>54.1</c:v>
                </c:pt>
              </c:numCache>
            </c:numRef>
          </c:val>
        </c:ser>
        <c:marker val="1"/>
        <c:axId val="78530432"/>
        <c:axId val="78531968"/>
      </c:lineChart>
      <c:dateAx>
        <c:axId val="78530432"/>
        <c:scaling>
          <c:orientation val="minMax"/>
        </c:scaling>
        <c:axPos val="b"/>
        <c:numFmt formatCode="mmm/yy" sourceLinked="1"/>
        <c:tickLblPos val="low"/>
        <c:txPr>
          <a:bodyPr/>
          <a:lstStyle/>
          <a:p>
            <a:pPr>
              <a:defRPr lang="sr-Latn-CS" sz="600"/>
            </a:pPr>
            <a:endParaRPr lang="en-US"/>
          </a:p>
        </c:txPr>
        <c:crossAx val="78531968"/>
        <c:crosses val="autoZero"/>
        <c:auto val="1"/>
        <c:lblOffset val="100"/>
        <c:baseTimeUnit val="months"/>
      </c:dateAx>
      <c:valAx>
        <c:axId val="78531968"/>
        <c:scaling>
          <c:orientation val="minMax"/>
          <c:max val="55"/>
          <c:min val="50"/>
        </c:scaling>
        <c:axPos val="l"/>
        <c:majorGridlines/>
        <c:numFmt formatCode="#,##0.0" sourceLinked="0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78530432"/>
        <c:crosses val="autoZero"/>
        <c:crossBetween val="between"/>
      </c:valAx>
      <c:valAx>
        <c:axId val="78537856"/>
        <c:scaling>
          <c:orientation val="minMax"/>
          <c:max val="0.35000000000000031"/>
          <c:min val="0"/>
        </c:scaling>
        <c:axPos val="r"/>
        <c:numFmt formatCode="#,##0.0" sourceLinked="0"/>
        <c:tickLblPos val="nextTo"/>
        <c:txPr>
          <a:bodyPr/>
          <a:lstStyle/>
          <a:p>
            <a:pPr>
              <a:defRPr lang="sr-Latn-CS" sz="700" b="1" i="0" baseline="0">
                <a:solidFill>
                  <a:srgbClr val="C00000"/>
                </a:solidFill>
              </a:defRPr>
            </a:pPr>
            <a:endParaRPr lang="en-US"/>
          </a:p>
        </c:txPr>
        <c:crossAx val="78539392"/>
        <c:crosses val="max"/>
        <c:crossBetween val="between"/>
        <c:majorUnit val="0.1"/>
      </c:valAx>
      <c:dateAx>
        <c:axId val="78539392"/>
        <c:scaling>
          <c:orientation val="minMax"/>
        </c:scaling>
        <c:delete val="1"/>
        <c:axPos val="b"/>
        <c:numFmt formatCode="mmm/yy" sourceLinked="1"/>
        <c:tickLblPos val="none"/>
        <c:crossAx val="78537856"/>
        <c:crosses val="autoZero"/>
        <c:auto val="1"/>
        <c:lblOffset val="100"/>
        <c:baseTimeUnit val="months"/>
      </c:dateAx>
    </c:plotArea>
    <c:legend>
      <c:legendPos val="b"/>
      <c:layout>
        <c:manualLayout>
          <c:xMode val="edge"/>
          <c:yMode val="edge"/>
          <c:x val="5.0000000000000114E-2"/>
          <c:y val="0.93148069679849665"/>
          <c:w val="0.9"/>
          <c:h val="6.8519303201506593E-2"/>
        </c:manualLayout>
      </c:layout>
      <c:txPr>
        <a:bodyPr/>
        <a:lstStyle/>
        <a:p>
          <a:pPr>
            <a:defRPr lang="sr-Latn-CS" sz="700"/>
          </a:pPr>
          <a:endParaRPr lang="en-US"/>
        </a:p>
      </c:txPr>
    </c:legend>
    <c:plotVisOnly val="1"/>
    <c:dispBlanksAs val="gap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sr-Latn-CS" sz="1000"/>
            </a:pPr>
            <a:r>
              <a:rPr lang="en-US" sz="1000"/>
              <a:t>Realni sektor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v>industrija</c:v>
          </c:tx>
          <c:spPr>
            <a:ln>
              <a:solidFill>
                <a:srgbClr val="541CF0"/>
              </a:solidFill>
            </a:ln>
          </c:spPr>
          <c:marker>
            <c:symbol val="none"/>
          </c:marker>
          <c:cat>
            <c:strRef>
              <c:f>'Makroekonomski indikatori'!$AP$36:$BB$36</c:f>
              <c:strCache>
                <c:ptCount val="13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XI</c:v>
                </c:pt>
                <c:pt idx="10">
                  <c:v>XII</c:v>
                </c:pt>
                <c:pt idx="11">
                  <c:v>2015</c:v>
                </c:pt>
                <c:pt idx="12">
                  <c:v>II</c:v>
                </c:pt>
              </c:strCache>
            </c:strRef>
          </c:cat>
          <c:val>
            <c:numRef>
              <c:f>'Makroekonomski indikatori'!$AP$12:$BB$12</c:f>
              <c:numCache>
                <c:formatCode>General</c:formatCode>
                <c:ptCount val="13"/>
                <c:pt idx="0">
                  <c:v>5.7</c:v>
                </c:pt>
                <c:pt idx="1">
                  <c:v>-20.6</c:v>
                </c:pt>
                <c:pt idx="2">
                  <c:v>-27.9</c:v>
                </c:pt>
                <c:pt idx="3">
                  <c:v>-23.4</c:v>
                </c:pt>
                <c:pt idx="4">
                  <c:v>-26.4</c:v>
                </c:pt>
                <c:pt idx="5">
                  <c:v>-16.5</c:v>
                </c:pt>
                <c:pt idx="6">
                  <c:v>-12.7</c:v>
                </c:pt>
                <c:pt idx="7">
                  <c:v>7.5</c:v>
                </c:pt>
                <c:pt idx="8">
                  <c:v>8.2000000000000011</c:v>
                </c:pt>
                <c:pt idx="9">
                  <c:v>-19.8</c:v>
                </c:pt>
                <c:pt idx="10" formatCode="0.0">
                  <c:v>-7</c:v>
                </c:pt>
                <c:pt idx="11">
                  <c:v>-3.4</c:v>
                </c:pt>
                <c:pt idx="12">
                  <c:v>5.9</c:v>
                </c:pt>
              </c:numCache>
            </c:numRef>
          </c:val>
          <c:smooth val="1"/>
        </c:ser>
        <c:ser>
          <c:idx val="1"/>
          <c:order val="1"/>
          <c:tx>
            <c:v>noćenja turista</c:v>
          </c:tx>
          <c:spPr>
            <a:ln>
              <a:solidFill>
                <a:srgbClr val="F11BD2"/>
              </a:solidFill>
              <a:prstDash val="sysDot"/>
            </a:ln>
          </c:spPr>
          <c:marker>
            <c:symbol val="none"/>
          </c:marker>
          <c:cat>
            <c:strRef>
              <c:f>'Makroekonomski indikatori'!$AP$36:$BB$36</c:f>
              <c:strCache>
                <c:ptCount val="13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XI</c:v>
                </c:pt>
                <c:pt idx="10">
                  <c:v>XII</c:v>
                </c:pt>
                <c:pt idx="11">
                  <c:v>2015</c:v>
                </c:pt>
                <c:pt idx="12">
                  <c:v>II</c:v>
                </c:pt>
              </c:strCache>
            </c:strRef>
          </c:cat>
          <c:val>
            <c:numRef>
              <c:f>'Makroekonomski indikatori'!$AP$17:$BB$17</c:f>
              <c:numCache>
                <c:formatCode>General</c:formatCode>
                <c:ptCount val="13"/>
                <c:pt idx="0">
                  <c:v>2.7</c:v>
                </c:pt>
                <c:pt idx="1">
                  <c:v>5.3</c:v>
                </c:pt>
                <c:pt idx="2">
                  <c:v>2.1</c:v>
                </c:pt>
                <c:pt idx="3">
                  <c:v>-4.2</c:v>
                </c:pt>
                <c:pt idx="4">
                  <c:v>-1.3</c:v>
                </c:pt>
                <c:pt idx="5">
                  <c:v>0.9</c:v>
                </c:pt>
                <c:pt idx="6">
                  <c:v>2.4</c:v>
                </c:pt>
                <c:pt idx="7">
                  <c:v>1.9000000000000001</c:v>
                </c:pt>
                <c:pt idx="8">
                  <c:v>4.2</c:v>
                </c:pt>
                <c:pt idx="9">
                  <c:v>12.8</c:v>
                </c:pt>
                <c:pt idx="10">
                  <c:v>7.3</c:v>
                </c:pt>
                <c:pt idx="11" formatCode="0.0">
                  <c:v>28.3</c:v>
                </c:pt>
                <c:pt idx="12" formatCode="0.0">
                  <c:v>21</c:v>
                </c:pt>
              </c:numCache>
            </c:numRef>
          </c:val>
          <c:smooth val="1"/>
        </c:ser>
        <c:ser>
          <c:idx val="2"/>
          <c:order val="2"/>
          <c:tx>
            <c:v>trgovina na malo</c:v>
          </c:tx>
          <c:spPr>
            <a:ln>
              <a:solidFill>
                <a:srgbClr val="3EE428"/>
              </a:solidFill>
              <a:prstDash val="sysDash"/>
            </a:ln>
          </c:spPr>
          <c:marker>
            <c:symbol val="none"/>
          </c:marker>
          <c:cat>
            <c:strRef>
              <c:f>'Makroekonomski indikatori'!$AP$36:$BB$36</c:f>
              <c:strCache>
                <c:ptCount val="13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XI</c:v>
                </c:pt>
                <c:pt idx="10">
                  <c:v>XII</c:v>
                </c:pt>
                <c:pt idx="11">
                  <c:v>2015</c:v>
                </c:pt>
                <c:pt idx="12">
                  <c:v>II</c:v>
                </c:pt>
              </c:strCache>
            </c:strRef>
          </c:cat>
          <c:val>
            <c:numRef>
              <c:f>'Makroekonomski indikatori'!$AP$19:$BB$19</c:f>
              <c:numCache>
                <c:formatCode>General</c:formatCode>
                <c:ptCount val="13"/>
                <c:pt idx="0">
                  <c:v>4.9000000000000004</c:v>
                </c:pt>
                <c:pt idx="1">
                  <c:v>2.5</c:v>
                </c:pt>
                <c:pt idx="2">
                  <c:v>3.1</c:v>
                </c:pt>
                <c:pt idx="3">
                  <c:v>2.6</c:v>
                </c:pt>
                <c:pt idx="4">
                  <c:v>3.9</c:v>
                </c:pt>
                <c:pt idx="5">
                  <c:v>3.5</c:v>
                </c:pt>
                <c:pt idx="6">
                  <c:v>4.3</c:v>
                </c:pt>
                <c:pt idx="7">
                  <c:v>3.5</c:v>
                </c:pt>
                <c:pt idx="8">
                  <c:v>-0.60000000000000064</c:v>
                </c:pt>
                <c:pt idx="9">
                  <c:v>1.4</c:v>
                </c:pt>
                <c:pt idx="10" formatCode="0.0">
                  <c:v>2</c:v>
                </c:pt>
                <c:pt idx="11">
                  <c:v>2.9</c:v>
                </c:pt>
                <c:pt idx="12">
                  <c:v>2.8</c:v>
                </c:pt>
              </c:numCache>
            </c:numRef>
          </c:val>
          <c:smooth val="1"/>
        </c:ser>
        <c:marker val="1"/>
        <c:axId val="78560640"/>
        <c:axId val="78566528"/>
      </c:lineChart>
      <c:catAx>
        <c:axId val="78560640"/>
        <c:scaling>
          <c:orientation val="minMax"/>
        </c:scaling>
        <c:axPos val="b"/>
        <c:numFmt formatCode="General" sourceLinked="0"/>
        <c:tickLblPos val="low"/>
        <c:txPr>
          <a:bodyPr/>
          <a:lstStyle/>
          <a:p>
            <a:pPr>
              <a:defRPr lang="sr-Latn-CS" sz="600"/>
            </a:pPr>
            <a:endParaRPr lang="en-US"/>
          </a:p>
        </c:txPr>
        <c:crossAx val="78566528"/>
        <c:crosses val="autoZero"/>
        <c:auto val="1"/>
        <c:lblAlgn val="ctr"/>
        <c:lblOffset val="100"/>
      </c:catAx>
      <c:valAx>
        <c:axId val="78566528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78560640"/>
        <c:crosses val="autoZero"/>
        <c:crossBetween val="midCat"/>
      </c:valAx>
    </c:plotArea>
    <c:legend>
      <c:legendPos val="b"/>
      <c:txPr>
        <a:bodyPr/>
        <a:lstStyle/>
        <a:p>
          <a:pPr>
            <a:defRPr lang="sr-Latn-CS" sz="700"/>
          </a:pPr>
          <a:endParaRPr lang="en-US"/>
        </a:p>
      </c:txPr>
    </c:legend>
    <c:plotVisOnly val="1"/>
    <c:dispBlanksAs val="gap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sr-Latn-CS" sz="1000"/>
            </a:pPr>
            <a:r>
              <a:rPr lang="en-US" sz="1000"/>
              <a:t>Izvozne cijene</a:t>
            </a:r>
          </a:p>
        </c:rich>
      </c:tx>
      <c:layout>
        <c:manualLayout>
          <c:xMode val="edge"/>
          <c:yMode val="edge"/>
          <c:x val="0.30703615520282507"/>
          <c:y val="6.6561844863731803E-3"/>
        </c:manualLayout>
      </c:layout>
    </c:title>
    <c:plotArea>
      <c:layout>
        <c:manualLayout>
          <c:layoutTarget val="inner"/>
          <c:xMode val="edge"/>
          <c:yMode val="edge"/>
          <c:x val="0.18905335097001771"/>
          <c:y val="0.1385817610062893"/>
          <c:w val="0.74935052910052913"/>
          <c:h val="0.56268134171907769"/>
        </c:manualLayout>
      </c:layout>
      <c:lineChart>
        <c:grouping val="standard"/>
        <c:ser>
          <c:idx val="0"/>
          <c:order val="0"/>
          <c:tx>
            <c:v>ukupno</c:v>
          </c:tx>
          <c:spPr>
            <a:ln w="38100">
              <a:solidFill>
                <a:srgbClr val="481BEB"/>
              </a:solidFill>
            </a:ln>
          </c:spPr>
          <c:marker>
            <c:symbol val="none"/>
          </c:marker>
          <c:cat>
            <c:strRef>
              <c:f>'Makroekonomski indikatori'!$AP$36:$BB$36</c:f>
              <c:strCache>
                <c:ptCount val="13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XI</c:v>
                </c:pt>
                <c:pt idx="10">
                  <c:v>XII</c:v>
                </c:pt>
                <c:pt idx="11">
                  <c:v>2015</c:v>
                </c:pt>
                <c:pt idx="12">
                  <c:v>II</c:v>
                </c:pt>
              </c:strCache>
            </c:strRef>
          </c:cat>
          <c:val>
            <c:numRef>
              <c:f>'Makroekonomski indikatori'!$AP$33:$BB$33</c:f>
              <c:numCache>
                <c:formatCode>0.0</c:formatCode>
                <c:ptCount val="13"/>
                <c:pt idx="0">
                  <c:v>-6.4</c:v>
                </c:pt>
                <c:pt idx="1">
                  <c:v>-9.1</c:v>
                </c:pt>
                <c:pt idx="2">
                  <c:v>-3.7</c:v>
                </c:pt>
                <c:pt idx="3">
                  <c:v>-1.7000000000000002</c:v>
                </c:pt>
                <c:pt idx="4">
                  <c:v>2.1</c:v>
                </c:pt>
                <c:pt idx="5">
                  <c:v>5.4</c:v>
                </c:pt>
                <c:pt idx="6">
                  <c:v>12.4</c:v>
                </c:pt>
                <c:pt idx="7">
                  <c:v>14.1</c:v>
                </c:pt>
                <c:pt idx="8">
                  <c:v>16.3</c:v>
                </c:pt>
                <c:pt idx="9">
                  <c:v>13.8</c:v>
                </c:pt>
                <c:pt idx="10">
                  <c:v>20.3</c:v>
                </c:pt>
                <c:pt idx="11">
                  <c:v>15.9</c:v>
                </c:pt>
                <c:pt idx="12">
                  <c:v>17.3</c:v>
                </c:pt>
              </c:numCache>
            </c:numRef>
          </c:val>
          <c:smooth val="1"/>
        </c:ser>
        <c:ser>
          <c:idx val="1"/>
          <c:order val="1"/>
          <c:tx>
            <c:v>osnovni metali</c:v>
          </c:tx>
          <c:spPr>
            <a:ln>
              <a:solidFill>
                <a:srgbClr val="EA22B6"/>
              </a:solidFill>
              <a:prstDash val="sysDash"/>
            </a:ln>
          </c:spPr>
          <c:marker>
            <c:symbol val="none"/>
          </c:marker>
          <c:cat>
            <c:strRef>
              <c:f>'Makroekonomski indikatori'!$AP$36:$BB$36</c:f>
              <c:strCache>
                <c:ptCount val="13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XI</c:v>
                </c:pt>
                <c:pt idx="10">
                  <c:v>XII</c:v>
                </c:pt>
                <c:pt idx="11">
                  <c:v>2015</c:v>
                </c:pt>
                <c:pt idx="12">
                  <c:v>II</c:v>
                </c:pt>
              </c:strCache>
            </c:strRef>
          </c:cat>
          <c:val>
            <c:numRef>
              <c:f>'Makroekonomski indikatori'!$AP$34:$BB$34</c:f>
              <c:numCache>
                <c:formatCode>0.0</c:formatCode>
                <c:ptCount val="13"/>
                <c:pt idx="0">
                  <c:v>-8.3000000000000007</c:v>
                </c:pt>
                <c:pt idx="1">
                  <c:v>-11</c:v>
                </c:pt>
                <c:pt idx="2">
                  <c:v>-4.5999999999999996</c:v>
                </c:pt>
                <c:pt idx="3">
                  <c:v>-2.4</c:v>
                </c:pt>
                <c:pt idx="4">
                  <c:v>3.2</c:v>
                </c:pt>
                <c:pt idx="5">
                  <c:v>6.4</c:v>
                </c:pt>
                <c:pt idx="6">
                  <c:v>15.1</c:v>
                </c:pt>
                <c:pt idx="7">
                  <c:v>16.899999999999999</c:v>
                </c:pt>
                <c:pt idx="8">
                  <c:v>20.5</c:v>
                </c:pt>
                <c:pt idx="9">
                  <c:v>17</c:v>
                </c:pt>
                <c:pt idx="10">
                  <c:v>25</c:v>
                </c:pt>
                <c:pt idx="11">
                  <c:v>21.1</c:v>
                </c:pt>
                <c:pt idx="12">
                  <c:v>21.8</c:v>
                </c:pt>
              </c:numCache>
            </c:numRef>
          </c:val>
          <c:smooth val="1"/>
        </c:ser>
        <c:marker val="1"/>
        <c:axId val="78604544"/>
        <c:axId val="78618624"/>
      </c:lineChart>
      <c:catAx>
        <c:axId val="78604544"/>
        <c:scaling>
          <c:orientation val="minMax"/>
        </c:scaling>
        <c:axPos val="b"/>
        <c:numFmt formatCode="General" sourceLinked="0"/>
        <c:tickLblPos val="low"/>
        <c:txPr>
          <a:bodyPr/>
          <a:lstStyle/>
          <a:p>
            <a:pPr>
              <a:defRPr lang="sr-Latn-CS" sz="700"/>
            </a:pPr>
            <a:endParaRPr lang="en-US"/>
          </a:p>
        </c:txPr>
        <c:crossAx val="78618624"/>
        <c:crosses val="autoZero"/>
        <c:auto val="1"/>
        <c:lblAlgn val="ctr"/>
        <c:lblOffset val="100"/>
      </c:catAx>
      <c:valAx>
        <c:axId val="78618624"/>
        <c:scaling>
          <c:orientation val="minMax"/>
        </c:scaling>
        <c:axPos val="l"/>
        <c:numFmt formatCode="0.0" sourceLinked="1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78604544"/>
        <c:crosses val="autoZero"/>
        <c:crossBetween val="between"/>
        <c:majorUnit val="10"/>
      </c:valAx>
    </c:plotArea>
    <c:legend>
      <c:legendPos val="b"/>
      <c:layout>
        <c:manualLayout>
          <c:xMode val="edge"/>
          <c:yMode val="edge"/>
          <c:x val="5.2907407407407514E-2"/>
          <c:y val="0.86381813417190778"/>
          <c:w val="0.89418518518518531"/>
          <c:h val="9.6244758909853248E-2"/>
        </c:manualLayout>
      </c:layout>
      <c:txPr>
        <a:bodyPr/>
        <a:lstStyle/>
        <a:p>
          <a:pPr>
            <a:defRPr lang="sr-Latn-CS" sz="700"/>
          </a:pPr>
          <a:endParaRPr lang="en-US"/>
        </a:p>
      </c:txPr>
    </c:legend>
    <c:plotVisOnly val="1"/>
    <c:dispBlanksAs val="gap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sr-Latn-CS"/>
            </a:pPr>
            <a:r>
              <a:rPr lang="sr-Latn-CS" sz="1000"/>
              <a:t>Zaposlenost i nezaposlenost</a:t>
            </a:r>
          </a:p>
        </c:rich>
      </c:tx>
      <c:layout>
        <c:manualLayout>
          <c:xMode val="edge"/>
          <c:yMode val="edge"/>
          <c:x val="0.14398739328286653"/>
          <c:y val="0"/>
        </c:manualLayout>
      </c:layout>
      <c:overlay val="1"/>
    </c:title>
    <c:plotArea>
      <c:layout>
        <c:manualLayout>
          <c:layoutTarget val="inner"/>
          <c:xMode val="edge"/>
          <c:yMode val="edge"/>
          <c:x val="0.21890771666025796"/>
          <c:y val="0.23589221076851988"/>
          <c:w val="0.57290386776832869"/>
          <c:h val="0.56246452592445206"/>
        </c:manualLayout>
      </c:layout>
      <c:lineChart>
        <c:grouping val="standard"/>
        <c:ser>
          <c:idx val="0"/>
          <c:order val="0"/>
          <c:marker>
            <c:symbol val="none"/>
          </c:marker>
          <c:cat>
            <c:strRef>
              <c:f>'Makroekonomski indikatori'!$AN$10:$BA$10</c:f>
              <c:strCache>
                <c:ptCount val="14"/>
                <c:pt idx="0">
                  <c:v>2014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2015</c:v>
                </c:pt>
                <c:pt idx="13">
                  <c:v>II</c:v>
                </c:pt>
              </c:strCache>
            </c:strRef>
          </c:cat>
          <c:val>
            <c:numRef>
              <c:f>'Makroekonomski indikatori'!$AN$22:$BA$22</c:f>
              <c:numCache>
                <c:formatCode>#,##0</c:formatCode>
                <c:ptCount val="14"/>
                <c:pt idx="0">
                  <c:v>167616</c:v>
                </c:pt>
                <c:pt idx="1">
                  <c:v>168805</c:v>
                </c:pt>
                <c:pt idx="2">
                  <c:v>170177</c:v>
                </c:pt>
                <c:pt idx="3">
                  <c:v>172202</c:v>
                </c:pt>
                <c:pt idx="4">
                  <c:v>174917</c:v>
                </c:pt>
                <c:pt idx="5">
                  <c:v>179774</c:v>
                </c:pt>
                <c:pt idx="6">
                  <c:v>181408</c:v>
                </c:pt>
                <c:pt idx="7">
                  <c:v>178558</c:v>
                </c:pt>
                <c:pt idx="8">
                  <c:v>173942</c:v>
                </c:pt>
                <c:pt idx="9">
                  <c:v>172306</c:v>
                </c:pt>
                <c:pt idx="10">
                  <c:v>172273</c:v>
                </c:pt>
                <c:pt idx="11">
                  <c:v>171158</c:v>
                </c:pt>
                <c:pt idx="12">
                  <c:v>169719</c:v>
                </c:pt>
                <c:pt idx="13">
                  <c:v>170486</c:v>
                </c:pt>
              </c:numCache>
            </c:numRef>
          </c:val>
        </c:ser>
        <c:marker val="1"/>
        <c:axId val="78653696"/>
        <c:axId val="78663680"/>
      </c:lineChart>
      <c:lineChart>
        <c:grouping val="standard"/>
        <c:ser>
          <c:idx val="1"/>
          <c:order val="1"/>
          <c:marker>
            <c:symbol val="none"/>
          </c:marker>
          <c:cat>
            <c:strRef>
              <c:f>'Makroekonomski indikatori'!$AN$10:$BA$10</c:f>
              <c:strCache>
                <c:ptCount val="14"/>
                <c:pt idx="0">
                  <c:v>2014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2015</c:v>
                </c:pt>
                <c:pt idx="13">
                  <c:v>II</c:v>
                </c:pt>
              </c:strCache>
            </c:strRef>
          </c:cat>
          <c:val>
            <c:numRef>
              <c:f>'Makroekonomski indikatori'!$AN$23:$BA$23</c:f>
              <c:numCache>
                <c:formatCode>#,##0</c:formatCode>
                <c:ptCount val="14"/>
                <c:pt idx="0">
                  <c:v>34804</c:v>
                </c:pt>
                <c:pt idx="1">
                  <c:v>34664</c:v>
                </c:pt>
                <c:pt idx="2">
                  <c:v>34671</c:v>
                </c:pt>
                <c:pt idx="3">
                  <c:v>33906</c:v>
                </c:pt>
                <c:pt idx="4">
                  <c:v>32763</c:v>
                </c:pt>
                <c:pt idx="5">
                  <c:v>31548</c:v>
                </c:pt>
                <c:pt idx="6">
                  <c:v>31115</c:v>
                </c:pt>
                <c:pt idx="7">
                  <c:v>31163</c:v>
                </c:pt>
                <c:pt idx="8">
                  <c:v>31548</c:v>
                </c:pt>
                <c:pt idx="9">
                  <c:v>33744</c:v>
                </c:pt>
                <c:pt idx="10">
                  <c:v>34733</c:v>
                </c:pt>
                <c:pt idx="11">
                  <c:v>34687</c:v>
                </c:pt>
                <c:pt idx="12">
                  <c:v>35152</c:v>
                </c:pt>
                <c:pt idx="13">
                  <c:v>35172</c:v>
                </c:pt>
              </c:numCache>
            </c:numRef>
          </c:val>
        </c:ser>
        <c:marker val="1"/>
        <c:axId val="78692352"/>
        <c:axId val="78665600"/>
      </c:lineChart>
      <c:catAx>
        <c:axId val="78653696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78663680"/>
        <c:crosses val="autoZero"/>
        <c:auto val="1"/>
        <c:lblAlgn val="ctr"/>
        <c:lblOffset val="100"/>
      </c:catAx>
      <c:valAx>
        <c:axId val="78663680"/>
        <c:scaling>
          <c:orientation val="minMax"/>
          <c:min val="164000"/>
        </c:scaling>
        <c:axPos val="l"/>
        <c:majorGridlines>
          <c:spPr>
            <a:ln>
              <a:prstDash val="sysDot"/>
            </a:ln>
          </c:spPr>
        </c:majorGridlines>
        <c:numFmt formatCode="#,##0.0" sourceLinked="0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78653696"/>
        <c:crosses val="autoZero"/>
        <c:crossBetween val="between"/>
        <c:dispUnits>
          <c:builtInUnit val="thousands"/>
        </c:dispUnits>
      </c:valAx>
      <c:valAx>
        <c:axId val="78665600"/>
        <c:scaling>
          <c:orientation val="maxMin"/>
          <c:max val="36000"/>
          <c:min val="27000"/>
        </c:scaling>
        <c:axPos val="r"/>
        <c:numFmt formatCode="#,##0.0" sourceLinked="0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78692352"/>
        <c:crosses val="max"/>
        <c:crossBetween val="between"/>
        <c:dispUnits>
          <c:builtInUnit val="thousands"/>
        </c:dispUnits>
      </c:valAx>
      <c:catAx>
        <c:axId val="78692352"/>
        <c:scaling>
          <c:orientation val="minMax"/>
        </c:scaling>
        <c:delete val="1"/>
        <c:axPos val="t"/>
        <c:numFmt formatCode="General" sourceLinked="1"/>
        <c:tickLblPos val="none"/>
        <c:crossAx val="78665600"/>
        <c:crosses val="autoZero"/>
        <c:auto val="1"/>
        <c:lblAlgn val="ctr"/>
        <c:lblOffset val="100"/>
      </c:catAx>
    </c:plotArea>
    <c:plotVisOnly val="1"/>
    <c:dispBlanksAs val="gap"/>
  </c:chart>
  <c:spPr>
    <a:ln>
      <a:noFill/>
    </a:ln>
  </c:spPr>
  <c:externalData r:id="rId1"/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12116885389326336"/>
          <c:y val="5.1400554097404488E-2"/>
          <c:w val="0.77713429571303583"/>
          <c:h val="0.68233483635059755"/>
        </c:manualLayout>
      </c:layout>
      <c:barChart>
        <c:barDir val="col"/>
        <c:grouping val="clustered"/>
        <c:ser>
          <c:idx val="2"/>
          <c:order val="2"/>
          <c:tx>
            <c:v>suficit/deficit budžeta</c:v>
          </c:tx>
          <c:spPr>
            <a:solidFill>
              <a:schemeClr val="bg2"/>
            </a:solidFill>
            <a:ln>
              <a:solidFill>
                <a:srgbClr val="C00000"/>
              </a:solidFill>
            </a:ln>
          </c:spPr>
          <c:cat>
            <c:strRef>
              <c:f>'Fiskalni indikatori'!$AC$3:$AO$3</c:f>
              <c:strCache>
                <c:ptCount val="13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XI</c:v>
                </c:pt>
                <c:pt idx="10">
                  <c:v>XII</c:v>
                </c:pt>
                <c:pt idx="11">
                  <c:v>I</c:v>
                </c:pt>
                <c:pt idx="12">
                  <c:v>II</c:v>
                </c:pt>
              </c:strCache>
            </c:strRef>
          </c:cat>
          <c:val>
            <c:numRef>
              <c:f>'Fiskalni indikatori'!$AC$17:$AO$17</c:f>
              <c:numCache>
                <c:formatCode>0.00,,</c:formatCode>
                <c:ptCount val="13"/>
                <c:pt idx="0">
                  <c:v>-8422888.4900000095</c:v>
                </c:pt>
                <c:pt idx="1">
                  <c:v>-17021409.079999968</c:v>
                </c:pt>
                <c:pt idx="2">
                  <c:v>-14958813.710000005</c:v>
                </c:pt>
                <c:pt idx="3">
                  <c:v>-5517055.7200000286</c:v>
                </c:pt>
                <c:pt idx="4">
                  <c:v>-5364283.7200000435</c:v>
                </c:pt>
                <c:pt idx="5">
                  <c:v>2502365.0199999809</c:v>
                </c:pt>
                <c:pt idx="6">
                  <c:v>10463853.719999975</c:v>
                </c:pt>
                <c:pt idx="7">
                  <c:v>-4187715.1499999911</c:v>
                </c:pt>
                <c:pt idx="8">
                  <c:v>-1436809.9499999583</c:v>
                </c:pt>
                <c:pt idx="9">
                  <c:v>-12887782.269999981</c:v>
                </c:pt>
                <c:pt idx="10">
                  <c:v>-18669590.289999932</c:v>
                </c:pt>
                <c:pt idx="11">
                  <c:v>-21938190.850000039</c:v>
                </c:pt>
                <c:pt idx="12">
                  <c:v>-21306460.860000044</c:v>
                </c:pt>
              </c:numCache>
            </c:numRef>
          </c:val>
        </c:ser>
        <c:axId val="93462528"/>
        <c:axId val="78768384"/>
      </c:barChart>
      <c:lineChart>
        <c:grouping val="standard"/>
        <c:ser>
          <c:idx val="0"/>
          <c:order val="0"/>
          <c:tx>
            <c:v>prihodi budžeta</c:v>
          </c:tx>
          <c:spPr>
            <a:ln>
              <a:solidFill>
                <a:schemeClr val="tx2">
                  <a:lumMod val="75000"/>
                </a:schemeClr>
              </a:solidFill>
            </a:ln>
          </c:spPr>
          <c:marker>
            <c:symbol val="none"/>
          </c:marker>
          <c:cat>
            <c:strRef>
              <c:f>'Fiskalni indikatori'!$AC$3:$AO$3</c:f>
              <c:strCache>
                <c:ptCount val="13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XI</c:v>
                </c:pt>
                <c:pt idx="10">
                  <c:v>XII</c:v>
                </c:pt>
                <c:pt idx="11">
                  <c:v>I</c:v>
                </c:pt>
                <c:pt idx="12">
                  <c:v>II</c:v>
                </c:pt>
              </c:strCache>
            </c:strRef>
          </c:cat>
          <c:val>
            <c:numRef>
              <c:f>'Fiskalni indikatori'!$AC$4:$AO$4</c:f>
              <c:numCache>
                <c:formatCode>0.00,,</c:formatCode>
                <c:ptCount val="13"/>
                <c:pt idx="0">
                  <c:v>82127760.799999997</c:v>
                </c:pt>
                <c:pt idx="1">
                  <c:v>100708163.93000002</c:v>
                </c:pt>
                <c:pt idx="2">
                  <c:v>109084385.14999999</c:v>
                </c:pt>
                <c:pt idx="3">
                  <c:v>102078548.78</c:v>
                </c:pt>
                <c:pt idx="4">
                  <c:v>109931818.73999999</c:v>
                </c:pt>
                <c:pt idx="5">
                  <c:v>120720236.03</c:v>
                </c:pt>
                <c:pt idx="6">
                  <c:v>126556297.33</c:v>
                </c:pt>
                <c:pt idx="7">
                  <c:v>117901924.08</c:v>
                </c:pt>
                <c:pt idx="8">
                  <c:v>158210534.23999998</c:v>
                </c:pt>
                <c:pt idx="9">
                  <c:v>98496460.13000001</c:v>
                </c:pt>
                <c:pt idx="10">
                  <c:v>155249038.93000001</c:v>
                </c:pt>
                <c:pt idx="11">
                  <c:v>71181389.560000002</c:v>
                </c:pt>
                <c:pt idx="12">
                  <c:v>86772014.340000033</c:v>
                </c:pt>
              </c:numCache>
            </c:numRef>
          </c:val>
          <c:smooth val="1"/>
        </c:ser>
        <c:ser>
          <c:idx val="1"/>
          <c:order val="1"/>
          <c:tx>
            <c:v>rashodi budžeta</c:v>
          </c:tx>
          <c:spPr>
            <a:ln>
              <a:solidFill>
                <a:srgbClr val="C00000"/>
              </a:solidFill>
              <a:prstDash val="sysDot"/>
            </a:ln>
          </c:spPr>
          <c:marker>
            <c:symbol val="none"/>
          </c:marker>
          <c:cat>
            <c:strRef>
              <c:f>'Fiskalni indikatori'!$AC$3:$AO$3</c:f>
              <c:strCache>
                <c:ptCount val="13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XI</c:v>
                </c:pt>
                <c:pt idx="10">
                  <c:v>XII</c:v>
                </c:pt>
                <c:pt idx="11">
                  <c:v>I</c:v>
                </c:pt>
                <c:pt idx="12">
                  <c:v>II</c:v>
                </c:pt>
              </c:strCache>
            </c:strRef>
          </c:cat>
          <c:val>
            <c:numRef>
              <c:f>'Fiskalni indikatori'!$AC$10:$AO$10</c:f>
              <c:numCache>
                <c:formatCode>0.00,,</c:formatCode>
                <c:ptCount val="13"/>
                <c:pt idx="0">
                  <c:v>90550649.290000007</c:v>
                </c:pt>
                <c:pt idx="1">
                  <c:v>117729573.00999999</c:v>
                </c:pt>
                <c:pt idx="2">
                  <c:v>124043198.86</c:v>
                </c:pt>
                <c:pt idx="3">
                  <c:v>107595604.50000003</c:v>
                </c:pt>
                <c:pt idx="4">
                  <c:v>115296102.46000005</c:v>
                </c:pt>
                <c:pt idx="5">
                  <c:v>118217871.01000002</c:v>
                </c:pt>
                <c:pt idx="6">
                  <c:v>116092443.61000001</c:v>
                </c:pt>
                <c:pt idx="7">
                  <c:v>122089639.22999999</c:v>
                </c:pt>
                <c:pt idx="8">
                  <c:v>159647344.19</c:v>
                </c:pt>
                <c:pt idx="9">
                  <c:v>111384242.39999999</c:v>
                </c:pt>
                <c:pt idx="10">
                  <c:v>173918629.21999988</c:v>
                </c:pt>
                <c:pt idx="11">
                  <c:v>93119537.460000023</c:v>
                </c:pt>
                <c:pt idx="12">
                  <c:v>108057426.51000005</c:v>
                </c:pt>
              </c:numCache>
            </c:numRef>
          </c:val>
          <c:smooth val="1"/>
        </c:ser>
        <c:marker val="1"/>
        <c:axId val="78740480"/>
        <c:axId val="78766848"/>
      </c:lineChart>
      <c:catAx>
        <c:axId val="78740480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lang="sr-Latn-CS" sz="800"/>
            </a:pPr>
            <a:endParaRPr lang="en-US"/>
          </a:p>
        </c:txPr>
        <c:crossAx val="78766848"/>
        <c:crosses val="autoZero"/>
        <c:auto val="1"/>
        <c:lblAlgn val="ctr"/>
        <c:lblOffset val="100"/>
        <c:tickLblSkip val="3"/>
      </c:catAx>
      <c:valAx>
        <c:axId val="78766848"/>
        <c:scaling>
          <c:orientation val="minMax"/>
          <c:max val="180000000"/>
          <c:min val="0"/>
        </c:scaling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0.00,," sourceLinked="1"/>
        <c:tickLblPos val="nextTo"/>
        <c:txPr>
          <a:bodyPr/>
          <a:lstStyle/>
          <a:p>
            <a:pPr>
              <a:defRPr lang="sr-Latn-CS" sz="800"/>
            </a:pPr>
            <a:endParaRPr lang="en-US"/>
          </a:p>
        </c:txPr>
        <c:crossAx val="78740480"/>
        <c:crosses val="autoZero"/>
        <c:crossBetween val="between"/>
        <c:majorUnit val="30000000"/>
      </c:valAx>
      <c:valAx>
        <c:axId val="78768384"/>
        <c:scaling>
          <c:orientation val="minMax"/>
          <c:max val="60000000"/>
          <c:min val="-30000000"/>
        </c:scaling>
        <c:axPos val="r"/>
        <c:numFmt formatCode="0.00,," sourceLinked="1"/>
        <c:tickLblPos val="nextTo"/>
        <c:txPr>
          <a:bodyPr/>
          <a:lstStyle/>
          <a:p>
            <a:pPr>
              <a:defRPr lang="sr-Latn-CS" sz="800"/>
            </a:pPr>
            <a:endParaRPr lang="en-US"/>
          </a:p>
        </c:txPr>
        <c:crossAx val="93462528"/>
        <c:crosses val="max"/>
        <c:crossBetween val="between"/>
        <c:majorUnit val="20000000"/>
      </c:valAx>
      <c:catAx>
        <c:axId val="93462528"/>
        <c:scaling>
          <c:orientation val="minMax"/>
        </c:scaling>
        <c:delete val="1"/>
        <c:axPos val="b"/>
        <c:numFmt formatCode="General" sourceLinked="1"/>
        <c:tickLblPos val="none"/>
        <c:crossAx val="78768384"/>
        <c:crosses val="autoZero"/>
        <c:auto val="1"/>
        <c:lblAlgn val="ctr"/>
        <c:lblOffset val="100"/>
      </c:catAx>
    </c:plotArea>
    <c:legend>
      <c:legendPos val="r"/>
      <c:layout>
        <c:manualLayout>
          <c:xMode val="edge"/>
          <c:yMode val="edge"/>
          <c:x val="1.6442925766354761E-2"/>
          <c:y val="0.83278473993567703"/>
          <c:w val="0.97443747833408301"/>
          <c:h val="0.16721526006432447"/>
        </c:manualLayout>
      </c:layout>
      <c:txPr>
        <a:bodyPr/>
        <a:lstStyle/>
        <a:p>
          <a:pPr>
            <a:defRPr lang="sr-Latn-CS" sz="800"/>
          </a:pPr>
          <a:endParaRPr lang="en-US"/>
        </a:p>
      </c:txPr>
    </c:legend>
    <c:plotVisOnly val="1"/>
    <c:dispBlanksAs val="gap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sr-Latn-CS" sz="1000"/>
            </a:pPr>
            <a:r>
              <a:rPr lang="en-US" sz="1000"/>
              <a:t>Kamate</a:t>
            </a:r>
          </a:p>
        </c:rich>
      </c:tx>
      <c:layout>
        <c:manualLayout>
          <c:xMode val="edge"/>
          <c:yMode val="edge"/>
          <c:x val="0.3602637644551574"/>
          <c:y val="8.2191763090979867E-3"/>
        </c:manualLayout>
      </c:layout>
    </c:title>
    <c:plotArea>
      <c:layout/>
      <c:lineChart>
        <c:grouping val="standard"/>
        <c:ser>
          <c:idx val="0"/>
          <c:order val="0"/>
          <c:tx>
            <c:v>aktivne</c:v>
          </c:tx>
          <c:marker>
            <c:symbol val="none"/>
          </c:marker>
          <c:cat>
            <c:strRef>
              <c:f>'Database za makro'!$AR$9:$BD$9</c:f>
              <c:strCache>
                <c:ptCount val="13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XI</c:v>
                </c:pt>
                <c:pt idx="10">
                  <c:v>XII</c:v>
                </c:pt>
                <c:pt idx="11">
                  <c:v>I</c:v>
                </c:pt>
                <c:pt idx="12">
                  <c:v>II</c:v>
                </c:pt>
              </c:strCache>
            </c:strRef>
          </c:cat>
          <c:val>
            <c:numRef>
              <c:f>'Database za makro'!$AR$37:$BD$37</c:f>
              <c:numCache>
                <c:formatCode>0.00</c:formatCode>
                <c:ptCount val="13"/>
                <c:pt idx="0">
                  <c:v>9.42</c:v>
                </c:pt>
                <c:pt idx="1">
                  <c:v>9.42</c:v>
                </c:pt>
                <c:pt idx="2">
                  <c:v>9.4500000000000028</c:v>
                </c:pt>
                <c:pt idx="3">
                  <c:v>9.51</c:v>
                </c:pt>
                <c:pt idx="4">
                  <c:v>9.5400000000000009</c:v>
                </c:pt>
                <c:pt idx="5">
                  <c:v>9.5500000000000007</c:v>
                </c:pt>
                <c:pt idx="6">
                  <c:v>9.31</c:v>
                </c:pt>
                <c:pt idx="7">
                  <c:v>9.57</c:v>
                </c:pt>
                <c:pt idx="8">
                  <c:v>9.2800000000000011</c:v>
                </c:pt>
                <c:pt idx="9">
                  <c:v>9.2800000000000011</c:v>
                </c:pt>
                <c:pt idx="10">
                  <c:v>9.2200000000000024</c:v>
                </c:pt>
                <c:pt idx="11">
                  <c:v>9.2000000000000011</c:v>
                </c:pt>
                <c:pt idx="12">
                  <c:v>9.17</c:v>
                </c:pt>
              </c:numCache>
            </c:numRef>
          </c:val>
        </c:ser>
        <c:marker val="1"/>
        <c:axId val="78751616"/>
        <c:axId val="78753152"/>
      </c:lineChart>
      <c:lineChart>
        <c:grouping val="standard"/>
        <c:ser>
          <c:idx val="1"/>
          <c:order val="1"/>
          <c:tx>
            <c:v>pasivne</c:v>
          </c:tx>
          <c:marker>
            <c:symbol val="none"/>
          </c:marker>
          <c:cat>
            <c:strRef>
              <c:f>'Database za makro'!$AR$9:$BD$9</c:f>
              <c:strCache>
                <c:ptCount val="13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XI</c:v>
                </c:pt>
                <c:pt idx="10">
                  <c:v>XII</c:v>
                </c:pt>
                <c:pt idx="11">
                  <c:v>I</c:v>
                </c:pt>
                <c:pt idx="12">
                  <c:v>II</c:v>
                </c:pt>
              </c:strCache>
            </c:strRef>
          </c:cat>
          <c:val>
            <c:numRef>
              <c:f>'Database za makro'!$AR$38:$BD$38</c:f>
              <c:numCache>
                <c:formatCode>0.00</c:formatCode>
                <c:ptCount val="13"/>
                <c:pt idx="0">
                  <c:v>2.4499999999999997</c:v>
                </c:pt>
                <c:pt idx="1">
                  <c:v>2.34</c:v>
                </c:pt>
                <c:pt idx="2">
                  <c:v>2.3099999999999987</c:v>
                </c:pt>
                <c:pt idx="3">
                  <c:v>2.25</c:v>
                </c:pt>
                <c:pt idx="4">
                  <c:v>2.19</c:v>
                </c:pt>
                <c:pt idx="5">
                  <c:v>2.08</c:v>
                </c:pt>
                <c:pt idx="6">
                  <c:v>2.0099999999999998</c:v>
                </c:pt>
                <c:pt idx="7">
                  <c:v>1.9600000000000104</c:v>
                </c:pt>
                <c:pt idx="8">
                  <c:v>1.9300000000000104</c:v>
                </c:pt>
                <c:pt idx="9">
                  <c:v>1.8900000000000001</c:v>
                </c:pt>
                <c:pt idx="10">
                  <c:v>1.83</c:v>
                </c:pt>
                <c:pt idx="11">
                  <c:v>1.77</c:v>
                </c:pt>
                <c:pt idx="12">
                  <c:v>1.73</c:v>
                </c:pt>
              </c:numCache>
            </c:numRef>
          </c:val>
        </c:ser>
        <c:marker val="1"/>
        <c:axId val="93485696"/>
        <c:axId val="93484160"/>
      </c:lineChart>
      <c:catAx>
        <c:axId val="78751616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lang="sr-Latn-CS" sz="800"/>
            </a:pPr>
            <a:endParaRPr lang="en-US"/>
          </a:p>
        </c:txPr>
        <c:crossAx val="78753152"/>
        <c:crosses val="autoZero"/>
        <c:auto val="1"/>
        <c:lblAlgn val="ctr"/>
        <c:lblOffset val="100"/>
      </c:catAx>
      <c:valAx>
        <c:axId val="78753152"/>
        <c:scaling>
          <c:orientation val="minMax"/>
          <c:min val="9"/>
        </c:scaling>
        <c:axPos val="l"/>
        <c:numFmt formatCode="0.00" sourceLinked="1"/>
        <c:tickLblPos val="nextTo"/>
        <c:txPr>
          <a:bodyPr/>
          <a:lstStyle/>
          <a:p>
            <a:pPr>
              <a:defRPr lang="sr-Latn-CS" sz="800"/>
            </a:pPr>
            <a:endParaRPr lang="en-US"/>
          </a:p>
        </c:txPr>
        <c:crossAx val="78751616"/>
        <c:crosses val="autoZero"/>
        <c:crossBetween val="between"/>
      </c:valAx>
      <c:valAx>
        <c:axId val="93484160"/>
        <c:scaling>
          <c:orientation val="minMax"/>
        </c:scaling>
        <c:axPos val="r"/>
        <c:numFmt formatCode="0.00" sourceLinked="1"/>
        <c:tickLblPos val="nextTo"/>
        <c:txPr>
          <a:bodyPr/>
          <a:lstStyle/>
          <a:p>
            <a:pPr>
              <a:defRPr lang="sr-Latn-CS" sz="800"/>
            </a:pPr>
            <a:endParaRPr lang="en-US"/>
          </a:p>
        </c:txPr>
        <c:crossAx val="93485696"/>
        <c:crosses val="max"/>
        <c:crossBetween val="between"/>
      </c:valAx>
      <c:catAx>
        <c:axId val="93485696"/>
        <c:scaling>
          <c:orientation val="minMax"/>
        </c:scaling>
        <c:delete val="1"/>
        <c:axPos val="b"/>
        <c:numFmt formatCode="General" sourceLinked="1"/>
        <c:tickLblPos val="none"/>
        <c:crossAx val="93484160"/>
        <c:crosses val="autoZero"/>
        <c:auto val="1"/>
        <c:lblAlgn val="ctr"/>
        <c:lblOffset val="100"/>
      </c:catAx>
    </c:plotArea>
    <c:legend>
      <c:legendPos val="b"/>
      <c:txPr>
        <a:bodyPr/>
        <a:lstStyle/>
        <a:p>
          <a:pPr>
            <a:defRPr lang="sr-Latn-CS" sz="800"/>
          </a:pPr>
          <a:endParaRPr lang="en-US"/>
        </a:p>
      </c:txPr>
    </c:legend>
    <c:plotVisOnly val="1"/>
    <c:dispBlanksAs val="gap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US" sz="1000"/>
            </a:pPr>
            <a:r>
              <a:rPr lang="x-none" sz="1000"/>
              <a:t>Spoljnotrgovinski bilans i strane direktne investicije</a:t>
            </a:r>
            <a:endParaRPr lang="en-US" sz="1000"/>
          </a:p>
        </c:rich>
      </c:tx>
      <c:layout>
        <c:manualLayout>
          <c:xMode val="edge"/>
          <c:yMode val="edge"/>
          <c:x val="0.1294866071428572"/>
          <c:y val="7.4711328976040971E-3"/>
        </c:manualLayout>
      </c:layout>
      <c:overlay val="1"/>
    </c:title>
    <c:plotArea>
      <c:layout>
        <c:manualLayout>
          <c:layoutTarget val="inner"/>
          <c:xMode val="edge"/>
          <c:yMode val="edge"/>
          <c:x val="0.13648556522814018"/>
          <c:y val="0.2324099775297872"/>
          <c:w val="0.74772956018074765"/>
          <c:h val="0.60640646537888065"/>
        </c:manualLayout>
      </c:layout>
      <c:barChart>
        <c:barDir val="col"/>
        <c:grouping val="clustered"/>
        <c:ser>
          <c:idx val="0"/>
          <c:order val="0"/>
          <c:tx>
            <c:strRef>
              <c:f>'Makroekonomski indikatori'!$C$47</c:f>
              <c:strCache>
                <c:ptCount val="1"/>
                <c:pt idx="0">
                  <c:v>Spoljnotrgovinski bilans (u mil €)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</c:spPr>
          <c:cat>
            <c:strRef>
              <c:f>'Makroekonomski indikatori'!$AB$60:$AO$60</c:f>
              <c:strCache>
                <c:ptCount val="14"/>
                <c:pt idx="0">
                  <c:v>2014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2015</c:v>
                </c:pt>
                <c:pt idx="13">
                  <c:v>II</c:v>
                </c:pt>
              </c:strCache>
            </c:strRef>
          </c:cat>
          <c:val>
            <c:numRef>
              <c:f>'Makroekonomski indikatori'!$AB$47:$AO$47</c:f>
              <c:numCache>
                <c:formatCode>#,##0.0,,</c:formatCode>
                <c:ptCount val="14"/>
                <c:pt idx="0">
                  <c:v>-60512000</c:v>
                </c:pt>
                <c:pt idx="1">
                  <c:v>-90417000</c:v>
                </c:pt>
                <c:pt idx="2">
                  <c:v>-121212000</c:v>
                </c:pt>
                <c:pt idx="3">
                  <c:v>-135241000</c:v>
                </c:pt>
                <c:pt idx="4">
                  <c:v>-132242000</c:v>
                </c:pt>
                <c:pt idx="5">
                  <c:v>-143637000</c:v>
                </c:pt>
                <c:pt idx="6">
                  <c:v>-152592000</c:v>
                </c:pt>
                <c:pt idx="7">
                  <c:v>-136684000</c:v>
                </c:pt>
                <c:pt idx="8">
                  <c:v>-119317000</c:v>
                </c:pt>
                <c:pt idx="9">
                  <c:v>-124625000</c:v>
                </c:pt>
                <c:pt idx="10">
                  <c:v>-98217000</c:v>
                </c:pt>
                <c:pt idx="11">
                  <c:v>-130972000</c:v>
                </c:pt>
                <c:pt idx="12">
                  <c:v>-59977000</c:v>
                </c:pt>
                <c:pt idx="13">
                  <c:v>-97650000</c:v>
                </c:pt>
              </c:numCache>
            </c:numRef>
          </c:val>
        </c:ser>
        <c:gapWidth val="75"/>
        <c:axId val="93639808"/>
        <c:axId val="93641344"/>
      </c:barChart>
      <c:lineChart>
        <c:grouping val="standard"/>
        <c:ser>
          <c:idx val="1"/>
          <c:order val="1"/>
          <c:tx>
            <c:strRef>
              <c:f>'Makroekonomski indikatori'!$C$48</c:f>
              <c:strCache>
                <c:ptCount val="1"/>
                <c:pt idx="0">
                  <c:v>Strane direktne investicije (mil.€)</c:v>
                </c:pt>
              </c:strCache>
            </c:strRef>
          </c:tx>
          <c:spPr>
            <a:ln>
              <a:solidFill>
                <a:srgbClr val="C00000"/>
              </a:solidFill>
            </a:ln>
            <a:effectLst>
              <a:outerShdw blurRad="50800" dist="38100" algn="l" rotWithShape="0">
                <a:prstClr val="black">
                  <a:alpha val="40000"/>
                </a:prstClr>
              </a:outerShdw>
            </a:effectLst>
          </c:spPr>
          <c:marker>
            <c:symbol val="none"/>
          </c:marker>
          <c:cat>
            <c:strRef>
              <c:f>'Makroekonomski indikatori'!$K$60:$W$60</c:f>
              <c:strCache>
                <c:ptCount val="13"/>
                <c:pt idx="0">
                  <c:v>VIII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2012</c:v>
                </c:pt>
                <c:pt idx="6">
                  <c:v>II</c:v>
                </c:pt>
                <c:pt idx="7">
                  <c:v>III</c:v>
                </c:pt>
                <c:pt idx="8">
                  <c:v>IV</c:v>
                </c:pt>
                <c:pt idx="9">
                  <c:v>V</c:v>
                </c:pt>
                <c:pt idx="10">
                  <c:v>VI</c:v>
                </c:pt>
                <c:pt idx="11">
                  <c:v>VII</c:v>
                </c:pt>
                <c:pt idx="12">
                  <c:v>VIII</c:v>
                </c:pt>
              </c:strCache>
            </c:strRef>
          </c:cat>
          <c:val>
            <c:numRef>
              <c:f>'Makroekonomski indikatori'!$AB$48:$AN$48</c:f>
              <c:numCache>
                <c:formatCode>0.0,,</c:formatCode>
                <c:ptCount val="13"/>
                <c:pt idx="0">
                  <c:v>17233625</c:v>
                </c:pt>
                <c:pt idx="1">
                  <c:v>29094497</c:v>
                </c:pt>
                <c:pt idx="2">
                  <c:v>32590929</c:v>
                </c:pt>
                <c:pt idx="3">
                  <c:v>6674748</c:v>
                </c:pt>
                <c:pt idx="4">
                  <c:v>29747851</c:v>
                </c:pt>
                <c:pt idx="5">
                  <c:v>40352198</c:v>
                </c:pt>
                <c:pt idx="6">
                  <c:v>27423482</c:v>
                </c:pt>
                <c:pt idx="7">
                  <c:v>27203803</c:v>
                </c:pt>
                <c:pt idx="8">
                  <c:v>50826974</c:v>
                </c:pt>
                <c:pt idx="9">
                  <c:v>31423096</c:v>
                </c:pt>
                <c:pt idx="10">
                  <c:v>26549961</c:v>
                </c:pt>
                <c:pt idx="11">
                  <c:v>34818980</c:v>
                </c:pt>
                <c:pt idx="12">
                  <c:v>25609600</c:v>
                </c:pt>
              </c:numCache>
            </c:numRef>
          </c:val>
          <c:smooth val="1"/>
        </c:ser>
        <c:marker val="1"/>
        <c:axId val="93726592"/>
        <c:axId val="93725056"/>
      </c:lineChart>
      <c:catAx>
        <c:axId val="93639808"/>
        <c:scaling>
          <c:orientation val="minMax"/>
        </c:scaling>
        <c:axPos val="b"/>
        <c:numFmt formatCode="General" sourceLinked="0"/>
        <c:majorTickMark val="none"/>
        <c:tickLblPos val="low"/>
        <c:txPr>
          <a:bodyPr/>
          <a:lstStyle/>
          <a:p>
            <a:pPr>
              <a:defRPr lang="en-US" sz="600">
                <a:solidFill>
                  <a:schemeClr val="tx1"/>
                </a:solidFill>
              </a:defRPr>
            </a:pPr>
            <a:endParaRPr lang="en-US"/>
          </a:p>
        </c:txPr>
        <c:crossAx val="93641344"/>
        <c:crosses val="autoZero"/>
        <c:auto val="1"/>
        <c:lblAlgn val="ctr"/>
        <c:lblOffset val="100"/>
        <c:tickLblSkip val="2"/>
        <c:tickMarkSkip val="2"/>
      </c:catAx>
      <c:valAx>
        <c:axId val="93641344"/>
        <c:scaling>
          <c:orientation val="minMax"/>
          <c:max val="160000000"/>
        </c:scaling>
        <c:axPos val="l"/>
        <c:numFmt formatCode="#,##0.0,," sourceLinked="1"/>
        <c:majorTickMark val="none"/>
        <c:tickLblPos val="nextTo"/>
        <c:txPr>
          <a:bodyPr/>
          <a:lstStyle/>
          <a:p>
            <a:pPr>
              <a:defRPr lang="en-US" sz="600"/>
            </a:pPr>
            <a:endParaRPr lang="en-US"/>
          </a:p>
        </c:txPr>
        <c:crossAx val="93639808"/>
        <c:crosses val="autoZero"/>
        <c:crossBetween val="between"/>
      </c:valAx>
      <c:valAx>
        <c:axId val="93725056"/>
        <c:scaling>
          <c:orientation val="minMax"/>
        </c:scaling>
        <c:axPos val="r"/>
        <c:numFmt formatCode="0.0,," sourceLinked="1"/>
        <c:tickLblPos val="nextTo"/>
        <c:txPr>
          <a:bodyPr/>
          <a:lstStyle/>
          <a:p>
            <a:pPr>
              <a:defRPr lang="en-US" sz="600"/>
            </a:pPr>
            <a:endParaRPr lang="en-US"/>
          </a:p>
        </c:txPr>
        <c:crossAx val="93726592"/>
        <c:crosses val="max"/>
        <c:crossBetween val="between"/>
      </c:valAx>
      <c:catAx>
        <c:axId val="93726592"/>
        <c:scaling>
          <c:orientation val="minMax"/>
        </c:scaling>
        <c:delete val="1"/>
        <c:axPos val="b"/>
        <c:numFmt formatCode="General" sourceLinked="1"/>
        <c:tickLblPos val="none"/>
        <c:crossAx val="93725056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0.14203870903818355"/>
          <c:y val="0.13532034745985785"/>
          <c:w val="0.66177232142860065"/>
          <c:h val="0.18495656751777137"/>
        </c:manualLayout>
      </c:layout>
      <c:txPr>
        <a:bodyPr/>
        <a:lstStyle/>
        <a:p>
          <a:pPr>
            <a:defRPr lang="en-US" sz="600"/>
          </a:pPr>
          <a:endParaRPr lang="en-US"/>
        </a:p>
      </c:txPr>
    </c:legend>
    <c:plotVisOnly val="1"/>
    <c:dispBlanksAs val="gap"/>
  </c:chart>
  <c:spPr>
    <a:solidFill>
      <a:schemeClr val="bg1"/>
    </a:solidFill>
    <a:ln>
      <a:noFill/>
    </a:ln>
  </c:sp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0.11265</cdr:x>
      <cdr:y>0.15167</cdr:y>
    </cdr:from>
    <cdr:to>
      <cdr:x>0.44444</cdr:x>
      <cdr:y>0.23136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515056" y="416278"/>
          <a:ext cx="1516945" cy="2187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sr-Latn-CS" sz="1100"/>
        </a:p>
      </cdr:txBody>
    </cdr:sp>
  </cdr:relSizeAnchor>
  <cdr:relSizeAnchor xmlns:cdr="http://schemas.openxmlformats.org/drawingml/2006/chartDrawing">
    <cdr:from>
      <cdr:x>0.37836</cdr:x>
      <cdr:y>0.21561</cdr:y>
    </cdr:from>
    <cdr:to>
      <cdr:x>0.57836</cdr:x>
      <cdr:y>0.31536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01934" y="422806"/>
          <a:ext cx="423901" cy="19560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r-Latn-CS" sz="800" baseline="0"/>
            <a:t> zaposleni</a:t>
          </a:r>
          <a:endParaRPr lang="sr-Latn-CS" sz="800"/>
        </a:p>
      </cdr:txBody>
    </cdr:sp>
  </cdr:relSizeAnchor>
  <cdr:relSizeAnchor xmlns:cdr="http://schemas.openxmlformats.org/drawingml/2006/chartDrawing">
    <cdr:from>
      <cdr:x>0.27009</cdr:x>
      <cdr:y>0.67385</cdr:y>
    </cdr:from>
    <cdr:to>
      <cdr:x>0.72289</cdr:x>
      <cdr:y>0.74635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572452" y="1321386"/>
          <a:ext cx="959711" cy="1421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sr-Latn-CS" sz="700" baseline="0"/>
            <a:t>      nezazaposleni</a:t>
          </a:r>
          <a:endParaRPr lang="sr-Latn-CS" sz="7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1E7D23-F425-42D5-A71B-6F686D1FD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2481</Words>
  <Characters>14147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vesna.obradovic</cp:lastModifiedBy>
  <cp:revision>62</cp:revision>
  <cp:lastPrinted>2015-04-27T07:47:00Z</cp:lastPrinted>
  <dcterms:created xsi:type="dcterms:W3CDTF">2015-03-12T09:41:00Z</dcterms:created>
  <dcterms:modified xsi:type="dcterms:W3CDTF">2015-04-28T10:54:00Z</dcterms:modified>
</cp:coreProperties>
</file>