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82030E">
      <w:pPr>
        <w:pStyle w:val="2zakon"/>
        <w:rPr>
          <w:rFonts w:ascii="Tahoma" w:hAnsi="Tahoma" w:cs="Tahoma"/>
        </w:rPr>
      </w:pPr>
      <w:bookmarkStart w:id="0" w:name="_GoBack"/>
      <w:bookmarkEnd w:id="0"/>
      <w:r>
        <w:rPr>
          <w:rFonts w:ascii="Tahoma" w:hAnsi="Tahoma" w:cs="Tahoma"/>
        </w:rPr>
        <w:t>Odluk</w:t>
      </w:r>
      <w:r>
        <w:rPr>
          <w:rFonts w:ascii="Tahoma" w:hAnsi="Tahoma" w:cs="Tahoma"/>
          <w:lang w:val="hr-HR"/>
        </w:rPr>
        <w:t>a</w:t>
      </w:r>
      <w:r>
        <w:rPr>
          <w:rFonts w:ascii="Tahoma" w:hAnsi="Tahoma" w:cs="Tahoma"/>
        </w:rPr>
        <w:t xml:space="preserve"> o obrazovanju Komisije za praćenje realizacije Srednjoročnog programa rada Vlade 2024-2027 i godišnjih programa rada Vlade</w:t>
      </w:r>
    </w:p>
    <w:p w:rsidR="00000000" w:rsidRDefault="0082030E">
      <w:pPr>
        <w:pStyle w:val="3mesto"/>
        <w:rPr>
          <w:rFonts w:ascii="Tahoma" w:hAnsi="Tahoma" w:cs="Tahoma"/>
        </w:rPr>
      </w:pPr>
      <w:r>
        <w:rPr>
          <w:rFonts w:ascii="Tahoma" w:hAnsi="Tahoma" w:cs="Tahoma"/>
        </w:rPr>
        <w:t xml:space="preserve">Odluka je objavljena u "Službenom listu CG", br. </w:t>
      </w:r>
      <w:hyperlink r:id="rId4" w:history="1">
        <w:r>
          <w:rPr>
            <w:rStyle w:val="Hyperlink"/>
            <w:rFonts w:ascii="Tahoma" w:hAnsi="Tahoma" w:cs="Tahoma"/>
            <w:color w:val="CC0000"/>
          </w:rPr>
          <w:t>122/2023</w:t>
        </w:r>
      </w:hyperlink>
      <w:r>
        <w:rPr>
          <w:rFonts w:ascii="Tahoma" w:hAnsi="Tahoma" w:cs="Tahoma"/>
        </w:rPr>
        <w:t xml:space="preserve">, </w:t>
      </w:r>
      <w:hyperlink r:id="rId5" w:history="1">
        <w:r>
          <w:rPr>
            <w:rStyle w:val="Hyperlink"/>
            <w:rFonts w:ascii="Tahoma" w:hAnsi="Tahoma" w:cs="Tahoma"/>
          </w:rPr>
          <w:t>16/2024</w:t>
        </w:r>
      </w:hyperlink>
      <w:r>
        <w:rPr>
          <w:rFonts w:ascii="Tahoma" w:hAnsi="Tahoma" w:cs="Tahoma"/>
        </w:rPr>
        <w:t xml:space="preserve">, </w:t>
      </w:r>
      <w:hyperlink r:id="rId6" w:history="1">
        <w:r>
          <w:rPr>
            <w:rStyle w:val="Hyperlink"/>
            <w:rFonts w:ascii="Tahoma" w:hAnsi="Tahoma" w:cs="Tahoma"/>
          </w:rPr>
          <w:t>129/2024</w:t>
        </w:r>
      </w:hyperlink>
      <w:r>
        <w:rPr>
          <w:rFonts w:ascii="Tahoma" w:hAnsi="Tahoma" w:cs="Tahoma"/>
        </w:rPr>
        <w:t xml:space="preserve">, </w:t>
      </w:r>
      <w:hyperlink r:id="rId7" w:history="1">
        <w:r>
          <w:rPr>
            <w:rStyle w:val="Hyperlink"/>
            <w:rFonts w:ascii="Tahoma" w:hAnsi="Tahoma" w:cs="Tahoma"/>
          </w:rPr>
          <w:t>27/2025</w:t>
        </w:r>
      </w:hyperlink>
      <w:r>
        <w:rPr>
          <w:rFonts w:ascii="Tahoma" w:hAnsi="Tahoma" w:cs="Tahoma"/>
        </w:rPr>
        <w:t xml:space="preserve">, </w:t>
      </w:r>
      <w:hyperlink r:id="rId8" w:history="1">
        <w:r>
          <w:rPr>
            <w:rStyle w:val="Hyperlink"/>
            <w:rFonts w:ascii="Tahoma" w:hAnsi="Tahoma" w:cs="Tahoma"/>
          </w:rPr>
          <w:t>152/2025</w:t>
        </w:r>
      </w:hyperlink>
      <w:r>
        <w:rPr>
          <w:rFonts w:ascii="Tahoma" w:hAnsi="Tahoma" w:cs="Tahoma"/>
        </w:rPr>
        <w:t xml:space="preserve"> i </w:t>
      </w:r>
      <w:hyperlink r:id="rId9" w:history="1">
        <w:r>
          <w:rPr>
            <w:rStyle w:val="Hyperlink"/>
            <w:rFonts w:ascii="Tahoma" w:hAnsi="Tahoma" w:cs="Tahoma"/>
          </w:rPr>
          <w:t>38/2026</w:t>
        </w:r>
      </w:hyperlink>
      <w:r>
        <w:rPr>
          <w:rFonts w:ascii="Tahoma" w:hAnsi="Tahoma" w:cs="Tahoma"/>
        </w:rPr>
        <w:t>.</w:t>
      </w:r>
    </w:p>
    <w:p w:rsidR="00000000" w:rsidRDefault="0082030E">
      <w:pPr>
        <w:jc w:val="center"/>
        <w:divId w:val="1510635854"/>
        <w:rPr>
          <w:rFonts w:ascii="Tahoma" w:eastAsia="Times New Roman" w:hAnsi="Tahoma" w:cs="Tahoma"/>
          <w:b/>
          <w:bCs/>
        </w:rPr>
      </w:pPr>
      <w:r>
        <w:rPr>
          <w:rFonts w:ascii="Tahoma" w:eastAsia="Times New Roman" w:hAnsi="Tahoma" w:cs="Tahoma"/>
          <w:b/>
          <w:bCs/>
        </w:rPr>
        <w:t>Član 1</w:t>
      </w:r>
    </w:p>
    <w:p w:rsidR="00000000" w:rsidRDefault="008203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Obrazuje se Komisija za praćenje realizacije Srednjoročno</w:t>
      </w:r>
      <w:r>
        <w:rPr>
          <w:rFonts w:ascii="Tahoma" w:hAnsi="Tahoma" w:cs="Tahoma"/>
        </w:rPr>
        <w:t>g programa rada Vlade 2024-2027 i godišnjih programa rada Vlade (u daljem tekstu: Komisija), u sastavu:</w:t>
      </w:r>
    </w:p>
    <w:p w:rsidR="00000000" w:rsidRDefault="008203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1) Almedina Vukić Martinović, v. d. pomoćnice generalnog sekretara Vlade Crne Gore (u daljem tekstu: Vlada), predsjednica Komisije;</w:t>
      </w:r>
    </w:p>
    <w:p w:rsidR="00000000" w:rsidRDefault="008203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 xml:space="preserve">2) Dragana Brnjada, </w:t>
      </w:r>
      <w:r>
        <w:rPr>
          <w:rFonts w:ascii="Tahoma" w:hAnsi="Tahoma" w:cs="Tahoma"/>
        </w:rPr>
        <w:t>načelnica Odsjeka za praćenje realizacije zaključaka u Sektoru za poslove Vlade u Generalnom sekretarijatu Vlade, članica;</w:t>
      </w:r>
    </w:p>
    <w:p w:rsidR="00000000" w:rsidRDefault="008203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3) Aleksandra Bošković, načelnica Odsjeka za koordinaciju strategija i srednjoročno planiranje u Sektoru za strateško planiranje i ko</w:t>
      </w:r>
      <w:r>
        <w:rPr>
          <w:rFonts w:ascii="Tahoma" w:hAnsi="Tahoma" w:cs="Tahoma"/>
        </w:rPr>
        <w:t>ordinaciju politika Vlade u Generalnom sekretarijatu Vlade, članica;</w:t>
      </w:r>
    </w:p>
    <w:p w:rsidR="00000000" w:rsidRDefault="008203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4) Kosta Jauković, samostalni savjetnik u Generalnom sekretarijatu Vlade, član;</w:t>
      </w:r>
    </w:p>
    <w:p w:rsidR="00000000" w:rsidRDefault="008203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5) Ivana Vuković, samostalna savjetnica u Direkciji za kapitalne projekte u pravosuđu u Direktoratu za kapi</w:t>
      </w:r>
      <w:r>
        <w:rPr>
          <w:rFonts w:ascii="Tahoma" w:hAnsi="Tahoma" w:cs="Tahoma"/>
        </w:rPr>
        <w:t>talne, međunarodne i projekte iz fondova EU u Ministarstvu pravde, članica;</w:t>
      </w:r>
    </w:p>
    <w:p w:rsidR="00000000" w:rsidRDefault="008203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6) potpukovnik Saša Jovanović, v.d. načelnika Direkcije za strateško planiranje odbrane u Direktoratu za politiku odbrane u Ministarstvu odbrane, član;</w:t>
      </w:r>
    </w:p>
    <w:p w:rsidR="00000000" w:rsidRDefault="008203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7) Veljko Blagojević, načeln</w:t>
      </w:r>
      <w:r>
        <w:rPr>
          <w:rFonts w:ascii="Tahoma" w:hAnsi="Tahoma" w:cs="Tahoma"/>
        </w:rPr>
        <w:t>ik Službe za opšte poslove i kancelarijsko poslovanje, u Ministarstvu finansija, član;</w:t>
      </w:r>
    </w:p>
    <w:p w:rsidR="00000000" w:rsidRDefault="008203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8) Jovana Mijović, v.d. sekretarke Ministarstva unutrašnjih poslova, članica;</w:t>
      </w:r>
    </w:p>
    <w:p w:rsidR="00000000" w:rsidRDefault="008203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9) Ljubica Popović, v. d. sekretarke Ministarstva javne uprave, članica;</w:t>
      </w:r>
    </w:p>
    <w:p w:rsidR="00000000" w:rsidRDefault="008203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10) Slobodan Marti</w:t>
      </w:r>
      <w:r>
        <w:rPr>
          <w:rFonts w:ascii="Tahoma" w:hAnsi="Tahoma" w:cs="Tahoma"/>
        </w:rPr>
        <w:t>nović, savjetnik u Ministarstvu vanjskih poslova, član;</w:t>
      </w:r>
    </w:p>
    <w:p w:rsidR="00000000" w:rsidRDefault="008203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11) mr Jasna Jovanović, generalna direktorica Direktorata za cjeloživotno učenje u Ministarstvu prosvjete, nauke i inovacija, članica;</w:t>
      </w:r>
    </w:p>
    <w:p w:rsidR="00000000" w:rsidRDefault="008203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12) Milica Musović, v. d. sekretarke Ministarstva ekonomskog razv</w:t>
      </w:r>
      <w:r>
        <w:rPr>
          <w:rFonts w:ascii="Tahoma" w:hAnsi="Tahoma" w:cs="Tahoma"/>
        </w:rPr>
        <w:t>oja, članica;</w:t>
      </w:r>
    </w:p>
    <w:p w:rsidR="00000000" w:rsidRDefault="008203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13) Nada Milatović, sekretarka Ministarstva zdravlja, članica;</w:t>
      </w:r>
    </w:p>
    <w:p w:rsidR="00000000" w:rsidRDefault="008203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14) Anđela Nedović, državna sekretarka u Ministarstvu rada, zapošljavanja i socijalnog dijaloga, članica;</w:t>
      </w:r>
    </w:p>
    <w:p w:rsidR="00000000" w:rsidRDefault="008203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 xml:space="preserve">15) Mersiha Adrović, načelnica Službe za opšte poslove i ljudske resurse </w:t>
      </w:r>
      <w:r>
        <w:rPr>
          <w:rFonts w:ascii="Tahoma" w:hAnsi="Tahoma" w:cs="Tahoma"/>
        </w:rPr>
        <w:t>u Ministarstvu socijalnog staranja, brige o porodici i demografije, članica;</w:t>
      </w:r>
    </w:p>
    <w:p w:rsidR="00000000" w:rsidRDefault="008203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16) Marija Tomović, v. d. sekretarke Ministarstva kulture i medija, članica;</w:t>
      </w:r>
    </w:p>
    <w:p w:rsidR="00000000" w:rsidRDefault="008203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17) Snežana Đurković, načelnica Direkcije za sigurnost i bezbjednost plovidbe i zaštitu od zagađenja s</w:t>
      </w:r>
      <w:r>
        <w:rPr>
          <w:rFonts w:ascii="Tahoma" w:hAnsi="Tahoma" w:cs="Tahoma"/>
        </w:rPr>
        <w:t>a plovnih objekata u Direktoratu za pomorsku i unutrašnju plovidbu u Ministarstvu pomorstva, članica;</w:t>
      </w:r>
    </w:p>
    <w:p w:rsidR="00000000" w:rsidRDefault="008203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18) Demir Đešević, načelnik Direkcije za motorna vozila u Direktoratu za drumski saobraćaj i homologaciju vozila u Ministarstvu saobraćaja, član;</w:t>
      </w:r>
    </w:p>
    <w:p w:rsidR="00000000" w:rsidRDefault="008203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>19) Miod</w:t>
      </w:r>
      <w:r>
        <w:rPr>
          <w:rFonts w:ascii="Tahoma" w:hAnsi="Tahoma" w:cs="Tahoma"/>
        </w:rPr>
        <w:t>rag Rašović, v.d. sekretara Ministarstva prostornog planiranja, urbanizma i državne imovine, član;</w:t>
      </w:r>
    </w:p>
    <w:p w:rsidR="00000000" w:rsidRDefault="008203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20) Milena Tošić, v. d. sekretarke Ministarstva turizma, članica;</w:t>
      </w:r>
    </w:p>
    <w:p w:rsidR="00000000" w:rsidRDefault="008203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21) Lana Radunović, v.d. generalne direktorice Direktorata za ekologiju u Ministarstvu ekol</w:t>
      </w:r>
      <w:r>
        <w:rPr>
          <w:rFonts w:ascii="Tahoma" w:hAnsi="Tahoma" w:cs="Tahoma"/>
        </w:rPr>
        <w:t>ogije, održivog razvoja i razvoja sjevera, članica;</w:t>
      </w:r>
    </w:p>
    <w:p w:rsidR="00000000" w:rsidRDefault="008203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22) Igor Nišavić, sekretar Ministarstva poljoprivrede, šumarstva i vodoprivrede, član;</w:t>
      </w:r>
    </w:p>
    <w:p w:rsidR="00000000" w:rsidRDefault="008203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23) Darko Vuković, v.d. sekretara Ministarstva javnih radova, član;</w:t>
      </w:r>
    </w:p>
    <w:p w:rsidR="00000000" w:rsidRDefault="008203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24) Jelena Raspopović, načelnica Direkcije za međ</w:t>
      </w:r>
      <w:r>
        <w:rPr>
          <w:rFonts w:ascii="Tahoma" w:hAnsi="Tahoma" w:cs="Tahoma"/>
        </w:rPr>
        <w:t>unarodne projekte i EU fondove u Direktoratu za međunarodnu saradnju i upravljanje evropskim projektima u Ministarstvu energetike i rudarstva, članica;</w:t>
      </w:r>
    </w:p>
    <w:p w:rsidR="00000000" w:rsidRDefault="008203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25) Sanja Žugić, šefica Kabineta ministra ljudskih i manjinskih prava, članica;</w:t>
      </w:r>
    </w:p>
    <w:p w:rsidR="00000000" w:rsidRDefault="008203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26) Predrag Radovanović, v.d. sekretara Ministarstva evropskih poslova, član;</w:t>
      </w:r>
    </w:p>
    <w:p w:rsidR="00000000" w:rsidRDefault="008203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27) Darko Stojanović, generalni direktor Direktorata za mlade i saradnju sa nevladinim organizacijama u Ministarstvu sporta i mladih, član;</w:t>
      </w:r>
    </w:p>
    <w:p w:rsidR="00000000" w:rsidRDefault="008203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28) Suada Musić, šefica Kabineta minis</w:t>
      </w:r>
      <w:r>
        <w:rPr>
          <w:rFonts w:ascii="Tahoma" w:hAnsi="Tahoma" w:cs="Tahoma"/>
        </w:rPr>
        <w:t>tra regionalno-investicionog razvoja i saradnje sa nevladinim organizacijama, članica;</w:t>
      </w:r>
    </w:p>
    <w:p w:rsidR="00000000" w:rsidRDefault="008203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29) Fadil Zejnelagić, v.d. generalnog direktora Direktorata za međunarodnu saradnju i IPA projekte, u Ministarstvu dijaspore, član;</w:t>
      </w:r>
    </w:p>
    <w:p w:rsidR="00000000" w:rsidRDefault="008203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30) Ranko Andrijašević, v.d. rukovodi</w:t>
      </w:r>
      <w:r>
        <w:rPr>
          <w:rFonts w:ascii="Tahoma" w:hAnsi="Tahoma" w:cs="Tahoma"/>
        </w:rPr>
        <w:t>oca Kancelarije za održivi razvoj u Generalnom sekretarijatu Vlade, član;</w:t>
      </w:r>
    </w:p>
    <w:p w:rsidR="00000000" w:rsidRDefault="008203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31) Julija Bulatović, samostalna savjetnica u Sekretarijatu za zakonodavstvo, članica; i</w:t>
      </w:r>
    </w:p>
    <w:p w:rsidR="00000000" w:rsidRDefault="008203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32) Valentina Stijović, samostalna savjetnica u Odsjeku za koordinaciju strategija i srednjor</w:t>
      </w:r>
      <w:r>
        <w:rPr>
          <w:rFonts w:ascii="Tahoma" w:hAnsi="Tahoma" w:cs="Tahoma"/>
        </w:rPr>
        <w:t>očno planiranje u Sektoru za strateško planiranje i koordinaciju politika Vlade u Generalnom sekretarijatu Vlade, sekretarka Komisije.</w:t>
      </w:r>
    </w:p>
    <w:p w:rsidR="00000000" w:rsidRDefault="0082030E">
      <w:pPr>
        <w:jc w:val="center"/>
        <w:divId w:val="139154974"/>
        <w:rPr>
          <w:rFonts w:ascii="Tahoma" w:eastAsia="Times New Roman" w:hAnsi="Tahoma" w:cs="Tahoma"/>
          <w:b/>
          <w:bCs/>
        </w:rPr>
      </w:pPr>
      <w:r>
        <w:rPr>
          <w:rFonts w:ascii="Tahoma" w:eastAsia="Times New Roman" w:hAnsi="Tahoma" w:cs="Tahoma"/>
          <w:b/>
          <w:bCs/>
        </w:rPr>
        <w:t>Član 2</w:t>
      </w:r>
    </w:p>
    <w:p w:rsidR="00000000" w:rsidRDefault="008203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Zadaci Komisije su da:</w:t>
      </w:r>
    </w:p>
    <w:p w:rsidR="00000000" w:rsidRDefault="008203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 xml:space="preserve">- prati sprovođenje Srednjoročnog programa rada Vlade 2024-2027 i godišnjih programa rada </w:t>
      </w:r>
      <w:r>
        <w:rPr>
          <w:rFonts w:ascii="Tahoma" w:hAnsi="Tahoma" w:cs="Tahoma"/>
        </w:rPr>
        <w:t>Vlade;</w:t>
      </w:r>
    </w:p>
    <w:p w:rsidR="00000000" w:rsidRDefault="008203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- prikuplja podatke o realizaciji i učestvuje u pripremi godišnjeg izvještaja o realizaciji Srednjoročnog programa rada Vlade 2024-2027;</w:t>
      </w:r>
    </w:p>
    <w:p w:rsidR="00000000" w:rsidRDefault="008203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 xml:space="preserve">- prikuplja podatke o realizaciji i učestvuje u pripremi kvartalnih izvještaja o realizaciji godišnjeg programa </w:t>
      </w:r>
      <w:r>
        <w:rPr>
          <w:rFonts w:ascii="Tahoma" w:hAnsi="Tahoma" w:cs="Tahoma"/>
        </w:rPr>
        <w:t>rada Vlade;</w:t>
      </w:r>
    </w:p>
    <w:p w:rsidR="00000000" w:rsidRDefault="008203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- analizira efekte sprovođenja mjera radi postizanja ciljeva definisanih Srednjoročnim programom rada Vlade 2024-2027 i godišnjim programima rada Vlade i daje odgovarajuće preporuke ministarstvima;</w:t>
      </w:r>
    </w:p>
    <w:p w:rsidR="00000000" w:rsidRDefault="008203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- analizira izazove u vezi sa sprovođenjem mje</w:t>
      </w:r>
      <w:r>
        <w:rPr>
          <w:rFonts w:ascii="Tahoma" w:hAnsi="Tahoma" w:cs="Tahoma"/>
        </w:rPr>
        <w:t>ra iz Srednjoročnog programa rada Vlade 2024-2027 i godišnjih programa rada Vlade i predlaže mjere za njihovo prevazilaženje;</w:t>
      </w:r>
    </w:p>
    <w:p w:rsidR="00000000" w:rsidRDefault="008203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- prikuplja podatke o korišćenju donatorskih sredstava u ministarstvima, na osnovu dostavljenih podataka članova Komisije, u cilju</w:t>
      </w:r>
      <w:r>
        <w:rPr>
          <w:rFonts w:ascii="Tahoma" w:hAnsi="Tahoma" w:cs="Tahoma"/>
        </w:rPr>
        <w:t xml:space="preserve"> što potpunijeg sagledavanja finansijskih aspekata sprovođenja Srednjoročnog programa rada Vlade 2024-2027 i godišnjih programa rada Vlade i sprovođenja reformskih aktivnosti koje doprinose realizaciji njenih prioriteta i ciljeva;</w:t>
      </w:r>
    </w:p>
    <w:p w:rsidR="00000000" w:rsidRDefault="008203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- koristi Informacioni si</w:t>
      </w:r>
      <w:r>
        <w:rPr>
          <w:rFonts w:ascii="Tahoma" w:hAnsi="Tahoma" w:cs="Tahoma"/>
        </w:rPr>
        <w:t>stem za praćenje i izvještavanje o realizaciji Srednjoročnog programa rada Vlade (ISPI);</w:t>
      </w:r>
    </w:p>
    <w:p w:rsidR="00000000" w:rsidRDefault="008203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>- prati sprovođenje zaključaka Vlade i prikuplja podatke o njihovoj realizaciji;</w:t>
      </w:r>
    </w:p>
    <w:p w:rsidR="00000000" w:rsidRDefault="008203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- analizira efekte sprovođenja zaključaka Vlade i, ako je to potrebno, predlaže izmjen</w:t>
      </w:r>
      <w:r>
        <w:rPr>
          <w:rFonts w:ascii="Tahoma" w:hAnsi="Tahoma" w:cs="Tahoma"/>
        </w:rPr>
        <w:t>e, dopune i stavljanje van snage zaključaka Vlade;</w:t>
      </w:r>
    </w:p>
    <w:p w:rsidR="00000000" w:rsidRDefault="008203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- učestvuje u pripremi nacrta godišnjeg programa rada Vlade.</w:t>
      </w:r>
    </w:p>
    <w:p w:rsidR="00000000" w:rsidRDefault="0082030E">
      <w:pPr>
        <w:jc w:val="center"/>
        <w:divId w:val="1534345962"/>
        <w:rPr>
          <w:rFonts w:ascii="Tahoma" w:eastAsia="Times New Roman" w:hAnsi="Tahoma" w:cs="Tahoma"/>
          <w:b/>
          <w:bCs/>
        </w:rPr>
      </w:pPr>
      <w:r>
        <w:rPr>
          <w:rFonts w:ascii="Tahoma" w:eastAsia="Times New Roman" w:hAnsi="Tahoma" w:cs="Tahoma"/>
          <w:b/>
          <w:bCs/>
        </w:rPr>
        <w:t>Član 3</w:t>
      </w:r>
    </w:p>
    <w:p w:rsidR="00000000" w:rsidRDefault="008203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Komisija se sastaje jednom kvartalno, a po potrebi i češće, u cilju ispunjenja zadataka iz člana 2 ove odluke.</w:t>
      </w:r>
    </w:p>
    <w:p w:rsidR="00000000" w:rsidRDefault="0082030E">
      <w:pPr>
        <w:jc w:val="center"/>
        <w:divId w:val="1817993030"/>
        <w:rPr>
          <w:rFonts w:ascii="Tahoma" w:eastAsia="Times New Roman" w:hAnsi="Tahoma" w:cs="Tahoma"/>
          <w:b/>
          <w:bCs/>
        </w:rPr>
      </w:pPr>
      <w:r>
        <w:rPr>
          <w:rFonts w:ascii="Tahoma" w:eastAsia="Times New Roman" w:hAnsi="Tahoma" w:cs="Tahoma"/>
          <w:b/>
          <w:bCs/>
        </w:rPr>
        <w:t>Član 4</w:t>
      </w:r>
    </w:p>
    <w:p w:rsidR="00000000" w:rsidRDefault="008203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U cilju efikasnije</w:t>
      </w:r>
      <w:r>
        <w:rPr>
          <w:rFonts w:ascii="Tahoma" w:hAnsi="Tahoma" w:cs="Tahoma"/>
        </w:rPr>
        <w:t>g i kvalitetnijeg obavljanja zadataka iz člana 2 ove odluke, u radu Komisije mogu učestvovati i drugi/e zaposleni/e u organima čiji su predstavnici/ice članovi/ice ove Komisije, koji/e su zaduženi/e za poslove međunarodne saradnje i/ili strateškog planiran</w:t>
      </w:r>
      <w:r>
        <w:rPr>
          <w:rFonts w:ascii="Tahoma" w:hAnsi="Tahoma" w:cs="Tahoma"/>
        </w:rPr>
        <w:t>ja.</w:t>
      </w:r>
    </w:p>
    <w:p w:rsidR="00000000" w:rsidRDefault="0082030E">
      <w:pPr>
        <w:jc w:val="center"/>
        <w:divId w:val="189343335"/>
        <w:rPr>
          <w:rFonts w:ascii="Tahoma" w:eastAsia="Times New Roman" w:hAnsi="Tahoma" w:cs="Tahoma"/>
          <w:b/>
          <w:bCs/>
        </w:rPr>
      </w:pPr>
      <w:r>
        <w:rPr>
          <w:rFonts w:ascii="Tahoma" w:eastAsia="Times New Roman" w:hAnsi="Tahoma" w:cs="Tahoma"/>
          <w:b/>
          <w:bCs/>
        </w:rPr>
        <w:t>Član 5</w:t>
      </w:r>
    </w:p>
    <w:p w:rsidR="00000000" w:rsidRDefault="008203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Stručne i administrativno-tehnič</w:t>
      </w:r>
      <w:r>
        <w:rPr>
          <w:rFonts w:ascii="Tahoma" w:hAnsi="Tahoma" w:cs="Tahoma"/>
          <w:lang w:val="hr-HR"/>
        </w:rPr>
        <w:t>k</w:t>
      </w:r>
      <w:r>
        <w:rPr>
          <w:rFonts w:ascii="Tahoma" w:hAnsi="Tahoma" w:cs="Tahoma"/>
        </w:rPr>
        <w:t>e poslove za potrebe Komisije vrši sekretarka Komisije.</w:t>
      </w:r>
    </w:p>
    <w:p w:rsidR="00000000" w:rsidRDefault="0082030E">
      <w:pPr>
        <w:jc w:val="center"/>
        <w:divId w:val="1423453607"/>
        <w:rPr>
          <w:rFonts w:ascii="Tahoma" w:eastAsia="Times New Roman" w:hAnsi="Tahoma" w:cs="Tahoma"/>
          <w:b/>
          <w:bCs/>
        </w:rPr>
      </w:pPr>
      <w:r>
        <w:rPr>
          <w:rFonts w:ascii="Tahoma" w:eastAsia="Times New Roman" w:hAnsi="Tahoma" w:cs="Tahoma"/>
          <w:b/>
          <w:bCs/>
        </w:rPr>
        <w:t>Član 6</w:t>
      </w:r>
    </w:p>
    <w:p w:rsidR="00000000" w:rsidRDefault="008203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 xml:space="preserve">Predsjednici, članovima/icama i sekretarki Komisije pripada naknada za rad u skladu sa članom 2 Odluke o kriterijumima za utvrđivanje visine naknade </w:t>
      </w:r>
      <w:r>
        <w:rPr>
          <w:rFonts w:ascii="Tahoma" w:hAnsi="Tahoma" w:cs="Tahoma"/>
        </w:rPr>
        <w:t>za rad člana radnog tijela ili drugog oblika rada ("Službeni list CG", br. 26/12, 27/13, 44/22 i 78/22).</w:t>
      </w:r>
    </w:p>
    <w:p w:rsidR="00000000" w:rsidRDefault="008203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Naknada iz stava 1 ovog člana isplaćuje se za mjesec u kom je održana sjednica Komisije, i to:</w:t>
      </w:r>
    </w:p>
    <w:p w:rsidR="00000000" w:rsidRDefault="008203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- predsjednici Komisije u iznosu od 17,89% prosječne bruto zarade u Crnoj Gori u prethodnoj godini, prema podacima organa uprave nadležnog za poslove statistike;</w:t>
      </w:r>
    </w:p>
    <w:p w:rsidR="00000000" w:rsidRDefault="008203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- članovima/icama i sekretarki Komisije u iznosu od 13,42% prosječne bruto zarade u Crnoj Gori</w:t>
      </w:r>
      <w:r>
        <w:rPr>
          <w:rFonts w:ascii="Tahoma" w:hAnsi="Tahoma" w:cs="Tahoma"/>
        </w:rPr>
        <w:t xml:space="preserve"> u prethodnoj godini, prema podacima organa uprave nadležnog za poslove statistike.</w:t>
      </w:r>
    </w:p>
    <w:p w:rsidR="00000000" w:rsidRDefault="008203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Naknada iz stava 1 ovog člana isplaćuje se iz budžetskih sredstava Generalnog sekretarijata Vlade, odnosno organa na čiji predlog su predsjednica, član/ica, odnosno sekreta</w:t>
      </w:r>
      <w:r>
        <w:rPr>
          <w:rFonts w:ascii="Tahoma" w:hAnsi="Tahoma" w:cs="Tahoma"/>
        </w:rPr>
        <w:t>rka Komisije određeni.</w:t>
      </w:r>
    </w:p>
    <w:p w:rsidR="00000000" w:rsidRDefault="0082030E">
      <w:pPr>
        <w:jc w:val="center"/>
        <w:divId w:val="558976351"/>
        <w:rPr>
          <w:rFonts w:ascii="Tahoma" w:eastAsia="Times New Roman" w:hAnsi="Tahoma" w:cs="Tahoma"/>
          <w:b/>
          <w:bCs/>
        </w:rPr>
      </w:pPr>
      <w:r>
        <w:rPr>
          <w:rFonts w:ascii="Tahoma" w:eastAsia="Times New Roman" w:hAnsi="Tahoma" w:cs="Tahoma"/>
          <w:b/>
          <w:bCs/>
        </w:rPr>
        <w:t>Član 7</w:t>
      </w:r>
    </w:p>
    <w:p w:rsidR="00000000" w:rsidRDefault="008203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Danom stupanja na snagu ove odluke prestaje da važi Odluka o obrazovanju Komisije za praćenje realizacije Srednjoročnog programa rada Vlade 2022-2024 i godišnjih programa rada Vlade („Službeni list CG“, broj 73/23).</w:t>
      </w:r>
    </w:p>
    <w:p w:rsidR="00000000" w:rsidRDefault="0082030E">
      <w:pPr>
        <w:jc w:val="center"/>
        <w:divId w:val="386611472"/>
        <w:rPr>
          <w:rFonts w:ascii="Tahoma" w:eastAsia="Times New Roman" w:hAnsi="Tahoma" w:cs="Tahoma"/>
          <w:b/>
          <w:bCs/>
        </w:rPr>
      </w:pPr>
      <w:r>
        <w:rPr>
          <w:rFonts w:ascii="Tahoma" w:eastAsia="Times New Roman" w:hAnsi="Tahoma" w:cs="Tahoma"/>
          <w:b/>
          <w:bCs/>
        </w:rPr>
        <w:t>Član 8</w:t>
      </w:r>
    </w:p>
    <w:p w:rsidR="0082030E" w:rsidRDefault="0082030E">
      <w:pPr>
        <w:pStyle w:val="1tekst"/>
        <w:rPr>
          <w:rFonts w:ascii="Tahoma" w:hAnsi="Tahoma" w:cs="Tahoma"/>
        </w:rPr>
      </w:pPr>
      <w:r>
        <w:rPr>
          <w:rFonts w:ascii="Tahoma" w:hAnsi="Tahoma" w:cs="Tahoma"/>
        </w:rPr>
        <w:t>Ov</w:t>
      </w:r>
      <w:r>
        <w:rPr>
          <w:rFonts w:ascii="Tahoma" w:hAnsi="Tahoma" w:cs="Tahoma"/>
        </w:rPr>
        <w:t>a odluka stupa na snagu osmog dana od dana objavljivanja u „Službenom listu Crne Gore“.</w:t>
      </w:r>
    </w:p>
    <w:sectPr w:rsidR="008203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83A"/>
    <w:rsid w:val="0082030E"/>
    <w:rsid w:val="00E15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56D995-9CD6-481C-BC1B-33681A68D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000080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000080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1tekst">
    <w:name w:val="_1tekst"/>
    <w:basedOn w:val="Normal"/>
    <w:pPr>
      <w:ind w:left="150" w:right="150" w:firstLine="240"/>
      <w:jc w:val="both"/>
    </w:pPr>
    <w:rPr>
      <w:sz w:val="23"/>
      <w:szCs w:val="23"/>
    </w:rPr>
  </w:style>
  <w:style w:type="paragraph" w:customStyle="1" w:styleId="osnovnitekst">
    <w:name w:val="osnovnitekst"/>
    <w:basedOn w:val="Normal"/>
    <w:pPr>
      <w:spacing w:before="100" w:beforeAutospacing="1" w:after="100" w:afterAutospacing="1"/>
      <w:ind w:left="240" w:right="240"/>
    </w:pPr>
    <w:rPr>
      <w:b/>
      <w:bCs/>
      <w:color w:val="FF0000"/>
      <w:sz w:val="36"/>
      <w:szCs w:val="36"/>
    </w:rPr>
  </w:style>
  <w:style w:type="paragraph" w:customStyle="1" w:styleId="rasir">
    <w:name w:val="rasir"/>
    <w:basedOn w:val="Normal"/>
    <w:pPr>
      <w:spacing w:before="100" w:beforeAutospacing="1" w:after="100" w:afterAutospacing="1"/>
      <w:jc w:val="center"/>
    </w:pPr>
    <w:rPr>
      <w:sz w:val="27"/>
      <w:szCs w:val="27"/>
    </w:rPr>
  </w:style>
  <w:style w:type="paragraph" w:customStyle="1" w:styleId="obrazac">
    <w:name w:val="obrazac"/>
    <w:basedOn w:val="Normal"/>
    <w:pPr>
      <w:spacing w:before="100" w:beforeAutospacing="1" w:after="100" w:afterAutospacing="1"/>
      <w:jc w:val="right"/>
    </w:pPr>
    <w:rPr>
      <w:b/>
      <w:bCs/>
    </w:rPr>
  </w:style>
  <w:style w:type="paragraph" w:customStyle="1" w:styleId="izmene">
    <w:name w:val="izmene"/>
    <w:basedOn w:val="Normal"/>
    <w:pPr>
      <w:shd w:val="clear" w:color="auto" w:fill="FFCCCC"/>
      <w:spacing w:before="100" w:beforeAutospacing="1" w:after="100" w:afterAutospacing="1"/>
      <w:ind w:firstLine="240"/>
    </w:pPr>
    <w:rPr>
      <w:b/>
      <w:bCs/>
      <w:color w:val="000080"/>
      <w:sz w:val="36"/>
      <w:szCs w:val="36"/>
    </w:rPr>
  </w:style>
  <w:style w:type="paragraph" w:customStyle="1" w:styleId="napomena">
    <w:name w:val="napomena"/>
    <w:basedOn w:val="Normal"/>
    <w:pPr>
      <w:shd w:val="clear" w:color="auto" w:fill="FFCCCC"/>
      <w:spacing w:before="100" w:beforeAutospacing="1" w:after="100" w:afterAutospacing="1"/>
      <w:ind w:firstLine="240"/>
    </w:pPr>
    <w:rPr>
      <w:b/>
      <w:bCs/>
      <w:color w:val="008080"/>
      <w:sz w:val="36"/>
      <w:szCs w:val="36"/>
    </w:rPr>
  </w:style>
  <w:style w:type="paragraph" w:customStyle="1" w:styleId="2zakon">
    <w:name w:val="_2zakon"/>
    <w:basedOn w:val="Normal"/>
    <w:pPr>
      <w:spacing w:before="100" w:beforeAutospacing="1" w:after="100" w:afterAutospacing="1"/>
      <w:jc w:val="center"/>
    </w:pPr>
    <w:rPr>
      <w:color w:val="0033CC"/>
      <w:sz w:val="42"/>
      <w:szCs w:val="42"/>
    </w:rPr>
  </w:style>
  <w:style w:type="paragraph" w:customStyle="1" w:styleId="6naslov">
    <w:name w:val="_6naslov"/>
    <w:basedOn w:val="Normal"/>
    <w:pPr>
      <w:spacing w:before="60" w:after="30"/>
      <w:jc w:val="center"/>
    </w:pPr>
    <w:rPr>
      <w:sz w:val="32"/>
      <w:szCs w:val="32"/>
    </w:rPr>
  </w:style>
  <w:style w:type="paragraph" w:customStyle="1" w:styleId="5nadnaslov">
    <w:name w:val="_5nadnaslov"/>
    <w:basedOn w:val="Normal"/>
    <w:pPr>
      <w:spacing w:before="240"/>
      <w:jc w:val="center"/>
    </w:pPr>
    <w:rPr>
      <w:b/>
      <w:bCs/>
      <w:sz w:val="33"/>
      <w:szCs w:val="33"/>
    </w:rPr>
  </w:style>
  <w:style w:type="paragraph" w:customStyle="1" w:styleId="7podnas">
    <w:name w:val="_7podnas"/>
    <w:basedOn w:val="Normal"/>
    <w:pPr>
      <w:spacing w:before="60"/>
      <w:jc w:val="center"/>
    </w:pPr>
    <w:rPr>
      <w:b/>
      <w:bCs/>
      <w:sz w:val="27"/>
      <w:szCs w:val="27"/>
    </w:rPr>
  </w:style>
  <w:style w:type="paragraph" w:customStyle="1" w:styleId="8podpodnas">
    <w:name w:val="_8podpodnas"/>
    <w:basedOn w:val="Normal"/>
    <w:pPr>
      <w:spacing w:before="240" w:after="240"/>
      <w:jc w:val="center"/>
    </w:pPr>
    <w:rPr>
      <w:i/>
      <w:iCs/>
      <w:sz w:val="27"/>
      <w:szCs w:val="27"/>
    </w:rPr>
  </w:style>
  <w:style w:type="paragraph" w:customStyle="1" w:styleId="odeljak">
    <w:name w:val="odeljak"/>
    <w:basedOn w:val="Normal"/>
    <w:pPr>
      <w:spacing w:before="240" w:after="240"/>
      <w:jc w:val="center"/>
    </w:pPr>
  </w:style>
  <w:style w:type="paragraph" w:customStyle="1" w:styleId="3mesto">
    <w:name w:val="_3mesto"/>
    <w:basedOn w:val="Normal"/>
    <w:pPr>
      <w:spacing w:before="100" w:beforeAutospacing="1" w:after="100" w:afterAutospacing="1"/>
      <w:ind w:left="375" w:right="375"/>
      <w:jc w:val="center"/>
    </w:pPr>
  </w:style>
  <w:style w:type="paragraph" w:customStyle="1" w:styleId="4clan">
    <w:name w:val="_4clan"/>
    <w:basedOn w:val="Normal"/>
    <w:pPr>
      <w:spacing w:before="240" w:after="240"/>
      <w:jc w:val="center"/>
    </w:pPr>
    <w:rPr>
      <w:b/>
      <w:bCs/>
    </w:rPr>
  </w:style>
  <w:style w:type="paragraph" w:customStyle="1" w:styleId="medjclan">
    <w:name w:val="medjclan"/>
    <w:basedOn w:val="Normal"/>
    <w:pPr>
      <w:spacing w:before="240" w:after="240"/>
      <w:jc w:val="center"/>
    </w:pPr>
    <w:rPr>
      <w:b/>
      <w:bCs/>
      <w:sz w:val="29"/>
      <w:szCs w:val="29"/>
    </w:rPr>
  </w:style>
  <w:style w:type="paragraph" w:customStyle="1" w:styleId="medjtekst">
    <w:name w:val="medjtekst"/>
    <w:basedOn w:val="Normal"/>
    <w:pPr>
      <w:ind w:left="525" w:right="525" w:firstLine="240"/>
      <w:jc w:val="both"/>
    </w:pPr>
    <w:rPr>
      <w:sz w:val="27"/>
      <w:szCs w:val="27"/>
    </w:rPr>
  </w:style>
  <w:style w:type="paragraph" w:customStyle="1" w:styleId="glava">
    <w:name w:val="glava"/>
    <w:basedOn w:val="Normal"/>
    <w:pPr>
      <w:spacing w:before="240" w:after="240"/>
      <w:jc w:val="center"/>
    </w:pPr>
    <w:rPr>
      <w:b/>
      <w:bCs/>
      <w:i/>
      <w:iCs/>
      <w:sz w:val="36"/>
      <w:szCs w:val="36"/>
    </w:rPr>
  </w:style>
  <w:style w:type="paragraph" w:customStyle="1" w:styleId="deo">
    <w:name w:val="deo"/>
    <w:basedOn w:val="Normal"/>
    <w:pPr>
      <w:spacing w:before="240" w:after="240"/>
      <w:jc w:val="center"/>
    </w:pPr>
    <w:rPr>
      <w:b/>
      <w:bCs/>
      <w:sz w:val="33"/>
      <w:szCs w:val="33"/>
    </w:rPr>
  </w:style>
  <w:style w:type="paragraph" w:customStyle="1" w:styleId="vidi">
    <w:name w:val="vidi"/>
    <w:basedOn w:val="Normal"/>
    <w:pPr>
      <w:ind w:right="1650"/>
    </w:pPr>
    <w:rPr>
      <w:b/>
      <w:bCs/>
      <w:color w:val="800000"/>
      <w:sz w:val="20"/>
      <w:szCs w:val="20"/>
    </w:rPr>
  </w:style>
  <w:style w:type="paragraph" w:customStyle="1" w:styleId="vidividi">
    <w:name w:val="vidi_vidi"/>
    <w:basedOn w:val="Normal"/>
    <w:rPr>
      <w:b/>
      <w:bCs/>
      <w:color w:val="800000"/>
      <w:sz w:val="20"/>
      <w:szCs w:val="20"/>
    </w:rPr>
  </w:style>
  <w:style w:type="paragraph" w:customStyle="1" w:styleId="nodis">
    <w:name w:val="nodis"/>
    <w:basedOn w:val="Normal"/>
    <w:pPr>
      <w:spacing w:before="100" w:beforeAutospacing="1" w:after="100" w:afterAutospacing="1"/>
    </w:pPr>
    <w:rPr>
      <w:vanish/>
    </w:rPr>
  </w:style>
  <w:style w:type="paragraph" w:customStyle="1" w:styleId="vlinkovi">
    <w:name w:val="vlinkovi"/>
    <w:basedOn w:val="Normal"/>
    <w:pPr>
      <w:ind w:left="375" w:right="375"/>
    </w:pPr>
    <w:rPr>
      <w:sz w:val="20"/>
      <w:szCs w:val="20"/>
    </w:rPr>
  </w:style>
  <w:style w:type="paragraph" w:customStyle="1" w:styleId="vlb">
    <w:name w:val="vlb"/>
    <w:basedOn w:val="Normal"/>
    <w:pPr>
      <w:spacing w:before="100" w:beforeAutospacing="1" w:after="100" w:afterAutospacing="1"/>
    </w:pPr>
    <w:rPr>
      <w:b/>
      <w:bCs/>
      <w:sz w:val="17"/>
      <w:szCs w:val="17"/>
    </w:rPr>
  </w:style>
  <w:style w:type="paragraph" w:customStyle="1" w:styleId="vlnowrap">
    <w:name w:val="vlnowrap"/>
    <w:basedOn w:val="Normal"/>
    <w:pPr>
      <w:spacing w:before="100" w:beforeAutospacing="1" w:after="100" w:afterAutospacing="1"/>
    </w:pPr>
    <w:rPr>
      <w:color w:val="000080"/>
    </w:rPr>
  </w:style>
  <w:style w:type="paragraph" w:customStyle="1" w:styleId="vlf">
    <w:name w:val="vlf"/>
    <w:basedOn w:val="Normal"/>
    <w:pPr>
      <w:shd w:val="clear" w:color="auto" w:fill="FFFFFF"/>
      <w:spacing w:before="75"/>
      <w:ind w:right="225"/>
    </w:pPr>
    <w:rPr>
      <w:b/>
      <w:bCs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266349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61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55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45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6661746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01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95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5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8999436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41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59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34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1777482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43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43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4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2522746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3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74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63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8812974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86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69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97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3105174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53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61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7244491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1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93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99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" TargetMode="External"/><Relationship Id="rId3" Type="http://schemas.openxmlformats.org/officeDocument/2006/relationships/webSettings" Target="webSettings.xml"/><Relationship Id="rId7" Type="http://schemas.openxmlformats.org/officeDocument/2006/relationships/hyperlink" Target="javascript:void(0)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void(0)" TargetMode="External"/><Relationship Id="rId11" Type="http://schemas.openxmlformats.org/officeDocument/2006/relationships/theme" Target="theme/theme1.xml"/><Relationship Id="rId5" Type="http://schemas.openxmlformats.org/officeDocument/2006/relationships/hyperlink" Target="javascript:void(0)" TargetMode="External"/><Relationship Id="rId10" Type="http://schemas.openxmlformats.org/officeDocument/2006/relationships/fontTable" Target="fontTable.xml"/><Relationship Id="rId4" Type="http://schemas.openxmlformats.org/officeDocument/2006/relationships/hyperlink" Target="javascript:void(0)" TargetMode="External"/><Relationship Id="rId9" Type="http://schemas.openxmlformats.org/officeDocument/2006/relationships/hyperlink" Target="javascript:void(0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1146</Words>
  <Characters>6538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Odluka o obrazovanju Komisije za praćenje realizacije Srednjoročnog programa rada Vlade 2024-2027 i godišnjih programa rada Vlade</vt:lpstr>
    </vt:vector>
  </TitlesOfParts>
  <Company/>
  <LinksUpToDate>false</LinksUpToDate>
  <CharactersWithSpaces>7669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Odluka o obrazovanju Komisije za praćenje realizacije Srednjoročnog programa rada Vlade 2024-2027 i godišnjih programa rada Vlade</dc:title>
  <dc:subject/>
  <dc:creator>Lidija Knezevic</dc:creator>
  <cp:keywords/>
  <dc:description/>
  <cp:lastModifiedBy>Lidija Knezevic</cp:lastModifiedBy>
  <cp:revision>2</cp:revision>
  <dcterms:created xsi:type="dcterms:W3CDTF">2026-10-07T12:29:00Z</dcterms:created>
  <dcterms:modified xsi:type="dcterms:W3CDTF">2026-10-07T12:29:00Z</dcterms:modified>
</cp:coreProperties>
</file>