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4BA" w:rsidRDefault="007524BA" w:rsidP="007524BA">
      <w:pPr>
        <w:jc w:val="both"/>
        <w:rPr>
          <w:rFonts w:ascii="Tahoma" w:hAnsi="Tahoma" w:cs="Tahoma"/>
          <w:b/>
          <w:sz w:val="24"/>
          <w:szCs w:val="24"/>
        </w:rPr>
      </w:pPr>
    </w:p>
    <w:p w:rsidR="007524BA" w:rsidRPr="00134FED" w:rsidRDefault="007524BA" w:rsidP="00134FED">
      <w:pPr>
        <w:jc w:val="right"/>
        <w:rPr>
          <w:rFonts w:ascii="Arial" w:hAnsi="Arial" w:cs="Arial"/>
          <w:b/>
        </w:rPr>
      </w:pPr>
      <w:r w:rsidRPr="0011096C">
        <w:rPr>
          <w:rFonts w:ascii="Arial" w:hAnsi="Arial" w:cs="Arial"/>
          <w:b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978"/>
        <w:gridCol w:w="5598"/>
      </w:tblGrid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  <w:sz w:val="28"/>
              </w:rPr>
            </w:pPr>
            <w:r w:rsidRPr="00BD4D1E">
              <w:rPr>
                <w:rFonts w:ascii="Arial" w:eastAsia="Calibri" w:hAnsi="Arial" w:cs="Arial"/>
                <w:color w:val="365F91"/>
                <w:sz w:val="24"/>
                <w:szCs w:val="24"/>
              </w:rPr>
              <w:t>IZVJEŠTAJ O SPROVEDENOJ ANALIZI PROCJENE UTICAJA PROPISA</w:t>
            </w:r>
          </w:p>
        </w:tc>
      </w:tr>
      <w:tr w:rsidR="007524BA" w:rsidRPr="00BD4D1E" w:rsidTr="00F01570">
        <w:tc>
          <w:tcPr>
            <w:tcW w:w="3978" w:type="dxa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>PREDLAGAČ PROPISA</w:t>
            </w:r>
          </w:p>
        </w:tc>
        <w:tc>
          <w:tcPr>
            <w:tcW w:w="5598" w:type="dxa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b/>
                <w:color w:val="365F91"/>
              </w:rPr>
              <w:t>MINISTARSTVO FINANSIJA</w:t>
            </w:r>
          </w:p>
        </w:tc>
      </w:tr>
      <w:tr w:rsidR="007524BA" w:rsidRPr="00BD4D1E" w:rsidTr="00F01570">
        <w:tc>
          <w:tcPr>
            <w:tcW w:w="3978" w:type="dxa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>NAZIV PROPISA</w:t>
            </w:r>
          </w:p>
        </w:tc>
        <w:tc>
          <w:tcPr>
            <w:tcW w:w="5598" w:type="dxa"/>
          </w:tcPr>
          <w:p w:rsidR="007524BA" w:rsidRPr="000B7E34" w:rsidRDefault="00FC788C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>
              <w:rPr>
                <w:rFonts w:ascii="Arial" w:eastAsia="Calibri" w:hAnsi="Arial" w:cs="Arial"/>
                <w:b/>
                <w:color w:val="365F91"/>
              </w:rPr>
              <w:t>NACRT</w:t>
            </w:r>
            <w:bookmarkStart w:id="0" w:name="_GoBack"/>
            <w:bookmarkEnd w:id="0"/>
            <w:r w:rsidR="007524BA" w:rsidRPr="000B7E34">
              <w:rPr>
                <w:rFonts w:ascii="Arial" w:eastAsia="Calibri" w:hAnsi="Arial" w:cs="Arial"/>
                <w:b/>
                <w:color w:val="365F91"/>
              </w:rPr>
              <w:t xml:space="preserve"> ZAKONA O</w:t>
            </w:r>
            <w:r w:rsidR="00C22D48">
              <w:rPr>
                <w:rFonts w:ascii="Arial" w:eastAsia="Calibri" w:hAnsi="Arial" w:cs="Arial"/>
                <w:b/>
                <w:color w:val="365F91"/>
              </w:rPr>
              <w:t xml:space="preserve"> </w:t>
            </w:r>
            <w:r w:rsidR="000D5FF1">
              <w:rPr>
                <w:rFonts w:ascii="Arial" w:eastAsia="Calibri" w:hAnsi="Arial" w:cs="Arial"/>
                <w:b/>
                <w:color w:val="365F91"/>
              </w:rPr>
              <w:t xml:space="preserve">GLOBALNOM MINIMALNOM </w:t>
            </w:r>
            <w:r w:rsidR="007524BA" w:rsidRPr="000B7E34">
              <w:rPr>
                <w:rFonts w:ascii="Arial" w:eastAsia="Calibri" w:hAnsi="Arial" w:cs="Arial"/>
                <w:b/>
                <w:color w:val="365F91"/>
              </w:rPr>
              <w:t>POREZU NA DOBIT PRAVNIH LICA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1.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Definisanje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problema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treba</w:t>
            </w:r>
            <w:proofErr w:type="spellEnd"/>
            <w:proofErr w:type="gram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riješi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predloženi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uzroci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posljedice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subjekti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oštećeni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način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kojoj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mjeri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bi problem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evoluirao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bez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promjene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(“status quo”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)?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634866">
            <w:pPr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  <w:p w:rsidR="002969C9" w:rsidRDefault="007F5888" w:rsidP="003B07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Predmetnim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zakonskim</w:t>
            </w:r>
            <w:r w:rsidR="0039107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2969C9">
              <w:rPr>
                <w:rFonts w:ascii="Arial" w:hAnsi="Arial" w:cs="Arial"/>
                <w:sz w:val="20"/>
                <w:szCs w:val="20"/>
                <w:lang w:val="sr-Latn-ME"/>
              </w:rPr>
              <w:t>rješenjima</w:t>
            </w:r>
            <w:r w:rsidR="0039107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vrši se </w:t>
            </w:r>
            <w:r w:rsidRPr="007F5888">
              <w:rPr>
                <w:rFonts w:ascii="Arial" w:hAnsi="Arial" w:cs="Arial"/>
                <w:sz w:val="20"/>
                <w:szCs w:val="20"/>
                <w:lang w:val="sr-Latn-ME"/>
              </w:rPr>
              <w:t xml:space="preserve">usklađivanje sa </w:t>
            </w:r>
            <w:r w:rsidR="002969C9" w:rsidRPr="002969C9">
              <w:rPr>
                <w:rFonts w:ascii="Arial" w:hAnsi="Arial" w:cs="Arial"/>
                <w:sz w:val="20"/>
                <w:szCs w:val="20"/>
                <w:lang w:val="sr-Latn-ME"/>
              </w:rPr>
              <w:t>EU 2022/2523/EC o obezbjeđivanju globalnog minimalnog nivoa oporezivanja za grupe multinacionalih preduzeća i velike domaće grupe u Uniji.</w:t>
            </w:r>
          </w:p>
          <w:p w:rsidR="002969C9" w:rsidRDefault="008D5D86" w:rsidP="003B07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D5D86">
              <w:rPr>
                <w:rFonts w:ascii="Arial" w:hAnsi="Arial" w:cs="Arial"/>
                <w:sz w:val="20"/>
                <w:szCs w:val="20"/>
                <w:lang w:val="sr-Latn-ME"/>
              </w:rPr>
              <w:t>Nakon usvajanja zakona pristupiće se izradi odgovarajuć</w:t>
            </w:r>
            <w:r w:rsidR="002969C9">
              <w:rPr>
                <w:rFonts w:ascii="Arial" w:hAnsi="Arial" w:cs="Arial"/>
                <w:sz w:val="20"/>
                <w:szCs w:val="20"/>
                <w:lang w:val="sr-Latn-ME"/>
              </w:rPr>
              <w:t>ih</w:t>
            </w:r>
            <w:r w:rsidRPr="008D5D8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podzakonsk</w:t>
            </w:r>
            <w:r w:rsidR="002969C9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="00C22D4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ak</w:t>
            </w:r>
            <w:r w:rsidR="002969C9"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="00C22D48">
              <w:rPr>
                <w:rFonts w:ascii="Arial" w:hAnsi="Arial" w:cs="Arial"/>
                <w:sz w:val="20"/>
                <w:szCs w:val="20"/>
                <w:lang w:val="sr-Latn-ME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kojim će se propisati </w:t>
            </w:r>
            <w:r w:rsidR="002969C9" w:rsidRPr="002969C9">
              <w:rPr>
                <w:rFonts w:ascii="Arial" w:hAnsi="Arial" w:cs="Arial"/>
                <w:sz w:val="20"/>
                <w:szCs w:val="20"/>
                <w:lang w:val="sr-Latn-ME"/>
              </w:rPr>
              <w:t>Obrazac Prijave</w:t>
            </w:r>
            <w:r w:rsidR="002969C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informacije o dopunskom porezu</w:t>
            </w:r>
            <w:r w:rsidR="002969C9" w:rsidRPr="002969C9">
              <w:rPr>
                <w:rFonts w:ascii="Arial" w:hAnsi="Arial" w:cs="Arial"/>
                <w:sz w:val="20"/>
                <w:szCs w:val="20"/>
                <w:lang w:val="sr-Latn-ME"/>
              </w:rPr>
              <w:t>, drug</w:t>
            </w:r>
            <w:r w:rsidR="002969C9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="002969C9" w:rsidRPr="002969C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poda</w:t>
            </w:r>
            <w:r w:rsidR="002969C9">
              <w:rPr>
                <w:rFonts w:ascii="Arial" w:hAnsi="Arial" w:cs="Arial"/>
                <w:sz w:val="20"/>
                <w:szCs w:val="20"/>
                <w:lang w:val="sr-Latn-ME"/>
              </w:rPr>
              <w:t>ci</w:t>
            </w:r>
            <w:r w:rsidR="002969C9" w:rsidRPr="002969C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koje je neophodno dostaviti poreskom organu uz navedenu prijavu, kao i postupak podnošenja prijave odgovornog sastavnog subjekta</w:t>
            </w:r>
            <w:r w:rsidR="002969C9">
              <w:rPr>
                <w:rFonts w:ascii="Arial" w:hAnsi="Arial" w:cs="Arial"/>
                <w:sz w:val="20"/>
                <w:szCs w:val="20"/>
                <w:lang w:val="sr-Latn-ME"/>
              </w:rPr>
              <w:t xml:space="preserve">; Obrazac prijave </w:t>
            </w:r>
            <w:r w:rsidR="002969C9" w:rsidRPr="002969C9">
              <w:rPr>
                <w:rFonts w:ascii="Arial" w:hAnsi="Arial" w:cs="Arial"/>
                <w:sz w:val="20"/>
                <w:szCs w:val="20"/>
                <w:lang w:val="sr-Latn-ME"/>
              </w:rPr>
              <w:t>domaćeg dopunskog poreza</w:t>
            </w:r>
            <w:r w:rsidR="002969C9">
              <w:rPr>
                <w:rFonts w:ascii="Arial" w:hAnsi="Arial" w:cs="Arial"/>
                <w:sz w:val="20"/>
                <w:szCs w:val="20"/>
                <w:lang w:val="sr-Latn-ME"/>
              </w:rPr>
              <w:t xml:space="preserve">. </w:t>
            </w:r>
          </w:p>
          <w:p w:rsidR="00E92E35" w:rsidRDefault="00E92E35" w:rsidP="003B07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92E35">
              <w:rPr>
                <w:rFonts w:ascii="Arial" w:hAnsi="Arial" w:cs="Arial"/>
                <w:sz w:val="20"/>
                <w:szCs w:val="20"/>
                <w:lang w:val="sr-Latn-ME"/>
              </w:rPr>
              <w:t>Ovim zakonom uvodi se obaveza plaćanja poreza na dobit po minimalnoj efektivnoj poreskoj stopi od 15 % za grupe multinacionalih preduzeća i velike domaće grupe u Uniji čiji godišnji konsolidovani prihod iznosi najmanje 750 miliona eura.  Uvođenjem ovog zakona obezbjeđuje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se,</w:t>
            </w:r>
            <w:r w:rsidRPr="00E92E35">
              <w:rPr>
                <w:rFonts w:ascii="Arial" w:hAnsi="Arial" w:cs="Arial"/>
                <w:sz w:val="20"/>
                <w:szCs w:val="20"/>
                <w:lang w:val="sr-Latn-ME"/>
              </w:rPr>
              <w:t>između ostalog, sprečavanje erozije poreske osnovice i premještanja dobiti u jurisdikcije sa niskim oporezivanjem i očuvanje fiskalne stabilnosti Crne Gore, budući da bi u nedostatsku ovih zakonskih rješenja, druge države mogle naplatiti dopunski porez na prihode ostvarene u Crnoj Gori.</w:t>
            </w:r>
          </w:p>
          <w:p w:rsidR="00E92E35" w:rsidRPr="00E92E35" w:rsidRDefault="00E92E35" w:rsidP="00E92E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92E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Direktivom su propisana sljedeća Globe pravila: </w:t>
            </w:r>
          </w:p>
          <w:p w:rsidR="00E92E35" w:rsidRPr="00E92E35" w:rsidRDefault="00E92E35" w:rsidP="00E92E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92E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pravilo o uključivanju dobiti (Income Inclusion Rule - IIR); </w:t>
            </w:r>
          </w:p>
          <w:p w:rsidR="00E92E35" w:rsidRPr="00E92E35" w:rsidRDefault="00E92E35" w:rsidP="00E92E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92E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pravilo o prenisko oporezivoj dobiti (Under-taxed Payments Rule - UTPR); </w:t>
            </w:r>
          </w:p>
          <w:p w:rsidR="00E92E35" w:rsidRPr="00E92E35" w:rsidRDefault="00E92E35" w:rsidP="00E92E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92E35">
              <w:rPr>
                <w:rFonts w:ascii="Arial" w:hAnsi="Arial" w:cs="Arial"/>
                <w:sz w:val="20"/>
                <w:szCs w:val="20"/>
                <w:lang w:val="sr-Latn-ME"/>
              </w:rPr>
              <w:t>- domaći dopunski porez (Qualified Domestic Minimum Top-up Tax - QDMTT).</w:t>
            </w:r>
          </w:p>
          <w:p w:rsidR="00E92E35" w:rsidRDefault="00E92E35" w:rsidP="00E92E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92E35">
              <w:rPr>
                <w:rFonts w:ascii="Arial" w:hAnsi="Arial" w:cs="Arial"/>
                <w:sz w:val="20"/>
                <w:szCs w:val="20"/>
                <w:lang w:val="sr-Latn-ME"/>
              </w:rPr>
              <w:t>Crna Gora se opredijelila za primjenu samo Domaćeg dopunskog poreza (QDMTT) budući da u Crnoj Gori nema ni jedno krajnje matično društvo grupe međunarodnih preduzeća čiji je konoslidovani prihod iznad 750 miliona eura. Istovremeno odredbama navedene Direktive, država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ma</w:t>
            </w:r>
            <w:r w:rsidRPr="00E92E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je data mogućnost odlaganja primjene preostala dva pravila do 2030. godine.</w:t>
            </w:r>
          </w:p>
          <w:p w:rsidR="00734F66" w:rsidRDefault="00734F66" w:rsidP="00734F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bi se utvrdilo da li grupa međunarodnih preduzeća ili velika domaća grupa </w:t>
            </w: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ima </w:t>
            </w: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>bvezu plaćanja dopunskog poreza po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otrebno je:</w:t>
            </w:r>
          </w:p>
          <w:p w:rsidR="00734F66" w:rsidRDefault="00734F66" w:rsidP="00734F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u</w:t>
            </w: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 xml:space="preserve">tvrditi je li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je grupa obuhvaćena područjem primjene ovog zakona</w:t>
            </w: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 koja je jurisdikcija svakog </w:t>
            </w: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 xml:space="preserve">sastavnog subjekta unutar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grupe</w:t>
            </w: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 xml:space="preserve">; </w:t>
            </w:r>
          </w:p>
          <w:p w:rsidR="00734F66" w:rsidRDefault="00734F66" w:rsidP="00734F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 xml:space="preserve">utvrditi dobit svakog sastavnog subjekta unutar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grupe u skladu sa globe pravilima; </w:t>
            </w:r>
          </w:p>
          <w:p w:rsidR="00734F66" w:rsidRDefault="00734F66" w:rsidP="00734F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>odrediti obuhvaćene poreze koji se pripisuju dobiti sastavnog subjekta;</w:t>
            </w:r>
          </w:p>
          <w:p w:rsidR="00734F66" w:rsidRDefault="00734F66" w:rsidP="00734F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obračunati </w:t>
            </w: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>efektivnu pore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sku</w:t>
            </w: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stopu svih sastavnih subjekata koji se nalaze u istoj jurisdikciji i</w:t>
            </w:r>
          </w:p>
          <w:p w:rsidR="00717C3E" w:rsidRDefault="00734F66" w:rsidP="00734F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 xml:space="preserve">odrediti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i platiti dodatni</w:t>
            </w: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dopunski porez; u skladu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sa </w:t>
            </w:r>
            <w:r w:rsidRPr="00734F66">
              <w:rPr>
                <w:rFonts w:ascii="Arial" w:hAnsi="Arial" w:cs="Arial"/>
                <w:sz w:val="20"/>
                <w:szCs w:val="20"/>
                <w:lang w:val="sr-Latn-ME"/>
              </w:rPr>
              <w:t>pravil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ima.</w:t>
            </w:r>
          </w:p>
          <w:p w:rsidR="00734F66" w:rsidRPr="00734F66" w:rsidRDefault="00734F66" w:rsidP="00734F66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937E3B" w:rsidRDefault="00937E3B" w:rsidP="000160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Navedene zakonsk</w:t>
            </w:r>
            <w:r w:rsidR="002969C9">
              <w:rPr>
                <w:rFonts w:ascii="Arial" w:hAnsi="Arial" w:cs="Arial"/>
                <w:sz w:val="20"/>
                <w:szCs w:val="20"/>
                <w:lang w:val="sr-Latn-ME"/>
              </w:rPr>
              <w:t xml:space="preserve">a rješenja </w:t>
            </w:r>
            <w:r w:rsidR="00E92E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imaće uticaj na privredu, odnosno samo </w:t>
            </w:r>
            <w:r w:rsidR="00E92E35" w:rsidRPr="00E92E35">
              <w:rPr>
                <w:rFonts w:ascii="Arial" w:hAnsi="Arial" w:cs="Arial"/>
                <w:sz w:val="20"/>
                <w:szCs w:val="20"/>
                <w:lang w:val="sr-Latn-ME"/>
              </w:rPr>
              <w:t>za grupe multinacionalih preduzeća i velike domaće grupe čiji godišnji konsolidovani prihod iznosi najmanje 750 miliona eura</w:t>
            </w:r>
            <w:r w:rsidR="00E92E35">
              <w:rPr>
                <w:rFonts w:ascii="Arial" w:hAnsi="Arial" w:cs="Arial"/>
                <w:sz w:val="20"/>
                <w:szCs w:val="20"/>
                <w:lang w:val="sr-Latn-ME"/>
              </w:rPr>
              <w:t>. U slučaju da Crna Gore ne implementira ova zakonska rješenja, gubi značajne poreske prihode koje će svakako biti naplaćeni u zemlji rezidentstva krajnjeg matičnog društva.</w:t>
            </w:r>
          </w:p>
          <w:p w:rsidR="00937E3B" w:rsidRPr="00937E3B" w:rsidRDefault="00937E3B" w:rsidP="00937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Prilikom pripreme Predloga zakona razmatrana je „status quo“ opcija. U slučaju zadržavanja „status quo“ opcije, bila bi otežana primjena zakona</w:t>
            </w:r>
            <w:r w:rsidR="00EF5AB8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ne bi se moglo izvršiti usklađivanje </w:t>
            </w:r>
            <w:r w:rsidR="00EF5AB8">
              <w:rPr>
                <w:rFonts w:ascii="Arial" w:hAnsi="Arial" w:cs="Arial"/>
                <w:sz w:val="20"/>
                <w:szCs w:val="20"/>
                <w:lang w:val="sr-Latn-ME"/>
              </w:rPr>
              <w:t>zakona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sa EU direktiv</w:t>
            </w:r>
            <w:r w:rsidR="00B52A7B">
              <w:rPr>
                <w:rFonts w:ascii="Arial" w:hAnsi="Arial" w:cs="Arial"/>
                <w:sz w:val="20"/>
                <w:szCs w:val="20"/>
                <w:lang w:val="sr-Latn-ME"/>
              </w:rPr>
              <w:t>om</w:t>
            </w:r>
            <w:r w:rsidR="00EF5AB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 ne bi se mogli uburati prihodi po ovom osnovu.</w:t>
            </w:r>
          </w:p>
          <w:p w:rsidR="007524BA" w:rsidRPr="00937E3B" w:rsidRDefault="00EB7ED2" w:rsidP="00937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pristupanja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Gore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Evropskoj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PPCG 202</w:t>
            </w:r>
            <w:r w:rsidR="00EF5AB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-202</w:t>
            </w:r>
            <w:r w:rsidR="00EF5AB8">
              <w:rPr>
                <w:rFonts w:ascii="Arial" w:hAnsi="Arial" w:cs="Arial"/>
                <w:sz w:val="20"/>
                <w:szCs w:val="20"/>
              </w:rPr>
              <w:t>6</w:t>
            </w:r>
            <w:r w:rsidR="00FB52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god</w:t>
            </w:r>
            <w:r w:rsidR="00FB521B">
              <w:rPr>
                <w:rFonts w:ascii="Arial" w:hAnsi="Arial" w:cs="Arial"/>
                <w:sz w:val="20"/>
                <w:szCs w:val="20"/>
              </w:rPr>
              <w:t>ina,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EF5AB8">
              <w:rPr>
                <w:rFonts w:ascii="Arial" w:hAnsi="Arial" w:cs="Arial"/>
                <w:sz w:val="20"/>
                <w:szCs w:val="20"/>
              </w:rPr>
              <w:t>globalnom</w:t>
            </w:r>
            <w:proofErr w:type="spellEnd"/>
            <w:r w:rsidR="00EF5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5AB8">
              <w:rPr>
                <w:rFonts w:ascii="Arial" w:hAnsi="Arial" w:cs="Arial"/>
                <w:sz w:val="20"/>
                <w:szCs w:val="20"/>
              </w:rPr>
              <w:t>minimalnom</w:t>
            </w:r>
            <w:proofErr w:type="spellEnd"/>
            <w:r w:rsidR="00EF5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porezu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dobit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pravnih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predviđena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za 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kvartal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EF5AB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godin</w:t>
            </w:r>
            <w:r w:rsidR="00FB521B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B52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usklađivanja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nacionalnog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zakonodavstva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direktiv</w:t>
            </w:r>
            <w:r w:rsidR="00937E3B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19C8" w:rsidRPr="006519C8">
              <w:rPr>
                <w:rFonts w:ascii="Arial" w:hAnsi="Arial" w:cs="Arial"/>
                <w:sz w:val="20"/>
                <w:szCs w:val="20"/>
              </w:rPr>
              <w:t>20</w:t>
            </w:r>
            <w:r w:rsidR="00EF5AB8">
              <w:rPr>
                <w:rFonts w:ascii="Arial" w:hAnsi="Arial" w:cs="Arial"/>
                <w:sz w:val="20"/>
                <w:szCs w:val="20"/>
              </w:rPr>
              <w:t>22</w:t>
            </w:r>
            <w:r w:rsidR="006519C8" w:rsidRPr="006519C8">
              <w:rPr>
                <w:rFonts w:ascii="Arial" w:hAnsi="Arial" w:cs="Arial"/>
                <w:sz w:val="20"/>
                <w:szCs w:val="20"/>
              </w:rPr>
              <w:t>/</w:t>
            </w:r>
            <w:r w:rsidR="00EF5AB8">
              <w:rPr>
                <w:rFonts w:ascii="Arial" w:hAnsi="Arial" w:cs="Arial"/>
                <w:sz w:val="20"/>
                <w:szCs w:val="20"/>
              </w:rPr>
              <w:t>2523</w:t>
            </w:r>
            <w:r w:rsidR="006519C8" w:rsidRPr="006519C8">
              <w:rPr>
                <w:rFonts w:ascii="Arial" w:hAnsi="Arial" w:cs="Arial"/>
                <w:sz w:val="20"/>
                <w:szCs w:val="20"/>
              </w:rPr>
              <w:t>/EC</w:t>
            </w:r>
            <w:r w:rsidR="006519C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lastRenderedPageBreak/>
              <w:t xml:space="preserve">2.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Ciljevi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postižu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predloženim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Navesti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usklađenost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ovih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postojećim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strategijama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programima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Vlade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primjenljivo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266920" w:rsidRDefault="00266920" w:rsidP="00634866">
            <w:pPr>
              <w:jc w:val="both"/>
              <w:rPr>
                <w:rFonts w:ascii="Tahoma" w:hAnsi="Tahoma" w:cs="Tahoma"/>
              </w:rPr>
            </w:pP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Programom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Rada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Vlade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Crne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Gore</w:t>
            </w:r>
            <w:r w:rsidR="002F6EA4">
              <w:rPr>
                <w:rFonts w:ascii="Arial" w:hAnsi="Arial" w:cs="Arial"/>
                <w:iCs/>
                <w:sz w:val="20"/>
                <w:szCs w:val="20"/>
              </w:rPr>
              <w:t xml:space="preserve"> za</w:t>
            </w:r>
            <w:r w:rsid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F6EA4">
              <w:rPr>
                <w:rFonts w:ascii="Arial" w:hAnsi="Arial" w:cs="Arial"/>
                <w:iCs/>
                <w:sz w:val="20"/>
                <w:szCs w:val="20"/>
              </w:rPr>
              <w:t>202</w:t>
            </w:r>
            <w:r w:rsidR="00AD1F5C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FB521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AD1F5C">
              <w:rPr>
                <w:rFonts w:ascii="Arial" w:hAnsi="Arial" w:cs="Arial"/>
                <w:iCs/>
                <w:sz w:val="20"/>
                <w:szCs w:val="20"/>
              </w:rPr>
              <w:t>godinu</w:t>
            </w:r>
            <w:proofErr w:type="spellEnd"/>
            <w:r w:rsidR="00AD1F5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AD1F5C">
              <w:rPr>
                <w:rFonts w:ascii="Arial" w:hAnsi="Arial" w:cs="Arial"/>
                <w:iCs/>
                <w:sz w:val="20"/>
                <w:szCs w:val="20"/>
              </w:rPr>
              <w:t>planirano</w:t>
            </w:r>
            <w:proofErr w:type="spellEnd"/>
            <w:r w:rsidR="00AD1F5C">
              <w:rPr>
                <w:rFonts w:ascii="Arial" w:hAnsi="Arial" w:cs="Arial"/>
                <w:iCs/>
                <w:sz w:val="20"/>
                <w:szCs w:val="20"/>
              </w:rPr>
              <w:t xml:space="preserve"> je </w:t>
            </w:r>
            <w:proofErr w:type="spellStart"/>
            <w:proofErr w:type="gramStart"/>
            <w:r w:rsidR="00AD1F5C">
              <w:rPr>
                <w:rFonts w:ascii="Arial" w:hAnsi="Arial" w:cs="Arial"/>
                <w:iCs/>
                <w:sz w:val="20"/>
                <w:szCs w:val="20"/>
              </w:rPr>
              <w:t>donošenje</w:t>
            </w:r>
            <w:proofErr w:type="spellEnd"/>
            <w:r w:rsidR="00AD1F5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Zakona</w:t>
            </w:r>
            <w:proofErr w:type="spellEnd"/>
            <w:proofErr w:type="gram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o </w:t>
            </w:r>
            <w:proofErr w:type="spellStart"/>
            <w:r w:rsidR="00AD1F5C">
              <w:rPr>
                <w:rFonts w:ascii="Arial" w:hAnsi="Arial" w:cs="Arial"/>
                <w:iCs/>
                <w:sz w:val="20"/>
                <w:szCs w:val="20"/>
              </w:rPr>
              <w:t>globalnom</w:t>
            </w:r>
            <w:proofErr w:type="spellEnd"/>
            <w:r w:rsidR="00AD1F5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AD1F5C">
              <w:rPr>
                <w:rFonts w:ascii="Arial" w:hAnsi="Arial" w:cs="Arial"/>
                <w:iCs/>
                <w:sz w:val="20"/>
                <w:szCs w:val="20"/>
              </w:rPr>
              <w:t>minimalnom</w:t>
            </w:r>
            <w:proofErr w:type="spellEnd"/>
            <w:r w:rsidR="00AD1F5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porezu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na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dobit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pr</w:t>
            </w:r>
            <w:r w:rsidR="008811D5">
              <w:rPr>
                <w:rFonts w:ascii="Arial" w:hAnsi="Arial" w:cs="Arial"/>
                <w:iCs/>
                <w:sz w:val="20"/>
                <w:szCs w:val="20"/>
              </w:rPr>
              <w:t>avnih</w:t>
            </w:r>
            <w:proofErr w:type="spellEnd"/>
            <w:r w:rsidR="008811D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811D5">
              <w:rPr>
                <w:rFonts w:ascii="Arial" w:hAnsi="Arial" w:cs="Arial"/>
                <w:iCs/>
                <w:sz w:val="20"/>
                <w:szCs w:val="20"/>
              </w:rPr>
              <w:t>lica</w:t>
            </w:r>
            <w:proofErr w:type="spellEnd"/>
            <w:r w:rsidR="008811D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F6EA4">
              <w:rPr>
                <w:rFonts w:ascii="Arial" w:hAnsi="Arial" w:cs="Arial"/>
                <w:iCs/>
                <w:sz w:val="20"/>
                <w:szCs w:val="20"/>
              </w:rPr>
              <w:t xml:space="preserve">za IV </w:t>
            </w:r>
            <w:proofErr w:type="spellStart"/>
            <w:r w:rsidR="002F6EA4">
              <w:rPr>
                <w:rFonts w:ascii="Arial" w:hAnsi="Arial" w:cs="Arial"/>
                <w:iCs/>
                <w:sz w:val="20"/>
                <w:szCs w:val="20"/>
              </w:rPr>
              <w:t>kvartal</w:t>
            </w:r>
            <w:proofErr w:type="spellEnd"/>
            <w:r w:rsidR="002F6EA4">
              <w:rPr>
                <w:rFonts w:ascii="Arial" w:hAnsi="Arial" w:cs="Arial"/>
                <w:iCs/>
                <w:sz w:val="20"/>
                <w:szCs w:val="20"/>
              </w:rPr>
              <w:t xml:space="preserve"> 202</w:t>
            </w:r>
            <w:r w:rsidR="00AD1F5C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godine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sz w:val="20"/>
                <w:szCs w:val="20"/>
              </w:rPr>
              <w:t>usklađivanja</w:t>
            </w:r>
            <w:proofErr w:type="spellEnd"/>
            <w:r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prethodno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naveden</w:t>
            </w:r>
            <w:r w:rsidR="00E03AB8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Direktiv</w:t>
            </w:r>
            <w:r w:rsidR="00E03AB8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 w:rsidR="001D180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1D180A">
              <w:rPr>
                <w:rFonts w:ascii="Arial" w:hAnsi="Arial" w:cs="Arial"/>
                <w:sz w:val="20"/>
                <w:szCs w:val="20"/>
              </w:rPr>
              <w:t>Takođe</w:t>
            </w:r>
            <w:proofErr w:type="spellEnd"/>
            <w:r w:rsidR="001D180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D180A">
              <w:rPr>
                <w:rFonts w:ascii="Arial" w:hAnsi="Arial" w:cs="Arial"/>
                <w:sz w:val="20"/>
                <w:szCs w:val="20"/>
              </w:rPr>
              <w:t>donođenje</w:t>
            </w:r>
            <w:proofErr w:type="spellEnd"/>
            <w:r w:rsidR="001D18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>
              <w:rPr>
                <w:rFonts w:ascii="Arial" w:hAnsi="Arial" w:cs="Arial"/>
                <w:sz w:val="20"/>
                <w:szCs w:val="20"/>
              </w:rPr>
              <w:t>navedenog</w:t>
            </w:r>
            <w:proofErr w:type="spellEnd"/>
            <w:r w:rsidR="001D18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 w:rsidR="001D180A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1D180A">
              <w:rPr>
                <w:rFonts w:ascii="Arial" w:hAnsi="Arial" w:cs="Arial"/>
                <w:sz w:val="20"/>
                <w:szCs w:val="20"/>
              </w:rPr>
              <w:t>planirano</w:t>
            </w:r>
            <w:proofErr w:type="spellEnd"/>
            <w:r w:rsidR="001D180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1D180A" w:rsidRPr="001D180A">
              <w:rPr>
                <w:rFonts w:ascii="Arial" w:hAnsi="Arial" w:cs="Arial"/>
                <w:sz w:val="20"/>
                <w:szCs w:val="20"/>
              </w:rPr>
              <w:t>Programom</w:t>
            </w:r>
            <w:proofErr w:type="spellEnd"/>
            <w:r w:rsidR="001D180A" w:rsidRPr="001D18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 w:rsidRPr="001D180A">
              <w:rPr>
                <w:rFonts w:ascii="Arial" w:hAnsi="Arial" w:cs="Arial"/>
                <w:sz w:val="20"/>
                <w:szCs w:val="20"/>
              </w:rPr>
              <w:t>pristupanja</w:t>
            </w:r>
            <w:proofErr w:type="spellEnd"/>
            <w:r w:rsidR="001D180A" w:rsidRPr="001D18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 w:rsidRPr="001D180A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="001D180A" w:rsidRPr="001D180A">
              <w:rPr>
                <w:rFonts w:ascii="Arial" w:hAnsi="Arial" w:cs="Arial"/>
                <w:sz w:val="20"/>
                <w:szCs w:val="20"/>
              </w:rPr>
              <w:t xml:space="preserve"> Gore </w:t>
            </w:r>
            <w:proofErr w:type="spellStart"/>
            <w:r w:rsidR="001D180A" w:rsidRPr="001D180A">
              <w:rPr>
                <w:rFonts w:ascii="Arial" w:hAnsi="Arial" w:cs="Arial"/>
                <w:sz w:val="20"/>
                <w:szCs w:val="20"/>
              </w:rPr>
              <w:t>Evropskoj</w:t>
            </w:r>
            <w:proofErr w:type="spellEnd"/>
            <w:r w:rsidR="001D180A" w:rsidRPr="001D18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 w:rsidRPr="001D180A">
              <w:rPr>
                <w:rFonts w:ascii="Arial" w:hAnsi="Arial" w:cs="Arial"/>
                <w:sz w:val="20"/>
                <w:szCs w:val="20"/>
              </w:rPr>
              <w:t>uniji</w:t>
            </w:r>
            <w:proofErr w:type="spellEnd"/>
            <w:r w:rsidR="001D180A" w:rsidRPr="001D180A">
              <w:rPr>
                <w:rFonts w:ascii="Arial" w:hAnsi="Arial" w:cs="Arial"/>
                <w:sz w:val="20"/>
                <w:szCs w:val="20"/>
              </w:rPr>
              <w:t xml:space="preserve"> PPCG 2025-2026.godina</w:t>
            </w:r>
            <w:r w:rsidR="001D180A">
              <w:rPr>
                <w:rFonts w:ascii="Arial" w:hAnsi="Arial" w:cs="Arial"/>
                <w:sz w:val="20"/>
                <w:szCs w:val="20"/>
              </w:rPr>
              <w:t xml:space="preserve"> za IV </w:t>
            </w:r>
            <w:proofErr w:type="spellStart"/>
            <w:r w:rsidR="001D180A">
              <w:rPr>
                <w:rFonts w:ascii="Arial" w:hAnsi="Arial" w:cs="Arial"/>
                <w:sz w:val="20"/>
                <w:szCs w:val="20"/>
              </w:rPr>
              <w:t>kvartal</w:t>
            </w:r>
            <w:proofErr w:type="spellEnd"/>
            <w:r w:rsidR="001D18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>
              <w:rPr>
                <w:rFonts w:ascii="Arial" w:hAnsi="Arial" w:cs="Arial"/>
                <w:sz w:val="20"/>
                <w:szCs w:val="20"/>
              </w:rPr>
              <w:t>tekuće</w:t>
            </w:r>
            <w:proofErr w:type="spellEnd"/>
            <w:r w:rsidR="001D18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 w:rsidR="001D18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1F5C" w:rsidRPr="00AD1F5C" w:rsidRDefault="001D180A" w:rsidP="00AD1F5C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Predloženim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zakonom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postižu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sljedeći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ciljevi</w:t>
            </w:r>
            <w:proofErr w:type="spellEnd"/>
            <w:r w:rsidR="00AD1F5C" w:rsidRPr="00AD1F5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:rsidR="001D180A" w:rsidRDefault="001D180A" w:rsidP="001D18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1D180A">
              <w:rPr>
                <w:rFonts w:ascii="Arial" w:hAnsi="Arial" w:cs="Arial"/>
                <w:iCs/>
                <w:sz w:val="20"/>
                <w:szCs w:val="20"/>
              </w:rPr>
              <w:t>Spreč</w:t>
            </w:r>
            <w:r>
              <w:rPr>
                <w:rFonts w:ascii="Arial" w:hAnsi="Arial" w:cs="Arial"/>
                <w:iCs/>
                <w:sz w:val="20"/>
                <w:szCs w:val="20"/>
              </w:rPr>
              <w:t>avanje</w:t>
            </w:r>
            <w:proofErr w:type="spellEnd"/>
            <w:r w:rsidRPr="001D180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D180A">
              <w:rPr>
                <w:rFonts w:ascii="Arial" w:hAnsi="Arial" w:cs="Arial"/>
                <w:iCs/>
                <w:sz w:val="20"/>
                <w:szCs w:val="20"/>
              </w:rPr>
              <w:t>erozij</w:t>
            </w:r>
            <w:r>
              <w:rPr>
                <w:rFonts w:ascii="Arial" w:hAnsi="Arial" w:cs="Arial"/>
                <w:iCs/>
                <w:sz w:val="20"/>
                <w:szCs w:val="20"/>
              </w:rPr>
              <w:t>e</w:t>
            </w:r>
            <w:proofErr w:type="spellEnd"/>
            <w:r w:rsidRPr="001D180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D180A">
              <w:rPr>
                <w:rFonts w:ascii="Arial" w:hAnsi="Arial" w:cs="Arial"/>
                <w:iCs/>
                <w:sz w:val="20"/>
                <w:szCs w:val="20"/>
              </w:rPr>
              <w:t>poreske</w:t>
            </w:r>
            <w:proofErr w:type="spellEnd"/>
            <w:r w:rsidRPr="001D180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D180A">
              <w:rPr>
                <w:rFonts w:ascii="Arial" w:hAnsi="Arial" w:cs="Arial"/>
                <w:iCs/>
                <w:sz w:val="20"/>
                <w:szCs w:val="20"/>
              </w:rPr>
              <w:t>osnovice</w:t>
            </w:r>
            <w:proofErr w:type="spellEnd"/>
            <w:r w:rsidRPr="001D180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D180A">
              <w:rPr>
                <w:rFonts w:ascii="Arial" w:hAnsi="Arial" w:cs="Arial"/>
                <w:iCs/>
                <w:sz w:val="20"/>
                <w:szCs w:val="20"/>
              </w:rPr>
              <w:t>i</w:t>
            </w:r>
            <w:proofErr w:type="spellEnd"/>
            <w:r w:rsidRPr="001D180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D180A">
              <w:rPr>
                <w:rFonts w:ascii="Arial" w:hAnsi="Arial" w:cs="Arial"/>
                <w:iCs/>
                <w:sz w:val="20"/>
                <w:szCs w:val="20"/>
              </w:rPr>
              <w:t>pre</w:t>
            </w:r>
            <w:r>
              <w:rPr>
                <w:rFonts w:ascii="Arial" w:hAnsi="Arial" w:cs="Arial"/>
                <w:iCs/>
                <w:sz w:val="20"/>
                <w:szCs w:val="20"/>
              </w:rPr>
              <w:t>mještanja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dobiti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D180A">
              <w:rPr>
                <w:rFonts w:ascii="Arial" w:hAnsi="Arial" w:cs="Arial"/>
                <w:iCs/>
                <w:sz w:val="20"/>
                <w:szCs w:val="20"/>
              </w:rPr>
              <w:t>i</w:t>
            </w:r>
            <w:proofErr w:type="spellEnd"/>
            <w:r w:rsidRPr="001D180A">
              <w:rPr>
                <w:rFonts w:ascii="Arial" w:hAnsi="Arial" w:cs="Arial"/>
                <w:iCs/>
                <w:sz w:val="20"/>
                <w:szCs w:val="20"/>
              </w:rPr>
              <w:t xml:space="preserve"> u </w:t>
            </w:r>
            <w:proofErr w:type="spellStart"/>
            <w:r w:rsidRPr="001D180A">
              <w:rPr>
                <w:rFonts w:ascii="Arial" w:hAnsi="Arial" w:cs="Arial"/>
                <w:iCs/>
                <w:sz w:val="20"/>
                <w:szCs w:val="20"/>
              </w:rPr>
              <w:t>jurisdikcije</w:t>
            </w:r>
            <w:proofErr w:type="spellEnd"/>
            <w:r w:rsidRPr="001D180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D180A">
              <w:rPr>
                <w:rFonts w:ascii="Arial" w:hAnsi="Arial" w:cs="Arial"/>
                <w:iCs/>
                <w:sz w:val="20"/>
                <w:szCs w:val="20"/>
              </w:rPr>
              <w:t>sa</w:t>
            </w:r>
            <w:proofErr w:type="spellEnd"/>
            <w:r w:rsidRPr="001D180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D180A">
              <w:rPr>
                <w:rFonts w:ascii="Arial" w:hAnsi="Arial" w:cs="Arial"/>
                <w:iCs/>
                <w:sz w:val="20"/>
                <w:szCs w:val="20"/>
              </w:rPr>
              <w:t>niskim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nivoom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poreskom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opterećenja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:rsidR="001D180A" w:rsidRDefault="001D180A" w:rsidP="001D18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1D180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Povećanje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budžetskih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Prihoda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putem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sprečavanja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odliva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poreskih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Prihoda u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druge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zemlje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gdje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krajnje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matično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pravno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lice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ima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svoje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sjedište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:rsidR="001D180A" w:rsidRDefault="001D180A" w:rsidP="001D18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Jačanje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konkurentnosti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privrede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:rsidR="00E03AB8" w:rsidRPr="001D180A" w:rsidRDefault="001D180A" w:rsidP="00AD1F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Pravičan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nivo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oporezivanja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nivou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grupe</w:t>
            </w:r>
            <w:proofErr w:type="spellEnd"/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. .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3.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Opcije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moguće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ispunjavanje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rješavanje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 (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uvijek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treba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razmatrati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“status quo”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preporučljivo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uključiti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neregulatornu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osim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obaveza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donošenja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predloženog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preferiranu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Default="007524BA" w:rsidP="00F01570">
            <w:pPr>
              <w:ind w:left="720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7524BA" w:rsidRPr="0035584E" w:rsidRDefault="001D180A" w:rsidP="00482AA0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Donošenje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navedenih</w:t>
            </w:r>
            <w:proofErr w:type="spellEnd"/>
            <w:r w:rsidR="007F2AF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7F2AF5">
              <w:rPr>
                <w:rFonts w:ascii="Tahoma" w:eastAsia="Calibri" w:hAnsi="Tahoma" w:cs="Tahoma"/>
                <w:sz w:val="20"/>
                <w:szCs w:val="20"/>
              </w:rPr>
              <w:t>zakons</w:t>
            </w:r>
            <w:r w:rsidR="00A92F11">
              <w:rPr>
                <w:rFonts w:ascii="Tahoma" w:eastAsia="Calibri" w:hAnsi="Tahoma" w:cs="Tahoma"/>
                <w:sz w:val="20"/>
                <w:szCs w:val="20"/>
              </w:rPr>
              <w:t>kih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rješenja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predstavlja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jedinu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opciju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u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ispunjavanju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ciljeva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koji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se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žele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postići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navedenim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u</w:t>
            </w:r>
            <w:r w:rsidR="00E91D09">
              <w:rPr>
                <w:rFonts w:ascii="Tahoma" w:eastAsia="Calibri" w:hAnsi="Tahoma" w:cs="Tahoma"/>
                <w:sz w:val="20"/>
                <w:szCs w:val="20"/>
              </w:rPr>
              <w:t>svajanje</w:t>
            </w:r>
            <w:r w:rsidR="0075572B">
              <w:rPr>
                <w:rFonts w:ascii="Tahoma" w:eastAsia="Calibri" w:hAnsi="Tahoma" w:cs="Tahoma"/>
                <w:sz w:val="20"/>
                <w:szCs w:val="20"/>
              </w:rPr>
              <w:t>m</w:t>
            </w:r>
            <w:proofErr w:type="spellEnd"/>
            <w:r w:rsidR="00A551A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551A1">
              <w:rPr>
                <w:rFonts w:ascii="Tahoma" w:eastAsia="Calibri" w:hAnsi="Tahoma" w:cs="Tahoma"/>
                <w:sz w:val="20"/>
                <w:szCs w:val="20"/>
              </w:rPr>
              <w:t>zakonskog</w:t>
            </w:r>
            <w:proofErr w:type="spellEnd"/>
            <w:r w:rsidR="00A551A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551A1">
              <w:rPr>
                <w:rFonts w:ascii="Tahoma" w:eastAsia="Calibri" w:hAnsi="Tahoma" w:cs="Tahoma"/>
                <w:sz w:val="20"/>
                <w:szCs w:val="20"/>
              </w:rPr>
              <w:t>okvira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482AA0">
              <w:rPr>
                <w:rFonts w:ascii="Tahoma" w:eastAsia="Calibri" w:hAnsi="Tahoma" w:cs="Tahoma"/>
                <w:sz w:val="20"/>
                <w:szCs w:val="20"/>
              </w:rPr>
              <w:t>(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Zakona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globalnom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minimalnom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porezu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na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dobit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pravnih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lica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i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odgovarajuć</w:t>
            </w:r>
            <w:r>
              <w:rPr>
                <w:rFonts w:ascii="Tahoma" w:eastAsia="Calibri" w:hAnsi="Tahoma" w:cs="Tahoma"/>
                <w:sz w:val="20"/>
                <w:szCs w:val="20"/>
              </w:rPr>
              <w:t>ih</w:t>
            </w:r>
            <w:proofErr w:type="spellEnd"/>
            <w:r w:rsidR="0058190D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8190D">
              <w:rPr>
                <w:rFonts w:ascii="Tahoma" w:eastAsia="Calibri" w:hAnsi="Tahoma" w:cs="Tahoma"/>
                <w:sz w:val="20"/>
                <w:szCs w:val="20"/>
              </w:rPr>
              <w:t>podzakonsk</w:t>
            </w:r>
            <w:r>
              <w:rPr>
                <w:rFonts w:ascii="Tahoma" w:eastAsia="Calibri" w:hAnsi="Tahoma" w:cs="Tahoma"/>
                <w:sz w:val="20"/>
                <w:szCs w:val="20"/>
              </w:rPr>
              <w:t>ih</w:t>
            </w:r>
            <w:proofErr w:type="spellEnd"/>
            <w:r w:rsidR="0058190D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8190D">
              <w:rPr>
                <w:rFonts w:ascii="Tahoma" w:eastAsia="Calibri" w:hAnsi="Tahoma" w:cs="Tahoma"/>
                <w:sz w:val="20"/>
                <w:szCs w:val="20"/>
              </w:rPr>
              <w:t>ak</w:t>
            </w:r>
            <w:r>
              <w:rPr>
                <w:rFonts w:ascii="Tahoma" w:eastAsia="Calibri" w:hAnsi="Tahoma" w:cs="Tahoma"/>
                <w:sz w:val="20"/>
                <w:szCs w:val="20"/>
              </w:rPr>
              <w:t>a</w:t>
            </w:r>
            <w:r w:rsidR="0058190D">
              <w:rPr>
                <w:rFonts w:ascii="Tahoma" w:eastAsia="Calibri" w:hAnsi="Tahoma" w:cs="Tahoma"/>
                <w:sz w:val="20"/>
                <w:szCs w:val="20"/>
              </w:rPr>
              <w:t>ta</w:t>
            </w:r>
            <w:proofErr w:type="spellEnd"/>
            <w:r w:rsidR="00482AA0">
              <w:rPr>
                <w:rFonts w:ascii="Tahoma" w:eastAsia="Calibri" w:hAnsi="Tahoma" w:cs="Tahoma"/>
                <w:sz w:val="20"/>
                <w:szCs w:val="20"/>
              </w:rPr>
              <w:t>)</w:t>
            </w:r>
            <w:r w:rsidR="0075572B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koja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će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dovesti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do</w:t>
            </w:r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usklađivanj</w:t>
            </w:r>
            <w:r w:rsidR="005E0BC8">
              <w:rPr>
                <w:rFonts w:ascii="Tahoma" w:eastAsia="Calibri" w:hAnsi="Tahoma" w:cs="Tahoma"/>
                <w:sz w:val="20"/>
                <w:szCs w:val="20"/>
              </w:rPr>
              <w:t>a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sa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relevantn</w:t>
            </w:r>
            <w:r w:rsidR="00E03AB8">
              <w:rPr>
                <w:rFonts w:ascii="Tahoma" w:eastAsia="Calibri" w:hAnsi="Tahoma" w:cs="Tahoma"/>
                <w:sz w:val="20"/>
                <w:szCs w:val="20"/>
              </w:rPr>
              <w:t>om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direktiv</w:t>
            </w:r>
            <w:r w:rsidR="00E03AB8">
              <w:rPr>
                <w:rFonts w:ascii="Tahoma" w:eastAsia="Calibri" w:hAnsi="Tahoma" w:cs="Tahoma"/>
                <w:sz w:val="20"/>
                <w:szCs w:val="20"/>
              </w:rPr>
              <w:t>om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EU,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kao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i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smanjenj</w:t>
            </w:r>
            <w:r w:rsidR="005E0BC8">
              <w:rPr>
                <w:rFonts w:ascii="Tahoma" w:eastAsia="Calibri" w:hAnsi="Tahoma" w:cs="Tahoma"/>
                <w:sz w:val="20"/>
                <w:szCs w:val="20"/>
              </w:rPr>
              <w:t>a</w:t>
            </w:r>
            <w:proofErr w:type="spellEnd"/>
            <w:r w:rsidR="00E03AB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E03AB8">
              <w:rPr>
                <w:rFonts w:ascii="Tahoma" w:eastAsia="Calibri" w:hAnsi="Tahoma" w:cs="Tahoma"/>
                <w:sz w:val="20"/>
                <w:szCs w:val="20"/>
              </w:rPr>
              <w:t>mogućnosti</w:t>
            </w:r>
            <w:proofErr w:type="spellEnd"/>
            <w:r w:rsidR="00E03AB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erozije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poreske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osnovice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od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strane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poreskih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obveznika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</w:tr>
      <w:tr w:rsidR="007524BA" w:rsidRPr="00BD4D1E" w:rsidTr="005D4D02">
        <w:trPr>
          <w:trHeight w:val="610"/>
        </w:trPr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4.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Analiza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uticaja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Na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koga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najvjerovatnije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uticati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rješenja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-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nabrojati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pozitivne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negativne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lastRenderedPageBreak/>
              <w:t>uticaje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direktne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indirektne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troškove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izazvati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građanima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privredi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(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naročito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malim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srednjim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preduzećima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pozitivne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posljedice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donošenja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opravdavaju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troškove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on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stvoriti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podržava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stvaranje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novih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privrednih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subjekata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tržištu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tržišna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konkurencija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7670C" w:rsidRPr="0077670C" w:rsidRDefault="007524BA" w:rsidP="007767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Uključiti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procjenu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administrativnih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opterećenja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biznis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barijera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:rsidTr="0077670C">
        <w:trPr>
          <w:trHeight w:val="60"/>
        </w:trPr>
        <w:tc>
          <w:tcPr>
            <w:tcW w:w="9576" w:type="dxa"/>
            <w:gridSpan w:val="2"/>
          </w:tcPr>
          <w:p w:rsidR="0077670C" w:rsidRDefault="0077670C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35219" w:rsidRDefault="0077670C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Pozitivna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strana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predloženih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zakonskih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rješenja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je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što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se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vrši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usklađivanje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normativnih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rješenja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crnogorskog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poreskog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zakonodavstva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sa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EU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Direktivom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>.</w:t>
            </w:r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smanjuje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se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prostor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za</w:t>
            </w:r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erozij</w:t>
            </w:r>
            <w:r w:rsidR="00A35219">
              <w:rPr>
                <w:rFonts w:ascii="Tahoma" w:eastAsia="Calibri" w:hAnsi="Tahoma" w:cs="Tahoma"/>
                <w:sz w:val="20"/>
                <w:szCs w:val="20"/>
              </w:rPr>
              <w:t>u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poreske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osnovice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i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premještanja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dobiti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i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u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jurisdikcije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sa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niskim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nivoom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poreskom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opterećenja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unaprijediće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se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pravičnost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u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oporezivanju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prihoda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grupe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međunarodnih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preduzeća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što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u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ktajnjem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dovodi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 do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p</w:t>
            </w:r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ovećanj</w:t>
            </w:r>
            <w:r w:rsidR="00A35219">
              <w:rPr>
                <w:rFonts w:ascii="Tahoma" w:eastAsia="Calibri" w:hAnsi="Tahoma" w:cs="Tahoma"/>
                <w:sz w:val="20"/>
                <w:szCs w:val="20"/>
              </w:rPr>
              <w:t>a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>budžetskih</w:t>
            </w:r>
            <w:proofErr w:type="spellEnd"/>
            <w:r w:rsidR="00A35219" w:rsidRPr="00A3521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35219">
              <w:rPr>
                <w:rFonts w:ascii="Tahoma" w:eastAsia="Calibri" w:hAnsi="Tahoma" w:cs="Tahoma"/>
                <w:sz w:val="20"/>
                <w:szCs w:val="20"/>
              </w:rPr>
              <w:t>prihoda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  <w:p w:rsidR="00A35219" w:rsidRDefault="00A35219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77670C" w:rsidRPr="0077670C" w:rsidRDefault="00A35219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Predloženim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zakonskim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rješenjima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podržava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jačanje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konkurentnosti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privrede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. </w:t>
            </w:r>
            <w:proofErr w:type="spellStart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>Predložena</w:t>
            </w:r>
            <w:proofErr w:type="spellEnd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>zakonska</w:t>
            </w:r>
            <w:proofErr w:type="spellEnd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>rješenja</w:t>
            </w:r>
            <w:proofErr w:type="spellEnd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>neće</w:t>
            </w:r>
            <w:proofErr w:type="spellEnd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>uticati</w:t>
            </w:r>
            <w:proofErr w:type="spellEnd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>na</w:t>
            </w:r>
            <w:proofErr w:type="spellEnd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 xml:space="preserve"> standard </w:t>
            </w:r>
            <w:proofErr w:type="spellStart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>građana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dok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će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uticaj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biti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na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određeni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segment</w:t>
            </w:r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>privrede</w:t>
            </w:r>
            <w:proofErr w:type="spellEnd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proofErr w:type="spellStart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>odnosno</w:t>
            </w:r>
            <w:proofErr w:type="spellEnd"/>
            <w:r w:rsidR="0077670C"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na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grupe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međunarodnih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preduzeća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ili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velike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domaće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grupe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koje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će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sada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biti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obavezi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da plate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iznos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dodatnog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poreza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. </w:t>
            </w:r>
          </w:p>
          <w:p w:rsidR="007D7BCD" w:rsidRDefault="0077670C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Novim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zakonskim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rješenjima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ne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stvaraju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se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administrativna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opterećenja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kao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ni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biznis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barijere</w:t>
            </w:r>
            <w:proofErr w:type="spellEnd"/>
            <w:r w:rsidR="00A35219">
              <w:rPr>
                <w:rFonts w:ascii="Tahoma" w:eastAsia="Calibri" w:hAnsi="Tahoma" w:cs="Tahoma"/>
                <w:sz w:val="20"/>
                <w:szCs w:val="20"/>
              </w:rPr>
              <w:t xml:space="preserve">. </w:t>
            </w:r>
          </w:p>
          <w:p w:rsidR="007524BA" w:rsidRPr="0077670C" w:rsidRDefault="0077670C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77670C">
              <w:rPr>
                <w:rFonts w:ascii="Tahoma" w:eastAsia="Calibri" w:hAnsi="Tahoma" w:cs="Tahoma"/>
                <w:sz w:val="20"/>
                <w:szCs w:val="20"/>
              </w:rPr>
              <w:tab/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5.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Procjena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fiskalnog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uticaja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potrebno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obezbjeđenje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sredstava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Crne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Gore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iznosu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obezbjeđenje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sredstava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jednokratno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tokom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određenog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vremenskog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perioda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proizilaze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međunarodne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obaveze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neophodna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sredstva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obezbijeđena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tekuću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fiskalnu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godinu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odnosno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planirana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narednu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fiskanu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godinu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usvajanjem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predviđeno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donošenje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podzakonskih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akata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proisteći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obaveze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ostvariti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prihod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Crne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Gore?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metodologiju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korišćenja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prilikom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obračuna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izdataka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/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prihoda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postojali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preciznom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obračunu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izdataka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/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prihoda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postojale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sugestije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Ministarstva finansija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nacrt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/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dobijene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primjedbe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uključene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tekst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406839">
            <w:pPr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  <w:p w:rsidR="005D4D02" w:rsidRDefault="001736FD" w:rsidP="00406839">
            <w:pPr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Za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sprovođenje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ovog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nije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potrebno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obezbjeđivati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dodatna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sredstva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iz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Budžeta</w:t>
            </w:r>
            <w:proofErr w:type="spellEnd"/>
            <w:r w:rsidR="00B65A65" w:rsidRPr="0040683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Crne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Gore.</w:t>
            </w:r>
            <w:r w:rsidR="00D91391"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5D4D02" w:rsidRDefault="005D4D02" w:rsidP="00406839">
            <w:pPr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1736FD" w:rsidRDefault="00D91391" w:rsidP="00406839">
            <w:pPr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Implementacijom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ne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proizilaze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međunarodne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finasijske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obaveze</w:t>
            </w:r>
            <w:proofErr w:type="spellEnd"/>
            <w:r w:rsidR="004C37E9"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5D4D02" w:rsidRPr="00406839" w:rsidRDefault="005D4D02" w:rsidP="00406839">
            <w:pPr>
              <w:contextualSpacing/>
              <w:jc w:val="both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5D4D02" w:rsidRDefault="005D4D02" w:rsidP="00406839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Nije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neophodno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obezbijediti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sredstva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budžetu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tekuću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fiskalnu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godinu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sama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tim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ni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narednu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fiskalnu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godinu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</w:p>
          <w:p w:rsidR="00C40805" w:rsidRDefault="005D4D02" w:rsidP="009D06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Usvajanjem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ovog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propisa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nije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predviđeno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donošenje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podzakonskih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akata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iz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kojih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će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proisteći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finansijske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obaveze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DC6356" w:rsidRPr="00BD4D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AA2E12" w:rsidRPr="00C3737B" w:rsidRDefault="00C3737B" w:rsidP="009D06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Obračunavanje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finansijskih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prihoda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Budžetu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Crne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Gore je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izvršeno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strane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eksperata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OECD-a,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osnovu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dostavljenih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podataka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ostvarenim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prihodima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pregledu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poreskih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stropa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strane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Poreske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uprave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Ministarstva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finansija.Na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osnovu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podataka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period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2017-2022.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godine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procijenja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visina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fiskalnog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uticaja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Budžet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iznosi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oko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4,9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miliona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dolara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6.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Konsultacije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zainteresovanih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strana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Naznačiti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korišćena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eksterna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ekspertska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podrška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Naznačiti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grupe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zainteresovanih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strana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konsultovane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kojoj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fazi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RIA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procesa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(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javne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ciljane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konsultacije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Naznačiti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glavne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rezultate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konsultacija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predlozi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sugestije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zainteresovanih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strana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prihvaćeni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odnosno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nijesu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prihvaćeni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.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  <w:p w:rsidR="005E0BC8" w:rsidRDefault="001736FD" w:rsidP="00406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06839">
              <w:rPr>
                <w:rFonts w:ascii="Tahoma" w:eastAsia="Calibri" w:hAnsi="Tahoma" w:cs="Tahoma"/>
                <w:sz w:val="20"/>
                <w:szCs w:val="20"/>
              </w:rPr>
              <w:t xml:space="preserve">U </w:t>
            </w:r>
            <w:proofErr w:type="spellStart"/>
            <w:r w:rsidRPr="00406839">
              <w:rPr>
                <w:rFonts w:ascii="Tahoma" w:eastAsia="Calibri" w:hAnsi="Tahoma" w:cs="Tahoma"/>
                <w:sz w:val="20"/>
                <w:szCs w:val="20"/>
              </w:rPr>
              <w:t>pripremi</w:t>
            </w:r>
            <w:proofErr w:type="spellEnd"/>
            <w:r w:rsidRPr="0040683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eastAsia="Calibri" w:hAnsi="Tahoma" w:cs="Tahoma"/>
                <w:sz w:val="20"/>
                <w:szCs w:val="20"/>
              </w:rPr>
              <w:t>predloga</w:t>
            </w:r>
            <w:proofErr w:type="spellEnd"/>
            <w:r w:rsidRPr="0040683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eastAsia="Calibri" w:hAnsi="Tahoma" w:cs="Tahoma"/>
                <w:sz w:val="20"/>
                <w:szCs w:val="20"/>
              </w:rPr>
              <w:t>Zakona</w:t>
            </w:r>
            <w:proofErr w:type="spellEnd"/>
            <w:r w:rsidRPr="00406839">
              <w:rPr>
                <w:rFonts w:ascii="Tahoma" w:eastAsia="Calibri" w:hAnsi="Tahoma" w:cs="Tahoma"/>
                <w:i/>
                <w:color w:val="365F91"/>
                <w:sz w:val="20"/>
                <w:szCs w:val="20"/>
              </w:rPr>
              <w:t xml:space="preserve"> </w:t>
            </w:r>
            <w:r w:rsidR="00857458" w:rsidRPr="00E42095">
              <w:rPr>
                <w:rFonts w:ascii="Tahoma" w:eastAsia="Calibri" w:hAnsi="Tahoma" w:cs="Tahoma"/>
                <w:sz w:val="20"/>
                <w:szCs w:val="20"/>
              </w:rPr>
              <w:t xml:space="preserve">o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globalnom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minimalnom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porezu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na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dobit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pravnih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lica</w:t>
            </w:r>
            <w:proofErr w:type="spellEnd"/>
            <w:r w:rsidRPr="0040683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korišćena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je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ekspertska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pomoć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predstavnika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OECD-a. </w:t>
            </w:r>
            <w:proofErr w:type="spellStart"/>
            <w:proofErr w:type="gramStart"/>
            <w:r w:rsidR="005E0BC8">
              <w:rPr>
                <w:rFonts w:ascii="Tahoma" w:eastAsia="Calibri" w:hAnsi="Tahoma" w:cs="Tahoma"/>
                <w:sz w:val="20"/>
                <w:szCs w:val="20"/>
              </w:rPr>
              <w:t>Takođe</w:t>
            </w:r>
            <w:r w:rsidR="00C3737B">
              <w:rPr>
                <w:rFonts w:ascii="Tahoma" w:eastAsia="Calibri" w:hAnsi="Tahoma" w:cs="Tahoma"/>
                <w:sz w:val="20"/>
                <w:szCs w:val="20"/>
              </w:rPr>
              <w:t>,</w:t>
            </w:r>
            <w:r w:rsidR="005E0BC8">
              <w:rPr>
                <w:rFonts w:ascii="Tahoma" w:eastAsia="Calibri" w:hAnsi="Tahoma" w:cs="Tahoma"/>
                <w:sz w:val="20"/>
                <w:szCs w:val="20"/>
              </w:rPr>
              <w:t>u</w:t>
            </w:r>
            <w:proofErr w:type="spellEnd"/>
            <w:proofErr w:type="gram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toku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procesu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izrade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bili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3737B">
              <w:rPr>
                <w:rFonts w:ascii="Tahoma" w:eastAsia="Calibri" w:hAnsi="Tahoma" w:cs="Tahoma"/>
                <w:sz w:val="20"/>
                <w:szCs w:val="20"/>
              </w:rPr>
              <w:t>su</w:t>
            </w:r>
            <w:proofErr w:type="spellEnd"/>
            <w:r w:rsidR="00C3737B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uključeni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predstavnici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Poreske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Tahoma" w:eastAsia="Calibri" w:hAnsi="Tahoma" w:cs="Tahoma"/>
                <w:sz w:val="20"/>
                <w:szCs w:val="20"/>
              </w:rPr>
              <w:t>uprave</w:t>
            </w:r>
            <w:proofErr w:type="spellEnd"/>
            <w:r w:rsidR="005E0BC8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  <w:p w:rsidR="00E42095" w:rsidRDefault="00E42095" w:rsidP="00406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E42095" w:rsidRPr="00406839" w:rsidRDefault="00E42095" w:rsidP="00406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Nakon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sprovedne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javne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rasprave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, u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Izvještaju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o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sprovedenoj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javnoj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raspravi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biće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naveden</w:t>
            </w:r>
            <w:r w:rsidR="000D04E5">
              <w:rPr>
                <w:rFonts w:ascii="Tahoma" w:eastAsia="Calibri" w:hAnsi="Tahoma" w:cs="Tahoma"/>
                <w:sz w:val="20"/>
                <w:szCs w:val="20"/>
              </w:rPr>
              <w:t>i</w:t>
            </w:r>
            <w:proofErr w:type="spellEnd"/>
            <w:r w:rsidR="000D04E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svi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pristigli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p</w:t>
            </w:r>
            <w:r w:rsidR="000D04E5">
              <w:rPr>
                <w:rFonts w:ascii="Tahoma" w:eastAsia="Calibri" w:hAnsi="Tahoma" w:cs="Tahoma"/>
                <w:sz w:val="20"/>
                <w:szCs w:val="20"/>
              </w:rPr>
              <w:t>r</w:t>
            </w:r>
            <w:r w:rsidRPr="00E42095">
              <w:rPr>
                <w:rFonts w:ascii="Tahoma" w:eastAsia="Calibri" w:hAnsi="Tahoma" w:cs="Tahoma"/>
                <w:sz w:val="20"/>
                <w:szCs w:val="20"/>
              </w:rPr>
              <w:t>edlozi</w:t>
            </w:r>
            <w:proofErr w:type="spellEnd"/>
            <w:r w:rsidR="000D04E5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proofErr w:type="spellStart"/>
            <w:r w:rsidR="000D04E5">
              <w:rPr>
                <w:rFonts w:ascii="Tahoma" w:eastAsia="Calibri" w:hAnsi="Tahoma" w:cs="Tahoma"/>
                <w:sz w:val="20"/>
                <w:szCs w:val="20"/>
              </w:rPr>
              <w:t>primjedbe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i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sugestije</w:t>
            </w:r>
            <w:proofErr w:type="spellEnd"/>
            <w:r w:rsidR="00F52F0B">
              <w:rPr>
                <w:rFonts w:ascii="Tahoma" w:eastAsia="Calibri" w:hAnsi="Tahoma" w:cs="Tahoma"/>
                <w:sz w:val="20"/>
                <w:szCs w:val="20"/>
              </w:rPr>
              <w:t>,</w:t>
            </w:r>
            <w:r w:rsidR="000D04E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0D04E5">
              <w:rPr>
                <w:rFonts w:ascii="Tahoma" w:eastAsia="Calibri" w:hAnsi="Tahoma" w:cs="Tahoma"/>
                <w:sz w:val="20"/>
                <w:szCs w:val="20"/>
              </w:rPr>
              <w:t>kao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i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pregled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usvojenih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odnosno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odbijenih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predloga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. </w:t>
            </w:r>
          </w:p>
          <w:p w:rsidR="00315961" w:rsidRPr="00BD4D1E" w:rsidRDefault="00315961" w:rsidP="00871748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ahoma" w:eastAsia="Calibri" w:hAnsi="Tahoma" w:cs="Tahoma"/>
                <w:b/>
              </w:rPr>
            </w:pPr>
          </w:p>
        </w:tc>
      </w:tr>
      <w:tr w:rsidR="007524BA" w:rsidRPr="00BD4D1E" w:rsidTr="003324BB">
        <w:trPr>
          <w:trHeight w:val="3265"/>
        </w:trPr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7: Monitoring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i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evaluacija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potencijalne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prepreke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mjere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preduzete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tokom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bi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ispunili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glavni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indikatori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mjeriti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ispunjenje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zadužen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sprovođenje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monitoringa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evaluacije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F934DE" w:rsidRDefault="00F934DE" w:rsidP="00F93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</w:p>
          <w:p w:rsidR="0058190D" w:rsidRPr="0058190D" w:rsidRDefault="0058190D" w:rsidP="00F934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 </w:t>
            </w:r>
            <w:proofErr w:type="spellStart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>postoje</w:t>
            </w:r>
            <w:proofErr w:type="spellEnd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potencijalne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>prepreke</w:t>
            </w:r>
            <w:proofErr w:type="spellEnd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implementaciju</w:t>
            </w:r>
            <w:proofErr w:type="spellEnd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315961" w:rsidRPr="00BD4D1E" w:rsidRDefault="00BD5942" w:rsidP="00581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usvajanja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pristupiće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="005819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izradi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2F96" w:rsidRPr="00BD4D1E">
              <w:rPr>
                <w:rFonts w:ascii="Arial" w:hAnsi="Arial" w:cs="Arial"/>
                <w:sz w:val="20"/>
                <w:szCs w:val="20"/>
              </w:rPr>
              <w:t>podzakonsk</w:t>
            </w:r>
            <w:r w:rsidR="00E42095">
              <w:rPr>
                <w:rFonts w:ascii="Arial" w:hAnsi="Arial" w:cs="Arial"/>
                <w:sz w:val="20"/>
                <w:szCs w:val="20"/>
              </w:rPr>
              <w:t>og</w:t>
            </w:r>
            <w:proofErr w:type="spellEnd"/>
            <w:r w:rsidR="009C2F9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2F96" w:rsidRPr="00BD4D1E">
              <w:rPr>
                <w:rFonts w:ascii="Arial" w:hAnsi="Arial" w:cs="Arial"/>
                <w:sz w:val="20"/>
                <w:szCs w:val="20"/>
              </w:rPr>
              <w:t>ak</w:t>
            </w:r>
            <w:r w:rsidR="00E42095">
              <w:rPr>
                <w:rFonts w:ascii="Arial" w:hAnsi="Arial" w:cs="Arial"/>
                <w:sz w:val="20"/>
                <w:szCs w:val="20"/>
              </w:rPr>
              <w:t>ta</w:t>
            </w:r>
            <w:proofErr w:type="spellEnd"/>
            <w:r w:rsidR="009C2F9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implementaciju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normi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odnose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EU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direktiv</w:t>
            </w:r>
            <w:r w:rsidR="00E42095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koja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moraju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donijeti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roku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dana od dana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primjene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E0BC8"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>.</w:t>
            </w:r>
            <w:r w:rsidR="000E1706" w:rsidRPr="00BD4D1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F934DE" w:rsidRDefault="00763F9F" w:rsidP="00763F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sprovođenje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monitoringa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evaluaciju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primjene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navedenenog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zadužena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Poreska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uprava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sprovoditi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kroz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inspekcijski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nadzor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obzirom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vrši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utvrđivanja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naplate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poreza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3D57" w:rsidRPr="005B0C73" w:rsidRDefault="00C3737B" w:rsidP="00763F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Ispunjavanje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ciljeva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žele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postići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zakonskim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rješenjima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ogleda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kroz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povećanje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budžetskih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Prihoda,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odnosno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većeg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stepena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naplate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budžetskih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Prihoda,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kroz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postupke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stepen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smajena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poreske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evazije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:rsidR="003324BB" w:rsidRPr="00BD4D1E" w:rsidRDefault="003324BB" w:rsidP="003324BB">
      <w:pPr>
        <w:rPr>
          <w:rFonts w:ascii="Garamond" w:hAnsi="Garamond" w:cs="Times New Roman"/>
          <w:color w:val="365F91"/>
          <w:sz w:val="24"/>
        </w:rPr>
      </w:pPr>
    </w:p>
    <w:p w:rsidR="00E42095" w:rsidRPr="00E42095" w:rsidRDefault="00E42095" w:rsidP="00E42095">
      <w:pPr>
        <w:rPr>
          <w:rFonts w:ascii="Arial" w:hAnsi="Arial" w:cs="Arial"/>
          <w:b/>
          <w:color w:val="365F91"/>
        </w:rPr>
      </w:pPr>
      <w:r w:rsidRPr="00E42095">
        <w:rPr>
          <w:rFonts w:ascii="Arial" w:hAnsi="Arial" w:cs="Arial"/>
          <w:b/>
          <w:color w:val="365F91"/>
        </w:rPr>
        <w:t xml:space="preserve">    Datum </w:t>
      </w:r>
      <w:proofErr w:type="spellStart"/>
      <w:r w:rsidRPr="00E42095">
        <w:rPr>
          <w:rFonts w:ascii="Arial" w:hAnsi="Arial" w:cs="Arial"/>
          <w:b/>
          <w:color w:val="365F91"/>
        </w:rPr>
        <w:t>i</w:t>
      </w:r>
      <w:proofErr w:type="spellEnd"/>
      <w:r w:rsidRPr="00E42095">
        <w:rPr>
          <w:rFonts w:ascii="Arial" w:hAnsi="Arial" w:cs="Arial"/>
          <w:b/>
          <w:color w:val="365F91"/>
        </w:rPr>
        <w:t xml:space="preserve"> </w:t>
      </w:r>
      <w:proofErr w:type="spellStart"/>
      <w:r w:rsidRPr="00E42095">
        <w:rPr>
          <w:rFonts w:ascii="Arial" w:hAnsi="Arial" w:cs="Arial"/>
          <w:b/>
          <w:color w:val="365F91"/>
        </w:rPr>
        <w:t>mjesto</w:t>
      </w:r>
      <w:proofErr w:type="spellEnd"/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  <w:t xml:space="preserve">              </w:t>
      </w:r>
      <w:proofErr w:type="spellStart"/>
      <w:r w:rsidRPr="00E42095">
        <w:rPr>
          <w:rFonts w:ascii="Arial" w:hAnsi="Arial" w:cs="Arial"/>
          <w:b/>
          <w:color w:val="365F91"/>
        </w:rPr>
        <w:t>Starješina</w:t>
      </w:r>
      <w:proofErr w:type="spellEnd"/>
      <w:r w:rsidRPr="00E42095">
        <w:rPr>
          <w:rFonts w:ascii="Arial" w:hAnsi="Arial" w:cs="Arial"/>
          <w:b/>
          <w:color w:val="365F91"/>
        </w:rPr>
        <w:t xml:space="preserve"> </w:t>
      </w:r>
    </w:p>
    <w:p w:rsidR="00E42095" w:rsidRPr="00E42095" w:rsidRDefault="00E42095" w:rsidP="00E42095">
      <w:pPr>
        <w:rPr>
          <w:rFonts w:ascii="Arial" w:hAnsi="Arial" w:cs="Arial"/>
          <w:b/>
          <w:color w:val="365F91"/>
        </w:rPr>
      </w:pPr>
    </w:p>
    <w:p w:rsidR="007524BA" w:rsidRPr="00516B36" w:rsidRDefault="00E42095" w:rsidP="00516B36">
      <w:pPr>
        <w:rPr>
          <w:rFonts w:ascii="Arial" w:hAnsi="Arial" w:cs="Arial"/>
          <w:color w:val="1F497D"/>
        </w:rPr>
      </w:pPr>
      <w:r w:rsidRPr="00E42095">
        <w:rPr>
          <w:rFonts w:ascii="Arial" w:hAnsi="Arial" w:cs="Arial"/>
          <w:b/>
          <w:color w:val="365F91"/>
        </w:rPr>
        <w:t>___________________</w:t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  <w:t>__________________________</w:t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</w:p>
    <w:p w:rsidR="00F829CA" w:rsidRDefault="00F829CA"/>
    <w:sectPr w:rsidR="00F829CA" w:rsidSect="00F8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B6858"/>
    <w:multiLevelType w:val="hybridMultilevel"/>
    <w:tmpl w:val="A9B6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4BA"/>
    <w:rsid w:val="00016018"/>
    <w:rsid w:val="00024352"/>
    <w:rsid w:val="0002497B"/>
    <w:rsid w:val="0008365C"/>
    <w:rsid w:val="00085916"/>
    <w:rsid w:val="000900AF"/>
    <w:rsid w:val="00090FE8"/>
    <w:rsid w:val="00097A84"/>
    <w:rsid w:val="000B7E34"/>
    <w:rsid w:val="000D04E5"/>
    <w:rsid w:val="000D5FF1"/>
    <w:rsid w:val="000E1706"/>
    <w:rsid w:val="00101087"/>
    <w:rsid w:val="0011403F"/>
    <w:rsid w:val="00134FED"/>
    <w:rsid w:val="0014176B"/>
    <w:rsid w:val="001628F9"/>
    <w:rsid w:val="00165616"/>
    <w:rsid w:val="001736FD"/>
    <w:rsid w:val="001961C1"/>
    <w:rsid w:val="001A7C96"/>
    <w:rsid w:val="001B14D7"/>
    <w:rsid w:val="001C7D4D"/>
    <w:rsid w:val="001D180A"/>
    <w:rsid w:val="001D3803"/>
    <w:rsid w:val="001D5C33"/>
    <w:rsid w:val="001F2A6D"/>
    <w:rsid w:val="00213BE7"/>
    <w:rsid w:val="002162AB"/>
    <w:rsid w:val="002236F1"/>
    <w:rsid w:val="0024484B"/>
    <w:rsid w:val="0024667E"/>
    <w:rsid w:val="00266920"/>
    <w:rsid w:val="0026767B"/>
    <w:rsid w:val="002769EB"/>
    <w:rsid w:val="0029038C"/>
    <w:rsid w:val="00294127"/>
    <w:rsid w:val="002969C9"/>
    <w:rsid w:val="002D19F8"/>
    <w:rsid w:val="002F5875"/>
    <w:rsid w:val="002F6EA4"/>
    <w:rsid w:val="00315033"/>
    <w:rsid w:val="00315961"/>
    <w:rsid w:val="00322A03"/>
    <w:rsid w:val="0033097D"/>
    <w:rsid w:val="0033164E"/>
    <w:rsid w:val="003324BB"/>
    <w:rsid w:val="00337DF2"/>
    <w:rsid w:val="0035584E"/>
    <w:rsid w:val="00370881"/>
    <w:rsid w:val="00391073"/>
    <w:rsid w:val="00393ECE"/>
    <w:rsid w:val="003B0762"/>
    <w:rsid w:val="00406839"/>
    <w:rsid w:val="00414EBF"/>
    <w:rsid w:val="00482AA0"/>
    <w:rsid w:val="004A4C49"/>
    <w:rsid w:val="004A6DD1"/>
    <w:rsid w:val="004A76CF"/>
    <w:rsid w:val="004C241D"/>
    <w:rsid w:val="004C37E9"/>
    <w:rsid w:val="004D1587"/>
    <w:rsid w:val="004D6955"/>
    <w:rsid w:val="004F68BB"/>
    <w:rsid w:val="005008B2"/>
    <w:rsid w:val="005046C1"/>
    <w:rsid w:val="00507636"/>
    <w:rsid w:val="00516B36"/>
    <w:rsid w:val="00526FBD"/>
    <w:rsid w:val="00536931"/>
    <w:rsid w:val="00546871"/>
    <w:rsid w:val="00551B1F"/>
    <w:rsid w:val="005635F0"/>
    <w:rsid w:val="0058190D"/>
    <w:rsid w:val="00592F8C"/>
    <w:rsid w:val="005B0C73"/>
    <w:rsid w:val="005C1909"/>
    <w:rsid w:val="005C5F93"/>
    <w:rsid w:val="005D4D02"/>
    <w:rsid w:val="005E0BC8"/>
    <w:rsid w:val="005E2A60"/>
    <w:rsid w:val="005F3068"/>
    <w:rsid w:val="006256E7"/>
    <w:rsid w:val="006338C0"/>
    <w:rsid w:val="00634866"/>
    <w:rsid w:val="00635EF3"/>
    <w:rsid w:val="006519C8"/>
    <w:rsid w:val="00666135"/>
    <w:rsid w:val="00695761"/>
    <w:rsid w:val="007027CE"/>
    <w:rsid w:val="00703116"/>
    <w:rsid w:val="00717C3E"/>
    <w:rsid w:val="00727B29"/>
    <w:rsid w:val="00734F66"/>
    <w:rsid w:val="007524BA"/>
    <w:rsid w:val="0075572B"/>
    <w:rsid w:val="00763F9F"/>
    <w:rsid w:val="0077670C"/>
    <w:rsid w:val="007A6F79"/>
    <w:rsid w:val="007D7BCD"/>
    <w:rsid w:val="007F0FAF"/>
    <w:rsid w:val="007F2AF5"/>
    <w:rsid w:val="007F5888"/>
    <w:rsid w:val="007F69C3"/>
    <w:rsid w:val="00806026"/>
    <w:rsid w:val="00841DA6"/>
    <w:rsid w:val="00844047"/>
    <w:rsid w:val="00857458"/>
    <w:rsid w:val="00861F50"/>
    <w:rsid w:val="008672F6"/>
    <w:rsid w:val="0086796D"/>
    <w:rsid w:val="00871748"/>
    <w:rsid w:val="008811D5"/>
    <w:rsid w:val="0088147E"/>
    <w:rsid w:val="00896B73"/>
    <w:rsid w:val="008B5BCE"/>
    <w:rsid w:val="008C6429"/>
    <w:rsid w:val="008D4D04"/>
    <w:rsid w:val="008D5D86"/>
    <w:rsid w:val="008F6B25"/>
    <w:rsid w:val="009266A8"/>
    <w:rsid w:val="009308D0"/>
    <w:rsid w:val="00937E3B"/>
    <w:rsid w:val="009540BA"/>
    <w:rsid w:val="00971347"/>
    <w:rsid w:val="00981EC6"/>
    <w:rsid w:val="009822C4"/>
    <w:rsid w:val="009864E8"/>
    <w:rsid w:val="0099728D"/>
    <w:rsid w:val="009C2F96"/>
    <w:rsid w:val="009D0616"/>
    <w:rsid w:val="009D4FED"/>
    <w:rsid w:val="009D5340"/>
    <w:rsid w:val="009F21AD"/>
    <w:rsid w:val="009F3A6E"/>
    <w:rsid w:val="00A21761"/>
    <w:rsid w:val="00A25A42"/>
    <w:rsid w:val="00A35219"/>
    <w:rsid w:val="00A4700F"/>
    <w:rsid w:val="00A551A1"/>
    <w:rsid w:val="00A77844"/>
    <w:rsid w:val="00A92F11"/>
    <w:rsid w:val="00A96407"/>
    <w:rsid w:val="00AA2E12"/>
    <w:rsid w:val="00AB396D"/>
    <w:rsid w:val="00AB62FD"/>
    <w:rsid w:val="00AD1F5C"/>
    <w:rsid w:val="00AD74D3"/>
    <w:rsid w:val="00AE4846"/>
    <w:rsid w:val="00B005C9"/>
    <w:rsid w:val="00B04C1B"/>
    <w:rsid w:val="00B2598D"/>
    <w:rsid w:val="00B5239D"/>
    <w:rsid w:val="00B52A7B"/>
    <w:rsid w:val="00B60750"/>
    <w:rsid w:val="00B65A65"/>
    <w:rsid w:val="00B74ADA"/>
    <w:rsid w:val="00B9075E"/>
    <w:rsid w:val="00B93A11"/>
    <w:rsid w:val="00B95EAD"/>
    <w:rsid w:val="00B96C46"/>
    <w:rsid w:val="00BB5428"/>
    <w:rsid w:val="00BD4D1E"/>
    <w:rsid w:val="00BD5942"/>
    <w:rsid w:val="00BF51B9"/>
    <w:rsid w:val="00C22D48"/>
    <w:rsid w:val="00C2643A"/>
    <w:rsid w:val="00C31944"/>
    <w:rsid w:val="00C3737B"/>
    <w:rsid w:val="00C40805"/>
    <w:rsid w:val="00C4511C"/>
    <w:rsid w:val="00C74050"/>
    <w:rsid w:val="00C84977"/>
    <w:rsid w:val="00C862C0"/>
    <w:rsid w:val="00C86AA0"/>
    <w:rsid w:val="00CA3213"/>
    <w:rsid w:val="00CB47CC"/>
    <w:rsid w:val="00CD041E"/>
    <w:rsid w:val="00CD5430"/>
    <w:rsid w:val="00CE2D9E"/>
    <w:rsid w:val="00CF1BA8"/>
    <w:rsid w:val="00CF5A7A"/>
    <w:rsid w:val="00D02522"/>
    <w:rsid w:val="00D179DB"/>
    <w:rsid w:val="00D22D13"/>
    <w:rsid w:val="00D31D83"/>
    <w:rsid w:val="00D81A7D"/>
    <w:rsid w:val="00D91391"/>
    <w:rsid w:val="00DA13A1"/>
    <w:rsid w:val="00DB71C8"/>
    <w:rsid w:val="00DC6356"/>
    <w:rsid w:val="00DE0BFE"/>
    <w:rsid w:val="00DE1CF4"/>
    <w:rsid w:val="00E03AB8"/>
    <w:rsid w:val="00E078B3"/>
    <w:rsid w:val="00E17864"/>
    <w:rsid w:val="00E42095"/>
    <w:rsid w:val="00E71837"/>
    <w:rsid w:val="00E73D57"/>
    <w:rsid w:val="00E73F2A"/>
    <w:rsid w:val="00E91D09"/>
    <w:rsid w:val="00E92E35"/>
    <w:rsid w:val="00EA62F2"/>
    <w:rsid w:val="00EB7ED2"/>
    <w:rsid w:val="00EE01C5"/>
    <w:rsid w:val="00EF598C"/>
    <w:rsid w:val="00EF5AB8"/>
    <w:rsid w:val="00F20E25"/>
    <w:rsid w:val="00F21C28"/>
    <w:rsid w:val="00F52F0B"/>
    <w:rsid w:val="00F55017"/>
    <w:rsid w:val="00F71041"/>
    <w:rsid w:val="00F8136A"/>
    <w:rsid w:val="00F81723"/>
    <w:rsid w:val="00F829CA"/>
    <w:rsid w:val="00F83304"/>
    <w:rsid w:val="00F86CF0"/>
    <w:rsid w:val="00F934DE"/>
    <w:rsid w:val="00FA1795"/>
    <w:rsid w:val="00FA3B92"/>
    <w:rsid w:val="00FB521B"/>
    <w:rsid w:val="00FC788C"/>
    <w:rsid w:val="00FD4230"/>
    <w:rsid w:val="00FD5867"/>
    <w:rsid w:val="00FD767A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7C84"/>
  <w15:docId w15:val="{E46C4856-A00B-4288-B6CF-F24B7614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zakon">
    <w:name w:val="2zakon"/>
    <w:basedOn w:val="Normal"/>
    <w:rsid w:val="007524B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styleId="ListParagraph">
    <w:name w:val="List Paragraph"/>
    <w:basedOn w:val="Normal"/>
    <w:uiPriority w:val="34"/>
    <w:qFormat/>
    <w:rsid w:val="007524BA"/>
    <w:pPr>
      <w:spacing w:after="0" w:line="240" w:lineRule="auto"/>
      <w:ind w:left="720"/>
      <w:contextualSpacing/>
      <w:jc w:val="both"/>
    </w:pPr>
    <w:rPr>
      <w:rFonts w:ascii="Cambria" w:eastAsia="Calibri" w:hAnsi="Cambria" w:cs="Times New Roman"/>
      <w:sz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7864"/>
    <w:rPr>
      <w:rFonts w:ascii="Courier New" w:eastAsia="Calibri" w:hAnsi="Courier New" w:cs="Courier New"/>
      <w:sz w:val="20"/>
      <w:szCs w:val="20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7864"/>
    <w:rPr>
      <w:rFonts w:ascii="Courier New" w:eastAsia="Calibri" w:hAnsi="Courier New" w:cs="Courier New"/>
      <w:sz w:val="20"/>
      <w:szCs w:val="20"/>
      <w:lang w:val="bs-Latn-BA"/>
    </w:rPr>
  </w:style>
  <w:style w:type="paragraph" w:customStyle="1" w:styleId="T30X">
    <w:name w:val="T30X"/>
    <w:basedOn w:val="Normal"/>
    <w:uiPriority w:val="99"/>
    <w:rsid w:val="00EE01C5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3902E-2BC9-4D47-8BF7-76D09784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Gordana.balan</dc:creator>
  <cp:lastModifiedBy>Aida Hodzic</cp:lastModifiedBy>
  <cp:revision>79</cp:revision>
  <cp:lastPrinted>2023-11-20T12:32:00Z</cp:lastPrinted>
  <dcterms:created xsi:type="dcterms:W3CDTF">2019-12-22T18:44:00Z</dcterms:created>
  <dcterms:modified xsi:type="dcterms:W3CDTF">2025-11-25T11:57:00Z</dcterms:modified>
</cp:coreProperties>
</file>