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330" w:rsidRDefault="000D71A3">
      <w:pPr>
        <w:spacing w:line="240" w:lineRule="auto"/>
      </w:pPr>
      <w:r w:rsidRPr="000D71A3">
        <w:rPr>
          <w:noProof/>
        </w:rPr>
        <w:pict>
          <v:group id="Group 57" o:spid="_x0000_s1026" style="position:absolute;left:0;text-align:left;margin-left:0;margin-top:0;width:609.7pt;height:691.8pt;z-index:251660288;mso-position-horizontal:center;mso-position-horizontal-relative:page;mso-position-vertical:center;mso-position-vertical-relative:margin;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" o:allowincell="f">
            <v:group id="Group 58"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59"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60"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" path="m,l17,2863,7132,2578r,-2378l,xe" fillcolor="#a7bfde [1620]" stroked="f">
                  <v:fill opacity="32896f"/>
                  <v:path arrowok="t" o:connecttype="custom" o:connectlocs="0,0;17,2863;7132,2578;7132,200;0,0" o:connectangles="0,0,0,0,0"/>
                </v:shape>
                <v:shape id="Freeform 61"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" path="m,569l,2930r3466,620l3466,,,569xe" fillcolor="#d3dfee [820]" stroked="f">
                  <v:fill opacity="32896f"/>
                  <v:path arrowok="t" o:connecttype="custom" o:connectlocs="0,569;0,2930;3466,3550;3466,0;0,569" o:connectangles="0,0,0,0,0"/>
                </v:shape>
                <v:shape id="Freeform 62"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" path="m,l,3550,1591,2746r,-2009l,xe" fillcolor="#a7bfde [1620]" stroked="f">
                  <v:fill opacity="32896f"/>
                  <v:path arrowok="t" o:connecttype="custom" o:connectlocs="0,0;0,3550;1591,2746;1591,737;0,0" o:connectangles="0,0,0,0,0"/>
                </v:shape>
              </v:group>
              <v:shape id="Freeform 63"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" path="m1,251l,2662r4120,251l4120,,1,251xe" fillcolor="#d8d8d8 [2732]" stroked="f">
                <v:path arrowok="t" o:connecttype="custom" o:connectlocs="1,251;0,2662;4120,2913;4120,0;1,251" o:connectangles="0,0,0,0,0"/>
              </v:shape>
              <v:shape id="Freeform 64"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" path="m,l,4236,3985,3349r,-2428l,xe" fillcolor="#bfbfbf [2412]" stroked="f">
                <v:path arrowok="t" o:connecttype="custom" o:connectlocs="0,0;0,4236;3985,3349;3985,921;0,0" o:connectangles="0,0,0,0,0"/>
              </v:shape>
              <v:shape id="Freeform 65"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" path="m4086,r-2,4253l,3198,,1072,4086,xe" fillcolor="#d8d8d8 [2732]" stroked="f">
                <v:path arrowok="t" o:connecttype="custom" o:connectlocs="4086,0;4084,4253;0,3198;0,1072;4086,0" o:connectangles="0,0,0,0,0"/>
              </v:shape>
              <v:shape id="Freeform 66"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" path="m,921l2060,r16,3851l,2981,,921xe" fillcolor="#d3dfee [820]" stroked="f">
                <v:fill opacity="46003f"/>
                <v:path arrowok="t" o:connecttype="custom" o:connectlocs="0,921;2060,0;2076,3851;0,2981;0,921" o:connectangles="0,0,0,0,0"/>
              </v:shape>
              <v:shape id="Freeform 67"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" path="m,l17,3835,6011,2629r,-1390l,xe" fillcolor="#a7bfde [1620]" stroked="f">
                <v:fill opacity="46003f"/>
                <v:path arrowok="t" o:connecttype="custom" o:connectlocs="0,0;17,3835;6011,2629;6011,1239;0,0" o:connectangles="0,0,0,0,0"/>
              </v:shape>
              <v:shape id="Freeform 68"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" path="m,1038l,2411,4102,3432,4102,,,1038xe" fillcolor="#d3dfee [820]" stroked="f">
                <v:fill opacity="46003f"/>
                <v:path arrowok="t" o:connecttype="custom" o:connectlocs="0,1038;0,2411;4102,3432;4102,0;0,1038" o:connectangles="0,0,0,0,0"/>
              </v:shape>
            </v:group>
            <v:rect id="Rectangle 69" o:spid="_x0000_s1038" style="position:absolute;left:1800;top:1440;width:8638;height:10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sdt>
                    <w:sdtPr>
                      <w:rPr>
                        <w:b/>
                        <w:bCs/>
                        <w:color w:val="4F81BD" w:themeColor="accent1"/>
                        <w:sz w:val="40"/>
                        <w:szCs w:val="40"/>
                      </w:rPr>
                      <w:alias w:val="Company"/>
                      <w:id w:val="168225683"/>
                      <w:dataBinding w:prefixMappings="xmlns:ns0='http://schemas.openxmlformats.org/officeDocument/2006/extended-properties'" w:xpath="/ns0:Properties[1]/ns0:Company[1]" w:storeItemID="{6668398D-A668-4E3E-A5EB-62B293D839F1}"/>
                      <w:text/>
                    </w:sdtPr>
                    <w:sdtContent>
                      <w:p w:rsidR="00801715" w:rsidRDefault="00801715" w:rsidP="005459C0">
                        <w:pPr>
                          <w:jc w:val="center"/>
                          <w:rPr>
                            <w:b/>
                            <w:bCs/>
                            <w:color w:val="808080" w:themeColor="text1" w:themeTint="7F"/>
                            <w:sz w:val="32"/>
                            <w:szCs w:val="32"/>
                          </w:rPr>
                        </w:pPr>
                        <w:r w:rsidRPr="005459C0">
                          <w:rPr>
                            <w:b/>
                            <w:bCs/>
                            <w:color w:val="4F81BD" w:themeColor="accent1"/>
                            <w:sz w:val="40"/>
                            <w:szCs w:val="40"/>
                          </w:rPr>
                          <w:t>Ministarstvo finansija</w:t>
                        </w:r>
                      </w:p>
                    </w:sdtContent>
                  </w:sdt>
                  <w:p w:rsidR="00801715" w:rsidRDefault="00801715">
                    <w:pPr>
                      <w:rPr>
                        <w:b/>
                        <w:bCs/>
                        <w:color w:val="808080" w:themeColor="text1" w:themeTint="7F"/>
                        <w:sz w:val="32"/>
                        <w:szCs w:val="32"/>
                      </w:rPr>
                    </w:pPr>
                  </w:p>
                </w:txbxContent>
              </v:textbox>
            </v:rect>
            <v:rect id="Rectangle 70" o:spid="_x0000_s1039" style="position:absolute;left:6494;top:11161;width:4998;height:8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textbox>
                <w:txbxContent>
                  <w:sdt>
                    <w:sdtPr>
                      <w:rPr>
                        <w:sz w:val="56"/>
                        <w:szCs w:val="96"/>
                      </w:rPr>
                      <w:alias w:val="Year"/>
                      <w:id w:val="168225684"/>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801715" w:rsidRDefault="00801715">
                        <w:pPr>
                          <w:jc w:val="right"/>
                          <w:rPr>
                            <w:sz w:val="96"/>
                            <w:szCs w:val="96"/>
                          </w:rPr>
                        </w:pPr>
                        <w:r w:rsidRPr="005459C0">
                          <w:rPr>
                            <w:sz w:val="56"/>
                            <w:szCs w:val="96"/>
                          </w:rPr>
                          <w:t>2017-2020</w:t>
                        </w:r>
                      </w:p>
                    </w:sdtContent>
                  </w:sdt>
                </w:txbxContent>
              </v:textbox>
            </v:rect>
            <v:rect id="Rectangle 71" o:spid="_x0000_s1040" style="position:absolute;left:1800;top:2294;width:8638;height:7268;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" filled="f" stroked="f">
              <v:textbox>
                <w:txbxContent>
                  <w:sdt>
                    <w:sdtPr>
                      <w:rPr>
                        <w:b/>
                        <w:bCs/>
                        <w:color w:val="1F497D" w:themeColor="text2"/>
                        <w:sz w:val="72"/>
                        <w:szCs w:val="72"/>
                      </w:rPr>
                      <w:alias w:val="Title"/>
                      <w:id w:val="168225685"/>
                      <w:dataBinding w:prefixMappings="xmlns:ns0='http://schemas.openxmlformats.org/package/2006/metadata/core-properties' xmlns:ns1='http://purl.org/dc/elements/1.1/'" w:xpath="/ns0:coreProperties[1]/ns1:title[1]" w:storeItemID="{6C3C8BC8-F283-45AE-878A-BAB7291924A1}"/>
                      <w:text/>
                    </w:sdtPr>
                    <w:sdtContent>
                      <w:p w:rsidR="00801715" w:rsidRDefault="00801715" w:rsidP="005459C0">
                        <w:pPr>
                          <w:jc w:val="center"/>
                          <w:rPr>
                            <w:b/>
                            <w:bCs/>
                            <w:color w:val="1F497D" w:themeColor="text2"/>
                            <w:sz w:val="72"/>
                            <w:szCs w:val="72"/>
                          </w:rPr>
                        </w:pPr>
                        <w:r>
                          <w:rPr>
                            <w:b/>
                            <w:bCs/>
                            <w:color w:val="1F497D" w:themeColor="text2"/>
                            <w:sz w:val="72"/>
                            <w:szCs w:val="72"/>
                          </w:rPr>
                          <w:t>Predlog fiskalne strategije Crne Gore</w:t>
                        </w:r>
                      </w:p>
                    </w:sdtContent>
                  </w:sdt>
                  <w:p w:rsidR="00801715" w:rsidRDefault="00801715"/>
                  <w:p w:rsidR="00801715" w:rsidRDefault="00801715"/>
                </w:txbxContent>
              </v:textbox>
            </v:rect>
            <w10:wrap anchorx="page" anchory="margin"/>
          </v:group>
        </w:pict>
      </w:r>
    </w:p>
    <w:sdt>
      <w:sdtPr>
        <w:id w:val="168225667"/>
        <w:docPartObj>
          <w:docPartGallery w:val="Cover Pages"/>
          <w:docPartUnique/>
        </w:docPartObj>
      </w:sdtPr>
      <w:sdtEndPr>
        <w:rPr>
          <w:b/>
          <w:bCs/>
          <w:color w:val="365F91" w:themeColor="accent1" w:themeShade="BF"/>
          <w:sz w:val="48"/>
          <w:szCs w:val="48"/>
        </w:rPr>
      </w:sdtEndPr>
      <w:sdtContent>
        <w:p w:rsidR="0048511B" w:rsidRDefault="0048511B"/>
        <w:p w:rsidR="0048511B" w:rsidRDefault="0048511B"/>
        <w:p w:rsidR="005459C0" w:rsidRDefault="005459C0"/>
        <w:p w:rsidR="005459C0" w:rsidRDefault="005459C0"/>
        <w:p w:rsidR="005459C0" w:rsidRDefault="005459C0">
          <w:pPr>
            <w:spacing w:line="240" w:lineRule="auto"/>
            <w:rPr>
              <w:rFonts w:asciiTheme="majorHAnsi" w:eastAsiaTheme="majorEastAsia" w:hAnsiTheme="majorHAnsi" w:cstheme="majorBidi"/>
              <w:b/>
              <w:bCs/>
              <w:color w:val="365F91" w:themeColor="accent1" w:themeShade="BF"/>
              <w:sz w:val="48"/>
              <w:szCs w:val="48"/>
              <w:lang w:val="en-US"/>
            </w:rPr>
          </w:pPr>
          <w:r>
            <w:rPr>
              <w:b/>
              <w:bCs/>
              <w:color w:val="365F91" w:themeColor="accent1" w:themeShade="BF"/>
              <w:sz w:val="48"/>
              <w:szCs w:val="48"/>
            </w:rPr>
            <w:br w:type="page"/>
          </w:r>
        </w:p>
      </w:sdtContent>
    </w:sdt>
    <w:sdt>
      <w:sdtPr>
        <w:rPr>
          <w:rFonts w:ascii="Arial" w:eastAsia="Times New Roman" w:hAnsi="Arial" w:cs="Arial"/>
          <w:b/>
          <w:noProof/>
          <w:color w:val="000000"/>
          <w:sz w:val="24"/>
          <w:szCs w:val="24"/>
          <w:lang w:val="sr-Latn-CS"/>
        </w:rPr>
        <w:id w:val="454912417"/>
        <w:docPartObj>
          <w:docPartGallery w:val="Table of Contents"/>
          <w:docPartUnique/>
        </w:docPartObj>
      </w:sdtPr>
      <w:sdtEndPr>
        <w:rPr>
          <w:rFonts w:asciiTheme="minorHAnsi" w:hAnsiTheme="minorHAnsi"/>
          <w:bCs/>
          <w:sz w:val="22"/>
          <w:szCs w:val="22"/>
        </w:rPr>
      </w:sdtEndPr>
      <w:sdtContent>
        <w:p w:rsidR="00F17763" w:rsidRDefault="00DF50E6">
          <w:pPr>
            <w:pStyle w:val="TOCHeading"/>
          </w:pPr>
          <w:r>
            <w:t>Sadržaj</w:t>
          </w:r>
        </w:p>
        <w:p w:rsidR="00DF50E6" w:rsidRPr="00764B04" w:rsidRDefault="00DF50E6" w:rsidP="00DF50E6">
          <w:pPr>
            <w:rPr>
              <w:rFonts w:asciiTheme="minorHAnsi" w:hAnsiTheme="minorHAnsi"/>
              <w:sz w:val="22"/>
              <w:szCs w:val="22"/>
              <w:lang w:val="en-US"/>
            </w:rPr>
          </w:pPr>
        </w:p>
        <w:p w:rsidR="00C13F1E" w:rsidRPr="00D1123F" w:rsidRDefault="000D71A3" w:rsidP="00C13F1E">
          <w:pPr>
            <w:rPr>
              <w:rFonts w:asciiTheme="minorHAnsi" w:hAnsiTheme="minorHAnsi" w:cstheme="minorHAnsi"/>
              <w:b/>
              <w:noProof/>
            </w:rPr>
          </w:pPr>
          <w:r w:rsidRPr="000D71A3">
            <w:fldChar w:fldCharType="begin"/>
          </w:r>
          <w:r w:rsidR="00F17763" w:rsidRPr="00764B04">
            <w:instrText xml:space="preserve"> TOC \o "1-3" \h \z \u </w:instrText>
          </w:r>
          <w:r w:rsidRPr="000D71A3">
            <w:fldChar w:fldCharType="separate"/>
          </w:r>
          <w:hyperlink w:anchor="_Toc484373006" w:history="1">
            <w:r w:rsidR="00C13F1E" w:rsidRPr="00D1123F">
              <w:rPr>
                <w:rStyle w:val="Hyperlink"/>
                <w:rFonts w:asciiTheme="minorHAnsi" w:hAnsiTheme="minorHAnsi" w:cstheme="minorHAnsi"/>
                <w:b/>
                <w:noProof/>
              </w:rPr>
              <w:t>1</w:t>
            </w:r>
            <w:r w:rsidR="00C13F1E" w:rsidRPr="00D1123F">
              <w:rPr>
                <w:rFonts w:asciiTheme="minorHAnsi" w:eastAsiaTheme="minorEastAsia" w:hAnsiTheme="minorHAnsi" w:cstheme="minorHAnsi"/>
                <w:b/>
                <w:noProof/>
                <w:color w:val="auto"/>
                <w:lang w:val="en-US"/>
              </w:rPr>
              <w:tab/>
            </w:r>
            <w:r w:rsidR="00C13F1E" w:rsidRPr="00D1123F">
              <w:rPr>
                <w:rStyle w:val="Hyperlink"/>
                <w:rFonts w:asciiTheme="minorHAnsi" w:hAnsiTheme="minorHAnsi" w:cstheme="minorHAnsi"/>
                <w:b/>
                <w:noProof/>
              </w:rPr>
              <w:t>Fiskalna strategija-ciljevi, mjere i rezultati</w:t>
            </w:r>
            <w:r w:rsidR="00D1123F" w:rsidRPr="00D1123F">
              <w:rPr>
                <w:rStyle w:val="Hyperlink"/>
                <w:rFonts w:asciiTheme="minorHAnsi" w:hAnsiTheme="minorHAnsi" w:cstheme="minorHAnsi"/>
                <w:b/>
                <w:noProof/>
              </w:rPr>
              <w:t xml:space="preserve"> </w:t>
            </w:r>
            <w:r w:rsidR="00C13F1E" w:rsidRPr="00D1123F">
              <w:rPr>
                <w:rStyle w:val="Hyperlink"/>
                <w:rFonts w:asciiTheme="minorHAnsi" w:hAnsiTheme="minorHAnsi" w:cstheme="minorHAnsi"/>
                <w:b/>
                <w:noProof/>
              </w:rPr>
              <w:t>.........................................</w:t>
            </w:r>
            <w:r w:rsidR="00D1123F" w:rsidRPr="00D1123F">
              <w:rPr>
                <w:rStyle w:val="Hyperlink"/>
                <w:rFonts w:asciiTheme="minorHAnsi" w:hAnsiTheme="minorHAnsi" w:cstheme="minorHAnsi"/>
                <w:b/>
                <w:noProof/>
              </w:rPr>
              <w:t>.....................</w:t>
            </w:r>
            <w:r w:rsidRPr="00D1123F">
              <w:rPr>
                <w:rFonts w:asciiTheme="minorHAnsi" w:hAnsiTheme="minorHAnsi" w:cstheme="minorHAnsi"/>
                <w:b/>
                <w:noProof/>
                <w:webHidden/>
              </w:rPr>
              <w:fldChar w:fldCharType="begin"/>
            </w:r>
            <w:r w:rsidR="00C13F1E" w:rsidRPr="00D1123F">
              <w:rPr>
                <w:rFonts w:asciiTheme="minorHAnsi" w:hAnsiTheme="minorHAnsi" w:cstheme="minorHAnsi"/>
                <w:b/>
                <w:noProof/>
                <w:webHidden/>
              </w:rPr>
              <w:instrText xml:space="preserve"> PAGEREF _Toc484373006 \h </w:instrText>
            </w:r>
            <w:r w:rsidRPr="00D1123F">
              <w:rPr>
                <w:rFonts w:asciiTheme="minorHAnsi" w:hAnsiTheme="minorHAnsi" w:cstheme="minorHAnsi"/>
                <w:b/>
                <w:noProof/>
                <w:webHidden/>
              </w:rPr>
            </w:r>
            <w:r w:rsidRPr="00D1123F">
              <w:rPr>
                <w:rFonts w:asciiTheme="minorHAnsi" w:hAnsiTheme="minorHAnsi" w:cstheme="minorHAnsi"/>
                <w:b/>
                <w:noProof/>
                <w:webHidden/>
              </w:rPr>
              <w:fldChar w:fldCharType="separate"/>
            </w:r>
            <w:r w:rsidR="002D5E45">
              <w:rPr>
                <w:rFonts w:asciiTheme="minorHAnsi" w:hAnsiTheme="minorHAnsi" w:cstheme="minorHAnsi"/>
                <w:b/>
                <w:noProof/>
                <w:webHidden/>
              </w:rPr>
              <w:t>1</w:t>
            </w:r>
            <w:r w:rsidRPr="00D1123F">
              <w:rPr>
                <w:rFonts w:asciiTheme="minorHAnsi" w:hAnsiTheme="minorHAnsi" w:cstheme="minorHAnsi"/>
                <w:b/>
                <w:noProof/>
                <w:webHidden/>
              </w:rPr>
              <w:fldChar w:fldCharType="end"/>
            </w:r>
          </w:hyperlink>
        </w:p>
        <w:p w:rsidR="00C13F1E" w:rsidRPr="00C13F1E" w:rsidRDefault="000D71A3">
          <w:pPr>
            <w:pStyle w:val="TOC1"/>
            <w:rPr>
              <w:rFonts w:eastAsiaTheme="minorEastAsia" w:cstheme="minorHAnsi"/>
              <w:b w:val="0"/>
              <w:color w:val="auto"/>
              <w:sz w:val="24"/>
              <w:szCs w:val="24"/>
              <w:lang w:val="en-US"/>
            </w:rPr>
          </w:pPr>
          <w:hyperlink w:anchor="_Toc484373007" w:history="1">
            <w:r w:rsidR="00C13F1E" w:rsidRPr="00C13F1E">
              <w:rPr>
                <w:rStyle w:val="Hyperlink"/>
                <w:rFonts w:cstheme="minorHAnsi"/>
                <w:sz w:val="24"/>
                <w:szCs w:val="24"/>
              </w:rPr>
              <w:t>2</w:t>
            </w:r>
            <w:r w:rsidR="00C13F1E" w:rsidRPr="00C13F1E">
              <w:rPr>
                <w:rFonts w:eastAsiaTheme="minorEastAsia" w:cstheme="minorHAnsi"/>
                <w:b w:val="0"/>
                <w:color w:val="auto"/>
                <w:sz w:val="24"/>
                <w:szCs w:val="24"/>
                <w:lang w:val="en-US"/>
              </w:rPr>
              <w:tab/>
            </w:r>
            <w:r w:rsidR="00C13F1E" w:rsidRPr="00C13F1E">
              <w:rPr>
                <w:rStyle w:val="Hyperlink"/>
                <w:rFonts w:cstheme="minorHAnsi"/>
                <w:sz w:val="24"/>
                <w:szCs w:val="24"/>
              </w:rPr>
              <w:t>Aktuelno stanje ekonomije-ključni izazovi</w:t>
            </w:r>
            <w:r w:rsidR="00C13F1E" w:rsidRPr="00C13F1E">
              <w:rPr>
                <w:rFonts w:cstheme="minorHAnsi"/>
                <w:webHidden/>
                <w:sz w:val="24"/>
                <w:szCs w:val="24"/>
              </w:rPr>
              <w:tab/>
            </w:r>
            <w:r w:rsidRPr="00C13F1E">
              <w:rPr>
                <w:rFonts w:cstheme="minorHAnsi"/>
                <w:webHidden/>
                <w:sz w:val="24"/>
                <w:szCs w:val="24"/>
              </w:rPr>
              <w:fldChar w:fldCharType="begin"/>
            </w:r>
            <w:r w:rsidR="00C13F1E" w:rsidRPr="00C13F1E">
              <w:rPr>
                <w:rFonts w:cstheme="minorHAnsi"/>
                <w:webHidden/>
                <w:sz w:val="24"/>
                <w:szCs w:val="24"/>
              </w:rPr>
              <w:instrText xml:space="preserve"> PAGEREF _Toc484373007 \h </w:instrText>
            </w:r>
            <w:r w:rsidRPr="00C13F1E">
              <w:rPr>
                <w:rFonts w:cstheme="minorHAnsi"/>
                <w:webHidden/>
                <w:sz w:val="24"/>
                <w:szCs w:val="24"/>
              </w:rPr>
            </w:r>
            <w:r w:rsidRPr="00C13F1E">
              <w:rPr>
                <w:rFonts w:cstheme="minorHAnsi"/>
                <w:webHidden/>
                <w:sz w:val="24"/>
                <w:szCs w:val="24"/>
              </w:rPr>
              <w:fldChar w:fldCharType="separate"/>
            </w:r>
            <w:r w:rsidR="002D5E45">
              <w:rPr>
                <w:rFonts w:cstheme="minorHAnsi"/>
                <w:webHidden/>
                <w:sz w:val="24"/>
                <w:szCs w:val="24"/>
              </w:rPr>
              <w:t>5</w:t>
            </w:r>
            <w:r w:rsidRPr="00C13F1E">
              <w:rPr>
                <w:rFonts w:cstheme="minorHAnsi"/>
                <w:webHidden/>
                <w:sz w:val="24"/>
                <w:szCs w:val="24"/>
              </w:rPr>
              <w:fldChar w:fldCharType="end"/>
            </w:r>
          </w:hyperlink>
        </w:p>
        <w:p w:rsidR="00C13F1E" w:rsidRPr="00C13F1E" w:rsidRDefault="000D71A3">
          <w:pPr>
            <w:pStyle w:val="TOC1"/>
            <w:rPr>
              <w:rFonts w:eastAsiaTheme="minorEastAsia" w:cstheme="minorHAnsi"/>
              <w:b w:val="0"/>
              <w:color w:val="auto"/>
              <w:sz w:val="24"/>
              <w:szCs w:val="24"/>
              <w:lang w:val="en-US"/>
            </w:rPr>
          </w:pPr>
          <w:hyperlink w:anchor="_Toc484373008" w:history="1">
            <w:r w:rsidR="00C13F1E" w:rsidRPr="00C13F1E">
              <w:rPr>
                <w:rStyle w:val="Hyperlink"/>
                <w:rFonts w:cstheme="minorHAnsi"/>
                <w:sz w:val="24"/>
                <w:szCs w:val="24"/>
              </w:rPr>
              <w:t>3</w:t>
            </w:r>
            <w:r w:rsidR="00C13F1E" w:rsidRPr="00C13F1E">
              <w:rPr>
                <w:rFonts w:eastAsiaTheme="minorEastAsia" w:cstheme="minorHAnsi"/>
                <w:b w:val="0"/>
                <w:color w:val="auto"/>
                <w:sz w:val="24"/>
                <w:szCs w:val="24"/>
                <w:lang w:val="en-US"/>
              </w:rPr>
              <w:tab/>
            </w:r>
            <w:r w:rsidR="00C13F1E" w:rsidRPr="00C13F1E">
              <w:rPr>
                <w:rStyle w:val="Hyperlink"/>
                <w:rFonts w:cstheme="minorHAnsi"/>
                <w:sz w:val="24"/>
                <w:szCs w:val="24"/>
              </w:rPr>
              <w:t>Mjere ekonomske politike</w:t>
            </w:r>
            <w:r w:rsidR="00C13F1E" w:rsidRPr="00C13F1E">
              <w:rPr>
                <w:rFonts w:cstheme="minorHAnsi"/>
                <w:webHidden/>
                <w:sz w:val="24"/>
                <w:szCs w:val="24"/>
              </w:rPr>
              <w:tab/>
            </w:r>
            <w:r w:rsidRPr="00C13F1E">
              <w:rPr>
                <w:rFonts w:cstheme="minorHAnsi"/>
                <w:webHidden/>
                <w:sz w:val="24"/>
                <w:szCs w:val="24"/>
              </w:rPr>
              <w:fldChar w:fldCharType="begin"/>
            </w:r>
            <w:r w:rsidR="00C13F1E" w:rsidRPr="00C13F1E">
              <w:rPr>
                <w:rFonts w:cstheme="minorHAnsi"/>
                <w:webHidden/>
                <w:sz w:val="24"/>
                <w:szCs w:val="24"/>
              </w:rPr>
              <w:instrText xml:space="preserve"> PAGEREF _Toc484373008 \h </w:instrText>
            </w:r>
            <w:r w:rsidRPr="00C13F1E">
              <w:rPr>
                <w:rFonts w:cstheme="minorHAnsi"/>
                <w:webHidden/>
                <w:sz w:val="24"/>
                <w:szCs w:val="24"/>
              </w:rPr>
            </w:r>
            <w:r w:rsidRPr="00C13F1E">
              <w:rPr>
                <w:rFonts w:cstheme="minorHAnsi"/>
                <w:webHidden/>
                <w:sz w:val="24"/>
                <w:szCs w:val="24"/>
              </w:rPr>
              <w:fldChar w:fldCharType="separate"/>
            </w:r>
            <w:r w:rsidR="002D5E45">
              <w:rPr>
                <w:rFonts w:cstheme="minorHAnsi"/>
                <w:webHidden/>
                <w:sz w:val="24"/>
                <w:szCs w:val="24"/>
              </w:rPr>
              <w:t>7</w:t>
            </w:r>
            <w:r w:rsidRPr="00C13F1E">
              <w:rPr>
                <w:rFonts w:cstheme="minorHAnsi"/>
                <w:webHidden/>
                <w:sz w:val="24"/>
                <w:szCs w:val="24"/>
              </w:rPr>
              <w:fldChar w:fldCharType="end"/>
            </w:r>
          </w:hyperlink>
        </w:p>
        <w:p w:rsidR="00C13F1E" w:rsidRPr="00C13F1E" w:rsidRDefault="000D71A3">
          <w:pPr>
            <w:pStyle w:val="TOC2"/>
            <w:rPr>
              <w:rFonts w:asciiTheme="minorHAnsi" w:eastAsiaTheme="minorEastAsia" w:hAnsiTheme="minorHAnsi" w:cstheme="minorHAnsi"/>
              <w:b w:val="0"/>
              <w:color w:val="auto"/>
              <w:lang w:val="en-US"/>
            </w:rPr>
          </w:pPr>
          <w:hyperlink w:anchor="_Toc484373009" w:history="1">
            <w:r w:rsidR="00C13F1E" w:rsidRPr="00C13F1E">
              <w:rPr>
                <w:rStyle w:val="Hyperlink"/>
                <w:rFonts w:asciiTheme="minorHAnsi" w:hAnsiTheme="minorHAnsi" w:cstheme="minorHAnsi"/>
              </w:rPr>
              <w:t>3.1 Budžetska politika</w:t>
            </w:r>
            <w:r w:rsidR="00C13F1E" w:rsidRPr="00C13F1E">
              <w:rPr>
                <w:rFonts w:asciiTheme="minorHAnsi" w:hAnsiTheme="minorHAnsi" w:cstheme="minorHAnsi"/>
                <w:webHidden/>
              </w:rPr>
              <w:tab/>
            </w:r>
            <w:r w:rsidRPr="00C13F1E">
              <w:rPr>
                <w:rFonts w:asciiTheme="minorHAnsi" w:hAnsiTheme="minorHAnsi" w:cstheme="minorHAnsi"/>
                <w:webHidden/>
              </w:rPr>
              <w:fldChar w:fldCharType="begin"/>
            </w:r>
            <w:r w:rsidR="00C13F1E" w:rsidRPr="00C13F1E">
              <w:rPr>
                <w:rFonts w:asciiTheme="minorHAnsi" w:hAnsiTheme="minorHAnsi" w:cstheme="minorHAnsi"/>
                <w:webHidden/>
              </w:rPr>
              <w:instrText xml:space="preserve"> PAGEREF _Toc484373009 \h </w:instrText>
            </w:r>
            <w:r w:rsidRPr="00C13F1E">
              <w:rPr>
                <w:rFonts w:asciiTheme="minorHAnsi" w:hAnsiTheme="minorHAnsi" w:cstheme="minorHAnsi"/>
                <w:webHidden/>
              </w:rPr>
            </w:r>
            <w:r w:rsidRPr="00C13F1E">
              <w:rPr>
                <w:rFonts w:asciiTheme="minorHAnsi" w:hAnsiTheme="minorHAnsi" w:cstheme="minorHAnsi"/>
                <w:webHidden/>
              </w:rPr>
              <w:fldChar w:fldCharType="separate"/>
            </w:r>
            <w:r w:rsidR="002D5E45">
              <w:rPr>
                <w:rFonts w:asciiTheme="minorHAnsi" w:hAnsiTheme="minorHAnsi" w:cstheme="minorHAnsi"/>
                <w:webHidden/>
              </w:rPr>
              <w:t>7</w:t>
            </w:r>
            <w:r w:rsidRPr="00C13F1E">
              <w:rPr>
                <w:rFonts w:asciiTheme="minorHAnsi" w:hAnsiTheme="minorHAnsi" w:cstheme="minorHAnsi"/>
                <w:webHidden/>
              </w:rPr>
              <w:fldChar w:fldCharType="end"/>
            </w:r>
          </w:hyperlink>
        </w:p>
        <w:p w:rsidR="00C13F1E" w:rsidRPr="00C13F1E" w:rsidRDefault="000D71A3">
          <w:pPr>
            <w:pStyle w:val="TOC2"/>
            <w:rPr>
              <w:rFonts w:asciiTheme="minorHAnsi" w:eastAsiaTheme="minorEastAsia" w:hAnsiTheme="minorHAnsi" w:cstheme="minorHAnsi"/>
              <w:b w:val="0"/>
              <w:color w:val="auto"/>
              <w:lang w:val="en-US"/>
            </w:rPr>
          </w:pPr>
          <w:hyperlink w:anchor="_Toc484373010" w:history="1">
            <w:r w:rsidR="00C13F1E" w:rsidRPr="00C13F1E">
              <w:rPr>
                <w:rStyle w:val="Hyperlink"/>
                <w:rFonts w:asciiTheme="minorHAnsi" w:hAnsiTheme="minorHAnsi" w:cstheme="minorHAnsi"/>
              </w:rPr>
              <w:t>3.2 Ostale reforme javnog sektora</w:t>
            </w:r>
            <w:r w:rsidR="00C13F1E" w:rsidRPr="00C13F1E">
              <w:rPr>
                <w:rFonts w:asciiTheme="minorHAnsi" w:hAnsiTheme="minorHAnsi" w:cstheme="minorHAnsi"/>
                <w:webHidden/>
              </w:rPr>
              <w:tab/>
            </w:r>
            <w:r w:rsidRPr="00C13F1E">
              <w:rPr>
                <w:rFonts w:asciiTheme="minorHAnsi" w:hAnsiTheme="minorHAnsi" w:cstheme="minorHAnsi"/>
                <w:webHidden/>
              </w:rPr>
              <w:fldChar w:fldCharType="begin"/>
            </w:r>
            <w:r w:rsidR="00C13F1E" w:rsidRPr="00C13F1E">
              <w:rPr>
                <w:rFonts w:asciiTheme="minorHAnsi" w:hAnsiTheme="minorHAnsi" w:cstheme="minorHAnsi"/>
                <w:webHidden/>
              </w:rPr>
              <w:instrText xml:space="preserve"> PAGEREF _Toc484373010 \h </w:instrText>
            </w:r>
            <w:r w:rsidRPr="00C13F1E">
              <w:rPr>
                <w:rFonts w:asciiTheme="minorHAnsi" w:hAnsiTheme="minorHAnsi" w:cstheme="minorHAnsi"/>
                <w:webHidden/>
              </w:rPr>
            </w:r>
            <w:r w:rsidRPr="00C13F1E">
              <w:rPr>
                <w:rFonts w:asciiTheme="minorHAnsi" w:hAnsiTheme="minorHAnsi" w:cstheme="minorHAnsi"/>
                <w:webHidden/>
              </w:rPr>
              <w:fldChar w:fldCharType="separate"/>
            </w:r>
            <w:r w:rsidR="002D5E45">
              <w:rPr>
                <w:rFonts w:asciiTheme="minorHAnsi" w:hAnsiTheme="minorHAnsi" w:cstheme="minorHAnsi"/>
                <w:webHidden/>
              </w:rPr>
              <w:t>12</w:t>
            </w:r>
            <w:r w:rsidRPr="00C13F1E">
              <w:rPr>
                <w:rFonts w:asciiTheme="minorHAnsi" w:hAnsiTheme="minorHAnsi" w:cstheme="minorHAnsi"/>
                <w:webHidden/>
              </w:rPr>
              <w:fldChar w:fldCharType="end"/>
            </w:r>
          </w:hyperlink>
        </w:p>
        <w:p w:rsidR="00C13F1E" w:rsidRPr="00C13F1E" w:rsidRDefault="000D71A3">
          <w:pPr>
            <w:pStyle w:val="TOC3"/>
            <w:tabs>
              <w:tab w:val="right" w:leader="dot" w:pos="9061"/>
            </w:tabs>
            <w:rPr>
              <w:rFonts w:asciiTheme="minorHAnsi" w:eastAsiaTheme="minorEastAsia" w:hAnsiTheme="minorHAnsi" w:cstheme="minorHAnsi"/>
              <w:noProof/>
              <w:color w:val="auto"/>
              <w:lang w:val="en-US"/>
            </w:rPr>
          </w:pPr>
          <w:hyperlink w:anchor="_Toc484373011" w:history="1">
            <w:r w:rsidR="00C13F1E" w:rsidRPr="00C13F1E">
              <w:rPr>
                <w:rStyle w:val="Hyperlink"/>
                <w:rFonts w:asciiTheme="minorHAnsi" w:hAnsiTheme="minorHAnsi" w:cstheme="minorHAnsi"/>
                <w:noProof/>
              </w:rPr>
              <w:t>3.3.1 Poslovni ambijent i investiciona klima</w:t>
            </w:r>
            <w:r w:rsidR="00C13F1E" w:rsidRPr="00C13F1E">
              <w:rPr>
                <w:rFonts w:asciiTheme="minorHAnsi" w:hAnsiTheme="minorHAnsi" w:cstheme="minorHAnsi"/>
                <w:noProof/>
                <w:webHidden/>
              </w:rPr>
              <w:tab/>
            </w:r>
            <w:r w:rsidRPr="00C13F1E">
              <w:rPr>
                <w:rFonts w:asciiTheme="minorHAnsi" w:hAnsiTheme="minorHAnsi" w:cstheme="minorHAnsi"/>
                <w:noProof/>
                <w:webHidden/>
              </w:rPr>
              <w:fldChar w:fldCharType="begin"/>
            </w:r>
            <w:r w:rsidR="00C13F1E" w:rsidRPr="00C13F1E">
              <w:rPr>
                <w:rFonts w:asciiTheme="minorHAnsi" w:hAnsiTheme="minorHAnsi" w:cstheme="minorHAnsi"/>
                <w:noProof/>
                <w:webHidden/>
              </w:rPr>
              <w:instrText xml:space="preserve"> PAGEREF _Toc484373011 \h </w:instrText>
            </w:r>
            <w:r w:rsidRPr="00C13F1E">
              <w:rPr>
                <w:rFonts w:asciiTheme="minorHAnsi" w:hAnsiTheme="minorHAnsi" w:cstheme="minorHAnsi"/>
                <w:noProof/>
                <w:webHidden/>
              </w:rPr>
            </w:r>
            <w:r w:rsidRPr="00C13F1E">
              <w:rPr>
                <w:rFonts w:asciiTheme="minorHAnsi" w:hAnsiTheme="minorHAnsi" w:cstheme="minorHAnsi"/>
                <w:noProof/>
                <w:webHidden/>
              </w:rPr>
              <w:fldChar w:fldCharType="separate"/>
            </w:r>
            <w:r w:rsidR="002D5E45">
              <w:rPr>
                <w:rFonts w:asciiTheme="minorHAnsi" w:hAnsiTheme="minorHAnsi" w:cstheme="minorHAnsi"/>
                <w:noProof/>
                <w:webHidden/>
              </w:rPr>
              <w:t>16</w:t>
            </w:r>
            <w:r w:rsidRPr="00C13F1E">
              <w:rPr>
                <w:rFonts w:asciiTheme="minorHAnsi" w:hAnsiTheme="minorHAnsi" w:cstheme="minorHAnsi"/>
                <w:noProof/>
                <w:webHidden/>
              </w:rPr>
              <w:fldChar w:fldCharType="end"/>
            </w:r>
          </w:hyperlink>
        </w:p>
        <w:p w:rsidR="00C13F1E" w:rsidRPr="00C13F1E" w:rsidRDefault="000D71A3">
          <w:pPr>
            <w:pStyle w:val="TOC3"/>
            <w:tabs>
              <w:tab w:val="right" w:leader="dot" w:pos="9061"/>
            </w:tabs>
            <w:rPr>
              <w:rFonts w:asciiTheme="minorHAnsi" w:eastAsiaTheme="minorEastAsia" w:hAnsiTheme="minorHAnsi" w:cstheme="minorHAnsi"/>
              <w:noProof/>
              <w:color w:val="auto"/>
              <w:lang w:val="en-US"/>
            </w:rPr>
          </w:pPr>
          <w:hyperlink w:anchor="_Toc484373012" w:history="1">
            <w:r w:rsidR="00C13F1E" w:rsidRPr="00C13F1E">
              <w:rPr>
                <w:rStyle w:val="Hyperlink"/>
                <w:rFonts w:asciiTheme="minorHAnsi" w:hAnsiTheme="minorHAnsi" w:cstheme="minorHAnsi"/>
                <w:noProof/>
              </w:rPr>
              <w:t>3.3.2 Finansijska stabilnost</w:t>
            </w:r>
            <w:r w:rsidR="00C13F1E" w:rsidRPr="00C13F1E">
              <w:rPr>
                <w:rFonts w:asciiTheme="minorHAnsi" w:hAnsiTheme="minorHAnsi" w:cstheme="minorHAnsi"/>
                <w:noProof/>
                <w:webHidden/>
              </w:rPr>
              <w:tab/>
            </w:r>
            <w:r w:rsidRPr="00C13F1E">
              <w:rPr>
                <w:rFonts w:asciiTheme="minorHAnsi" w:hAnsiTheme="minorHAnsi" w:cstheme="minorHAnsi"/>
                <w:noProof/>
                <w:webHidden/>
              </w:rPr>
              <w:fldChar w:fldCharType="begin"/>
            </w:r>
            <w:r w:rsidR="00C13F1E" w:rsidRPr="00C13F1E">
              <w:rPr>
                <w:rFonts w:asciiTheme="minorHAnsi" w:hAnsiTheme="minorHAnsi" w:cstheme="minorHAnsi"/>
                <w:noProof/>
                <w:webHidden/>
              </w:rPr>
              <w:instrText xml:space="preserve"> PAGEREF _Toc484373012 \h </w:instrText>
            </w:r>
            <w:r w:rsidRPr="00C13F1E">
              <w:rPr>
                <w:rFonts w:asciiTheme="minorHAnsi" w:hAnsiTheme="minorHAnsi" w:cstheme="minorHAnsi"/>
                <w:noProof/>
                <w:webHidden/>
              </w:rPr>
            </w:r>
            <w:r w:rsidRPr="00C13F1E">
              <w:rPr>
                <w:rFonts w:asciiTheme="minorHAnsi" w:hAnsiTheme="minorHAnsi" w:cstheme="minorHAnsi"/>
                <w:noProof/>
                <w:webHidden/>
              </w:rPr>
              <w:fldChar w:fldCharType="separate"/>
            </w:r>
            <w:r w:rsidR="002D5E45">
              <w:rPr>
                <w:rFonts w:asciiTheme="minorHAnsi" w:hAnsiTheme="minorHAnsi" w:cstheme="minorHAnsi"/>
                <w:noProof/>
                <w:webHidden/>
              </w:rPr>
              <w:t>16</w:t>
            </w:r>
            <w:r w:rsidRPr="00C13F1E">
              <w:rPr>
                <w:rFonts w:asciiTheme="minorHAnsi" w:hAnsiTheme="minorHAnsi" w:cstheme="minorHAnsi"/>
                <w:noProof/>
                <w:webHidden/>
              </w:rPr>
              <w:fldChar w:fldCharType="end"/>
            </w:r>
          </w:hyperlink>
        </w:p>
        <w:p w:rsidR="00C13F1E" w:rsidRPr="00C13F1E" w:rsidRDefault="000D71A3">
          <w:pPr>
            <w:pStyle w:val="TOC3"/>
            <w:tabs>
              <w:tab w:val="right" w:leader="dot" w:pos="9061"/>
            </w:tabs>
            <w:rPr>
              <w:rFonts w:asciiTheme="minorHAnsi" w:eastAsiaTheme="minorEastAsia" w:hAnsiTheme="minorHAnsi" w:cstheme="minorHAnsi"/>
              <w:noProof/>
              <w:color w:val="auto"/>
              <w:lang w:val="en-US"/>
            </w:rPr>
          </w:pPr>
          <w:hyperlink w:anchor="_Toc484373013" w:history="1">
            <w:r w:rsidR="00C13F1E" w:rsidRPr="00C13F1E">
              <w:rPr>
                <w:rStyle w:val="Hyperlink"/>
                <w:rFonts w:asciiTheme="minorHAnsi" w:hAnsiTheme="minorHAnsi" w:cstheme="minorHAnsi"/>
                <w:noProof/>
              </w:rPr>
              <w:t>3.3.3 Sektor malih i srednjih preduzeća</w:t>
            </w:r>
            <w:r w:rsidR="00C13F1E" w:rsidRPr="00C13F1E">
              <w:rPr>
                <w:rFonts w:asciiTheme="minorHAnsi" w:hAnsiTheme="minorHAnsi" w:cstheme="minorHAnsi"/>
                <w:noProof/>
                <w:webHidden/>
              </w:rPr>
              <w:tab/>
            </w:r>
            <w:r w:rsidRPr="00C13F1E">
              <w:rPr>
                <w:rFonts w:asciiTheme="minorHAnsi" w:hAnsiTheme="minorHAnsi" w:cstheme="minorHAnsi"/>
                <w:noProof/>
                <w:webHidden/>
              </w:rPr>
              <w:fldChar w:fldCharType="begin"/>
            </w:r>
            <w:r w:rsidR="00C13F1E" w:rsidRPr="00C13F1E">
              <w:rPr>
                <w:rFonts w:asciiTheme="minorHAnsi" w:hAnsiTheme="minorHAnsi" w:cstheme="minorHAnsi"/>
                <w:noProof/>
                <w:webHidden/>
              </w:rPr>
              <w:instrText xml:space="preserve"> PAGEREF _Toc484373013 \h </w:instrText>
            </w:r>
            <w:r w:rsidRPr="00C13F1E">
              <w:rPr>
                <w:rFonts w:asciiTheme="minorHAnsi" w:hAnsiTheme="minorHAnsi" w:cstheme="minorHAnsi"/>
                <w:noProof/>
                <w:webHidden/>
              </w:rPr>
            </w:r>
            <w:r w:rsidRPr="00C13F1E">
              <w:rPr>
                <w:rFonts w:asciiTheme="minorHAnsi" w:hAnsiTheme="minorHAnsi" w:cstheme="minorHAnsi"/>
                <w:noProof/>
                <w:webHidden/>
              </w:rPr>
              <w:fldChar w:fldCharType="separate"/>
            </w:r>
            <w:r w:rsidR="002D5E45">
              <w:rPr>
                <w:rFonts w:asciiTheme="minorHAnsi" w:hAnsiTheme="minorHAnsi" w:cstheme="minorHAnsi"/>
                <w:noProof/>
                <w:webHidden/>
              </w:rPr>
              <w:t>18</w:t>
            </w:r>
            <w:r w:rsidRPr="00C13F1E">
              <w:rPr>
                <w:rFonts w:asciiTheme="minorHAnsi" w:hAnsiTheme="minorHAnsi" w:cstheme="minorHAnsi"/>
                <w:noProof/>
                <w:webHidden/>
              </w:rPr>
              <w:fldChar w:fldCharType="end"/>
            </w:r>
          </w:hyperlink>
        </w:p>
        <w:p w:rsidR="00C13F1E" w:rsidRPr="00C13F1E" w:rsidRDefault="000D71A3">
          <w:pPr>
            <w:pStyle w:val="TOC3"/>
            <w:tabs>
              <w:tab w:val="right" w:leader="dot" w:pos="9061"/>
            </w:tabs>
            <w:rPr>
              <w:rFonts w:asciiTheme="minorHAnsi" w:eastAsiaTheme="minorEastAsia" w:hAnsiTheme="minorHAnsi" w:cstheme="minorHAnsi"/>
              <w:noProof/>
              <w:color w:val="auto"/>
              <w:lang w:val="en-US"/>
            </w:rPr>
          </w:pPr>
          <w:hyperlink w:anchor="_Toc484373014" w:history="1">
            <w:r w:rsidR="00C13F1E" w:rsidRPr="00C13F1E">
              <w:rPr>
                <w:rStyle w:val="Hyperlink"/>
                <w:rFonts w:asciiTheme="minorHAnsi" w:hAnsiTheme="minorHAnsi" w:cstheme="minorHAnsi"/>
                <w:noProof/>
              </w:rPr>
              <w:t>3.3.4 Tržište rada</w:t>
            </w:r>
            <w:r w:rsidR="00C13F1E" w:rsidRPr="00C13F1E">
              <w:rPr>
                <w:rFonts w:asciiTheme="minorHAnsi" w:hAnsiTheme="minorHAnsi" w:cstheme="minorHAnsi"/>
                <w:noProof/>
                <w:webHidden/>
              </w:rPr>
              <w:tab/>
            </w:r>
            <w:r w:rsidRPr="00C13F1E">
              <w:rPr>
                <w:rFonts w:asciiTheme="minorHAnsi" w:hAnsiTheme="minorHAnsi" w:cstheme="minorHAnsi"/>
                <w:noProof/>
                <w:webHidden/>
              </w:rPr>
              <w:fldChar w:fldCharType="begin"/>
            </w:r>
            <w:r w:rsidR="00C13F1E" w:rsidRPr="00C13F1E">
              <w:rPr>
                <w:rFonts w:asciiTheme="minorHAnsi" w:hAnsiTheme="minorHAnsi" w:cstheme="minorHAnsi"/>
                <w:noProof/>
                <w:webHidden/>
              </w:rPr>
              <w:instrText xml:space="preserve"> PAGEREF _Toc484373014 \h </w:instrText>
            </w:r>
            <w:r w:rsidRPr="00C13F1E">
              <w:rPr>
                <w:rFonts w:asciiTheme="minorHAnsi" w:hAnsiTheme="minorHAnsi" w:cstheme="minorHAnsi"/>
                <w:noProof/>
                <w:webHidden/>
              </w:rPr>
            </w:r>
            <w:r w:rsidRPr="00C13F1E">
              <w:rPr>
                <w:rFonts w:asciiTheme="minorHAnsi" w:hAnsiTheme="minorHAnsi" w:cstheme="minorHAnsi"/>
                <w:noProof/>
                <w:webHidden/>
              </w:rPr>
              <w:fldChar w:fldCharType="separate"/>
            </w:r>
            <w:r w:rsidR="002D5E45">
              <w:rPr>
                <w:rFonts w:asciiTheme="minorHAnsi" w:hAnsiTheme="minorHAnsi" w:cstheme="minorHAnsi"/>
                <w:noProof/>
                <w:webHidden/>
              </w:rPr>
              <w:t>18</w:t>
            </w:r>
            <w:r w:rsidRPr="00C13F1E">
              <w:rPr>
                <w:rFonts w:asciiTheme="minorHAnsi" w:hAnsiTheme="minorHAnsi" w:cstheme="minorHAnsi"/>
                <w:noProof/>
                <w:webHidden/>
              </w:rPr>
              <w:fldChar w:fldCharType="end"/>
            </w:r>
          </w:hyperlink>
        </w:p>
        <w:p w:rsidR="00C13F1E" w:rsidRPr="00C13F1E" w:rsidRDefault="000D71A3">
          <w:pPr>
            <w:pStyle w:val="TOC3"/>
            <w:tabs>
              <w:tab w:val="right" w:leader="dot" w:pos="9061"/>
            </w:tabs>
            <w:rPr>
              <w:rFonts w:asciiTheme="minorHAnsi" w:eastAsiaTheme="minorEastAsia" w:hAnsiTheme="minorHAnsi" w:cstheme="minorHAnsi"/>
              <w:noProof/>
              <w:color w:val="auto"/>
              <w:lang w:val="en-US"/>
            </w:rPr>
          </w:pPr>
          <w:hyperlink w:anchor="_Toc484373015" w:history="1">
            <w:r w:rsidR="00C13F1E" w:rsidRPr="00C13F1E">
              <w:rPr>
                <w:rStyle w:val="Hyperlink"/>
                <w:rFonts w:asciiTheme="minorHAnsi" w:hAnsiTheme="minorHAnsi" w:cstheme="minorHAnsi"/>
                <w:noProof/>
              </w:rPr>
              <w:t>3.3.6 Istraživanje i inovacije</w:t>
            </w:r>
            <w:r w:rsidR="00C13F1E" w:rsidRPr="00C13F1E">
              <w:rPr>
                <w:rFonts w:asciiTheme="minorHAnsi" w:hAnsiTheme="minorHAnsi" w:cstheme="minorHAnsi"/>
                <w:noProof/>
                <w:webHidden/>
              </w:rPr>
              <w:tab/>
            </w:r>
            <w:r w:rsidRPr="00C13F1E">
              <w:rPr>
                <w:rFonts w:asciiTheme="minorHAnsi" w:hAnsiTheme="minorHAnsi" w:cstheme="minorHAnsi"/>
                <w:noProof/>
                <w:webHidden/>
              </w:rPr>
              <w:fldChar w:fldCharType="begin"/>
            </w:r>
            <w:r w:rsidR="00C13F1E" w:rsidRPr="00C13F1E">
              <w:rPr>
                <w:rFonts w:asciiTheme="minorHAnsi" w:hAnsiTheme="minorHAnsi" w:cstheme="minorHAnsi"/>
                <w:noProof/>
                <w:webHidden/>
              </w:rPr>
              <w:instrText xml:space="preserve"> PAGEREF _Toc484373015 \h </w:instrText>
            </w:r>
            <w:r w:rsidRPr="00C13F1E">
              <w:rPr>
                <w:rFonts w:asciiTheme="minorHAnsi" w:hAnsiTheme="minorHAnsi" w:cstheme="minorHAnsi"/>
                <w:noProof/>
                <w:webHidden/>
              </w:rPr>
            </w:r>
            <w:r w:rsidRPr="00C13F1E">
              <w:rPr>
                <w:rFonts w:asciiTheme="minorHAnsi" w:hAnsiTheme="minorHAnsi" w:cstheme="minorHAnsi"/>
                <w:noProof/>
                <w:webHidden/>
              </w:rPr>
              <w:fldChar w:fldCharType="separate"/>
            </w:r>
            <w:r w:rsidR="002D5E45">
              <w:rPr>
                <w:rFonts w:asciiTheme="minorHAnsi" w:hAnsiTheme="minorHAnsi" w:cstheme="minorHAnsi"/>
                <w:noProof/>
                <w:webHidden/>
              </w:rPr>
              <w:t>18</w:t>
            </w:r>
            <w:r w:rsidRPr="00C13F1E">
              <w:rPr>
                <w:rFonts w:asciiTheme="minorHAnsi" w:hAnsiTheme="minorHAnsi" w:cstheme="minorHAnsi"/>
                <w:noProof/>
                <w:webHidden/>
              </w:rPr>
              <w:fldChar w:fldCharType="end"/>
            </w:r>
          </w:hyperlink>
        </w:p>
        <w:p w:rsidR="00C13F1E" w:rsidRPr="00C13F1E" w:rsidRDefault="000D71A3">
          <w:pPr>
            <w:pStyle w:val="TOC3"/>
            <w:tabs>
              <w:tab w:val="right" w:leader="dot" w:pos="9061"/>
            </w:tabs>
            <w:rPr>
              <w:rFonts w:asciiTheme="minorHAnsi" w:eastAsiaTheme="minorEastAsia" w:hAnsiTheme="minorHAnsi" w:cstheme="minorHAnsi"/>
              <w:noProof/>
              <w:color w:val="auto"/>
              <w:lang w:val="en-US"/>
            </w:rPr>
          </w:pPr>
          <w:hyperlink w:anchor="_Toc484373016" w:history="1">
            <w:r w:rsidR="00C13F1E" w:rsidRPr="00C13F1E">
              <w:rPr>
                <w:rStyle w:val="Hyperlink"/>
                <w:rFonts w:asciiTheme="minorHAnsi" w:hAnsiTheme="minorHAnsi" w:cstheme="minorHAnsi"/>
                <w:noProof/>
              </w:rPr>
              <w:t>3.3.7 Prerađivačka industrija</w:t>
            </w:r>
            <w:r w:rsidR="00C13F1E" w:rsidRPr="00C13F1E">
              <w:rPr>
                <w:rFonts w:asciiTheme="minorHAnsi" w:hAnsiTheme="minorHAnsi" w:cstheme="minorHAnsi"/>
                <w:noProof/>
                <w:webHidden/>
              </w:rPr>
              <w:tab/>
            </w:r>
            <w:r w:rsidRPr="00C13F1E">
              <w:rPr>
                <w:rFonts w:asciiTheme="minorHAnsi" w:hAnsiTheme="minorHAnsi" w:cstheme="minorHAnsi"/>
                <w:noProof/>
                <w:webHidden/>
              </w:rPr>
              <w:fldChar w:fldCharType="begin"/>
            </w:r>
            <w:r w:rsidR="00C13F1E" w:rsidRPr="00C13F1E">
              <w:rPr>
                <w:rFonts w:asciiTheme="minorHAnsi" w:hAnsiTheme="minorHAnsi" w:cstheme="minorHAnsi"/>
                <w:noProof/>
                <w:webHidden/>
              </w:rPr>
              <w:instrText xml:space="preserve"> PAGEREF _Toc484373016 \h </w:instrText>
            </w:r>
            <w:r w:rsidRPr="00C13F1E">
              <w:rPr>
                <w:rFonts w:asciiTheme="minorHAnsi" w:hAnsiTheme="minorHAnsi" w:cstheme="minorHAnsi"/>
                <w:noProof/>
                <w:webHidden/>
              </w:rPr>
            </w:r>
            <w:r w:rsidRPr="00C13F1E">
              <w:rPr>
                <w:rFonts w:asciiTheme="minorHAnsi" w:hAnsiTheme="minorHAnsi" w:cstheme="minorHAnsi"/>
                <w:noProof/>
                <w:webHidden/>
              </w:rPr>
              <w:fldChar w:fldCharType="separate"/>
            </w:r>
            <w:r w:rsidR="002D5E45">
              <w:rPr>
                <w:rFonts w:asciiTheme="minorHAnsi" w:hAnsiTheme="minorHAnsi" w:cstheme="minorHAnsi"/>
                <w:noProof/>
                <w:webHidden/>
              </w:rPr>
              <w:t>19</w:t>
            </w:r>
            <w:r w:rsidRPr="00C13F1E">
              <w:rPr>
                <w:rFonts w:asciiTheme="minorHAnsi" w:hAnsiTheme="minorHAnsi" w:cstheme="minorHAnsi"/>
                <w:noProof/>
                <w:webHidden/>
              </w:rPr>
              <w:fldChar w:fldCharType="end"/>
            </w:r>
          </w:hyperlink>
        </w:p>
        <w:p w:rsidR="00C13F1E" w:rsidRPr="00C13F1E" w:rsidRDefault="000D71A3">
          <w:pPr>
            <w:pStyle w:val="TOC3"/>
            <w:tabs>
              <w:tab w:val="right" w:leader="dot" w:pos="9061"/>
            </w:tabs>
            <w:rPr>
              <w:rFonts w:asciiTheme="minorHAnsi" w:eastAsiaTheme="minorEastAsia" w:hAnsiTheme="minorHAnsi" w:cstheme="minorHAnsi"/>
              <w:noProof/>
              <w:color w:val="auto"/>
              <w:lang w:val="en-US"/>
            </w:rPr>
          </w:pPr>
          <w:hyperlink w:anchor="_Toc484373017" w:history="1">
            <w:r w:rsidR="00C13F1E" w:rsidRPr="00C13F1E">
              <w:rPr>
                <w:rStyle w:val="Hyperlink"/>
                <w:rFonts w:asciiTheme="minorHAnsi" w:hAnsiTheme="minorHAnsi" w:cstheme="minorHAnsi"/>
                <w:noProof/>
              </w:rPr>
              <w:t>3.3.8 Poljoprivreda, ruralni razvoj i šumarstvo</w:t>
            </w:r>
            <w:r w:rsidR="00C13F1E" w:rsidRPr="00C13F1E">
              <w:rPr>
                <w:rFonts w:asciiTheme="minorHAnsi" w:hAnsiTheme="minorHAnsi" w:cstheme="minorHAnsi"/>
                <w:noProof/>
                <w:webHidden/>
              </w:rPr>
              <w:tab/>
            </w:r>
            <w:r w:rsidRPr="00C13F1E">
              <w:rPr>
                <w:rFonts w:asciiTheme="minorHAnsi" w:hAnsiTheme="minorHAnsi" w:cstheme="minorHAnsi"/>
                <w:noProof/>
                <w:webHidden/>
              </w:rPr>
              <w:fldChar w:fldCharType="begin"/>
            </w:r>
            <w:r w:rsidR="00C13F1E" w:rsidRPr="00C13F1E">
              <w:rPr>
                <w:rFonts w:asciiTheme="minorHAnsi" w:hAnsiTheme="minorHAnsi" w:cstheme="minorHAnsi"/>
                <w:noProof/>
                <w:webHidden/>
              </w:rPr>
              <w:instrText xml:space="preserve"> PAGEREF _Toc484373017 \h </w:instrText>
            </w:r>
            <w:r w:rsidRPr="00C13F1E">
              <w:rPr>
                <w:rFonts w:asciiTheme="minorHAnsi" w:hAnsiTheme="minorHAnsi" w:cstheme="minorHAnsi"/>
                <w:noProof/>
                <w:webHidden/>
              </w:rPr>
            </w:r>
            <w:r w:rsidRPr="00C13F1E">
              <w:rPr>
                <w:rFonts w:asciiTheme="minorHAnsi" w:hAnsiTheme="minorHAnsi" w:cstheme="minorHAnsi"/>
                <w:noProof/>
                <w:webHidden/>
              </w:rPr>
              <w:fldChar w:fldCharType="separate"/>
            </w:r>
            <w:r w:rsidR="002D5E45">
              <w:rPr>
                <w:rFonts w:asciiTheme="minorHAnsi" w:hAnsiTheme="minorHAnsi" w:cstheme="minorHAnsi"/>
                <w:noProof/>
                <w:webHidden/>
              </w:rPr>
              <w:t>19</w:t>
            </w:r>
            <w:r w:rsidRPr="00C13F1E">
              <w:rPr>
                <w:rFonts w:asciiTheme="minorHAnsi" w:hAnsiTheme="minorHAnsi" w:cstheme="minorHAnsi"/>
                <w:noProof/>
                <w:webHidden/>
              </w:rPr>
              <w:fldChar w:fldCharType="end"/>
            </w:r>
          </w:hyperlink>
        </w:p>
        <w:p w:rsidR="00C13F1E" w:rsidRPr="00C13F1E" w:rsidRDefault="000D71A3">
          <w:pPr>
            <w:pStyle w:val="TOC3"/>
            <w:tabs>
              <w:tab w:val="right" w:leader="dot" w:pos="9061"/>
            </w:tabs>
            <w:rPr>
              <w:rFonts w:asciiTheme="minorHAnsi" w:eastAsiaTheme="minorEastAsia" w:hAnsiTheme="minorHAnsi" w:cstheme="minorHAnsi"/>
              <w:noProof/>
              <w:color w:val="auto"/>
              <w:lang w:val="en-US"/>
            </w:rPr>
          </w:pPr>
          <w:hyperlink w:anchor="_Toc484373018" w:history="1">
            <w:r w:rsidR="00C13F1E" w:rsidRPr="00C13F1E">
              <w:rPr>
                <w:rStyle w:val="Hyperlink"/>
                <w:rFonts w:asciiTheme="minorHAnsi" w:hAnsiTheme="minorHAnsi" w:cstheme="minorHAnsi"/>
                <w:noProof/>
              </w:rPr>
              <w:t>3.3.9 Turizam</w:t>
            </w:r>
            <w:r w:rsidR="00C13F1E" w:rsidRPr="00C13F1E">
              <w:rPr>
                <w:rFonts w:asciiTheme="minorHAnsi" w:hAnsiTheme="minorHAnsi" w:cstheme="minorHAnsi"/>
                <w:noProof/>
                <w:webHidden/>
              </w:rPr>
              <w:tab/>
            </w:r>
            <w:r w:rsidRPr="00C13F1E">
              <w:rPr>
                <w:rFonts w:asciiTheme="minorHAnsi" w:hAnsiTheme="minorHAnsi" w:cstheme="minorHAnsi"/>
                <w:noProof/>
                <w:webHidden/>
              </w:rPr>
              <w:fldChar w:fldCharType="begin"/>
            </w:r>
            <w:r w:rsidR="00C13F1E" w:rsidRPr="00C13F1E">
              <w:rPr>
                <w:rFonts w:asciiTheme="minorHAnsi" w:hAnsiTheme="minorHAnsi" w:cstheme="minorHAnsi"/>
                <w:noProof/>
                <w:webHidden/>
              </w:rPr>
              <w:instrText xml:space="preserve"> PAGEREF _Toc484373018 \h </w:instrText>
            </w:r>
            <w:r w:rsidRPr="00C13F1E">
              <w:rPr>
                <w:rFonts w:asciiTheme="minorHAnsi" w:hAnsiTheme="minorHAnsi" w:cstheme="minorHAnsi"/>
                <w:noProof/>
                <w:webHidden/>
              </w:rPr>
            </w:r>
            <w:r w:rsidRPr="00C13F1E">
              <w:rPr>
                <w:rFonts w:asciiTheme="minorHAnsi" w:hAnsiTheme="minorHAnsi" w:cstheme="minorHAnsi"/>
                <w:noProof/>
                <w:webHidden/>
              </w:rPr>
              <w:fldChar w:fldCharType="separate"/>
            </w:r>
            <w:r w:rsidR="002D5E45">
              <w:rPr>
                <w:rFonts w:asciiTheme="minorHAnsi" w:hAnsiTheme="minorHAnsi" w:cstheme="minorHAnsi"/>
                <w:noProof/>
                <w:webHidden/>
              </w:rPr>
              <w:t>20</w:t>
            </w:r>
            <w:r w:rsidRPr="00C13F1E">
              <w:rPr>
                <w:rFonts w:asciiTheme="minorHAnsi" w:hAnsiTheme="minorHAnsi" w:cstheme="minorHAnsi"/>
                <w:noProof/>
                <w:webHidden/>
              </w:rPr>
              <w:fldChar w:fldCharType="end"/>
            </w:r>
          </w:hyperlink>
        </w:p>
        <w:p w:rsidR="00C13F1E" w:rsidRPr="00C13F1E" w:rsidRDefault="000D71A3">
          <w:pPr>
            <w:pStyle w:val="TOC3"/>
            <w:tabs>
              <w:tab w:val="right" w:leader="dot" w:pos="9061"/>
            </w:tabs>
            <w:rPr>
              <w:rFonts w:asciiTheme="minorHAnsi" w:eastAsiaTheme="minorEastAsia" w:hAnsiTheme="minorHAnsi" w:cstheme="minorHAnsi"/>
              <w:noProof/>
              <w:color w:val="auto"/>
              <w:lang w:val="en-US"/>
            </w:rPr>
          </w:pPr>
          <w:hyperlink w:anchor="_Toc484373019" w:history="1">
            <w:r w:rsidR="00C13F1E" w:rsidRPr="00C13F1E">
              <w:rPr>
                <w:rStyle w:val="Hyperlink"/>
                <w:rFonts w:asciiTheme="minorHAnsi" w:hAnsiTheme="minorHAnsi" w:cstheme="minorHAnsi"/>
                <w:noProof/>
              </w:rPr>
              <w:t>3.3.10 Razvoj infrastrukture</w:t>
            </w:r>
            <w:r w:rsidR="00C13F1E" w:rsidRPr="00C13F1E">
              <w:rPr>
                <w:rFonts w:asciiTheme="minorHAnsi" w:hAnsiTheme="minorHAnsi" w:cstheme="minorHAnsi"/>
                <w:noProof/>
                <w:webHidden/>
              </w:rPr>
              <w:tab/>
            </w:r>
            <w:r w:rsidRPr="00C13F1E">
              <w:rPr>
                <w:rFonts w:asciiTheme="minorHAnsi" w:hAnsiTheme="minorHAnsi" w:cstheme="minorHAnsi"/>
                <w:noProof/>
                <w:webHidden/>
              </w:rPr>
              <w:fldChar w:fldCharType="begin"/>
            </w:r>
            <w:r w:rsidR="00C13F1E" w:rsidRPr="00C13F1E">
              <w:rPr>
                <w:rFonts w:asciiTheme="minorHAnsi" w:hAnsiTheme="minorHAnsi" w:cstheme="minorHAnsi"/>
                <w:noProof/>
                <w:webHidden/>
              </w:rPr>
              <w:instrText xml:space="preserve"> PAGEREF _Toc484373019 \h </w:instrText>
            </w:r>
            <w:r w:rsidRPr="00C13F1E">
              <w:rPr>
                <w:rFonts w:asciiTheme="minorHAnsi" w:hAnsiTheme="minorHAnsi" w:cstheme="minorHAnsi"/>
                <w:noProof/>
                <w:webHidden/>
              </w:rPr>
            </w:r>
            <w:r w:rsidRPr="00C13F1E">
              <w:rPr>
                <w:rFonts w:asciiTheme="minorHAnsi" w:hAnsiTheme="minorHAnsi" w:cstheme="minorHAnsi"/>
                <w:noProof/>
                <w:webHidden/>
              </w:rPr>
              <w:fldChar w:fldCharType="separate"/>
            </w:r>
            <w:r w:rsidR="002D5E45">
              <w:rPr>
                <w:rFonts w:asciiTheme="minorHAnsi" w:hAnsiTheme="minorHAnsi" w:cstheme="minorHAnsi"/>
                <w:noProof/>
                <w:webHidden/>
              </w:rPr>
              <w:t>20</w:t>
            </w:r>
            <w:r w:rsidRPr="00C13F1E">
              <w:rPr>
                <w:rFonts w:asciiTheme="minorHAnsi" w:hAnsiTheme="minorHAnsi" w:cstheme="minorHAnsi"/>
                <w:noProof/>
                <w:webHidden/>
              </w:rPr>
              <w:fldChar w:fldCharType="end"/>
            </w:r>
          </w:hyperlink>
        </w:p>
        <w:p w:rsidR="00C13F1E" w:rsidRPr="00C13F1E" w:rsidRDefault="000D71A3">
          <w:pPr>
            <w:pStyle w:val="TOC3"/>
            <w:tabs>
              <w:tab w:val="right" w:leader="dot" w:pos="9061"/>
            </w:tabs>
            <w:rPr>
              <w:rFonts w:asciiTheme="minorHAnsi" w:eastAsiaTheme="minorEastAsia" w:hAnsiTheme="minorHAnsi" w:cstheme="minorHAnsi"/>
              <w:noProof/>
              <w:color w:val="auto"/>
              <w:lang w:val="en-US"/>
            </w:rPr>
          </w:pPr>
          <w:hyperlink w:anchor="_Toc484373020" w:history="1">
            <w:r w:rsidR="00C13F1E" w:rsidRPr="00C13F1E">
              <w:rPr>
                <w:rStyle w:val="Hyperlink"/>
                <w:rFonts w:asciiTheme="minorHAnsi" w:hAnsiTheme="minorHAnsi" w:cstheme="minorHAnsi"/>
                <w:noProof/>
              </w:rPr>
              <w:t>3.3.10.1 Saobraćaj</w:t>
            </w:r>
            <w:r w:rsidR="00C13F1E" w:rsidRPr="00C13F1E">
              <w:rPr>
                <w:rFonts w:asciiTheme="minorHAnsi" w:hAnsiTheme="minorHAnsi" w:cstheme="minorHAnsi"/>
                <w:noProof/>
                <w:webHidden/>
              </w:rPr>
              <w:tab/>
            </w:r>
            <w:r w:rsidRPr="00C13F1E">
              <w:rPr>
                <w:rFonts w:asciiTheme="minorHAnsi" w:hAnsiTheme="minorHAnsi" w:cstheme="minorHAnsi"/>
                <w:noProof/>
                <w:webHidden/>
              </w:rPr>
              <w:fldChar w:fldCharType="begin"/>
            </w:r>
            <w:r w:rsidR="00C13F1E" w:rsidRPr="00C13F1E">
              <w:rPr>
                <w:rFonts w:asciiTheme="minorHAnsi" w:hAnsiTheme="minorHAnsi" w:cstheme="minorHAnsi"/>
                <w:noProof/>
                <w:webHidden/>
              </w:rPr>
              <w:instrText xml:space="preserve"> PAGEREF _Toc484373020 \h </w:instrText>
            </w:r>
            <w:r w:rsidRPr="00C13F1E">
              <w:rPr>
                <w:rFonts w:asciiTheme="minorHAnsi" w:hAnsiTheme="minorHAnsi" w:cstheme="minorHAnsi"/>
                <w:noProof/>
                <w:webHidden/>
              </w:rPr>
            </w:r>
            <w:r w:rsidRPr="00C13F1E">
              <w:rPr>
                <w:rFonts w:asciiTheme="minorHAnsi" w:hAnsiTheme="minorHAnsi" w:cstheme="minorHAnsi"/>
                <w:noProof/>
                <w:webHidden/>
              </w:rPr>
              <w:fldChar w:fldCharType="separate"/>
            </w:r>
            <w:r w:rsidR="002D5E45">
              <w:rPr>
                <w:rFonts w:asciiTheme="minorHAnsi" w:hAnsiTheme="minorHAnsi" w:cstheme="minorHAnsi"/>
                <w:noProof/>
                <w:webHidden/>
              </w:rPr>
              <w:t>20</w:t>
            </w:r>
            <w:r w:rsidRPr="00C13F1E">
              <w:rPr>
                <w:rFonts w:asciiTheme="minorHAnsi" w:hAnsiTheme="minorHAnsi" w:cstheme="minorHAnsi"/>
                <w:noProof/>
                <w:webHidden/>
              </w:rPr>
              <w:fldChar w:fldCharType="end"/>
            </w:r>
          </w:hyperlink>
        </w:p>
        <w:p w:rsidR="00C13F1E" w:rsidRPr="00C13F1E" w:rsidRDefault="000D71A3">
          <w:pPr>
            <w:pStyle w:val="TOC3"/>
            <w:tabs>
              <w:tab w:val="right" w:leader="dot" w:pos="9061"/>
            </w:tabs>
            <w:rPr>
              <w:rFonts w:asciiTheme="minorHAnsi" w:eastAsiaTheme="minorEastAsia" w:hAnsiTheme="minorHAnsi" w:cstheme="minorHAnsi"/>
              <w:noProof/>
              <w:color w:val="auto"/>
              <w:lang w:val="en-US"/>
            </w:rPr>
          </w:pPr>
          <w:hyperlink w:anchor="_Toc484373021" w:history="1">
            <w:r w:rsidR="00C13F1E" w:rsidRPr="00C13F1E">
              <w:rPr>
                <w:rStyle w:val="Hyperlink"/>
                <w:rFonts w:asciiTheme="minorHAnsi" w:hAnsiTheme="minorHAnsi" w:cstheme="minorHAnsi"/>
                <w:noProof/>
              </w:rPr>
              <w:t>3.3.10.2 Energetika</w:t>
            </w:r>
            <w:r w:rsidR="00C13F1E" w:rsidRPr="00C13F1E">
              <w:rPr>
                <w:rFonts w:asciiTheme="minorHAnsi" w:hAnsiTheme="minorHAnsi" w:cstheme="minorHAnsi"/>
                <w:noProof/>
                <w:webHidden/>
              </w:rPr>
              <w:tab/>
            </w:r>
            <w:r w:rsidRPr="00C13F1E">
              <w:rPr>
                <w:rFonts w:asciiTheme="minorHAnsi" w:hAnsiTheme="minorHAnsi" w:cstheme="minorHAnsi"/>
                <w:noProof/>
                <w:webHidden/>
              </w:rPr>
              <w:fldChar w:fldCharType="begin"/>
            </w:r>
            <w:r w:rsidR="00C13F1E" w:rsidRPr="00C13F1E">
              <w:rPr>
                <w:rFonts w:asciiTheme="minorHAnsi" w:hAnsiTheme="minorHAnsi" w:cstheme="minorHAnsi"/>
                <w:noProof/>
                <w:webHidden/>
              </w:rPr>
              <w:instrText xml:space="preserve"> PAGEREF _Toc484373021 \h </w:instrText>
            </w:r>
            <w:r w:rsidRPr="00C13F1E">
              <w:rPr>
                <w:rFonts w:asciiTheme="minorHAnsi" w:hAnsiTheme="minorHAnsi" w:cstheme="minorHAnsi"/>
                <w:noProof/>
                <w:webHidden/>
              </w:rPr>
            </w:r>
            <w:r w:rsidRPr="00C13F1E">
              <w:rPr>
                <w:rFonts w:asciiTheme="minorHAnsi" w:hAnsiTheme="minorHAnsi" w:cstheme="minorHAnsi"/>
                <w:noProof/>
                <w:webHidden/>
              </w:rPr>
              <w:fldChar w:fldCharType="separate"/>
            </w:r>
            <w:r w:rsidR="002D5E45">
              <w:rPr>
                <w:rFonts w:asciiTheme="minorHAnsi" w:hAnsiTheme="minorHAnsi" w:cstheme="minorHAnsi"/>
                <w:noProof/>
                <w:webHidden/>
              </w:rPr>
              <w:t>20</w:t>
            </w:r>
            <w:r w:rsidRPr="00C13F1E">
              <w:rPr>
                <w:rFonts w:asciiTheme="minorHAnsi" w:hAnsiTheme="minorHAnsi" w:cstheme="minorHAnsi"/>
                <w:noProof/>
                <w:webHidden/>
              </w:rPr>
              <w:fldChar w:fldCharType="end"/>
            </w:r>
          </w:hyperlink>
        </w:p>
        <w:p w:rsidR="00C13F1E" w:rsidRPr="00C13F1E" w:rsidRDefault="000D71A3">
          <w:pPr>
            <w:pStyle w:val="TOC3"/>
            <w:tabs>
              <w:tab w:val="right" w:leader="dot" w:pos="9061"/>
            </w:tabs>
            <w:rPr>
              <w:rFonts w:asciiTheme="minorHAnsi" w:eastAsiaTheme="minorEastAsia" w:hAnsiTheme="minorHAnsi" w:cstheme="minorHAnsi"/>
              <w:noProof/>
              <w:color w:val="auto"/>
              <w:lang w:val="en-US"/>
            </w:rPr>
          </w:pPr>
          <w:hyperlink w:anchor="_Toc484373022" w:history="1">
            <w:r w:rsidR="00C13F1E" w:rsidRPr="00C13F1E">
              <w:rPr>
                <w:rStyle w:val="Hyperlink"/>
                <w:rFonts w:asciiTheme="minorHAnsi" w:hAnsiTheme="minorHAnsi" w:cstheme="minorHAnsi"/>
                <w:noProof/>
              </w:rPr>
              <w:t>3.3.10.3 Komunalna infrastruktura</w:t>
            </w:r>
            <w:r w:rsidR="00C13F1E" w:rsidRPr="00C13F1E">
              <w:rPr>
                <w:rFonts w:asciiTheme="minorHAnsi" w:hAnsiTheme="minorHAnsi" w:cstheme="minorHAnsi"/>
                <w:noProof/>
                <w:webHidden/>
              </w:rPr>
              <w:tab/>
            </w:r>
            <w:r w:rsidRPr="00C13F1E">
              <w:rPr>
                <w:rFonts w:asciiTheme="minorHAnsi" w:hAnsiTheme="minorHAnsi" w:cstheme="minorHAnsi"/>
                <w:noProof/>
                <w:webHidden/>
              </w:rPr>
              <w:fldChar w:fldCharType="begin"/>
            </w:r>
            <w:r w:rsidR="00C13F1E" w:rsidRPr="00C13F1E">
              <w:rPr>
                <w:rFonts w:asciiTheme="minorHAnsi" w:hAnsiTheme="minorHAnsi" w:cstheme="minorHAnsi"/>
                <w:noProof/>
                <w:webHidden/>
              </w:rPr>
              <w:instrText xml:space="preserve"> PAGEREF _Toc484373022 \h </w:instrText>
            </w:r>
            <w:r w:rsidRPr="00C13F1E">
              <w:rPr>
                <w:rFonts w:asciiTheme="minorHAnsi" w:hAnsiTheme="minorHAnsi" w:cstheme="minorHAnsi"/>
                <w:noProof/>
                <w:webHidden/>
              </w:rPr>
            </w:r>
            <w:r w:rsidRPr="00C13F1E">
              <w:rPr>
                <w:rFonts w:asciiTheme="minorHAnsi" w:hAnsiTheme="minorHAnsi" w:cstheme="minorHAnsi"/>
                <w:noProof/>
                <w:webHidden/>
              </w:rPr>
              <w:fldChar w:fldCharType="separate"/>
            </w:r>
            <w:r w:rsidR="002D5E45">
              <w:rPr>
                <w:rFonts w:asciiTheme="minorHAnsi" w:hAnsiTheme="minorHAnsi" w:cstheme="minorHAnsi"/>
                <w:noProof/>
                <w:webHidden/>
              </w:rPr>
              <w:t>21</w:t>
            </w:r>
            <w:r w:rsidRPr="00C13F1E">
              <w:rPr>
                <w:rFonts w:asciiTheme="minorHAnsi" w:hAnsiTheme="minorHAnsi" w:cstheme="minorHAnsi"/>
                <w:noProof/>
                <w:webHidden/>
              </w:rPr>
              <w:fldChar w:fldCharType="end"/>
            </w:r>
          </w:hyperlink>
        </w:p>
        <w:p w:rsidR="00C13F1E" w:rsidRPr="00C13F1E" w:rsidRDefault="000D71A3">
          <w:pPr>
            <w:pStyle w:val="TOC3"/>
            <w:tabs>
              <w:tab w:val="right" w:leader="dot" w:pos="9061"/>
            </w:tabs>
            <w:rPr>
              <w:rFonts w:asciiTheme="minorHAnsi" w:eastAsiaTheme="minorEastAsia" w:hAnsiTheme="minorHAnsi" w:cstheme="minorHAnsi"/>
              <w:noProof/>
              <w:color w:val="auto"/>
              <w:lang w:val="en-US"/>
            </w:rPr>
          </w:pPr>
          <w:hyperlink w:anchor="_Toc484373023" w:history="1">
            <w:r w:rsidR="00C13F1E" w:rsidRPr="00C13F1E">
              <w:rPr>
                <w:rStyle w:val="Hyperlink"/>
                <w:rFonts w:asciiTheme="minorHAnsi" w:hAnsiTheme="minorHAnsi" w:cstheme="minorHAnsi"/>
                <w:noProof/>
              </w:rPr>
              <w:t>3.3.10.4 Ruralna infrastruktura</w:t>
            </w:r>
            <w:r w:rsidR="00C13F1E" w:rsidRPr="00C13F1E">
              <w:rPr>
                <w:rFonts w:asciiTheme="minorHAnsi" w:hAnsiTheme="minorHAnsi" w:cstheme="minorHAnsi"/>
                <w:noProof/>
                <w:webHidden/>
              </w:rPr>
              <w:tab/>
            </w:r>
            <w:r w:rsidRPr="00C13F1E">
              <w:rPr>
                <w:rFonts w:asciiTheme="minorHAnsi" w:hAnsiTheme="minorHAnsi" w:cstheme="minorHAnsi"/>
                <w:noProof/>
                <w:webHidden/>
              </w:rPr>
              <w:fldChar w:fldCharType="begin"/>
            </w:r>
            <w:r w:rsidR="00C13F1E" w:rsidRPr="00C13F1E">
              <w:rPr>
                <w:rFonts w:asciiTheme="minorHAnsi" w:hAnsiTheme="minorHAnsi" w:cstheme="minorHAnsi"/>
                <w:noProof/>
                <w:webHidden/>
              </w:rPr>
              <w:instrText xml:space="preserve"> PAGEREF _Toc484373023 \h </w:instrText>
            </w:r>
            <w:r w:rsidRPr="00C13F1E">
              <w:rPr>
                <w:rFonts w:asciiTheme="minorHAnsi" w:hAnsiTheme="minorHAnsi" w:cstheme="minorHAnsi"/>
                <w:noProof/>
                <w:webHidden/>
              </w:rPr>
            </w:r>
            <w:r w:rsidRPr="00C13F1E">
              <w:rPr>
                <w:rFonts w:asciiTheme="minorHAnsi" w:hAnsiTheme="minorHAnsi" w:cstheme="minorHAnsi"/>
                <w:noProof/>
                <w:webHidden/>
              </w:rPr>
              <w:fldChar w:fldCharType="separate"/>
            </w:r>
            <w:r w:rsidR="002D5E45">
              <w:rPr>
                <w:rFonts w:asciiTheme="minorHAnsi" w:hAnsiTheme="minorHAnsi" w:cstheme="minorHAnsi"/>
                <w:noProof/>
                <w:webHidden/>
              </w:rPr>
              <w:t>21</w:t>
            </w:r>
            <w:r w:rsidRPr="00C13F1E">
              <w:rPr>
                <w:rFonts w:asciiTheme="minorHAnsi" w:hAnsiTheme="minorHAnsi" w:cstheme="minorHAnsi"/>
                <w:noProof/>
                <w:webHidden/>
              </w:rPr>
              <w:fldChar w:fldCharType="end"/>
            </w:r>
          </w:hyperlink>
        </w:p>
        <w:p w:rsidR="00C13F1E" w:rsidRPr="00C13F1E" w:rsidRDefault="000D71A3">
          <w:pPr>
            <w:pStyle w:val="TOC3"/>
            <w:tabs>
              <w:tab w:val="right" w:leader="dot" w:pos="9061"/>
            </w:tabs>
            <w:rPr>
              <w:rFonts w:asciiTheme="minorHAnsi" w:eastAsiaTheme="minorEastAsia" w:hAnsiTheme="minorHAnsi" w:cstheme="minorHAnsi"/>
              <w:noProof/>
              <w:color w:val="auto"/>
              <w:lang w:val="en-US"/>
            </w:rPr>
          </w:pPr>
          <w:hyperlink w:anchor="_Toc484373024" w:history="1">
            <w:r w:rsidR="00C13F1E" w:rsidRPr="00C13F1E">
              <w:rPr>
                <w:rStyle w:val="Hyperlink"/>
                <w:rFonts w:asciiTheme="minorHAnsi" w:hAnsiTheme="minorHAnsi" w:cstheme="minorHAnsi"/>
                <w:noProof/>
              </w:rPr>
              <w:t>3.3.10.4 Infrastruktura informacionih i komunikacionih tehnologija</w:t>
            </w:r>
            <w:r w:rsidR="00C13F1E" w:rsidRPr="00C13F1E">
              <w:rPr>
                <w:rFonts w:asciiTheme="minorHAnsi" w:hAnsiTheme="minorHAnsi" w:cstheme="minorHAnsi"/>
                <w:noProof/>
                <w:webHidden/>
              </w:rPr>
              <w:tab/>
            </w:r>
            <w:r w:rsidRPr="00C13F1E">
              <w:rPr>
                <w:rFonts w:asciiTheme="minorHAnsi" w:hAnsiTheme="minorHAnsi" w:cstheme="minorHAnsi"/>
                <w:noProof/>
                <w:webHidden/>
              </w:rPr>
              <w:fldChar w:fldCharType="begin"/>
            </w:r>
            <w:r w:rsidR="00C13F1E" w:rsidRPr="00C13F1E">
              <w:rPr>
                <w:rFonts w:asciiTheme="minorHAnsi" w:hAnsiTheme="minorHAnsi" w:cstheme="minorHAnsi"/>
                <w:noProof/>
                <w:webHidden/>
              </w:rPr>
              <w:instrText xml:space="preserve"> PAGEREF _Toc484373024 \h </w:instrText>
            </w:r>
            <w:r w:rsidRPr="00C13F1E">
              <w:rPr>
                <w:rFonts w:asciiTheme="minorHAnsi" w:hAnsiTheme="minorHAnsi" w:cstheme="minorHAnsi"/>
                <w:noProof/>
                <w:webHidden/>
              </w:rPr>
            </w:r>
            <w:r w:rsidRPr="00C13F1E">
              <w:rPr>
                <w:rFonts w:asciiTheme="minorHAnsi" w:hAnsiTheme="minorHAnsi" w:cstheme="minorHAnsi"/>
                <w:noProof/>
                <w:webHidden/>
              </w:rPr>
              <w:fldChar w:fldCharType="separate"/>
            </w:r>
            <w:r w:rsidR="002D5E45">
              <w:rPr>
                <w:rFonts w:asciiTheme="minorHAnsi" w:hAnsiTheme="minorHAnsi" w:cstheme="minorHAnsi"/>
                <w:noProof/>
                <w:webHidden/>
              </w:rPr>
              <w:t>21</w:t>
            </w:r>
            <w:r w:rsidRPr="00C13F1E">
              <w:rPr>
                <w:rFonts w:asciiTheme="minorHAnsi" w:hAnsiTheme="minorHAnsi" w:cstheme="minorHAnsi"/>
                <w:noProof/>
                <w:webHidden/>
              </w:rPr>
              <w:fldChar w:fldCharType="end"/>
            </w:r>
          </w:hyperlink>
        </w:p>
        <w:p w:rsidR="00C13F1E" w:rsidRPr="00C13F1E" w:rsidRDefault="000D71A3">
          <w:pPr>
            <w:pStyle w:val="TOC1"/>
            <w:rPr>
              <w:rFonts w:eastAsiaTheme="minorEastAsia" w:cstheme="minorHAnsi"/>
              <w:b w:val="0"/>
              <w:color w:val="auto"/>
              <w:sz w:val="24"/>
              <w:szCs w:val="24"/>
              <w:lang w:val="en-US"/>
            </w:rPr>
          </w:pPr>
          <w:hyperlink w:anchor="_Toc484373025" w:history="1">
            <w:r w:rsidR="00C13F1E" w:rsidRPr="00C13F1E">
              <w:rPr>
                <w:rStyle w:val="Hyperlink"/>
                <w:rFonts w:cstheme="minorHAnsi"/>
                <w:sz w:val="24"/>
                <w:szCs w:val="24"/>
              </w:rPr>
              <w:t>4</w:t>
            </w:r>
            <w:r w:rsidR="00C13F1E" w:rsidRPr="00C13F1E">
              <w:rPr>
                <w:rFonts w:eastAsiaTheme="minorEastAsia" w:cstheme="minorHAnsi"/>
                <w:b w:val="0"/>
                <w:color w:val="auto"/>
                <w:sz w:val="24"/>
                <w:szCs w:val="24"/>
                <w:lang w:val="en-US"/>
              </w:rPr>
              <w:tab/>
            </w:r>
            <w:r w:rsidR="00C13F1E" w:rsidRPr="00C13F1E">
              <w:rPr>
                <w:rStyle w:val="Hyperlink"/>
                <w:rFonts w:cstheme="minorHAnsi"/>
                <w:sz w:val="24"/>
                <w:szCs w:val="24"/>
              </w:rPr>
              <w:t>Efekti mjera ekonomske politike</w:t>
            </w:r>
            <w:r w:rsidR="00C13F1E" w:rsidRPr="00C13F1E">
              <w:rPr>
                <w:rFonts w:cstheme="minorHAnsi"/>
                <w:webHidden/>
                <w:sz w:val="24"/>
                <w:szCs w:val="24"/>
              </w:rPr>
              <w:tab/>
            </w:r>
            <w:r w:rsidRPr="00C13F1E">
              <w:rPr>
                <w:rFonts w:cstheme="minorHAnsi"/>
                <w:webHidden/>
                <w:sz w:val="24"/>
                <w:szCs w:val="24"/>
              </w:rPr>
              <w:fldChar w:fldCharType="begin"/>
            </w:r>
            <w:r w:rsidR="00C13F1E" w:rsidRPr="00C13F1E">
              <w:rPr>
                <w:rFonts w:cstheme="minorHAnsi"/>
                <w:webHidden/>
                <w:sz w:val="24"/>
                <w:szCs w:val="24"/>
              </w:rPr>
              <w:instrText xml:space="preserve"> PAGEREF _Toc484373025 \h </w:instrText>
            </w:r>
            <w:r w:rsidRPr="00C13F1E">
              <w:rPr>
                <w:rFonts w:cstheme="minorHAnsi"/>
                <w:webHidden/>
                <w:sz w:val="24"/>
                <w:szCs w:val="24"/>
              </w:rPr>
            </w:r>
            <w:r w:rsidRPr="00C13F1E">
              <w:rPr>
                <w:rFonts w:cstheme="minorHAnsi"/>
                <w:webHidden/>
                <w:sz w:val="24"/>
                <w:szCs w:val="24"/>
              </w:rPr>
              <w:fldChar w:fldCharType="separate"/>
            </w:r>
            <w:r w:rsidR="002D5E45">
              <w:rPr>
                <w:rFonts w:cstheme="minorHAnsi"/>
                <w:webHidden/>
                <w:sz w:val="24"/>
                <w:szCs w:val="24"/>
              </w:rPr>
              <w:t>22</w:t>
            </w:r>
            <w:r w:rsidRPr="00C13F1E">
              <w:rPr>
                <w:rFonts w:cstheme="minorHAnsi"/>
                <w:webHidden/>
                <w:sz w:val="24"/>
                <w:szCs w:val="24"/>
              </w:rPr>
              <w:fldChar w:fldCharType="end"/>
            </w:r>
          </w:hyperlink>
        </w:p>
        <w:p w:rsidR="00C13F1E" w:rsidRPr="00C13F1E" w:rsidRDefault="000D71A3">
          <w:pPr>
            <w:pStyle w:val="TOC2"/>
            <w:rPr>
              <w:rFonts w:asciiTheme="minorHAnsi" w:eastAsiaTheme="minorEastAsia" w:hAnsiTheme="minorHAnsi" w:cstheme="minorHAnsi"/>
              <w:b w:val="0"/>
              <w:color w:val="auto"/>
              <w:lang w:val="en-US"/>
            </w:rPr>
          </w:pPr>
          <w:hyperlink w:anchor="_Toc484373026" w:history="1">
            <w:r w:rsidR="00C13F1E" w:rsidRPr="00C13F1E">
              <w:rPr>
                <w:rStyle w:val="Hyperlink"/>
                <w:rFonts w:asciiTheme="minorHAnsi" w:hAnsiTheme="minorHAnsi" w:cstheme="minorHAnsi"/>
              </w:rPr>
              <w:t>4.1. Makroekonomske projekcije za period 2017-2020. godine</w:t>
            </w:r>
            <w:r w:rsidR="00C13F1E" w:rsidRPr="00C13F1E">
              <w:rPr>
                <w:rFonts w:asciiTheme="minorHAnsi" w:hAnsiTheme="minorHAnsi" w:cstheme="minorHAnsi"/>
                <w:webHidden/>
              </w:rPr>
              <w:tab/>
            </w:r>
            <w:r w:rsidRPr="00C13F1E">
              <w:rPr>
                <w:rFonts w:asciiTheme="minorHAnsi" w:hAnsiTheme="minorHAnsi" w:cstheme="minorHAnsi"/>
                <w:webHidden/>
              </w:rPr>
              <w:fldChar w:fldCharType="begin"/>
            </w:r>
            <w:r w:rsidR="00C13F1E" w:rsidRPr="00C13F1E">
              <w:rPr>
                <w:rFonts w:asciiTheme="minorHAnsi" w:hAnsiTheme="minorHAnsi" w:cstheme="minorHAnsi"/>
                <w:webHidden/>
              </w:rPr>
              <w:instrText xml:space="preserve"> PAGEREF _Toc484373026 \h </w:instrText>
            </w:r>
            <w:r w:rsidRPr="00C13F1E">
              <w:rPr>
                <w:rFonts w:asciiTheme="minorHAnsi" w:hAnsiTheme="minorHAnsi" w:cstheme="minorHAnsi"/>
                <w:webHidden/>
              </w:rPr>
            </w:r>
            <w:r w:rsidRPr="00C13F1E">
              <w:rPr>
                <w:rFonts w:asciiTheme="minorHAnsi" w:hAnsiTheme="minorHAnsi" w:cstheme="minorHAnsi"/>
                <w:webHidden/>
              </w:rPr>
              <w:fldChar w:fldCharType="separate"/>
            </w:r>
            <w:r w:rsidR="002D5E45">
              <w:rPr>
                <w:rFonts w:asciiTheme="minorHAnsi" w:hAnsiTheme="minorHAnsi" w:cstheme="minorHAnsi"/>
                <w:webHidden/>
              </w:rPr>
              <w:t>22</w:t>
            </w:r>
            <w:r w:rsidRPr="00C13F1E">
              <w:rPr>
                <w:rFonts w:asciiTheme="minorHAnsi" w:hAnsiTheme="minorHAnsi" w:cstheme="minorHAnsi"/>
                <w:webHidden/>
              </w:rPr>
              <w:fldChar w:fldCharType="end"/>
            </w:r>
          </w:hyperlink>
        </w:p>
        <w:p w:rsidR="00C13F1E" w:rsidRPr="00C13F1E" w:rsidRDefault="000D71A3">
          <w:pPr>
            <w:pStyle w:val="TOC2"/>
            <w:rPr>
              <w:rFonts w:asciiTheme="minorHAnsi" w:eastAsiaTheme="minorEastAsia" w:hAnsiTheme="minorHAnsi" w:cstheme="minorHAnsi"/>
              <w:b w:val="0"/>
              <w:color w:val="auto"/>
              <w:lang w:val="en-US"/>
            </w:rPr>
          </w:pPr>
          <w:hyperlink w:anchor="_Toc484373027" w:history="1">
            <w:r w:rsidR="00C13F1E" w:rsidRPr="00C13F1E">
              <w:rPr>
                <w:rStyle w:val="Hyperlink"/>
                <w:rFonts w:asciiTheme="minorHAnsi" w:hAnsiTheme="minorHAnsi" w:cstheme="minorHAnsi"/>
              </w:rPr>
              <w:t>4.2. Fiskalne projekcije za period 2017-2020. godine</w:t>
            </w:r>
            <w:r w:rsidR="00C13F1E" w:rsidRPr="00C13F1E">
              <w:rPr>
                <w:rFonts w:asciiTheme="minorHAnsi" w:hAnsiTheme="minorHAnsi" w:cstheme="minorHAnsi"/>
                <w:webHidden/>
              </w:rPr>
              <w:tab/>
            </w:r>
            <w:r w:rsidRPr="00C13F1E">
              <w:rPr>
                <w:rFonts w:asciiTheme="minorHAnsi" w:hAnsiTheme="minorHAnsi" w:cstheme="minorHAnsi"/>
                <w:webHidden/>
              </w:rPr>
              <w:fldChar w:fldCharType="begin"/>
            </w:r>
            <w:r w:rsidR="00C13F1E" w:rsidRPr="00C13F1E">
              <w:rPr>
                <w:rFonts w:asciiTheme="minorHAnsi" w:hAnsiTheme="minorHAnsi" w:cstheme="minorHAnsi"/>
                <w:webHidden/>
              </w:rPr>
              <w:instrText xml:space="preserve"> PAGEREF _Toc484373027 \h </w:instrText>
            </w:r>
            <w:r w:rsidRPr="00C13F1E">
              <w:rPr>
                <w:rFonts w:asciiTheme="minorHAnsi" w:hAnsiTheme="minorHAnsi" w:cstheme="minorHAnsi"/>
                <w:webHidden/>
              </w:rPr>
            </w:r>
            <w:r w:rsidRPr="00C13F1E">
              <w:rPr>
                <w:rFonts w:asciiTheme="minorHAnsi" w:hAnsiTheme="minorHAnsi" w:cstheme="minorHAnsi"/>
                <w:webHidden/>
              </w:rPr>
              <w:fldChar w:fldCharType="separate"/>
            </w:r>
            <w:r w:rsidR="002D5E45">
              <w:rPr>
                <w:rFonts w:asciiTheme="minorHAnsi" w:hAnsiTheme="minorHAnsi" w:cstheme="minorHAnsi"/>
                <w:webHidden/>
              </w:rPr>
              <w:t>26</w:t>
            </w:r>
            <w:r w:rsidRPr="00C13F1E">
              <w:rPr>
                <w:rFonts w:asciiTheme="minorHAnsi" w:hAnsiTheme="minorHAnsi" w:cstheme="minorHAnsi"/>
                <w:webHidden/>
              </w:rPr>
              <w:fldChar w:fldCharType="end"/>
            </w:r>
          </w:hyperlink>
        </w:p>
        <w:p w:rsidR="00C13F1E" w:rsidRPr="00C13F1E" w:rsidRDefault="000D71A3">
          <w:pPr>
            <w:pStyle w:val="TOC2"/>
            <w:rPr>
              <w:rFonts w:asciiTheme="minorHAnsi" w:eastAsiaTheme="minorEastAsia" w:hAnsiTheme="minorHAnsi" w:cstheme="minorHAnsi"/>
              <w:b w:val="0"/>
              <w:color w:val="auto"/>
              <w:lang w:val="en-US"/>
            </w:rPr>
          </w:pPr>
          <w:hyperlink w:anchor="_Toc484373028" w:history="1">
            <w:r w:rsidR="00C13F1E" w:rsidRPr="00C13F1E">
              <w:rPr>
                <w:rStyle w:val="Hyperlink"/>
                <w:rFonts w:asciiTheme="minorHAnsi" w:hAnsiTheme="minorHAnsi" w:cstheme="minorHAnsi"/>
              </w:rPr>
              <w:t>4.3 Upravljanje javnim dugom 2017-2020. godine</w:t>
            </w:r>
            <w:r w:rsidR="00C13F1E" w:rsidRPr="00C13F1E">
              <w:rPr>
                <w:rFonts w:asciiTheme="minorHAnsi" w:hAnsiTheme="minorHAnsi" w:cstheme="minorHAnsi"/>
                <w:webHidden/>
              </w:rPr>
              <w:tab/>
            </w:r>
            <w:r w:rsidRPr="00C13F1E">
              <w:rPr>
                <w:rFonts w:asciiTheme="minorHAnsi" w:hAnsiTheme="minorHAnsi" w:cstheme="minorHAnsi"/>
                <w:webHidden/>
              </w:rPr>
              <w:fldChar w:fldCharType="begin"/>
            </w:r>
            <w:r w:rsidR="00C13F1E" w:rsidRPr="00C13F1E">
              <w:rPr>
                <w:rFonts w:asciiTheme="minorHAnsi" w:hAnsiTheme="minorHAnsi" w:cstheme="minorHAnsi"/>
                <w:webHidden/>
              </w:rPr>
              <w:instrText xml:space="preserve"> PAGEREF _Toc484373028 \h </w:instrText>
            </w:r>
            <w:r w:rsidRPr="00C13F1E">
              <w:rPr>
                <w:rFonts w:asciiTheme="minorHAnsi" w:hAnsiTheme="minorHAnsi" w:cstheme="minorHAnsi"/>
                <w:webHidden/>
              </w:rPr>
            </w:r>
            <w:r w:rsidRPr="00C13F1E">
              <w:rPr>
                <w:rFonts w:asciiTheme="minorHAnsi" w:hAnsiTheme="minorHAnsi" w:cstheme="minorHAnsi"/>
                <w:webHidden/>
              </w:rPr>
              <w:fldChar w:fldCharType="separate"/>
            </w:r>
            <w:r w:rsidR="002D5E45">
              <w:rPr>
                <w:rFonts w:asciiTheme="minorHAnsi" w:hAnsiTheme="minorHAnsi" w:cstheme="minorHAnsi"/>
                <w:webHidden/>
              </w:rPr>
              <w:t>29</w:t>
            </w:r>
            <w:r w:rsidRPr="00C13F1E">
              <w:rPr>
                <w:rFonts w:asciiTheme="minorHAnsi" w:hAnsiTheme="minorHAnsi" w:cstheme="minorHAnsi"/>
                <w:webHidden/>
              </w:rPr>
              <w:fldChar w:fldCharType="end"/>
            </w:r>
          </w:hyperlink>
        </w:p>
        <w:p w:rsidR="00C13F1E" w:rsidRDefault="000D71A3">
          <w:pPr>
            <w:pStyle w:val="TOC1"/>
            <w:rPr>
              <w:rFonts w:eastAsiaTheme="minorEastAsia" w:cstheme="minorBidi"/>
              <w:b w:val="0"/>
              <w:color w:val="auto"/>
              <w:lang w:val="en-US"/>
            </w:rPr>
          </w:pPr>
          <w:hyperlink w:anchor="_Toc484373029" w:history="1">
            <w:r w:rsidR="00C13F1E" w:rsidRPr="00C13F1E">
              <w:rPr>
                <w:rStyle w:val="Hyperlink"/>
                <w:rFonts w:cstheme="minorHAnsi"/>
                <w:sz w:val="24"/>
                <w:szCs w:val="24"/>
              </w:rPr>
              <w:t>A N E X</w:t>
            </w:r>
            <w:r w:rsidR="00C13F1E" w:rsidRPr="00C13F1E">
              <w:rPr>
                <w:rFonts w:cstheme="minorHAnsi"/>
                <w:webHidden/>
                <w:sz w:val="24"/>
                <w:szCs w:val="24"/>
              </w:rPr>
              <w:tab/>
            </w:r>
            <w:r w:rsidRPr="00C13F1E">
              <w:rPr>
                <w:rFonts w:cstheme="minorHAnsi"/>
                <w:webHidden/>
                <w:sz w:val="24"/>
                <w:szCs w:val="24"/>
              </w:rPr>
              <w:fldChar w:fldCharType="begin"/>
            </w:r>
            <w:r w:rsidR="00C13F1E" w:rsidRPr="00C13F1E">
              <w:rPr>
                <w:rFonts w:cstheme="minorHAnsi"/>
                <w:webHidden/>
                <w:sz w:val="24"/>
                <w:szCs w:val="24"/>
              </w:rPr>
              <w:instrText xml:space="preserve"> PAGEREF _Toc484373029 \h </w:instrText>
            </w:r>
            <w:r w:rsidRPr="00C13F1E">
              <w:rPr>
                <w:rFonts w:cstheme="minorHAnsi"/>
                <w:webHidden/>
                <w:sz w:val="24"/>
                <w:szCs w:val="24"/>
              </w:rPr>
            </w:r>
            <w:r w:rsidRPr="00C13F1E">
              <w:rPr>
                <w:rFonts w:cstheme="minorHAnsi"/>
                <w:webHidden/>
                <w:sz w:val="24"/>
                <w:szCs w:val="24"/>
              </w:rPr>
              <w:fldChar w:fldCharType="separate"/>
            </w:r>
            <w:r w:rsidR="002D5E45">
              <w:rPr>
                <w:rFonts w:cstheme="minorHAnsi"/>
                <w:webHidden/>
                <w:sz w:val="24"/>
                <w:szCs w:val="24"/>
              </w:rPr>
              <w:t>31</w:t>
            </w:r>
            <w:r w:rsidRPr="00C13F1E">
              <w:rPr>
                <w:rFonts w:cstheme="minorHAnsi"/>
                <w:webHidden/>
                <w:sz w:val="24"/>
                <w:szCs w:val="24"/>
              </w:rPr>
              <w:fldChar w:fldCharType="end"/>
            </w:r>
          </w:hyperlink>
        </w:p>
        <w:p w:rsidR="00F17763" w:rsidRPr="00C13F1E" w:rsidRDefault="000D71A3" w:rsidP="00C13F1E">
          <w:pPr>
            <w:pStyle w:val="TOC2"/>
            <w:rPr>
              <w:rFonts w:asciiTheme="minorHAnsi" w:hAnsiTheme="minorHAnsi"/>
              <w:b w:val="0"/>
              <w:bCs/>
              <w:sz w:val="22"/>
              <w:szCs w:val="22"/>
            </w:rPr>
          </w:pPr>
          <w:r w:rsidRPr="00764B04">
            <w:rPr>
              <w:rFonts w:asciiTheme="minorHAnsi" w:hAnsiTheme="minorHAnsi"/>
              <w:b w:val="0"/>
              <w:bCs/>
              <w:sz w:val="22"/>
              <w:szCs w:val="22"/>
            </w:rPr>
            <w:fldChar w:fldCharType="end"/>
          </w:r>
        </w:p>
      </w:sdtContent>
    </w:sdt>
    <w:p w:rsidR="000A70F4" w:rsidRDefault="00F17763" w:rsidP="001515E0">
      <w:pPr>
        <w:spacing w:line="240" w:lineRule="auto"/>
        <w:rPr>
          <w:rFonts w:ascii="Calibri" w:hAnsi="Calibri" w:cstheme="minorHAnsi"/>
          <w:b/>
          <w:sz w:val="32"/>
          <w:szCs w:val="32"/>
        </w:rPr>
        <w:sectPr w:rsidR="000A70F4" w:rsidSect="007F49A4">
          <w:pgSz w:w="11906" w:h="16838" w:code="9"/>
          <w:pgMar w:top="1417" w:right="1134" w:bottom="1417" w:left="1701" w:header="709" w:footer="709" w:gutter="0"/>
          <w:pgNumType w:start="1"/>
          <w:cols w:space="708"/>
          <w:docGrid w:linePitch="360"/>
        </w:sectPr>
      </w:pPr>
      <w:r>
        <w:rPr>
          <w:rFonts w:ascii="Calibri" w:hAnsi="Calibri" w:cs="Calibri"/>
          <w:sz w:val="32"/>
          <w:szCs w:val="32"/>
        </w:rPr>
        <w:br w:type="page"/>
      </w:r>
    </w:p>
    <w:p w:rsidR="00267EEE" w:rsidRPr="007C0116" w:rsidRDefault="00561734" w:rsidP="007C0116">
      <w:pPr>
        <w:pStyle w:val="Heading1"/>
      </w:pPr>
      <w:bookmarkStart w:id="0" w:name="_Toc484373006"/>
      <w:r w:rsidRPr="007C0116">
        <w:t>Fiskalna strategija-ciljevi, mjere i rezultati</w:t>
      </w:r>
      <w:bookmarkEnd w:id="0"/>
    </w:p>
    <w:p w:rsidR="00FF160D" w:rsidRPr="00526D32" w:rsidRDefault="00FF160D" w:rsidP="00FF160D">
      <w:pPr>
        <w:spacing w:line="276" w:lineRule="auto"/>
        <w:rPr>
          <w:rFonts w:asciiTheme="minorHAnsi" w:hAnsiTheme="minorHAnsi" w:cstheme="minorHAnsi"/>
          <w:sz w:val="22"/>
          <w:szCs w:val="22"/>
        </w:rPr>
      </w:pPr>
      <w:r w:rsidRPr="00526D32">
        <w:rPr>
          <w:rFonts w:asciiTheme="minorHAnsi" w:hAnsiTheme="minorHAnsi" w:cstheme="minorHAnsi"/>
          <w:sz w:val="22"/>
          <w:szCs w:val="22"/>
        </w:rPr>
        <w:t>U skladu sa Zakonom o budžetu i fiskalnoj odgovornosti ("Sl. list Crne Gore", br. 20/14 od 25.04.2014, 56/14 od 24.12.201</w:t>
      </w:r>
      <w:r w:rsidR="0048511B">
        <w:rPr>
          <w:rFonts w:asciiTheme="minorHAnsi" w:hAnsiTheme="minorHAnsi" w:cstheme="minorHAnsi"/>
          <w:sz w:val="22"/>
          <w:szCs w:val="22"/>
        </w:rPr>
        <w:t>4.</w:t>
      </w:r>
      <w:r w:rsidRPr="00526D32">
        <w:rPr>
          <w:rFonts w:asciiTheme="minorHAnsi" w:hAnsiTheme="minorHAnsi" w:cstheme="minorHAnsi"/>
          <w:sz w:val="22"/>
          <w:szCs w:val="22"/>
        </w:rPr>
        <w:t>) i Programom rada Vlade za 2017. godinu, Ministarstvo finansija je, u saradnji sa nadležnim institucijama, pripremilo Predlog fiskalne strategije Crne Gore za period 2017-2020. godina.</w:t>
      </w:r>
    </w:p>
    <w:p w:rsidR="00FF160D" w:rsidRPr="00526D32" w:rsidRDefault="00FF160D" w:rsidP="00FF160D">
      <w:pPr>
        <w:spacing w:line="276" w:lineRule="auto"/>
        <w:rPr>
          <w:rFonts w:asciiTheme="minorHAnsi" w:hAnsiTheme="minorHAnsi" w:cstheme="minorHAnsi"/>
          <w:sz w:val="22"/>
          <w:szCs w:val="22"/>
        </w:rPr>
      </w:pPr>
    </w:p>
    <w:p w:rsidR="00FF160D" w:rsidRPr="00526D32" w:rsidRDefault="00FF160D" w:rsidP="00FF160D">
      <w:pPr>
        <w:spacing w:line="276" w:lineRule="auto"/>
        <w:rPr>
          <w:rFonts w:asciiTheme="minorHAnsi" w:hAnsiTheme="minorHAnsi" w:cstheme="minorHAnsi"/>
          <w:sz w:val="22"/>
          <w:szCs w:val="22"/>
        </w:rPr>
      </w:pPr>
      <w:r w:rsidRPr="00526D32">
        <w:rPr>
          <w:rFonts w:asciiTheme="minorHAnsi" w:hAnsiTheme="minorHAnsi" w:cstheme="minorHAnsi"/>
          <w:sz w:val="22"/>
          <w:szCs w:val="22"/>
        </w:rPr>
        <w:t xml:space="preserve">Fiskalnu strategiju </w:t>
      </w:r>
      <w:r w:rsidR="002C29A7">
        <w:rPr>
          <w:rFonts w:asciiTheme="minorHAnsi" w:hAnsiTheme="minorHAnsi" w:cstheme="minorHAnsi"/>
          <w:sz w:val="22"/>
          <w:szCs w:val="22"/>
        </w:rPr>
        <w:t xml:space="preserve">za period 2017-2020.godina, na predlog Vlade, </w:t>
      </w:r>
      <w:r w:rsidRPr="00526D32">
        <w:rPr>
          <w:rFonts w:asciiTheme="minorHAnsi" w:hAnsiTheme="minorHAnsi" w:cstheme="minorHAnsi"/>
          <w:sz w:val="22"/>
          <w:szCs w:val="22"/>
        </w:rPr>
        <w:t>donosi Skupština Crne Gore za period trajanja mandata 41. Vlade Crne Gore. Na osnovu Fiskalne strategije, na godišnjem nivou, pripremaju se smjernice fiskalne politike za period od tri godine i godišnji budžeti.</w:t>
      </w:r>
    </w:p>
    <w:p w:rsidR="00FF160D" w:rsidRPr="00526D32" w:rsidRDefault="00FF160D" w:rsidP="00FF160D">
      <w:pPr>
        <w:spacing w:line="276" w:lineRule="auto"/>
        <w:rPr>
          <w:rFonts w:asciiTheme="minorHAnsi" w:hAnsiTheme="minorHAnsi" w:cstheme="minorHAnsi"/>
          <w:sz w:val="22"/>
          <w:szCs w:val="22"/>
        </w:rPr>
      </w:pPr>
    </w:p>
    <w:p w:rsidR="00561734" w:rsidRPr="002D7B53" w:rsidRDefault="00F71D6E" w:rsidP="00561734">
      <w:pPr>
        <w:pStyle w:val="Tekst-"/>
        <w:spacing w:before="0" w:after="0" w:line="276" w:lineRule="auto"/>
        <w:rPr>
          <w:rFonts w:ascii="Calibri" w:hAnsi="Calibri" w:cstheme="minorHAnsi"/>
          <w:color w:val="auto"/>
        </w:rPr>
      </w:pPr>
      <w:r w:rsidRPr="00F71D6E">
        <w:rPr>
          <w:rFonts w:ascii="Calibri" w:hAnsi="Calibri" w:cstheme="minorHAnsi"/>
          <w:b/>
          <w:i/>
          <w:color w:val="auto"/>
        </w:rPr>
        <w:t>Ciljevi ekonomske politike.</w:t>
      </w:r>
      <w:r>
        <w:rPr>
          <w:rFonts w:ascii="Calibri" w:hAnsi="Calibri" w:cstheme="minorHAnsi"/>
          <w:b/>
          <w:color w:val="auto"/>
        </w:rPr>
        <w:t xml:space="preserve"> </w:t>
      </w:r>
      <w:r w:rsidR="00561734" w:rsidRPr="005A4EA3">
        <w:rPr>
          <w:rFonts w:ascii="Calibri" w:hAnsi="Calibri" w:cstheme="minorHAnsi"/>
          <w:b/>
          <w:color w:val="auto"/>
        </w:rPr>
        <w:t>Strateški cilj ekonomske politike Crne Gore</w:t>
      </w:r>
      <w:r w:rsidR="00561734" w:rsidRPr="005A4EA3">
        <w:rPr>
          <w:rStyle w:val="FootnoteReference"/>
          <w:rFonts w:ascii="Calibri" w:hAnsi="Calibri" w:cstheme="minorHAnsi"/>
          <w:b/>
          <w:color w:val="auto"/>
        </w:rPr>
        <w:footnoteReference w:id="1"/>
      </w:r>
      <w:r w:rsidR="00561734" w:rsidRPr="005A4EA3">
        <w:rPr>
          <w:rFonts w:ascii="Calibri" w:hAnsi="Calibri" w:cstheme="minorHAnsi"/>
          <w:b/>
          <w:color w:val="auto"/>
        </w:rPr>
        <w:t xml:space="preserve"> je pametan, održiv i inkluzivan rast koji će doprinijeti povećanju kvaliteta života svih građana, odnosno smanjivanju razvojnog jaza zemlje u odnosu prosjek Evropske unije</w:t>
      </w:r>
      <w:r w:rsidR="00561734" w:rsidRPr="002D7B53">
        <w:rPr>
          <w:rStyle w:val="FootnoteReference"/>
          <w:rFonts w:ascii="Calibri" w:hAnsi="Calibri" w:cstheme="minorHAnsi"/>
          <w:color w:val="auto"/>
        </w:rPr>
        <w:footnoteReference w:id="2"/>
      </w:r>
      <w:r w:rsidR="00561734" w:rsidRPr="002D7B53">
        <w:rPr>
          <w:rFonts w:ascii="Calibri" w:hAnsi="Calibri" w:cstheme="minorHAnsi"/>
          <w:color w:val="auto"/>
        </w:rPr>
        <w:t>.</w:t>
      </w:r>
    </w:p>
    <w:p w:rsidR="00F71D6E" w:rsidRDefault="00F71D6E" w:rsidP="00F71D6E">
      <w:pPr>
        <w:rPr>
          <w:rFonts w:ascii="Calibri" w:hAnsi="Calibri" w:cstheme="minorHAnsi"/>
          <w:sz w:val="22"/>
          <w:szCs w:val="22"/>
        </w:rPr>
      </w:pPr>
    </w:p>
    <w:p w:rsidR="00F71D6E" w:rsidRPr="002D7B53" w:rsidRDefault="00F71D6E" w:rsidP="00F71D6E">
      <w:pPr>
        <w:rPr>
          <w:rFonts w:ascii="Calibri" w:hAnsi="Calibri" w:cstheme="minorHAnsi"/>
          <w:sz w:val="22"/>
          <w:szCs w:val="22"/>
        </w:rPr>
      </w:pPr>
      <w:r w:rsidRPr="002D7B53">
        <w:rPr>
          <w:rFonts w:ascii="Calibri" w:hAnsi="Calibri" w:cstheme="minorHAnsi"/>
          <w:sz w:val="22"/>
          <w:szCs w:val="22"/>
        </w:rPr>
        <w:t>Treba istaći da je ekonomska politika determinisana i rezultatima i obavezama iz procesa evroatlantskih integracija. Učlanjenjem u NATO, Crna Gora obezbjeđuje dugoročnu stabilnost i bezbjednost, što će imati značajan uticaj na poboljšanje uslova i pretpostavki za odvijanje ekonomske aktivnosti. Ovo potvrđuju iskustva novih članica NATO-a u kojima je poboljšana poslovna klima, povećana atraktivnost zemlje za investitore, kako strane tako i domaće, a nekim zemljama povećan je i kreditni rejting. Istovremeno, Crna Gora, kao zemlja kandidat za članstvo u EU, ima obavezu da svoju ekonomsku politiku u srednjem roku strukturira i uskladi sa preporukama, odnosno zahtjevima i metodologijom Evropske komisije. U tom smislu, Crna Gora, već treću godinu zaredom, priprema sveobuhvatan, konzistentan i, sa članicama EU i kandidatima za članstvo, uporediv dokument-Program ekonomskih reformi u kome su, u okviru izabranih reformskih oblasti, date prioritetne strukturne reforme čiji je cilj unapređenje konkurentnosti ekonomije.</w:t>
      </w:r>
    </w:p>
    <w:p w:rsidR="00F71D6E" w:rsidRDefault="00F71D6E" w:rsidP="00F71D6E">
      <w:pPr>
        <w:autoSpaceDE w:val="0"/>
        <w:autoSpaceDN w:val="0"/>
        <w:adjustRightInd w:val="0"/>
        <w:spacing w:line="276" w:lineRule="auto"/>
        <w:rPr>
          <w:rFonts w:asciiTheme="minorHAnsi" w:eastAsia="CalibriLight" w:hAnsiTheme="minorHAnsi" w:cs="CalibriLight"/>
          <w:b/>
          <w:color w:val="auto"/>
          <w:sz w:val="22"/>
          <w:szCs w:val="22"/>
          <w:lang w:val="en-US"/>
        </w:rPr>
      </w:pPr>
    </w:p>
    <w:p w:rsidR="00F71D6E" w:rsidRDefault="00F71D6E" w:rsidP="00F71D6E">
      <w:pPr>
        <w:autoSpaceDE w:val="0"/>
        <w:autoSpaceDN w:val="0"/>
        <w:adjustRightInd w:val="0"/>
        <w:spacing w:line="276" w:lineRule="auto"/>
        <w:rPr>
          <w:rFonts w:asciiTheme="minorHAnsi" w:eastAsia="CalibriLight" w:hAnsiTheme="minorHAnsi" w:cs="CalibriLight"/>
          <w:b/>
          <w:color w:val="auto"/>
          <w:sz w:val="22"/>
          <w:szCs w:val="22"/>
          <w:lang w:val="en-US"/>
        </w:rPr>
      </w:pPr>
      <w:r>
        <w:rPr>
          <w:rFonts w:asciiTheme="minorHAnsi" w:eastAsia="CalibriLight" w:hAnsiTheme="minorHAnsi" w:cs="CalibriLight"/>
          <w:b/>
          <w:color w:val="auto"/>
          <w:sz w:val="22"/>
          <w:szCs w:val="22"/>
          <w:lang w:val="en-US"/>
        </w:rPr>
        <w:t>U</w:t>
      </w:r>
      <w:r w:rsidRPr="005A4EA3">
        <w:rPr>
          <w:rFonts w:asciiTheme="minorHAnsi" w:eastAsia="CalibriLight" w:hAnsiTheme="minorHAnsi" w:cs="CalibriLight"/>
          <w:b/>
          <w:color w:val="auto"/>
          <w:sz w:val="22"/>
          <w:szCs w:val="22"/>
          <w:lang w:val="en-US"/>
        </w:rPr>
        <w:t xml:space="preserve"> periodu 2017 – 2020. </w:t>
      </w:r>
      <w:proofErr w:type="gramStart"/>
      <w:r w:rsidRPr="005A4EA3">
        <w:rPr>
          <w:rFonts w:asciiTheme="minorHAnsi" w:eastAsia="CalibriLight" w:hAnsiTheme="minorHAnsi" w:cs="CalibriLight"/>
          <w:b/>
          <w:color w:val="auto"/>
          <w:sz w:val="22"/>
          <w:szCs w:val="22"/>
          <w:lang w:val="en-US"/>
        </w:rPr>
        <w:t>godin</w:t>
      </w:r>
      <w:r>
        <w:rPr>
          <w:rFonts w:asciiTheme="minorHAnsi" w:eastAsia="CalibriLight" w:hAnsiTheme="minorHAnsi" w:cs="CalibriLight"/>
          <w:b/>
          <w:color w:val="auto"/>
          <w:sz w:val="22"/>
          <w:szCs w:val="22"/>
          <w:lang w:val="en-US"/>
        </w:rPr>
        <w:t>e</w:t>
      </w:r>
      <w:proofErr w:type="gramEnd"/>
      <w:r w:rsidRPr="005A4EA3">
        <w:rPr>
          <w:rFonts w:asciiTheme="minorHAnsi" w:eastAsia="CalibriLight" w:hAnsiTheme="minorHAnsi" w:cs="CalibriLight"/>
          <w:b/>
          <w:color w:val="auto"/>
          <w:sz w:val="22"/>
          <w:szCs w:val="22"/>
          <w:lang w:val="en-US"/>
        </w:rPr>
        <w:t xml:space="preserve"> </w:t>
      </w:r>
      <w:r>
        <w:rPr>
          <w:rFonts w:asciiTheme="minorHAnsi" w:eastAsia="CalibriLight" w:hAnsiTheme="minorHAnsi" w:cs="CalibriLight"/>
          <w:b/>
          <w:color w:val="auto"/>
          <w:sz w:val="22"/>
          <w:szCs w:val="22"/>
          <w:lang w:val="en-US"/>
        </w:rPr>
        <w:t>prioritet ekonomske, odnosno</w:t>
      </w:r>
      <w:r w:rsidRPr="005A4EA3">
        <w:rPr>
          <w:rFonts w:asciiTheme="minorHAnsi" w:eastAsia="CalibriLight" w:hAnsiTheme="minorHAnsi" w:cs="CalibriLight"/>
          <w:b/>
          <w:color w:val="auto"/>
          <w:sz w:val="22"/>
          <w:szCs w:val="22"/>
          <w:lang w:val="en-US"/>
        </w:rPr>
        <w:t xml:space="preserve"> fiskalne politike jeste </w:t>
      </w:r>
      <w:r w:rsidR="00F962EB">
        <w:rPr>
          <w:rFonts w:asciiTheme="minorHAnsi" w:eastAsia="CalibriLight" w:hAnsiTheme="minorHAnsi" w:cs="CalibriLight"/>
          <w:b/>
          <w:color w:val="auto"/>
          <w:sz w:val="22"/>
          <w:szCs w:val="22"/>
          <w:lang w:val="en-US"/>
        </w:rPr>
        <w:t xml:space="preserve">jačanje </w:t>
      </w:r>
      <w:r>
        <w:rPr>
          <w:rFonts w:asciiTheme="minorHAnsi" w:eastAsia="CalibriLight" w:hAnsiTheme="minorHAnsi" w:cs="CalibriLight"/>
          <w:b/>
          <w:color w:val="auto"/>
          <w:sz w:val="22"/>
          <w:szCs w:val="22"/>
          <w:lang w:val="en-US"/>
        </w:rPr>
        <w:t>fiskalne stabilnosti i, u tom okviru, ostvarivanje</w:t>
      </w:r>
      <w:r w:rsidRPr="005A4EA3">
        <w:rPr>
          <w:rFonts w:asciiTheme="minorHAnsi" w:eastAsia="CalibriLight" w:hAnsiTheme="minorHAnsi" w:cs="CalibriLight"/>
          <w:b/>
          <w:color w:val="auto"/>
          <w:sz w:val="22"/>
          <w:szCs w:val="22"/>
          <w:lang w:val="en-US"/>
        </w:rPr>
        <w:t xml:space="preserve"> </w:t>
      </w:r>
      <w:proofErr w:type="spellStart"/>
      <w:r w:rsidRPr="005A4EA3">
        <w:rPr>
          <w:rFonts w:asciiTheme="minorHAnsi" w:eastAsia="CalibriLight" w:hAnsiTheme="minorHAnsi" w:cs="CalibriLight"/>
          <w:b/>
          <w:color w:val="auto"/>
          <w:sz w:val="22"/>
          <w:szCs w:val="22"/>
          <w:lang w:val="en-US"/>
        </w:rPr>
        <w:t>suficita</w:t>
      </w:r>
      <w:proofErr w:type="spellEnd"/>
      <w:r w:rsidRPr="005A4EA3">
        <w:rPr>
          <w:rFonts w:asciiTheme="minorHAnsi" w:eastAsia="CalibriLight" w:hAnsiTheme="minorHAnsi" w:cs="CalibriLight"/>
          <w:b/>
          <w:color w:val="auto"/>
          <w:sz w:val="22"/>
          <w:szCs w:val="22"/>
          <w:lang w:val="en-US"/>
        </w:rPr>
        <w:t xml:space="preserve"> </w:t>
      </w:r>
      <w:proofErr w:type="spellStart"/>
      <w:r w:rsidRPr="005A4EA3">
        <w:rPr>
          <w:rFonts w:asciiTheme="minorHAnsi" w:eastAsia="CalibriLight" w:hAnsiTheme="minorHAnsi" w:cs="CalibriLight"/>
          <w:b/>
          <w:color w:val="auto"/>
          <w:sz w:val="22"/>
          <w:szCs w:val="22"/>
          <w:lang w:val="en-US"/>
        </w:rPr>
        <w:t>budžeta</w:t>
      </w:r>
      <w:proofErr w:type="spellEnd"/>
      <w:r>
        <w:rPr>
          <w:rFonts w:asciiTheme="minorHAnsi" w:eastAsia="CalibriLight" w:hAnsiTheme="minorHAnsi" w:cs="CalibriLight"/>
          <w:b/>
          <w:color w:val="auto"/>
          <w:sz w:val="22"/>
          <w:szCs w:val="22"/>
          <w:lang w:val="en-US"/>
        </w:rPr>
        <w:t xml:space="preserve"> </w:t>
      </w:r>
      <w:proofErr w:type="spellStart"/>
      <w:r w:rsidRPr="005A4EA3">
        <w:rPr>
          <w:rFonts w:asciiTheme="minorHAnsi" w:eastAsia="CalibriLight" w:hAnsiTheme="minorHAnsi" w:cs="CalibriLight"/>
          <w:b/>
          <w:color w:val="auto"/>
          <w:sz w:val="22"/>
          <w:szCs w:val="22"/>
          <w:lang w:val="en-US"/>
        </w:rPr>
        <w:t>i</w:t>
      </w:r>
      <w:proofErr w:type="spellEnd"/>
      <w:r w:rsidRPr="005A4EA3">
        <w:rPr>
          <w:rFonts w:asciiTheme="minorHAnsi" w:eastAsia="CalibriLight" w:hAnsiTheme="minorHAnsi" w:cs="CalibriLight"/>
          <w:b/>
          <w:color w:val="auto"/>
          <w:sz w:val="22"/>
          <w:szCs w:val="22"/>
          <w:lang w:val="en-US"/>
        </w:rPr>
        <w:t xml:space="preserve"> </w:t>
      </w:r>
      <w:proofErr w:type="spellStart"/>
      <w:r w:rsidR="00356DFE">
        <w:rPr>
          <w:rFonts w:asciiTheme="minorHAnsi" w:eastAsia="CalibriLight" w:hAnsiTheme="minorHAnsi" w:cs="CalibriLight"/>
          <w:b/>
          <w:color w:val="auto"/>
          <w:sz w:val="22"/>
          <w:szCs w:val="22"/>
          <w:lang w:val="en-US"/>
        </w:rPr>
        <w:t>uspostavljanje</w:t>
      </w:r>
      <w:proofErr w:type="spellEnd"/>
      <w:r w:rsidRPr="005A4EA3">
        <w:rPr>
          <w:rFonts w:asciiTheme="minorHAnsi" w:eastAsia="CalibriLight" w:hAnsiTheme="minorHAnsi" w:cs="CalibriLight"/>
          <w:b/>
          <w:color w:val="auto"/>
          <w:sz w:val="22"/>
          <w:szCs w:val="22"/>
          <w:lang w:val="en-US"/>
        </w:rPr>
        <w:t xml:space="preserve"> </w:t>
      </w:r>
      <w:proofErr w:type="spellStart"/>
      <w:r w:rsidR="00670412">
        <w:rPr>
          <w:rFonts w:asciiTheme="minorHAnsi" w:eastAsia="CalibriLight" w:hAnsiTheme="minorHAnsi" w:cs="CalibriLight"/>
          <w:b/>
          <w:color w:val="auto"/>
          <w:sz w:val="22"/>
          <w:szCs w:val="22"/>
          <w:lang w:val="en-US"/>
        </w:rPr>
        <w:t>opadajućeg</w:t>
      </w:r>
      <w:proofErr w:type="spellEnd"/>
      <w:r w:rsidR="00670412">
        <w:rPr>
          <w:rFonts w:asciiTheme="minorHAnsi" w:eastAsia="CalibriLight" w:hAnsiTheme="minorHAnsi" w:cs="CalibriLight"/>
          <w:b/>
          <w:color w:val="auto"/>
          <w:sz w:val="22"/>
          <w:szCs w:val="22"/>
          <w:lang w:val="en-US"/>
        </w:rPr>
        <w:t xml:space="preserve"> </w:t>
      </w:r>
      <w:proofErr w:type="spellStart"/>
      <w:r w:rsidR="00670412">
        <w:rPr>
          <w:rFonts w:asciiTheme="minorHAnsi" w:eastAsia="CalibriLight" w:hAnsiTheme="minorHAnsi" w:cs="CalibriLight"/>
          <w:b/>
          <w:color w:val="auto"/>
          <w:sz w:val="22"/>
          <w:szCs w:val="22"/>
          <w:lang w:val="en-US"/>
        </w:rPr>
        <w:t>trenda</w:t>
      </w:r>
      <w:proofErr w:type="spellEnd"/>
      <w:r w:rsidRPr="005A4EA3">
        <w:rPr>
          <w:rFonts w:asciiTheme="minorHAnsi" w:eastAsia="CalibriLight" w:hAnsiTheme="minorHAnsi" w:cs="CalibriLight"/>
          <w:b/>
          <w:color w:val="auto"/>
          <w:sz w:val="22"/>
          <w:szCs w:val="22"/>
          <w:lang w:val="en-US"/>
        </w:rPr>
        <w:t xml:space="preserve"> </w:t>
      </w:r>
      <w:proofErr w:type="spellStart"/>
      <w:r w:rsidRPr="005A4EA3">
        <w:rPr>
          <w:rFonts w:asciiTheme="minorHAnsi" w:eastAsia="CalibriLight" w:hAnsiTheme="minorHAnsi" w:cs="CalibriLight"/>
          <w:b/>
          <w:color w:val="auto"/>
          <w:sz w:val="22"/>
          <w:szCs w:val="22"/>
          <w:lang w:val="en-US"/>
        </w:rPr>
        <w:t>javnog</w:t>
      </w:r>
      <w:proofErr w:type="spellEnd"/>
      <w:r w:rsidRPr="005A4EA3">
        <w:rPr>
          <w:rFonts w:asciiTheme="minorHAnsi" w:eastAsia="CalibriLight" w:hAnsiTheme="minorHAnsi" w:cs="CalibriLight"/>
          <w:b/>
          <w:color w:val="auto"/>
          <w:sz w:val="22"/>
          <w:szCs w:val="22"/>
          <w:lang w:val="en-US"/>
        </w:rPr>
        <w:t xml:space="preserve"> duga od 2019.</w:t>
      </w:r>
      <w:r>
        <w:rPr>
          <w:rFonts w:asciiTheme="minorHAnsi" w:eastAsia="CalibriLight" w:hAnsiTheme="minorHAnsi" w:cs="CalibriLight"/>
          <w:b/>
          <w:color w:val="auto"/>
          <w:sz w:val="22"/>
          <w:szCs w:val="22"/>
          <w:lang w:val="en-US"/>
        </w:rPr>
        <w:t xml:space="preserve"> </w:t>
      </w:r>
      <w:r w:rsidRPr="005A4EA3">
        <w:rPr>
          <w:rFonts w:asciiTheme="minorHAnsi" w:eastAsia="CalibriLight" w:hAnsiTheme="minorHAnsi" w:cs="CalibriLight"/>
          <w:b/>
          <w:color w:val="auto"/>
          <w:sz w:val="22"/>
          <w:szCs w:val="22"/>
          <w:lang w:val="en-US"/>
        </w:rPr>
        <w:t>godine.</w:t>
      </w:r>
    </w:p>
    <w:p w:rsidR="00561734" w:rsidRPr="002D7B53" w:rsidRDefault="00561734" w:rsidP="00561734">
      <w:pPr>
        <w:pStyle w:val="Tekst-"/>
        <w:spacing w:before="0" w:after="0" w:line="276" w:lineRule="auto"/>
        <w:rPr>
          <w:rFonts w:ascii="Calibri" w:hAnsi="Calibri" w:cstheme="minorHAnsi"/>
          <w:color w:val="auto"/>
        </w:rPr>
      </w:pPr>
    </w:p>
    <w:p w:rsidR="00561734" w:rsidRPr="002D7B53" w:rsidRDefault="00F71D6E" w:rsidP="00561734">
      <w:pPr>
        <w:pStyle w:val="Tekst-"/>
        <w:spacing w:before="0" w:after="0" w:line="276" w:lineRule="auto"/>
        <w:rPr>
          <w:rFonts w:ascii="Calibri" w:hAnsi="Calibri" w:cstheme="minorHAnsi"/>
          <w:color w:val="auto"/>
        </w:rPr>
      </w:pPr>
      <w:r w:rsidRPr="00F71D6E">
        <w:rPr>
          <w:rFonts w:ascii="Calibri" w:hAnsi="Calibri" w:cstheme="minorHAnsi"/>
          <w:b/>
          <w:i/>
          <w:color w:val="auto"/>
        </w:rPr>
        <w:t>Instrumenti ekonomske politike.</w:t>
      </w:r>
      <w:r>
        <w:rPr>
          <w:rFonts w:ascii="Calibri" w:hAnsi="Calibri" w:cstheme="minorHAnsi"/>
          <w:color w:val="auto"/>
        </w:rPr>
        <w:t xml:space="preserve"> </w:t>
      </w:r>
      <w:r w:rsidR="00561734" w:rsidRPr="002D7B53">
        <w:rPr>
          <w:rFonts w:ascii="Calibri" w:hAnsi="Calibri" w:cstheme="minorHAnsi"/>
          <w:color w:val="auto"/>
        </w:rPr>
        <w:t xml:space="preserve">Navedeni cilj moguće je ostvariti </w:t>
      </w:r>
      <w:r w:rsidR="00561734">
        <w:rPr>
          <w:rFonts w:ascii="Calibri" w:hAnsi="Calibri" w:cstheme="minorHAnsi"/>
          <w:color w:val="auto"/>
        </w:rPr>
        <w:t>kombinacijom</w:t>
      </w:r>
      <w:r w:rsidR="00561734" w:rsidRPr="002D7B53">
        <w:rPr>
          <w:rFonts w:ascii="Calibri" w:hAnsi="Calibri" w:cstheme="minorHAnsi"/>
          <w:color w:val="auto"/>
        </w:rPr>
        <w:t xml:space="preserve"> mjera ekonomske politike koje se odnose na jačanje makroekonomske stabilnosti zemlje, posebno konsolidaciju javnih finansija i povećanje stabilnosti finansijskog sektora</w:t>
      </w:r>
      <w:r w:rsidR="00561734">
        <w:rPr>
          <w:rFonts w:ascii="Calibri" w:hAnsi="Calibri" w:cstheme="minorHAnsi"/>
          <w:color w:val="auto"/>
        </w:rPr>
        <w:t xml:space="preserve">, kao i mjera </w:t>
      </w:r>
      <w:r w:rsidR="00561734" w:rsidRPr="002D7B53">
        <w:rPr>
          <w:rFonts w:ascii="Calibri" w:hAnsi="Calibri" w:cstheme="minorHAnsi"/>
          <w:color w:val="auto"/>
        </w:rPr>
        <w:t>ekonomske politike koje se odnose na rješavanje strukturnih problema u ekonomiji, odnosno otklanjanje ključnih prepreka za unapređenje konkurentnosti zemlje i povećanje potencijalnog privrednog rasta na srednji i dugi rok.</w:t>
      </w:r>
    </w:p>
    <w:p w:rsidR="0066384E" w:rsidRDefault="0066384E" w:rsidP="0066384E">
      <w:pPr>
        <w:spacing w:line="276" w:lineRule="auto"/>
        <w:rPr>
          <w:rFonts w:asciiTheme="minorHAnsi" w:hAnsiTheme="minorHAnsi" w:cstheme="minorHAnsi"/>
          <w:sz w:val="22"/>
          <w:szCs w:val="22"/>
        </w:rPr>
      </w:pPr>
    </w:p>
    <w:p w:rsidR="008B3A00" w:rsidRDefault="00F962EB" w:rsidP="008B3A00">
      <w:pPr>
        <w:spacing w:line="276" w:lineRule="auto"/>
        <w:rPr>
          <w:rFonts w:asciiTheme="majorHAnsi" w:hAnsiTheme="majorHAnsi"/>
          <w:color w:val="auto"/>
        </w:rPr>
      </w:pPr>
      <w:r>
        <w:rPr>
          <w:rFonts w:ascii="Calibri" w:hAnsi="Calibri" w:cstheme="minorHAnsi"/>
          <w:bCs/>
          <w:color w:val="auto"/>
          <w:sz w:val="22"/>
          <w:szCs w:val="22"/>
          <w:lang w:val="pl-PL"/>
        </w:rPr>
        <w:t xml:space="preserve">U tom smislu, uz već uspostavljene </w:t>
      </w:r>
      <w:r w:rsidR="00561734" w:rsidRPr="002D7B53">
        <w:rPr>
          <w:rFonts w:ascii="Calibri" w:hAnsi="Calibri" w:cstheme="minorHAnsi"/>
          <w:color w:val="auto"/>
          <w:sz w:val="22"/>
          <w:szCs w:val="22"/>
        </w:rPr>
        <w:t>mjer</w:t>
      </w:r>
      <w:r>
        <w:rPr>
          <w:rFonts w:ascii="Calibri" w:hAnsi="Calibri" w:cstheme="minorHAnsi"/>
          <w:color w:val="auto"/>
          <w:sz w:val="22"/>
          <w:szCs w:val="22"/>
        </w:rPr>
        <w:t>e</w:t>
      </w:r>
      <w:r w:rsidR="00561734" w:rsidRPr="002D7B53">
        <w:rPr>
          <w:rFonts w:ascii="Calibri" w:hAnsi="Calibri" w:cstheme="minorHAnsi"/>
          <w:color w:val="auto"/>
          <w:sz w:val="22"/>
          <w:szCs w:val="22"/>
        </w:rPr>
        <w:t xml:space="preserve"> fiskalne konsolidacije</w:t>
      </w:r>
      <w:r>
        <w:rPr>
          <w:rFonts w:ascii="Calibri" w:hAnsi="Calibri" w:cstheme="minorHAnsi"/>
          <w:color w:val="auto"/>
          <w:sz w:val="22"/>
          <w:szCs w:val="22"/>
        </w:rPr>
        <w:t xml:space="preserve">, odnosno </w:t>
      </w:r>
      <w:r w:rsidRPr="00526D32">
        <w:rPr>
          <w:rFonts w:asciiTheme="minorHAnsi" w:hAnsiTheme="minorHAnsi" w:cstheme="minorHAnsi"/>
          <w:sz w:val="22"/>
          <w:szCs w:val="22"/>
        </w:rPr>
        <w:t>Mjer</w:t>
      </w:r>
      <w:r>
        <w:rPr>
          <w:rFonts w:asciiTheme="minorHAnsi" w:hAnsiTheme="minorHAnsi" w:cstheme="minorHAnsi"/>
          <w:sz w:val="22"/>
          <w:szCs w:val="22"/>
        </w:rPr>
        <w:t>e</w:t>
      </w:r>
      <w:r w:rsidRPr="00526D32">
        <w:rPr>
          <w:rFonts w:asciiTheme="minorHAnsi" w:hAnsiTheme="minorHAnsi" w:cstheme="minorHAnsi"/>
          <w:sz w:val="22"/>
          <w:szCs w:val="22"/>
        </w:rPr>
        <w:t xml:space="preserve"> sanacije budžetskog deficita i javnog duga za period 2017–2021. godine </w:t>
      </w:r>
      <w:r w:rsidRPr="00526D32">
        <w:rPr>
          <w:rFonts w:ascii="Calibri" w:hAnsi="Calibri" w:cs="Times New Roman"/>
          <w:noProof/>
          <w:sz w:val="22"/>
          <w:szCs w:val="22"/>
        </w:rPr>
        <w:t>(u daljem tekstu:</w:t>
      </w:r>
      <w:r>
        <w:rPr>
          <w:rFonts w:ascii="Calibri" w:hAnsi="Calibri" w:cs="Times New Roman"/>
          <w:noProof/>
          <w:sz w:val="22"/>
          <w:szCs w:val="22"/>
        </w:rPr>
        <w:t xml:space="preserve"> Plan sanacije</w:t>
      </w:r>
      <w:r w:rsidRPr="00526D32">
        <w:rPr>
          <w:rFonts w:ascii="Calibri" w:hAnsi="Calibri" w:cs="Times New Roman"/>
          <w:noProof/>
          <w:sz w:val="22"/>
          <w:szCs w:val="22"/>
        </w:rPr>
        <w:t>)</w:t>
      </w:r>
      <w:r>
        <w:rPr>
          <w:rFonts w:ascii="Calibri" w:hAnsi="Calibri" w:cs="Times New Roman"/>
          <w:noProof/>
          <w:sz w:val="22"/>
          <w:szCs w:val="22"/>
        </w:rPr>
        <w:t>, koje su bile sastavni dio</w:t>
      </w:r>
      <w:r w:rsidRPr="00A62DF4">
        <w:rPr>
          <w:rFonts w:ascii="Calibri" w:hAnsi="Calibri" w:cstheme="minorHAnsi"/>
          <w:bCs/>
          <w:color w:val="auto"/>
          <w:sz w:val="22"/>
          <w:szCs w:val="22"/>
          <w:lang w:val="pl-PL"/>
        </w:rPr>
        <w:t xml:space="preserve"> Zakona o budžetu za 2017 godinu, </w:t>
      </w:r>
      <w:r>
        <w:rPr>
          <w:rFonts w:ascii="Calibri" w:hAnsi="Calibri" w:cstheme="minorHAnsi"/>
          <w:bCs/>
          <w:color w:val="auto"/>
          <w:sz w:val="22"/>
          <w:szCs w:val="22"/>
          <w:lang w:val="pl-PL"/>
        </w:rPr>
        <w:t xml:space="preserve">neophodno je utvrditi dodatne mjere </w:t>
      </w:r>
      <w:r w:rsidRPr="00A62DF4">
        <w:rPr>
          <w:rFonts w:ascii="Calibri" w:hAnsi="Calibri" w:cstheme="minorHAnsi"/>
          <w:bCs/>
          <w:color w:val="auto"/>
          <w:sz w:val="22"/>
          <w:szCs w:val="22"/>
          <w:lang w:val="pl-PL"/>
        </w:rPr>
        <w:t>koj</w:t>
      </w:r>
      <w:r>
        <w:rPr>
          <w:rFonts w:ascii="Calibri" w:hAnsi="Calibri" w:cstheme="minorHAnsi"/>
          <w:bCs/>
          <w:color w:val="auto"/>
          <w:sz w:val="22"/>
          <w:szCs w:val="22"/>
          <w:lang w:val="pl-PL"/>
        </w:rPr>
        <w:t xml:space="preserve">ima će se doprinijeti bržim i značajnijem efektima konsolidacije. </w:t>
      </w:r>
      <w:r w:rsidR="008B3A00" w:rsidRPr="00526D32">
        <w:rPr>
          <w:rFonts w:asciiTheme="minorHAnsi" w:hAnsiTheme="minorHAnsi" w:cstheme="minorHAnsi"/>
          <w:noProof/>
          <w:sz w:val="22"/>
          <w:szCs w:val="22"/>
        </w:rPr>
        <w:t xml:space="preserve">Mjere fiskalne konsolidacije utvrđene Planom sanacije odnose se na: povećanje akcize na mineralna ulja; jačanje fiskalne discipline, kroz redovnu naplatu poreskih potraživanja; reprogram zaostalog poreskog duga; ukidanje pojedinih poreskih izuzeća; nastavak progresivnog oporezivanja dohotka zadržavanjem više stope poreza na dohodak fizičkih lica od 11%; centralizaciju poreskih registar kasa; smanjenje troškova zarada u javnom sektoru; smanjenje socijalnih </w:t>
      </w:r>
      <w:r w:rsidR="008B3A00" w:rsidRPr="00526D32">
        <w:rPr>
          <w:rFonts w:asciiTheme="minorHAnsi" w:hAnsiTheme="minorHAnsi" w:cstheme="minorHAnsi"/>
          <w:noProof/>
          <w:color w:val="auto"/>
          <w:sz w:val="22"/>
          <w:szCs w:val="22"/>
        </w:rPr>
        <w:t xml:space="preserve">izdataka i smanjenje opštih izdataka kapitalnog budžeta. </w:t>
      </w:r>
      <w:r w:rsidRPr="008B3A00">
        <w:rPr>
          <w:rFonts w:ascii="Calibri" w:hAnsi="Calibri" w:cstheme="minorHAnsi"/>
          <w:bCs/>
          <w:color w:val="auto"/>
          <w:sz w:val="22"/>
          <w:szCs w:val="22"/>
          <w:lang w:val="pl-PL"/>
        </w:rPr>
        <w:t xml:space="preserve">Procijenjeno je da će </w:t>
      </w:r>
      <w:r w:rsidR="008B3A00" w:rsidRPr="008B3A00">
        <w:rPr>
          <w:rFonts w:ascii="Calibri" w:hAnsi="Calibri" w:cstheme="minorHAnsi"/>
          <w:bCs/>
          <w:color w:val="auto"/>
          <w:sz w:val="22"/>
          <w:szCs w:val="22"/>
          <w:lang w:val="pl-PL"/>
        </w:rPr>
        <w:t xml:space="preserve">ove mjere </w:t>
      </w:r>
      <w:r w:rsidRPr="008B3A00">
        <w:rPr>
          <w:rFonts w:ascii="Calibri" w:hAnsi="Calibri" w:cstheme="minorHAnsi"/>
          <w:bCs/>
          <w:color w:val="auto"/>
          <w:sz w:val="22"/>
          <w:szCs w:val="22"/>
          <w:lang w:val="pl-PL"/>
        </w:rPr>
        <w:t>doprinijeti konsolidaciji javnih finansija u vrijednosti od 3,2% procijenjenog BDP-a.</w:t>
      </w:r>
      <w:r w:rsidRPr="00E51A85">
        <w:rPr>
          <w:rFonts w:asciiTheme="majorHAnsi" w:hAnsiTheme="majorHAnsi"/>
          <w:color w:val="auto"/>
        </w:rPr>
        <w:t xml:space="preserve"> </w:t>
      </w:r>
    </w:p>
    <w:p w:rsidR="008B3A00" w:rsidRDefault="008B3A00" w:rsidP="008B3A00">
      <w:pPr>
        <w:spacing w:line="276" w:lineRule="auto"/>
        <w:rPr>
          <w:rFonts w:asciiTheme="minorHAnsi" w:hAnsiTheme="minorHAnsi" w:cstheme="minorHAnsi"/>
          <w:sz w:val="22"/>
          <w:szCs w:val="22"/>
        </w:rPr>
      </w:pPr>
    </w:p>
    <w:p w:rsidR="00E36847" w:rsidRPr="00526D32" w:rsidRDefault="00E36847" w:rsidP="00E36847">
      <w:pPr>
        <w:spacing w:line="276" w:lineRule="auto"/>
        <w:rPr>
          <w:rFonts w:asciiTheme="minorHAnsi" w:hAnsiTheme="minorHAnsi" w:cstheme="minorHAnsi"/>
          <w:sz w:val="22"/>
          <w:szCs w:val="22"/>
        </w:rPr>
      </w:pPr>
      <w:r w:rsidRPr="00526D32">
        <w:rPr>
          <w:rFonts w:asciiTheme="minorHAnsi" w:hAnsiTheme="minorHAnsi" w:cstheme="minorHAnsi"/>
          <w:sz w:val="22"/>
          <w:szCs w:val="22"/>
        </w:rPr>
        <w:t xml:space="preserve">I pored značajnih efekata koji se očekuju od realizacije </w:t>
      </w:r>
      <w:r>
        <w:rPr>
          <w:rFonts w:asciiTheme="minorHAnsi" w:hAnsiTheme="minorHAnsi" w:cstheme="minorHAnsi"/>
          <w:sz w:val="22"/>
          <w:szCs w:val="22"/>
        </w:rPr>
        <w:t>mjera utvrđenih</w:t>
      </w:r>
      <w:r w:rsidRPr="00526D32">
        <w:rPr>
          <w:rFonts w:asciiTheme="minorHAnsi" w:hAnsiTheme="minorHAnsi" w:cstheme="minorHAnsi"/>
          <w:sz w:val="22"/>
          <w:szCs w:val="22"/>
        </w:rPr>
        <w:t xml:space="preserve"> </w:t>
      </w:r>
      <w:r w:rsidRPr="00526D32">
        <w:rPr>
          <w:rFonts w:ascii="Calibri" w:hAnsi="Calibri" w:cs="Times New Roman"/>
          <w:noProof/>
          <w:sz w:val="22"/>
          <w:szCs w:val="22"/>
        </w:rPr>
        <w:t>Plan</w:t>
      </w:r>
      <w:r>
        <w:rPr>
          <w:rFonts w:ascii="Calibri" w:hAnsi="Calibri" w:cs="Times New Roman"/>
          <w:noProof/>
          <w:sz w:val="22"/>
          <w:szCs w:val="22"/>
        </w:rPr>
        <w:t>om</w:t>
      </w:r>
      <w:r w:rsidRPr="00526D32">
        <w:rPr>
          <w:rFonts w:ascii="Calibri" w:hAnsi="Calibri" w:cs="Times New Roman"/>
          <w:noProof/>
          <w:sz w:val="22"/>
          <w:szCs w:val="22"/>
        </w:rPr>
        <w:t xml:space="preserve"> sanacije</w:t>
      </w:r>
      <w:r w:rsidRPr="00526D32">
        <w:rPr>
          <w:rFonts w:asciiTheme="minorHAnsi" w:hAnsiTheme="minorHAnsi" w:cstheme="minorHAnsi"/>
          <w:sz w:val="22"/>
          <w:szCs w:val="22"/>
        </w:rPr>
        <w:t xml:space="preserve">, a imajući u vidu rastuće fiskalne pritiske, </w:t>
      </w:r>
      <w:r>
        <w:rPr>
          <w:rFonts w:asciiTheme="minorHAnsi" w:hAnsiTheme="minorHAnsi" w:cstheme="minorHAnsi"/>
          <w:sz w:val="22"/>
          <w:szCs w:val="22"/>
        </w:rPr>
        <w:t>predlažu se</w:t>
      </w:r>
      <w:r w:rsidRPr="00526D32">
        <w:rPr>
          <w:rFonts w:asciiTheme="minorHAnsi" w:hAnsiTheme="minorHAnsi" w:cstheme="minorHAnsi"/>
          <w:sz w:val="22"/>
          <w:szCs w:val="22"/>
        </w:rPr>
        <w:t xml:space="preserve"> dodatne mjere ekonomske politike</w:t>
      </w:r>
      <w:r>
        <w:rPr>
          <w:rFonts w:asciiTheme="minorHAnsi" w:hAnsiTheme="minorHAnsi" w:cstheme="minorHAnsi"/>
          <w:sz w:val="22"/>
          <w:szCs w:val="22"/>
        </w:rPr>
        <w:t>,</w:t>
      </w:r>
      <w:r w:rsidRPr="00526D32">
        <w:rPr>
          <w:rFonts w:asciiTheme="minorHAnsi" w:hAnsiTheme="minorHAnsi" w:cstheme="minorHAnsi"/>
          <w:sz w:val="22"/>
          <w:szCs w:val="22"/>
        </w:rPr>
        <w:t xml:space="preserve"> koje se odnose na </w:t>
      </w:r>
      <w:r w:rsidRPr="008041EF">
        <w:rPr>
          <w:rFonts w:asciiTheme="minorHAnsi" w:hAnsiTheme="minorHAnsi" w:cstheme="minorHAnsi"/>
          <w:sz w:val="22"/>
          <w:szCs w:val="22"/>
        </w:rPr>
        <w:t>povećanje prihoda</w:t>
      </w:r>
      <w:r w:rsidRPr="00526D32">
        <w:rPr>
          <w:rFonts w:asciiTheme="minorHAnsi" w:hAnsiTheme="minorHAnsi" w:cstheme="minorHAnsi"/>
          <w:sz w:val="22"/>
          <w:szCs w:val="22"/>
        </w:rPr>
        <w:t xml:space="preserve"> i rac</w:t>
      </w:r>
      <w:r>
        <w:rPr>
          <w:rFonts w:asciiTheme="minorHAnsi" w:hAnsiTheme="minorHAnsi" w:cstheme="minorHAnsi"/>
          <w:sz w:val="22"/>
          <w:szCs w:val="22"/>
        </w:rPr>
        <w:t>ionalizaciju/smanjenje rashoda. Na prihodnoj strani dodatne mjere biće fokusirane na dalje usklađivanje akcizne politike sa standardima EU, povećanje standardne stope PDV-a za 2 p.p, od 2018.godine, što ne narušava konkuretnost poreskog sistema Crne Gore, uz očekivane dodatne efekte od reprograma poreskog duga. Na strani rashoda smanjenjen je fond bruto zarada po osnovu smanjenj</w:t>
      </w:r>
      <w:r w:rsidR="0024718F">
        <w:rPr>
          <w:rFonts w:asciiTheme="minorHAnsi" w:hAnsiTheme="minorHAnsi" w:cstheme="minorHAnsi"/>
          <w:sz w:val="22"/>
          <w:szCs w:val="22"/>
        </w:rPr>
        <w:t>a varijabilnog dijela zarada i redefinisan</w:t>
      </w:r>
      <w:r w:rsidR="0055701F">
        <w:rPr>
          <w:rFonts w:asciiTheme="minorHAnsi" w:hAnsiTheme="minorHAnsi" w:cstheme="minorHAnsi"/>
          <w:sz w:val="22"/>
          <w:szCs w:val="22"/>
        </w:rPr>
        <w:t>ja</w:t>
      </w:r>
      <w:r>
        <w:rPr>
          <w:rFonts w:asciiTheme="minorHAnsi" w:hAnsiTheme="minorHAnsi" w:cstheme="minorHAnsi"/>
          <w:sz w:val="22"/>
          <w:szCs w:val="22"/>
        </w:rPr>
        <w:t xml:space="preserve"> </w:t>
      </w:r>
      <w:r w:rsidR="00801715">
        <w:rPr>
          <w:rFonts w:asciiTheme="minorHAnsi" w:hAnsiTheme="minorHAnsi" w:cstheme="minorHAnsi"/>
          <w:sz w:val="22"/>
          <w:szCs w:val="22"/>
        </w:rPr>
        <w:t>politik</w:t>
      </w:r>
      <w:r w:rsidR="0055701F">
        <w:rPr>
          <w:rFonts w:asciiTheme="minorHAnsi" w:hAnsiTheme="minorHAnsi" w:cstheme="minorHAnsi"/>
          <w:sz w:val="22"/>
          <w:szCs w:val="22"/>
        </w:rPr>
        <w:t>e</w:t>
      </w:r>
      <w:r w:rsidR="00801715">
        <w:rPr>
          <w:rFonts w:asciiTheme="minorHAnsi" w:hAnsiTheme="minorHAnsi" w:cstheme="minorHAnsi"/>
          <w:sz w:val="22"/>
          <w:szCs w:val="22"/>
        </w:rPr>
        <w:t xml:space="preserve"> </w:t>
      </w:r>
      <w:r>
        <w:rPr>
          <w:rFonts w:asciiTheme="minorHAnsi" w:hAnsiTheme="minorHAnsi" w:cstheme="minorHAnsi"/>
          <w:sz w:val="22"/>
          <w:szCs w:val="22"/>
        </w:rPr>
        <w:t xml:space="preserve">zapošljavanja. Istovremeno, smanjen je koeficijent zarada za 1%, za poslove čiji je koeficijent iznad 4,1%. Takođe, predlaže se da se zarade za grupe poslova u kategoriji A,B i C dodatno smanje za 6%, čime se zarade za ove kategorije ukupno smanjuju za 15%. Redefinisaće se i socijalna politika u pravcu pospješivanja </w:t>
      </w:r>
      <w:r w:rsidRPr="00526D32">
        <w:rPr>
          <w:rFonts w:asciiTheme="minorHAnsi" w:hAnsiTheme="minorHAnsi" w:cstheme="minorHAnsi"/>
          <w:sz w:val="22"/>
          <w:szCs w:val="22"/>
        </w:rPr>
        <w:t>nataliteta</w:t>
      </w:r>
      <w:r>
        <w:rPr>
          <w:rFonts w:asciiTheme="minorHAnsi" w:hAnsiTheme="minorHAnsi" w:cstheme="minorHAnsi"/>
          <w:sz w:val="22"/>
          <w:szCs w:val="22"/>
        </w:rPr>
        <w:t xml:space="preserve"> i zaštite ugroženijih kategorija stanovništva. </w:t>
      </w:r>
      <w:r w:rsidRPr="00526D32">
        <w:rPr>
          <w:rFonts w:asciiTheme="minorHAnsi" w:hAnsiTheme="minorHAnsi" w:cstheme="minorHAnsi"/>
          <w:sz w:val="22"/>
          <w:szCs w:val="22"/>
        </w:rPr>
        <w:t xml:space="preserve">Diskreciona potrošnja će se smanjiti do nivoa koji neće dovesti u pitanje efikasno funkcionisanje potrošačkih jedinica i ispunjenje zakonskih i ugovorenih obaveza. </w:t>
      </w:r>
    </w:p>
    <w:p w:rsidR="00E36847" w:rsidRPr="0018642B" w:rsidRDefault="00E36847" w:rsidP="00E36847">
      <w:pPr>
        <w:spacing w:line="276" w:lineRule="auto"/>
        <w:rPr>
          <w:rFonts w:asciiTheme="minorHAnsi" w:hAnsiTheme="minorHAnsi" w:cstheme="minorHAnsi"/>
          <w:color w:val="auto"/>
          <w:sz w:val="22"/>
          <w:szCs w:val="22"/>
        </w:rPr>
      </w:pPr>
    </w:p>
    <w:p w:rsidR="00E36847" w:rsidRPr="00DD3B25" w:rsidRDefault="00E36847" w:rsidP="00E36847">
      <w:pPr>
        <w:rPr>
          <w:rFonts w:asciiTheme="minorHAnsi" w:hAnsiTheme="minorHAnsi" w:cstheme="minorHAnsi"/>
          <w:color w:val="auto"/>
          <w:sz w:val="22"/>
          <w:szCs w:val="22"/>
        </w:rPr>
      </w:pPr>
      <w:r w:rsidRPr="00DD3B25">
        <w:rPr>
          <w:rFonts w:asciiTheme="minorHAnsi" w:hAnsiTheme="minorHAnsi" w:cstheme="minorHAnsi"/>
          <w:sz w:val="22"/>
          <w:szCs w:val="22"/>
        </w:rPr>
        <w:t xml:space="preserve">Prilikom njihovog odabira vodilo se računa o obezbjeđenju što ravnomjernije raspodjele poreskog tereta, što se postiglo povećanjem stope PDV-a, dok su ostali porezi ostali nepromijenjeni, a što je u skladu sa </w:t>
      </w:r>
      <w:r w:rsidRPr="00DD3B25">
        <w:rPr>
          <w:rFonts w:asciiTheme="minorHAnsi" w:hAnsiTheme="minorHAnsi" w:cstheme="minorHAnsi"/>
          <w:iCs/>
          <w:sz w:val="22"/>
          <w:szCs w:val="22"/>
        </w:rPr>
        <w:t xml:space="preserve">opredjeljenjem </w:t>
      </w:r>
      <w:r w:rsidRPr="00DD3B25">
        <w:rPr>
          <w:rFonts w:asciiTheme="minorHAnsi" w:hAnsiTheme="minorHAnsi" w:cstheme="minorHAnsi"/>
          <w:sz w:val="22"/>
          <w:szCs w:val="22"/>
        </w:rPr>
        <w:t xml:space="preserve">da Crna Gora, i sa aspekta visine poreskog opterećenja, ostane konkurentna destinacija za strana ulaganja. Pored toga, vodilo se računa i o zaštiti određenih kategorija stanovnika, tako da neće doći do smanjenja penzija, već će se vršiti njihovo redovno usklađivanje. </w:t>
      </w:r>
      <w:r w:rsidRPr="00DD3B25">
        <w:rPr>
          <w:rFonts w:ascii="Calibri" w:hAnsi="Calibri" w:cstheme="minorHAnsi"/>
          <w:color w:val="auto"/>
          <w:sz w:val="22"/>
          <w:szCs w:val="22"/>
        </w:rPr>
        <w:t xml:space="preserve">Na ovaj način, a uz uvažavanje </w:t>
      </w:r>
      <w:r w:rsidRPr="00DD3B25">
        <w:rPr>
          <w:rFonts w:ascii="Calibri" w:hAnsi="Calibri" w:cstheme="minorHAnsi"/>
          <w:color w:val="auto"/>
          <w:sz w:val="22"/>
          <w:szCs w:val="22"/>
          <w:lang w:val="hr-HR"/>
        </w:rPr>
        <w:t>preporuka relevantnih međunarodnih institucija i Evropske komisije, ostvariće se ciljevi ekonomske politike za navedeni period.</w:t>
      </w:r>
    </w:p>
    <w:p w:rsidR="00E36847" w:rsidRDefault="00E36847" w:rsidP="00E36847">
      <w:pPr>
        <w:rPr>
          <w:rFonts w:ascii="Calibri" w:hAnsi="Calibri" w:cstheme="minorHAnsi"/>
          <w:color w:val="auto"/>
          <w:sz w:val="22"/>
          <w:szCs w:val="22"/>
        </w:rPr>
      </w:pPr>
    </w:p>
    <w:p w:rsidR="00E36847" w:rsidRPr="002E333A" w:rsidRDefault="00E36847" w:rsidP="00E36847">
      <w:pPr>
        <w:rPr>
          <w:rFonts w:ascii="Calibri" w:hAnsi="Calibri" w:cstheme="minorHAnsi"/>
          <w:color w:val="auto"/>
          <w:sz w:val="22"/>
          <w:szCs w:val="22"/>
          <w:lang w:val="hr-HR"/>
        </w:rPr>
      </w:pPr>
      <w:r>
        <w:rPr>
          <w:rFonts w:ascii="Calibri" w:hAnsi="Calibri" w:cstheme="minorHAnsi"/>
          <w:color w:val="auto"/>
          <w:sz w:val="22"/>
          <w:szCs w:val="22"/>
        </w:rPr>
        <w:t>Pored navedenog, intenziviraće se</w:t>
      </w:r>
      <w:r w:rsidRPr="002D7B53">
        <w:rPr>
          <w:rFonts w:ascii="Calibri" w:hAnsi="Calibri" w:cstheme="minorHAnsi"/>
          <w:bCs/>
          <w:iCs/>
          <w:color w:val="auto"/>
          <w:sz w:val="22"/>
          <w:szCs w:val="22"/>
        </w:rPr>
        <w:t xml:space="preserve"> aktivnosti usmjerene na:</w:t>
      </w:r>
      <w:r w:rsidRPr="002D7B53">
        <w:rPr>
          <w:rFonts w:ascii="Calibri" w:hAnsi="Calibri" w:cstheme="minorHAnsi"/>
          <w:color w:val="auto"/>
          <w:sz w:val="22"/>
          <w:szCs w:val="22"/>
        </w:rPr>
        <w:t xml:space="preserve"> smanjenje nivoa sive ekonomije; smanjenje poreskih potraživanja; kao i oprezno izdavanje garancija, koje moraju biti dominantno u funkciji razvoja. </w:t>
      </w:r>
      <w:r w:rsidRPr="002D7B53">
        <w:rPr>
          <w:rFonts w:ascii="Calibri" w:hAnsi="Calibri" w:cstheme="minorHAnsi"/>
          <w:bCs/>
          <w:iCs/>
          <w:color w:val="auto"/>
          <w:sz w:val="22"/>
          <w:szCs w:val="22"/>
        </w:rPr>
        <w:t xml:space="preserve">Istovremeno, nastaviće se realizacija mjera podsticaja koje su u funkciji </w:t>
      </w:r>
      <w:r>
        <w:rPr>
          <w:rFonts w:ascii="Calibri" w:hAnsi="Calibri" w:cstheme="minorHAnsi"/>
          <w:bCs/>
          <w:iCs/>
          <w:color w:val="auto"/>
          <w:sz w:val="22"/>
          <w:szCs w:val="22"/>
        </w:rPr>
        <w:t>ravnomjernijeg</w:t>
      </w:r>
      <w:r w:rsidRPr="002D7B53">
        <w:rPr>
          <w:rFonts w:ascii="Calibri" w:hAnsi="Calibri" w:cstheme="minorHAnsi"/>
          <w:bCs/>
          <w:iCs/>
          <w:color w:val="auto"/>
          <w:sz w:val="22"/>
          <w:szCs w:val="22"/>
        </w:rPr>
        <w:t xml:space="preserve"> razvoja</w:t>
      </w:r>
      <w:r>
        <w:rPr>
          <w:rFonts w:ascii="Calibri" w:hAnsi="Calibri" w:cstheme="minorHAnsi"/>
          <w:bCs/>
          <w:iCs/>
          <w:color w:val="auto"/>
          <w:sz w:val="22"/>
          <w:szCs w:val="22"/>
        </w:rPr>
        <w:t xml:space="preserve"> zemlje</w:t>
      </w:r>
      <w:r w:rsidRPr="002D7B53">
        <w:rPr>
          <w:rFonts w:ascii="Calibri" w:hAnsi="Calibri" w:cstheme="minorHAnsi"/>
          <w:bCs/>
          <w:iCs/>
          <w:color w:val="auto"/>
          <w:sz w:val="22"/>
          <w:szCs w:val="22"/>
        </w:rPr>
        <w:t xml:space="preserve">, odnosno bržeg razvoja nerazvijenih područja. </w:t>
      </w:r>
    </w:p>
    <w:p w:rsidR="00E36847" w:rsidRDefault="00E36847" w:rsidP="00E36847">
      <w:pPr>
        <w:spacing w:line="276" w:lineRule="auto"/>
        <w:rPr>
          <w:rFonts w:asciiTheme="minorHAnsi" w:hAnsiTheme="minorHAnsi" w:cstheme="minorHAnsi"/>
          <w:sz w:val="22"/>
          <w:szCs w:val="22"/>
        </w:rPr>
      </w:pPr>
    </w:p>
    <w:p w:rsidR="00E36847" w:rsidRPr="00121A50" w:rsidRDefault="00E36847" w:rsidP="00E36847">
      <w:pPr>
        <w:spacing w:line="276" w:lineRule="auto"/>
        <w:rPr>
          <w:rFonts w:asciiTheme="minorHAnsi" w:hAnsiTheme="minorHAnsi" w:cstheme="minorHAnsi"/>
          <w:color w:val="auto"/>
          <w:sz w:val="22"/>
          <w:szCs w:val="22"/>
        </w:rPr>
      </w:pPr>
      <w:r>
        <w:rPr>
          <w:rFonts w:asciiTheme="minorHAnsi" w:hAnsiTheme="minorHAnsi" w:cstheme="minorHAnsi"/>
          <w:sz w:val="22"/>
          <w:szCs w:val="22"/>
        </w:rPr>
        <w:t xml:space="preserve">Kao podrška jačanju makroekonomske stabilnosti i konkurentnosti ekonomije, kao preduslova za povećanje potencijalnog privrednog rasta, data je i agenda strukturnih reformi </w:t>
      </w:r>
      <w:r w:rsidRPr="00526D32">
        <w:rPr>
          <w:rFonts w:asciiTheme="minorHAnsi" w:hAnsiTheme="minorHAnsi" w:cstheme="minorHAnsi"/>
          <w:sz w:val="22"/>
          <w:szCs w:val="22"/>
        </w:rPr>
        <w:t>odnosno mjera razvojne i ekonomske politike u javnom i realnom sektoru</w:t>
      </w:r>
      <w:r>
        <w:rPr>
          <w:rFonts w:asciiTheme="minorHAnsi" w:hAnsiTheme="minorHAnsi" w:cstheme="minorHAnsi"/>
          <w:sz w:val="22"/>
          <w:szCs w:val="22"/>
        </w:rPr>
        <w:t xml:space="preserve">. </w:t>
      </w:r>
      <w:r w:rsidRPr="005A4EA3">
        <w:rPr>
          <w:rFonts w:asciiTheme="minorHAnsi" w:hAnsiTheme="minorHAnsi" w:cstheme="minorHAnsi"/>
          <w:color w:val="auto"/>
          <w:sz w:val="22"/>
          <w:szCs w:val="22"/>
        </w:rPr>
        <w:t>U tom smislu, nastaviće se sa implementacijom sistemskih rješenja u pravcu jačanja konkurentnosti ekonomskog sistema</w:t>
      </w:r>
      <w:r>
        <w:rPr>
          <w:rFonts w:asciiTheme="minorHAnsi" w:hAnsiTheme="minorHAnsi" w:cstheme="minorHAnsi"/>
          <w:color w:val="auto"/>
          <w:sz w:val="22"/>
          <w:szCs w:val="22"/>
        </w:rPr>
        <w:t xml:space="preserve">, </w:t>
      </w:r>
      <w:r w:rsidRPr="005A4EA3">
        <w:rPr>
          <w:rFonts w:asciiTheme="minorHAnsi" w:hAnsiTheme="minorHAnsi" w:cstheme="minorHAnsi"/>
          <w:color w:val="auto"/>
          <w:sz w:val="22"/>
          <w:szCs w:val="22"/>
        </w:rPr>
        <w:t>kroz unapređenje poslovnog ambijenta, finansijsku i institucionalnu podršku razvoju preduzetništva, odnosno sektora malih i srednjih preduzeća i, u tom okviru, razvoju i diverzifikaciji prerađivačke industrije. Istovremeno, radiće se na unapređenju radnog zakonodavstva, reformi sistema obrazovanja, kao i na unapređenju penzijskog i zdravstvenog sistema, te postizanju veće efikasnosti i produktivnosti državne uprave. Mjerama koje se realizuju u oblasti, energetike, turizma</w:t>
      </w:r>
      <w:r>
        <w:rPr>
          <w:rFonts w:asciiTheme="minorHAnsi" w:hAnsiTheme="minorHAnsi" w:cstheme="minorHAnsi"/>
          <w:color w:val="auto"/>
          <w:sz w:val="22"/>
          <w:szCs w:val="22"/>
        </w:rPr>
        <w:t>,</w:t>
      </w:r>
      <w:r w:rsidRPr="005A4EA3">
        <w:rPr>
          <w:rFonts w:asciiTheme="minorHAnsi" w:hAnsiTheme="minorHAnsi" w:cstheme="minorHAnsi"/>
          <w:color w:val="auto"/>
          <w:sz w:val="22"/>
          <w:szCs w:val="22"/>
        </w:rPr>
        <w:t xml:space="preserve"> poljoprivrede, kao i u oblasti saobraćaja, a u kojima Crna Gora ima komparativne prirodne, geografske i druge, za lokaciju vezane prednosti, doprinije</w:t>
      </w:r>
      <w:r>
        <w:rPr>
          <w:rFonts w:asciiTheme="minorHAnsi" w:hAnsiTheme="minorHAnsi" w:cstheme="minorHAnsi"/>
          <w:color w:val="auto"/>
          <w:sz w:val="22"/>
          <w:szCs w:val="22"/>
        </w:rPr>
        <w:t>će se ukupnom ekonomskom rastu.</w:t>
      </w:r>
    </w:p>
    <w:p w:rsidR="00E36847" w:rsidRDefault="00E36847" w:rsidP="00E36847">
      <w:pPr>
        <w:spacing w:line="276" w:lineRule="auto"/>
        <w:rPr>
          <w:rFonts w:ascii="Calibri" w:hAnsi="Calibri" w:cstheme="minorHAnsi"/>
          <w:color w:val="auto"/>
          <w:sz w:val="22"/>
          <w:szCs w:val="22"/>
          <w:lang w:val="hr-HR"/>
        </w:rPr>
      </w:pPr>
    </w:p>
    <w:p w:rsidR="00E36847" w:rsidRPr="00932A53" w:rsidRDefault="00E36847" w:rsidP="00E36847">
      <w:pPr>
        <w:numPr>
          <w:ilvl w:val="0"/>
          <w:numId w:val="7"/>
        </w:numPr>
        <w:spacing w:line="276" w:lineRule="auto"/>
        <w:ind w:left="0" w:firstLine="360"/>
        <w:contextualSpacing/>
        <w:rPr>
          <w:rFonts w:ascii="Calibri" w:hAnsi="Calibri" w:cstheme="minorHAnsi"/>
          <w:color w:val="auto"/>
          <w:sz w:val="22"/>
          <w:szCs w:val="22"/>
          <w:lang w:val="hr-HR"/>
        </w:rPr>
      </w:pPr>
      <w:r w:rsidRPr="00DD3B25">
        <w:rPr>
          <w:rFonts w:ascii="Calibri" w:hAnsi="Calibri" w:cstheme="minorHAnsi"/>
          <w:b/>
          <w:i/>
          <w:color w:val="auto"/>
          <w:sz w:val="22"/>
          <w:szCs w:val="22"/>
          <w:lang w:val="hr-HR"/>
        </w:rPr>
        <w:t>Rezultati, odnosno efekti mjera ekonomske politike.</w:t>
      </w:r>
      <w:r w:rsidRPr="00DD3B25">
        <w:rPr>
          <w:rFonts w:ascii="Calibri" w:hAnsi="Calibri" w:cstheme="minorHAnsi"/>
          <w:color w:val="auto"/>
          <w:sz w:val="22"/>
          <w:szCs w:val="22"/>
          <w:lang w:val="hr-HR"/>
        </w:rPr>
        <w:t xml:space="preserve"> Dodatne mjere fiskalne konsolidacije neće značajnije uticati na usporavanje stope ekonomskog rasta u srednjem roku, a istovremeno će doprinijeti ostvarenju odživog ekonomskog rasta na dugi rok. Pri tome, u periodu 2017-2020. godine, ostvariće se respektabilni rezultati u dijelu fiskalne konsolidacije, kojima se obezbjeđuje puna kredibilnost javnih finansija Crne Gore i, uz poboljšanje kreditnog rejtinga, značajno unaprjeđuje njena </w:t>
      </w:r>
      <w:r w:rsidRPr="00DD3B25">
        <w:rPr>
          <w:rFonts w:asciiTheme="minorHAnsi" w:hAnsiTheme="minorHAnsi" w:cstheme="minorHAnsi"/>
          <w:color w:val="auto"/>
          <w:sz w:val="22"/>
          <w:szCs w:val="22"/>
          <w:lang w:val="hr-HR"/>
        </w:rPr>
        <w:t xml:space="preserve">pozicija na finansijskim tržištima. Pri tome, </w:t>
      </w:r>
      <w:r w:rsidRPr="00DD3B25">
        <w:rPr>
          <w:rFonts w:ascii="Calibri" w:hAnsi="Calibri" w:cstheme="minorHAnsi"/>
          <w:color w:val="auto"/>
          <w:sz w:val="22"/>
          <w:szCs w:val="22"/>
          <w:lang w:val="hr-HR"/>
        </w:rPr>
        <w:t xml:space="preserve">po osnovu realizacije dodatnih mjera, prihodi budžeta će se povećati u neto iznosu od </w:t>
      </w:r>
      <w:r w:rsidRPr="00DD3B25">
        <w:rPr>
          <w:rFonts w:asciiTheme="minorHAnsi" w:hAnsiTheme="minorHAnsi" w:cstheme="minorHAnsi"/>
          <w:color w:val="auto"/>
          <w:sz w:val="22"/>
          <w:szCs w:val="22"/>
        </w:rPr>
        <w:t xml:space="preserve">132,9 mil €, doći će do smanjenja rashoda </w:t>
      </w:r>
      <w:r w:rsidRPr="00DD3B25">
        <w:rPr>
          <w:rFonts w:ascii="Calibri" w:hAnsi="Calibri" w:cstheme="minorHAnsi"/>
          <w:color w:val="auto"/>
          <w:sz w:val="22"/>
          <w:szCs w:val="22"/>
          <w:lang w:val="hr-HR"/>
        </w:rPr>
        <w:t xml:space="preserve">za </w:t>
      </w:r>
      <w:r w:rsidRPr="00DD3B25">
        <w:rPr>
          <w:rFonts w:ascii="Calibri" w:hAnsi="Calibri"/>
          <w:color w:val="auto"/>
          <w:sz w:val="22"/>
          <w:szCs w:val="22"/>
        </w:rPr>
        <w:t>41.5</w:t>
      </w:r>
      <w:r w:rsidRPr="00DD3B25">
        <w:rPr>
          <w:rFonts w:asciiTheme="minorHAnsi" w:hAnsiTheme="minorHAnsi" w:cstheme="minorHAnsi"/>
          <w:color w:val="auto"/>
          <w:sz w:val="22"/>
          <w:szCs w:val="22"/>
        </w:rPr>
        <w:t xml:space="preserve"> mil €. Međutim, zbog novih izdataka, koji proizilaze iz odgovarajućih zakonskih rješenja i strateških dokumenata, a koji su procijenjeni na 57</w:t>
      </w:r>
      <w:r w:rsidRPr="00932A53">
        <w:rPr>
          <w:rFonts w:asciiTheme="minorHAnsi" w:hAnsiTheme="minorHAnsi" w:cstheme="minorHAnsi"/>
          <w:color w:val="auto"/>
          <w:sz w:val="22"/>
          <w:szCs w:val="22"/>
        </w:rPr>
        <w:t>,4 mil €, rashodi budžeta će se povećati za 15,9 mil €. U skladu sa navedenim, ukup</w:t>
      </w:r>
      <w:r>
        <w:rPr>
          <w:rFonts w:asciiTheme="minorHAnsi" w:hAnsiTheme="minorHAnsi" w:cstheme="minorHAnsi"/>
          <w:color w:val="auto"/>
          <w:sz w:val="22"/>
          <w:szCs w:val="22"/>
        </w:rPr>
        <w:t>an neto</w:t>
      </w:r>
      <w:r w:rsidRPr="00932A53">
        <w:rPr>
          <w:rFonts w:asciiTheme="minorHAnsi" w:hAnsiTheme="minorHAnsi" w:cstheme="minorHAnsi"/>
          <w:color w:val="auto"/>
          <w:sz w:val="22"/>
          <w:szCs w:val="22"/>
        </w:rPr>
        <w:t xml:space="preserve"> efekat dodatnih mjera fiskalne konsolidacije iznosi 1</w:t>
      </w:r>
      <w:r>
        <w:rPr>
          <w:rFonts w:asciiTheme="minorHAnsi" w:hAnsiTheme="minorHAnsi" w:cstheme="minorHAnsi"/>
          <w:color w:val="auto"/>
          <w:sz w:val="22"/>
          <w:szCs w:val="22"/>
        </w:rPr>
        <w:t>17</w:t>
      </w:r>
      <w:r w:rsidRPr="00932A53">
        <w:rPr>
          <w:rFonts w:asciiTheme="minorHAnsi" w:hAnsiTheme="minorHAnsi" w:cstheme="minorHAnsi"/>
          <w:color w:val="auto"/>
          <w:sz w:val="22"/>
          <w:szCs w:val="22"/>
        </w:rPr>
        <w:t>,</w:t>
      </w:r>
      <w:r>
        <w:rPr>
          <w:rFonts w:asciiTheme="minorHAnsi" w:hAnsiTheme="minorHAnsi" w:cstheme="minorHAnsi"/>
          <w:color w:val="auto"/>
          <w:sz w:val="22"/>
          <w:szCs w:val="22"/>
        </w:rPr>
        <w:t>0</w:t>
      </w:r>
      <w:r w:rsidRPr="00932A53">
        <w:rPr>
          <w:rFonts w:asciiTheme="minorHAnsi" w:hAnsiTheme="minorHAnsi" w:cstheme="minorHAnsi"/>
          <w:color w:val="auto"/>
          <w:sz w:val="22"/>
          <w:szCs w:val="22"/>
        </w:rPr>
        <w:t xml:space="preserve"> </w:t>
      </w:r>
      <w:r w:rsidRPr="0018456E">
        <w:rPr>
          <w:rFonts w:asciiTheme="minorHAnsi" w:hAnsiTheme="minorHAnsi" w:cstheme="minorHAnsi"/>
          <w:color w:val="auto"/>
          <w:sz w:val="22"/>
          <w:szCs w:val="22"/>
        </w:rPr>
        <w:t>mil €.</w:t>
      </w:r>
    </w:p>
    <w:p w:rsidR="00E36847" w:rsidRPr="00DD3B25" w:rsidRDefault="00E36847" w:rsidP="00E36847">
      <w:pPr>
        <w:rPr>
          <w:rFonts w:ascii="Calibri" w:hAnsi="Calibri" w:cstheme="minorHAnsi"/>
          <w:color w:val="auto"/>
          <w:sz w:val="22"/>
          <w:szCs w:val="22"/>
        </w:rPr>
      </w:pPr>
    </w:p>
    <w:p w:rsidR="00E36847" w:rsidRPr="00DD3B25" w:rsidRDefault="00E36847" w:rsidP="00E36847">
      <w:pPr>
        <w:rPr>
          <w:rFonts w:ascii="Calibri" w:hAnsi="Calibri" w:cstheme="minorHAnsi"/>
          <w:color w:val="auto"/>
          <w:sz w:val="22"/>
          <w:szCs w:val="22"/>
        </w:rPr>
      </w:pPr>
      <w:r w:rsidRPr="00DD3B25">
        <w:rPr>
          <w:rFonts w:ascii="Calibri" w:hAnsi="Calibri" w:cstheme="minorHAnsi"/>
          <w:color w:val="auto"/>
          <w:sz w:val="22"/>
          <w:szCs w:val="22"/>
        </w:rPr>
        <w:t xml:space="preserve">Efekti </w:t>
      </w:r>
      <w:r w:rsidRPr="00DD3B25">
        <w:rPr>
          <w:rFonts w:asciiTheme="minorHAnsi" w:hAnsiTheme="minorHAnsi" w:cstheme="minorHAnsi"/>
          <w:color w:val="auto"/>
          <w:sz w:val="22"/>
          <w:szCs w:val="22"/>
        </w:rPr>
        <w:t>dodatnih mjera fiskalne konsolidacije</w:t>
      </w:r>
      <w:r w:rsidRPr="00DD3B25">
        <w:rPr>
          <w:rFonts w:ascii="Calibri" w:hAnsi="Calibri" w:cstheme="minorHAnsi"/>
          <w:color w:val="auto"/>
          <w:sz w:val="22"/>
          <w:szCs w:val="22"/>
        </w:rPr>
        <w:t xml:space="preserve"> na osnovne makrofiskalne indikatore:</w:t>
      </w:r>
    </w:p>
    <w:p w:rsidR="00E36847" w:rsidRPr="00DD3B25" w:rsidRDefault="00E36847" w:rsidP="00E36847">
      <w:pPr>
        <w:rPr>
          <w:rFonts w:ascii="Calibri" w:hAnsi="Calibri" w:cstheme="minorHAnsi"/>
          <w:color w:val="auto"/>
          <w:sz w:val="22"/>
          <w:szCs w:val="22"/>
        </w:rPr>
      </w:pPr>
    </w:p>
    <w:p w:rsidR="00E36847" w:rsidRPr="00561734" w:rsidRDefault="00E36847" w:rsidP="00E36847">
      <w:pPr>
        <w:pStyle w:val="ListParagraph"/>
        <w:numPr>
          <w:ilvl w:val="0"/>
          <w:numId w:val="36"/>
        </w:numPr>
        <w:autoSpaceDE w:val="0"/>
        <w:autoSpaceDN w:val="0"/>
        <w:adjustRightInd w:val="0"/>
        <w:spacing w:line="240" w:lineRule="auto"/>
        <w:rPr>
          <w:rFonts w:asciiTheme="minorHAnsi" w:eastAsia="CalibriLight" w:hAnsiTheme="minorHAnsi" w:cs="CalibriLight"/>
          <w:color w:val="auto"/>
          <w:sz w:val="22"/>
          <w:szCs w:val="22"/>
          <w:lang w:val="en-US"/>
        </w:rPr>
      </w:pPr>
      <w:r w:rsidRPr="00561734">
        <w:rPr>
          <w:rFonts w:asciiTheme="minorHAnsi" w:eastAsia="CalibriLight" w:hAnsiTheme="minorHAnsi" w:cs="CalibriLight"/>
          <w:color w:val="auto"/>
          <w:sz w:val="22"/>
          <w:szCs w:val="22"/>
          <w:lang w:val="en-US"/>
        </w:rPr>
        <w:t xml:space="preserve">budžetski deficit </w:t>
      </w:r>
      <w:r>
        <w:rPr>
          <w:rFonts w:asciiTheme="minorHAnsi" w:eastAsia="CalibriLight" w:hAnsiTheme="minorHAnsi" w:cs="CalibriLight"/>
          <w:color w:val="auto"/>
          <w:sz w:val="22"/>
          <w:szCs w:val="22"/>
          <w:lang w:val="en-US"/>
        </w:rPr>
        <w:t>se, od 2017-2020. godine, kontinuirano smanjuje i</w:t>
      </w:r>
      <w:r w:rsidRPr="00561734">
        <w:rPr>
          <w:rFonts w:asciiTheme="minorHAnsi" w:eastAsia="CalibriLight" w:hAnsiTheme="minorHAnsi" w:cs="CalibriLight"/>
          <w:color w:val="auto"/>
          <w:sz w:val="22"/>
          <w:szCs w:val="22"/>
          <w:lang w:val="en-US"/>
        </w:rPr>
        <w:t xml:space="preserve"> od 2020.godine </w:t>
      </w:r>
      <w:r>
        <w:rPr>
          <w:rFonts w:asciiTheme="minorHAnsi" w:eastAsia="CalibriLight" w:hAnsiTheme="minorHAnsi" w:cs="CalibriLight"/>
          <w:color w:val="auto"/>
          <w:sz w:val="22"/>
          <w:szCs w:val="22"/>
          <w:lang w:val="en-US"/>
        </w:rPr>
        <w:t>ulazi u zonu</w:t>
      </w:r>
      <w:r w:rsidRPr="00561734">
        <w:rPr>
          <w:rFonts w:asciiTheme="minorHAnsi" w:eastAsia="CalibriLight" w:hAnsiTheme="minorHAnsi" w:cs="CalibriLight"/>
          <w:color w:val="auto"/>
          <w:sz w:val="22"/>
          <w:szCs w:val="22"/>
          <w:lang w:val="en-US"/>
        </w:rPr>
        <w:t xml:space="preserve"> suficit</w:t>
      </w:r>
      <w:r>
        <w:rPr>
          <w:rFonts w:asciiTheme="minorHAnsi" w:eastAsia="CalibriLight" w:hAnsiTheme="minorHAnsi" w:cs="CalibriLight"/>
          <w:color w:val="auto"/>
          <w:sz w:val="22"/>
          <w:szCs w:val="22"/>
          <w:lang w:val="en-US"/>
        </w:rPr>
        <w:t xml:space="preserve">a i iznosi </w:t>
      </w:r>
      <w:r w:rsidRPr="00561734">
        <w:rPr>
          <w:rFonts w:asciiTheme="minorHAnsi" w:eastAsia="CalibriLight" w:hAnsiTheme="minorHAnsi" w:cs="CalibriLight"/>
          <w:color w:val="auto"/>
          <w:sz w:val="22"/>
          <w:szCs w:val="22"/>
          <w:lang w:val="en-US"/>
        </w:rPr>
        <w:t>4,5% BDP;</w:t>
      </w:r>
    </w:p>
    <w:p w:rsidR="00E36847" w:rsidRPr="00561734" w:rsidRDefault="00E36847" w:rsidP="00E36847">
      <w:pPr>
        <w:pStyle w:val="ListParagraph"/>
        <w:numPr>
          <w:ilvl w:val="0"/>
          <w:numId w:val="36"/>
        </w:numPr>
        <w:autoSpaceDE w:val="0"/>
        <w:autoSpaceDN w:val="0"/>
        <w:adjustRightInd w:val="0"/>
        <w:spacing w:line="240" w:lineRule="auto"/>
        <w:rPr>
          <w:rFonts w:asciiTheme="minorHAnsi" w:eastAsia="CalibriLight" w:hAnsiTheme="minorHAnsi" w:cs="CalibriLight"/>
          <w:color w:val="auto"/>
          <w:sz w:val="22"/>
          <w:szCs w:val="22"/>
          <w:lang w:val="en-US"/>
        </w:rPr>
      </w:pPr>
      <w:r>
        <w:rPr>
          <w:rFonts w:asciiTheme="minorHAnsi" w:eastAsia="CalibriLight" w:hAnsiTheme="minorHAnsi" w:cs="CalibriLight"/>
          <w:color w:val="auto"/>
          <w:sz w:val="22"/>
          <w:szCs w:val="22"/>
          <w:lang w:val="en-US"/>
        </w:rPr>
        <w:t>od 2019. godine uspos</w:t>
      </w:r>
      <w:r w:rsidRPr="00561734">
        <w:rPr>
          <w:rFonts w:asciiTheme="minorHAnsi" w:eastAsia="CalibriLight" w:hAnsiTheme="minorHAnsi" w:cs="CalibriLight"/>
          <w:color w:val="auto"/>
          <w:sz w:val="22"/>
          <w:szCs w:val="22"/>
          <w:lang w:val="en-US"/>
        </w:rPr>
        <w:t>tavi</w:t>
      </w:r>
      <w:r>
        <w:rPr>
          <w:rFonts w:asciiTheme="minorHAnsi" w:eastAsia="CalibriLight" w:hAnsiTheme="minorHAnsi" w:cs="CalibriLight"/>
          <w:color w:val="auto"/>
          <w:sz w:val="22"/>
          <w:szCs w:val="22"/>
          <w:lang w:val="en-US"/>
        </w:rPr>
        <w:t>će se</w:t>
      </w:r>
      <w:r w:rsidRPr="00561734">
        <w:rPr>
          <w:rFonts w:asciiTheme="minorHAnsi" w:eastAsia="CalibriLight" w:hAnsiTheme="minorHAnsi" w:cs="CalibriLight"/>
          <w:color w:val="auto"/>
          <w:sz w:val="22"/>
          <w:szCs w:val="22"/>
          <w:lang w:val="en-US"/>
        </w:rPr>
        <w:t xml:space="preserve"> trend smanjenja učešća javnog duga u BDP, koji </w:t>
      </w:r>
      <w:r>
        <w:rPr>
          <w:rFonts w:asciiTheme="minorHAnsi" w:eastAsia="CalibriLight" w:hAnsiTheme="minorHAnsi" w:cs="CalibriLight"/>
          <w:color w:val="auto"/>
          <w:sz w:val="22"/>
          <w:szCs w:val="22"/>
          <w:lang w:val="en-US"/>
        </w:rPr>
        <w:t xml:space="preserve">će u </w:t>
      </w:r>
      <w:r w:rsidRPr="00561734">
        <w:rPr>
          <w:rFonts w:asciiTheme="minorHAnsi" w:eastAsia="CalibriLight" w:hAnsiTheme="minorHAnsi" w:cs="CalibriLight"/>
          <w:color w:val="auto"/>
          <w:sz w:val="22"/>
          <w:szCs w:val="22"/>
          <w:lang w:val="en-US"/>
        </w:rPr>
        <w:t xml:space="preserve">2020. </w:t>
      </w:r>
      <w:r>
        <w:rPr>
          <w:rFonts w:asciiTheme="minorHAnsi" w:eastAsia="CalibriLight" w:hAnsiTheme="minorHAnsi" w:cs="CalibriLight"/>
          <w:color w:val="auto"/>
          <w:sz w:val="22"/>
          <w:szCs w:val="22"/>
          <w:lang w:val="en-US"/>
        </w:rPr>
        <w:t xml:space="preserve">iznositi </w:t>
      </w:r>
      <w:r w:rsidRPr="00561734">
        <w:rPr>
          <w:rFonts w:asciiTheme="minorHAnsi" w:eastAsia="CalibriLight" w:hAnsiTheme="minorHAnsi" w:cs="CalibriLight"/>
          <w:color w:val="auto"/>
          <w:sz w:val="22"/>
          <w:szCs w:val="22"/>
          <w:lang w:val="en-US"/>
        </w:rPr>
        <w:t>67% BDP</w:t>
      </w:r>
      <w:r>
        <w:rPr>
          <w:rFonts w:asciiTheme="minorHAnsi" w:eastAsia="CalibriLight" w:hAnsiTheme="minorHAnsi" w:cs="CalibriLight"/>
          <w:color w:val="auto"/>
          <w:sz w:val="22"/>
          <w:szCs w:val="22"/>
          <w:lang w:val="en-US"/>
        </w:rPr>
        <w:t xml:space="preserve"> i biti niži za 7 p.p u odnosu na 2019. godinu;</w:t>
      </w:r>
    </w:p>
    <w:p w:rsidR="00E36847" w:rsidRDefault="00E36847" w:rsidP="00E36847">
      <w:pPr>
        <w:pStyle w:val="ListParagraph"/>
        <w:numPr>
          <w:ilvl w:val="0"/>
          <w:numId w:val="36"/>
        </w:numPr>
        <w:autoSpaceDE w:val="0"/>
        <w:autoSpaceDN w:val="0"/>
        <w:adjustRightInd w:val="0"/>
        <w:spacing w:line="240" w:lineRule="auto"/>
        <w:rPr>
          <w:rFonts w:asciiTheme="minorHAnsi" w:eastAsia="CalibriLight" w:hAnsiTheme="minorHAnsi" w:cs="CalibriLight"/>
          <w:color w:val="auto"/>
          <w:sz w:val="22"/>
          <w:szCs w:val="22"/>
          <w:lang w:val="en-US"/>
        </w:rPr>
      </w:pPr>
      <w:r>
        <w:rPr>
          <w:rFonts w:asciiTheme="minorHAnsi" w:eastAsia="CalibriLight" w:hAnsiTheme="minorHAnsi" w:cs="CalibriLight"/>
          <w:color w:val="auto"/>
          <w:sz w:val="22"/>
          <w:szCs w:val="22"/>
          <w:lang w:val="en-US"/>
        </w:rPr>
        <w:t>u periodu 2017-2020, realni ekonomski rast će iznositi 2,6%, prosječno godišnje;</w:t>
      </w:r>
    </w:p>
    <w:p w:rsidR="00E36847" w:rsidRDefault="00E36847" w:rsidP="00E36847">
      <w:pPr>
        <w:pStyle w:val="ListParagraph"/>
        <w:numPr>
          <w:ilvl w:val="0"/>
          <w:numId w:val="36"/>
        </w:numPr>
        <w:autoSpaceDE w:val="0"/>
        <w:autoSpaceDN w:val="0"/>
        <w:adjustRightInd w:val="0"/>
        <w:spacing w:line="240" w:lineRule="auto"/>
        <w:rPr>
          <w:rFonts w:asciiTheme="minorHAnsi" w:eastAsia="CalibriLight" w:hAnsiTheme="minorHAnsi" w:cs="CalibriLight"/>
          <w:color w:val="auto"/>
          <w:sz w:val="22"/>
          <w:szCs w:val="22"/>
          <w:lang w:val="en-US"/>
        </w:rPr>
      </w:pPr>
      <w:r>
        <w:rPr>
          <w:rFonts w:asciiTheme="minorHAnsi" w:eastAsia="CalibriLight" w:hAnsiTheme="minorHAnsi" w:cs="CalibriLight"/>
          <w:color w:val="auto"/>
          <w:sz w:val="22"/>
          <w:szCs w:val="22"/>
          <w:lang w:val="en-US"/>
        </w:rPr>
        <w:t>zaposlenost se povećava za oko 0,9%, prosječno godišnje;</w:t>
      </w:r>
    </w:p>
    <w:p w:rsidR="00E36847" w:rsidRDefault="00E36847" w:rsidP="00E36847">
      <w:pPr>
        <w:pStyle w:val="ListParagraph"/>
        <w:numPr>
          <w:ilvl w:val="0"/>
          <w:numId w:val="36"/>
        </w:numPr>
        <w:autoSpaceDE w:val="0"/>
        <w:autoSpaceDN w:val="0"/>
        <w:adjustRightInd w:val="0"/>
        <w:spacing w:line="240" w:lineRule="auto"/>
        <w:rPr>
          <w:rFonts w:asciiTheme="minorHAnsi" w:eastAsia="CalibriLight" w:hAnsiTheme="minorHAnsi" w:cs="CalibriLight"/>
          <w:color w:val="auto"/>
          <w:sz w:val="22"/>
          <w:szCs w:val="22"/>
          <w:lang w:val="en-US"/>
        </w:rPr>
      </w:pPr>
      <w:r>
        <w:rPr>
          <w:rFonts w:asciiTheme="minorHAnsi" w:eastAsia="CalibriLight" w:hAnsiTheme="minorHAnsi" w:cs="CalibriLight"/>
          <w:color w:val="auto"/>
          <w:sz w:val="22"/>
          <w:szCs w:val="22"/>
          <w:lang w:val="en-US"/>
        </w:rPr>
        <w:t>zarade se povećava za oko 1,4%, prosječno godišnje.</w:t>
      </w:r>
    </w:p>
    <w:p w:rsidR="00E36847" w:rsidRDefault="00E36847" w:rsidP="00E36847">
      <w:pPr>
        <w:spacing w:line="240" w:lineRule="auto"/>
        <w:rPr>
          <w:rFonts w:asciiTheme="minorHAnsi" w:hAnsiTheme="minorHAnsi" w:cstheme="minorHAnsi"/>
          <w:sz w:val="22"/>
          <w:szCs w:val="22"/>
        </w:rPr>
      </w:pPr>
    </w:p>
    <w:p w:rsidR="00E36847" w:rsidRPr="00B32922" w:rsidRDefault="00E36847" w:rsidP="00E36847">
      <w:pPr>
        <w:autoSpaceDE w:val="0"/>
        <w:autoSpaceDN w:val="0"/>
        <w:adjustRightInd w:val="0"/>
        <w:spacing w:line="276" w:lineRule="auto"/>
        <w:contextualSpacing/>
        <w:rPr>
          <w:rFonts w:ascii="Calibri" w:hAnsi="Calibri" w:cstheme="minorHAnsi"/>
          <w:color w:val="auto"/>
          <w:sz w:val="22"/>
          <w:szCs w:val="22"/>
          <w:lang w:val="pl-PL"/>
        </w:rPr>
      </w:pPr>
      <w:r>
        <w:rPr>
          <w:rFonts w:ascii="Calibri" w:hAnsi="Calibri" w:cstheme="minorHAnsi"/>
          <w:color w:val="auto"/>
          <w:sz w:val="22"/>
          <w:szCs w:val="22"/>
          <w:lang w:val="pl-PL"/>
        </w:rPr>
        <w:t>U nastavku su p</w:t>
      </w:r>
      <w:r w:rsidRPr="00B32922">
        <w:rPr>
          <w:rFonts w:ascii="Calibri" w:hAnsi="Calibri" w:cstheme="minorHAnsi"/>
          <w:color w:val="auto"/>
          <w:sz w:val="22"/>
          <w:szCs w:val="22"/>
          <w:lang w:val="pl-PL"/>
        </w:rPr>
        <w:t>rikaz</w:t>
      </w:r>
      <w:r>
        <w:rPr>
          <w:rFonts w:ascii="Calibri" w:hAnsi="Calibri" w:cstheme="minorHAnsi"/>
          <w:color w:val="auto"/>
          <w:sz w:val="22"/>
          <w:szCs w:val="22"/>
          <w:lang w:val="pl-PL"/>
        </w:rPr>
        <w:t xml:space="preserve">ani osnovni </w:t>
      </w:r>
      <w:r w:rsidRPr="00B32922">
        <w:rPr>
          <w:rFonts w:ascii="Calibri" w:hAnsi="Calibri" w:cstheme="minorHAnsi"/>
          <w:color w:val="auto"/>
          <w:sz w:val="22"/>
          <w:szCs w:val="22"/>
          <w:lang w:val="pl-PL"/>
        </w:rPr>
        <w:t>makroekonomsk</w:t>
      </w:r>
      <w:r>
        <w:rPr>
          <w:rFonts w:ascii="Calibri" w:hAnsi="Calibri" w:cstheme="minorHAnsi"/>
          <w:color w:val="auto"/>
          <w:sz w:val="22"/>
          <w:szCs w:val="22"/>
          <w:lang w:val="pl-PL"/>
        </w:rPr>
        <w:t>i i fiskalni agregati, odnosno njihove</w:t>
      </w:r>
      <w:r w:rsidRPr="00B32922">
        <w:rPr>
          <w:rFonts w:ascii="Calibri" w:hAnsi="Calibri" w:cstheme="minorHAnsi"/>
          <w:color w:val="auto"/>
          <w:sz w:val="22"/>
          <w:szCs w:val="22"/>
          <w:lang w:val="pl-PL"/>
        </w:rPr>
        <w:t xml:space="preserve"> projekci</w:t>
      </w:r>
      <w:r>
        <w:rPr>
          <w:rFonts w:ascii="Calibri" w:hAnsi="Calibri" w:cstheme="minorHAnsi"/>
          <w:color w:val="auto"/>
          <w:sz w:val="22"/>
          <w:szCs w:val="22"/>
          <w:lang w:val="pl-PL"/>
        </w:rPr>
        <w:t>je za naredni četvorogodišnji period, sa uključenim dodatnim mjerama fiskal</w:t>
      </w:r>
      <w:r w:rsidRPr="00B32922">
        <w:rPr>
          <w:rFonts w:ascii="Calibri" w:hAnsi="Calibri" w:cstheme="minorHAnsi"/>
          <w:color w:val="auto"/>
          <w:sz w:val="22"/>
          <w:szCs w:val="22"/>
          <w:lang w:val="pl-PL"/>
        </w:rPr>
        <w:t>ne konsoli</w:t>
      </w:r>
      <w:r>
        <w:rPr>
          <w:rFonts w:ascii="Calibri" w:hAnsi="Calibri" w:cstheme="minorHAnsi"/>
          <w:color w:val="auto"/>
          <w:sz w:val="22"/>
          <w:szCs w:val="22"/>
          <w:lang w:val="pl-PL"/>
        </w:rPr>
        <w:t xml:space="preserve">dacije: </w:t>
      </w:r>
    </w:p>
    <w:p w:rsidR="00786EB0" w:rsidRDefault="00786EB0" w:rsidP="00B32922">
      <w:pPr>
        <w:keepNext/>
        <w:spacing w:after="200" w:line="240" w:lineRule="auto"/>
        <w:jc w:val="left"/>
        <w:rPr>
          <w:rFonts w:asciiTheme="minorHAnsi" w:eastAsiaTheme="minorHAnsi" w:hAnsiTheme="minorHAnsi" w:cstheme="minorBidi"/>
          <w:i/>
          <w:iCs/>
          <w:color w:val="1F497D" w:themeColor="text2"/>
          <w:sz w:val="20"/>
          <w:szCs w:val="20"/>
          <w:lang w:val="en-US"/>
        </w:rPr>
      </w:pPr>
    </w:p>
    <w:p w:rsidR="00B32922" w:rsidRPr="00B32922" w:rsidRDefault="00B32922" w:rsidP="00B32922">
      <w:pPr>
        <w:keepNext/>
        <w:spacing w:after="200" w:line="240" w:lineRule="auto"/>
        <w:jc w:val="left"/>
        <w:rPr>
          <w:rFonts w:asciiTheme="minorHAnsi" w:eastAsiaTheme="minorHAnsi" w:hAnsiTheme="minorHAnsi" w:cstheme="minorBidi"/>
          <w:i/>
          <w:iCs/>
          <w:color w:val="1F497D" w:themeColor="text2"/>
          <w:sz w:val="20"/>
          <w:szCs w:val="20"/>
        </w:rPr>
      </w:pPr>
      <w:r w:rsidRPr="00B32922">
        <w:rPr>
          <w:rFonts w:asciiTheme="minorHAnsi" w:eastAsiaTheme="minorHAnsi" w:hAnsiTheme="minorHAnsi" w:cstheme="minorBidi"/>
          <w:i/>
          <w:iCs/>
          <w:color w:val="1F497D" w:themeColor="text2"/>
          <w:sz w:val="20"/>
          <w:szCs w:val="20"/>
          <w:lang w:val="en-US"/>
        </w:rPr>
        <w:t>Tabela</w:t>
      </w:r>
      <w:r w:rsidRPr="00B32922">
        <w:rPr>
          <w:rFonts w:asciiTheme="minorHAnsi" w:eastAsiaTheme="minorHAnsi" w:hAnsiTheme="minorHAnsi" w:cstheme="minorBidi"/>
          <w:i/>
          <w:iCs/>
          <w:color w:val="1F497D" w:themeColor="text2"/>
          <w:sz w:val="20"/>
          <w:szCs w:val="20"/>
        </w:rPr>
        <w:t xml:space="preserve"> </w:t>
      </w:r>
      <w:r w:rsidR="000D71A3" w:rsidRPr="00B32922">
        <w:rPr>
          <w:rFonts w:asciiTheme="minorHAnsi" w:eastAsiaTheme="minorHAnsi" w:hAnsiTheme="minorHAnsi" w:cstheme="minorBidi"/>
          <w:i/>
          <w:iCs/>
          <w:color w:val="1F497D" w:themeColor="text2"/>
          <w:sz w:val="20"/>
          <w:szCs w:val="20"/>
          <w:lang w:val="en-US"/>
        </w:rPr>
        <w:fldChar w:fldCharType="begin"/>
      </w:r>
      <w:r w:rsidRPr="00B32922">
        <w:rPr>
          <w:rFonts w:asciiTheme="minorHAnsi" w:eastAsiaTheme="minorHAnsi" w:hAnsiTheme="minorHAnsi" w:cstheme="minorBidi"/>
          <w:i/>
          <w:iCs/>
          <w:color w:val="1F497D" w:themeColor="text2"/>
          <w:sz w:val="20"/>
          <w:szCs w:val="20"/>
        </w:rPr>
        <w:instrText xml:space="preserve"> </w:instrText>
      </w:r>
      <w:r w:rsidRPr="00B32922">
        <w:rPr>
          <w:rFonts w:asciiTheme="minorHAnsi" w:eastAsiaTheme="minorHAnsi" w:hAnsiTheme="minorHAnsi" w:cstheme="minorBidi"/>
          <w:i/>
          <w:iCs/>
          <w:color w:val="1F497D" w:themeColor="text2"/>
          <w:sz w:val="20"/>
          <w:szCs w:val="20"/>
          <w:lang w:val="en-US"/>
        </w:rPr>
        <w:instrText>SEQ</w:instrText>
      </w:r>
      <w:r w:rsidRPr="00B32922">
        <w:rPr>
          <w:rFonts w:asciiTheme="minorHAnsi" w:eastAsiaTheme="minorHAnsi" w:hAnsiTheme="minorHAnsi" w:cstheme="minorBidi"/>
          <w:i/>
          <w:iCs/>
          <w:color w:val="1F497D" w:themeColor="text2"/>
          <w:sz w:val="20"/>
          <w:szCs w:val="20"/>
        </w:rPr>
        <w:instrText xml:space="preserve"> </w:instrText>
      </w:r>
      <w:r w:rsidRPr="00B32922">
        <w:rPr>
          <w:rFonts w:asciiTheme="minorHAnsi" w:eastAsiaTheme="minorHAnsi" w:hAnsiTheme="minorHAnsi" w:cstheme="minorBidi"/>
          <w:i/>
          <w:iCs/>
          <w:color w:val="1F497D" w:themeColor="text2"/>
          <w:sz w:val="20"/>
          <w:szCs w:val="20"/>
          <w:lang w:val="en-US"/>
        </w:rPr>
        <w:instrText>Tabela</w:instrText>
      </w:r>
      <w:r w:rsidRPr="00B32922">
        <w:rPr>
          <w:rFonts w:asciiTheme="minorHAnsi" w:eastAsiaTheme="minorHAnsi" w:hAnsiTheme="minorHAnsi" w:cstheme="minorBidi"/>
          <w:i/>
          <w:iCs/>
          <w:color w:val="1F497D" w:themeColor="text2"/>
          <w:sz w:val="20"/>
          <w:szCs w:val="20"/>
        </w:rPr>
        <w:instrText xml:space="preserve"> \* </w:instrText>
      </w:r>
      <w:r w:rsidRPr="00B32922">
        <w:rPr>
          <w:rFonts w:asciiTheme="minorHAnsi" w:eastAsiaTheme="minorHAnsi" w:hAnsiTheme="minorHAnsi" w:cstheme="minorBidi"/>
          <w:i/>
          <w:iCs/>
          <w:color w:val="1F497D" w:themeColor="text2"/>
          <w:sz w:val="20"/>
          <w:szCs w:val="20"/>
          <w:lang w:val="en-US"/>
        </w:rPr>
        <w:instrText>ARABIC</w:instrText>
      </w:r>
      <w:r w:rsidRPr="00B32922">
        <w:rPr>
          <w:rFonts w:asciiTheme="minorHAnsi" w:eastAsiaTheme="minorHAnsi" w:hAnsiTheme="minorHAnsi" w:cstheme="minorBidi"/>
          <w:i/>
          <w:iCs/>
          <w:color w:val="1F497D" w:themeColor="text2"/>
          <w:sz w:val="20"/>
          <w:szCs w:val="20"/>
        </w:rPr>
        <w:instrText xml:space="preserve"> </w:instrText>
      </w:r>
      <w:r w:rsidR="000D71A3" w:rsidRPr="00B32922">
        <w:rPr>
          <w:rFonts w:asciiTheme="minorHAnsi" w:eastAsiaTheme="minorHAnsi" w:hAnsiTheme="minorHAnsi" w:cstheme="minorBidi"/>
          <w:i/>
          <w:iCs/>
          <w:color w:val="1F497D" w:themeColor="text2"/>
          <w:sz w:val="20"/>
          <w:szCs w:val="20"/>
          <w:lang w:val="en-US"/>
        </w:rPr>
        <w:fldChar w:fldCharType="separate"/>
      </w:r>
      <w:r w:rsidR="002D5E45">
        <w:rPr>
          <w:rFonts w:asciiTheme="minorHAnsi" w:eastAsiaTheme="minorHAnsi" w:hAnsiTheme="minorHAnsi" w:cstheme="minorBidi"/>
          <w:i/>
          <w:iCs/>
          <w:noProof/>
          <w:color w:val="1F497D" w:themeColor="text2"/>
          <w:sz w:val="20"/>
          <w:szCs w:val="20"/>
          <w:lang w:val="en-US"/>
        </w:rPr>
        <w:t>1</w:t>
      </w:r>
      <w:r w:rsidR="000D71A3" w:rsidRPr="00B32922">
        <w:rPr>
          <w:rFonts w:asciiTheme="minorHAnsi" w:eastAsiaTheme="minorHAnsi" w:hAnsiTheme="minorHAnsi" w:cstheme="minorBidi"/>
          <w:i/>
          <w:iCs/>
          <w:color w:val="1F497D" w:themeColor="text2"/>
          <w:sz w:val="20"/>
          <w:szCs w:val="20"/>
          <w:lang w:val="en-US"/>
        </w:rPr>
        <w:fldChar w:fldCharType="end"/>
      </w:r>
      <w:r w:rsidRPr="00B32922">
        <w:rPr>
          <w:rFonts w:asciiTheme="minorHAnsi" w:eastAsiaTheme="minorHAnsi" w:hAnsiTheme="minorHAnsi" w:cstheme="minorBidi"/>
          <w:i/>
          <w:iCs/>
          <w:color w:val="1F497D" w:themeColor="text2"/>
          <w:sz w:val="20"/>
          <w:szCs w:val="20"/>
        </w:rPr>
        <w:t xml:space="preserve"> </w:t>
      </w:r>
      <w:r w:rsidRPr="00B32922">
        <w:rPr>
          <w:rFonts w:asciiTheme="minorHAnsi" w:eastAsiaTheme="minorHAnsi" w:hAnsiTheme="minorHAnsi" w:cstheme="minorBidi"/>
          <w:i/>
          <w:iCs/>
          <w:color w:val="1F497D" w:themeColor="text2"/>
          <w:sz w:val="20"/>
          <w:szCs w:val="20"/>
          <w:lang w:val="en-US"/>
        </w:rPr>
        <w:t>Makroekonomski</w:t>
      </w:r>
      <w:r w:rsidRPr="00B32922">
        <w:rPr>
          <w:rFonts w:asciiTheme="minorHAnsi" w:eastAsiaTheme="minorHAnsi" w:hAnsiTheme="minorHAnsi" w:cstheme="minorBidi"/>
          <w:i/>
          <w:iCs/>
          <w:color w:val="1F497D" w:themeColor="text2"/>
          <w:sz w:val="20"/>
          <w:szCs w:val="20"/>
        </w:rPr>
        <w:t xml:space="preserve"> </w:t>
      </w:r>
      <w:r w:rsidR="00E36847">
        <w:rPr>
          <w:rFonts w:asciiTheme="minorHAnsi" w:eastAsiaTheme="minorHAnsi" w:hAnsiTheme="minorHAnsi" w:cstheme="minorBidi"/>
          <w:i/>
          <w:iCs/>
          <w:color w:val="1F497D" w:themeColor="text2"/>
          <w:sz w:val="20"/>
          <w:szCs w:val="20"/>
        </w:rPr>
        <w:t xml:space="preserve">i fiskalni </w:t>
      </w:r>
      <w:r w:rsidRPr="00B32922">
        <w:rPr>
          <w:rFonts w:asciiTheme="minorHAnsi" w:eastAsiaTheme="minorHAnsi" w:hAnsiTheme="minorHAnsi" w:cstheme="minorBidi"/>
          <w:i/>
          <w:iCs/>
          <w:color w:val="1F497D" w:themeColor="text2"/>
          <w:sz w:val="20"/>
          <w:szCs w:val="20"/>
          <w:lang w:val="en-US"/>
        </w:rPr>
        <w:t>okvir</w:t>
      </w:r>
      <w:r w:rsidRPr="00B32922">
        <w:rPr>
          <w:rFonts w:asciiTheme="minorHAnsi" w:eastAsiaTheme="minorHAnsi" w:hAnsiTheme="minorHAnsi" w:cstheme="minorBidi"/>
          <w:i/>
          <w:iCs/>
          <w:color w:val="1F497D" w:themeColor="text2"/>
          <w:sz w:val="20"/>
          <w:szCs w:val="20"/>
        </w:rPr>
        <w:t xml:space="preserve"> </w:t>
      </w:r>
    </w:p>
    <w:tbl>
      <w:tblPr>
        <w:tblW w:w="5000" w:type="pct"/>
        <w:tblBorders>
          <w:top w:val="dotted" w:sz="4" w:space="0" w:color="FF0000"/>
          <w:bottom w:val="dotted" w:sz="4" w:space="0" w:color="FF0000"/>
          <w:insideH w:val="dotted" w:sz="4" w:space="0" w:color="FF0000"/>
        </w:tblBorders>
        <w:tblCellMar>
          <w:left w:w="70" w:type="dxa"/>
          <w:right w:w="70" w:type="dxa"/>
        </w:tblCellMar>
        <w:tblLook w:val="04A0"/>
      </w:tblPr>
      <w:tblGrid>
        <w:gridCol w:w="1828"/>
        <w:gridCol w:w="3048"/>
        <w:gridCol w:w="862"/>
        <w:gridCol w:w="862"/>
        <w:gridCol w:w="864"/>
        <w:gridCol w:w="2030"/>
      </w:tblGrid>
      <w:tr w:rsidR="00B74B95" w:rsidRPr="0078782D" w:rsidTr="0078782D">
        <w:trPr>
          <w:trHeight w:val="383"/>
        </w:trPr>
        <w:tc>
          <w:tcPr>
            <w:tcW w:w="2568" w:type="pct"/>
            <w:gridSpan w:val="2"/>
            <w:vMerge w:val="restart"/>
            <w:tcBorders>
              <w:top w:val="single" w:sz="4" w:space="0" w:color="FF0000"/>
              <w:bottom w:val="single" w:sz="4" w:space="0" w:color="FF0000"/>
            </w:tcBorders>
            <w:shd w:val="clear" w:color="auto" w:fill="auto"/>
            <w:vAlign w:val="center"/>
            <w:hideMark/>
          </w:tcPr>
          <w:p w:rsidR="00B74B95" w:rsidRPr="0078782D" w:rsidRDefault="00B74B95" w:rsidP="00B32922">
            <w:pPr>
              <w:spacing w:line="276" w:lineRule="auto"/>
              <w:rPr>
                <w:rFonts w:asciiTheme="minorHAnsi" w:hAnsiTheme="minorHAnsi" w:cstheme="minorHAnsi"/>
                <w:b/>
                <w:bCs/>
                <w:i/>
                <w:sz w:val="20"/>
                <w:szCs w:val="20"/>
                <w:lang w:eastAsia="sr-Latn-CS"/>
              </w:rPr>
            </w:pPr>
            <w:r w:rsidRPr="0078782D">
              <w:rPr>
                <w:rFonts w:asciiTheme="minorHAnsi" w:hAnsiTheme="minorHAnsi" w:cstheme="minorHAnsi"/>
                <w:b/>
                <w:bCs/>
                <w:i/>
                <w:sz w:val="20"/>
                <w:szCs w:val="20"/>
                <w:lang w:eastAsia="sr-Latn-CS"/>
              </w:rPr>
              <w:t>Makroekonomski okvir</w:t>
            </w:r>
          </w:p>
        </w:tc>
        <w:tc>
          <w:tcPr>
            <w:tcW w:w="1363" w:type="pct"/>
            <w:gridSpan w:val="3"/>
            <w:tcBorders>
              <w:top w:val="single" w:sz="4" w:space="0" w:color="FF0000"/>
              <w:bottom w:val="single" w:sz="4" w:space="0" w:color="FF0000"/>
            </w:tcBorders>
            <w:shd w:val="clear" w:color="000000" w:fill="D8D8D8"/>
            <w:noWrap/>
            <w:vAlign w:val="center"/>
            <w:hideMark/>
          </w:tcPr>
          <w:p w:rsidR="00B74B95" w:rsidRPr="0078782D" w:rsidRDefault="00B74B95" w:rsidP="00B32922">
            <w:pPr>
              <w:spacing w:line="276" w:lineRule="auto"/>
              <w:jc w:val="center"/>
              <w:rPr>
                <w:rFonts w:asciiTheme="minorHAnsi" w:hAnsiTheme="minorHAnsi" w:cstheme="minorHAnsi"/>
                <w:b/>
                <w:bCs/>
                <w:i/>
                <w:sz w:val="20"/>
                <w:szCs w:val="20"/>
                <w:lang w:eastAsia="sr-Latn-CS"/>
              </w:rPr>
            </w:pPr>
            <w:r w:rsidRPr="0078782D">
              <w:rPr>
                <w:rFonts w:asciiTheme="minorHAnsi" w:hAnsiTheme="minorHAnsi" w:cstheme="minorHAnsi"/>
                <w:b/>
                <w:bCs/>
                <w:i/>
                <w:sz w:val="20"/>
                <w:szCs w:val="20"/>
                <w:lang w:eastAsia="sr-Latn-CS"/>
              </w:rPr>
              <w:t xml:space="preserve">Projekcije </w:t>
            </w:r>
          </w:p>
        </w:tc>
        <w:tc>
          <w:tcPr>
            <w:tcW w:w="1069" w:type="pct"/>
            <w:tcBorders>
              <w:top w:val="single" w:sz="4" w:space="0" w:color="FF0000"/>
              <w:bottom w:val="single" w:sz="4" w:space="0" w:color="FF0000"/>
            </w:tcBorders>
            <w:shd w:val="clear" w:color="000000" w:fill="D8D8D8"/>
          </w:tcPr>
          <w:p w:rsidR="00B74B95" w:rsidRPr="0078782D" w:rsidRDefault="00B74B95" w:rsidP="00B32922">
            <w:pPr>
              <w:spacing w:line="276" w:lineRule="auto"/>
              <w:jc w:val="center"/>
              <w:rPr>
                <w:rFonts w:asciiTheme="minorHAnsi" w:hAnsiTheme="minorHAnsi" w:cstheme="minorHAnsi"/>
                <w:b/>
                <w:bCs/>
                <w:i/>
                <w:sz w:val="20"/>
                <w:szCs w:val="20"/>
                <w:lang w:eastAsia="sr-Latn-CS"/>
              </w:rPr>
            </w:pPr>
          </w:p>
        </w:tc>
      </w:tr>
      <w:tr w:rsidR="00B74B95" w:rsidRPr="0078782D" w:rsidTr="0078782D">
        <w:trPr>
          <w:trHeight w:val="202"/>
        </w:trPr>
        <w:tc>
          <w:tcPr>
            <w:tcW w:w="2568" w:type="pct"/>
            <w:gridSpan w:val="2"/>
            <w:vMerge/>
            <w:tcBorders>
              <w:top w:val="single" w:sz="4" w:space="0" w:color="FF0000"/>
              <w:bottom w:val="single" w:sz="4" w:space="0" w:color="FF0000"/>
            </w:tcBorders>
            <w:vAlign w:val="center"/>
            <w:hideMark/>
          </w:tcPr>
          <w:p w:rsidR="00B74B95" w:rsidRPr="0078782D" w:rsidRDefault="00B74B95" w:rsidP="00B32922">
            <w:pPr>
              <w:spacing w:line="276" w:lineRule="auto"/>
              <w:rPr>
                <w:rFonts w:asciiTheme="minorHAnsi" w:hAnsiTheme="minorHAnsi" w:cstheme="minorHAnsi"/>
                <w:b/>
                <w:bCs/>
                <w:i/>
                <w:sz w:val="20"/>
                <w:szCs w:val="20"/>
                <w:lang w:eastAsia="sr-Latn-CS"/>
              </w:rPr>
            </w:pPr>
          </w:p>
        </w:tc>
        <w:tc>
          <w:tcPr>
            <w:tcW w:w="454" w:type="pct"/>
            <w:tcBorders>
              <w:top w:val="single" w:sz="4" w:space="0" w:color="FF0000"/>
              <w:bottom w:val="single" w:sz="4" w:space="0" w:color="FF0000"/>
            </w:tcBorders>
            <w:shd w:val="clear" w:color="000000" w:fill="D8D8D8"/>
            <w:vAlign w:val="center"/>
            <w:hideMark/>
          </w:tcPr>
          <w:p w:rsidR="00B74B95" w:rsidRPr="0078782D" w:rsidRDefault="00B74B95" w:rsidP="00B32922">
            <w:pPr>
              <w:spacing w:line="276" w:lineRule="auto"/>
              <w:jc w:val="center"/>
              <w:rPr>
                <w:rFonts w:asciiTheme="minorHAnsi" w:hAnsiTheme="minorHAnsi" w:cstheme="minorHAnsi"/>
                <w:b/>
                <w:bCs/>
                <w:i/>
                <w:sz w:val="20"/>
                <w:szCs w:val="20"/>
                <w:lang w:eastAsia="sr-Latn-CS"/>
              </w:rPr>
            </w:pPr>
            <w:r w:rsidRPr="0078782D">
              <w:rPr>
                <w:rFonts w:asciiTheme="minorHAnsi" w:hAnsiTheme="minorHAnsi" w:cstheme="minorHAnsi"/>
                <w:b/>
                <w:bCs/>
                <w:i/>
                <w:sz w:val="20"/>
                <w:szCs w:val="20"/>
                <w:lang w:eastAsia="sr-Latn-CS"/>
              </w:rPr>
              <w:t>2017</w:t>
            </w:r>
          </w:p>
        </w:tc>
        <w:tc>
          <w:tcPr>
            <w:tcW w:w="454" w:type="pct"/>
            <w:tcBorders>
              <w:top w:val="single" w:sz="4" w:space="0" w:color="FF0000"/>
              <w:bottom w:val="single" w:sz="4" w:space="0" w:color="FF0000"/>
            </w:tcBorders>
            <w:shd w:val="clear" w:color="000000" w:fill="D8D8D8"/>
            <w:vAlign w:val="center"/>
            <w:hideMark/>
          </w:tcPr>
          <w:p w:rsidR="00B74B95" w:rsidRPr="0078782D" w:rsidRDefault="00B74B95" w:rsidP="00B32922">
            <w:pPr>
              <w:spacing w:line="276" w:lineRule="auto"/>
              <w:jc w:val="center"/>
              <w:rPr>
                <w:rFonts w:asciiTheme="minorHAnsi" w:hAnsiTheme="minorHAnsi" w:cstheme="minorHAnsi"/>
                <w:b/>
                <w:bCs/>
                <w:i/>
                <w:sz w:val="20"/>
                <w:szCs w:val="20"/>
                <w:lang w:eastAsia="sr-Latn-CS"/>
              </w:rPr>
            </w:pPr>
            <w:r w:rsidRPr="0078782D">
              <w:rPr>
                <w:rFonts w:asciiTheme="minorHAnsi" w:hAnsiTheme="minorHAnsi" w:cstheme="minorHAnsi"/>
                <w:b/>
                <w:bCs/>
                <w:i/>
                <w:sz w:val="20"/>
                <w:szCs w:val="20"/>
                <w:lang w:eastAsia="sr-Latn-CS"/>
              </w:rPr>
              <w:t>2018</w:t>
            </w:r>
          </w:p>
        </w:tc>
        <w:tc>
          <w:tcPr>
            <w:tcW w:w="455" w:type="pct"/>
            <w:tcBorders>
              <w:top w:val="single" w:sz="4" w:space="0" w:color="FF0000"/>
              <w:bottom w:val="single" w:sz="4" w:space="0" w:color="FF0000"/>
            </w:tcBorders>
            <w:shd w:val="clear" w:color="000000" w:fill="D8D8D8"/>
            <w:vAlign w:val="center"/>
            <w:hideMark/>
          </w:tcPr>
          <w:p w:rsidR="00B74B95" w:rsidRPr="0078782D" w:rsidRDefault="00B74B95" w:rsidP="00B32922">
            <w:pPr>
              <w:spacing w:line="276" w:lineRule="auto"/>
              <w:jc w:val="center"/>
              <w:rPr>
                <w:rFonts w:asciiTheme="minorHAnsi" w:hAnsiTheme="minorHAnsi" w:cstheme="minorHAnsi"/>
                <w:b/>
                <w:bCs/>
                <w:i/>
                <w:sz w:val="20"/>
                <w:szCs w:val="20"/>
                <w:lang w:eastAsia="sr-Latn-CS"/>
              </w:rPr>
            </w:pPr>
            <w:r w:rsidRPr="0078782D">
              <w:rPr>
                <w:rFonts w:asciiTheme="minorHAnsi" w:hAnsiTheme="minorHAnsi" w:cstheme="minorHAnsi"/>
                <w:b/>
                <w:bCs/>
                <w:i/>
                <w:sz w:val="20"/>
                <w:szCs w:val="20"/>
                <w:lang w:eastAsia="sr-Latn-CS"/>
              </w:rPr>
              <w:t>2019</w:t>
            </w:r>
          </w:p>
        </w:tc>
        <w:tc>
          <w:tcPr>
            <w:tcW w:w="1069" w:type="pct"/>
            <w:tcBorders>
              <w:top w:val="single" w:sz="4" w:space="0" w:color="FF0000"/>
              <w:bottom w:val="single" w:sz="4" w:space="0" w:color="FF0000"/>
            </w:tcBorders>
            <w:shd w:val="clear" w:color="000000" w:fill="D8D8D8"/>
          </w:tcPr>
          <w:p w:rsidR="00B74B95" w:rsidRPr="0078782D" w:rsidRDefault="00B74B95" w:rsidP="00B32922">
            <w:pPr>
              <w:spacing w:line="276" w:lineRule="auto"/>
              <w:jc w:val="center"/>
              <w:rPr>
                <w:rFonts w:asciiTheme="minorHAnsi" w:hAnsiTheme="minorHAnsi" w:cstheme="minorHAnsi"/>
                <w:b/>
                <w:bCs/>
                <w:i/>
                <w:sz w:val="20"/>
                <w:szCs w:val="20"/>
                <w:lang w:eastAsia="sr-Latn-CS"/>
              </w:rPr>
            </w:pPr>
            <w:r w:rsidRPr="0078782D">
              <w:rPr>
                <w:rFonts w:asciiTheme="minorHAnsi" w:hAnsiTheme="minorHAnsi" w:cstheme="minorHAnsi"/>
                <w:b/>
                <w:bCs/>
                <w:i/>
                <w:sz w:val="20"/>
                <w:szCs w:val="20"/>
                <w:lang w:eastAsia="sr-Latn-CS"/>
              </w:rPr>
              <w:t>2020</w:t>
            </w:r>
          </w:p>
        </w:tc>
      </w:tr>
      <w:tr w:rsidR="00B74B95" w:rsidRPr="0078782D" w:rsidTr="0078782D">
        <w:trPr>
          <w:trHeight w:val="202"/>
        </w:trPr>
        <w:tc>
          <w:tcPr>
            <w:tcW w:w="963" w:type="pct"/>
            <w:vMerge w:val="restart"/>
            <w:tcBorders>
              <w:top w:val="single" w:sz="4" w:space="0" w:color="FF0000"/>
            </w:tcBorders>
            <w:shd w:val="clear" w:color="000000" w:fill="FFFFFF"/>
            <w:vAlign w:val="center"/>
            <w:hideMark/>
          </w:tcPr>
          <w:p w:rsidR="00B74B95" w:rsidRPr="0078782D" w:rsidRDefault="00B74B95" w:rsidP="00B32922">
            <w:pPr>
              <w:spacing w:line="276" w:lineRule="auto"/>
              <w:jc w:val="center"/>
              <w:rPr>
                <w:rFonts w:asciiTheme="minorHAnsi" w:hAnsiTheme="minorHAnsi" w:cstheme="minorHAnsi"/>
                <w:b/>
                <w:bCs/>
                <w:i/>
                <w:sz w:val="20"/>
                <w:szCs w:val="20"/>
                <w:lang w:eastAsia="sr-Latn-CS"/>
              </w:rPr>
            </w:pPr>
            <w:r w:rsidRPr="0078782D">
              <w:rPr>
                <w:rFonts w:asciiTheme="minorHAnsi" w:hAnsiTheme="minorHAnsi" w:cstheme="minorHAnsi"/>
                <w:b/>
                <w:bCs/>
                <w:i/>
                <w:sz w:val="20"/>
                <w:szCs w:val="20"/>
                <w:lang w:eastAsia="sr-Latn-CS"/>
              </w:rPr>
              <w:t>Makroekonomski pokazatelji</w:t>
            </w:r>
          </w:p>
        </w:tc>
        <w:tc>
          <w:tcPr>
            <w:tcW w:w="1605" w:type="pct"/>
            <w:tcBorders>
              <w:top w:val="single" w:sz="4" w:space="0" w:color="FF0000"/>
            </w:tcBorders>
            <w:shd w:val="clear" w:color="000000" w:fill="FFFFFF"/>
            <w:noWrap/>
            <w:vAlign w:val="center"/>
            <w:hideMark/>
          </w:tcPr>
          <w:p w:rsidR="00B74B95" w:rsidRPr="0078782D" w:rsidRDefault="00B74B95" w:rsidP="00B32922">
            <w:pPr>
              <w:spacing w:line="276" w:lineRule="auto"/>
              <w:rPr>
                <w:rFonts w:asciiTheme="minorHAnsi" w:hAnsiTheme="minorHAnsi" w:cstheme="minorHAnsi"/>
                <w:i/>
                <w:sz w:val="20"/>
                <w:szCs w:val="20"/>
                <w:lang w:eastAsia="sr-Latn-CS"/>
              </w:rPr>
            </w:pPr>
            <w:r w:rsidRPr="0078782D">
              <w:rPr>
                <w:rFonts w:asciiTheme="minorHAnsi" w:hAnsiTheme="minorHAnsi" w:cstheme="minorHAnsi"/>
                <w:i/>
                <w:sz w:val="20"/>
                <w:szCs w:val="20"/>
                <w:lang w:eastAsia="sr-Latn-CS"/>
              </w:rPr>
              <w:t xml:space="preserve">BDP </w:t>
            </w:r>
            <w:r w:rsidRPr="0078782D">
              <w:rPr>
                <w:rFonts w:asciiTheme="minorHAnsi" w:hAnsiTheme="minorHAnsi" w:cstheme="minorHAnsi"/>
                <w:i/>
                <w:iCs/>
                <w:sz w:val="20"/>
                <w:szCs w:val="20"/>
                <w:lang w:eastAsia="sr-Latn-CS"/>
              </w:rPr>
              <w:t>nominalno (u mil.€)</w:t>
            </w:r>
          </w:p>
        </w:tc>
        <w:tc>
          <w:tcPr>
            <w:tcW w:w="454" w:type="pct"/>
            <w:tcBorders>
              <w:top w:val="single" w:sz="4" w:space="0" w:color="FF0000"/>
            </w:tcBorders>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3.957,2</w:t>
            </w:r>
          </w:p>
        </w:tc>
        <w:tc>
          <w:tcPr>
            <w:tcW w:w="454" w:type="pct"/>
            <w:tcBorders>
              <w:top w:val="single" w:sz="4" w:space="0" w:color="FF0000"/>
            </w:tcBorders>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4.192,4</w:t>
            </w:r>
          </w:p>
        </w:tc>
        <w:tc>
          <w:tcPr>
            <w:tcW w:w="455" w:type="pct"/>
            <w:tcBorders>
              <w:top w:val="single" w:sz="4" w:space="0" w:color="FF0000"/>
            </w:tcBorders>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4.372,2</w:t>
            </w:r>
          </w:p>
        </w:tc>
        <w:tc>
          <w:tcPr>
            <w:tcW w:w="1069" w:type="pct"/>
            <w:tcBorders>
              <w:top w:val="single" w:sz="4" w:space="0" w:color="FF0000"/>
            </w:tcBorders>
            <w:shd w:val="clear" w:color="000000" w:fill="D8D8D8"/>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4.536,4</w:t>
            </w:r>
          </w:p>
        </w:tc>
      </w:tr>
      <w:tr w:rsidR="00B74B95" w:rsidRPr="0078782D" w:rsidTr="0078782D">
        <w:trPr>
          <w:trHeight w:val="202"/>
        </w:trPr>
        <w:tc>
          <w:tcPr>
            <w:tcW w:w="963" w:type="pct"/>
            <w:vMerge/>
            <w:vAlign w:val="center"/>
            <w:hideMark/>
          </w:tcPr>
          <w:p w:rsidR="00B74B95" w:rsidRPr="0078782D" w:rsidRDefault="00B74B95" w:rsidP="00B32922">
            <w:pPr>
              <w:spacing w:line="276" w:lineRule="auto"/>
              <w:rPr>
                <w:rFonts w:asciiTheme="minorHAnsi" w:hAnsiTheme="minorHAnsi" w:cstheme="minorHAnsi"/>
                <w:b/>
                <w:bCs/>
                <w:i/>
                <w:sz w:val="20"/>
                <w:szCs w:val="20"/>
                <w:lang w:eastAsia="sr-Latn-CS"/>
              </w:rPr>
            </w:pPr>
          </w:p>
        </w:tc>
        <w:tc>
          <w:tcPr>
            <w:tcW w:w="1605" w:type="pct"/>
            <w:shd w:val="clear" w:color="000000" w:fill="FFFFFF"/>
            <w:noWrap/>
            <w:vAlign w:val="center"/>
            <w:hideMark/>
          </w:tcPr>
          <w:p w:rsidR="00B74B95" w:rsidRPr="0078782D" w:rsidRDefault="00B74B95" w:rsidP="00B32922">
            <w:pPr>
              <w:spacing w:line="276" w:lineRule="auto"/>
              <w:rPr>
                <w:rFonts w:asciiTheme="minorHAnsi" w:hAnsiTheme="minorHAnsi" w:cstheme="minorHAnsi"/>
                <w:i/>
                <w:sz w:val="20"/>
                <w:szCs w:val="20"/>
                <w:lang w:eastAsia="sr-Latn-CS"/>
              </w:rPr>
            </w:pPr>
            <w:r w:rsidRPr="0078782D">
              <w:rPr>
                <w:rFonts w:asciiTheme="minorHAnsi" w:hAnsiTheme="minorHAnsi" w:cstheme="minorHAnsi"/>
                <w:i/>
                <w:sz w:val="20"/>
                <w:szCs w:val="20"/>
                <w:lang w:eastAsia="sr-Latn-CS"/>
              </w:rPr>
              <w:t>BDP, nominalni rast  u%</w:t>
            </w:r>
          </w:p>
        </w:tc>
        <w:tc>
          <w:tcPr>
            <w:tcW w:w="454"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4,9</w:t>
            </w:r>
          </w:p>
        </w:tc>
        <w:tc>
          <w:tcPr>
            <w:tcW w:w="454"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5,9</w:t>
            </w:r>
          </w:p>
        </w:tc>
        <w:tc>
          <w:tcPr>
            <w:tcW w:w="455"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4,3</w:t>
            </w:r>
          </w:p>
        </w:tc>
        <w:tc>
          <w:tcPr>
            <w:tcW w:w="1069" w:type="pct"/>
            <w:shd w:val="clear" w:color="000000" w:fill="D8D8D8"/>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3,8</w:t>
            </w:r>
          </w:p>
        </w:tc>
      </w:tr>
      <w:tr w:rsidR="00B74B95" w:rsidRPr="0078782D" w:rsidTr="0078782D">
        <w:trPr>
          <w:trHeight w:val="202"/>
        </w:trPr>
        <w:tc>
          <w:tcPr>
            <w:tcW w:w="963" w:type="pct"/>
            <w:vMerge/>
            <w:vAlign w:val="center"/>
            <w:hideMark/>
          </w:tcPr>
          <w:p w:rsidR="00B74B95" w:rsidRPr="0078782D" w:rsidRDefault="00B74B95" w:rsidP="00B32922">
            <w:pPr>
              <w:spacing w:line="276" w:lineRule="auto"/>
              <w:rPr>
                <w:rFonts w:asciiTheme="minorHAnsi" w:hAnsiTheme="minorHAnsi" w:cstheme="minorHAnsi"/>
                <w:b/>
                <w:bCs/>
                <w:i/>
                <w:sz w:val="20"/>
                <w:szCs w:val="20"/>
                <w:lang w:eastAsia="sr-Latn-CS"/>
              </w:rPr>
            </w:pPr>
          </w:p>
        </w:tc>
        <w:tc>
          <w:tcPr>
            <w:tcW w:w="1605" w:type="pct"/>
            <w:shd w:val="clear" w:color="000000" w:fill="FFFFFF"/>
            <w:noWrap/>
            <w:vAlign w:val="center"/>
            <w:hideMark/>
          </w:tcPr>
          <w:p w:rsidR="00B74B95" w:rsidRPr="0078782D" w:rsidRDefault="00B74B95" w:rsidP="00B32922">
            <w:pPr>
              <w:spacing w:line="276" w:lineRule="auto"/>
              <w:rPr>
                <w:rFonts w:asciiTheme="minorHAnsi" w:hAnsiTheme="minorHAnsi" w:cstheme="minorHAnsi"/>
                <w:i/>
                <w:sz w:val="20"/>
                <w:szCs w:val="20"/>
                <w:lang w:eastAsia="sr-Latn-CS"/>
              </w:rPr>
            </w:pPr>
            <w:r w:rsidRPr="0078782D">
              <w:rPr>
                <w:rFonts w:asciiTheme="minorHAnsi" w:hAnsiTheme="minorHAnsi" w:cstheme="minorHAnsi"/>
                <w:i/>
                <w:sz w:val="20"/>
                <w:szCs w:val="20"/>
                <w:lang w:eastAsia="sr-Latn-CS"/>
              </w:rPr>
              <w:t>BDP, realni rast u %</w:t>
            </w:r>
          </w:p>
        </w:tc>
        <w:tc>
          <w:tcPr>
            <w:tcW w:w="454"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2,7</w:t>
            </w:r>
          </w:p>
        </w:tc>
        <w:tc>
          <w:tcPr>
            <w:tcW w:w="454"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3,2</w:t>
            </w:r>
          </w:p>
        </w:tc>
        <w:tc>
          <w:tcPr>
            <w:tcW w:w="455"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2,3</w:t>
            </w:r>
          </w:p>
        </w:tc>
        <w:tc>
          <w:tcPr>
            <w:tcW w:w="1069" w:type="pct"/>
            <w:shd w:val="clear" w:color="000000" w:fill="D8D8D8"/>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2,1</w:t>
            </w:r>
          </w:p>
        </w:tc>
      </w:tr>
      <w:tr w:rsidR="00B74B95" w:rsidRPr="0078782D" w:rsidTr="0078782D">
        <w:trPr>
          <w:trHeight w:val="202"/>
        </w:trPr>
        <w:tc>
          <w:tcPr>
            <w:tcW w:w="963" w:type="pct"/>
            <w:vMerge/>
            <w:vAlign w:val="center"/>
            <w:hideMark/>
          </w:tcPr>
          <w:p w:rsidR="00B74B95" w:rsidRPr="0078782D" w:rsidRDefault="00B74B95" w:rsidP="00B32922">
            <w:pPr>
              <w:spacing w:line="276" w:lineRule="auto"/>
              <w:rPr>
                <w:rFonts w:asciiTheme="minorHAnsi" w:hAnsiTheme="minorHAnsi" w:cstheme="minorHAnsi"/>
                <w:b/>
                <w:bCs/>
                <w:i/>
                <w:sz w:val="20"/>
                <w:szCs w:val="20"/>
                <w:lang w:eastAsia="sr-Latn-CS"/>
              </w:rPr>
            </w:pPr>
          </w:p>
        </w:tc>
        <w:tc>
          <w:tcPr>
            <w:tcW w:w="1605" w:type="pct"/>
            <w:shd w:val="clear" w:color="000000" w:fill="FFFFFF"/>
            <w:noWrap/>
            <w:vAlign w:val="center"/>
            <w:hideMark/>
          </w:tcPr>
          <w:p w:rsidR="00B74B95" w:rsidRPr="0078782D" w:rsidRDefault="00B74B95" w:rsidP="00B32922">
            <w:pPr>
              <w:spacing w:line="276" w:lineRule="auto"/>
              <w:rPr>
                <w:rFonts w:asciiTheme="minorHAnsi" w:hAnsiTheme="minorHAnsi" w:cstheme="minorHAnsi"/>
                <w:i/>
                <w:sz w:val="20"/>
                <w:szCs w:val="20"/>
                <w:lang w:eastAsia="sr-Latn-CS"/>
              </w:rPr>
            </w:pPr>
            <w:r w:rsidRPr="0078782D">
              <w:rPr>
                <w:rFonts w:asciiTheme="minorHAnsi" w:hAnsiTheme="minorHAnsi" w:cstheme="minorHAnsi"/>
                <w:i/>
                <w:sz w:val="20"/>
                <w:szCs w:val="20"/>
                <w:lang w:eastAsia="sr-Latn-CS"/>
              </w:rPr>
              <w:t>Inflacija</w:t>
            </w:r>
            <w:r w:rsidRPr="0078782D">
              <w:rPr>
                <w:rFonts w:asciiTheme="minorHAnsi" w:hAnsiTheme="minorHAnsi" w:cstheme="minorHAnsi"/>
                <w:i/>
                <w:iCs/>
                <w:sz w:val="20"/>
                <w:szCs w:val="20"/>
                <w:lang w:eastAsia="sr-Latn-CS"/>
              </w:rPr>
              <w:t xml:space="preserve"> (na kraju godine u %)</w:t>
            </w:r>
          </w:p>
        </w:tc>
        <w:tc>
          <w:tcPr>
            <w:tcW w:w="454"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2,3</w:t>
            </w:r>
          </w:p>
        </w:tc>
        <w:tc>
          <w:tcPr>
            <w:tcW w:w="454"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3,1</w:t>
            </w:r>
          </w:p>
        </w:tc>
        <w:tc>
          <w:tcPr>
            <w:tcW w:w="455"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2,1</w:t>
            </w:r>
          </w:p>
        </w:tc>
        <w:tc>
          <w:tcPr>
            <w:tcW w:w="1069" w:type="pct"/>
            <w:shd w:val="clear" w:color="000000" w:fill="D8D8D8"/>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1,6</w:t>
            </w:r>
          </w:p>
        </w:tc>
      </w:tr>
      <w:tr w:rsidR="00B74B95" w:rsidRPr="0078782D" w:rsidTr="0078782D">
        <w:trPr>
          <w:trHeight w:val="202"/>
        </w:trPr>
        <w:tc>
          <w:tcPr>
            <w:tcW w:w="963" w:type="pct"/>
            <w:vMerge/>
            <w:vAlign w:val="center"/>
            <w:hideMark/>
          </w:tcPr>
          <w:p w:rsidR="00B74B95" w:rsidRPr="0078782D" w:rsidRDefault="00B74B95" w:rsidP="00B32922">
            <w:pPr>
              <w:spacing w:line="276" w:lineRule="auto"/>
              <w:rPr>
                <w:rFonts w:asciiTheme="minorHAnsi" w:hAnsiTheme="minorHAnsi" w:cstheme="minorHAnsi"/>
                <w:b/>
                <w:bCs/>
                <w:i/>
                <w:sz w:val="20"/>
                <w:szCs w:val="20"/>
                <w:lang w:eastAsia="sr-Latn-CS"/>
              </w:rPr>
            </w:pPr>
          </w:p>
        </w:tc>
        <w:tc>
          <w:tcPr>
            <w:tcW w:w="1605" w:type="pct"/>
            <w:shd w:val="clear" w:color="000000" w:fill="FFFFFF"/>
            <w:noWrap/>
            <w:vAlign w:val="center"/>
            <w:hideMark/>
          </w:tcPr>
          <w:p w:rsidR="00B74B95" w:rsidRPr="0078782D" w:rsidRDefault="00B74B95" w:rsidP="00B32922">
            <w:pPr>
              <w:spacing w:line="276" w:lineRule="auto"/>
              <w:rPr>
                <w:rFonts w:asciiTheme="minorHAnsi" w:hAnsiTheme="minorHAnsi" w:cstheme="minorHAnsi"/>
                <w:i/>
                <w:sz w:val="20"/>
                <w:szCs w:val="20"/>
                <w:lang w:eastAsia="sr-Latn-CS"/>
              </w:rPr>
            </w:pPr>
            <w:r w:rsidRPr="0078782D">
              <w:rPr>
                <w:rFonts w:asciiTheme="minorHAnsi" w:hAnsiTheme="minorHAnsi" w:cstheme="minorHAnsi"/>
                <w:i/>
                <w:sz w:val="20"/>
                <w:szCs w:val="20"/>
                <w:lang w:eastAsia="sr-Latn-CS"/>
              </w:rPr>
              <w:t>Rast zaposlenosti (%)</w:t>
            </w:r>
          </w:p>
        </w:tc>
        <w:tc>
          <w:tcPr>
            <w:tcW w:w="454"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2,0</w:t>
            </w:r>
          </w:p>
        </w:tc>
        <w:tc>
          <w:tcPr>
            <w:tcW w:w="454"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0,5</w:t>
            </w:r>
          </w:p>
        </w:tc>
        <w:tc>
          <w:tcPr>
            <w:tcW w:w="455"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0,5</w:t>
            </w:r>
          </w:p>
        </w:tc>
        <w:tc>
          <w:tcPr>
            <w:tcW w:w="1069" w:type="pct"/>
            <w:shd w:val="clear" w:color="000000" w:fill="D8D8D8"/>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0,5</w:t>
            </w:r>
          </w:p>
        </w:tc>
      </w:tr>
      <w:tr w:rsidR="00B74B95" w:rsidRPr="0078782D" w:rsidTr="0078782D">
        <w:trPr>
          <w:trHeight w:val="202"/>
        </w:trPr>
        <w:tc>
          <w:tcPr>
            <w:tcW w:w="963" w:type="pct"/>
            <w:vMerge/>
            <w:vAlign w:val="center"/>
            <w:hideMark/>
          </w:tcPr>
          <w:p w:rsidR="00B74B95" w:rsidRPr="0078782D" w:rsidRDefault="00B74B95" w:rsidP="00B32922">
            <w:pPr>
              <w:spacing w:line="276" w:lineRule="auto"/>
              <w:rPr>
                <w:rFonts w:asciiTheme="minorHAnsi" w:hAnsiTheme="minorHAnsi" w:cstheme="minorHAnsi"/>
                <w:b/>
                <w:bCs/>
                <w:i/>
                <w:sz w:val="20"/>
                <w:szCs w:val="20"/>
                <w:lang w:eastAsia="sr-Latn-CS"/>
              </w:rPr>
            </w:pPr>
          </w:p>
        </w:tc>
        <w:tc>
          <w:tcPr>
            <w:tcW w:w="1605" w:type="pct"/>
            <w:shd w:val="clear" w:color="000000" w:fill="FFFFFF"/>
            <w:noWrap/>
            <w:vAlign w:val="center"/>
            <w:hideMark/>
          </w:tcPr>
          <w:p w:rsidR="00B74B95" w:rsidRPr="0078782D" w:rsidRDefault="00B74B95" w:rsidP="00B32922">
            <w:pPr>
              <w:spacing w:line="276" w:lineRule="auto"/>
              <w:rPr>
                <w:rFonts w:asciiTheme="minorHAnsi" w:hAnsiTheme="minorHAnsi" w:cstheme="minorHAnsi"/>
                <w:i/>
                <w:sz w:val="20"/>
                <w:szCs w:val="20"/>
                <w:lang w:eastAsia="sr-Latn-CS"/>
              </w:rPr>
            </w:pPr>
            <w:r w:rsidRPr="0078782D">
              <w:rPr>
                <w:rFonts w:asciiTheme="minorHAnsi" w:hAnsiTheme="minorHAnsi" w:cstheme="minorHAnsi"/>
                <w:i/>
                <w:sz w:val="20"/>
                <w:szCs w:val="20"/>
                <w:lang w:eastAsia="sr-Latn-CS"/>
              </w:rPr>
              <w:t>Deficit tekućeg računa (% BDP)</w:t>
            </w:r>
          </w:p>
        </w:tc>
        <w:tc>
          <w:tcPr>
            <w:tcW w:w="454"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-19,1</w:t>
            </w:r>
          </w:p>
        </w:tc>
        <w:tc>
          <w:tcPr>
            <w:tcW w:w="454"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-18,6</w:t>
            </w:r>
          </w:p>
        </w:tc>
        <w:tc>
          <w:tcPr>
            <w:tcW w:w="455" w:type="pct"/>
            <w:shd w:val="clear" w:color="000000" w:fill="D8D8D8"/>
            <w:vAlign w:val="center"/>
            <w:hideMark/>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-16,8</w:t>
            </w:r>
          </w:p>
        </w:tc>
        <w:tc>
          <w:tcPr>
            <w:tcW w:w="1069" w:type="pct"/>
            <w:shd w:val="clear" w:color="000000" w:fill="D8D8D8"/>
          </w:tcPr>
          <w:p w:rsidR="00B74B95" w:rsidRPr="0078782D" w:rsidRDefault="00B74B95" w:rsidP="00B32922">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-13,7</w:t>
            </w:r>
          </w:p>
        </w:tc>
      </w:tr>
      <w:tr w:rsidR="00B74B95" w:rsidRPr="0078782D" w:rsidTr="0078782D">
        <w:trPr>
          <w:trHeight w:val="383"/>
        </w:trPr>
        <w:tc>
          <w:tcPr>
            <w:tcW w:w="2568" w:type="pct"/>
            <w:gridSpan w:val="2"/>
            <w:vMerge w:val="restart"/>
            <w:tcBorders>
              <w:top w:val="single" w:sz="4" w:space="0" w:color="FF0000"/>
              <w:bottom w:val="single" w:sz="4" w:space="0" w:color="FF0000"/>
            </w:tcBorders>
            <w:shd w:val="clear" w:color="auto" w:fill="auto"/>
            <w:vAlign w:val="center"/>
            <w:hideMark/>
          </w:tcPr>
          <w:p w:rsidR="00B74B95" w:rsidRPr="0078782D" w:rsidRDefault="00B74B95" w:rsidP="00BA0FFE">
            <w:pPr>
              <w:spacing w:line="276" w:lineRule="auto"/>
              <w:rPr>
                <w:rFonts w:asciiTheme="minorHAnsi" w:hAnsiTheme="minorHAnsi" w:cstheme="minorHAnsi"/>
                <w:b/>
                <w:bCs/>
                <w:i/>
                <w:sz w:val="20"/>
                <w:szCs w:val="20"/>
                <w:lang w:eastAsia="sr-Latn-CS"/>
              </w:rPr>
            </w:pPr>
            <w:r w:rsidRPr="0078782D">
              <w:rPr>
                <w:rFonts w:asciiTheme="minorHAnsi" w:hAnsiTheme="minorHAnsi" w:cstheme="minorHAnsi"/>
                <w:b/>
                <w:bCs/>
                <w:i/>
                <w:sz w:val="20"/>
                <w:szCs w:val="20"/>
                <w:lang w:eastAsia="sr-Latn-CS"/>
              </w:rPr>
              <w:t>Fiskalni okvir (% BDP)</w:t>
            </w:r>
          </w:p>
        </w:tc>
        <w:tc>
          <w:tcPr>
            <w:tcW w:w="1363" w:type="pct"/>
            <w:gridSpan w:val="3"/>
            <w:tcBorders>
              <w:top w:val="single" w:sz="4" w:space="0" w:color="FF0000"/>
              <w:bottom w:val="single" w:sz="4" w:space="0" w:color="FF0000"/>
            </w:tcBorders>
            <w:shd w:val="clear" w:color="000000" w:fill="D8D8D8"/>
            <w:noWrap/>
            <w:vAlign w:val="center"/>
            <w:hideMark/>
          </w:tcPr>
          <w:p w:rsidR="00B74B95" w:rsidRPr="0078782D" w:rsidRDefault="00B74B95" w:rsidP="00BA0FFE">
            <w:pPr>
              <w:spacing w:line="276" w:lineRule="auto"/>
              <w:jc w:val="center"/>
              <w:rPr>
                <w:rFonts w:asciiTheme="minorHAnsi" w:hAnsiTheme="minorHAnsi" w:cstheme="minorHAnsi"/>
                <w:b/>
                <w:bCs/>
                <w:i/>
                <w:sz w:val="20"/>
                <w:szCs w:val="20"/>
                <w:lang w:eastAsia="sr-Latn-CS"/>
              </w:rPr>
            </w:pPr>
            <w:r w:rsidRPr="0078782D">
              <w:rPr>
                <w:rFonts w:asciiTheme="minorHAnsi" w:hAnsiTheme="minorHAnsi" w:cstheme="minorHAnsi"/>
                <w:b/>
                <w:bCs/>
                <w:i/>
                <w:sz w:val="20"/>
                <w:szCs w:val="20"/>
                <w:lang w:eastAsia="sr-Latn-CS"/>
              </w:rPr>
              <w:t xml:space="preserve">Projekcije </w:t>
            </w:r>
          </w:p>
        </w:tc>
        <w:tc>
          <w:tcPr>
            <w:tcW w:w="1069" w:type="pct"/>
            <w:tcBorders>
              <w:top w:val="single" w:sz="4" w:space="0" w:color="FF0000"/>
              <w:bottom w:val="single" w:sz="4" w:space="0" w:color="FF0000"/>
            </w:tcBorders>
            <w:shd w:val="clear" w:color="000000" w:fill="D8D8D8"/>
          </w:tcPr>
          <w:p w:rsidR="00B74B95" w:rsidRPr="0078782D" w:rsidRDefault="00B74B95" w:rsidP="00BA0FFE">
            <w:pPr>
              <w:spacing w:line="276" w:lineRule="auto"/>
              <w:jc w:val="center"/>
              <w:rPr>
                <w:rFonts w:asciiTheme="minorHAnsi" w:hAnsiTheme="minorHAnsi" w:cstheme="minorHAnsi"/>
                <w:b/>
                <w:bCs/>
                <w:i/>
                <w:sz w:val="20"/>
                <w:szCs w:val="20"/>
                <w:lang w:eastAsia="sr-Latn-CS"/>
              </w:rPr>
            </w:pPr>
          </w:p>
        </w:tc>
      </w:tr>
      <w:tr w:rsidR="00B74B95" w:rsidRPr="0078782D" w:rsidTr="0078782D">
        <w:trPr>
          <w:trHeight w:val="202"/>
        </w:trPr>
        <w:tc>
          <w:tcPr>
            <w:tcW w:w="2568" w:type="pct"/>
            <w:gridSpan w:val="2"/>
            <w:vMerge/>
            <w:tcBorders>
              <w:top w:val="single" w:sz="4" w:space="0" w:color="FF0000"/>
              <w:bottom w:val="single" w:sz="4" w:space="0" w:color="FF0000"/>
            </w:tcBorders>
            <w:vAlign w:val="center"/>
            <w:hideMark/>
          </w:tcPr>
          <w:p w:rsidR="00B74B95" w:rsidRPr="0078782D" w:rsidRDefault="00B74B95" w:rsidP="00BA0FFE">
            <w:pPr>
              <w:spacing w:line="276" w:lineRule="auto"/>
              <w:rPr>
                <w:rFonts w:asciiTheme="minorHAnsi" w:hAnsiTheme="minorHAnsi" w:cstheme="minorHAnsi"/>
                <w:b/>
                <w:bCs/>
                <w:i/>
                <w:sz w:val="20"/>
                <w:szCs w:val="20"/>
                <w:lang w:eastAsia="sr-Latn-CS"/>
              </w:rPr>
            </w:pPr>
          </w:p>
        </w:tc>
        <w:tc>
          <w:tcPr>
            <w:tcW w:w="454" w:type="pct"/>
            <w:tcBorders>
              <w:top w:val="single" w:sz="4" w:space="0" w:color="FF0000"/>
              <w:bottom w:val="single" w:sz="4" w:space="0" w:color="FF0000"/>
            </w:tcBorders>
            <w:shd w:val="clear" w:color="000000" w:fill="D8D8D8"/>
            <w:vAlign w:val="center"/>
            <w:hideMark/>
          </w:tcPr>
          <w:p w:rsidR="00B74B95" w:rsidRPr="0078782D" w:rsidRDefault="00B74B95" w:rsidP="00BA0FFE">
            <w:pPr>
              <w:spacing w:line="276" w:lineRule="auto"/>
              <w:jc w:val="center"/>
              <w:rPr>
                <w:rFonts w:asciiTheme="minorHAnsi" w:hAnsiTheme="minorHAnsi" w:cstheme="minorHAnsi"/>
                <w:b/>
                <w:bCs/>
                <w:i/>
                <w:sz w:val="20"/>
                <w:szCs w:val="20"/>
                <w:lang w:eastAsia="sr-Latn-CS"/>
              </w:rPr>
            </w:pPr>
            <w:r w:rsidRPr="0078782D">
              <w:rPr>
                <w:rFonts w:asciiTheme="minorHAnsi" w:hAnsiTheme="minorHAnsi" w:cstheme="minorHAnsi"/>
                <w:b/>
                <w:bCs/>
                <w:i/>
                <w:sz w:val="20"/>
                <w:szCs w:val="20"/>
                <w:lang w:eastAsia="sr-Latn-CS"/>
              </w:rPr>
              <w:t>2017</w:t>
            </w:r>
          </w:p>
        </w:tc>
        <w:tc>
          <w:tcPr>
            <w:tcW w:w="454" w:type="pct"/>
            <w:tcBorders>
              <w:top w:val="single" w:sz="4" w:space="0" w:color="FF0000"/>
              <w:bottom w:val="single" w:sz="4" w:space="0" w:color="FF0000"/>
            </w:tcBorders>
            <w:shd w:val="clear" w:color="000000" w:fill="D8D8D8"/>
            <w:vAlign w:val="center"/>
            <w:hideMark/>
          </w:tcPr>
          <w:p w:rsidR="00B74B95" w:rsidRPr="0078782D" w:rsidRDefault="00B74B95" w:rsidP="00BA0FFE">
            <w:pPr>
              <w:spacing w:line="276" w:lineRule="auto"/>
              <w:jc w:val="center"/>
              <w:rPr>
                <w:rFonts w:asciiTheme="minorHAnsi" w:hAnsiTheme="minorHAnsi" w:cstheme="minorHAnsi"/>
                <w:b/>
                <w:bCs/>
                <w:i/>
                <w:sz w:val="20"/>
                <w:szCs w:val="20"/>
                <w:lang w:eastAsia="sr-Latn-CS"/>
              </w:rPr>
            </w:pPr>
            <w:r w:rsidRPr="0078782D">
              <w:rPr>
                <w:rFonts w:asciiTheme="minorHAnsi" w:hAnsiTheme="minorHAnsi" w:cstheme="minorHAnsi"/>
                <w:b/>
                <w:bCs/>
                <w:i/>
                <w:sz w:val="20"/>
                <w:szCs w:val="20"/>
                <w:lang w:eastAsia="sr-Latn-CS"/>
              </w:rPr>
              <w:t>2018</w:t>
            </w:r>
          </w:p>
        </w:tc>
        <w:tc>
          <w:tcPr>
            <w:tcW w:w="455" w:type="pct"/>
            <w:tcBorders>
              <w:top w:val="single" w:sz="4" w:space="0" w:color="FF0000"/>
              <w:bottom w:val="single" w:sz="4" w:space="0" w:color="FF0000"/>
            </w:tcBorders>
            <w:shd w:val="clear" w:color="000000" w:fill="D8D8D8"/>
            <w:vAlign w:val="center"/>
            <w:hideMark/>
          </w:tcPr>
          <w:p w:rsidR="00B74B95" w:rsidRPr="0078782D" w:rsidRDefault="00B74B95" w:rsidP="00BA0FFE">
            <w:pPr>
              <w:spacing w:line="276" w:lineRule="auto"/>
              <w:jc w:val="center"/>
              <w:rPr>
                <w:rFonts w:asciiTheme="minorHAnsi" w:hAnsiTheme="minorHAnsi" w:cstheme="minorHAnsi"/>
                <w:b/>
                <w:bCs/>
                <w:i/>
                <w:sz w:val="20"/>
                <w:szCs w:val="20"/>
                <w:lang w:eastAsia="sr-Latn-CS"/>
              </w:rPr>
            </w:pPr>
            <w:r w:rsidRPr="0078782D">
              <w:rPr>
                <w:rFonts w:asciiTheme="minorHAnsi" w:hAnsiTheme="minorHAnsi" w:cstheme="minorHAnsi"/>
                <w:b/>
                <w:bCs/>
                <w:i/>
                <w:sz w:val="20"/>
                <w:szCs w:val="20"/>
                <w:lang w:eastAsia="sr-Latn-CS"/>
              </w:rPr>
              <w:t>2019</w:t>
            </w:r>
          </w:p>
        </w:tc>
        <w:tc>
          <w:tcPr>
            <w:tcW w:w="1069" w:type="pct"/>
            <w:tcBorders>
              <w:top w:val="single" w:sz="4" w:space="0" w:color="FF0000"/>
              <w:bottom w:val="single" w:sz="4" w:space="0" w:color="FF0000"/>
            </w:tcBorders>
            <w:shd w:val="clear" w:color="000000" w:fill="D8D8D8"/>
          </w:tcPr>
          <w:p w:rsidR="00B74B95" w:rsidRPr="0078782D" w:rsidRDefault="00B74B95" w:rsidP="00BA0FFE">
            <w:pPr>
              <w:spacing w:line="276" w:lineRule="auto"/>
              <w:jc w:val="center"/>
              <w:rPr>
                <w:rFonts w:asciiTheme="minorHAnsi" w:hAnsiTheme="minorHAnsi" w:cstheme="minorHAnsi"/>
                <w:b/>
                <w:bCs/>
                <w:i/>
                <w:sz w:val="20"/>
                <w:szCs w:val="20"/>
                <w:lang w:eastAsia="sr-Latn-CS"/>
              </w:rPr>
            </w:pPr>
            <w:r w:rsidRPr="0078782D">
              <w:rPr>
                <w:rFonts w:asciiTheme="minorHAnsi" w:hAnsiTheme="minorHAnsi" w:cstheme="minorHAnsi"/>
                <w:b/>
                <w:bCs/>
                <w:i/>
                <w:sz w:val="20"/>
                <w:szCs w:val="20"/>
                <w:lang w:eastAsia="sr-Latn-CS"/>
              </w:rPr>
              <w:t>2020</w:t>
            </w:r>
          </w:p>
        </w:tc>
      </w:tr>
      <w:tr w:rsidR="00B74B95" w:rsidRPr="0078782D" w:rsidTr="0078782D">
        <w:trPr>
          <w:trHeight w:val="202"/>
        </w:trPr>
        <w:tc>
          <w:tcPr>
            <w:tcW w:w="963" w:type="pct"/>
            <w:vMerge w:val="restart"/>
            <w:tcBorders>
              <w:top w:val="single" w:sz="4" w:space="0" w:color="FF0000"/>
            </w:tcBorders>
            <w:shd w:val="clear" w:color="000000" w:fill="FFFFFF"/>
            <w:vAlign w:val="center"/>
            <w:hideMark/>
          </w:tcPr>
          <w:p w:rsidR="00B74B95" w:rsidRPr="0078782D" w:rsidRDefault="00B74B95" w:rsidP="00BA0FFE">
            <w:pPr>
              <w:spacing w:line="276" w:lineRule="auto"/>
              <w:jc w:val="center"/>
              <w:rPr>
                <w:rFonts w:asciiTheme="minorHAnsi" w:hAnsiTheme="minorHAnsi" w:cstheme="minorHAnsi"/>
                <w:b/>
                <w:bCs/>
                <w:i/>
                <w:sz w:val="20"/>
                <w:szCs w:val="20"/>
                <w:lang w:eastAsia="sr-Latn-CS"/>
              </w:rPr>
            </w:pPr>
            <w:r w:rsidRPr="0078782D">
              <w:rPr>
                <w:rFonts w:asciiTheme="minorHAnsi" w:hAnsiTheme="minorHAnsi" w:cstheme="minorHAnsi"/>
                <w:b/>
                <w:bCs/>
                <w:i/>
                <w:sz w:val="20"/>
                <w:szCs w:val="20"/>
                <w:lang w:eastAsia="sr-Latn-CS"/>
              </w:rPr>
              <w:t>Fiskalni pokazatelji</w:t>
            </w:r>
          </w:p>
        </w:tc>
        <w:tc>
          <w:tcPr>
            <w:tcW w:w="1605" w:type="pct"/>
            <w:tcBorders>
              <w:top w:val="single" w:sz="4" w:space="0" w:color="FF0000"/>
            </w:tcBorders>
            <w:shd w:val="clear" w:color="000000" w:fill="FFFFFF"/>
            <w:noWrap/>
            <w:vAlign w:val="center"/>
            <w:hideMark/>
          </w:tcPr>
          <w:p w:rsidR="00B74B95" w:rsidRPr="0078782D" w:rsidRDefault="00B74B95" w:rsidP="007B6DBA">
            <w:pPr>
              <w:spacing w:line="276" w:lineRule="auto"/>
              <w:rPr>
                <w:rFonts w:asciiTheme="minorHAnsi" w:hAnsiTheme="minorHAnsi" w:cstheme="minorHAnsi"/>
                <w:i/>
                <w:sz w:val="20"/>
                <w:szCs w:val="20"/>
                <w:lang w:eastAsia="sr-Latn-CS"/>
              </w:rPr>
            </w:pPr>
            <w:r w:rsidRPr="0078782D">
              <w:rPr>
                <w:rFonts w:asciiTheme="minorHAnsi" w:hAnsiTheme="minorHAnsi" w:cstheme="minorHAnsi"/>
                <w:i/>
                <w:sz w:val="20"/>
                <w:szCs w:val="20"/>
                <w:lang w:eastAsia="sr-Latn-CS"/>
              </w:rPr>
              <w:t xml:space="preserve">Izvorni prihodi </w:t>
            </w:r>
          </w:p>
        </w:tc>
        <w:tc>
          <w:tcPr>
            <w:tcW w:w="454" w:type="pct"/>
            <w:tcBorders>
              <w:top w:val="single" w:sz="4" w:space="0" w:color="FF0000"/>
            </w:tcBorders>
            <w:shd w:val="clear" w:color="000000" w:fill="D8D8D8"/>
            <w:vAlign w:val="center"/>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39,9</w:t>
            </w:r>
          </w:p>
        </w:tc>
        <w:tc>
          <w:tcPr>
            <w:tcW w:w="454" w:type="pct"/>
            <w:tcBorders>
              <w:top w:val="single" w:sz="4" w:space="0" w:color="FF0000"/>
            </w:tcBorders>
            <w:shd w:val="clear" w:color="000000" w:fill="D8D8D8"/>
            <w:vAlign w:val="center"/>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40,5</w:t>
            </w:r>
          </w:p>
        </w:tc>
        <w:tc>
          <w:tcPr>
            <w:tcW w:w="455" w:type="pct"/>
            <w:tcBorders>
              <w:top w:val="single" w:sz="4" w:space="0" w:color="FF0000"/>
            </w:tcBorders>
            <w:shd w:val="clear" w:color="000000" w:fill="D8D8D8"/>
            <w:vAlign w:val="center"/>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40,1</w:t>
            </w:r>
          </w:p>
        </w:tc>
        <w:tc>
          <w:tcPr>
            <w:tcW w:w="1069" w:type="pct"/>
            <w:tcBorders>
              <w:top w:val="single" w:sz="4" w:space="0" w:color="FF0000"/>
            </w:tcBorders>
            <w:shd w:val="clear" w:color="000000" w:fill="D8D8D8"/>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39,8</w:t>
            </w:r>
          </w:p>
        </w:tc>
      </w:tr>
      <w:tr w:rsidR="00B74B95" w:rsidRPr="0078782D" w:rsidTr="0078782D">
        <w:trPr>
          <w:trHeight w:val="202"/>
        </w:trPr>
        <w:tc>
          <w:tcPr>
            <w:tcW w:w="963" w:type="pct"/>
            <w:vMerge/>
            <w:vAlign w:val="center"/>
            <w:hideMark/>
          </w:tcPr>
          <w:p w:rsidR="00B74B95" w:rsidRPr="0078782D" w:rsidRDefault="00B74B95" w:rsidP="00BA0FFE">
            <w:pPr>
              <w:spacing w:line="276" w:lineRule="auto"/>
              <w:rPr>
                <w:rFonts w:asciiTheme="minorHAnsi" w:hAnsiTheme="minorHAnsi" w:cstheme="minorHAnsi"/>
                <w:b/>
                <w:bCs/>
                <w:i/>
                <w:sz w:val="20"/>
                <w:szCs w:val="20"/>
                <w:lang w:eastAsia="sr-Latn-CS"/>
              </w:rPr>
            </w:pPr>
          </w:p>
        </w:tc>
        <w:tc>
          <w:tcPr>
            <w:tcW w:w="1605" w:type="pct"/>
            <w:shd w:val="clear" w:color="000000" w:fill="FFFFFF"/>
            <w:noWrap/>
            <w:vAlign w:val="center"/>
            <w:hideMark/>
          </w:tcPr>
          <w:p w:rsidR="00B74B95" w:rsidRPr="0078782D" w:rsidRDefault="00B74B95" w:rsidP="00BA0FFE">
            <w:pPr>
              <w:spacing w:line="276" w:lineRule="auto"/>
              <w:rPr>
                <w:rFonts w:asciiTheme="minorHAnsi" w:hAnsiTheme="minorHAnsi" w:cstheme="minorHAnsi"/>
                <w:i/>
                <w:sz w:val="20"/>
                <w:szCs w:val="20"/>
                <w:lang w:eastAsia="sr-Latn-CS"/>
              </w:rPr>
            </w:pPr>
            <w:r w:rsidRPr="0078782D">
              <w:rPr>
                <w:rFonts w:asciiTheme="minorHAnsi" w:hAnsiTheme="minorHAnsi" w:cstheme="minorHAnsi"/>
                <w:i/>
                <w:sz w:val="20"/>
                <w:szCs w:val="20"/>
                <w:lang w:eastAsia="sr-Latn-CS"/>
              </w:rPr>
              <w:t>Izdaci budžeta</w:t>
            </w:r>
          </w:p>
        </w:tc>
        <w:tc>
          <w:tcPr>
            <w:tcW w:w="454" w:type="pct"/>
            <w:shd w:val="clear" w:color="000000" w:fill="D8D8D8"/>
            <w:vAlign w:val="center"/>
            <w:hideMark/>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44,9</w:t>
            </w:r>
          </w:p>
        </w:tc>
        <w:tc>
          <w:tcPr>
            <w:tcW w:w="454" w:type="pct"/>
            <w:shd w:val="clear" w:color="000000" w:fill="D8D8D8"/>
            <w:vAlign w:val="center"/>
            <w:hideMark/>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43,2</w:t>
            </w:r>
          </w:p>
        </w:tc>
        <w:tc>
          <w:tcPr>
            <w:tcW w:w="455" w:type="pct"/>
            <w:shd w:val="clear" w:color="000000" w:fill="D8D8D8"/>
            <w:vAlign w:val="center"/>
            <w:hideMark/>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40,8</w:t>
            </w:r>
          </w:p>
        </w:tc>
        <w:tc>
          <w:tcPr>
            <w:tcW w:w="1069" w:type="pct"/>
            <w:shd w:val="clear" w:color="000000" w:fill="D8D8D8"/>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35,3</w:t>
            </w:r>
          </w:p>
        </w:tc>
      </w:tr>
      <w:tr w:rsidR="00B74B95" w:rsidRPr="0078782D" w:rsidTr="0078782D">
        <w:trPr>
          <w:trHeight w:val="202"/>
        </w:trPr>
        <w:tc>
          <w:tcPr>
            <w:tcW w:w="963" w:type="pct"/>
            <w:vMerge/>
            <w:vAlign w:val="center"/>
            <w:hideMark/>
          </w:tcPr>
          <w:p w:rsidR="00B74B95" w:rsidRPr="0078782D" w:rsidRDefault="00B74B95" w:rsidP="00BA0FFE">
            <w:pPr>
              <w:spacing w:line="276" w:lineRule="auto"/>
              <w:rPr>
                <w:rFonts w:asciiTheme="minorHAnsi" w:hAnsiTheme="minorHAnsi" w:cstheme="minorHAnsi"/>
                <w:b/>
                <w:bCs/>
                <w:i/>
                <w:sz w:val="20"/>
                <w:szCs w:val="20"/>
                <w:lang w:eastAsia="sr-Latn-CS"/>
              </w:rPr>
            </w:pPr>
          </w:p>
        </w:tc>
        <w:tc>
          <w:tcPr>
            <w:tcW w:w="1605" w:type="pct"/>
            <w:shd w:val="clear" w:color="000000" w:fill="FFFFFF"/>
            <w:noWrap/>
            <w:vAlign w:val="center"/>
            <w:hideMark/>
          </w:tcPr>
          <w:p w:rsidR="00B74B95" w:rsidRPr="0078782D" w:rsidRDefault="00B74B95" w:rsidP="00BA0FFE">
            <w:pPr>
              <w:spacing w:line="276" w:lineRule="auto"/>
              <w:rPr>
                <w:rFonts w:asciiTheme="minorHAnsi" w:hAnsiTheme="minorHAnsi" w:cstheme="minorHAnsi"/>
                <w:i/>
                <w:sz w:val="20"/>
                <w:szCs w:val="20"/>
                <w:lang w:eastAsia="sr-Latn-CS"/>
              </w:rPr>
            </w:pPr>
            <w:r w:rsidRPr="0078782D">
              <w:rPr>
                <w:rFonts w:asciiTheme="minorHAnsi" w:hAnsiTheme="minorHAnsi" w:cstheme="minorHAnsi"/>
                <w:i/>
                <w:sz w:val="20"/>
                <w:szCs w:val="20"/>
                <w:lang w:eastAsia="sr-Latn-CS"/>
              </w:rPr>
              <w:t>Deficit/suficit</w:t>
            </w:r>
          </w:p>
        </w:tc>
        <w:tc>
          <w:tcPr>
            <w:tcW w:w="454" w:type="pct"/>
            <w:shd w:val="clear" w:color="000000" w:fill="D8D8D8"/>
            <w:vAlign w:val="center"/>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-5,0</w:t>
            </w:r>
          </w:p>
        </w:tc>
        <w:tc>
          <w:tcPr>
            <w:tcW w:w="454" w:type="pct"/>
            <w:shd w:val="clear" w:color="000000" w:fill="D8D8D8"/>
            <w:vAlign w:val="center"/>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-2,7</w:t>
            </w:r>
          </w:p>
        </w:tc>
        <w:tc>
          <w:tcPr>
            <w:tcW w:w="455" w:type="pct"/>
            <w:shd w:val="clear" w:color="000000" w:fill="D8D8D8"/>
            <w:vAlign w:val="center"/>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-0,7</w:t>
            </w:r>
          </w:p>
        </w:tc>
        <w:tc>
          <w:tcPr>
            <w:tcW w:w="1069" w:type="pct"/>
            <w:shd w:val="clear" w:color="000000" w:fill="D8D8D8"/>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4,5</w:t>
            </w:r>
          </w:p>
        </w:tc>
      </w:tr>
      <w:tr w:rsidR="00B74B95" w:rsidRPr="0078782D" w:rsidTr="0078782D">
        <w:trPr>
          <w:trHeight w:val="202"/>
        </w:trPr>
        <w:tc>
          <w:tcPr>
            <w:tcW w:w="963" w:type="pct"/>
            <w:vMerge/>
            <w:vAlign w:val="center"/>
            <w:hideMark/>
          </w:tcPr>
          <w:p w:rsidR="00B74B95" w:rsidRPr="0078782D" w:rsidRDefault="00B74B95" w:rsidP="00BA0FFE">
            <w:pPr>
              <w:spacing w:line="276" w:lineRule="auto"/>
              <w:rPr>
                <w:rFonts w:asciiTheme="minorHAnsi" w:hAnsiTheme="minorHAnsi" w:cstheme="minorHAnsi"/>
                <w:b/>
                <w:bCs/>
                <w:i/>
                <w:sz w:val="20"/>
                <w:szCs w:val="20"/>
                <w:lang w:eastAsia="sr-Latn-CS"/>
              </w:rPr>
            </w:pPr>
          </w:p>
        </w:tc>
        <w:tc>
          <w:tcPr>
            <w:tcW w:w="1605" w:type="pct"/>
            <w:shd w:val="clear" w:color="000000" w:fill="FFFFFF"/>
            <w:noWrap/>
            <w:vAlign w:val="center"/>
            <w:hideMark/>
          </w:tcPr>
          <w:p w:rsidR="00B74B95" w:rsidRPr="0078782D" w:rsidRDefault="00B74B95" w:rsidP="00BA0FFE">
            <w:pPr>
              <w:spacing w:line="276" w:lineRule="auto"/>
              <w:rPr>
                <w:rFonts w:asciiTheme="minorHAnsi" w:hAnsiTheme="minorHAnsi" w:cstheme="minorHAnsi"/>
                <w:i/>
                <w:sz w:val="20"/>
                <w:szCs w:val="20"/>
                <w:lang w:eastAsia="sr-Latn-CS"/>
              </w:rPr>
            </w:pPr>
            <w:r w:rsidRPr="0078782D">
              <w:rPr>
                <w:rFonts w:asciiTheme="minorHAnsi" w:hAnsiTheme="minorHAnsi" w:cstheme="minorHAnsi"/>
                <w:i/>
                <w:sz w:val="20"/>
                <w:szCs w:val="20"/>
                <w:lang w:eastAsia="sr-Latn-CS"/>
              </w:rPr>
              <w:t>Kamate</w:t>
            </w:r>
          </w:p>
        </w:tc>
        <w:tc>
          <w:tcPr>
            <w:tcW w:w="454" w:type="pct"/>
            <w:shd w:val="clear" w:color="000000" w:fill="D8D8D8"/>
            <w:vAlign w:val="center"/>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2,4</w:t>
            </w:r>
          </w:p>
        </w:tc>
        <w:tc>
          <w:tcPr>
            <w:tcW w:w="454" w:type="pct"/>
            <w:shd w:val="clear" w:color="000000" w:fill="D8D8D8"/>
            <w:vAlign w:val="center"/>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2,1</w:t>
            </w:r>
          </w:p>
        </w:tc>
        <w:tc>
          <w:tcPr>
            <w:tcW w:w="455" w:type="pct"/>
            <w:shd w:val="clear" w:color="000000" w:fill="D8D8D8"/>
            <w:vAlign w:val="center"/>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2,1</w:t>
            </w:r>
          </w:p>
        </w:tc>
        <w:tc>
          <w:tcPr>
            <w:tcW w:w="1069" w:type="pct"/>
            <w:shd w:val="clear" w:color="000000" w:fill="D8D8D8"/>
          </w:tcPr>
          <w:p w:rsidR="00B74B95" w:rsidRPr="0078782D" w:rsidRDefault="00B74B95" w:rsidP="00BA0FFE">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2,0</w:t>
            </w:r>
          </w:p>
        </w:tc>
      </w:tr>
      <w:tr w:rsidR="00B74B95" w:rsidRPr="0078782D" w:rsidTr="0078782D">
        <w:trPr>
          <w:trHeight w:val="202"/>
        </w:trPr>
        <w:tc>
          <w:tcPr>
            <w:tcW w:w="963" w:type="pct"/>
            <w:vMerge/>
            <w:vAlign w:val="center"/>
            <w:hideMark/>
          </w:tcPr>
          <w:p w:rsidR="00B74B95" w:rsidRPr="0078782D" w:rsidRDefault="00B74B95" w:rsidP="003C15A9">
            <w:pPr>
              <w:spacing w:line="276" w:lineRule="auto"/>
              <w:rPr>
                <w:rFonts w:asciiTheme="minorHAnsi" w:hAnsiTheme="minorHAnsi" w:cstheme="minorHAnsi"/>
                <w:b/>
                <w:bCs/>
                <w:i/>
                <w:sz w:val="20"/>
                <w:szCs w:val="20"/>
                <w:lang w:eastAsia="sr-Latn-CS"/>
              </w:rPr>
            </w:pPr>
          </w:p>
        </w:tc>
        <w:tc>
          <w:tcPr>
            <w:tcW w:w="1605" w:type="pct"/>
            <w:shd w:val="clear" w:color="000000" w:fill="FFFFFF"/>
            <w:noWrap/>
            <w:vAlign w:val="center"/>
            <w:hideMark/>
          </w:tcPr>
          <w:p w:rsidR="00B74B95" w:rsidRPr="0078782D" w:rsidRDefault="00B74B95" w:rsidP="003C15A9">
            <w:pPr>
              <w:spacing w:line="276" w:lineRule="auto"/>
              <w:rPr>
                <w:rFonts w:asciiTheme="minorHAnsi" w:hAnsiTheme="minorHAnsi" w:cstheme="minorHAnsi"/>
                <w:i/>
                <w:sz w:val="20"/>
                <w:szCs w:val="20"/>
                <w:lang w:eastAsia="sr-Latn-CS"/>
              </w:rPr>
            </w:pPr>
            <w:r w:rsidRPr="0078782D">
              <w:rPr>
                <w:rFonts w:asciiTheme="minorHAnsi" w:hAnsiTheme="minorHAnsi" w:cstheme="minorHAnsi"/>
                <w:i/>
                <w:sz w:val="20"/>
                <w:szCs w:val="20"/>
                <w:lang w:eastAsia="sr-Latn-CS"/>
              </w:rPr>
              <w:t>Primarni deficit/suficit</w:t>
            </w:r>
          </w:p>
        </w:tc>
        <w:tc>
          <w:tcPr>
            <w:tcW w:w="454" w:type="pct"/>
            <w:shd w:val="clear" w:color="000000" w:fill="D8D8D8"/>
            <w:vAlign w:val="center"/>
          </w:tcPr>
          <w:p w:rsidR="00B74B95" w:rsidRPr="0078782D" w:rsidRDefault="00B74B95" w:rsidP="003C15A9">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-2,6</w:t>
            </w:r>
          </w:p>
        </w:tc>
        <w:tc>
          <w:tcPr>
            <w:tcW w:w="454" w:type="pct"/>
            <w:shd w:val="clear" w:color="000000" w:fill="D8D8D8"/>
            <w:vAlign w:val="center"/>
          </w:tcPr>
          <w:p w:rsidR="00B74B95" w:rsidRPr="0078782D" w:rsidRDefault="00B74B95" w:rsidP="003C15A9">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-0,5</w:t>
            </w:r>
          </w:p>
        </w:tc>
        <w:tc>
          <w:tcPr>
            <w:tcW w:w="455" w:type="pct"/>
            <w:shd w:val="clear" w:color="000000" w:fill="D8D8D8"/>
            <w:vAlign w:val="center"/>
          </w:tcPr>
          <w:p w:rsidR="00B74B95" w:rsidRPr="0078782D" w:rsidRDefault="00B74B95" w:rsidP="003C15A9">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1,4</w:t>
            </w:r>
          </w:p>
        </w:tc>
        <w:tc>
          <w:tcPr>
            <w:tcW w:w="1069" w:type="pct"/>
            <w:shd w:val="clear" w:color="000000" w:fill="D8D8D8"/>
          </w:tcPr>
          <w:p w:rsidR="00B74B95" w:rsidRPr="0078782D" w:rsidRDefault="00B74B95" w:rsidP="003C15A9">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6,5</w:t>
            </w:r>
          </w:p>
        </w:tc>
      </w:tr>
      <w:tr w:rsidR="00B74B95" w:rsidRPr="0078782D" w:rsidTr="0078782D">
        <w:trPr>
          <w:trHeight w:val="202"/>
        </w:trPr>
        <w:tc>
          <w:tcPr>
            <w:tcW w:w="963" w:type="pct"/>
            <w:vMerge/>
            <w:vAlign w:val="center"/>
            <w:hideMark/>
          </w:tcPr>
          <w:p w:rsidR="00B74B95" w:rsidRPr="0078782D" w:rsidRDefault="00B74B95" w:rsidP="003C15A9">
            <w:pPr>
              <w:spacing w:line="276" w:lineRule="auto"/>
              <w:rPr>
                <w:rFonts w:asciiTheme="minorHAnsi" w:hAnsiTheme="minorHAnsi" w:cstheme="minorHAnsi"/>
                <w:b/>
                <w:bCs/>
                <w:i/>
                <w:sz w:val="20"/>
                <w:szCs w:val="20"/>
                <w:lang w:eastAsia="sr-Latn-CS"/>
              </w:rPr>
            </w:pPr>
          </w:p>
        </w:tc>
        <w:tc>
          <w:tcPr>
            <w:tcW w:w="1605" w:type="pct"/>
            <w:shd w:val="clear" w:color="000000" w:fill="FFFFFF"/>
            <w:noWrap/>
            <w:vAlign w:val="center"/>
            <w:hideMark/>
          </w:tcPr>
          <w:p w:rsidR="00B74B95" w:rsidRPr="0078782D" w:rsidRDefault="00B74B95" w:rsidP="003C15A9">
            <w:pPr>
              <w:spacing w:line="276" w:lineRule="auto"/>
              <w:rPr>
                <w:rFonts w:asciiTheme="minorHAnsi" w:hAnsiTheme="minorHAnsi" w:cstheme="minorHAnsi"/>
                <w:i/>
                <w:sz w:val="20"/>
                <w:szCs w:val="20"/>
                <w:lang w:eastAsia="sr-Latn-CS"/>
              </w:rPr>
            </w:pPr>
            <w:r w:rsidRPr="0078782D">
              <w:rPr>
                <w:rFonts w:asciiTheme="minorHAnsi" w:hAnsiTheme="minorHAnsi" w:cstheme="minorHAnsi"/>
                <w:i/>
                <w:sz w:val="20"/>
                <w:szCs w:val="20"/>
                <w:lang w:eastAsia="sr-Latn-CS"/>
              </w:rPr>
              <w:t>Javni dug</w:t>
            </w:r>
          </w:p>
        </w:tc>
        <w:tc>
          <w:tcPr>
            <w:tcW w:w="454" w:type="pct"/>
            <w:shd w:val="clear" w:color="000000" w:fill="D8D8D8"/>
            <w:vAlign w:val="center"/>
          </w:tcPr>
          <w:p w:rsidR="00B74B95" w:rsidRPr="0078782D" w:rsidRDefault="00B74B95" w:rsidP="007B6DBA">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73,0</w:t>
            </w:r>
          </w:p>
        </w:tc>
        <w:tc>
          <w:tcPr>
            <w:tcW w:w="454" w:type="pct"/>
            <w:shd w:val="clear" w:color="000000" w:fill="D8D8D8"/>
            <w:vAlign w:val="center"/>
          </w:tcPr>
          <w:p w:rsidR="00B74B95" w:rsidRPr="0078782D" w:rsidRDefault="00B74B95" w:rsidP="003C15A9">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74,6</w:t>
            </w:r>
          </w:p>
        </w:tc>
        <w:tc>
          <w:tcPr>
            <w:tcW w:w="455" w:type="pct"/>
            <w:shd w:val="clear" w:color="000000" w:fill="D8D8D8"/>
            <w:vAlign w:val="center"/>
          </w:tcPr>
          <w:p w:rsidR="00B74B95" w:rsidRPr="0078782D" w:rsidRDefault="00B74B95" w:rsidP="003C15A9">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74,0</w:t>
            </w:r>
          </w:p>
        </w:tc>
        <w:tc>
          <w:tcPr>
            <w:tcW w:w="1069" w:type="pct"/>
            <w:shd w:val="clear" w:color="000000" w:fill="D8D8D8"/>
          </w:tcPr>
          <w:p w:rsidR="00B74B95" w:rsidRPr="0078782D" w:rsidRDefault="00B74B95" w:rsidP="003C15A9">
            <w:pPr>
              <w:spacing w:line="276" w:lineRule="auto"/>
              <w:jc w:val="center"/>
              <w:rPr>
                <w:rFonts w:asciiTheme="minorHAnsi" w:hAnsiTheme="minorHAnsi" w:cstheme="minorHAnsi"/>
                <w:i/>
                <w:iCs/>
                <w:sz w:val="20"/>
                <w:szCs w:val="20"/>
                <w:lang w:eastAsia="sr-Latn-CS"/>
              </w:rPr>
            </w:pPr>
            <w:r w:rsidRPr="0078782D">
              <w:rPr>
                <w:rFonts w:asciiTheme="minorHAnsi" w:hAnsiTheme="minorHAnsi" w:cstheme="minorHAnsi"/>
                <w:i/>
                <w:iCs/>
                <w:sz w:val="20"/>
                <w:szCs w:val="20"/>
                <w:lang w:eastAsia="sr-Latn-CS"/>
              </w:rPr>
              <w:t>67,0</w:t>
            </w:r>
          </w:p>
        </w:tc>
      </w:tr>
    </w:tbl>
    <w:p w:rsidR="00DC287A" w:rsidRPr="00B32922" w:rsidRDefault="00DC287A" w:rsidP="00DC287A">
      <w:pPr>
        <w:spacing w:line="276" w:lineRule="auto"/>
        <w:rPr>
          <w:rFonts w:asciiTheme="minorHAnsi" w:hAnsiTheme="minorHAnsi" w:cstheme="minorHAnsi"/>
          <w:i/>
          <w:noProof/>
          <w:color w:val="auto"/>
          <w:sz w:val="18"/>
          <w:szCs w:val="18"/>
        </w:rPr>
      </w:pPr>
      <w:r w:rsidRPr="00B32922">
        <w:rPr>
          <w:rFonts w:asciiTheme="minorHAnsi" w:hAnsiTheme="minorHAnsi" w:cstheme="minorHAnsi"/>
          <w:i/>
          <w:noProof/>
          <w:color w:val="auto"/>
          <w:sz w:val="18"/>
          <w:szCs w:val="18"/>
        </w:rPr>
        <w:t>Izvor: Ministarstvo finansija</w:t>
      </w:r>
    </w:p>
    <w:p w:rsidR="00B32922" w:rsidRPr="00B32922" w:rsidRDefault="00B32922" w:rsidP="00B32922">
      <w:pPr>
        <w:autoSpaceDE w:val="0"/>
        <w:autoSpaceDN w:val="0"/>
        <w:adjustRightInd w:val="0"/>
        <w:spacing w:line="276" w:lineRule="auto"/>
        <w:ind w:left="720"/>
        <w:contextualSpacing/>
        <w:jc w:val="left"/>
        <w:rPr>
          <w:rFonts w:ascii="Calibri" w:hAnsi="Calibri" w:cstheme="minorHAnsi"/>
          <w:color w:val="auto"/>
          <w:sz w:val="22"/>
          <w:szCs w:val="22"/>
          <w:lang w:val="pl-PL"/>
        </w:rPr>
      </w:pPr>
    </w:p>
    <w:p w:rsidR="00FF160D" w:rsidRPr="002D7B53" w:rsidRDefault="00FF160D" w:rsidP="00FF160D">
      <w:pPr>
        <w:spacing w:line="276" w:lineRule="auto"/>
        <w:rPr>
          <w:rFonts w:ascii="Calibri" w:hAnsi="Calibri" w:cstheme="minorHAnsi"/>
          <w:color w:val="auto"/>
          <w:sz w:val="22"/>
          <w:szCs w:val="22"/>
          <w:lang w:val="pl-PL"/>
        </w:rPr>
      </w:pPr>
      <w:r w:rsidRPr="002D7B53">
        <w:rPr>
          <w:rFonts w:ascii="Calibri" w:hAnsi="Calibri" w:cstheme="minorHAnsi"/>
          <w:color w:val="auto"/>
          <w:sz w:val="22"/>
          <w:szCs w:val="22"/>
          <w:lang w:val="pl-PL"/>
        </w:rPr>
        <w:t>U realizaciji razvojnih mjera i projekata, Crna Gora će se oslanjati na:</w:t>
      </w:r>
    </w:p>
    <w:p w:rsidR="00FF160D" w:rsidRPr="002D7B53" w:rsidRDefault="00FF160D" w:rsidP="00FF160D">
      <w:pPr>
        <w:autoSpaceDE w:val="0"/>
        <w:autoSpaceDN w:val="0"/>
        <w:adjustRightInd w:val="0"/>
        <w:spacing w:line="276" w:lineRule="auto"/>
        <w:rPr>
          <w:rFonts w:ascii="Calibri" w:hAnsi="Calibri" w:cstheme="minorHAnsi"/>
          <w:color w:val="auto"/>
          <w:sz w:val="22"/>
          <w:szCs w:val="22"/>
          <w:lang w:val="pl-PL"/>
        </w:rPr>
      </w:pPr>
    </w:p>
    <w:p w:rsidR="00FF160D" w:rsidRPr="002D7B53" w:rsidRDefault="00FF160D" w:rsidP="00FF160D">
      <w:pPr>
        <w:pStyle w:val="ListParagraph"/>
        <w:numPr>
          <w:ilvl w:val="0"/>
          <w:numId w:val="1"/>
        </w:numPr>
        <w:autoSpaceDE w:val="0"/>
        <w:autoSpaceDN w:val="0"/>
        <w:adjustRightInd w:val="0"/>
        <w:spacing w:line="276" w:lineRule="auto"/>
        <w:rPr>
          <w:rFonts w:ascii="Calibri" w:hAnsi="Calibri" w:cstheme="minorHAnsi"/>
          <w:color w:val="auto"/>
          <w:sz w:val="22"/>
          <w:szCs w:val="22"/>
          <w:lang w:val="pl-PL"/>
        </w:rPr>
      </w:pPr>
      <w:r w:rsidRPr="002D7B53">
        <w:rPr>
          <w:rFonts w:ascii="Calibri" w:hAnsi="Calibri" w:cstheme="minorHAnsi"/>
          <w:color w:val="auto"/>
          <w:sz w:val="22"/>
          <w:szCs w:val="22"/>
          <w:lang w:val="pl-PL"/>
        </w:rPr>
        <w:t>privlačenje novih stranih direktnih investicija i njihovu kompatibilnost sa domaćim investicionim projektima;</w:t>
      </w:r>
    </w:p>
    <w:p w:rsidR="00FF160D" w:rsidRPr="002D7B53" w:rsidRDefault="00FF160D" w:rsidP="00FF160D">
      <w:pPr>
        <w:pStyle w:val="ListParagraph"/>
        <w:numPr>
          <w:ilvl w:val="0"/>
          <w:numId w:val="1"/>
        </w:numPr>
        <w:autoSpaceDE w:val="0"/>
        <w:autoSpaceDN w:val="0"/>
        <w:adjustRightInd w:val="0"/>
        <w:spacing w:line="276" w:lineRule="auto"/>
        <w:rPr>
          <w:rFonts w:ascii="Calibri" w:hAnsi="Calibri" w:cstheme="minorHAnsi"/>
          <w:color w:val="auto"/>
          <w:sz w:val="22"/>
          <w:szCs w:val="22"/>
          <w:lang w:val="pl-PL"/>
        </w:rPr>
      </w:pPr>
      <w:r w:rsidRPr="002D7B53">
        <w:rPr>
          <w:rFonts w:ascii="Calibri" w:hAnsi="Calibri" w:cstheme="minorHAnsi"/>
          <w:color w:val="auto"/>
          <w:sz w:val="22"/>
          <w:szCs w:val="22"/>
          <w:lang w:val="pl-PL"/>
        </w:rPr>
        <w:t>razvijanje formi javno- privatnog partnerstva;</w:t>
      </w:r>
    </w:p>
    <w:p w:rsidR="00FF160D" w:rsidRPr="002D7B53" w:rsidRDefault="00FF160D" w:rsidP="00FF160D">
      <w:pPr>
        <w:pStyle w:val="ListParagraph"/>
        <w:numPr>
          <w:ilvl w:val="0"/>
          <w:numId w:val="1"/>
        </w:numPr>
        <w:autoSpaceDE w:val="0"/>
        <w:autoSpaceDN w:val="0"/>
        <w:adjustRightInd w:val="0"/>
        <w:spacing w:line="276" w:lineRule="auto"/>
        <w:rPr>
          <w:rFonts w:ascii="Calibri" w:hAnsi="Calibri" w:cstheme="minorHAnsi"/>
          <w:color w:val="auto"/>
          <w:sz w:val="22"/>
          <w:szCs w:val="22"/>
          <w:lang w:val="pl-PL"/>
        </w:rPr>
      </w:pPr>
      <w:r w:rsidRPr="002D7B53">
        <w:rPr>
          <w:rFonts w:ascii="Calibri" w:hAnsi="Calibri" w:cstheme="minorHAnsi"/>
          <w:color w:val="auto"/>
          <w:sz w:val="22"/>
          <w:szCs w:val="22"/>
          <w:lang w:val="pl-PL"/>
        </w:rPr>
        <w:t>fondove Evropske unije koji će joj biti dostupni u procesu integracija;</w:t>
      </w:r>
    </w:p>
    <w:p w:rsidR="00FF160D" w:rsidRPr="002D7B53" w:rsidRDefault="00FF160D" w:rsidP="00FF160D">
      <w:pPr>
        <w:pStyle w:val="ListParagraph"/>
        <w:numPr>
          <w:ilvl w:val="0"/>
          <w:numId w:val="1"/>
        </w:numPr>
        <w:autoSpaceDE w:val="0"/>
        <w:autoSpaceDN w:val="0"/>
        <w:adjustRightInd w:val="0"/>
        <w:spacing w:line="276" w:lineRule="auto"/>
        <w:rPr>
          <w:rFonts w:ascii="Calibri" w:hAnsi="Calibri" w:cstheme="minorHAnsi"/>
          <w:color w:val="auto"/>
          <w:sz w:val="22"/>
          <w:szCs w:val="22"/>
          <w:lang w:val="pl-PL"/>
        </w:rPr>
      </w:pPr>
      <w:r w:rsidRPr="002D7B53">
        <w:rPr>
          <w:rFonts w:ascii="Calibri" w:hAnsi="Calibri" w:cstheme="minorHAnsi"/>
          <w:color w:val="auto"/>
          <w:sz w:val="22"/>
          <w:szCs w:val="22"/>
          <w:lang w:val="pl-PL"/>
        </w:rPr>
        <w:t>povoljna kreditna zaduženja kod međunarodnih razvojnih institucija i</w:t>
      </w:r>
    </w:p>
    <w:p w:rsidR="00FF160D" w:rsidRPr="00D84B5B" w:rsidRDefault="00FF160D" w:rsidP="00D84B5B">
      <w:pPr>
        <w:pStyle w:val="ListParagraph"/>
        <w:numPr>
          <w:ilvl w:val="0"/>
          <w:numId w:val="1"/>
        </w:numPr>
        <w:autoSpaceDE w:val="0"/>
        <w:autoSpaceDN w:val="0"/>
        <w:adjustRightInd w:val="0"/>
        <w:spacing w:line="276" w:lineRule="auto"/>
        <w:rPr>
          <w:rFonts w:ascii="Calibri" w:hAnsi="Calibri" w:cstheme="minorHAnsi"/>
          <w:color w:val="auto"/>
          <w:sz w:val="22"/>
          <w:szCs w:val="22"/>
          <w:lang w:val="it-IT"/>
        </w:rPr>
      </w:pPr>
      <w:r w:rsidRPr="002D7B53">
        <w:rPr>
          <w:rFonts w:ascii="Calibri" w:hAnsi="Calibri" w:cstheme="minorHAnsi"/>
          <w:color w:val="auto"/>
          <w:sz w:val="22"/>
          <w:szCs w:val="22"/>
          <w:lang w:val="it-IT"/>
        </w:rPr>
        <w:t>sopstvene finansijske resurse.</w:t>
      </w:r>
    </w:p>
    <w:p w:rsidR="00C7698D" w:rsidRPr="001D76E3" w:rsidRDefault="00C7698D" w:rsidP="007C0116">
      <w:pPr>
        <w:pStyle w:val="Heading1"/>
      </w:pPr>
      <w:bookmarkStart w:id="1" w:name="_Toc484373007"/>
      <w:r w:rsidRPr="001D76E3">
        <w:t>Aktuelno stanje ekonomije-ključni izazovi</w:t>
      </w:r>
      <w:bookmarkEnd w:id="1"/>
    </w:p>
    <w:p w:rsidR="00FF160D" w:rsidRPr="007B3CA9" w:rsidRDefault="00FF160D" w:rsidP="0048511B">
      <w:pPr>
        <w:spacing w:line="276" w:lineRule="auto"/>
        <w:rPr>
          <w:rFonts w:asciiTheme="minorHAnsi" w:hAnsiTheme="minorHAnsi" w:cstheme="minorHAnsi"/>
          <w:sz w:val="22"/>
          <w:szCs w:val="22"/>
        </w:rPr>
      </w:pPr>
      <w:r w:rsidRPr="00FF160D">
        <w:rPr>
          <w:rFonts w:asciiTheme="minorHAnsi" w:hAnsiTheme="minorHAnsi" w:cstheme="minorHAnsi"/>
          <w:color w:val="auto"/>
          <w:sz w:val="22"/>
          <w:szCs w:val="22"/>
        </w:rPr>
        <w:t>Od obnove nezavisnosti, ostvaren je značajan napredak ekonomije, uz izražena ciklična kretanja po periodima. Prosječan realni rast bruto domaćeg proizvoda u periodu 2006-2016. godine iznosio je 3,2%.</w:t>
      </w:r>
      <w:r w:rsidR="007B3CA9">
        <w:rPr>
          <w:rFonts w:asciiTheme="minorHAnsi" w:hAnsiTheme="minorHAnsi" w:cstheme="minorHAnsi"/>
          <w:color w:val="auto"/>
          <w:sz w:val="22"/>
          <w:szCs w:val="22"/>
        </w:rPr>
        <w:t xml:space="preserve"> </w:t>
      </w:r>
      <w:r w:rsidR="007B3CA9" w:rsidRPr="00526D32">
        <w:rPr>
          <w:rFonts w:asciiTheme="minorHAnsi" w:hAnsiTheme="minorHAnsi" w:cstheme="minorHAnsi"/>
          <w:sz w:val="22"/>
          <w:szCs w:val="22"/>
        </w:rPr>
        <w:t xml:space="preserve">Pri tome, BDP per capita u 2016. godini iznosio je 6.060€ i veći je za 76% nego u 2006. godini. </w:t>
      </w:r>
      <w:r w:rsidR="007B3CA9">
        <w:rPr>
          <w:rFonts w:asciiTheme="minorHAnsi" w:hAnsiTheme="minorHAnsi" w:cstheme="minorHAnsi"/>
          <w:color w:val="auto"/>
          <w:sz w:val="22"/>
          <w:szCs w:val="22"/>
        </w:rPr>
        <w:t>U</w:t>
      </w:r>
      <w:r w:rsidRPr="00FF160D">
        <w:rPr>
          <w:rFonts w:asciiTheme="minorHAnsi" w:hAnsiTheme="minorHAnsi" w:cstheme="minorHAnsi"/>
          <w:color w:val="auto"/>
          <w:sz w:val="22"/>
          <w:szCs w:val="22"/>
        </w:rPr>
        <w:t>kupan neto priliv stranih direktnih investicija u posmatranom periodu iznosio je 5.754,4 mil.€</w:t>
      </w:r>
      <w:r w:rsidR="00B07277">
        <w:rPr>
          <w:rFonts w:asciiTheme="minorHAnsi" w:hAnsiTheme="minorHAnsi" w:cstheme="minorHAnsi"/>
          <w:color w:val="auto"/>
          <w:sz w:val="22"/>
          <w:szCs w:val="22"/>
        </w:rPr>
        <w:t xml:space="preserve"> ili oko 19% BDP.</w:t>
      </w:r>
      <w:r w:rsidR="007B3CA9" w:rsidRPr="007B3CA9">
        <w:rPr>
          <w:rFonts w:asciiTheme="minorHAnsi" w:hAnsiTheme="minorHAnsi" w:cstheme="minorHAnsi"/>
          <w:sz w:val="22"/>
          <w:szCs w:val="22"/>
        </w:rPr>
        <w:t xml:space="preserve"> </w:t>
      </w:r>
      <w:r w:rsidR="007B3CA9" w:rsidRPr="00526D32">
        <w:rPr>
          <w:rFonts w:asciiTheme="minorHAnsi" w:hAnsiTheme="minorHAnsi" w:cstheme="minorHAnsi"/>
          <w:sz w:val="22"/>
          <w:szCs w:val="22"/>
        </w:rPr>
        <w:t>Prihodi budžeta u 2016. godini iznosili su 1.486,5 mil.€ i u odnosu na 2006. godinu veći su za 73,0%, prosječna neto zarada povećana je sa 282€ u 2006. na 499€ u 2016. godini, a prosječna penzija sa 138€ na 284€.</w:t>
      </w:r>
      <w:r w:rsidR="007B3CA9">
        <w:rPr>
          <w:rFonts w:asciiTheme="minorHAnsi" w:hAnsiTheme="minorHAnsi" w:cstheme="minorHAnsi"/>
          <w:sz w:val="22"/>
          <w:szCs w:val="22"/>
        </w:rPr>
        <w:t xml:space="preserve"> Prosječan realni rasta zarada u posmatranom periodu je bio 33%.</w:t>
      </w:r>
    </w:p>
    <w:p w:rsidR="00FF160D" w:rsidRPr="0018642B" w:rsidRDefault="00FF160D" w:rsidP="0048511B">
      <w:pPr>
        <w:spacing w:line="276" w:lineRule="auto"/>
        <w:rPr>
          <w:rFonts w:asciiTheme="minorHAnsi" w:hAnsiTheme="minorHAnsi" w:cstheme="minorHAnsi"/>
          <w:sz w:val="22"/>
          <w:szCs w:val="22"/>
        </w:rPr>
      </w:pPr>
    </w:p>
    <w:p w:rsidR="00FF160D" w:rsidRPr="00526D32" w:rsidRDefault="00FF160D" w:rsidP="0048511B">
      <w:pPr>
        <w:spacing w:line="276" w:lineRule="auto"/>
        <w:rPr>
          <w:rFonts w:asciiTheme="minorHAnsi" w:hAnsiTheme="minorHAnsi" w:cstheme="minorHAnsi"/>
          <w:sz w:val="22"/>
          <w:szCs w:val="22"/>
        </w:rPr>
      </w:pPr>
      <w:r w:rsidRPr="00526D32">
        <w:rPr>
          <w:rFonts w:asciiTheme="minorHAnsi" w:hAnsiTheme="minorHAnsi" w:cstheme="minorHAnsi"/>
          <w:sz w:val="22"/>
          <w:szCs w:val="22"/>
        </w:rPr>
        <w:t>Bruto domaći proizvod, prema preliminarnim podacima, u 2016. u odnosu na 2015. godinu realno je veći za 2,5%. Najveći doprinos rastu imale su investicije i potrošnja domaćinstava, pri čemu je visoka uvozna zavisnost investicija umanjila očekivane efekte istih, a što se odrazilo i na stopu rasta BDP-a. Imajući vidu da kretanje crnogorske ekonomije u značajnoj mjeri opredjeljuje investiciona aktivnost, ključni izazov ekonomske politike je stvaranje stimulativnog poslovnog i investicionog ambijenta, kojim će se obezbijediti uslovi za povećanje ukupnih investicija, i u okviru njih green field investicija</w:t>
      </w:r>
      <w:r w:rsidR="00E36847">
        <w:rPr>
          <w:rFonts w:asciiTheme="minorHAnsi" w:hAnsiTheme="minorHAnsi" w:cstheme="minorHAnsi"/>
          <w:sz w:val="22"/>
          <w:szCs w:val="22"/>
        </w:rPr>
        <w:t>.</w:t>
      </w:r>
    </w:p>
    <w:p w:rsidR="00561734" w:rsidRDefault="00561734" w:rsidP="00561734">
      <w:pPr>
        <w:spacing w:line="276" w:lineRule="auto"/>
        <w:rPr>
          <w:rFonts w:asciiTheme="minorHAnsi" w:hAnsiTheme="minorHAnsi" w:cstheme="minorHAnsi"/>
          <w:noProof/>
          <w:color w:val="auto"/>
          <w:sz w:val="22"/>
          <w:szCs w:val="22"/>
        </w:rPr>
      </w:pPr>
    </w:p>
    <w:p w:rsidR="00032ADC" w:rsidRDefault="00032ADC" w:rsidP="0048511B">
      <w:pPr>
        <w:spacing w:line="276" w:lineRule="auto"/>
        <w:rPr>
          <w:rFonts w:asciiTheme="minorHAnsi" w:hAnsiTheme="minorHAnsi" w:cstheme="minorHAnsi"/>
          <w:noProof/>
          <w:color w:val="auto"/>
          <w:sz w:val="22"/>
          <w:szCs w:val="22"/>
        </w:rPr>
      </w:pPr>
      <w:r w:rsidRPr="00526D32">
        <w:rPr>
          <w:rFonts w:asciiTheme="minorHAnsi" w:hAnsiTheme="minorHAnsi" w:cstheme="minorHAnsi"/>
          <w:noProof/>
          <w:color w:val="auto"/>
          <w:sz w:val="22"/>
          <w:szCs w:val="22"/>
        </w:rPr>
        <w:t>Razvojni model, dominantno baziran na domaćoj potrošnji koju omogućava visok priliv direktnih stranih investicija, nije dovoljan za ostvarivanje dinamičnijeg ekonomskog rasta u narednom periodu. U cilju uspostavljanja d</w:t>
      </w:r>
      <w:r w:rsidR="000B05B1" w:rsidRPr="00526D32">
        <w:rPr>
          <w:rFonts w:asciiTheme="minorHAnsi" w:hAnsiTheme="minorHAnsi" w:cstheme="minorHAnsi"/>
          <w:noProof/>
          <w:color w:val="auto"/>
          <w:sz w:val="22"/>
          <w:szCs w:val="22"/>
        </w:rPr>
        <w:t>u</w:t>
      </w:r>
      <w:r w:rsidRPr="00526D32">
        <w:rPr>
          <w:rFonts w:asciiTheme="minorHAnsi" w:hAnsiTheme="minorHAnsi" w:cstheme="minorHAnsi"/>
          <w:noProof/>
          <w:color w:val="auto"/>
          <w:sz w:val="22"/>
          <w:szCs w:val="22"/>
        </w:rPr>
        <w:t xml:space="preserve">goročno stabilnog privrednog rasta, neophodno je sistemski proširiti proizvodnu i izvoznu bazu ekonomije. Tim prije, što su nezadovoljavajući obim proizvodnje, nizak stepen diverzifikacije, kao i nedovoljna konkurentnost domaćih proizvoda uslovili visoku uvozno zavisnost ekonomije, a što se odrazilo na pogoršanje eksterne pozicije zemlje. </w:t>
      </w:r>
      <w:r w:rsidR="007B3CA9">
        <w:rPr>
          <w:rFonts w:asciiTheme="minorHAnsi" w:hAnsiTheme="minorHAnsi" w:cstheme="minorHAnsi"/>
          <w:noProof/>
          <w:color w:val="auto"/>
          <w:sz w:val="22"/>
          <w:szCs w:val="22"/>
        </w:rPr>
        <w:t>Stoga je,</w:t>
      </w:r>
      <w:r w:rsidRPr="00526D32">
        <w:rPr>
          <w:rFonts w:asciiTheme="minorHAnsi" w:hAnsiTheme="minorHAnsi" w:cstheme="minorHAnsi"/>
          <w:noProof/>
          <w:color w:val="auto"/>
          <w:sz w:val="22"/>
          <w:szCs w:val="22"/>
        </w:rPr>
        <w:t xml:space="preserve"> smanjenje deficita platnog bi</w:t>
      </w:r>
      <w:r w:rsidR="00D84B5B">
        <w:rPr>
          <w:rFonts w:asciiTheme="minorHAnsi" w:hAnsiTheme="minorHAnsi" w:cstheme="minorHAnsi"/>
          <w:noProof/>
          <w:color w:val="auto"/>
          <w:sz w:val="22"/>
          <w:szCs w:val="22"/>
        </w:rPr>
        <w:t>lansa moguće</w:t>
      </w:r>
      <w:r w:rsidRPr="00526D32">
        <w:rPr>
          <w:rFonts w:asciiTheme="minorHAnsi" w:hAnsiTheme="minorHAnsi" w:cstheme="minorHAnsi"/>
          <w:noProof/>
          <w:color w:val="auto"/>
          <w:sz w:val="22"/>
          <w:szCs w:val="22"/>
        </w:rPr>
        <w:t xml:space="preserve"> ostvariti kroz stvaranje uslova za supstituciju uvoza i povećanje izvoza usluga, dominantno u sektoru turizma. S tim u vezi, u narednom periodu je neophodno obezbijediti povećanje industrijske proizvodnje, posebno prerađivačke, i iskoristiti značajan prirodni potencijal za proizvodnju hrane i energije.</w:t>
      </w:r>
    </w:p>
    <w:p w:rsidR="00032ADC" w:rsidRPr="00526D32" w:rsidRDefault="00032ADC" w:rsidP="0048511B">
      <w:pPr>
        <w:spacing w:line="276" w:lineRule="auto"/>
        <w:rPr>
          <w:rFonts w:asciiTheme="minorHAnsi" w:hAnsiTheme="minorHAnsi" w:cstheme="minorHAnsi"/>
          <w:noProof/>
          <w:sz w:val="22"/>
          <w:szCs w:val="22"/>
        </w:rPr>
      </w:pPr>
    </w:p>
    <w:p w:rsidR="006D1592" w:rsidRPr="00561734" w:rsidRDefault="0048511B" w:rsidP="0048511B">
      <w:pPr>
        <w:spacing w:line="276" w:lineRule="auto"/>
        <w:rPr>
          <w:rFonts w:asciiTheme="minorHAnsi" w:hAnsiTheme="minorHAnsi" w:cstheme="minorHAnsi"/>
          <w:noProof/>
          <w:color w:val="auto"/>
          <w:sz w:val="22"/>
          <w:szCs w:val="22"/>
        </w:rPr>
      </w:pPr>
      <w:r>
        <w:rPr>
          <w:rFonts w:asciiTheme="minorHAnsi" w:hAnsiTheme="minorHAnsi" w:cstheme="minorHAnsi"/>
          <w:noProof/>
          <w:color w:val="auto"/>
          <w:sz w:val="22"/>
          <w:szCs w:val="22"/>
        </w:rPr>
        <w:t>Makroekonomska s</w:t>
      </w:r>
      <w:r w:rsidR="00032ADC" w:rsidRPr="00526D32">
        <w:rPr>
          <w:rFonts w:asciiTheme="minorHAnsi" w:hAnsiTheme="minorHAnsi" w:cstheme="minorHAnsi"/>
          <w:noProof/>
          <w:color w:val="auto"/>
          <w:sz w:val="22"/>
          <w:szCs w:val="22"/>
        </w:rPr>
        <w:t xml:space="preserve">tabilnost predstavlja ključni izazov za Crnu Goru. </w:t>
      </w:r>
      <w:r w:rsidR="00E16368">
        <w:rPr>
          <w:rFonts w:asciiTheme="minorHAnsi" w:hAnsiTheme="minorHAnsi" w:cstheme="minorHAnsi"/>
          <w:noProof/>
          <w:color w:val="auto"/>
          <w:sz w:val="22"/>
          <w:szCs w:val="22"/>
        </w:rPr>
        <w:t>S tim u vezi, p</w:t>
      </w:r>
      <w:r w:rsidR="00032ADC" w:rsidRPr="00526D32">
        <w:rPr>
          <w:rFonts w:asciiTheme="minorHAnsi" w:eastAsiaTheme="minorHAnsi" w:hAnsiTheme="minorHAnsi" w:cstheme="minorHAnsi"/>
          <w:color w:val="auto"/>
          <w:sz w:val="22"/>
          <w:szCs w:val="22"/>
          <w:lang w:val="en-US"/>
        </w:rPr>
        <w:t>oseban</w:t>
      </w:r>
      <w:r w:rsidR="00032ADC" w:rsidRPr="00526D32">
        <w:rPr>
          <w:rFonts w:asciiTheme="minorHAnsi" w:eastAsiaTheme="minorHAnsi" w:hAnsiTheme="minorHAnsi" w:cstheme="minorHAnsi"/>
          <w:color w:val="auto"/>
          <w:sz w:val="22"/>
          <w:szCs w:val="22"/>
        </w:rPr>
        <w:t xml:space="preserve"> </w:t>
      </w:r>
      <w:r w:rsidR="00032ADC" w:rsidRPr="00526D32">
        <w:rPr>
          <w:rFonts w:asciiTheme="minorHAnsi" w:eastAsiaTheme="minorHAnsi" w:hAnsiTheme="minorHAnsi" w:cstheme="minorHAnsi"/>
          <w:color w:val="auto"/>
          <w:sz w:val="22"/>
          <w:szCs w:val="22"/>
          <w:lang w:val="en-US"/>
        </w:rPr>
        <w:t>izazov</w:t>
      </w:r>
      <w:r w:rsidR="00032ADC" w:rsidRPr="00526D32">
        <w:rPr>
          <w:rFonts w:asciiTheme="minorHAnsi" w:eastAsiaTheme="minorHAnsi" w:hAnsiTheme="minorHAnsi" w:cstheme="minorHAnsi"/>
          <w:color w:val="auto"/>
          <w:sz w:val="22"/>
          <w:szCs w:val="22"/>
        </w:rPr>
        <w:t xml:space="preserve">, </w:t>
      </w:r>
      <w:r w:rsidR="00032ADC" w:rsidRPr="00526D32">
        <w:rPr>
          <w:rFonts w:asciiTheme="minorHAnsi" w:eastAsiaTheme="minorHAnsi" w:hAnsiTheme="minorHAnsi" w:cstheme="minorHAnsi"/>
          <w:color w:val="auto"/>
          <w:sz w:val="22"/>
          <w:szCs w:val="22"/>
          <w:lang w:val="en-US"/>
        </w:rPr>
        <w:t>u</w:t>
      </w:r>
      <w:r w:rsidR="00032ADC" w:rsidRPr="00526D32">
        <w:rPr>
          <w:rFonts w:asciiTheme="minorHAnsi" w:eastAsiaTheme="minorHAnsi" w:hAnsiTheme="minorHAnsi" w:cstheme="minorHAnsi"/>
          <w:color w:val="auto"/>
          <w:sz w:val="22"/>
          <w:szCs w:val="22"/>
        </w:rPr>
        <w:t xml:space="preserve"> </w:t>
      </w:r>
      <w:r w:rsidR="00032ADC" w:rsidRPr="00526D32">
        <w:rPr>
          <w:rFonts w:asciiTheme="minorHAnsi" w:eastAsiaTheme="minorHAnsi" w:hAnsiTheme="minorHAnsi" w:cstheme="minorHAnsi"/>
          <w:color w:val="auto"/>
          <w:sz w:val="22"/>
          <w:szCs w:val="22"/>
          <w:lang w:val="en-US"/>
        </w:rPr>
        <w:t>narednom</w:t>
      </w:r>
      <w:r w:rsidR="00032ADC" w:rsidRPr="00526D32">
        <w:rPr>
          <w:rFonts w:asciiTheme="minorHAnsi" w:eastAsiaTheme="minorHAnsi" w:hAnsiTheme="minorHAnsi" w:cstheme="minorHAnsi"/>
          <w:color w:val="auto"/>
          <w:sz w:val="22"/>
          <w:szCs w:val="22"/>
        </w:rPr>
        <w:t xml:space="preserve"> </w:t>
      </w:r>
      <w:r w:rsidR="00032ADC" w:rsidRPr="00526D32">
        <w:rPr>
          <w:rFonts w:asciiTheme="minorHAnsi" w:eastAsiaTheme="minorHAnsi" w:hAnsiTheme="minorHAnsi" w:cstheme="minorHAnsi"/>
          <w:color w:val="auto"/>
          <w:sz w:val="22"/>
          <w:szCs w:val="22"/>
          <w:lang w:val="en-US"/>
        </w:rPr>
        <w:t>periodu</w:t>
      </w:r>
      <w:r w:rsidR="00032ADC" w:rsidRPr="00526D32">
        <w:rPr>
          <w:rFonts w:asciiTheme="minorHAnsi" w:eastAsiaTheme="minorHAnsi" w:hAnsiTheme="minorHAnsi" w:cstheme="minorHAnsi"/>
          <w:color w:val="auto"/>
          <w:sz w:val="22"/>
          <w:szCs w:val="22"/>
        </w:rPr>
        <w:t xml:space="preserve">, </w:t>
      </w:r>
      <w:r w:rsidR="00032ADC" w:rsidRPr="00526D32">
        <w:rPr>
          <w:rFonts w:asciiTheme="minorHAnsi" w:eastAsiaTheme="minorHAnsi" w:hAnsiTheme="minorHAnsi" w:cstheme="minorHAnsi"/>
          <w:color w:val="auto"/>
          <w:sz w:val="22"/>
          <w:szCs w:val="22"/>
          <w:lang w:val="en-US"/>
        </w:rPr>
        <w:t>predstavlja</w:t>
      </w:r>
      <w:r w:rsidR="00032ADC" w:rsidRPr="00526D32">
        <w:rPr>
          <w:rFonts w:asciiTheme="minorHAnsi" w:eastAsiaTheme="minorHAnsi" w:hAnsiTheme="minorHAnsi" w:cstheme="minorHAnsi"/>
          <w:color w:val="auto"/>
          <w:sz w:val="22"/>
          <w:szCs w:val="22"/>
        </w:rPr>
        <w:t xml:space="preserve"> </w:t>
      </w:r>
      <w:r w:rsidR="00032ADC" w:rsidRPr="00526D32">
        <w:rPr>
          <w:rFonts w:asciiTheme="minorHAnsi" w:hAnsiTheme="minorHAnsi" w:cstheme="minorHAnsi"/>
          <w:color w:val="auto"/>
          <w:sz w:val="22"/>
          <w:szCs w:val="22"/>
        </w:rPr>
        <w:t xml:space="preserve">uspostavljanje dugoročne fiskalne i finansijske stabilnosti. Neravnoteža javnih finansija, odnosno kretanje deficita i javnog duga, u najvećoj mjeri, uslovljena je </w:t>
      </w:r>
      <w:r w:rsidR="00032ADC" w:rsidRPr="00526D32">
        <w:rPr>
          <w:rFonts w:asciiTheme="minorHAnsi" w:hAnsiTheme="minorHAnsi" w:cstheme="minorHAnsi"/>
          <w:bCs/>
          <w:color w:val="auto"/>
          <w:sz w:val="22"/>
          <w:szCs w:val="22"/>
          <w:lang w:val="pl-PL"/>
        </w:rPr>
        <w:t>realizacijom Projekta izgradnje Autoputa</w:t>
      </w:r>
      <w:r w:rsidR="00032ADC" w:rsidRPr="00526D32">
        <w:rPr>
          <w:rFonts w:asciiTheme="minorHAnsi" w:eastAsiaTheme="minorHAnsi" w:hAnsiTheme="minorHAnsi" w:cstheme="minorHAnsi"/>
          <w:color w:val="auto"/>
          <w:sz w:val="22"/>
          <w:szCs w:val="22"/>
        </w:rPr>
        <w:t xml:space="preserve">. </w:t>
      </w:r>
      <w:r w:rsidR="00E16368">
        <w:rPr>
          <w:rFonts w:asciiTheme="minorHAnsi" w:hAnsiTheme="minorHAnsi" w:cstheme="minorHAnsi"/>
          <w:noProof/>
          <w:sz w:val="22"/>
          <w:szCs w:val="22"/>
        </w:rPr>
        <w:t>Istovremeno</w:t>
      </w:r>
      <w:r w:rsidR="00E16368" w:rsidRPr="00526D32">
        <w:rPr>
          <w:rFonts w:asciiTheme="minorHAnsi" w:hAnsiTheme="minorHAnsi" w:cstheme="minorHAnsi"/>
          <w:noProof/>
          <w:sz w:val="22"/>
          <w:szCs w:val="22"/>
        </w:rPr>
        <w:t>, značajan pritisak na javne finansije predstavlja implementacija zakonskih rješenja u dijelu zarada i socijalnih davanja.</w:t>
      </w:r>
      <w:r w:rsidR="00E16368">
        <w:rPr>
          <w:rFonts w:asciiTheme="minorHAnsi" w:hAnsiTheme="minorHAnsi" w:cstheme="minorHAnsi"/>
          <w:noProof/>
          <w:sz w:val="22"/>
          <w:szCs w:val="22"/>
        </w:rPr>
        <w:t xml:space="preserve"> Pri tome, zbog </w:t>
      </w:r>
      <w:r w:rsidR="00E16368" w:rsidRPr="00484A74">
        <w:rPr>
          <w:rFonts w:asciiTheme="minorHAnsi" w:hAnsiTheme="minorHAnsi" w:cstheme="minorHAnsi"/>
          <w:noProof/>
          <w:sz w:val="22"/>
          <w:szCs w:val="22"/>
        </w:rPr>
        <w:t>promijenjene dinamike realizacije projekta Autoputa, što je uslovilo nižu kapitalnu potrošnju u 2016. od planirane, d</w:t>
      </w:r>
      <w:r w:rsidR="00032ADC" w:rsidRPr="00484A74">
        <w:rPr>
          <w:rFonts w:asciiTheme="minorHAnsi" w:hAnsiTheme="minorHAnsi" w:cstheme="minorHAnsi"/>
          <w:noProof/>
          <w:sz w:val="22"/>
          <w:szCs w:val="22"/>
        </w:rPr>
        <w:t xml:space="preserve">eficit centralnog budžeta </w:t>
      </w:r>
      <w:r w:rsidR="00E16368" w:rsidRPr="00484A74">
        <w:rPr>
          <w:rFonts w:asciiTheme="minorHAnsi" w:hAnsiTheme="minorHAnsi" w:cstheme="minorHAnsi"/>
          <w:noProof/>
          <w:sz w:val="22"/>
          <w:szCs w:val="22"/>
        </w:rPr>
        <w:t xml:space="preserve">je </w:t>
      </w:r>
      <w:r w:rsidR="00032ADC" w:rsidRPr="00484A74">
        <w:rPr>
          <w:rFonts w:asciiTheme="minorHAnsi" w:hAnsiTheme="minorHAnsi" w:cstheme="minorHAnsi"/>
          <w:noProof/>
          <w:sz w:val="22"/>
          <w:szCs w:val="22"/>
        </w:rPr>
        <w:t xml:space="preserve">iznosio 129,4 mil.€ ili 3,4% BDP-a, i manji je za </w:t>
      </w:r>
      <w:r>
        <w:rPr>
          <w:rFonts w:asciiTheme="minorHAnsi" w:hAnsiTheme="minorHAnsi" w:cstheme="minorHAnsi"/>
          <w:noProof/>
          <w:sz w:val="22"/>
          <w:szCs w:val="22"/>
        </w:rPr>
        <w:t xml:space="preserve">2,2 puta </w:t>
      </w:r>
      <w:r w:rsidR="00032ADC" w:rsidRPr="00484A74">
        <w:rPr>
          <w:rFonts w:asciiTheme="minorHAnsi" w:hAnsiTheme="minorHAnsi" w:cstheme="minorHAnsi"/>
          <w:noProof/>
          <w:sz w:val="22"/>
          <w:szCs w:val="22"/>
        </w:rPr>
        <w:t xml:space="preserve">u odnosu na 2015. godinu. </w:t>
      </w:r>
      <w:r w:rsidR="006F7275" w:rsidRPr="006F7275">
        <w:rPr>
          <w:rFonts w:asciiTheme="minorHAnsi" w:hAnsiTheme="minorHAnsi" w:cstheme="minorHAnsi"/>
          <w:noProof/>
          <w:color w:val="auto"/>
          <w:sz w:val="22"/>
          <w:szCs w:val="22"/>
        </w:rPr>
        <w:t>Javni dug je, na dan 31.12.2016. godine, iznosio 2.546,05 mil. €, odnosno 67,5% BDP-a, što je u odnosu na 2015 više za 127,2 mil.€ ili 5,3%.</w:t>
      </w:r>
    </w:p>
    <w:p w:rsidR="006D1592" w:rsidRDefault="006D1592" w:rsidP="0048511B">
      <w:pPr>
        <w:spacing w:line="276" w:lineRule="auto"/>
        <w:rPr>
          <w:rFonts w:asciiTheme="minorHAnsi" w:hAnsiTheme="minorHAnsi" w:cstheme="minorHAnsi"/>
          <w:sz w:val="22"/>
          <w:szCs w:val="22"/>
        </w:rPr>
      </w:pPr>
    </w:p>
    <w:p w:rsidR="006D1592" w:rsidRPr="000635E1" w:rsidRDefault="006D1592" w:rsidP="0048511B">
      <w:pPr>
        <w:spacing w:line="276" w:lineRule="auto"/>
        <w:rPr>
          <w:rFonts w:asciiTheme="minorHAnsi" w:hAnsiTheme="minorHAnsi" w:cstheme="minorHAnsi"/>
          <w:sz w:val="22"/>
          <w:szCs w:val="22"/>
        </w:rPr>
      </w:pPr>
      <w:r w:rsidRPr="000635E1">
        <w:rPr>
          <w:rFonts w:asciiTheme="minorHAnsi" w:hAnsiTheme="minorHAnsi" w:cstheme="minorHAnsi"/>
          <w:sz w:val="22"/>
          <w:szCs w:val="22"/>
        </w:rPr>
        <w:t xml:space="preserve">Državni dug Crne Gore, na dan 31. decembar 2016. godine, iznosio je 2.402,96 mil.€ ili 63,7 % procijenjenog BDP-a, dok je javni dug iznosio 2.546,05 mil.€ ili 67,5 % BDP-a. </w:t>
      </w:r>
      <w:r>
        <w:rPr>
          <w:rFonts w:asciiTheme="minorHAnsi" w:hAnsiTheme="minorHAnsi" w:cstheme="minorHAnsi"/>
          <w:sz w:val="22"/>
          <w:szCs w:val="22"/>
        </w:rPr>
        <w:t>Ukupan</w:t>
      </w:r>
      <w:r w:rsidRPr="000635E1">
        <w:rPr>
          <w:rFonts w:asciiTheme="minorHAnsi" w:hAnsiTheme="minorHAnsi" w:cstheme="minorHAnsi"/>
          <w:sz w:val="22"/>
          <w:szCs w:val="22"/>
        </w:rPr>
        <w:t xml:space="preserve"> javn</w:t>
      </w:r>
      <w:r>
        <w:rPr>
          <w:rFonts w:asciiTheme="minorHAnsi" w:hAnsiTheme="minorHAnsi" w:cstheme="minorHAnsi"/>
          <w:sz w:val="22"/>
          <w:szCs w:val="22"/>
        </w:rPr>
        <w:t>i</w:t>
      </w:r>
      <w:r w:rsidRPr="000635E1">
        <w:rPr>
          <w:rFonts w:asciiTheme="minorHAnsi" w:hAnsiTheme="minorHAnsi" w:cstheme="minorHAnsi"/>
          <w:sz w:val="22"/>
          <w:szCs w:val="22"/>
        </w:rPr>
        <w:t xml:space="preserve"> dug čine unutrašnji dug u iznosu od 400,2 mil.€, spoljni dug u iznosu od 2.002,8 mil.€ i dug lokalne samouprave u iznosu od 143,1 mil.€. Neto javni dug Crne Gore na kraju 2016. godine, uzimajući u obzir stanje depozita od 47,36 mil.€, iznosio je </w:t>
      </w:r>
      <w:r w:rsidRPr="000635E1">
        <w:rPr>
          <w:rFonts w:asciiTheme="minorHAnsi" w:hAnsiTheme="minorHAnsi" w:cstheme="minorHAnsi"/>
          <w:color w:val="auto"/>
          <w:sz w:val="22"/>
          <w:szCs w:val="22"/>
        </w:rPr>
        <w:t>2.498,69 mil.€ ili 66,23%</w:t>
      </w:r>
      <w:r w:rsidRPr="000635E1">
        <w:rPr>
          <w:rFonts w:asciiTheme="minorHAnsi" w:hAnsiTheme="minorHAnsi" w:cstheme="minorHAnsi"/>
          <w:sz w:val="22"/>
          <w:szCs w:val="22"/>
        </w:rPr>
        <w:t xml:space="preserve"> BDP-a. U 2016. godini, došlo je do rasta ukupnog javnog duga, u odnosu na prethodnu godinu, u iznosu od oko 127,0 mil.€. </w:t>
      </w:r>
      <w:r w:rsidRPr="006F7275">
        <w:rPr>
          <w:rFonts w:asciiTheme="minorHAnsi" w:hAnsiTheme="minorHAnsi" w:cstheme="minorHAnsi"/>
          <w:sz w:val="22"/>
          <w:szCs w:val="22"/>
        </w:rPr>
        <w:t xml:space="preserve">Povećanje duga, u najvećoj mjeri, </w:t>
      </w:r>
      <w:r w:rsidR="0048511B" w:rsidRPr="006F7275">
        <w:rPr>
          <w:rFonts w:asciiTheme="minorHAnsi" w:hAnsiTheme="minorHAnsi" w:cstheme="minorHAnsi"/>
          <w:sz w:val="22"/>
          <w:szCs w:val="22"/>
        </w:rPr>
        <w:t>uslovljeno</w:t>
      </w:r>
      <w:r w:rsidRPr="006F7275">
        <w:rPr>
          <w:rFonts w:asciiTheme="minorHAnsi" w:hAnsiTheme="minorHAnsi" w:cstheme="minorHAnsi"/>
          <w:sz w:val="22"/>
          <w:szCs w:val="22"/>
        </w:rPr>
        <w:t xml:space="preserve"> je emisijom euroobveznica na međunarodnom i domaćem tržištu, u iznosu od 300,0 mil.€ i 80,41 mil.€, dok je otplata duga iznosila oko 533,0 mil.€.</w:t>
      </w:r>
      <w:r w:rsidRPr="006F7275">
        <w:rPr>
          <w:rFonts w:asciiTheme="minorHAnsi" w:hAnsiTheme="minorHAnsi" w:cstheme="minorHAnsi"/>
          <w:sz w:val="22"/>
          <w:szCs w:val="22"/>
          <w:vertAlign w:val="superscript"/>
        </w:rPr>
        <w:footnoteReference w:id="3"/>
      </w:r>
      <w:r w:rsidR="0048511B">
        <w:rPr>
          <w:rFonts w:asciiTheme="minorHAnsi" w:hAnsiTheme="minorHAnsi" w:cstheme="minorHAnsi"/>
          <w:sz w:val="22"/>
          <w:szCs w:val="22"/>
        </w:rPr>
        <w:t xml:space="preserve"> </w:t>
      </w:r>
    </w:p>
    <w:p w:rsidR="006D1592" w:rsidRPr="000635E1" w:rsidRDefault="006D1592" w:rsidP="0048511B">
      <w:pPr>
        <w:spacing w:line="276" w:lineRule="auto"/>
        <w:rPr>
          <w:rFonts w:asciiTheme="minorHAnsi" w:hAnsiTheme="minorHAnsi" w:cstheme="minorHAnsi"/>
          <w:sz w:val="22"/>
          <w:szCs w:val="22"/>
        </w:rPr>
      </w:pPr>
    </w:p>
    <w:p w:rsidR="006D1592" w:rsidRPr="000635E1" w:rsidRDefault="006D1592" w:rsidP="0048511B">
      <w:pPr>
        <w:spacing w:line="276" w:lineRule="auto"/>
        <w:rPr>
          <w:rFonts w:asciiTheme="minorHAnsi" w:hAnsiTheme="minorHAnsi" w:cstheme="minorHAnsi"/>
          <w:sz w:val="22"/>
          <w:szCs w:val="22"/>
        </w:rPr>
      </w:pPr>
      <w:r>
        <w:rPr>
          <w:rFonts w:asciiTheme="minorHAnsi" w:hAnsiTheme="minorHAnsi" w:cstheme="minorHAnsi"/>
          <w:sz w:val="22"/>
          <w:szCs w:val="22"/>
        </w:rPr>
        <w:t>U</w:t>
      </w:r>
      <w:r w:rsidRPr="000635E1">
        <w:rPr>
          <w:rFonts w:asciiTheme="minorHAnsi" w:hAnsiTheme="minorHAnsi" w:cstheme="minorHAnsi"/>
          <w:sz w:val="22"/>
          <w:szCs w:val="22"/>
        </w:rPr>
        <w:t>kupno izdate državne garancije</w:t>
      </w:r>
      <w:r>
        <w:rPr>
          <w:rFonts w:asciiTheme="minorHAnsi" w:hAnsiTheme="minorHAnsi" w:cstheme="minorHAnsi"/>
          <w:sz w:val="22"/>
          <w:szCs w:val="22"/>
        </w:rPr>
        <w:t>,</w:t>
      </w:r>
      <w:r w:rsidRPr="000635E1">
        <w:rPr>
          <w:rFonts w:asciiTheme="minorHAnsi" w:hAnsiTheme="minorHAnsi" w:cstheme="minorHAnsi"/>
          <w:sz w:val="22"/>
          <w:szCs w:val="22"/>
        </w:rPr>
        <w:t xml:space="preserve"> </w:t>
      </w:r>
      <w:r>
        <w:rPr>
          <w:rFonts w:asciiTheme="minorHAnsi" w:hAnsiTheme="minorHAnsi" w:cstheme="minorHAnsi"/>
          <w:sz w:val="22"/>
          <w:szCs w:val="22"/>
        </w:rPr>
        <w:t>n</w:t>
      </w:r>
      <w:r w:rsidRPr="000635E1">
        <w:rPr>
          <w:rFonts w:asciiTheme="minorHAnsi" w:hAnsiTheme="minorHAnsi" w:cstheme="minorHAnsi"/>
          <w:sz w:val="22"/>
          <w:szCs w:val="22"/>
        </w:rPr>
        <w:t>a dan 31. decembar 2016. godine, iznosile su oko 590,0 mil.€, od čega su angažovana sredstva u iznosu od oko 494,0 mil.€. Po osnovu izdatih garancija, domaćim i ino kreditorima, stanje duga na kraju 2016. godine, iznosi 344,9 mil.€ ili 9,1% BDP-a, od čega se iznos od 293,92 mil.€ odnosi na ino garancije, dok je stanje duga po osnovu domaćih garancija 50,98 mil.€.</w:t>
      </w:r>
    </w:p>
    <w:p w:rsidR="006D1592" w:rsidRPr="000635E1" w:rsidRDefault="006D1592" w:rsidP="0048511B">
      <w:pPr>
        <w:spacing w:line="276" w:lineRule="auto"/>
        <w:rPr>
          <w:rFonts w:asciiTheme="minorHAnsi" w:hAnsiTheme="minorHAnsi" w:cstheme="minorHAnsi"/>
          <w:sz w:val="22"/>
          <w:szCs w:val="22"/>
        </w:rPr>
      </w:pPr>
    </w:p>
    <w:p w:rsidR="006D1592" w:rsidRPr="000635E1" w:rsidRDefault="006D1592" w:rsidP="0048511B">
      <w:pPr>
        <w:spacing w:line="276" w:lineRule="auto"/>
        <w:rPr>
          <w:rFonts w:asciiTheme="minorHAnsi" w:eastAsia="Calibri" w:hAnsiTheme="minorHAnsi" w:cstheme="minorHAnsi"/>
          <w:bCs/>
          <w:sz w:val="22"/>
          <w:szCs w:val="22"/>
        </w:rPr>
      </w:pPr>
      <w:r w:rsidRPr="000635E1">
        <w:rPr>
          <w:rFonts w:asciiTheme="minorHAnsi" w:hAnsiTheme="minorHAnsi" w:cstheme="minorHAnsi"/>
          <w:sz w:val="22"/>
          <w:szCs w:val="22"/>
        </w:rPr>
        <w:t>U 2016. godini nije bilo izdavanja novih i aktiviranja postojećih garancija. Garancije koje su izdate u prethodnom periodu, uglavnom su predstavljale podršku kompanijama za realizaciju sanacionih planova lokalnih samouprava, za implementaciju raznih infrastrukturnih projekata, kao i razvoj malih i srednjih preduzeća i restrukturiranje.</w:t>
      </w:r>
      <w:r w:rsidR="00484A74">
        <w:rPr>
          <w:rFonts w:asciiTheme="minorHAnsi" w:hAnsiTheme="minorHAnsi" w:cstheme="minorHAnsi"/>
          <w:sz w:val="22"/>
          <w:szCs w:val="22"/>
        </w:rPr>
        <w:t xml:space="preserve"> </w:t>
      </w:r>
    </w:p>
    <w:p w:rsidR="0048511B" w:rsidRDefault="0048511B" w:rsidP="0048511B">
      <w:pPr>
        <w:spacing w:line="276" w:lineRule="auto"/>
        <w:rPr>
          <w:rFonts w:asciiTheme="minorHAnsi" w:hAnsiTheme="minorHAnsi" w:cstheme="minorHAnsi"/>
          <w:bCs/>
          <w:color w:val="auto"/>
          <w:sz w:val="22"/>
          <w:szCs w:val="22"/>
          <w:lang w:val="pl-PL"/>
        </w:rPr>
      </w:pPr>
    </w:p>
    <w:p w:rsidR="00032ADC" w:rsidRPr="00526D32" w:rsidRDefault="00032ADC" w:rsidP="0048511B">
      <w:pPr>
        <w:spacing w:line="276" w:lineRule="auto"/>
        <w:rPr>
          <w:rFonts w:asciiTheme="minorHAnsi" w:hAnsiTheme="minorHAnsi" w:cstheme="minorHAnsi"/>
          <w:noProof/>
          <w:sz w:val="22"/>
          <w:szCs w:val="22"/>
        </w:rPr>
      </w:pPr>
      <w:r w:rsidRPr="00526D32">
        <w:rPr>
          <w:rFonts w:asciiTheme="minorHAnsi" w:hAnsiTheme="minorHAnsi" w:cstheme="minorHAnsi"/>
          <w:bCs/>
          <w:color w:val="auto"/>
          <w:sz w:val="22"/>
          <w:szCs w:val="22"/>
          <w:lang w:val="pl-PL"/>
        </w:rPr>
        <w:t xml:space="preserve">Kako bi se deficit </w:t>
      </w:r>
      <w:r w:rsidR="00E16368">
        <w:rPr>
          <w:rFonts w:asciiTheme="minorHAnsi" w:hAnsiTheme="minorHAnsi" w:cstheme="minorHAnsi"/>
          <w:bCs/>
          <w:color w:val="auto"/>
          <w:sz w:val="22"/>
          <w:szCs w:val="22"/>
          <w:lang w:val="pl-PL"/>
        </w:rPr>
        <w:t>budžeta</w:t>
      </w:r>
      <w:r w:rsidRPr="00526D32">
        <w:rPr>
          <w:rFonts w:asciiTheme="minorHAnsi" w:hAnsiTheme="minorHAnsi" w:cstheme="minorHAnsi"/>
          <w:bCs/>
          <w:color w:val="auto"/>
          <w:sz w:val="22"/>
          <w:szCs w:val="22"/>
          <w:lang w:val="pl-PL"/>
        </w:rPr>
        <w:t xml:space="preserve"> i javn</w:t>
      </w:r>
      <w:r w:rsidR="00E16368">
        <w:rPr>
          <w:rFonts w:asciiTheme="minorHAnsi" w:hAnsiTheme="minorHAnsi" w:cstheme="minorHAnsi"/>
          <w:bCs/>
          <w:color w:val="auto"/>
          <w:sz w:val="22"/>
          <w:szCs w:val="22"/>
          <w:lang w:val="pl-PL"/>
        </w:rPr>
        <w:t>i dug</w:t>
      </w:r>
      <w:r w:rsidRPr="00526D32">
        <w:rPr>
          <w:rFonts w:asciiTheme="minorHAnsi" w:hAnsiTheme="minorHAnsi" w:cstheme="minorHAnsi"/>
          <w:bCs/>
          <w:color w:val="auto"/>
          <w:sz w:val="22"/>
          <w:szCs w:val="22"/>
          <w:lang w:val="pl-PL"/>
        </w:rPr>
        <w:t xml:space="preserve"> svel</w:t>
      </w:r>
      <w:r w:rsidR="00E16368">
        <w:rPr>
          <w:rFonts w:asciiTheme="minorHAnsi" w:hAnsiTheme="minorHAnsi" w:cstheme="minorHAnsi"/>
          <w:bCs/>
          <w:color w:val="auto"/>
          <w:sz w:val="22"/>
          <w:szCs w:val="22"/>
          <w:lang w:val="pl-PL"/>
        </w:rPr>
        <w:t>i</w:t>
      </w:r>
      <w:r w:rsidRPr="00526D32">
        <w:rPr>
          <w:rFonts w:asciiTheme="minorHAnsi" w:hAnsiTheme="minorHAnsi" w:cstheme="minorHAnsi"/>
          <w:bCs/>
          <w:color w:val="auto"/>
          <w:sz w:val="22"/>
          <w:szCs w:val="22"/>
          <w:lang w:val="pl-PL"/>
        </w:rPr>
        <w:t xml:space="preserve"> na nivo utvrđen kriterijumima iz Mastrihta neophodno je</w:t>
      </w:r>
      <w:r w:rsidR="0048511B">
        <w:rPr>
          <w:rFonts w:asciiTheme="minorHAnsi" w:hAnsiTheme="minorHAnsi" w:cstheme="minorHAnsi"/>
          <w:bCs/>
          <w:color w:val="auto"/>
          <w:sz w:val="22"/>
          <w:szCs w:val="22"/>
          <w:lang w:val="pl-PL"/>
        </w:rPr>
        <w:t>, uz već</w:t>
      </w:r>
      <w:r w:rsidRPr="00526D32">
        <w:rPr>
          <w:rFonts w:asciiTheme="minorHAnsi" w:hAnsiTheme="minorHAnsi" w:cstheme="minorHAnsi"/>
          <w:color w:val="auto"/>
          <w:sz w:val="22"/>
          <w:szCs w:val="22"/>
        </w:rPr>
        <w:t xml:space="preserve"> utvrđene mjere definisane Planom sanacije, utvrditi dodatne mjere u pravcu povećanja prihoda i smanjenja troškova.</w:t>
      </w:r>
    </w:p>
    <w:p w:rsidR="003775DE" w:rsidRPr="00071A61" w:rsidRDefault="003775DE" w:rsidP="0048511B">
      <w:pPr>
        <w:spacing w:line="276" w:lineRule="auto"/>
        <w:rPr>
          <w:rFonts w:asciiTheme="minorHAnsi" w:eastAsia="Calibri" w:hAnsiTheme="minorHAnsi" w:cstheme="minorHAnsi"/>
          <w:sz w:val="22"/>
          <w:szCs w:val="22"/>
          <w:lang w:val="pl-PL"/>
        </w:rPr>
      </w:pPr>
    </w:p>
    <w:p w:rsidR="00032ADC" w:rsidRPr="00561734" w:rsidRDefault="00032ADC" w:rsidP="0048511B">
      <w:pPr>
        <w:spacing w:line="276" w:lineRule="auto"/>
        <w:rPr>
          <w:rFonts w:asciiTheme="minorHAnsi" w:eastAsia="Calibri" w:hAnsiTheme="minorHAnsi" w:cstheme="minorHAnsi"/>
          <w:b/>
          <w:color w:val="auto"/>
          <w:sz w:val="22"/>
          <w:szCs w:val="22"/>
        </w:rPr>
      </w:pPr>
      <w:r w:rsidRPr="006F7275">
        <w:rPr>
          <w:rFonts w:asciiTheme="minorHAnsi" w:eastAsia="Calibri" w:hAnsiTheme="minorHAnsi" w:cstheme="minorHAnsi"/>
          <w:sz w:val="22"/>
          <w:szCs w:val="22"/>
          <w:lang w:val="de-DE"/>
        </w:rPr>
        <w:t>Finansijski sistem</w:t>
      </w:r>
      <w:r w:rsidRPr="00526D32">
        <w:rPr>
          <w:rFonts w:asciiTheme="minorHAnsi" w:hAnsiTheme="minorHAnsi" w:cstheme="minorHAnsi"/>
          <w:sz w:val="22"/>
          <w:szCs w:val="22"/>
        </w:rPr>
        <w:t xml:space="preserve"> je stabilan, ali je još uvijek prisutan umjereni sistemski rizik. Pri tome, bankarski sistem, kao dominantan dio finansijskog sistema u Crnoj Gori, karakteriše stabilnost i kontinuirani rast depozita. Likvidnost i solventnost su poboljšani i značajno su iznad zakonom propisanog minimuma. U 2016, u odnosu na prethodnu godinu, gotovo sve pozicije iz bilansa banaka </w:t>
      </w:r>
      <w:r w:rsidR="0048511B">
        <w:rPr>
          <w:rFonts w:asciiTheme="minorHAnsi" w:hAnsiTheme="minorHAnsi" w:cstheme="minorHAnsi"/>
          <w:sz w:val="22"/>
          <w:szCs w:val="22"/>
        </w:rPr>
        <w:t>su povećane</w:t>
      </w:r>
      <w:r w:rsidRPr="00526D32">
        <w:rPr>
          <w:rFonts w:asciiTheme="minorHAnsi" w:hAnsiTheme="minorHAnsi" w:cstheme="minorHAnsi"/>
          <w:sz w:val="22"/>
          <w:szCs w:val="22"/>
        </w:rPr>
        <w:t>: ukupna aktiva, depoziti, krediti i kapital.</w:t>
      </w:r>
      <w:r w:rsidRPr="00526D32">
        <w:rPr>
          <w:rFonts w:asciiTheme="minorHAnsi" w:hAnsiTheme="minorHAnsi" w:cstheme="minorHAnsi"/>
          <w:noProof/>
          <w:color w:val="auto"/>
          <w:sz w:val="22"/>
          <w:szCs w:val="22"/>
        </w:rPr>
        <w:t xml:space="preserve"> Visok nivo nekvalitetnih kredita, još uvijek visoke kamatne stope, i pored izražene tendencije pada, kao i nedovoljna kreditna aktivnost banaka su potencijalni izvor rizika za </w:t>
      </w:r>
      <w:r w:rsidR="0048511B">
        <w:rPr>
          <w:rFonts w:asciiTheme="minorHAnsi" w:hAnsiTheme="minorHAnsi" w:cstheme="minorHAnsi"/>
          <w:noProof/>
          <w:color w:val="auto"/>
          <w:sz w:val="22"/>
          <w:szCs w:val="22"/>
        </w:rPr>
        <w:t xml:space="preserve">realni i </w:t>
      </w:r>
      <w:r w:rsidRPr="00526D32">
        <w:rPr>
          <w:rFonts w:asciiTheme="minorHAnsi" w:hAnsiTheme="minorHAnsi" w:cstheme="minorHAnsi"/>
          <w:noProof/>
          <w:color w:val="auto"/>
          <w:sz w:val="22"/>
          <w:szCs w:val="22"/>
        </w:rPr>
        <w:t>bankarski sektor u narednom periodu</w:t>
      </w:r>
      <w:r w:rsidR="0048511B">
        <w:rPr>
          <w:rFonts w:asciiTheme="minorHAnsi" w:hAnsiTheme="minorHAnsi" w:cstheme="minorHAnsi"/>
          <w:noProof/>
          <w:color w:val="auto"/>
          <w:sz w:val="22"/>
          <w:szCs w:val="22"/>
        </w:rPr>
        <w:t>.</w:t>
      </w:r>
    </w:p>
    <w:p w:rsidR="00032ADC" w:rsidRPr="00526D32" w:rsidRDefault="00032ADC" w:rsidP="0048511B">
      <w:pPr>
        <w:spacing w:line="276" w:lineRule="auto"/>
        <w:rPr>
          <w:rFonts w:asciiTheme="minorHAnsi" w:hAnsiTheme="minorHAnsi" w:cstheme="minorHAnsi"/>
          <w:noProof/>
          <w:color w:val="auto"/>
          <w:sz w:val="22"/>
          <w:szCs w:val="22"/>
        </w:rPr>
      </w:pPr>
    </w:p>
    <w:p w:rsidR="00032ADC" w:rsidRDefault="00032ADC" w:rsidP="0048511B">
      <w:pPr>
        <w:spacing w:line="276" w:lineRule="auto"/>
        <w:rPr>
          <w:rFonts w:asciiTheme="minorHAnsi" w:hAnsiTheme="minorHAnsi" w:cstheme="minorHAnsi"/>
          <w:noProof/>
          <w:sz w:val="22"/>
          <w:szCs w:val="22"/>
        </w:rPr>
      </w:pPr>
      <w:r w:rsidRPr="00526D32">
        <w:rPr>
          <w:rFonts w:asciiTheme="minorHAnsi" w:hAnsiTheme="minorHAnsi" w:cstheme="minorHAnsi"/>
          <w:noProof/>
          <w:sz w:val="22"/>
          <w:szCs w:val="22"/>
        </w:rPr>
        <w:t xml:space="preserve">Tržište rada karakteriše nedovoljna aktivnost radne snage, niska zaposlenost, visoka nezaposlenost, posebno </w:t>
      </w:r>
      <w:r w:rsidRPr="00526D32">
        <w:rPr>
          <w:rFonts w:asciiTheme="minorHAnsi" w:eastAsia="CalibriLight" w:hAnsiTheme="minorHAnsi" w:cstheme="minorHAnsi"/>
          <w:color w:val="auto"/>
          <w:sz w:val="22"/>
          <w:szCs w:val="22"/>
          <w:lang w:val="en-US"/>
        </w:rPr>
        <w:t>mladih</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w:t>
      </w:r>
      <w:r w:rsidRPr="00526D32">
        <w:rPr>
          <w:rFonts w:asciiTheme="minorHAnsi" w:eastAsia="CalibriLight" w:hAnsiTheme="minorHAnsi" w:cstheme="minorHAnsi"/>
          <w:color w:val="auto"/>
          <w:sz w:val="22"/>
          <w:szCs w:val="22"/>
        </w:rPr>
        <w:t xml:space="preserve"> ž</w:t>
      </w:r>
      <w:r w:rsidRPr="00526D32">
        <w:rPr>
          <w:rFonts w:asciiTheme="minorHAnsi" w:eastAsia="CalibriLight" w:hAnsiTheme="minorHAnsi" w:cstheme="minorHAnsi"/>
          <w:color w:val="auto"/>
          <w:sz w:val="22"/>
          <w:szCs w:val="22"/>
          <w:lang w:val="en-US"/>
        </w:rPr>
        <w:t>ena</w:t>
      </w:r>
      <w:r w:rsidRPr="00071A61">
        <w:rPr>
          <w:rFonts w:asciiTheme="minorHAnsi" w:eastAsia="CalibriLight" w:hAnsiTheme="minorHAnsi" w:cstheme="minorHAnsi"/>
          <w:color w:val="auto"/>
          <w:sz w:val="22"/>
          <w:szCs w:val="22"/>
        </w:rPr>
        <w:t>,</w:t>
      </w:r>
      <w:r w:rsidRPr="00526D32">
        <w:rPr>
          <w:rFonts w:asciiTheme="minorHAnsi" w:hAnsiTheme="minorHAnsi" w:cstheme="minorHAnsi"/>
          <w:noProof/>
          <w:sz w:val="22"/>
          <w:szCs w:val="22"/>
        </w:rPr>
        <w:t xml:space="preserve"> </w:t>
      </w:r>
      <w:r w:rsidRPr="00526D32">
        <w:rPr>
          <w:rFonts w:asciiTheme="minorHAnsi" w:eastAsia="CalibriLight" w:hAnsiTheme="minorHAnsi" w:cstheme="minorHAnsi"/>
          <w:color w:val="auto"/>
          <w:sz w:val="22"/>
          <w:szCs w:val="22"/>
        </w:rPr>
        <w:t>š</w:t>
      </w:r>
      <w:r w:rsidRPr="00526D32">
        <w:rPr>
          <w:rFonts w:asciiTheme="minorHAnsi" w:eastAsia="CalibriLight" w:hAnsiTheme="minorHAnsi" w:cstheme="minorHAnsi"/>
          <w:color w:val="auto"/>
          <w:sz w:val="22"/>
          <w:szCs w:val="22"/>
          <w:lang w:val="en-US"/>
        </w:rPr>
        <w:t>to</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izme</w:t>
      </w:r>
      <w:r w:rsidRPr="00071A61">
        <w:rPr>
          <w:rFonts w:asciiTheme="minorHAnsi" w:eastAsia="CalibriLight" w:hAnsiTheme="minorHAnsi" w:cstheme="minorHAnsi"/>
          <w:color w:val="auto"/>
          <w:sz w:val="22"/>
          <w:szCs w:val="22"/>
        </w:rPr>
        <w:t>đ</w:t>
      </w: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ostalog</w:t>
      </w:r>
      <w:r w:rsidRPr="00071A61">
        <w:rPr>
          <w:rFonts w:asciiTheme="minorHAnsi" w:eastAsia="CalibriLight" w:hAnsiTheme="minorHAnsi" w:cstheme="minorHAnsi"/>
          <w:color w:val="auto"/>
          <w:sz w:val="22"/>
          <w:szCs w:val="22"/>
        </w:rPr>
        <w:t>,</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posljedica</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nedovoljne</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fleksibilnosti</w:t>
      </w:r>
      <w:r w:rsidRPr="00526D32">
        <w:rPr>
          <w:rFonts w:asciiTheme="minorHAnsi" w:eastAsia="CalibriLight" w:hAnsiTheme="minorHAnsi" w:cstheme="minorHAnsi"/>
          <w:color w:val="auto"/>
          <w:sz w:val="22"/>
          <w:szCs w:val="22"/>
        </w:rPr>
        <w:t xml:space="preserve"> </w:t>
      </w:r>
      <w:r w:rsidR="0048511B">
        <w:rPr>
          <w:rFonts w:asciiTheme="minorHAnsi" w:eastAsia="CalibriLight" w:hAnsiTheme="minorHAnsi" w:cstheme="minorHAnsi"/>
          <w:color w:val="auto"/>
          <w:sz w:val="22"/>
          <w:szCs w:val="22"/>
        </w:rPr>
        <w:t xml:space="preserve">na </w:t>
      </w:r>
      <w:r w:rsidRPr="00526D32">
        <w:rPr>
          <w:rFonts w:asciiTheme="minorHAnsi" w:eastAsia="CalibriLight" w:hAnsiTheme="minorHAnsi" w:cstheme="minorHAnsi"/>
          <w:color w:val="auto"/>
          <w:sz w:val="22"/>
          <w:szCs w:val="22"/>
          <w:lang w:val="en-US"/>
        </w:rPr>
        <w:t>tr</w:t>
      </w:r>
      <w:r w:rsidRPr="00526D32">
        <w:rPr>
          <w:rFonts w:asciiTheme="minorHAnsi" w:eastAsia="CalibriLight" w:hAnsiTheme="minorHAnsi" w:cstheme="minorHAnsi"/>
          <w:color w:val="auto"/>
          <w:sz w:val="22"/>
          <w:szCs w:val="22"/>
        </w:rPr>
        <w:t>ž</w:t>
      </w:r>
      <w:r w:rsidRPr="00526D32">
        <w:rPr>
          <w:rFonts w:asciiTheme="minorHAnsi" w:eastAsia="CalibriLight" w:hAnsiTheme="minorHAnsi" w:cstheme="minorHAnsi"/>
          <w:color w:val="auto"/>
          <w:sz w:val="22"/>
          <w:szCs w:val="22"/>
          <w:lang w:val="en-US"/>
        </w:rPr>
        <w:t>i</w:t>
      </w:r>
      <w:r w:rsidRPr="00526D32">
        <w:rPr>
          <w:rFonts w:asciiTheme="minorHAnsi" w:eastAsia="CalibriLight" w:hAnsiTheme="minorHAnsi" w:cstheme="minorHAnsi"/>
          <w:color w:val="auto"/>
          <w:sz w:val="22"/>
          <w:szCs w:val="22"/>
        </w:rPr>
        <w:t>š</w:t>
      </w:r>
      <w:r w:rsidRPr="00526D32">
        <w:rPr>
          <w:rFonts w:asciiTheme="minorHAnsi" w:eastAsia="CalibriLight" w:hAnsiTheme="minorHAnsi" w:cstheme="minorHAnsi"/>
          <w:color w:val="auto"/>
          <w:sz w:val="22"/>
          <w:szCs w:val="22"/>
          <w:lang w:val="en-US"/>
        </w:rPr>
        <w:t>t</w:t>
      </w:r>
      <w:r w:rsidR="0048511B">
        <w:rPr>
          <w:rFonts w:asciiTheme="minorHAnsi" w:eastAsia="CalibriLight" w:hAnsiTheme="minorHAnsi" w:cstheme="minorHAnsi"/>
          <w:color w:val="auto"/>
          <w:sz w:val="22"/>
          <w:szCs w:val="22"/>
          <w:lang w:val="en-US"/>
        </w:rPr>
        <w:t>u</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rada</w:t>
      </w:r>
      <w:r w:rsidRPr="00526D32">
        <w:rPr>
          <w:rFonts w:asciiTheme="minorHAnsi" w:hAnsiTheme="minorHAnsi" w:cstheme="minorHAnsi"/>
          <w:noProof/>
          <w:sz w:val="22"/>
          <w:szCs w:val="22"/>
        </w:rPr>
        <w:t xml:space="preserve">. Stopa nezaposlenosti </w:t>
      </w:r>
      <w:r w:rsidR="00D84B5B">
        <w:rPr>
          <w:rFonts w:asciiTheme="minorHAnsi" w:hAnsiTheme="minorHAnsi" w:cstheme="minorHAnsi"/>
          <w:noProof/>
          <w:sz w:val="22"/>
          <w:szCs w:val="22"/>
        </w:rPr>
        <w:t>na kraju 2016. iznosila je 21,1</w:t>
      </w:r>
      <w:r w:rsidRPr="00526D32">
        <w:rPr>
          <w:rFonts w:asciiTheme="minorHAnsi" w:hAnsiTheme="minorHAnsi" w:cstheme="minorHAnsi"/>
          <w:noProof/>
          <w:sz w:val="22"/>
          <w:szCs w:val="22"/>
        </w:rPr>
        <w:t>%, dok je stopa nezaposlenosti mladih, od 15-24 godin</w:t>
      </w:r>
      <w:r w:rsidR="0048511B">
        <w:rPr>
          <w:rFonts w:asciiTheme="minorHAnsi" w:hAnsiTheme="minorHAnsi" w:cstheme="minorHAnsi"/>
          <w:noProof/>
          <w:sz w:val="22"/>
          <w:szCs w:val="22"/>
        </w:rPr>
        <w:t>e</w:t>
      </w:r>
      <w:r w:rsidRPr="00526D32">
        <w:rPr>
          <w:rFonts w:asciiTheme="minorHAnsi" w:hAnsiTheme="minorHAnsi" w:cstheme="minorHAnsi"/>
          <w:noProof/>
          <w:sz w:val="22"/>
          <w:szCs w:val="22"/>
        </w:rPr>
        <w:t xml:space="preserve"> starosti, iznosila 35,9%. Kao posljedica strukturne nezaposlenosti, odnosno nedovoljne ponude određenih zanimanja</w:t>
      </w:r>
      <w:r w:rsidR="0048511B">
        <w:rPr>
          <w:rFonts w:asciiTheme="minorHAnsi" w:hAnsiTheme="minorHAnsi" w:cstheme="minorHAnsi"/>
          <w:noProof/>
          <w:sz w:val="22"/>
          <w:szCs w:val="22"/>
        </w:rPr>
        <w:t>,</w:t>
      </w:r>
      <w:r w:rsidRPr="00526D32">
        <w:rPr>
          <w:rFonts w:asciiTheme="minorHAnsi" w:hAnsiTheme="minorHAnsi" w:cstheme="minorHAnsi"/>
          <w:noProof/>
          <w:sz w:val="22"/>
          <w:szCs w:val="22"/>
        </w:rPr>
        <w:t xml:space="preserve"> prvenstveno </w:t>
      </w:r>
      <w:r w:rsidR="0048511B" w:rsidRPr="00526D32">
        <w:rPr>
          <w:rFonts w:asciiTheme="minorHAnsi" w:hAnsiTheme="minorHAnsi" w:cstheme="minorHAnsi"/>
          <w:noProof/>
          <w:sz w:val="22"/>
          <w:szCs w:val="22"/>
        </w:rPr>
        <w:t xml:space="preserve">potrebnih </w:t>
      </w:r>
      <w:r w:rsidRPr="00526D32">
        <w:rPr>
          <w:rFonts w:asciiTheme="minorHAnsi" w:hAnsiTheme="minorHAnsi" w:cstheme="minorHAnsi"/>
          <w:noProof/>
          <w:sz w:val="22"/>
          <w:szCs w:val="22"/>
        </w:rPr>
        <w:t>za sektore građevinarstva i turizma, izraženo je zapošljavanje strane radne snage, što ukazuje na ograničen efekat investicija na zaposlenost i ne doprinosi povećanju stope zaposlenosti. Za nastavak orijentacije zemlje u smjeru diverzifikacije ekonomije i izvozne ekspanzije, biće potrebne dalje promjene</w:t>
      </w:r>
      <w:r w:rsidR="00E16368">
        <w:rPr>
          <w:rFonts w:asciiTheme="minorHAnsi" w:hAnsiTheme="minorHAnsi" w:cstheme="minorHAnsi"/>
          <w:noProof/>
          <w:sz w:val="22"/>
          <w:szCs w:val="22"/>
        </w:rPr>
        <w:t>,</w:t>
      </w:r>
      <w:r w:rsidRPr="00526D32">
        <w:rPr>
          <w:rFonts w:asciiTheme="minorHAnsi" w:hAnsiTheme="minorHAnsi" w:cstheme="minorHAnsi"/>
          <w:noProof/>
          <w:sz w:val="22"/>
          <w:szCs w:val="22"/>
        </w:rPr>
        <w:t xml:space="preserve"> kako u samom sistemu obrazovanja</w:t>
      </w:r>
      <w:r w:rsidR="00E16368">
        <w:rPr>
          <w:rFonts w:asciiTheme="minorHAnsi" w:hAnsiTheme="minorHAnsi" w:cstheme="minorHAnsi"/>
          <w:noProof/>
          <w:sz w:val="22"/>
          <w:szCs w:val="22"/>
        </w:rPr>
        <w:t>,</w:t>
      </w:r>
      <w:r w:rsidRPr="00526D32">
        <w:rPr>
          <w:rFonts w:asciiTheme="minorHAnsi" w:hAnsiTheme="minorHAnsi" w:cstheme="minorHAnsi"/>
          <w:noProof/>
          <w:sz w:val="22"/>
          <w:szCs w:val="22"/>
        </w:rPr>
        <w:t xml:space="preserve"> tako i u preferencijama studenata odnosno učenika.</w:t>
      </w:r>
    </w:p>
    <w:p w:rsidR="00786EB0" w:rsidRPr="00526D32" w:rsidRDefault="00786EB0" w:rsidP="0048511B">
      <w:pPr>
        <w:spacing w:line="276" w:lineRule="auto"/>
        <w:rPr>
          <w:rFonts w:asciiTheme="minorHAnsi" w:hAnsiTheme="minorHAnsi" w:cstheme="minorHAnsi"/>
          <w:noProof/>
          <w:sz w:val="22"/>
          <w:szCs w:val="22"/>
        </w:rPr>
      </w:pPr>
    </w:p>
    <w:p w:rsidR="00032ADC" w:rsidRPr="00526D32" w:rsidRDefault="00032ADC" w:rsidP="0048511B">
      <w:pPr>
        <w:spacing w:line="276" w:lineRule="auto"/>
        <w:rPr>
          <w:rFonts w:asciiTheme="minorHAnsi" w:hAnsiTheme="minorHAnsi" w:cstheme="minorHAnsi"/>
          <w:noProof/>
          <w:sz w:val="22"/>
          <w:szCs w:val="22"/>
        </w:rPr>
      </w:pPr>
      <w:r w:rsidRPr="00526D32">
        <w:rPr>
          <w:rFonts w:asciiTheme="minorHAnsi" w:hAnsiTheme="minorHAnsi" w:cstheme="minorHAnsi"/>
          <w:noProof/>
          <w:sz w:val="22"/>
          <w:szCs w:val="22"/>
        </w:rPr>
        <w:t>Smanijvanju razlika u razvijenosti između pojedinih regiona zemlje i boljoj povezanosti sa zemljama u okruženju i EU doprinijeće poboljšanje fizičke infrastrukture, prije svega, u oblastima saobraćaja i energetike. U tom smislu, izgradnja nove saobraćajne infrastrukture je od ključnog značaja za jačanje interne kohezije u zemlji. Kvalitetna saobraćajna povezanost sa sjeverom zemlje, preduslov je bržeg razvoja ovog regiona, posebno u oblastima turizma i poljoprivrede, a time povećanja privrednog rasta zemlje kao cjeline.</w:t>
      </w:r>
    </w:p>
    <w:p w:rsidR="00A54F79" w:rsidRPr="0016488D" w:rsidRDefault="00A54F79" w:rsidP="007C0116">
      <w:pPr>
        <w:pStyle w:val="Heading1"/>
      </w:pPr>
      <w:bookmarkStart w:id="2" w:name="_Toc484373008"/>
      <w:r w:rsidRPr="0016488D">
        <w:t>Mjere ekonomske politike</w:t>
      </w:r>
      <w:bookmarkEnd w:id="2"/>
    </w:p>
    <w:p w:rsidR="00A54F79" w:rsidRPr="00484A74" w:rsidRDefault="00A54F79" w:rsidP="0048511B">
      <w:pPr>
        <w:autoSpaceDE w:val="0"/>
        <w:autoSpaceDN w:val="0"/>
        <w:adjustRightInd w:val="0"/>
        <w:spacing w:line="276" w:lineRule="auto"/>
        <w:jc w:val="left"/>
        <w:rPr>
          <w:rFonts w:asciiTheme="minorHAnsi" w:hAnsiTheme="minorHAnsi" w:cstheme="minorHAnsi"/>
          <w:color w:val="auto"/>
          <w:sz w:val="22"/>
          <w:szCs w:val="22"/>
          <w:lang w:val="pl-PL"/>
        </w:rPr>
      </w:pPr>
    </w:p>
    <w:p w:rsidR="00032ADC" w:rsidRPr="00484A74" w:rsidRDefault="00032ADC" w:rsidP="0048511B">
      <w:pPr>
        <w:autoSpaceDE w:val="0"/>
        <w:autoSpaceDN w:val="0"/>
        <w:adjustRightInd w:val="0"/>
        <w:spacing w:line="276" w:lineRule="auto"/>
        <w:rPr>
          <w:rFonts w:ascii="Calibri" w:hAnsi="Calibri" w:cstheme="minorHAnsi"/>
          <w:sz w:val="22"/>
          <w:szCs w:val="22"/>
        </w:rPr>
      </w:pPr>
      <w:r w:rsidRPr="00484A74">
        <w:rPr>
          <w:rFonts w:ascii="Calibri" w:eastAsiaTheme="minorHAnsi" w:hAnsi="Calibri" w:cstheme="minorHAnsi"/>
          <w:color w:val="auto"/>
          <w:sz w:val="22"/>
          <w:szCs w:val="22"/>
          <w:lang w:val="pl-PL"/>
        </w:rPr>
        <w:t>Polazeći od strateškog cilja ekonomske politike sa jedne</w:t>
      </w:r>
      <w:r w:rsidR="0048511B">
        <w:rPr>
          <w:rFonts w:ascii="Calibri" w:eastAsiaTheme="minorHAnsi" w:hAnsi="Calibri" w:cstheme="minorHAnsi"/>
          <w:color w:val="auto"/>
          <w:sz w:val="22"/>
          <w:szCs w:val="22"/>
          <w:lang w:val="pl-PL"/>
        </w:rPr>
        <w:t>,</w:t>
      </w:r>
      <w:r w:rsidRPr="00484A74">
        <w:rPr>
          <w:rFonts w:ascii="Calibri" w:eastAsiaTheme="minorHAnsi" w:hAnsi="Calibri" w:cstheme="minorHAnsi"/>
          <w:color w:val="auto"/>
          <w:sz w:val="22"/>
          <w:szCs w:val="22"/>
          <w:lang w:val="pl-PL"/>
        </w:rPr>
        <w:t xml:space="preserve"> i izazova koji stoje pred Vladom Crne Gore sa druge strane, fokus ekonomske politike u narednom periodu biće uspostavljanje održivosti javnih finansija, uz jačanje privredne aktivnosti i konkurentnosti crnogorske ekonomije. Ovo je moguće ostvariti realizacijom </w:t>
      </w:r>
      <w:r w:rsidRPr="00484A74">
        <w:rPr>
          <w:rFonts w:ascii="Calibri" w:hAnsi="Calibri" w:cstheme="minorHAnsi"/>
          <w:sz w:val="22"/>
          <w:szCs w:val="22"/>
        </w:rPr>
        <w:t xml:space="preserve">mjere ekonomske politike, koje se odnose na jačanje makroekonomske stabilnosti zemlje, posebno konsolidaciju javnih finansija, kao i mjere za povećanje stabilnosti finansijskog sektora. Istovremeno, </w:t>
      </w:r>
      <w:r w:rsidRPr="00484A74">
        <w:rPr>
          <w:rFonts w:ascii="Calibri" w:eastAsiaTheme="minorHAnsi" w:hAnsi="Calibri" w:cstheme="minorHAnsi"/>
          <w:color w:val="auto"/>
          <w:sz w:val="22"/>
          <w:szCs w:val="22"/>
          <w:lang w:val="en-US"/>
        </w:rPr>
        <w:t>primjenom</w:t>
      </w:r>
      <w:r w:rsidRPr="00071A61">
        <w:rPr>
          <w:rFonts w:ascii="Calibri" w:eastAsiaTheme="minorHAnsi" w:hAnsi="Calibri" w:cstheme="minorHAnsi"/>
          <w:color w:val="auto"/>
          <w:sz w:val="22"/>
          <w:szCs w:val="22"/>
        </w:rPr>
        <w:t xml:space="preserve"> </w:t>
      </w:r>
      <w:r w:rsidRPr="00484A74">
        <w:rPr>
          <w:rFonts w:ascii="Calibri" w:eastAsiaTheme="minorHAnsi" w:hAnsi="Calibri" w:cstheme="minorHAnsi"/>
          <w:color w:val="auto"/>
          <w:sz w:val="22"/>
          <w:szCs w:val="22"/>
          <w:lang w:val="en-US"/>
        </w:rPr>
        <w:t>strukturnih</w:t>
      </w:r>
      <w:r w:rsidRPr="00071A61">
        <w:rPr>
          <w:rFonts w:ascii="Calibri" w:eastAsiaTheme="minorHAnsi" w:hAnsi="Calibri" w:cstheme="minorHAnsi"/>
          <w:color w:val="auto"/>
          <w:sz w:val="22"/>
          <w:szCs w:val="22"/>
        </w:rPr>
        <w:t xml:space="preserve"> </w:t>
      </w:r>
      <w:r w:rsidRPr="00484A74">
        <w:rPr>
          <w:rFonts w:ascii="Calibri" w:eastAsiaTheme="minorHAnsi" w:hAnsi="Calibri" w:cstheme="minorHAnsi"/>
          <w:color w:val="auto"/>
          <w:sz w:val="22"/>
          <w:szCs w:val="22"/>
          <w:lang w:val="en-US"/>
        </w:rPr>
        <w:t>reformi</w:t>
      </w:r>
      <w:r w:rsidRPr="00071A61">
        <w:rPr>
          <w:rFonts w:ascii="Calibri" w:eastAsiaTheme="minorHAnsi" w:hAnsi="Calibri" w:cstheme="minorHAnsi"/>
          <w:color w:val="auto"/>
          <w:sz w:val="22"/>
          <w:szCs w:val="22"/>
        </w:rPr>
        <w:t xml:space="preserve"> </w:t>
      </w:r>
      <w:r w:rsidRPr="00484A74">
        <w:rPr>
          <w:rFonts w:ascii="Calibri" w:eastAsiaTheme="minorHAnsi" w:hAnsi="Calibri" w:cstheme="minorHAnsi"/>
          <w:color w:val="auto"/>
          <w:sz w:val="22"/>
          <w:szCs w:val="22"/>
          <w:lang w:val="en-US"/>
        </w:rPr>
        <w:t>i</w:t>
      </w:r>
      <w:r w:rsidRPr="00071A61">
        <w:rPr>
          <w:rFonts w:ascii="Calibri" w:eastAsiaTheme="minorHAnsi" w:hAnsi="Calibri" w:cstheme="minorHAnsi"/>
          <w:color w:val="auto"/>
          <w:sz w:val="22"/>
          <w:szCs w:val="22"/>
        </w:rPr>
        <w:t xml:space="preserve"> </w:t>
      </w:r>
      <w:r w:rsidRPr="00484A74">
        <w:rPr>
          <w:rFonts w:ascii="Calibri" w:eastAsiaTheme="minorHAnsi" w:hAnsi="Calibri" w:cstheme="minorHAnsi"/>
          <w:color w:val="auto"/>
          <w:sz w:val="22"/>
          <w:szCs w:val="22"/>
          <w:lang w:val="en-US"/>
        </w:rPr>
        <w:t>realizacijom</w:t>
      </w:r>
      <w:r w:rsidRPr="00071A61">
        <w:rPr>
          <w:rFonts w:ascii="Calibri" w:eastAsiaTheme="minorHAnsi" w:hAnsi="Calibri" w:cstheme="minorHAnsi"/>
          <w:color w:val="auto"/>
          <w:sz w:val="22"/>
          <w:szCs w:val="22"/>
        </w:rPr>
        <w:t xml:space="preserve"> </w:t>
      </w:r>
      <w:r w:rsidRPr="00484A74">
        <w:rPr>
          <w:rFonts w:ascii="Calibri" w:eastAsiaTheme="minorHAnsi" w:hAnsi="Calibri" w:cstheme="minorHAnsi"/>
          <w:color w:val="auto"/>
          <w:sz w:val="22"/>
          <w:szCs w:val="22"/>
          <w:lang w:val="en-US"/>
        </w:rPr>
        <w:t>kapitalnih</w:t>
      </w:r>
      <w:r w:rsidRPr="00071A61">
        <w:rPr>
          <w:rFonts w:ascii="Calibri" w:eastAsiaTheme="minorHAnsi" w:hAnsi="Calibri" w:cstheme="minorHAnsi"/>
          <w:color w:val="auto"/>
          <w:sz w:val="22"/>
          <w:szCs w:val="22"/>
        </w:rPr>
        <w:t xml:space="preserve"> </w:t>
      </w:r>
      <w:r w:rsidRPr="00484A74">
        <w:rPr>
          <w:rFonts w:ascii="Calibri" w:eastAsiaTheme="minorHAnsi" w:hAnsi="Calibri" w:cstheme="minorHAnsi"/>
          <w:color w:val="auto"/>
          <w:sz w:val="22"/>
          <w:szCs w:val="22"/>
          <w:lang w:val="en-US"/>
        </w:rPr>
        <w:t>projekata</w:t>
      </w:r>
      <w:r w:rsidRPr="00484A74">
        <w:rPr>
          <w:rFonts w:ascii="Calibri" w:eastAsiaTheme="minorHAnsi" w:hAnsi="Calibri" w:cstheme="minorHAnsi"/>
          <w:color w:val="auto"/>
          <w:sz w:val="22"/>
          <w:szCs w:val="22"/>
        </w:rPr>
        <w:t xml:space="preserve">, </w:t>
      </w:r>
      <w:r w:rsidRPr="00484A74">
        <w:rPr>
          <w:rFonts w:ascii="Calibri" w:eastAsiaTheme="minorHAnsi" w:hAnsi="Calibri" w:cstheme="minorHAnsi"/>
          <w:color w:val="auto"/>
          <w:sz w:val="22"/>
          <w:szCs w:val="22"/>
          <w:lang w:val="en-US"/>
        </w:rPr>
        <w:t>prije</w:t>
      </w:r>
      <w:r w:rsidRPr="00071A61">
        <w:rPr>
          <w:rFonts w:ascii="Calibri" w:eastAsiaTheme="minorHAnsi" w:hAnsi="Calibri" w:cstheme="minorHAnsi"/>
          <w:color w:val="auto"/>
          <w:sz w:val="22"/>
          <w:szCs w:val="22"/>
        </w:rPr>
        <w:t xml:space="preserve"> </w:t>
      </w:r>
      <w:r w:rsidRPr="00484A74">
        <w:rPr>
          <w:rFonts w:ascii="Calibri" w:eastAsiaTheme="minorHAnsi" w:hAnsi="Calibri" w:cstheme="minorHAnsi"/>
          <w:color w:val="auto"/>
          <w:sz w:val="22"/>
          <w:szCs w:val="22"/>
          <w:lang w:val="en-US"/>
        </w:rPr>
        <w:t>svega</w:t>
      </w:r>
      <w:r w:rsidRPr="00484A74">
        <w:rPr>
          <w:rFonts w:ascii="Calibri" w:eastAsiaTheme="minorHAnsi" w:hAnsi="Calibri" w:cstheme="minorHAnsi"/>
          <w:color w:val="auto"/>
          <w:sz w:val="22"/>
          <w:szCs w:val="22"/>
        </w:rPr>
        <w:t xml:space="preserve">, </w:t>
      </w:r>
      <w:r w:rsidRPr="00484A74">
        <w:rPr>
          <w:rFonts w:ascii="Calibri" w:eastAsiaTheme="minorHAnsi" w:hAnsi="Calibri" w:cstheme="minorHAnsi"/>
          <w:color w:val="auto"/>
          <w:sz w:val="22"/>
          <w:szCs w:val="22"/>
          <w:lang w:val="en-US"/>
        </w:rPr>
        <w:t>u</w:t>
      </w:r>
      <w:r w:rsidRPr="00071A61">
        <w:rPr>
          <w:rFonts w:ascii="Calibri" w:eastAsiaTheme="minorHAnsi" w:hAnsi="Calibri" w:cstheme="minorHAnsi"/>
          <w:color w:val="auto"/>
          <w:sz w:val="22"/>
          <w:szCs w:val="22"/>
        </w:rPr>
        <w:t xml:space="preserve"> </w:t>
      </w:r>
      <w:r w:rsidRPr="00484A74">
        <w:rPr>
          <w:rFonts w:ascii="Calibri" w:eastAsiaTheme="minorHAnsi" w:hAnsi="Calibri" w:cstheme="minorHAnsi"/>
          <w:color w:val="auto"/>
          <w:sz w:val="22"/>
          <w:szCs w:val="22"/>
          <w:lang w:val="en-US"/>
        </w:rPr>
        <w:t>prioritetnim</w:t>
      </w:r>
      <w:r w:rsidRPr="00071A61">
        <w:rPr>
          <w:rFonts w:ascii="Calibri" w:eastAsiaTheme="minorHAnsi" w:hAnsi="Calibri" w:cstheme="minorHAnsi"/>
          <w:color w:val="auto"/>
          <w:sz w:val="22"/>
          <w:szCs w:val="22"/>
        </w:rPr>
        <w:t xml:space="preserve"> </w:t>
      </w:r>
      <w:r w:rsidRPr="00484A74">
        <w:rPr>
          <w:rFonts w:ascii="Calibri" w:eastAsiaTheme="minorHAnsi" w:hAnsi="Calibri" w:cstheme="minorHAnsi"/>
          <w:color w:val="auto"/>
          <w:sz w:val="22"/>
          <w:szCs w:val="22"/>
          <w:lang w:val="en-US"/>
        </w:rPr>
        <w:t>sektorima</w:t>
      </w:r>
      <w:r w:rsidRPr="00071A61">
        <w:rPr>
          <w:rFonts w:ascii="Calibri" w:eastAsiaTheme="minorHAnsi" w:hAnsi="Calibri" w:cstheme="minorHAnsi"/>
          <w:color w:val="auto"/>
          <w:sz w:val="22"/>
          <w:szCs w:val="22"/>
        </w:rPr>
        <w:t xml:space="preserve"> </w:t>
      </w:r>
      <w:r w:rsidRPr="00484A74">
        <w:rPr>
          <w:rFonts w:ascii="Calibri" w:eastAsiaTheme="minorHAnsi" w:hAnsi="Calibri" w:cstheme="minorHAnsi"/>
          <w:color w:val="auto"/>
          <w:sz w:val="22"/>
          <w:szCs w:val="22"/>
          <w:lang w:val="en-US"/>
        </w:rPr>
        <w:t>razvoja</w:t>
      </w:r>
      <w:r w:rsidRPr="00484A74">
        <w:rPr>
          <w:rFonts w:ascii="Calibri" w:eastAsiaTheme="minorHAnsi" w:hAnsi="Calibri" w:cstheme="minorHAnsi"/>
          <w:color w:val="auto"/>
          <w:sz w:val="22"/>
          <w:szCs w:val="22"/>
        </w:rPr>
        <w:t xml:space="preserve">, </w:t>
      </w:r>
      <w:r w:rsidRPr="00484A74">
        <w:rPr>
          <w:rFonts w:ascii="Calibri" w:hAnsi="Calibri" w:cstheme="minorHAnsi"/>
          <w:sz w:val="22"/>
          <w:szCs w:val="22"/>
        </w:rPr>
        <w:t xml:space="preserve">kao i realizacijom javnih infrastrukturnih projekata, radiće se na rješavanju identifikovanih problema u ekonomiji, odnosno otklanjanju ključnih prepreka za unapređenje konkurentnosti zemlje i povećanje potencijalnog privrednog rasta na srednji i dugi rok. </w:t>
      </w:r>
    </w:p>
    <w:p w:rsidR="00A550EB" w:rsidRDefault="00A550EB" w:rsidP="00A550EB"/>
    <w:p w:rsidR="00A550EB" w:rsidRPr="00A550EB" w:rsidRDefault="00A550EB" w:rsidP="00A550EB">
      <w:pPr>
        <w:rPr>
          <w:rFonts w:asciiTheme="minorHAnsi" w:hAnsiTheme="minorHAnsi" w:cstheme="minorHAnsi"/>
          <w:sz w:val="22"/>
          <w:szCs w:val="22"/>
        </w:rPr>
      </w:pPr>
      <w:r w:rsidRPr="00A550EB">
        <w:rPr>
          <w:rFonts w:asciiTheme="minorHAnsi" w:hAnsiTheme="minorHAnsi" w:cstheme="minorHAnsi"/>
          <w:sz w:val="22"/>
          <w:szCs w:val="22"/>
        </w:rPr>
        <w:t>Primjena sveobuhvatnih i konzistentnih strukturnih reformi je najbolji ali najteže primjenjiv instrument ekonomske politike kojim se postiže konkurentnost ekonomije i održivost javnih finansija</w:t>
      </w:r>
      <w:r w:rsidR="003B7168">
        <w:rPr>
          <w:rStyle w:val="FootnoteReference"/>
          <w:rFonts w:asciiTheme="minorHAnsi" w:hAnsiTheme="minorHAnsi" w:cstheme="minorHAnsi"/>
          <w:sz w:val="22"/>
          <w:szCs w:val="22"/>
        </w:rPr>
        <w:footnoteReference w:id="4"/>
      </w:r>
      <w:r w:rsidRPr="00A550EB">
        <w:rPr>
          <w:rFonts w:asciiTheme="minorHAnsi" w:hAnsiTheme="minorHAnsi" w:cstheme="minorHAnsi"/>
          <w:sz w:val="22"/>
          <w:szCs w:val="22"/>
        </w:rPr>
        <w:t>. Radi bolje koordinacij</w:t>
      </w:r>
      <w:r w:rsidR="00185A72">
        <w:rPr>
          <w:rFonts w:asciiTheme="minorHAnsi" w:hAnsiTheme="minorHAnsi" w:cstheme="minorHAnsi"/>
          <w:sz w:val="22"/>
          <w:szCs w:val="22"/>
        </w:rPr>
        <w:t>e i integrisanog pristupa u vođ</w:t>
      </w:r>
      <w:r w:rsidRPr="00A550EB">
        <w:rPr>
          <w:rFonts w:asciiTheme="minorHAnsi" w:hAnsiTheme="minorHAnsi" w:cstheme="minorHAnsi"/>
          <w:sz w:val="22"/>
          <w:szCs w:val="22"/>
        </w:rPr>
        <w:t>enju ekonomske politike osnovan je Savjet za konkurentnost. Savjet će koordinirati aktivnosti organa državne uprave i drugih nadležnih organa i institucija na planu sprovođenja prioritetnih reformskih mjera definisanih strateškim razvojnim dokumentima, koje su u funkciji otklanjanja ključnih prepreka za veću konkurentnost i</w:t>
      </w:r>
      <w:r>
        <w:rPr>
          <w:rFonts w:asciiTheme="minorHAnsi" w:hAnsiTheme="minorHAnsi" w:cstheme="minorHAnsi"/>
          <w:sz w:val="22"/>
          <w:szCs w:val="22"/>
        </w:rPr>
        <w:t xml:space="preserve"> brži privredni rast Crne Gore.</w:t>
      </w:r>
    </w:p>
    <w:p w:rsidR="00032ADC" w:rsidRPr="00484A74" w:rsidRDefault="00032ADC" w:rsidP="0048511B">
      <w:pPr>
        <w:autoSpaceDE w:val="0"/>
        <w:autoSpaceDN w:val="0"/>
        <w:adjustRightInd w:val="0"/>
        <w:spacing w:line="276" w:lineRule="auto"/>
        <w:rPr>
          <w:rFonts w:ascii="Calibri" w:hAnsi="Calibri" w:cstheme="minorHAnsi"/>
          <w:sz w:val="22"/>
          <w:szCs w:val="22"/>
        </w:rPr>
      </w:pPr>
    </w:p>
    <w:p w:rsidR="00032ADC" w:rsidRDefault="00526D32" w:rsidP="002D1802">
      <w:pPr>
        <w:pStyle w:val="Heading2"/>
      </w:pPr>
      <w:bookmarkStart w:id="3" w:name="_Toc484373009"/>
      <w:r>
        <w:t>3</w:t>
      </w:r>
      <w:r w:rsidR="00032ADC">
        <w:t>.1 Budžetska politika</w:t>
      </w:r>
      <w:bookmarkEnd w:id="3"/>
    </w:p>
    <w:p w:rsidR="00032ADC" w:rsidRDefault="00032ADC" w:rsidP="0048511B">
      <w:pPr>
        <w:autoSpaceDE w:val="0"/>
        <w:autoSpaceDN w:val="0"/>
        <w:spacing w:line="276" w:lineRule="auto"/>
        <w:rPr>
          <w:rFonts w:ascii="Calibri" w:hAnsi="Calibri" w:cstheme="minorHAnsi"/>
          <w:sz w:val="22"/>
          <w:szCs w:val="22"/>
        </w:rPr>
      </w:pPr>
    </w:p>
    <w:p w:rsidR="008E5B78" w:rsidRPr="00526D32" w:rsidRDefault="008E5B78" w:rsidP="0048511B">
      <w:pPr>
        <w:autoSpaceDE w:val="0"/>
        <w:autoSpaceDN w:val="0"/>
        <w:spacing w:line="276" w:lineRule="auto"/>
        <w:rPr>
          <w:rFonts w:asciiTheme="minorHAnsi" w:hAnsiTheme="minorHAnsi" w:cstheme="minorHAnsi"/>
          <w:sz w:val="22"/>
          <w:szCs w:val="22"/>
        </w:rPr>
      </w:pPr>
      <w:r w:rsidRPr="00526D32">
        <w:rPr>
          <w:rFonts w:asciiTheme="minorHAnsi" w:hAnsiTheme="minorHAnsi" w:cstheme="minorHAnsi"/>
          <w:sz w:val="22"/>
          <w:szCs w:val="22"/>
        </w:rPr>
        <w:t xml:space="preserve">Jedan od prioriteta Vlade Crne Gore je uspostavljanje održivosti javnih finansija, odnosno smanjenje deficita i uspostavljanje silaznog trenda javnog duga u srednjem roku. U tom cilju, donesene su Mjere sanacije budžetskog deficita i javnog duga za period 2017–2021. godine. </w:t>
      </w:r>
      <w:r w:rsidRPr="00AB2ADE">
        <w:rPr>
          <w:rFonts w:asciiTheme="minorHAnsi" w:hAnsiTheme="minorHAnsi" w:cstheme="minorHAnsi"/>
          <w:sz w:val="22"/>
          <w:szCs w:val="22"/>
          <w:shd w:val="clear" w:color="auto" w:fill="FFFFFF" w:themeFill="background1"/>
        </w:rPr>
        <w:t xml:space="preserve">I pored značajnih efekata koji se očekuju od realizacije donesenih mjera, imajući u vidu rastuće fiskalne pritiske, ocijenjeno je da je potrebno utvrditi dodatne mjere kako bi se </w:t>
      </w:r>
      <w:r w:rsidR="0048511B" w:rsidRPr="00AB2ADE">
        <w:rPr>
          <w:rFonts w:asciiTheme="minorHAnsi" w:hAnsiTheme="minorHAnsi" w:cstheme="minorHAnsi"/>
          <w:sz w:val="22"/>
          <w:szCs w:val="22"/>
          <w:shd w:val="clear" w:color="auto" w:fill="FFFFFF" w:themeFill="background1"/>
        </w:rPr>
        <w:t>ubrzala dinamika</w:t>
      </w:r>
      <w:r w:rsidRPr="00AB2ADE">
        <w:rPr>
          <w:rFonts w:asciiTheme="minorHAnsi" w:hAnsiTheme="minorHAnsi" w:cstheme="minorHAnsi"/>
          <w:sz w:val="22"/>
          <w:szCs w:val="22"/>
          <w:shd w:val="clear" w:color="auto" w:fill="FFFFFF" w:themeFill="background1"/>
        </w:rPr>
        <w:t xml:space="preserve"> opadanja javnog duga od 2019. godine i ostvario suficit budžeta u 2020. godini.</w:t>
      </w:r>
    </w:p>
    <w:p w:rsidR="008E5B78" w:rsidRPr="00526D32" w:rsidRDefault="008E5B78" w:rsidP="0048511B">
      <w:pPr>
        <w:autoSpaceDE w:val="0"/>
        <w:autoSpaceDN w:val="0"/>
        <w:spacing w:line="276" w:lineRule="auto"/>
        <w:rPr>
          <w:rFonts w:asciiTheme="minorHAnsi" w:hAnsiTheme="minorHAnsi" w:cstheme="minorHAnsi"/>
          <w:sz w:val="22"/>
          <w:szCs w:val="22"/>
        </w:rPr>
      </w:pPr>
    </w:p>
    <w:p w:rsidR="008E5B78" w:rsidRPr="00526D32" w:rsidRDefault="008E5B78" w:rsidP="0048511B">
      <w:pPr>
        <w:spacing w:line="276" w:lineRule="auto"/>
        <w:rPr>
          <w:rFonts w:asciiTheme="minorHAnsi" w:hAnsiTheme="minorHAnsi" w:cstheme="minorHAnsi"/>
          <w:sz w:val="22"/>
          <w:szCs w:val="22"/>
        </w:rPr>
      </w:pPr>
      <w:r w:rsidRPr="00526D32">
        <w:rPr>
          <w:rFonts w:asciiTheme="minorHAnsi" w:hAnsiTheme="minorHAnsi" w:cstheme="minorHAnsi"/>
          <w:sz w:val="22"/>
          <w:szCs w:val="22"/>
        </w:rPr>
        <w:t xml:space="preserve">Prilikom koncipiranja mjera vodilo se računa o obezbjeđenju što ravnomjernije raspodjele poreskog tereta, pravednijoj raspodjeli socijalnih davanja i </w:t>
      </w:r>
      <w:r w:rsidRPr="00526D32">
        <w:rPr>
          <w:rFonts w:asciiTheme="minorHAnsi" w:hAnsiTheme="minorHAnsi" w:cstheme="minorHAnsi"/>
          <w:iCs/>
          <w:sz w:val="22"/>
          <w:szCs w:val="22"/>
        </w:rPr>
        <w:t xml:space="preserve">zaštiti najugroženijih slojeva društva. Istovremeno, uvažena je potreba </w:t>
      </w:r>
      <w:r w:rsidRPr="00526D32">
        <w:rPr>
          <w:rFonts w:asciiTheme="minorHAnsi" w:hAnsiTheme="minorHAnsi" w:cstheme="minorHAnsi"/>
          <w:sz w:val="22"/>
          <w:szCs w:val="22"/>
        </w:rPr>
        <w:t xml:space="preserve">da Crna Gora, i sa aspekta visine poreskog opterećenja, ostane konkurentna destinacija za strana ulaganja. </w:t>
      </w:r>
    </w:p>
    <w:p w:rsidR="008E5B78" w:rsidRPr="00526D32" w:rsidRDefault="008E5B78" w:rsidP="0048511B">
      <w:pPr>
        <w:spacing w:line="276" w:lineRule="auto"/>
        <w:rPr>
          <w:rFonts w:asciiTheme="minorHAnsi" w:hAnsiTheme="minorHAnsi" w:cstheme="minorHAnsi"/>
          <w:sz w:val="22"/>
          <w:szCs w:val="22"/>
          <w:highlight w:val="cyan"/>
        </w:rPr>
      </w:pPr>
    </w:p>
    <w:p w:rsidR="008E5B78" w:rsidRPr="00526D32" w:rsidRDefault="008E5B78" w:rsidP="0048511B">
      <w:pPr>
        <w:spacing w:line="276" w:lineRule="auto"/>
        <w:rPr>
          <w:rFonts w:asciiTheme="minorHAnsi" w:hAnsiTheme="minorHAnsi" w:cstheme="minorHAnsi"/>
          <w:sz w:val="22"/>
          <w:szCs w:val="22"/>
        </w:rPr>
      </w:pPr>
      <w:r w:rsidRPr="00526D32">
        <w:rPr>
          <w:rFonts w:asciiTheme="minorHAnsi" w:hAnsiTheme="minorHAnsi" w:cstheme="minorHAnsi"/>
          <w:sz w:val="22"/>
          <w:szCs w:val="22"/>
        </w:rPr>
        <w:t xml:space="preserve">Na konsolidaciju javnih finansija direktno utiču mjere na prihodnoj i rashodnoj strani budžeta. U cilju </w:t>
      </w:r>
      <w:r w:rsidR="00007028">
        <w:rPr>
          <w:rFonts w:asciiTheme="minorHAnsi" w:hAnsiTheme="minorHAnsi" w:cstheme="minorHAnsi"/>
          <w:sz w:val="22"/>
          <w:szCs w:val="22"/>
        </w:rPr>
        <w:t>us</w:t>
      </w:r>
      <w:r w:rsidR="00967A77">
        <w:rPr>
          <w:rFonts w:asciiTheme="minorHAnsi" w:hAnsiTheme="minorHAnsi" w:cstheme="minorHAnsi"/>
          <w:sz w:val="22"/>
          <w:szCs w:val="22"/>
        </w:rPr>
        <w:t>pješnog sprovođenja ukupne fisk</w:t>
      </w:r>
      <w:r w:rsidR="00007028">
        <w:rPr>
          <w:rFonts w:asciiTheme="minorHAnsi" w:hAnsiTheme="minorHAnsi" w:cstheme="minorHAnsi"/>
          <w:sz w:val="22"/>
          <w:szCs w:val="22"/>
        </w:rPr>
        <w:t>a</w:t>
      </w:r>
      <w:r w:rsidR="00967A77">
        <w:rPr>
          <w:rFonts w:asciiTheme="minorHAnsi" w:hAnsiTheme="minorHAnsi" w:cstheme="minorHAnsi"/>
          <w:sz w:val="22"/>
          <w:szCs w:val="22"/>
        </w:rPr>
        <w:t>l</w:t>
      </w:r>
      <w:r w:rsidR="00007028">
        <w:rPr>
          <w:rFonts w:asciiTheme="minorHAnsi" w:hAnsiTheme="minorHAnsi" w:cstheme="minorHAnsi"/>
          <w:sz w:val="22"/>
          <w:szCs w:val="22"/>
        </w:rPr>
        <w:t>ne konsolidacije</w:t>
      </w:r>
      <w:r w:rsidRPr="00526D32">
        <w:rPr>
          <w:rFonts w:asciiTheme="minorHAnsi" w:hAnsiTheme="minorHAnsi" w:cstheme="minorHAnsi"/>
          <w:sz w:val="22"/>
          <w:szCs w:val="22"/>
        </w:rPr>
        <w:t xml:space="preserve">, neophodno je </w:t>
      </w:r>
      <w:r w:rsidR="00F03744">
        <w:rPr>
          <w:rFonts w:asciiTheme="minorHAnsi" w:hAnsiTheme="minorHAnsi" w:cstheme="minorHAnsi"/>
          <w:sz w:val="22"/>
          <w:szCs w:val="22"/>
        </w:rPr>
        <w:t xml:space="preserve">izvršiti izmjenu odgovarajuće zakonske regulative, </w:t>
      </w:r>
      <w:r w:rsidRPr="00526D32">
        <w:rPr>
          <w:rFonts w:asciiTheme="minorHAnsi" w:hAnsiTheme="minorHAnsi" w:cstheme="minorHAnsi"/>
          <w:sz w:val="22"/>
          <w:szCs w:val="22"/>
        </w:rPr>
        <w:t>pojačati inspekcijski nadzor i povećati angažovanje svih relevantnih nadležnih organa</w:t>
      </w:r>
      <w:r w:rsidR="00007028">
        <w:rPr>
          <w:rFonts w:asciiTheme="minorHAnsi" w:hAnsiTheme="minorHAnsi" w:cstheme="minorHAnsi"/>
          <w:sz w:val="22"/>
          <w:szCs w:val="22"/>
        </w:rPr>
        <w:t xml:space="preserve">, </w:t>
      </w:r>
      <w:r w:rsidR="00F03744">
        <w:rPr>
          <w:rFonts w:asciiTheme="minorHAnsi" w:hAnsiTheme="minorHAnsi" w:cstheme="minorHAnsi"/>
          <w:sz w:val="22"/>
          <w:szCs w:val="22"/>
        </w:rPr>
        <w:t>čime bi se, između ostalog, onemogućilo i</w:t>
      </w:r>
      <w:r w:rsidR="00007028">
        <w:rPr>
          <w:rFonts w:asciiTheme="minorHAnsi" w:hAnsiTheme="minorHAnsi" w:cstheme="minorHAnsi"/>
          <w:sz w:val="22"/>
          <w:szCs w:val="22"/>
        </w:rPr>
        <w:t xml:space="preserve"> poslovanje u neformalnom sektoru</w:t>
      </w:r>
      <w:r w:rsidR="00A10829">
        <w:rPr>
          <w:rFonts w:asciiTheme="minorHAnsi" w:hAnsiTheme="minorHAnsi" w:cstheme="minorHAnsi"/>
          <w:sz w:val="22"/>
          <w:szCs w:val="22"/>
        </w:rPr>
        <w:t>.</w:t>
      </w:r>
      <w:r w:rsidR="0024718F">
        <w:rPr>
          <w:rFonts w:asciiTheme="minorHAnsi" w:hAnsiTheme="minorHAnsi" w:cstheme="minorHAnsi"/>
          <w:sz w:val="22"/>
          <w:szCs w:val="22"/>
        </w:rPr>
        <w:t xml:space="preserve"> S tim u vezi, utvrđen je Akcioni plan za suzbijanje sive ekonomije, kojim s</w:t>
      </w:r>
      <w:r w:rsidR="00D65B2F">
        <w:rPr>
          <w:rFonts w:asciiTheme="minorHAnsi" w:hAnsiTheme="minorHAnsi" w:cstheme="minorHAnsi"/>
          <w:sz w:val="22"/>
          <w:szCs w:val="22"/>
        </w:rPr>
        <w:t xml:space="preserve">u utvrđene preventivne, restriktivne i stimulativne mjere, a koje će se sprovoditi koordiniranom aktivnošću svih nadležnih institucija. </w:t>
      </w:r>
    </w:p>
    <w:p w:rsidR="008E5B78" w:rsidRDefault="008E5B78" w:rsidP="0048511B">
      <w:pPr>
        <w:spacing w:line="276" w:lineRule="auto"/>
        <w:rPr>
          <w:rFonts w:asciiTheme="minorHAnsi" w:hAnsiTheme="minorHAnsi" w:cstheme="minorHAnsi"/>
          <w:sz w:val="22"/>
          <w:szCs w:val="22"/>
        </w:rPr>
      </w:pPr>
    </w:p>
    <w:p w:rsidR="00786EB0" w:rsidRDefault="00786EB0" w:rsidP="00F03744">
      <w:pPr>
        <w:spacing w:line="276" w:lineRule="auto"/>
        <w:rPr>
          <w:rFonts w:asciiTheme="minorHAnsi" w:hAnsiTheme="minorHAnsi" w:cstheme="minorHAnsi"/>
          <w:b/>
          <w:sz w:val="22"/>
          <w:szCs w:val="22"/>
        </w:rPr>
      </w:pPr>
    </w:p>
    <w:p w:rsidR="00F03744" w:rsidRDefault="00F03744" w:rsidP="00F03744">
      <w:pPr>
        <w:spacing w:line="276" w:lineRule="auto"/>
        <w:rPr>
          <w:rFonts w:asciiTheme="minorHAnsi" w:hAnsiTheme="minorHAnsi" w:cstheme="minorHAnsi"/>
          <w:b/>
          <w:sz w:val="22"/>
          <w:szCs w:val="22"/>
        </w:rPr>
      </w:pPr>
      <w:r w:rsidRPr="00F03744">
        <w:rPr>
          <w:rFonts w:asciiTheme="minorHAnsi" w:hAnsiTheme="minorHAnsi" w:cstheme="minorHAnsi"/>
          <w:b/>
          <w:sz w:val="22"/>
          <w:szCs w:val="22"/>
        </w:rPr>
        <w:t>Povećanje budžetskih prihoda obezbijediće se realizacijom mjera</w:t>
      </w:r>
      <w:r>
        <w:rPr>
          <w:rFonts w:asciiTheme="minorHAnsi" w:hAnsiTheme="minorHAnsi" w:cstheme="minorHAnsi"/>
          <w:b/>
          <w:sz w:val="22"/>
          <w:szCs w:val="22"/>
        </w:rPr>
        <w:t xml:space="preserve"> </w:t>
      </w:r>
      <w:r w:rsidRPr="00F03744">
        <w:rPr>
          <w:rFonts w:asciiTheme="minorHAnsi" w:hAnsiTheme="minorHAnsi" w:cstheme="minorHAnsi"/>
          <w:b/>
          <w:sz w:val="22"/>
          <w:szCs w:val="22"/>
        </w:rPr>
        <w:t>poreske politike, a koje se odnose na:</w:t>
      </w:r>
    </w:p>
    <w:p w:rsidR="00657AD1" w:rsidRPr="00F03744" w:rsidRDefault="00657AD1" w:rsidP="00F03744">
      <w:pPr>
        <w:spacing w:line="276" w:lineRule="auto"/>
        <w:rPr>
          <w:rFonts w:asciiTheme="minorHAnsi" w:hAnsiTheme="minorHAnsi" w:cstheme="minorHAnsi"/>
          <w:b/>
          <w:sz w:val="22"/>
          <w:szCs w:val="22"/>
        </w:rPr>
      </w:pPr>
    </w:p>
    <w:p w:rsidR="00406AA1" w:rsidRDefault="00406AA1" w:rsidP="0088145C">
      <w:pPr>
        <w:pStyle w:val="ListParagraph"/>
        <w:numPr>
          <w:ilvl w:val="0"/>
          <w:numId w:val="14"/>
        </w:numPr>
        <w:spacing w:line="276" w:lineRule="auto"/>
        <w:ind w:left="0" w:firstLine="284"/>
        <w:rPr>
          <w:rFonts w:asciiTheme="minorHAnsi" w:hAnsiTheme="minorHAnsi" w:cstheme="minorHAnsi"/>
          <w:sz w:val="22"/>
          <w:szCs w:val="22"/>
        </w:rPr>
      </w:pPr>
      <w:r w:rsidRPr="0088145C">
        <w:rPr>
          <w:rFonts w:asciiTheme="minorHAnsi" w:hAnsiTheme="minorHAnsi" w:cstheme="minorHAnsi"/>
          <w:b/>
          <w:sz w:val="22"/>
          <w:szCs w:val="22"/>
        </w:rPr>
        <w:t>Povećanje akcize na cigarete</w:t>
      </w:r>
      <w:r w:rsidRPr="00526D32">
        <w:rPr>
          <w:rStyle w:val="FootnoteReference"/>
          <w:rFonts w:asciiTheme="minorHAnsi" w:hAnsiTheme="minorHAnsi" w:cstheme="minorHAnsi"/>
          <w:sz w:val="22"/>
          <w:szCs w:val="22"/>
        </w:rPr>
        <w:footnoteReference w:id="5"/>
      </w:r>
      <w:r w:rsidRPr="0088145C">
        <w:rPr>
          <w:rFonts w:asciiTheme="minorHAnsi" w:hAnsiTheme="minorHAnsi" w:cstheme="minorHAnsi"/>
          <w:b/>
          <w:sz w:val="22"/>
          <w:szCs w:val="22"/>
        </w:rPr>
        <w:t xml:space="preserve">. </w:t>
      </w:r>
      <w:r w:rsidRPr="0088145C">
        <w:rPr>
          <w:rFonts w:asciiTheme="minorHAnsi" w:hAnsiTheme="minorHAnsi" w:cstheme="minorHAnsi"/>
          <w:color w:val="auto"/>
          <w:sz w:val="22"/>
          <w:szCs w:val="22"/>
          <w:lang w:val="sl-SI"/>
        </w:rPr>
        <w:t>U cilju usaglašavanja visine akcize na cigarete sa standardom u Evropskoj uniji</w:t>
      </w:r>
      <w:r w:rsidRPr="00526D32">
        <w:rPr>
          <w:rFonts w:asciiTheme="minorHAnsi" w:hAnsiTheme="minorHAnsi" w:cstheme="minorHAnsi"/>
          <w:color w:val="auto"/>
          <w:sz w:val="22"/>
          <w:szCs w:val="22"/>
          <w:vertAlign w:val="superscript"/>
          <w:lang w:val="sl-SI"/>
        </w:rPr>
        <w:footnoteReference w:id="6"/>
      </w:r>
      <w:r w:rsidRPr="0088145C">
        <w:rPr>
          <w:rFonts w:asciiTheme="minorHAnsi" w:hAnsiTheme="minorHAnsi" w:cstheme="minorHAnsi"/>
          <w:color w:val="auto"/>
          <w:sz w:val="22"/>
          <w:szCs w:val="22"/>
          <w:lang w:val="sl-SI"/>
        </w:rPr>
        <w:t>, neophodno je dalje usklađivanje, odnosno njihovo postepeno, godišnje, povećanje</w:t>
      </w:r>
      <w:r w:rsidRPr="00526D32">
        <w:rPr>
          <w:rFonts w:asciiTheme="minorHAnsi" w:hAnsiTheme="minorHAnsi" w:cstheme="minorHAnsi"/>
          <w:color w:val="auto"/>
          <w:sz w:val="22"/>
          <w:szCs w:val="22"/>
          <w:vertAlign w:val="superscript"/>
          <w:lang w:val="sl-SI"/>
        </w:rPr>
        <w:footnoteReference w:id="7"/>
      </w:r>
      <w:r w:rsidRPr="0088145C">
        <w:rPr>
          <w:rFonts w:asciiTheme="minorHAnsi" w:hAnsiTheme="minorHAnsi" w:cstheme="minorHAnsi"/>
          <w:color w:val="auto"/>
          <w:sz w:val="22"/>
          <w:szCs w:val="22"/>
          <w:lang w:val="sl-SI"/>
        </w:rPr>
        <w:t xml:space="preserve">. S tim u vezi, neophodno je ubrzati </w:t>
      </w:r>
      <w:r w:rsidRPr="0088145C">
        <w:rPr>
          <w:rFonts w:asciiTheme="minorHAnsi" w:hAnsiTheme="minorHAnsi" w:cstheme="minorHAnsi"/>
          <w:sz w:val="22"/>
          <w:szCs w:val="22"/>
        </w:rPr>
        <w:t>dinamiku povećanja akciza, kroz uspostavljanje novog „akciznog kalendar</w:t>
      </w:r>
      <w:r w:rsidR="0088145C" w:rsidRPr="0088145C">
        <w:rPr>
          <w:rFonts w:asciiTheme="minorHAnsi" w:hAnsiTheme="minorHAnsi" w:cstheme="minorHAnsi"/>
          <w:sz w:val="22"/>
          <w:szCs w:val="22"/>
        </w:rPr>
        <w:t>a</w:t>
      </w:r>
      <w:r w:rsidRPr="0088145C">
        <w:rPr>
          <w:rFonts w:asciiTheme="minorHAnsi" w:hAnsiTheme="minorHAnsi" w:cstheme="minorHAnsi"/>
          <w:sz w:val="22"/>
          <w:szCs w:val="22"/>
        </w:rPr>
        <w:t xml:space="preserve">“, </w:t>
      </w:r>
      <w:r w:rsidR="0088145C" w:rsidRPr="0088145C">
        <w:rPr>
          <w:rFonts w:asciiTheme="minorHAnsi" w:hAnsiTheme="minorHAnsi" w:cstheme="minorHAnsi"/>
          <w:sz w:val="22"/>
          <w:szCs w:val="22"/>
        </w:rPr>
        <w:t xml:space="preserve">na način da se </w:t>
      </w:r>
      <w:r w:rsidRPr="0088145C">
        <w:rPr>
          <w:rFonts w:asciiTheme="minorHAnsi" w:hAnsiTheme="minorHAnsi" w:cstheme="minorHAnsi"/>
          <w:sz w:val="22"/>
          <w:szCs w:val="22"/>
        </w:rPr>
        <w:t xml:space="preserve">visina specifične akcize na cigarete </w:t>
      </w:r>
      <w:r w:rsidR="0088145C">
        <w:rPr>
          <w:rFonts w:asciiTheme="minorHAnsi" w:hAnsiTheme="minorHAnsi" w:cstheme="minorHAnsi"/>
          <w:sz w:val="22"/>
          <w:szCs w:val="22"/>
        </w:rPr>
        <w:t>povećava:</w:t>
      </w:r>
    </w:p>
    <w:p w:rsidR="0088145C" w:rsidRPr="0088145C" w:rsidRDefault="0088145C" w:rsidP="0088145C">
      <w:pPr>
        <w:spacing w:line="276" w:lineRule="auto"/>
        <w:rPr>
          <w:rFonts w:asciiTheme="minorHAnsi" w:hAnsiTheme="minorHAnsi" w:cstheme="minorHAnsi"/>
          <w:sz w:val="22"/>
          <w:szCs w:val="22"/>
        </w:rPr>
      </w:pPr>
    </w:p>
    <w:p w:rsidR="00406AA1" w:rsidRPr="00A10829" w:rsidRDefault="00406AA1" w:rsidP="00406AA1">
      <w:pPr>
        <w:pStyle w:val="ListParagraph"/>
        <w:numPr>
          <w:ilvl w:val="0"/>
          <w:numId w:val="39"/>
        </w:numPr>
        <w:rPr>
          <w:rFonts w:asciiTheme="minorHAnsi" w:hAnsiTheme="minorHAnsi" w:cstheme="minorHAnsi"/>
          <w:sz w:val="22"/>
          <w:szCs w:val="22"/>
        </w:rPr>
      </w:pPr>
      <w:r w:rsidRPr="00A10829">
        <w:rPr>
          <w:rFonts w:asciiTheme="minorHAnsi" w:hAnsiTheme="minorHAnsi" w:cstheme="minorHAnsi"/>
          <w:sz w:val="22"/>
          <w:szCs w:val="22"/>
        </w:rPr>
        <w:t xml:space="preserve">od </w:t>
      </w:r>
      <w:r w:rsidR="0088145C">
        <w:rPr>
          <w:rFonts w:asciiTheme="minorHAnsi" w:hAnsiTheme="minorHAnsi" w:cstheme="minorHAnsi"/>
          <w:sz w:val="22"/>
          <w:szCs w:val="22"/>
        </w:rPr>
        <w:t xml:space="preserve">1. jula </w:t>
      </w:r>
      <w:r w:rsidRPr="00A10829">
        <w:rPr>
          <w:rFonts w:asciiTheme="minorHAnsi" w:hAnsiTheme="minorHAnsi" w:cstheme="minorHAnsi"/>
          <w:sz w:val="22"/>
          <w:szCs w:val="22"/>
        </w:rPr>
        <w:t>2017. do 1. januara 2018. godine – 30 eura za 1000 komada,</w:t>
      </w:r>
    </w:p>
    <w:p w:rsidR="00406AA1" w:rsidRPr="00A10829" w:rsidRDefault="00406AA1" w:rsidP="00406AA1">
      <w:pPr>
        <w:pStyle w:val="ListParagraph"/>
        <w:numPr>
          <w:ilvl w:val="0"/>
          <w:numId w:val="39"/>
        </w:numPr>
        <w:rPr>
          <w:rFonts w:asciiTheme="minorHAnsi" w:hAnsiTheme="minorHAnsi" w:cstheme="minorHAnsi"/>
          <w:sz w:val="22"/>
          <w:szCs w:val="22"/>
        </w:rPr>
      </w:pPr>
      <w:r w:rsidRPr="00A10829">
        <w:rPr>
          <w:rFonts w:asciiTheme="minorHAnsi" w:hAnsiTheme="minorHAnsi" w:cstheme="minorHAnsi"/>
          <w:sz w:val="22"/>
          <w:szCs w:val="22"/>
        </w:rPr>
        <w:t>od 1. januara 2018. do 1. januara 2019. godine – 40 eura za 1000 komada,</w:t>
      </w:r>
    </w:p>
    <w:p w:rsidR="00406AA1" w:rsidRPr="00A10829" w:rsidRDefault="00406AA1" w:rsidP="00406AA1">
      <w:pPr>
        <w:pStyle w:val="ListParagraph"/>
        <w:numPr>
          <w:ilvl w:val="1"/>
          <w:numId w:val="39"/>
        </w:numPr>
        <w:ind w:left="709" w:hanging="283"/>
        <w:rPr>
          <w:rFonts w:asciiTheme="minorHAnsi" w:hAnsiTheme="minorHAnsi" w:cstheme="minorHAnsi"/>
          <w:sz w:val="22"/>
          <w:szCs w:val="22"/>
        </w:rPr>
      </w:pPr>
      <w:r w:rsidRPr="00A10829">
        <w:rPr>
          <w:rFonts w:asciiTheme="minorHAnsi" w:hAnsiTheme="minorHAnsi" w:cstheme="minorHAnsi"/>
          <w:sz w:val="22"/>
          <w:szCs w:val="22"/>
        </w:rPr>
        <w:t xml:space="preserve">od 1. januara 2019. </w:t>
      </w:r>
      <w:r w:rsidR="00657AD1">
        <w:rPr>
          <w:rFonts w:asciiTheme="minorHAnsi" w:hAnsiTheme="minorHAnsi" w:cstheme="minorHAnsi"/>
          <w:sz w:val="22"/>
          <w:szCs w:val="22"/>
        </w:rPr>
        <w:t>d</w:t>
      </w:r>
      <w:r w:rsidRPr="00A10829">
        <w:rPr>
          <w:rFonts w:asciiTheme="minorHAnsi" w:hAnsiTheme="minorHAnsi" w:cstheme="minorHAnsi"/>
          <w:sz w:val="22"/>
          <w:szCs w:val="22"/>
        </w:rPr>
        <w:t>o 1. januara 2020. godine – 50 eura za 1000 komada.</w:t>
      </w:r>
    </w:p>
    <w:p w:rsidR="00406AA1" w:rsidRDefault="00406AA1" w:rsidP="00406AA1">
      <w:pPr>
        <w:rPr>
          <w:rFonts w:asciiTheme="minorHAnsi" w:hAnsiTheme="minorHAnsi" w:cstheme="minorHAnsi"/>
          <w:sz w:val="22"/>
          <w:szCs w:val="22"/>
        </w:rPr>
      </w:pPr>
    </w:p>
    <w:p w:rsidR="00406AA1" w:rsidRPr="00A10829" w:rsidRDefault="00406AA1" w:rsidP="00406AA1">
      <w:pPr>
        <w:rPr>
          <w:rFonts w:asciiTheme="minorHAnsi" w:hAnsiTheme="minorHAnsi" w:cstheme="minorHAnsi"/>
          <w:sz w:val="22"/>
          <w:szCs w:val="22"/>
        </w:rPr>
      </w:pPr>
      <w:r w:rsidRPr="00A10829">
        <w:rPr>
          <w:rFonts w:asciiTheme="minorHAnsi" w:hAnsiTheme="minorHAnsi" w:cstheme="minorHAnsi"/>
          <w:sz w:val="22"/>
          <w:szCs w:val="22"/>
        </w:rPr>
        <w:t>Proporcionalna akciza na cigarete za navedeni period iznosila bi 32% od prosječne ponderisane cijene cigareta, koja u 2017. godini iznosi 1,9 eura, dok bi njena pretpostavljena cijena u 2018. iznosila 2,3 eura, a u 2019. godini 2,6 eura</w:t>
      </w:r>
      <w:r w:rsidR="0088145C">
        <w:rPr>
          <w:rFonts w:asciiTheme="minorHAnsi" w:hAnsiTheme="minorHAnsi" w:cstheme="minorHAnsi"/>
          <w:sz w:val="22"/>
          <w:szCs w:val="22"/>
        </w:rPr>
        <w:t>, kada se dostiže nivo akcize propisan Direktivom EU</w:t>
      </w:r>
      <w:r w:rsidRPr="00A10829">
        <w:rPr>
          <w:rFonts w:asciiTheme="minorHAnsi" w:hAnsiTheme="minorHAnsi" w:cstheme="minorHAnsi"/>
          <w:sz w:val="22"/>
          <w:szCs w:val="22"/>
        </w:rPr>
        <w:t>.</w:t>
      </w:r>
    </w:p>
    <w:p w:rsidR="00406AA1" w:rsidRPr="00657AD1" w:rsidRDefault="00406AA1" w:rsidP="00657AD1">
      <w:pPr>
        <w:spacing w:line="276" w:lineRule="auto"/>
        <w:rPr>
          <w:rFonts w:asciiTheme="minorHAnsi" w:hAnsiTheme="minorHAnsi" w:cstheme="minorHAnsi"/>
          <w:color w:val="auto"/>
          <w:sz w:val="22"/>
          <w:szCs w:val="22"/>
          <w:lang w:val="sl-SI"/>
        </w:rPr>
      </w:pPr>
    </w:p>
    <w:p w:rsidR="00406AA1" w:rsidRPr="0088145C" w:rsidRDefault="00406AA1" w:rsidP="0088145C">
      <w:pPr>
        <w:spacing w:line="276" w:lineRule="auto"/>
        <w:rPr>
          <w:rFonts w:asciiTheme="minorHAnsi" w:hAnsiTheme="minorHAnsi" w:cstheme="minorHAnsi"/>
          <w:color w:val="auto"/>
          <w:sz w:val="22"/>
          <w:szCs w:val="22"/>
          <w:lang w:val="sl-SI"/>
        </w:rPr>
      </w:pPr>
      <w:r w:rsidRPr="0088145C">
        <w:rPr>
          <w:rFonts w:asciiTheme="minorHAnsi" w:hAnsiTheme="minorHAnsi" w:cstheme="minorHAnsi"/>
          <w:sz w:val="22"/>
          <w:szCs w:val="22"/>
        </w:rPr>
        <w:t>Istovremeno, povećaće se i akciza za fino rezani duvan, što neće imati značajni efekat na prihode budžeta, ali će smanjiti</w:t>
      </w:r>
      <w:r w:rsidRPr="0088145C">
        <w:rPr>
          <w:rFonts w:asciiTheme="minorHAnsi" w:hAnsiTheme="minorHAnsi" w:cstheme="minorHAnsi"/>
          <w:bCs/>
          <w:sz w:val="22"/>
          <w:szCs w:val="22"/>
        </w:rPr>
        <w:t xml:space="preserve"> cjenovn</w:t>
      </w:r>
      <w:r w:rsidR="00C2305B">
        <w:rPr>
          <w:rFonts w:asciiTheme="minorHAnsi" w:hAnsiTheme="minorHAnsi" w:cstheme="minorHAnsi"/>
          <w:bCs/>
          <w:sz w:val="22"/>
          <w:szCs w:val="22"/>
        </w:rPr>
        <w:t>i</w:t>
      </w:r>
      <w:r w:rsidRPr="0088145C">
        <w:rPr>
          <w:rFonts w:asciiTheme="minorHAnsi" w:hAnsiTheme="minorHAnsi" w:cstheme="minorHAnsi"/>
          <w:bCs/>
          <w:sz w:val="22"/>
          <w:szCs w:val="22"/>
        </w:rPr>
        <w:t xml:space="preserve"> jaz</w:t>
      </w:r>
      <w:r>
        <w:rPr>
          <w:rStyle w:val="FootnoteReference"/>
          <w:rFonts w:asciiTheme="minorHAnsi" w:hAnsiTheme="minorHAnsi" w:cstheme="minorHAnsi"/>
          <w:bCs/>
          <w:sz w:val="22"/>
          <w:szCs w:val="22"/>
        </w:rPr>
        <w:footnoteReference w:id="8"/>
      </w:r>
      <w:r w:rsidRPr="0088145C">
        <w:rPr>
          <w:rFonts w:asciiTheme="minorHAnsi" w:hAnsiTheme="minorHAnsi" w:cstheme="minorHAnsi"/>
          <w:bCs/>
          <w:sz w:val="22"/>
          <w:szCs w:val="22"/>
        </w:rPr>
        <w:t>.</w:t>
      </w:r>
    </w:p>
    <w:p w:rsidR="00406AA1" w:rsidRPr="00526D32" w:rsidRDefault="00406AA1" w:rsidP="00406AA1">
      <w:pPr>
        <w:spacing w:line="276" w:lineRule="auto"/>
        <w:contextualSpacing/>
        <w:rPr>
          <w:rFonts w:asciiTheme="minorHAnsi" w:hAnsiTheme="minorHAnsi" w:cstheme="minorHAnsi"/>
          <w:color w:val="auto"/>
          <w:sz w:val="22"/>
          <w:szCs w:val="22"/>
          <w:lang w:val="sl-SI"/>
        </w:rPr>
      </w:pPr>
    </w:p>
    <w:p w:rsidR="00406AA1" w:rsidRPr="0048511B" w:rsidRDefault="00CF5C80" w:rsidP="00406AA1">
      <w:pPr>
        <w:rPr>
          <w:rFonts w:asciiTheme="minorHAnsi" w:hAnsiTheme="minorHAnsi" w:cstheme="minorHAnsi"/>
          <w:color w:val="auto"/>
          <w:sz w:val="22"/>
          <w:szCs w:val="22"/>
        </w:rPr>
      </w:pPr>
      <w:r>
        <w:rPr>
          <w:rFonts w:asciiTheme="minorHAnsi" w:hAnsiTheme="minorHAnsi" w:cstheme="minorHAnsi"/>
          <w:color w:val="auto"/>
          <w:sz w:val="22"/>
          <w:szCs w:val="22"/>
        </w:rPr>
        <w:t xml:space="preserve">Prepoznajući rizik koji ovakva akcizna politika može proizvesti, u smislu povećanja prometa cigareta na neformalnom tržištu, kao i visinu akciza u zemljama okruženja, preduzeće se dodatne mjere inspekcijskog nadzora, a što je definisano gore navedenim akcionim planom. </w:t>
      </w:r>
      <w:r w:rsidR="00406AA1" w:rsidRPr="0048511B">
        <w:rPr>
          <w:rFonts w:asciiTheme="minorHAnsi" w:hAnsiTheme="minorHAnsi" w:cstheme="minorHAnsi"/>
          <w:color w:val="auto"/>
          <w:sz w:val="22"/>
          <w:szCs w:val="22"/>
        </w:rPr>
        <w:t>Predloženom mjerom doprinosi se suzbijanju negativnih efekata koje upotreba duvanskih proizvoda ima na zdravlje građana, a imajući u vidu da se predlaže postepeno povećanje nivoa akcize za ovaj akcizni proizvod, isto neće imati značajnijeg uticaja na životni standard građana.</w:t>
      </w:r>
      <w:r w:rsidR="0018241D">
        <w:rPr>
          <w:rFonts w:asciiTheme="minorHAnsi" w:hAnsiTheme="minorHAnsi" w:cstheme="minorHAnsi"/>
          <w:color w:val="auto"/>
          <w:sz w:val="22"/>
          <w:szCs w:val="22"/>
        </w:rPr>
        <w:t xml:space="preserve"> </w:t>
      </w:r>
    </w:p>
    <w:p w:rsidR="00406AA1" w:rsidRPr="00526D32" w:rsidRDefault="00406AA1" w:rsidP="00406AA1">
      <w:pPr>
        <w:spacing w:line="276" w:lineRule="auto"/>
        <w:rPr>
          <w:rFonts w:asciiTheme="minorHAnsi" w:hAnsiTheme="minorHAnsi" w:cstheme="minorHAnsi"/>
          <w:b/>
          <w:sz w:val="22"/>
          <w:szCs w:val="22"/>
        </w:rPr>
      </w:pPr>
    </w:p>
    <w:p w:rsidR="00406AA1" w:rsidRDefault="00406AA1" w:rsidP="00406AA1">
      <w:pPr>
        <w:spacing w:line="276" w:lineRule="auto"/>
        <w:rPr>
          <w:rFonts w:asciiTheme="minorHAnsi" w:hAnsiTheme="minorHAnsi" w:cstheme="minorHAnsi"/>
          <w:sz w:val="22"/>
          <w:szCs w:val="22"/>
        </w:rPr>
      </w:pPr>
      <w:r w:rsidRPr="00526D32">
        <w:rPr>
          <w:rFonts w:asciiTheme="minorHAnsi" w:hAnsiTheme="minorHAnsi" w:cstheme="minorHAnsi"/>
          <w:i/>
          <w:sz w:val="22"/>
          <w:szCs w:val="22"/>
        </w:rPr>
        <w:t>Fiskalne implikacije mjere</w:t>
      </w:r>
      <w:r w:rsidR="0088145C">
        <w:rPr>
          <w:rStyle w:val="FootnoteReference"/>
          <w:rFonts w:asciiTheme="minorHAnsi" w:hAnsiTheme="minorHAnsi" w:cstheme="minorHAnsi"/>
          <w:i/>
          <w:sz w:val="22"/>
          <w:szCs w:val="22"/>
        </w:rPr>
        <w:footnoteReference w:id="9"/>
      </w:r>
      <w:r w:rsidRPr="00526D32">
        <w:rPr>
          <w:rFonts w:asciiTheme="minorHAnsi" w:hAnsiTheme="minorHAnsi" w:cstheme="minorHAnsi"/>
          <w:i/>
          <w:sz w:val="22"/>
          <w:szCs w:val="22"/>
        </w:rPr>
        <w:t>.</w:t>
      </w:r>
      <w:r w:rsidRPr="00526D32">
        <w:rPr>
          <w:rFonts w:asciiTheme="minorHAnsi" w:hAnsiTheme="minorHAnsi" w:cstheme="minorHAnsi"/>
          <w:b/>
          <w:i/>
          <w:sz w:val="22"/>
          <w:szCs w:val="22"/>
        </w:rPr>
        <w:t xml:space="preserve"> </w:t>
      </w:r>
      <w:r w:rsidRPr="00526D32">
        <w:rPr>
          <w:rFonts w:asciiTheme="minorHAnsi" w:hAnsiTheme="minorHAnsi" w:cstheme="minorHAnsi"/>
          <w:sz w:val="22"/>
          <w:szCs w:val="22"/>
        </w:rPr>
        <w:t>Planirano je da ova mjer</w:t>
      </w:r>
      <w:r>
        <w:rPr>
          <w:rFonts w:asciiTheme="minorHAnsi" w:hAnsiTheme="minorHAnsi" w:cstheme="minorHAnsi"/>
          <w:sz w:val="22"/>
          <w:szCs w:val="22"/>
        </w:rPr>
        <w:t>a</w:t>
      </w:r>
      <w:r w:rsidRPr="00526D32">
        <w:rPr>
          <w:rFonts w:asciiTheme="minorHAnsi" w:hAnsiTheme="minorHAnsi" w:cstheme="minorHAnsi"/>
          <w:sz w:val="22"/>
          <w:szCs w:val="22"/>
        </w:rPr>
        <w:t xml:space="preserve"> počinje da se primjenjuje od 1. jula tekuće godine. Realizacijom iste prihodi budžeta će se povećati za 4,6 mil.€ u 2017, 17,8 mil.€ u 2018, odnosno 13,2 mil.€ u 2019. godini, što predstavlja </w:t>
      </w:r>
      <w:r>
        <w:rPr>
          <w:rFonts w:asciiTheme="minorHAnsi" w:hAnsiTheme="minorHAnsi" w:cstheme="minorHAnsi"/>
          <w:sz w:val="22"/>
          <w:szCs w:val="22"/>
        </w:rPr>
        <w:t>neto</w:t>
      </w:r>
      <w:r w:rsidRPr="00526D32">
        <w:rPr>
          <w:rFonts w:asciiTheme="minorHAnsi" w:hAnsiTheme="minorHAnsi" w:cstheme="minorHAnsi"/>
          <w:sz w:val="22"/>
          <w:szCs w:val="22"/>
        </w:rPr>
        <w:t xml:space="preserve"> efekat od 35,6 mil.€ za posmatrani period. Primjenom ove mjere povećaće se i prihodi po osnovu poreza na dodatu vrijednost u iznosu od 5,6 mil.€ za navedeni period.</w:t>
      </w:r>
    </w:p>
    <w:p w:rsidR="00F03744" w:rsidRPr="00526D32" w:rsidRDefault="00F03744" w:rsidP="00406AA1">
      <w:pPr>
        <w:spacing w:line="276" w:lineRule="auto"/>
        <w:rPr>
          <w:rFonts w:asciiTheme="minorHAnsi" w:hAnsiTheme="minorHAnsi" w:cstheme="minorHAnsi"/>
          <w:sz w:val="22"/>
          <w:szCs w:val="22"/>
        </w:rPr>
      </w:pPr>
    </w:p>
    <w:p w:rsidR="00F03744" w:rsidRDefault="00F03744" w:rsidP="00F03744">
      <w:pPr>
        <w:numPr>
          <w:ilvl w:val="0"/>
          <w:numId w:val="14"/>
        </w:numPr>
        <w:spacing w:line="276" w:lineRule="auto"/>
        <w:ind w:left="0" w:firstLine="360"/>
        <w:contextualSpacing/>
        <w:rPr>
          <w:rFonts w:asciiTheme="minorHAnsi" w:hAnsiTheme="minorHAnsi" w:cstheme="minorHAnsi"/>
          <w:bCs/>
          <w:iCs/>
          <w:sz w:val="22"/>
          <w:szCs w:val="22"/>
        </w:rPr>
      </w:pPr>
      <w:r w:rsidRPr="00F03744">
        <w:rPr>
          <w:rFonts w:asciiTheme="minorHAnsi" w:hAnsiTheme="minorHAnsi" w:cstheme="minorHAnsi"/>
          <w:b/>
          <w:sz w:val="22"/>
          <w:szCs w:val="22"/>
        </w:rPr>
        <w:t xml:space="preserve">Povećanje akcize na gaziranu vodu sa dodatkom šećera ili drugih sredstava za zaslađivanje ili aromatizaciju. </w:t>
      </w:r>
      <w:r w:rsidRPr="00F03744">
        <w:rPr>
          <w:rFonts w:asciiTheme="minorHAnsi" w:hAnsiTheme="minorHAnsi" w:cstheme="minorHAnsi"/>
          <w:sz w:val="22"/>
          <w:szCs w:val="22"/>
        </w:rPr>
        <w:t xml:space="preserve">Imajući u vidu da </w:t>
      </w:r>
      <w:r w:rsidRPr="00F03744">
        <w:rPr>
          <w:rFonts w:asciiTheme="minorHAnsi" w:hAnsiTheme="minorHAnsi" w:cstheme="minorHAnsi"/>
          <w:sz w:val="22"/>
          <w:szCs w:val="22"/>
          <w:lang w:val="sl-SI"/>
        </w:rPr>
        <w:t>g</w:t>
      </w:r>
      <w:r w:rsidRPr="00F03744">
        <w:rPr>
          <w:rFonts w:asciiTheme="minorHAnsi" w:hAnsiTheme="minorHAnsi" w:cstheme="minorHAnsi"/>
          <w:bCs/>
          <w:iCs/>
          <w:sz w:val="22"/>
          <w:szCs w:val="22"/>
        </w:rPr>
        <w:t>azirana voda sa dodatkom šećera ili drugih sredstava za zaslađivanje ili aromatizaciju ima negativne implikacije na zdravlje stanovništva, predlaže se postupno povećanje visine akcize za ovu vrstu akciznog proizvoda</w:t>
      </w:r>
      <w:r w:rsidRPr="00526D32">
        <w:rPr>
          <w:rFonts w:asciiTheme="minorHAnsi" w:hAnsiTheme="minorHAnsi" w:cstheme="minorHAnsi"/>
          <w:bCs/>
          <w:iCs/>
          <w:sz w:val="22"/>
          <w:szCs w:val="22"/>
          <w:vertAlign w:val="superscript"/>
        </w:rPr>
        <w:footnoteReference w:id="10"/>
      </w:r>
      <w:r w:rsidRPr="00F03744">
        <w:rPr>
          <w:rFonts w:asciiTheme="minorHAnsi" w:hAnsiTheme="minorHAnsi" w:cstheme="minorHAnsi"/>
          <w:bCs/>
          <w:iCs/>
          <w:sz w:val="22"/>
          <w:szCs w:val="22"/>
        </w:rPr>
        <w:t>, na način:</w:t>
      </w:r>
    </w:p>
    <w:p w:rsidR="00F03744" w:rsidRPr="00F03744" w:rsidRDefault="00F03744" w:rsidP="00047057">
      <w:pPr>
        <w:spacing w:line="276" w:lineRule="auto"/>
        <w:ind w:left="360"/>
        <w:contextualSpacing/>
        <w:rPr>
          <w:rFonts w:asciiTheme="minorHAnsi" w:hAnsiTheme="minorHAnsi" w:cstheme="minorHAnsi"/>
          <w:bCs/>
          <w:iCs/>
          <w:sz w:val="22"/>
          <w:szCs w:val="22"/>
        </w:rPr>
      </w:pPr>
    </w:p>
    <w:p w:rsidR="00F03744" w:rsidRPr="00A10829" w:rsidRDefault="00F03744" w:rsidP="00F03744">
      <w:pPr>
        <w:pStyle w:val="ListParagraph"/>
        <w:numPr>
          <w:ilvl w:val="0"/>
          <w:numId w:val="40"/>
        </w:numPr>
        <w:rPr>
          <w:rFonts w:asciiTheme="minorHAnsi" w:hAnsiTheme="minorHAnsi" w:cstheme="minorHAnsi"/>
          <w:sz w:val="22"/>
          <w:szCs w:val="22"/>
        </w:rPr>
      </w:pPr>
      <w:r w:rsidRPr="00A10829">
        <w:rPr>
          <w:rFonts w:asciiTheme="minorHAnsi" w:hAnsiTheme="minorHAnsi" w:cstheme="minorHAnsi"/>
          <w:sz w:val="22"/>
          <w:szCs w:val="22"/>
        </w:rPr>
        <w:t>od 1. januara 2018. godine  –30 eura po hektolitru,</w:t>
      </w:r>
    </w:p>
    <w:p w:rsidR="00F03744" w:rsidRPr="00A10829" w:rsidRDefault="00F03744" w:rsidP="00F03744">
      <w:pPr>
        <w:pStyle w:val="ListParagraph"/>
        <w:numPr>
          <w:ilvl w:val="0"/>
          <w:numId w:val="40"/>
        </w:numPr>
        <w:rPr>
          <w:rFonts w:asciiTheme="minorHAnsi" w:hAnsiTheme="minorHAnsi" w:cstheme="minorHAnsi"/>
          <w:sz w:val="22"/>
          <w:szCs w:val="22"/>
        </w:rPr>
      </w:pPr>
      <w:r w:rsidRPr="00A10829">
        <w:rPr>
          <w:rFonts w:asciiTheme="minorHAnsi" w:hAnsiTheme="minorHAnsi" w:cstheme="minorHAnsi"/>
          <w:sz w:val="22"/>
          <w:szCs w:val="22"/>
        </w:rPr>
        <w:t>od 1. januara 2019. godine – 40 eura po hektolitru,</w:t>
      </w:r>
    </w:p>
    <w:p w:rsidR="00F03744" w:rsidRPr="00A10829" w:rsidRDefault="00F03744" w:rsidP="00F03744">
      <w:pPr>
        <w:pStyle w:val="ListParagraph"/>
        <w:numPr>
          <w:ilvl w:val="0"/>
          <w:numId w:val="40"/>
        </w:numPr>
        <w:rPr>
          <w:rFonts w:asciiTheme="minorHAnsi" w:hAnsiTheme="minorHAnsi" w:cstheme="minorHAnsi"/>
          <w:sz w:val="22"/>
          <w:szCs w:val="22"/>
        </w:rPr>
      </w:pPr>
      <w:r w:rsidRPr="00A10829">
        <w:rPr>
          <w:rFonts w:asciiTheme="minorHAnsi" w:hAnsiTheme="minorHAnsi" w:cstheme="minorHAnsi"/>
          <w:sz w:val="22"/>
          <w:szCs w:val="22"/>
        </w:rPr>
        <w:t>od 1. januara 2020. godine – 50</w:t>
      </w:r>
      <w:r>
        <w:rPr>
          <w:rFonts w:asciiTheme="minorHAnsi" w:hAnsiTheme="minorHAnsi" w:cstheme="minorHAnsi"/>
          <w:sz w:val="22"/>
          <w:szCs w:val="22"/>
        </w:rPr>
        <w:t xml:space="preserve"> eura po hektolitru.</w:t>
      </w:r>
    </w:p>
    <w:p w:rsidR="00F03744" w:rsidRPr="00F03744" w:rsidRDefault="00F03744" w:rsidP="00F03744">
      <w:pPr>
        <w:spacing w:line="276" w:lineRule="auto"/>
        <w:ind w:left="360"/>
        <w:contextualSpacing/>
        <w:rPr>
          <w:rFonts w:asciiTheme="minorHAnsi" w:hAnsiTheme="minorHAnsi" w:cstheme="minorHAnsi"/>
          <w:b/>
          <w:i/>
          <w:sz w:val="22"/>
          <w:szCs w:val="22"/>
        </w:rPr>
      </w:pPr>
    </w:p>
    <w:p w:rsidR="00F03744" w:rsidRPr="00526D32" w:rsidRDefault="00F03744" w:rsidP="00F03744">
      <w:pPr>
        <w:spacing w:line="276" w:lineRule="auto"/>
        <w:rPr>
          <w:rFonts w:asciiTheme="minorHAnsi" w:hAnsiTheme="minorHAnsi" w:cstheme="minorHAnsi"/>
          <w:sz w:val="22"/>
          <w:szCs w:val="22"/>
        </w:rPr>
      </w:pPr>
      <w:r w:rsidRPr="00526D32">
        <w:rPr>
          <w:rFonts w:asciiTheme="minorHAnsi" w:hAnsiTheme="minorHAnsi" w:cstheme="minorHAnsi"/>
          <w:i/>
          <w:sz w:val="22"/>
          <w:szCs w:val="22"/>
        </w:rPr>
        <w:t>Fiskalne implikacije mjere</w:t>
      </w:r>
      <w:r>
        <w:rPr>
          <w:rStyle w:val="FootnoteReference"/>
          <w:rFonts w:asciiTheme="minorHAnsi" w:hAnsiTheme="minorHAnsi" w:cstheme="minorHAnsi"/>
          <w:i/>
          <w:sz w:val="22"/>
          <w:szCs w:val="22"/>
        </w:rPr>
        <w:footnoteReference w:id="11"/>
      </w:r>
      <w:r w:rsidRPr="00526D32">
        <w:rPr>
          <w:rFonts w:asciiTheme="minorHAnsi" w:hAnsiTheme="minorHAnsi" w:cstheme="minorHAnsi"/>
          <w:i/>
          <w:sz w:val="22"/>
          <w:szCs w:val="22"/>
        </w:rPr>
        <w:t>.</w:t>
      </w:r>
      <w:r w:rsidRPr="00526D32">
        <w:rPr>
          <w:rFonts w:asciiTheme="minorHAnsi" w:hAnsiTheme="minorHAnsi" w:cstheme="minorHAnsi"/>
          <w:b/>
          <w:i/>
          <w:sz w:val="22"/>
          <w:szCs w:val="22"/>
        </w:rPr>
        <w:t xml:space="preserve"> </w:t>
      </w:r>
      <w:r w:rsidRPr="00526D32">
        <w:rPr>
          <w:rFonts w:asciiTheme="minorHAnsi" w:hAnsiTheme="minorHAnsi" w:cstheme="minorHAnsi"/>
          <w:sz w:val="22"/>
          <w:szCs w:val="22"/>
        </w:rPr>
        <w:t xml:space="preserve">Realizacijom ove mjere prihodi budžeta će se povećati za 7,7 mil.€ u 2018, 3,8 mil.€ u 2019, odnosno 3,8 mil.€ u 2020. godini, što predstavlja </w:t>
      </w:r>
      <w:r>
        <w:rPr>
          <w:rFonts w:asciiTheme="minorHAnsi" w:hAnsiTheme="minorHAnsi" w:cstheme="minorHAnsi"/>
          <w:sz w:val="22"/>
          <w:szCs w:val="22"/>
        </w:rPr>
        <w:t>neto</w:t>
      </w:r>
      <w:r w:rsidRPr="00526D32">
        <w:rPr>
          <w:rFonts w:asciiTheme="minorHAnsi" w:hAnsiTheme="minorHAnsi" w:cstheme="minorHAnsi"/>
          <w:sz w:val="22"/>
          <w:szCs w:val="22"/>
        </w:rPr>
        <w:t xml:space="preserve"> efekat od 15,3 mil.€ za posmatrani period. Primjenom ove mjere povećaće se i prihodi po osnovu poreza na dodatu vrijednost u iznosu od 1,3 mil.€ za navedeni period. Potencijalno smanjenje potrošnje ove vrste akciznog proizvoda, zbog mogućeg smanjenja broja konzumenata, uticaće u određenoj mjeri na smanjenje njenog efekta na budžetske prihode. </w:t>
      </w:r>
    </w:p>
    <w:p w:rsidR="00406AA1" w:rsidRDefault="00406AA1" w:rsidP="00A10829">
      <w:pPr>
        <w:rPr>
          <w:rFonts w:asciiTheme="minorHAnsi" w:hAnsiTheme="minorHAnsi" w:cstheme="minorHAnsi"/>
          <w:b/>
          <w:sz w:val="22"/>
          <w:szCs w:val="22"/>
        </w:rPr>
      </w:pPr>
    </w:p>
    <w:p w:rsidR="00C2305B" w:rsidRPr="00C2305B" w:rsidRDefault="00F03744" w:rsidP="00C2305B">
      <w:pPr>
        <w:pStyle w:val="ListParagraph"/>
        <w:numPr>
          <w:ilvl w:val="0"/>
          <w:numId w:val="43"/>
        </w:numPr>
        <w:ind w:left="0" w:firstLine="360"/>
        <w:rPr>
          <w:rFonts w:asciiTheme="minorHAnsi" w:hAnsiTheme="minorHAnsi" w:cstheme="minorHAnsi"/>
          <w:sz w:val="22"/>
          <w:szCs w:val="22"/>
        </w:rPr>
      </w:pPr>
      <w:r w:rsidRPr="00C2305B">
        <w:rPr>
          <w:rFonts w:asciiTheme="minorHAnsi" w:hAnsiTheme="minorHAnsi" w:cstheme="minorHAnsi"/>
          <w:b/>
          <w:sz w:val="22"/>
          <w:szCs w:val="22"/>
        </w:rPr>
        <w:t xml:space="preserve">Uvođenje akcize na ugalj. </w:t>
      </w:r>
      <w:r w:rsidRPr="00C2305B">
        <w:rPr>
          <w:rFonts w:asciiTheme="minorHAnsi" w:hAnsiTheme="minorHAnsi" w:cstheme="minorHAnsi"/>
          <w:sz w:val="22"/>
          <w:szCs w:val="22"/>
        </w:rPr>
        <w:t>U cilju dalje harmonizacije akcizne politike sa standardima EU</w:t>
      </w:r>
      <w:r w:rsidRPr="00047057">
        <w:rPr>
          <w:rFonts w:asciiTheme="minorHAnsi" w:hAnsiTheme="minorHAnsi" w:cstheme="minorHAnsi"/>
          <w:sz w:val="22"/>
          <w:szCs w:val="22"/>
          <w:vertAlign w:val="superscript"/>
        </w:rPr>
        <w:footnoteReference w:id="12"/>
      </w:r>
      <w:r w:rsidRPr="00047057">
        <w:rPr>
          <w:rFonts w:asciiTheme="minorHAnsi" w:hAnsiTheme="minorHAnsi" w:cstheme="minorHAnsi"/>
          <w:sz w:val="22"/>
          <w:szCs w:val="22"/>
        </w:rPr>
        <w:t>,</w:t>
      </w:r>
      <w:r w:rsidRPr="00C2305B">
        <w:rPr>
          <w:rFonts w:asciiTheme="minorHAnsi" w:hAnsiTheme="minorHAnsi" w:cstheme="minorHAnsi"/>
          <w:sz w:val="22"/>
          <w:szCs w:val="22"/>
        </w:rPr>
        <w:t xml:space="preserve"> neophodno je uvođenje i postepeno povaćanje akcize na ugalj. Sredstvima iz ovih izvora finansiraće se projekti za otklanjanje posljedica zagađivanja vazduha. Primjenom predložene mjere visina akcize na ovaj proizvod iznosila bi</w:t>
      </w:r>
      <w:r w:rsidR="00C2305B" w:rsidRPr="00C2305B">
        <w:rPr>
          <w:rFonts w:asciiTheme="minorHAnsi" w:hAnsiTheme="minorHAnsi" w:cstheme="minorHAnsi"/>
          <w:sz w:val="22"/>
          <w:szCs w:val="22"/>
        </w:rPr>
        <w:t>:</w:t>
      </w:r>
    </w:p>
    <w:p w:rsidR="00C2305B" w:rsidRDefault="00C2305B" w:rsidP="00F03744">
      <w:pPr>
        <w:rPr>
          <w:rFonts w:asciiTheme="minorHAnsi" w:hAnsiTheme="minorHAnsi" w:cstheme="minorHAnsi"/>
          <w:sz w:val="22"/>
          <w:szCs w:val="22"/>
        </w:rPr>
      </w:pPr>
    </w:p>
    <w:p w:rsidR="00C2305B" w:rsidRPr="00C2305B" w:rsidRDefault="00F03744" w:rsidP="00C2305B">
      <w:pPr>
        <w:pStyle w:val="ListParagraph"/>
        <w:numPr>
          <w:ilvl w:val="0"/>
          <w:numId w:val="42"/>
        </w:numPr>
        <w:rPr>
          <w:rFonts w:asciiTheme="minorHAnsi" w:hAnsiTheme="minorHAnsi" w:cstheme="minorHAnsi"/>
          <w:sz w:val="22"/>
          <w:szCs w:val="22"/>
        </w:rPr>
      </w:pPr>
      <w:r w:rsidRPr="00C2305B">
        <w:rPr>
          <w:rFonts w:asciiTheme="minorHAnsi" w:hAnsiTheme="minorHAnsi" w:cstheme="minorHAnsi"/>
          <w:sz w:val="22"/>
          <w:szCs w:val="22"/>
        </w:rPr>
        <w:t xml:space="preserve">u 2019. </w:t>
      </w:r>
      <w:r w:rsidR="00047057">
        <w:rPr>
          <w:rFonts w:asciiTheme="minorHAnsi" w:hAnsiTheme="minorHAnsi" w:cstheme="minorHAnsi"/>
          <w:sz w:val="22"/>
          <w:szCs w:val="22"/>
        </w:rPr>
        <w:t>g</w:t>
      </w:r>
      <w:r w:rsidRPr="00C2305B">
        <w:rPr>
          <w:rFonts w:asciiTheme="minorHAnsi" w:hAnsiTheme="minorHAnsi" w:cstheme="minorHAnsi"/>
          <w:sz w:val="22"/>
          <w:szCs w:val="22"/>
        </w:rPr>
        <w:t>odini</w:t>
      </w:r>
      <w:r w:rsidR="00047057">
        <w:rPr>
          <w:rFonts w:asciiTheme="minorHAnsi" w:hAnsiTheme="minorHAnsi" w:cstheme="minorHAnsi"/>
          <w:sz w:val="22"/>
          <w:szCs w:val="22"/>
        </w:rPr>
        <w:t>-0,</w:t>
      </w:r>
      <w:r w:rsidRPr="00C2305B">
        <w:rPr>
          <w:rFonts w:asciiTheme="minorHAnsi" w:hAnsiTheme="minorHAnsi" w:cstheme="minorHAnsi"/>
          <w:sz w:val="22"/>
          <w:szCs w:val="22"/>
        </w:rPr>
        <w:t>15 eura/GJ,</w:t>
      </w:r>
    </w:p>
    <w:p w:rsidR="00F03744" w:rsidRPr="00C2305B" w:rsidRDefault="00F03744" w:rsidP="00C2305B">
      <w:pPr>
        <w:pStyle w:val="ListParagraph"/>
        <w:numPr>
          <w:ilvl w:val="0"/>
          <w:numId w:val="42"/>
        </w:numPr>
        <w:rPr>
          <w:rFonts w:asciiTheme="minorHAnsi" w:hAnsiTheme="minorHAnsi" w:cstheme="minorHAnsi"/>
          <w:sz w:val="22"/>
          <w:szCs w:val="22"/>
        </w:rPr>
      </w:pPr>
      <w:r w:rsidRPr="00C2305B">
        <w:rPr>
          <w:rFonts w:asciiTheme="minorHAnsi" w:hAnsiTheme="minorHAnsi" w:cstheme="minorHAnsi"/>
          <w:sz w:val="22"/>
          <w:szCs w:val="22"/>
        </w:rPr>
        <w:t xml:space="preserve">u 2020. </w:t>
      </w:r>
      <w:r w:rsidR="00047057">
        <w:rPr>
          <w:rFonts w:asciiTheme="minorHAnsi" w:hAnsiTheme="minorHAnsi" w:cstheme="minorHAnsi"/>
          <w:sz w:val="22"/>
          <w:szCs w:val="22"/>
        </w:rPr>
        <w:t>g</w:t>
      </w:r>
      <w:r w:rsidRPr="00C2305B">
        <w:rPr>
          <w:rFonts w:asciiTheme="minorHAnsi" w:hAnsiTheme="minorHAnsi" w:cstheme="minorHAnsi"/>
          <w:sz w:val="22"/>
          <w:szCs w:val="22"/>
        </w:rPr>
        <w:t>odini</w:t>
      </w:r>
      <w:r w:rsidR="00047057">
        <w:rPr>
          <w:rFonts w:asciiTheme="minorHAnsi" w:hAnsiTheme="minorHAnsi" w:cstheme="minorHAnsi"/>
          <w:sz w:val="22"/>
          <w:szCs w:val="22"/>
        </w:rPr>
        <w:t>-</w:t>
      </w:r>
      <w:r w:rsidRPr="00C2305B">
        <w:rPr>
          <w:rFonts w:asciiTheme="minorHAnsi" w:hAnsiTheme="minorHAnsi" w:cstheme="minorHAnsi"/>
          <w:sz w:val="22"/>
          <w:szCs w:val="22"/>
        </w:rPr>
        <w:t xml:space="preserve">0,30 eura/GJ. </w:t>
      </w:r>
    </w:p>
    <w:p w:rsidR="00F03744" w:rsidRPr="00526D32" w:rsidRDefault="00F03744" w:rsidP="00F03744">
      <w:pPr>
        <w:spacing w:line="276" w:lineRule="auto"/>
        <w:ind w:left="360"/>
        <w:contextualSpacing/>
        <w:rPr>
          <w:rFonts w:asciiTheme="minorHAnsi" w:hAnsiTheme="minorHAnsi" w:cstheme="minorHAnsi"/>
          <w:b/>
          <w:i/>
          <w:sz w:val="22"/>
          <w:szCs w:val="22"/>
        </w:rPr>
      </w:pPr>
    </w:p>
    <w:p w:rsidR="00F03744" w:rsidRPr="00526D32" w:rsidRDefault="00F03744" w:rsidP="00F03744">
      <w:pPr>
        <w:spacing w:line="276" w:lineRule="auto"/>
        <w:rPr>
          <w:rFonts w:asciiTheme="minorHAnsi" w:hAnsiTheme="minorHAnsi" w:cstheme="minorHAnsi"/>
          <w:sz w:val="22"/>
          <w:szCs w:val="22"/>
        </w:rPr>
      </w:pPr>
      <w:r w:rsidRPr="00526D32">
        <w:rPr>
          <w:rFonts w:asciiTheme="minorHAnsi" w:hAnsiTheme="minorHAnsi" w:cstheme="minorHAnsi"/>
          <w:i/>
          <w:sz w:val="22"/>
          <w:szCs w:val="22"/>
        </w:rPr>
        <w:t>Fiskalne implikacije mjere.</w:t>
      </w:r>
      <w:r w:rsidRPr="00526D32">
        <w:rPr>
          <w:rFonts w:asciiTheme="minorHAnsi" w:hAnsiTheme="minorHAnsi" w:cstheme="minorHAnsi"/>
          <w:b/>
          <w:i/>
          <w:sz w:val="22"/>
          <w:szCs w:val="22"/>
        </w:rPr>
        <w:t xml:space="preserve"> </w:t>
      </w:r>
      <w:r w:rsidRPr="00526D32">
        <w:rPr>
          <w:rFonts w:asciiTheme="minorHAnsi" w:hAnsiTheme="minorHAnsi" w:cstheme="minorHAnsi"/>
          <w:sz w:val="22"/>
          <w:szCs w:val="22"/>
        </w:rPr>
        <w:t xml:space="preserve">Početak implementacije ove mjere predviđen je za 2019. godinu, a </w:t>
      </w:r>
      <w:r>
        <w:rPr>
          <w:rFonts w:asciiTheme="minorHAnsi" w:hAnsiTheme="minorHAnsi" w:cstheme="minorHAnsi"/>
          <w:sz w:val="22"/>
          <w:szCs w:val="22"/>
        </w:rPr>
        <w:t xml:space="preserve">neto </w:t>
      </w:r>
      <w:r w:rsidRPr="00526D32">
        <w:rPr>
          <w:rFonts w:asciiTheme="minorHAnsi" w:hAnsiTheme="minorHAnsi" w:cstheme="minorHAnsi"/>
          <w:sz w:val="22"/>
          <w:szCs w:val="22"/>
        </w:rPr>
        <w:t xml:space="preserve">efekti procijenjeni su na 4,6 mil.€ (po 2,3 mil.€ u 2019. i 2020. godini). Primjenom ove mjere povećaće se i prihodi po osnovu poreza na dodatu vrijednost u iznosu od 0,8 mil.€ za navedene godine. </w:t>
      </w:r>
    </w:p>
    <w:p w:rsidR="008E5B78" w:rsidRPr="00526D32" w:rsidRDefault="008E5B78" w:rsidP="00A10829">
      <w:pPr>
        <w:spacing w:line="276" w:lineRule="auto"/>
        <w:contextualSpacing/>
        <w:rPr>
          <w:rFonts w:asciiTheme="minorHAnsi" w:hAnsiTheme="minorHAnsi" w:cstheme="minorHAnsi"/>
          <w:sz w:val="22"/>
          <w:szCs w:val="22"/>
        </w:rPr>
      </w:pPr>
    </w:p>
    <w:p w:rsidR="00C2305B" w:rsidRPr="00047057" w:rsidRDefault="00C2305B" w:rsidP="00047057">
      <w:pPr>
        <w:numPr>
          <w:ilvl w:val="0"/>
          <w:numId w:val="6"/>
        </w:numPr>
        <w:spacing w:line="276" w:lineRule="auto"/>
        <w:ind w:left="0" w:firstLine="284"/>
        <w:contextualSpacing/>
        <w:rPr>
          <w:rFonts w:asciiTheme="minorHAnsi" w:hAnsiTheme="minorHAnsi" w:cstheme="minorHAnsi"/>
          <w:bCs/>
          <w:iCs/>
          <w:sz w:val="22"/>
          <w:szCs w:val="22"/>
        </w:rPr>
      </w:pPr>
      <w:r w:rsidRPr="00047057">
        <w:rPr>
          <w:rFonts w:asciiTheme="minorHAnsi" w:hAnsiTheme="minorHAnsi" w:cstheme="minorHAnsi"/>
          <w:b/>
          <w:sz w:val="22"/>
          <w:szCs w:val="22"/>
        </w:rPr>
        <w:t>Povećanje akcize na etil-alkohol</w:t>
      </w:r>
      <w:r w:rsidR="00047057" w:rsidRPr="00526D32">
        <w:rPr>
          <w:rFonts w:asciiTheme="minorHAnsi" w:hAnsiTheme="minorHAnsi" w:cstheme="minorHAnsi"/>
          <w:sz w:val="22"/>
          <w:szCs w:val="22"/>
          <w:vertAlign w:val="superscript"/>
        </w:rPr>
        <w:footnoteReference w:id="13"/>
      </w:r>
      <w:r w:rsidR="00047057">
        <w:rPr>
          <w:rFonts w:asciiTheme="minorHAnsi" w:hAnsiTheme="minorHAnsi" w:cstheme="minorHAnsi"/>
          <w:b/>
          <w:sz w:val="22"/>
          <w:szCs w:val="22"/>
        </w:rPr>
        <w:t>.</w:t>
      </w:r>
      <w:r w:rsidRPr="00047057">
        <w:rPr>
          <w:rFonts w:asciiTheme="minorHAnsi" w:hAnsiTheme="minorHAnsi" w:cstheme="minorHAnsi"/>
          <w:b/>
          <w:sz w:val="22"/>
          <w:szCs w:val="22"/>
        </w:rPr>
        <w:t xml:space="preserve"> </w:t>
      </w:r>
      <w:r w:rsidRPr="00047057">
        <w:rPr>
          <w:rFonts w:asciiTheme="minorHAnsi" w:hAnsiTheme="minorHAnsi" w:cstheme="minorHAnsi"/>
          <w:bCs/>
          <w:iCs/>
          <w:sz w:val="22"/>
          <w:szCs w:val="22"/>
        </w:rPr>
        <w:t>Predloženom mjerom, izvršilo bi se postepeno povećanje visine akcize na etil alkohol</w:t>
      </w:r>
      <w:r w:rsidR="00047057">
        <w:rPr>
          <w:rStyle w:val="FootnoteReference"/>
          <w:rFonts w:asciiTheme="minorHAnsi" w:hAnsiTheme="minorHAnsi" w:cstheme="minorHAnsi"/>
          <w:b/>
          <w:sz w:val="22"/>
          <w:szCs w:val="22"/>
        </w:rPr>
        <w:footnoteReference w:id="14"/>
      </w:r>
      <w:r w:rsidR="00047057" w:rsidRPr="00047057">
        <w:rPr>
          <w:rFonts w:asciiTheme="minorHAnsi" w:hAnsiTheme="minorHAnsi" w:cstheme="minorHAnsi"/>
          <w:sz w:val="22"/>
          <w:szCs w:val="22"/>
        </w:rPr>
        <w:t>.</w:t>
      </w:r>
      <w:r w:rsidRPr="00047057">
        <w:rPr>
          <w:rFonts w:asciiTheme="minorHAnsi" w:hAnsiTheme="minorHAnsi" w:cstheme="minorHAnsi"/>
          <w:bCs/>
          <w:iCs/>
          <w:sz w:val="22"/>
          <w:szCs w:val="22"/>
        </w:rPr>
        <w:t>, za period od 2017. do 2020. godine, na način:</w:t>
      </w:r>
    </w:p>
    <w:p w:rsidR="00C2305B" w:rsidRPr="00A10829" w:rsidRDefault="00C2305B" w:rsidP="00C2305B">
      <w:pPr>
        <w:rPr>
          <w:rFonts w:asciiTheme="minorHAnsi" w:hAnsiTheme="minorHAnsi" w:cstheme="minorHAnsi"/>
          <w:bCs/>
          <w:iCs/>
          <w:sz w:val="22"/>
          <w:szCs w:val="22"/>
        </w:rPr>
      </w:pPr>
    </w:p>
    <w:p w:rsidR="00C2305B" w:rsidRPr="00A10829" w:rsidRDefault="00C2305B" w:rsidP="00C2305B">
      <w:pPr>
        <w:pStyle w:val="ListParagraph"/>
        <w:numPr>
          <w:ilvl w:val="0"/>
          <w:numId w:val="41"/>
        </w:numPr>
        <w:rPr>
          <w:rFonts w:asciiTheme="minorHAnsi" w:hAnsiTheme="minorHAnsi" w:cstheme="minorHAnsi"/>
          <w:sz w:val="22"/>
          <w:szCs w:val="22"/>
        </w:rPr>
      </w:pPr>
      <w:r w:rsidRPr="00A10829">
        <w:rPr>
          <w:rFonts w:asciiTheme="minorHAnsi" w:hAnsiTheme="minorHAnsi" w:cstheme="minorHAnsi"/>
          <w:sz w:val="22"/>
          <w:szCs w:val="22"/>
        </w:rPr>
        <w:t xml:space="preserve">od </w:t>
      </w:r>
      <w:r w:rsidR="00302897">
        <w:rPr>
          <w:rFonts w:asciiTheme="minorHAnsi" w:hAnsiTheme="minorHAnsi" w:cstheme="minorHAnsi"/>
          <w:sz w:val="22"/>
          <w:szCs w:val="22"/>
        </w:rPr>
        <w:t xml:space="preserve">1.jula </w:t>
      </w:r>
      <w:r w:rsidRPr="00A10829">
        <w:rPr>
          <w:rFonts w:asciiTheme="minorHAnsi" w:hAnsiTheme="minorHAnsi" w:cstheme="minorHAnsi"/>
          <w:sz w:val="22"/>
          <w:szCs w:val="22"/>
        </w:rPr>
        <w:t>2017. do 1. januara 2018. godine – 850 eura po hektolitru</w:t>
      </w:r>
      <w:r>
        <w:rPr>
          <w:rFonts w:asciiTheme="minorHAnsi" w:hAnsiTheme="minorHAnsi" w:cstheme="minorHAnsi"/>
          <w:sz w:val="22"/>
          <w:szCs w:val="22"/>
        </w:rPr>
        <w:t>,</w:t>
      </w:r>
    </w:p>
    <w:p w:rsidR="00C2305B" w:rsidRPr="00A10829" w:rsidRDefault="00C2305B" w:rsidP="00C2305B">
      <w:pPr>
        <w:pStyle w:val="ListParagraph"/>
        <w:numPr>
          <w:ilvl w:val="0"/>
          <w:numId w:val="41"/>
        </w:numPr>
        <w:rPr>
          <w:rFonts w:asciiTheme="minorHAnsi" w:hAnsiTheme="minorHAnsi" w:cstheme="minorHAnsi"/>
          <w:sz w:val="22"/>
          <w:szCs w:val="22"/>
        </w:rPr>
      </w:pPr>
      <w:r w:rsidRPr="00A10829">
        <w:rPr>
          <w:rFonts w:asciiTheme="minorHAnsi" w:hAnsiTheme="minorHAnsi" w:cstheme="minorHAnsi"/>
          <w:sz w:val="22"/>
          <w:szCs w:val="22"/>
        </w:rPr>
        <w:t>od 1. januara 2018. do 1. januara 2019. godine – 1050 eura po hektolitru,</w:t>
      </w:r>
    </w:p>
    <w:p w:rsidR="00C2305B" w:rsidRPr="00A10829" w:rsidRDefault="00C2305B" w:rsidP="00C2305B">
      <w:pPr>
        <w:pStyle w:val="ListParagraph"/>
        <w:numPr>
          <w:ilvl w:val="0"/>
          <w:numId w:val="41"/>
        </w:numPr>
        <w:rPr>
          <w:rFonts w:asciiTheme="minorHAnsi" w:hAnsiTheme="minorHAnsi" w:cstheme="minorHAnsi"/>
          <w:sz w:val="22"/>
          <w:szCs w:val="22"/>
        </w:rPr>
      </w:pPr>
      <w:r w:rsidRPr="00A10829">
        <w:rPr>
          <w:rFonts w:asciiTheme="minorHAnsi" w:hAnsiTheme="minorHAnsi" w:cstheme="minorHAnsi"/>
          <w:sz w:val="22"/>
          <w:szCs w:val="22"/>
        </w:rPr>
        <w:t>od 1. januara 2019. do 1. januara 2020. godine – 1250 eura po hektolitru,</w:t>
      </w:r>
    </w:p>
    <w:p w:rsidR="00C2305B" w:rsidRPr="00A10829" w:rsidRDefault="00C2305B" w:rsidP="00C2305B">
      <w:pPr>
        <w:pStyle w:val="ListParagraph"/>
        <w:numPr>
          <w:ilvl w:val="0"/>
          <w:numId w:val="41"/>
        </w:numPr>
        <w:rPr>
          <w:rFonts w:asciiTheme="minorHAnsi" w:hAnsiTheme="minorHAnsi" w:cstheme="minorHAnsi"/>
          <w:sz w:val="22"/>
          <w:szCs w:val="22"/>
        </w:rPr>
      </w:pPr>
      <w:r w:rsidRPr="00A10829">
        <w:rPr>
          <w:rFonts w:asciiTheme="minorHAnsi" w:hAnsiTheme="minorHAnsi" w:cstheme="minorHAnsi"/>
          <w:sz w:val="22"/>
          <w:szCs w:val="22"/>
        </w:rPr>
        <w:t>od 1. januara 2020. do 31.</w:t>
      </w:r>
      <w:r w:rsidR="00047057">
        <w:rPr>
          <w:rFonts w:asciiTheme="minorHAnsi" w:hAnsiTheme="minorHAnsi" w:cstheme="minorHAnsi"/>
          <w:sz w:val="22"/>
          <w:szCs w:val="22"/>
        </w:rPr>
        <w:t xml:space="preserve"> </w:t>
      </w:r>
      <w:r w:rsidRPr="00A10829">
        <w:rPr>
          <w:rFonts w:asciiTheme="minorHAnsi" w:hAnsiTheme="minorHAnsi" w:cstheme="minorHAnsi"/>
          <w:sz w:val="22"/>
          <w:szCs w:val="22"/>
        </w:rPr>
        <w:t>dec</w:t>
      </w:r>
      <w:r w:rsidR="00047057">
        <w:rPr>
          <w:rFonts w:asciiTheme="minorHAnsi" w:hAnsiTheme="minorHAnsi" w:cstheme="minorHAnsi"/>
          <w:sz w:val="22"/>
          <w:szCs w:val="22"/>
        </w:rPr>
        <w:t>e</w:t>
      </w:r>
      <w:r w:rsidRPr="00A10829">
        <w:rPr>
          <w:rFonts w:asciiTheme="minorHAnsi" w:hAnsiTheme="minorHAnsi" w:cstheme="minorHAnsi"/>
          <w:sz w:val="22"/>
          <w:szCs w:val="22"/>
        </w:rPr>
        <w:t>mbra 2020. godine – 1500 eura po hektolitru.</w:t>
      </w:r>
    </w:p>
    <w:p w:rsidR="00C2305B" w:rsidRDefault="00C2305B" w:rsidP="00C2305B">
      <w:pPr>
        <w:spacing w:line="276" w:lineRule="auto"/>
        <w:rPr>
          <w:rFonts w:asciiTheme="minorHAnsi" w:hAnsiTheme="minorHAnsi" w:cstheme="minorHAnsi"/>
          <w:bCs/>
          <w:iCs/>
          <w:sz w:val="22"/>
          <w:szCs w:val="22"/>
        </w:rPr>
      </w:pPr>
    </w:p>
    <w:p w:rsidR="00C2305B" w:rsidRPr="00526D32" w:rsidRDefault="00C2305B" w:rsidP="00C2305B">
      <w:pPr>
        <w:spacing w:line="276" w:lineRule="auto"/>
        <w:rPr>
          <w:rFonts w:asciiTheme="minorHAnsi" w:hAnsiTheme="minorHAnsi" w:cstheme="minorHAnsi"/>
          <w:sz w:val="22"/>
          <w:szCs w:val="22"/>
        </w:rPr>
      </w:pPr>
      <w:r w:rsidRPr="00526D32">
        <w:rPr>
          <w:rFonts w:asciiTheme="minorHAnsi" w:hAnsiTheme="minorHAnsi" w:cstheme="minorHAnsi"/>
          <w:i/>
          <w:sz w:val="22"/>
          <w:szCs w:val="22"/>
        </w:rPr>
        <w:t>Fiskalne implikacije mjere</w:t>
      </w:r>
      <w:r>
        <w:rPr>
          <w:rStyle w:val="FootnoteReference"/>
          <w:rFonts w:asciiTheme="minorHAnsi" w:hAnsiTheme="minorHAnsi" w:cstheme="minorHAnsi"/>
          <w:i/>
          <w:sz w:val="22"/>
          <w:szCs w:val="22"/>
        </w:rPr>
        <w:footnoteReference w:id="15"/>
      </w:r>
      <w:r w:rsidRPr="00526D32">
        <w:rPr>
          <w:rFonts w:asciiTheme="minorHAnsi" w:hAnsiTheme="minorHAnsi" w:cstheme="minorHAnsi"/>
          <w:i/>
          <w:sz w:val="22"/>
          <w:szCs w:val="22"/>
        </w:rPr>
        <w:t>.</w:t>
      </w:r>
      <w:r w:rsidRPr="00526D32">
        <w:rPr>
          <w:rFonts w:asciiTheme="minorHAnsi" w:hAnsiTheme="minorHAnsi" w:cstheme="minorHAnsi"/>
          <w:b/>
          <w:i/>
          <w:sz w:val="22"/>
          <w:szCs w:val="22"/>
        </w:rPr>
        <w:t xml:space="preserve"> </w:t>
      </w:r>
      <w:r w:rsidRPr="00526D32">
        <w:rPr>
          <w:rFonts w:asciiTheme="minorHAnsi" w:hAnsiTheme="minorHAnsi" w:cstheme="minorHAnsi"/>
          <w:sz w:val="22"/>
          <w:szCs w:val="22"/>
        </w:rPr>
        <w:t xml:space="preserve">Realizacijom ove mjere povećaće se prihodi budžeta za 0,6 mil.€ u 2017, 1,1 mil.€ u 2018, 1,1 mil.€ u 2019, odnosno 1,4 mil.€ u 2020. godini, što predstavlja </w:t>
      </w:r>
      <w:r>
        <w:rPr>
          <w:rFonts w:asciiTheme="minorHAnsi" w:hAnsiTheme="minorHAnsi" w:cstheme="minorHAnsi"/>
          <w:sz w:val="22"/>
          <w:szCs w:val="22"/>
        </w:rPr>
        <w:t>neto</w:t>
      </w:r>
      <w:r w:rsidRPr="00526D32">
        <w:rPr>
          <w:rFonts w:asciiTheme="minorHAnsi" w:hAnsiTheme="minorHAnsi" w:cstheme="minorHAnsi"/>
          <w:sz w:val="22"/>
          <w:szCs w:val="22"/>
        </w:rPr>
        <w:t xml:space="preserve"> efekat od 4,3 mil.€ za posmatrani period. Istovremeno, povećaće se i prihodi po osnovu poreza na dodatu vrijednost </w:t>
      </w:r>
      <w:r>
        <w:rPr>
          <w:rFonts w:asciiTheme="minorHAnsi" w:hAnsiTheme="minorHAnsi" w:cstheme="minorHAnsi"/>
          <w:sz w:val="22"/>
          <w:szCs w:val="22"/>
        </w:rPr>
        <w:t>za</w:t>
      </w:r>
      <w:r w:rsidRPr="00526D32">
        <w:rPr>
          <w:rFonts w:asciiTheme="minorHAnsi" w:hAnsiTheme="minorHAnsi" w:cstheme="minorHAnsi"/>
          <w:sz w:val="22"/>
          <w:szCs w:val="22"/>
        </w:rPr>
        <w:t xml:space="preserve"> 2,4 mil.€.</w:t>
      </w:r>
    </w:p>
    <w:p w:rsidR="008E5B78" w:rsidRPr="00A10829" w:rsidRDefault="008E5B78" w:rsidP="00A10829">
      <w:pPr>
        <w:spacing w:line="276" w:lineRule="auto"/>
        <w:contextualSpacing/>
        <w:rPr>
          <w:rFonts w:asciiTheme="minorHAnsi" w:hAnsiTheme="minorHAnsi" w:cstheme="minorHAnsi"/>
          <w:sz w:val="22"/>
          <w:szCs w:val="22"/>
        </w:rPr>
      </w:pPr>
    </w:p>
    <w:p w:rsidR="00657AD1" w:rsidRPr="00526D32" w:rsidRDefault="00657AD1" w:rsidP="00657AD1">
      <w:pPr>
        <w:numPr>
          <w:ilvl w:val="0"/>
          <w:numId w:val="6"/>
        </w:numPr>
        <w:shd w:val="clear" w:color="auto" w:fill="FFFFFF"/>
        <w:spacing w:line="276" w:lineRule="auto"/>
        <w:ind w:left="0" w:firstLine="360"/>
        <w:contextualSpacing/>
        <w:rPr>
          <w:rFonts w:asciiTheme="minorHAnsi" w:hAnsiTheme="minorHAnsi" w:cstheme="minorHAnsi"/>
          <w:sz w:val="22"/>
          <w:szCs w:val="22"/>
        </w:rPr>
      </w:pPr>
      <w:r w:rsidRPr="00526D32">
        <w:rPr>
          <w:rFonts w:asciiTheme="minorHAnsi" w:hAnsiTheme="minorHAnsi" w:cstheme="minorHAnsi"/>
          <w:b/>
          <w:sz w:val="22"/>
          <w:szCs w:val="22"/>
        </w:rPr>
        <w:t>Povećanje opšte stope PDV-a sa 19% na 21%</w:t>
      </w:r>
      <w:r w:rsidRPr="00526D32">
        <w:rPr>
          <w:rFonts w:asciiTheme="minorHAnsi" w:hAnsiTheme="minorHAnsi" w:cstheme="minorHAnsi"/>
          <w:b/>
          <w:sz w:val="22"/>
          <w:szCs w:val="22"/>
          <w:vertAlign w:val="superscript"/>
        </w:rPr>
        <w:footnoteReference w:id="16"/>
      </w:r>
      <w:r w:rsidRPr="00526D32">
        <w:rPr>
          <w:rFonts w:asciiTheme="minorHAnsi" w:hAnsiTheme="minorHAnsi" w:cstheme="minorHAnsi"/>
          <w:sz w:val="22"/>
          <w:szCs w:val="22"/>
        </w:rPr>
        <w:t>.</w:t>
      </w:r>
      <w:r w:rsidRPr="00526D32">
        <w:rPr>
          <w:rFonts w:asciiTheme="minorHAnsi" w:hAnsiTheme="minorHAnsi" w:cstheme="minorHAnsi"/>
          <w:b/>
          <w:sz w:val="22"/>
          <w:szCs w:val="22"/>
        </w:rPr>
        <w:t xml:space="preserve"> </w:t>
      </w:r>
      <w:r w:rsidRPr="00526D32">
        <w:rPr>
          <w:rFonts w:asciiTheme="minorHAnsi" w:hAnsiTheme="minorHAnsi" w:cstheme="minorHAnsi"/>
          <w:sz w:val="22"/>
          <w:szCs w:val="22"/>
        </w:rPr>
        <w:t>Povećanjem stope PDV-a poveća</w:t>
      </w:r>
      <w:r w:rsidR="0022636C">
        <w:rPr>
          <w:rFonts w:asciiTheme="minorHAnsi" w:hAnsiTheme="minorHAnsi" w:cstheme="minorHAnsi"/>
          <w:sz w:val="22"/>
          <w:szCs w:val="22"/>
        </w:rPr>
        <w:t>će se</w:t>
      </w:r>
      <w:r w:rsidRPr="00526D32">
        <w:rPr>
          <w:rFonts w:asciiTheme="minorHAnsi" w:hAnsiTheme="minorHAnsi" w:cstheme="minorHAnsi"/>
          <w:sz w:val="22"/>
          <w:szCs w:val="22"/>
        </w:rPr>
        <w:t xml:space="preserve"> prihodi budžeta, pri čemu se ne očekuje </w:t>
      </w:r>
      <w:r>
        <w:rPr>
          <w:rFonts w:asciiTheme="minorHAnsi" w:hAnsiTheme="minorHAnsi" w:cstheme="minorHAnsi"/>
          <w:sz w:val="22"/>
          <w:szCs w:val="22"/>
        </w:rPr>
        <w:t>značajniji</w:t>
      </w:r>
      <w:r w:rsidRPr="00526D32">
        <w:rPr>
          <w:rFonts w:asciiTheme="minorHAnsi" w:hAnsiTheme="minorHAnsi" w:cstheme="minorHAnsi"/>
          <w:sz w:val="22"/>
          <w:szCs w:val="22"/>
        </w:rPr>
        <w:t xml:space="preserve"> uticaj na privrednu aktivnost i konkurentnost, s obzirom na to da je i stopa PDV-a od 21% niža u odnosu na veći broj zemalja, kako u regionu, tako i u Evropi. Početak realizacij</w:t>
      </w:r>
      <w:r>
        <w:rPr>
          <w:rFonts w:asciiTheme="minorHAnsi" w:hAnsiTheme="minorHAnsi" w:cstheme="minorHAnsi"/>
          <w:sz w:val="22"/>
          <w:szCs w:val="22"/>
        </w:rPr>
        <w:t>e</w:t>
      </w:r>
      <w:r w:rsidRPr="00526D32">
        <w:rPr>
          <w:rFonts w:asciiTheme="minorHAnsi" w:hAnsiTheme="minorHAnsi" w:cstheme="minorHAnsi"/>
          <w:sz w:val="22"/>
          <w:szCs w:val="22"/>
        </w:rPr>
        <w:t xml:space="preserve"> ove mjere planiran je za 01. januar 2018. godine.</w:t>
      </w:r>
    </w:p>
    <w:p w:rsidR="00657AD1" w:rsidRPr="00526D32" w:rsidRDefault="00657AD1" w:rsidP="00657AD1">
      <w:pPr>
        <w:spacing w:line="276" w:lineRule="auto"/>
        <w:rPr>
          <w:rFonts w:asciiTheme="minorHAnsi" w:hAnsiTheme="minorHAnsi" w:cstheme="minorHAnsi"/>
          <w:sz w:val="22"/>
          <w:szCs w:val="22"/>
        </w:rPr>
      </w:pPr>
    </w:p>
    <w:p w:rsidR="00657AD1" w:rsidRPr="00526D32" w:rsidRDefault="00657AD1" w:rsidP="00657AD1">
      <w:pPr>
        <w:spacing w:line="276" w:lineRule="auto"/>
        <w:rPr>
          <w:rFonts w:asciiTheme="minorHAnsi" w:hAnsiTheme="minorHAnsi" w:cstheme="minorHAnsi"/>
          <w:sz w:val="22"/>
          <w:szCs w:val="22"/>
        </w:rPr>
      </w:pPr>
      <w:r w:rsidRPr="00526D32">
        <w:rPr>
          <w:rFonts w:asciiTheme="minorHAnsi" w:hAnsiTheme="minorHAnsi" w:cstheme="minorHAnsi"/>
          <w:i/>
          <w:sz w:val="22"/>
          <w:szCs w:val="22"/>
        </w:rPr>
        <w:t>Fiskalne implikacije mjere</w:t>
      </w:r>
      <w:r w:rsidRPr="00526D32">
        <w:rPr>
          <w:rFonts w:asciiTheme="minorHAnsi" w:hAnsiTheme="minorHAnsi" w:cstheme="minorHAnsi"/>
          <w:b/>
          <w:i/>
          <w:sz w:val="22"/>
          <w:szCs w:val="22"/>
        </w:rPr>
        <w:t xml:space="preserve">. </w:t>
      </w:r>
      <w:r w:rsidRPr="00526D32">
        <w:rPr>
          <w:rFonts w:asciiTheme="minorHAnsi" w:hAnsiTheme="minorHAnsi" w:cstheme="minorHAnsi"/>
          <w:sz w:val="22"/>
          <w:szCs w:val="22"/>
        </w:rPr>
        <w:t xml:space="preserve">Procijenjuje se da će povećanje stope PDV-a za 2 p.p. efektuirati povećanjem prihoda budžeta za 42,8 mil.€, na godišnjem nivou. </w:t>
      </w:r>
      <w:r>
        <w:rPr>
          <w:rFonts w:asciiTheme="minorHAnsi" w:hAnsiTheme="minorHAnsi" w:cstheme="minorHAnsi"/>
          <w:sz w:val="22"/>
          <w:szCs w:val="22"/>
        </w:rPr>
        <w:t xml:space="preserve">Pri tome, </w:t>
      </w:r>
      <w:r w:rsidRPr="00526D32">
        <w:rPr>
          <w:rFonts w:asciiTheme="minorHAnsi" w:hAnsiTheme="minorHAnsi" w:cstheme="minorHAnsi"/>
          <w:sz w:val="22"/>
          <w:szCs w:val="22"/>
        </w:rPr>
        <w:t>najvažnij</w:t>
      </w:r>
      <w:r>
        <w:rPr>
          <w:rFonts w:asciiTheme="minorHAnsi" w:hAnsiTheme="minorHAnsi" w:cstheme="minorHAnsi"/>
          <w:sz w:val="22"/>
          <w:szCs w:val="22"/>
        </w:rPr>
        <w:t>e</w:t>
      </w:r>
      <w:r w:rsidRPr="00526D32">
        <w:rPr>
          <w:rFonts w:asciiTheme="minorHAnsi" w:hAnsiTheme="minorHAnsi" w:cstheme="minorHAnsi"/>
          <w:sz w:val="22"/>
          <w:szCs w:val="22"/>
        </w:rPr>
        <w:t xml:space="preserve"> životn</w:t>
      </w:r>
      <w:r>
        <w:rPr>
          <w:rFonts w:asciiTheme="minorHAnsi" w:hAnsiTheme="minorHAnsi" w:cstheme="minorHAnsi"/>
          <w:sz w:val="22"/>
          <w:szCs w:val="22"/>
        </w:rPr>
        <w:t>e</w:t>
      </w:r>
      <w:r w:rsidRPr="00526D32">
        <w:rPr>
          <w:rFonts w:asciiTheme="minorHAnsi" w:hAnsiTheme="minorHAnsi" w:cstheme="minorHAnsi"/>
          <w:sz w:val="22"/>
          <w:szCs w:val="22"/>
        </w:rPr>
        <w:t xml:space="preserve"> namirnic</w:t>
      </w:r>
      <w:r>
        <w:rPr>
          <w:rFonts w:asciiTheme="minorHAnsi" w:hAnsiTheme="minorHAnsi" w:cstheme="minorHAnsi"/>
          <w:sz w:val="22"/>
          <w:szCs w:val="22"/>
        </w:rPr>
        <w:t>e</w:t>
      </w:r>
      <w:r w:rsidRPr="00526D32">
        <w:rPr>
          <w:rFonts w:asciiTheme="minorHAnsi" w:hAnsiTheme="minorHAnsi" w:cstheme="minorHAnsi"/>
          <w:sz w:val="22"/>
          <w:szCs w:val="22"/>
        </w:rPr>
        <w:t xml:space="preserve"> će se i dalje oporezovati po stopi od 7%, </w:t>
      </w:r>
      <w:r>
        <w:rPr>
          <w:rFonts w:asciiTheme="minorHAnsi" w:hAnsiTheme="minorHAnsi" w:cstheme="minorHAnsi"/>
          <w:sz w:val="22"/>
          <w:szCs w:val="22"/>
        </w:rPr>
        <w:t>tako da se</w:t>
      </w:r>
      <w:r w:rsidRPr="00526D32">
        <w:rPr>
          <w:rFonts w:asciiTheme="minorHAnsi" w:hAnsiTheme="minorHAnsi" w:cstheme="minorHAnsi"/>
          <w:sz w:val="22"/>
          <w:szCs w:val="22"/>
        </w:rPr>
        <w:t xml:space="preserve"> neće ugroziti standard ekonomski ranjivih kategorija stanovništva.</w:t>
      </w:r>
    </w:p>
    <w:p w:rsidR="008E5B78" w:rsidRPr="00A10829" w:rsidRDefault="008E5B78" w:rsidP="00A10829">
      <w:pPr>
        <w:spacing w:line="276" w:lineRule="auto"/>
        <w:contextualSpacing/>
        <w:rPr>
          <w:rFonts w:asciiTheme="minorHAnsi" w:hAnsiTheme="minorHAnsi" w:cstheme="minorHAnsi"/>
          <w:sz w:val="22"/>
          <w:szCs w:val="22"/>
        </w:rPr>
      </w:pPr>
    </w:p>
    <w:p w:rsidR="008E5B78" w:rsidRDefault="008E5B78" w:rsidP="0048511B">
      <w:pPr>
        <w:spacing w:line="276" w:lineRule="auto"/>
        <w:rPr>
          <w:rFonts w:asciiTheme="minorHAnsi" w:hAnsiTheme="minorHAnsi" w:cstheme="minorHAnsi"/>
          <w:sz w:val="22"/>
          <w:szCs w:val="22"/>
        </w:rPr>
      </w:pPr>
      <w:r w:rsidRPr="00526D32">
        <w:rPr>
          <w:rFonts w:asciiTheme="minorHAnsi" w:hAnsiTheme="minorHAnsi" w:cstheme="minorHAnsi"/>
          <w:b/>
          <w:sz w:val="22"/>
          <w:szCs w:val="22"/>
        </w:rPr>
        <w:t>Smanjenje budžetskih rashoda ostvariće se uz odgovarajuće mjere racionalizacije i štednje.</w:t>
      </w:r>
      <w:r w:rsidRPr="00526D32">
        <w:rPr>
          <w:rFonts w:asciiTheme="minorHAnsi" w:hAnsiTheme="minorHAnsi" w:cstheme="minorHAnsi"/>
          <w:sz w:val="22"/>
          <w:szCs w:val="22"/>
        </w:rPr>
        <w:t xml:space="preserve"> Prilikom njihovog koncipiranja, vodilo se računa da se utvrdi set mjera koji će imati najmanji negativni uticaj na privredni rast i životni standard.</w:t>
      </w:r>
      <w:r w:rsidR="0022636C">
        <w:rPr>
          <w:rFonts w:asciiTheme="minorHAnsi" w:hAnsiTheme="minorHAnsi" w:cstheme="minorHAnsi"/>
          <w:sz w:val="22"/>
          <w:szCs w:val="22"/>
        </w:rPr>
        <w:t xml:space="preserve"> </w:t>
      </w:r>
      <w:r w:rsidRPr="00526D32">
        <w:rPr>
          <w:rFonts w:asciiTheme="minorHAnsi" w:hAnsiTheme="minorHAnsi" w:cstheme="minorHAnsi"/>
          <w:sz w:val="22"/>
          <w:szCs w:val="22"/>
        </w:rPr>
        <w:t>U skladu sa navedenim, realizovaće se sljedeće mjere:</w:t>
      </w:r>
    </w:p>
    <w:p w:rsidR="008E5B78" w:rsidRPr="00526D32" w:rsidRDefault="008E5B78" w:rsidP="0048511B">
      <w:pPr>
        <w:spacing w:line="276" w:lineRule="auto"/>
        <w:rPr>
          <w:rFonts w:asciiTheme="minorHAnsi" w:hAnsiTheme="minorHAnsi" w:cstheme="minorHAnsi"/>
          <w:b/>
          <w:bCs/>
          <w:sz w:val="22"/>
          <w:szCs w:val="22"/>
        </w:rPr>
      </w:pPr>
    </w:p>
    <w:p w:rsidR="008E5B78" w:rsidRPr="00526D32" w:rsidRDefault="008E5B78" w:rsidP="0048511B">
      <w:pPr>
        <w:numPr>
          <w:ilvl w:val="0"/>
          <w:numId w:val="6"/>
        </w:numPr>
        <w:spacing w:line="276" w:lineRule="auto"/>
        <w:ind w:left="0" w:firstLine="360"/>
        <w:contextualSpacing/>
        <w:rPr>
          <w:rFonts w:asciiTheme="minorHAnsi" w:hAnsiTheme="minorHAnsi" w:cstheme="minorHAnsi"/>
          <w:sz w:val="22"/>
          <w:szCs w:val="22"/>
        </w:rPr>
      </w:pPr>
      <w:r w:rsidRPr="00526D32">
        <w:rPr>
          <w:rFonts w:asciiTheme="minorHAnsi" w:hAnsiTheme="minorHAnsi" w:cstheme="minorHAnsi"/>
          <w:b/>
          <w:bCs/>
          <w:sz w:val="22"/>
          <w:szCs w:val="22"/>
        </w:rPr>
        <w:t>Smanjenje fonda bruto zarada</w:t>
      </w:r>
      <w:r w:rsidRPr="00526D32">
        <w:rPr>
          <w:rFonts w:asciiTheme="minorHAnsi" w:hAnsiTheme="minorHAnsi" w:cstheme="minorHAnsi"/>
          <w:bCs/>
          <w:sz w:val="22"/>
          <w:szCs w:val="22"/>
        </w:rPr>
        <w:t xml:space="preserve">. </w:t>
      </w:r>
      <w:r w:rsidRPr="00526D32">
        <w:rPr>
          <w:rFonts w:asciiTheme="minorHAnsi" w:hAnsiTheme="minorHAnsi" w:cstheme="minorHAnsi"/>
          <w:sz w:val="22"/>
          <w:szCs w:val="22"/>
        </w:rPr>
        <w:t xml:space="preserve">Izdvajanja za bruto zarade smanjiće se po osnovu </w:t>
      </w:r>
      <w:r w:rsidR="0048511B">
        <w:rPr>
          <w:rFonts w:asciiTheme="minorHAnsi" w:hAnsiTheme="minorHAnsi" w:cstheme="minorHAnsi"/>
          <w:sz w:val="22"/>
          <w:szCs w:val="22"/>
        </w:rPr>
        <w:t>smanjenja izdvajanja za</w:t>
      </w:r>
      <w:r w:rsidRPr="00526D32">
        <w:rPr>
          <w:rFonts w:asciiTheme="minorHAnsi" w:hAnsiTheme="minorHAnsi" w:cstheme="minorHAnsi"/>
          <w:sz w:val="22"/>
          <w:szCs w:val="22"/>
        </w:rPr>
        <w:t xml:space="preserve"> varijabiln</w:t>
      </w:r>
      <w:r w:rsidR="0048511B">
        <w:rPr>
          <w:rFonts w:asciiTheme="minorHAnsi" w:hAnsiTheme="minorHAnsi" w:cstheme="minorHAnsi"/>
          <w:sz w:val="22"/>
          <w:szCs w:val="22"/>
        </w:rPr>
        <w:t>i</w:t>
      </w:r>
      <w:r w:rsidRPr="00526D32">
        <w:rPr>
          <w:rFonts w:asciiTheme="minorHAnsi" w:hAnsiTheme="minorHAnsi" w:cstheme="minorHAnsi"/>
          <w:sz w:val="22"/>
          <w:szCs w:val="22"/>
        </w:rPr>
        <w:t xml:space="preserve"> di</w:t>
      </w:r>
      <w:r w:rsidR="0048511B">
        <w:rPr>
          <w:rFonts w:asciiTheme="minorHAnsi" w:hAnsiTheme="minorHAnsi" w:cstheme="minorHAnsi"/>
          <w:sz w:val="22"/>
          <w:szCs w:val="22"/>
        </w:rPr>
        <w:t>o</w:t>
      </w:r>
      <w:r w:rsidR="00D65B2F">
        <w:rPr>
          <w:rFonts w:asciiTheme="minorHAnsi" w:hAnsiTheme="minorHAnsi" w:cstheme="minorHAnsi"/>
          <w:sz w:val="22"/>
          <w:szCs w:val="22"/>
        </w:rPr>
        <w:t xml:space="preserve"> zarade i </w:t>
      </w:r>
      <w:r w:rsidRPr="00526D32">
        <w:rPr>
          <w:rFonts w:asciiTheme="minorHAnsi" w:hAnsiTheme="minorHAnsi" w:cstheme="minorHAnsi"/>
          <w:sz w:val="22"/>
          <w:szCs w:val="22"/>
        </w:rPr>
        <w:t xml:space="preserve">zapošljavanja, </w:t>
      </w:r>
      <w:r w:rsidR="00D65B2F">
        <w:rPr>
          <w:rFonts w:asciiTheme="minorHAnsi" w:hAnsiTheme="minorHAnsi" w:cstheme="minorHAnsi"/>
          <w:sz w:val="22"/>
          <w:szCs w:val="22"/>
        </w:rPr>
        <w:t xml:space="preserve">pri čemu će se voditi računa o </w:t>
      </w:r>
      <w:r w:rsidR="0018241D">
        <w:rPr>
          <w:rFonts w:asciiTheme="minorHAnsi" w:hAnsiTheme="minorHAnsi" w:cstheme="minorHAnsi"/>
          <w:sz w:val="22"/>
          <w:szCs w:val="22"/>
        </w:rPr>
        <w:t xml:space="preserve">potrebi </w:t>
      </w:r>
      <w:r w:rsidR="00D65B2F">
        <w:rPr>
          <w:rFonts w:asciiTheme="minorHAnsi" w:hAnsiTheme="minorHAnsi" w:cstheme="minorHAnsi"/>
          <w:sz w:val="22"/>
          <w:szCs w:val="22"/>
        </w:rPr>
        <w:t>jačan</w:t>
      </w:r>
      <w:r w:rsidR="0055701F">
        <w:rPr>
          <w:rFonts w:asciiTheme="minorHAnsi" w:hAnsiTheme="minorHAnsi" w:cstheme="minorHAnsi"/>
          <w:sz w:val="22"/>
          <w:szCs w:val="22"/>
        </w:rPr>
        <w:t>ja kapaciteta državnih organa</w:t>
      </w:r>
      <w:r w:rsidR="00D65B2F">
        <w:rPr>
          <w:rFonts w:asciiTheme="minorHAnsi" w:hAnsiTheme="minorHAnsi" w:cstheme="minorHAnsi"/>
          <w:sz w:val="22"/>
          <w:szCs w:val="22"/>
        </w:rPr>
        <w:t xml:space="preserve"> </w:t>
      </w:r>
      <w:r w:rsidR="0018241D">
        <w:rPr>
          <w:rFonts w:asciiTheme="minorHAnsi" w:hAnsiTheme="minorHAnsi" w:cstheme="minorHAnsi"/>
          <w:sz w:val="22"/>
          <w:szCs w:val="22"/>
        </w:rPr>
        <w:t>neophodnih za dalje sprovođenje procesa integracije u EU</w:t>
      </w:r>
      <w:r w:rsidR="0018241D">
        <w:rPr>
          <w:rStyle w:val="FootnoteReference"/>
          <w:rFonts w:asciiTheme="minorHAnsi" w:hAnsiTheme="minorHAnsi" w:cstheme="minorHAnsi"/>
          <w:sz w:val="22"/>
          <w:szCs w:val="22"/>
        </w:rPr>
        <w:footnoteReference w:id="17"/>
      </w:r>
      <w:r w:rsidRPr="00526D32">
        <w:rPr>
          <w:rFonts w:asciiTheme="minorHAnsi" w:hAnsiTheme="minorHAnsi" w:cstheme="minorHAnsi"/>
          <w:sz w:val="22"/>
          <w:szCs w:val="22"/>
        </w:rPr>
        <w:t>. Po ovom osnovu, rashodi budžeta će se smanjiti za 3,5 mil. € u periodu 2017-2020. godine.</w:t>
      </w:r>
    </w:p>
    <w:p w:rsidR="008E5B78" w:rsidRPr="00526D32" w:rsidRDefault="008E5B78" w:rsidP="0048511B">
      <w:pPr>
        <w:spacing w:line="276" w:lineRule="auto"/>
        <w:rPr>
          <w:rFonts w:asciiTheme="minorHAnsi" w:hAnsiTheme="minorHAnsi" w:cstheme="minorHAnsi"/>
          <w:sz w:val="22"/>
          <w:szCs w:val="22"/>
        </w:rPr>
      </w:pPr>
    </w:p>
    <w:p w:rsidR="00A10829" w:rsidRPr="000D344F" w:rsidRDefault="008E5B78" w:rsidP="00A10829">
      <w:pPr>
        <w:numPr>
          <w:ilvl w:val="0"/>
          <w:numId w:val="6"/>
        </w:numPr>
        <w:spacing w:line="276" w:lineRule="auto"/>
        <w:ind w:left="0" w:firstLine="360"/>
        <w:contextualSpacing/>
        <w:rPr>
          <w:rFonts w:asciiTheme="minorHAnsi" w:hAnsiTheme="minorHAnsi" w:cstheme="minorHAnsi"/>
          <w:color w:val="auto"/>
          <w:sz w:val="22"/>
          <w:szCs w:val="22"/>
        </w:rPr>
      </w:pPr>
      <w:r w:rsidRPr="000D344F">
        <w:rPr>
          <w:rFonts w:asciiTheme="minorHAnsi" w:hAnsiTheme="minorHAnsi" w:cstheme="minorHAnsi"/>
          <w:b/>
          <w:sz w:val="22"/>
          <w:szCs w:val="22"/>
        </w:rPr>
        <w:t>Smanjenje koeficijenta zarada za 1%</w:t>
      </w:r>
      <w:r w:rsidRPr="00526D32">
        <w:rPr>
          <w:rStyle w:val="FootnoteReference"/>
          <w:rFonts w:asciiTheme="minorHAnsi" w:hAnsiTheme="minorHAnsi" w:cstheme="minorHAnsi"/>
          <w:b/>
          <w:sz w:val="22"/>
          <w:szCs w:val="22"/>
        </w:rPr>
        <w:footnoteReference w:id="18"/>
      </w:r>
      <w:r w:rsidRPr="000D344F">
        <w:rPr>
          <w:rFonts w:asciiTheme="minorHAnsi" w:hAnsiTheme="minorHAnsi" w:cstheme="minorHAnsi"/>
          <w:sz w:val="22"/>
          <w:szCs w:val="22"/>
        </w:rPr>
        <w:t>.</w:t>
      </w:r>
      <w:r w:rsidR="000D344F" w:rsidRPr="000D344F">
        <w:rPr>
          <w:rFonts w:asciiTheme="minorHAnsi" w:eastAsia="Arial Unicode MS" w:hAnsiTheme="minorHAnsi" w:cstheme="minorHAnsi"/>
          <w:bCs/>
          <w:color w:val="FF0000"/>
          <w:sz w:val="22"/>
          <w:szCs w:val="22"/>
        </w:rPr>
        <w:t xml:space="preserve"> </w:t>
      </w:r>
      <w:r w:rsidR="000D344F" w:rsidRPr="000D344F">
        <w:rPr>
          <w:rFonts w:asciiTheme="minorHAnsi" w:eastAsia="Arial Unicode MS" w:hAnsiTheme="minorHAnsi" w:cstheme="minorHAnsi"/>
          <w:bCs/>
          <w:color w:val="auto"/>
          <w:sz w:val="22"/>
          <w:szCs w:val="22"/>
        </w:rPr>
        <w:t xml:space="preserve">U skladu sa </w:t>
      </w:r>
      <w:r w:rsidR="0022636C" w:rsidRPr="000D344F">
        <w:rPr>
          <w:rFonts w:asciiTheme="minorHAnsi" w:eastAsia="Arial Unicode MS" w:hAnsiTheme="minorHAnsi" w:cstheme="minorHAnsi"/>
          <w:bCs/>
          <w:color w:val="auto"/>
          <w:sz w:val="22"/>
          <w:szCs w:val="22"/>
        </w:rPr>
        <w:t xml:space="preserve">Zakonom o izmjenama i dopunama Zakona o zaradama zaposlenih u javnom sektoru, od aprila 2017. i 2018. godine </w:t>
      </w:r>
      <w:r w:rsidR="0022636C" w:rsidRPr="000D344F">
        <w:rPr>
          <w:rFonts w:asciiTheme="minorHAnsi" w:hAnsiTheme="minorHAnsi" w:cstheme="minorHAnsi"/>
          <w:color w:val="auto"/>
          <w:sz w:val="22"/>
          <w:szCs w:val="22"/>
        </w:rPr>
        <w:t>osnovna zarada zaposlenima koji imaju koeficijent iznad 4,10 umanjena je za 1 %.</w:t>
      </w:r>
    </w:p>
    <w:p w:rsidR="000D344F" w:rsidRPr="000D344F" w:rsidRDefault="000D344F" w:rsidP="000D344F">
      <w:pPr>
        <w:spacing w:line="276" w:lineRule="auto"/>
        <w:contextualSpacing/>
        <w:rPr>
          <w:rFonts w:asciiTheme="minorHAnsi" w:hAnsiTheme="minorHAnsi" w:cstheme="minorHAnsi"/>
          <w:sz w:val="22"/>
          <w:szCs w:val="22"/>
        </w:rPr>
      </w:pPr>
    </w:p>
    <w:p w:rsidR="00662FC2" w:rsidRPr="00A10829" w:rsidRDefault="008E5B78" w:rsidP="00A10829">
      <w:pPr>
        <w:spacing w:line="276" w:lineRule="auto"/>
        <w:contextualSpacing/>
        <w:rPr>
          <w:rFonts w:asciiTheme="minorHAnsi" w:hAnsiTheme="minorHAnsi" w:cstheme="minorHAnsi"/>
          <w:sz w:val="22"/>
          <w:szCs w:val="22"/>
        </w:rPr>
      </w:pPr>
      <w:r w:rsidRPr="00A10829">
        <w:rPr>
          <w:rFonts w:asciiTheme="minorHAnsi" w:hAnsiTheme="minorHAnsi" w:cstheme="minorHAnsi"/>
          <w:sz w:val="22"/>
          <w:szCs w:val="22"/>
        </w:rPr>
        <w:t>Očekivana ušteda po ovom osnovu u 2017. i 2018. godini iznosi</w:t>
      </w:r>
      <w:r w:rsidR="0048511B" w:rsidRPr="00A10829">
        <w:rPr>
          <w:rFonts w:asciiTheme="minorHAnsi" w:hAnsiTheme="minorHAnsi" w:cstheme="minorHAnsi"/>
          <w:sz w:val="22"/>
          <w:szCs w:val="22"/>
        </w:rPr>
        <w:t>će</w:t>
      </w:r>
      <w:r w:rsidRPr="00A10829">
        <w:rPr>
          <w:rFonts w:asciiTheme="minorHAnsi" w:hAnsiTheme="minorHAnsi" w:cstheme="minorHAnsi"/>
          <w:sz w:val="22"/>
          <w:szCs w:val="22"/>
        </w:rPr>
        <w:t xml:space="preserve"> 2,8 mil.€, na godišnjem nivou</w:t>
      </w:r>
      <w:r w:rsidR="0048511B" w:rsidRPr="00A10829">
        <w:rPr>
          <w:rFonts w:asciiTheme="minorHAnsi" w:hAnsiTheme="minorHAnsi" w:cstheme="minorHAnsi"/>
          <w:sz w:val="22"/>
          <w:szCs w:val="22"/>
        </w:rPr>
        <w:t>,</w:t>
      </w:r>
      <w:r w:rsidRPr="00A10829">
        <w:rPr>
          <w:rFonts w:asciiTheme="minorHAnsi" w:hAnsiTheme="minorHAnsi" w:cstheme="minorHAnsi"/>
          <w:sz w:val="22"/>
          <w:szCs w:val="22"/>
        </w:rPr>
        <w:t xml:space="preserve"> što je ekvivalentno fiskalnom uticaju smanjenja zarada po osnovu neuvećavanja zarade po osnovu minulog rada. </w:t>
      </w:r>
      <w:r w:rsidR="0048511B" w:rsidRPr="00A10829">
        <w:rPr>
          <w:rFonts w:asciiTheme="minorHAnsi" w:hAnsiTheme="minorHAnsi" w:cstheme="minorHAnsi"/>
          <w:sz w:val="22"/>
          <w:szCs w:val="22"/>
        </w:rPr>
        <w:t>Kako će se iznos umanjenih sredstava</w:t>
      </w:r>
      <w:r w:rsidR="0048511B" w:rsidRPr="00A10829">
        <w:rPr>
          <w:rFonts w:asciiTheme="minorHAnsi" w:eastAsia="Arial Unicode MS" w:hAnsiTheme="minorHAnsi" w:cstheme="minorHAnsi"/>
          <w:bCs/>
          <w:sz w:val="22"/>
          <w:szCs w:val="22"/>
        </w:rPr>
        <w:t xml:space="preserve"> zarada zaposlenima isplatiti u 2019. i 2020. godini, neto efekat ove mjere je neutralan.</w:t>
      </w:r>
    </w:p>
    <w:p w:rsidR="0048511B" w:rsidRPr="0048511B" w:rsidRDefault="0048511B" w:rsidP="0048511B">
      <w:pPr>
        <w:spacing w:line="276" w:lineRule="auto"/>
        <w:contextualSpacing/>
        <w:rPr>
          <w:rFonts w:asciiTheme="minorHAnsi" w:hAnsiTheme="minorHAnsi" w:cstheme="minorHAnsi"/>
          <w:sz w:val="22"/>
          <w:szCs w:val="22"/>
        </w:rPr>
      </w:pPr>
    </w:p>
    <w:p w:rsidR="008E5B78" w:rsidRPr="00526D32" w:rsidRDefault="008E5B78" w:rsidP="0048511B">
      <w:pPr>
        <w:numPr>
          <w:ilvl w:val="0"/>
          <w:numId w:val="21"/>
        </w:numPr>
        <w:spacing w:line="276" w:lineRule="auto"/>
        <w:ind w:left="0" w:firstLine="284"/>
        <w:contextualSpacing/>
        <w:rPr>
          <w:rFonts w:asciiTheme="minorHAnsi" w:hAnsiTheme="minorHAnsi" w:cstheme="minorHAnsi"/>
          <w:sz w:val="22"/>
          <w:szCs w:val="22"/>
        </w:rPr>
      </w:pPr>
      <w:r w:rsidRPr="00526D32">
        <w:rPr>
          <w:rFonts w:asciiTheme="minorHAnsi" w:eastAsia="Arial Unicode MS" w:hAnsiTheme="minorHAnsi" w:cstheme="minorHAnsi"/>
          <w:b/>
          <w:sz w:val="22"/>
          <w:szCs w:val="22"/>
        </w:rPr>
        <w:t>Smanjenje zarada za grupe poslova A, B i C za 6% (bruto efekat)</w:t>
      </w:r>
      <w:r w:rsidRPr="00526D32">
        <w:rPr>
          <w:rFonts w:asciiTheme="minorHAnsi" w:eastAsia="Arial Unicode MS" w:hAnsiTheme="minorHAnsi" w:cstheme="minorHAnsi"/>
          <w:sz w:val="22"/>
          <w:szCs w:val="22"/>
        </w:rPr>
        <w:t xml:space="preserve">. </w:t>
      </w:r>
      <w:r w:rsidRPr="00526D32">
        <w:rPr>
          <w:rFonts w:asciiTheme="minorHAnsi" w:hAnsiTheme="minorHAnsi" w:cstheme="minorHAnsi"/>
          <w:sz w:val="22"/>
          <w:szCs w:val="22"/>
        </w:rPr>
        <w:t>Linearno će se smanjiti koeficijenti za 6% za grupe poslova A, B, i C, u dijelu smanjenja rashoda po osnovu bruto zarada i doprinosa na teret poslodavca. Planirane uštede za posmatrani period iznose 1,7 mil. €</w:t>
      </w:r>
      <w:r w:rsidRPr="00526D32">
        <w:rPr>
          <w:rStyle w:val="FootnoteReference"/>
          <w:rFonts w:asciiTheme="minorHAnsi" w:hAnsiTheme="minorHAnsi" w:cstheme="minorHAnsi"/>
          <w:sz w:val="22"/>
          <w:szCs w:val="22"/>
        </w:rPr>
        <w:footnoteReference w:id="19"/>
      </w:r>
      <w:r w:rsidRPr="00526D32">
        <w:rPr>
          <w:rFonts w:asciiTheme="minorHAnsi" w:hAnsiTheme="minorHAnsi" w:cstheme="minorHAnsi"/>
          <w:sz w:val="22"/>
          <w:szCs w:val="22"/>
        </w:rPr>
        <w:t xml:space="preserve">. </w:t>
      </w:r>
    </w:p>
    <w:p w:rsidR="000D344F" w:rsidRPr="000D344F" w:rsidRDefault="000D344F" w:rsidP="000D344F">
      <w:pPr>
        <w:spacing w:line="276" w:lineRule="auto"/>
        <w:rPr>
          <w:rFonts w:asciiTheme="minorHAnsi" w:eastAsia="Arial Unicode MS" w:hAnsiTheme="minorHAnsi" w:cstheme="minorHAnsi"/>
          <w:b/>
          <w:color w:val="auto"/>
          <w:sz w:val="22"/>
          <w:szCs w:val="22"/>
        </w:rPr>
      </w:pPr>
    </w:p>
    <w:p w:rsidR="000D344F" w:rsidRPr="000D344F" w:rsidRDefault="000D344F" w:rsidP="000D344F">
      <w:pPr>
        <w:spacing w:line="276" w:lineRule="auto"/>
        <w:rPr>
          <w:rFonts w:asciiTheme="minorHAnsi" w:hAnsiTheme="minorHAnsi" w:cstheme="minorHAnsi"/>
          <w:color w:val="auto"/>
          <w:sz w:val="22"/>
          <w:szCs w:val="22"/>
        </w:rPr>
      </w:pPr>
      <w:r w:rsidRPr="000D344F">
        <w:rPr>
          <w:rFonts w:asciiTheme="minorHAnsi" w:eastAsia="Arial Unicode MS" w:hAnsiTheme="minorHAnsi" w:cstheme="minorHAnsi"/>
          <w:color w:val="auto"/>
          <w:sz w:val="22"/>
          <w:szCs w:val="22"/>
        </w:rPr>
        <w:t>Početak primjena ove mjere, kroz izmjene Zakona o zaradama zaposlenih u javnom sektoru, planiran je za 1. jul 2017. godine.</w:t>
      </w:r>
    </w:p>
    <w:p w:rsidR="008E5B78" w:rsidRDefault="008E5B78" w:rsidP="0048511B">
      <w:pPr>
        <w:spacing w:line="276" w:lineRule="auto"/>
        <w:rPr>
          <w:rFonts w:asciiTheme="minorHAnsi" w:hAnsiTheme="minorHAnsi" w:cstheme="minorHAnsi"/>
          <w:sz w:val="22"/>
          <w:szCs w:val="22"/>
        </w:rPr>
      </w:pPr>
    </w:p>
    <w:p w:rsidR="00782BC6" w:rsidRPr="001575D2" w:rsidRDefault="00061369" w:rsidP="00061369">
      <w:pPr>
        <w:numPr>
          <w:ilvl w:val="0"/>
          <w:numId w:val="7"/>
        </w:numPr>
        <w:spacing w:line="276" w:lineRule="auto"/>
        <w:ind w:left="0" w:firstLine="360"/>
        <w:contextualSpacing/>
        <w:rPr>
          <w:rFonts w:asciiTheme="minorHAnsi" w:hAnsiTheme="minorHAnsi" w:cstheme="minorHAnsi"/>
          <w:color w:val="auto"/>
          <w:sz w:val="22"/>
          <w:szCs w:val="22"/>
        </w:rPr>
      </w:pPr>
      <w:r w:rsidRPr="001575D2">
        <w:rPr>
          <w:rFonts w:asciiTheme="minorHAnsi" w:hAnsiTheme="minorHAnsi" w:cstheme="minorHAnsi"/>
          <w:b/>
          <w:color w:val="auto"/>
          <w:sz w:val="22"/>
          <w:szCs w:val="22"/>
        </w:rPr>
        <w:t xml:space="preserve">Smanjenje izdataka za socijalna davanja. </w:t>
      </w:r>
      <w:r w:rsidR="00782BC6" w:rsidRPr="001575D2">
        <w:rPr>
          <w:rFonts w:asciiTheme="minorHAnsi" w:hAnsiTheme="minorHAnsi" w:cstheme="minorHAnsi"/>
          <w:color w:val="auto"/>
          <w:sz w:val="22"/>
          <w:szCs w:val="22"/>
        </w:rPr>
        <w:t>Redefinisanje politike socijalnih davanja</w:t>
      </w:r>
      <w:r w:rsidRPr="001575D2">
        <w:rPr>
          <w:rFonts w:asciiTheme="minorHAnsi" w:hAnsiTheme="minorHAnsi" w:cstheme="minorHAnsi"/>
          <w:color w:val="auto"/>
          <w:sz w:val="22"/>
          <w:szCs w:val="22"/>
        </w:rPr>
        <w:t>, posebno mjera u dijelu naknada majkama sa troje i više djece</w:t>
      </w:r>
      <w:r w:rsidRPr="001575D2">
        <w:rPr>
          <w:rFonts w:asciiTheme="minorHAnsi" w:hAnsiTheme="minorHAnsi" w:cstheme="minorHAnsi"/>
          <w:color w:val="auto"/>
          <w:sz w:val="22"/>
          <w:szCs w:val="22"/>
          <w:vertAlign w:val="superscript"/>
        </w:rPr>
        <w:footnoteReference w:id="20"/>
      </w:r>
      <w:r w:rsidRPr="001575D2">
        <w:rPr>
          <w:rFonts w:asciiTheme="minorHAnsi" w:hAnsiTheme="minorHAnsi" w:cstheme="minorHAnsi"/>
          <w:color w:val="auto"/>
          <w:sz w:val="22"/>
          <w:szCs w:val="22"/>
        </w:rPr>
        <w:t xml:space="preserve">, </w:t>
      </w:r>
      <w:r w:rsidR="00782BC6" w:rsidRPr="001575D2">
        <w:rPr>
          <w:rFonts w:asciiTheme="minorHAnsi" w:hAnsiTheme="minorHAnsi" w:cstheme="minorHAnsi"/>
          <w:color w:val="auto"/>
          <w:sz w:val="22"/>
          <w:szCs w:val="22"/>
        </w:rPr>
        <w:t>podrazumijeva veći stepen pravednosti i nediskriminacije u raspodjeli socijalnih fondova. U cilju povećanja nataliteta, predlaže se povećanje iznosa dječijeg dodatka</w:t>
      </w:r>
      <w:r w:rsidR="001575D2" w:rsidRPr="001575D2">
        <w:rPr>
          <w:rFonts w:asciiTheme="minorHAnsi" w:hAnsiTheme="minorHAnsi" w:cstheme="minorHAnsi"/>
          <w:color w:val="auto"/>
          <w:sz w:val="22"/>
          <w:szCs w:val="22"/>
        </w:rPr>
        <w:t xml:space="preserve"> za djecu korisnike materijalnog obezbjeđenja porodice, djecu korisnika dodatka za tuđu njegu i pomoć, djecu korisnika lične invalidnine i za djecu bez roditeljskog staranja. Istovremeno,</w:t>
      </w:r>
      <w:r w:rsidR="00782BC6" w:rsidRPr="001575D2">
        <w:rPr>
          <w:rFonts w:asciiTheme="minorHAnsi" w:hAnsiTheme="minorHAnsi" w:cstheme="minorHAnsi"/>
          <w:color w:val="auto"/>
          <w:sz w:val="22"/>
          <w:szCs w:val="22"/>
        </w:rPr>
        <w:t xml:space="preserve"> redefinisa</w:t>
      </w:r>
      <w:r w:rsidR="001575D2" w:rsidRPr="001575D2">
        <w:rPr>
          <w:rFonts w:asciiTheme="minorHAnsi" w:hAnsiTheme="minorHAnsi" w:cstheme="minorHAnsi"/>
          <w:color w:val="auto"/>
          <w:sz w:val="22"/>
          <w:szCs w:val="22"/>
        </w:rPr>
        <w:t>će se i</w:t>
      </w:r>
      <w:r w:rsidR="00782BC6" w:rsidRPr="001575D2">
        <w:rPr>
          <w:rFonts w:asciiTheme="minorHAnsi" w:hAnsiTheme="minorHAnsi" w:cstheme="minorHAnsi"/>
          <w:color w:val="auto"/>
          <w:sz w:val="22"/>
          <w:szCs w:val="22"/>
        </w:rPr>
        <w:t xml:space="preserve"> uslov</w:t>
      </w:r>
      <w:r w:rsidR="001575D2" w:rsidRPr="001575D2">
        <w:rPr>
          <w:rFonts w:asciiTheme="minorHAnsi" w:hAnsiTheme="minorHAnsi" w:cstheme="minorHAnsi"/>
          <w:color w:val="auto"/>
          <w:sz w:val="22"/>
          <w:szCs w:val="22"/>
        </w:rPr>
        <w:t>i</w:t>
      </w:r>
      <w:r w:rsidR="00782BC6" w:rsidRPr="001575D2">
        <w:rPr>
          <w:rFonts w:asciiTheme="minorHAnsi" w:hAnsiTheme="minorHAnsi" w:cstheme="minorHAnsi"/>
          <w:color w:val="auto"/>
          <w:sz w:val="22"/>
          <w:szCs w:val="22"/>
        </w:rPr>
        <w:t xml:space="preserve"> za ostvarivanje prava na materijalno obezbjeđenje porodice</w:t>
      </w:r>
      <w:r w:rsidR="001575D2" w:rsidRPr="001575D2">
        <w:rPr>
          <w:rFonts w:asciiTheme="minorHAnsi" w:hAnsiTheme="minorHAnsi" w:cstheme="minorHAnsi"/>
          <w:color w:val="auto"/>
          <w:sz w:val="22"/>
          <w:szCs w:val="22"/>
        </w:rPr>
        <w:t>.</w:t>
      </w:r>
    </w:p>
    <w:p w:rsidR="000D344F" w:rsidRPr="000D344F" w:rsidRDefault="000D344F" w:rsidP="001575D2">
      <w:pPr>
        <w:spacing w:line="276" w:lineRule="auto"/>
        <w:rPr>
          <w:rFonts w:asciiTheme="minorHAnsi" w:hAnsiTheme="minorHAnsi" w:cstheme="minorHAnsi"/>
          <w:sz w:val="22"/>
          <w:szCs w:val="22"/>
        </w:rPr>
      </w:pPr>
    </w:p>
    <w:p w:rsidR="000D344F" w:rsidRPr="000D344F" w:rsidRDefault="000D344F" w:rsidP="000D344F">
      <w:pPr>
        <w:spacing w:line="276" w:lineRule="auto"/>
        <w:rPr>
          <w:rFonts w:asciiTheme="minorHAnsi" w:hAnsiTheme="minorHAnsi" w:cstheme="minorHAnsi"/>
          <w:sz w:val="22"/>
          <w:szCs w:val="22"/>
        </w:rPr>
      </w:pPr>
      <w:r w:rsidRPr="000D344F">
        <w:rPr>
          <w:rFonts w:asciiTheme="minorHAnsi" w:hAnsiTheme="minorHAnsi" w:cstheme="minorHAnsi"/>
          <w:sz w:val="22"/>
          <w:szCs w:val="22"/>
        </w:rPr>
        <w:t>Redefinisanjem mjera u ovoj oblasti, procjenjuje se da će se izdaci za socijalnu i dječju zaštitu smanjiti za dodatnih 25,2 mil. € za period 2017 - 2019, odnosno 6 mil. € u 2017. godini  13,5 mil. € u 2018. i 5,7 mil. € u 2019. godini.</w:t>
      </w:r>
    </w:p>
    <w:p w:rsidR="008E5B78" w:rsidRPr="00526D32" w:rsidRDefault="008E5B78" w:rsidP="001575D2">
      <w:pPr>
        <w:spacing w:line="276" w:lineRule="auto"/>
        <w:contextualSpacing/>
        <w:rPr>
          <w:rFonts w:asciiTheme="minorHAnsi" w:hAnsiTheme="minorHAnsi" w:cstheme="minorHAnsi"/>
          <w:sz w:val="22"/>
          <w:szCs w:val="22"/>
        </w:rPr>
      </w:pPr>
    </w:p>
    <w:p w:rsidR="001575D2" w:rsidRPr="001575D2" w:rsidRDefault="008E5B78" w:rsidP="0048511B">
      <w:pPr>
        <w:numPr>
          <w:ilvl w:val="0"/>
          <w:numId w:val="7"/>
        </w:numPr>
        <w:spacing w:line="276" w:lineRule="auto"/>
        <w:ind w:left="0" w:firstLine="360"/>
        <w:contextualSpacing/>
        <w:rPr>
          <w:rFonts w:asciiTheme="minorHAnsi" w:hAnsiTheme="minorHAnsi" w:cstheme="minorHAnsi"/>
          <w:sz w:val="22"/>
          <w:szCs w:val="22"/>
        </w:rPr>
      </w:pPr>
      <w:r w:rsidRPr="00526D32">
        <w:rPr>
          <w:rFonts w:asciiTheme="minorHAnsi" w:hAnsiTheme="minorHAnsi" w:cstheme="minorHAnsi"/>
          <w:b/>
          <w:sz w:val="22"/>
          <w:szCs w:val="22"/>
        </w:rPr>
        <w:t>Smanjenje diskrecione potrošnje</w:t>
      </w:r>
      <w:r w:rsidRPr="00526D32">
        <w:rPr>
          <w:rFonts w:asciiTheme="minorHAnsi" w:hAnsiTheme="minorHAnsi" w:cstheme="minorHAnsi"/>
          <w:sz w:val="22"/>
          <w:szCs w:val="22"/>
        </w:rPr>
        <w:t>. Diskreciona potrošnja će se smanjiti do nivoa koji neće dovesti u pitanje efikasno funkcionisanje potrošačkih jedinica i ispunjenje zakonskih i ugovorenih obaveza. Planirani efekat štednje</w:t>
      </w:r>
      <w:r w:rsidRPr="001575D2">
        <w:rPr>
          <w:rFonts w:asciiTheme="minorHAnsi" w:hAnsiTheme="minorHAnsi" w:cstheme="minorHAnsi"/>
          <w:color w:val="auto"/>
          <w:sz w:val="22"/>
          <w:szCs w:val="22"/>
        </w:rPr>
        <w:t>, kroz smanjenje potrošnje tekućeg i kapitalnog budžeta, je 11,0 mil.€</w:t>
      </w:r>
      <w:r w:rsidR="001575D2">
        <w:rPr>
          <w:rFonts w:asciiTheme="minorHAnsi" w:hAnsiTheme="minorHAnsi" w:cstheme="minorHAnsi"/>
          <w:color w:val="auto"/>
          <w:sz w:val="22"/>
          <w:szCs w:val="22"/>
        </w:rPr>
        <w:t>.</w:t>
      </w:r>
    </w:p>
    <w:p w:rsidR="001575D2" w:rsidRDefault="001575D2" w:rsidP="001575D2">
      <w:pPr>
        <w:spacing w:line="276" w:lineRule="auto"/>
        <w:contextualSpacing/>
        <w:rPr>
          <w:rFonts w:asciiTheme="minorHAnsi" w:hAnsiTheme="minorHAnsi" w:cstheme="minorHAnsi"/>
          <w:color w:val="auto"/>
          <w:sz w:val="22"/>
          <w:szCs w:val="22"/>
        </w:rPr>
      </w:pPr>
    </w:p>
    <w:p w:rsidR="008E5B78" w:rsidRPr="00526D32" w:rsidRDefault="001575D2" w:rsidP="0048511B">
      <w:pPr>
        <w:spacing w:line="276" w:lineRule="auto"/>
        <w:contextualSpacing/>
        <w:rPr>
          <w:rFonts w:asciiTheme="minorHAnsi" w:hAnsiTheme="minorHAnsi" w:cstheme="minorHAnsi"/>
          <w:sz w:val="22"/>
          <w:szCs w:val="22"/>
        </w:rPr>
      </w:pPr>
      <w:r>
        <w:rPr>
          <w:rFonts w:asciiTheme="minorHAnsi" w:hAnsiTheme="minorHAnsi" w:cstheme="minorHAnsi"/>
          <w:color w:val="auto"/>
          <w:sz w:val="22"/>
          <w:szCs w:val="22"/>
        </w:rPr>
        <w:t>Pri tome, ukupan efekat mjera na strani rashoda</w:t>
      </w:r>
      <w:r w:rsidR="008E5B78" w:rsidRPr="00526D32">
        <w:rPr>
          <w:rFonts w:asciiTheme="minorHAnsi" w:hAnsiTheme="minorHAnsi" w:cstheme="minorHAnsi"/>
          <w:sz w:val="22"/>
          <w:szCs w:val="22"/>
        </w:rPr>
        <w:t xml:space="preserve"> bi</w:t>
      </w:r>
      <w:r>
        <w:rPr>
          <w:rFonts w:asciiTheme="minorHAnsi" w:hAnsiTheme="minorHAnsi" w:cstheme="minorHAnsi"/>
          <w:sz w:val="22"/>
          <w:szCs w:val="22"/>
        </w:rPr>
        <w:t>će</w:t>
      </w:r>
      <w:r w:rsidR="008E5B78" w:rsidRPr="00526D32">
        <w:rPr>
          <w:rFonts w:asciiTheme="minorHAnsi" w:hAnsiTheme="minorHAnsi" w:cstheme="minorHAnsi"/>
          <w:sz w:val="22"/>
          <w:szCs w:val="22"/>
        </w:rPr>
        <w:t xml:space="preserve"> umanjen zbog novih izdataka koji proizilaze iz odgovarajućih zakonskih rješenja i strateških dokumenata. U tom smislu, rashodi budžeta u 2020. u odnosu na 2017. godinu biće veći po osnovu:</w:t>
      </w:r>
    </w:p>
    <w:p w:rsidR="008E5B78" w:rsidRPr="00526D32" w:rsidRDefault="008E5B78" w:rsidP="0048511B">
      <w:pPr>
        <w:spacing w:line="276" w:lineRule="auto"/>
        <w:rPr>
          <w:rFonts w:asciiTheme="minorHAnsi" w:hAnsiTheme="minorHAnsi" w:cstheme="minorHAnsi"/>
          <w:sz w:val="22"/>
          <w:szCs w:val="22"/>
        </w:rPr>
      </w:pPr>
    </w:p>
    <w:p w:rsidR="00061369" w:rsidRPr="00A550EB" w:rsidRDefault="00061369" w:rsidP="00061369">
      <w:pPr>
        <w:numPr>
          <w:ilvl w:val="0"/>
          <w:numId w:val="3"/>
        </w:numPr>
        <w:spacing w:line="276" w:lineRule="auto"/>
        <w:contextualSpacing/>
        <w:rPr>
          <w:rFonts w:asciiTheme="minorHAnsi" w:hAnsiTheme="minorHAnsi" w:cstheme="minorHAnsi"/>
          <w:b/>
          <w:sz w:val="22"/>
          <w:szCs w:val="22"/>
        </w:rPr>
      </w:pPr>
      <w:r w:rsidRPr="00A550EB">
        <w:rPr>
          <w:rFonts w:asciiTheme="minorHAnsi" w:hAnsiTheme="minorHAnsi" w:cstheme="minorHAnsi"/>
          <w:sz w:val="22"/>
          <w:szCs w:val="22"/>
        </w:rPr>
        <w:t>troškova redovnog usklađivanja penzija, u iznosu od 22,3 mil.€;</w:t>
      </w:r>
    </w:p>
    <w:p w:rsidR="00061369" w:rsidRPr="00A550EB" w:rsidRDefault="00061369" w:rsidP="00061369">
      <w:pPr>
        <w:numPr>
          <w:ilvl w:val="0"/>
          <w:numId w:val="3"/>
        </w:numPr>
        <w:spacing w:line="276" w:lineRule="auto"/>
        <w:contextualSpacing/>
        <w:rPr>
          <w:rFonts w:asciiTheme="minorHAnsi" w:hAnsiTheme="minorHAnsi" w:cstheme="minorHAnsi"/>
          <w:b/>
          <w:sz w:val="22"/>
          <w:szCs w:val="22"/>
        </w:rPr>
      </w:pPr>
      <w:r w:rsidRPr="00A550EB">
        <w:rPr>
          <w:rFonts w:asciiTheme="minorHAnsi" w:hAnsiTheme="minorHAnsi" w:cstheme="minorHAnsi"/>
          <w:sz w:val="22"/>
          <w:szCs w:val="22"/>
        </w:rPr>
        <w:t xml:space="preserve">izdvajanja za odbranu, u skladu sa NATO standardima, u iznosu od 12,5 mil.€; </w:t>
      </w:r>
    </w:p>
    <w:p w:rsidR="00061369" w:rsidRPr="00A550EB" w:rsidRDefault="00061369" w:rsidP="00061369">
      <w:pPr>
        <w:numPr>
          <w:ilvl w:val="0"/>
          <w:numId w:val="3"/>
        </w:numPr>
        <w:spacing w:line="276" w:lineRule="auto"/>
        <w:contextualSpacing/>
        <w:rPr>
          <w:rFonts w:asciiTheme="minorHAnsi" w:hAnsiTheme="minorHAnsi" w:cstheme="minorHAnsi"/>
          <w:b/>
          <w:sz w:val="22"/>
          <w:szCs w:val="22"/>
        </w:rPr>
      </w:pPr>
      <w:r w:rsidRPr="00A550EB">
        <w:rPr>
          <w:rFonts w:asciiTheme="minorHAnsi" w:hAnsiTheme="minorHAnsi" w:cstheme="minorHAnsi"/>
          <w:sz w:val="22"/>
          <w:szCs w:val="22"/>
        </w:rPr>
        <w:t xml:space="preserve">troškova finansiranja zdravstvenog sistema, u iznosu od 7,0 mil. €; </w:t>
      </w:r>
    </w:p>
    <w:p w:rsidR="00061369" w:rsidRPr="00A550EB" w:rsidRDefault="00061369" w:rsidP="00061369">
      <w:pPr>
        <w:numPr>
          <w:ilvl w:val="0"/>
          <w:numId w:val="3"/>
        </w:numPr>
        <w:spacing w:line="276" w:lineRule="auto"/>
        <w:contextualSpacing/>
        <w:rPr>
          <w:rFonts w:asciiTheme="minorHAnsi" w:hAnsiTheme="minorHAnsi" w:cstheme="minorHAnsi"/>
          <w:b/>
          <w:sz w:val="22"/>
          <w:szCs w:val="22"/>
        </w:rPr>
      </w:pPr>
      <w:r w:rsidRPr="00A550EB">
        <w:rPr>
          <w:rFonts w:asciiTheme="minorHAnsi" w:hAnsiTheme="minorHAnsi" w:cstheme="minorHAnsi"/>
          <w:sz w:val="22"/>
          <w:szCs w:val="22"/>
        </w:rPr>
        <w:t xml:space="preserve">obaveza u skladu sa Strategijom informaciono komunikacionih tehnologija, pravosuđa i Strategije izvršenja krivičnih sankcija, u iznosu od 5,7 mil. €; </w:t>
      </w:r>
    </w:p>
    <w:p w:rsidR="00061369" w:rsidRPr="00A550EB" w:rsidRDefault="00061369" w:rsidP="00061369">
      <w:pPr>
        <w:numPr>
          <w:ilvl w:val="0"/>
          <w:numId w:val="3"/>
        </w:numPr>
        <w:spacing w:line="276" w:lineRule="auto"/>
        <w:contextualSpacing/>
        <w:rPr>
          <w:rFonts w:asciiTheme="minorHAnsi" w:hAnsiTheme="minorHAnsi" w:cstheme="minorHAnsi"/>
          <w:b/>
          <w:sz w:val="22"/>
          <w:szCs w:val="22"/>
        </w:rPr>
      </w:pPr>
      <w:r w:rsidRPr="00A550EB">
        <w:rPr>
          <w:rFonts w:asciiTheme="minorHAnsi" w:hAnsiTheme="minorHAnsi" w:cstheme="minorHAnsi"/>
          <w:sz w:val="22"/>
          <w:szCs w:val="22"/>
        </w:rPr>
        <w:t>realizacije projekata koji se finansiraju iz EU fondova i pro</w:t>
      </w:r>
      <w:r w:rsidR="002A62C3" w:rsidRPr="00A550EB">
        <w:rPr>
          <w:rFonts w:asciiTheme="minorHAnsi" w:hAnsiTheme="minorHAnsi" w:cstheme="minorHAnsi"/>
          <w:sz w:val="22"/>
          <w:szCs w:val="22"/>
        </w:rPr>
        <w:t>jekta IPARD Like u iznosu od 2,9</w:t>
      </w:r>
      <w:r w:rsidRPr="00A550EB">
        <w:rPr>
          <w:rFonts w:asciiTheme="minorHAnsi" w:hAnsiTheme="minorHAnsi" w:cstheme="minorHAnsi"/>
          <w:sz w:val="22"/>
          <w:szCs w:val="22"/>
        </w:rPr>
        <w:t xml:space="preserve"> mil. €;</w:t>
      </w:r>
    </w:p>
    <w:p w:rsidR="00061369" w:rsidRPr="00A550EB" w:rsidRDefault="00061369" w:rsidP="00061369">
      <w:pPr>
        <w:numPr>
          <w:ilvl w:val="0"/>
          <w:numId w:val="3"/>
        </w:numPr>
        <w:spacing w:line="276" w:lineRule="auto"/>
        <w:contextualSpacing/>
        <w:rPr>
          <w:rFonts w:asciiTheme="minorHAnsi" w:hAnsiTheme="minorHAnsi" w:cstheme="minorHAnsi"/>
          <w:b/>
          <w:sz w:val="22"/>
          <w:szCs w:val="22"/>
        </w:rPr>
      </w:pPr>
      <w:r w:rsidRPr="00A550EB">
        <w:rPr>
          <w:rFonts w:asciiTheme="minorHAnsi" w:hAnsiTheme="minorHAnsi" w:cstheme="minorHAnsi"/>
          <w:sz w:val="22"/>
          <w:szCs w:val="22"/>
        </w:rPr>
        <w:t xml:space="preserve">obaveze po osnovu kupovine brodova za potrebe Crnogorske plovidbe u iznosu od 3,0 mil.€; </w:t>
      </w:r>
    </w:p>
    <w:p w:rsidR="00061369" w:rsidRPr="00A550EB" w:rsidRDefault="00061369" w:rsidP="00061369">
      <w:pPr>
        <w:numPr>
          <w:ilvl w:val="0"/>
          <w:numId w:val="3"/>
        </w:numPr>
        <w:spacing w:line="276" w:lineRule="auto"/>
        <w:contextualSpacing/>
        <w:rPr>
          <w:rFonts w:asciiTheme="minorHAnsi" w:hAnsiTheme="minorHAnsi" w:cstheme="minorHAnsi"/>
          <w:b/>
          <w:sz w:val="22"/>
          <w:szCs w:val="22"/>
        </w:rPr>
      </w:pPr>
      <w:r w:rsidRPr="00A550EB">
        <w:rPr>
          <w:rFonts w:asciiTheme="minorHAnsi" w:hAnsiTheme="minorHAnsi" w:cstheme="minorHAnsi"/>
          <w:sz w:val="22"/>
          <w:szCs w:val="22"/>
        </w:rPr>
        <w:t>projekta digitalizacije RTVCG u iznosu od 3,0 mil.€;</w:t>
      </w:r>
    </w:p>
    <w:p w:rsidR="00061369" w:rsidRPr="00A550EB" w:rsidRDefault="00061369" w:rsidP="00061369">
      <w:pPr>
        <w:numPr>
          <w:ilvl w:val="0"/>
          <w:numId w:val="3"/>
        </w:numPr>
        <w:spacing w:line="276" w:lineRule="auto"/>
        <w:contextualSpacing/>
        <w:rPr>
          <w:rFonts w:asciiTheme="minorHAnsi" w:hAnsiTheme="minorHAnsi" w:cstheme="minorHAnsi"/>
          <w:b/>
          <w:sz w:val="22"/>
          <w:szCs w:val="22"/>
        </w:rPr>
      </w:pPr>
      <w:r w:rsidRPr="00A550EB">
        <w:rPr>
          <w:rFonts w:asciiTheme="minorHAnsi" w:hAnsiTheme="minorHAnsi" w:cstheme="minorHAnsi"/>
          <w:sz w:val="22"/>
          <w:szCs w:val="22"/>
        </w:rPr>
        <w:t>troškova održavanja predsjedničkih izbora u 2018. godini, u iznosu od 2,0 mil.€;</w:t>
      </w:r>
    </w:p>
    <w:p w:rsidR="00061369" w:rsidRPr="00A550EB" w:rsidRDefault="00061369" w:rsidP="00061369">
      <w:pPr>
        <w:numPr>
          <w:ilvl w:val="0"/>
          <w:numId w:val="3"/>
        </w:numPr>
        <w:spacing w:line="276" w:lineRule="auto"/>
        <w:contextualSpacing/>
        <w:rPr>
          <w:rFonts w:asciiTheme="minorHAnsi" w:hAnsiTheme="minorHAnsi" w:cstheme="minorHAnsi"/>
          <w:b/>
          <w:sz w:val="22"/>
          <w:szCs w:val="22"/>
        </w:rPr>
      </w:pPr>
      <w:r w:rsidRPr="00A550EB">
        <w:rPr>
          <w:rFonts w:asciiTheme="minorHAnsi" w:hAnsiTheme="minorHAnsi" w:cstheme="minorHAnsi"/>
          <w:sz w:val="22"/>
          <w:szCs w:val="22"/>
        </w:rPr>
        <w:t xml:space="preserve">realizacije višegodišnjih projekata Ministarstva unutrašnjih poslova, u iznosu od 1,0 mil. €. </w:t>
      </w:r>
    </w:p>
    <w:p w:rsidR="0048511B" w:rsidRPr="00A550EB" w:rsidRDefault="0048511B" w:rsidP="0048511B">
      <w:pPr>
        <w:spacing w:line="276" w:lineRule="auto"/>
        <w:rPr>
          <w:rFonts w:asciiTheme="minorHAnsi" w:hAnsiTheme="minorHAnsi" w:cstheme="minorHAnsi"/>
          <w:sz w:val="22"/>
          <w:szCs w:val="22"/>
        </w:rPr>
      </w:pPr>
    </w:p>
    <w:p w:rsidR="0048511B" w:rsidRPr="00A550EB" w:rsidRDefault="0048511B" w:rsidP="0048511B">
      <w:pPr>
        <w:spacing w:line="276" w:lineRule="auto"/>
        <w:rPr>
          <w:rFonts w:asciiTheme="minorHAnsi" w:eastAsia="Calibri" w:hAnsiTheme="minorHAnsi" w:cstheme="minorHAnsi"/>
          <w:bCs/>
          <w:sz w:val="22"/>
          <w:szCs w:val="22"/>
        </w:rPr>
      </w:pPr>
      <w:r w:rsidRPr="00A550EB">
        <w:rPr>
          <w:rFonts w:asciiTheme="minorHAnsi" w:hAnsiTheme="minorHAnsi" w:cstheme="minorHAnsi"/>
          <w:sz w:val="22"/>
          <w:szCs w:val="22"/>
        </w:rPr>
        <w:t xml:space="preserve">Opredjeljenje Vlade Crne Gore je da se u narednom periodu vodi oprezna politika izdavanja garancija i da iste mogu biti samo u funkciji podrške razvoju. </w:t>
      </w:r>
    </w:p>
    <w:p w:rsidR="0048511B" w:rsidRPr="0048511B" w:rsidRDefault="0048511B" w:rsidP="0048511B">
      <w:pPr>
        <w:spacing w:line="276" w:lineRule="auto"/>
        <w:rPr>
          <w:rFonts w:asciiTheme="minorHAnsi" w:hAnsiTheme="minorHAnsi" w:cstheme="minorHAnsi"/>
          <w:sz w:val="22"/>
          <w:szCs w:val="22"/>
          <w:highlight w:val="yellow"/>
        </w:rPr>
      </w:pPr>
    </w:p>
    <w:p w:rsidR="0048511B" w:rsidRPr="0048511B" w:rsidRDefault="0048511B" w:rsidP="0048511B">
      <w:pPr>
        <w:spacing w:line="276" w:lineRule="auto"/>
        <w:rPr>
          <w:rFonts w:asciiTheme="minorHAnsi" w:hAnsiTheme="minorHAnsi" w:cstheme="minorHAnsi"/>
          <w:sz w:val="22"/>
          <w:szCs w:val="22"/>
        </w:rPr>
      </w:pPr>
      <w:r w:rsidRPr="00A550EB">
        <w:rPr>
          <w:rFonts w:asciiTheme="minorHAnsi" w:hAnsiTheme="minorHAnsi" w:cstheme="minorHAnsi"/>
          <w:sz w:val="22"/>
          <w:szCs w:val="22"/>
        </w:rPr>
        <w:t>S tim u vezi, a u skladu sa Zakonom o budžetu za 2017. godinu, 20. marta 2017. godine, zaključen je kreditni aranžman između Željezničke infrastrukture AD i Evropske investicione banke (EIB), za projekat rekonstrukcije i unaprjeđenja željezničke infrastrukture, u iznosu od 20,0 mil.€. Pored navedenog, Vlada Crne Gore će izdati garanciju za kreditni aranžman između Crnogorskog elektroprenosnog sistema (CGES) i Njemačke banke za razvoj (KfW) za Projekat izgradnje elektroenergetske infrastrukture na poluostrvu Luštica, u iznosu do 20,0 mil.€ i za kreditni aranžman između Regionalnog vodovoda Crnogorsko primorje i Erste banke, u iznosu do 8,0 mil.€, čime je izvršena zamjena garancije izdate Abu Dabi Fondu, za kreditni aranžman između Regionalnog vodovoda Crnogorsko primorje i Abu Dabi Fonda.</w:t>
      </w:r>
      <w:r w:rsidRPr="00A550EB">
        <w:rPr>
          <w:rFonts w:asciiTheme="minorHAnsi" w:hAnsiTheme="minorHAnsi" w:cstheme="minorHAnsi"/>
          <w:sz w:val="22"/>
          <w:szCs w:val="22"/>
          <w:vertAlign w:val="superscript"/>
        </w:rPr>
        <w:footnoteReference w:id="21"/>
      </w:r>
    </w:p>
    <w:p w:rsidR="008E5B78" w:rsidRPr="00526D32" w:rsidRDefault="008E5B78" w:rsidP="0048511B">
      <w:pPr>
        <w:spacing w:line="276" w:lineRule="auto"/>
        <w:rPr>
          <w:rFonts w:asciiTheme="minorHAnsi" w:hAnsiTheme="minorHAnsi" w:cstheme="minorHAnsi"/>
          <w:sz w:val="22"/>
          <w:szCs w:val="22"/>
        </w:rPr>
      </w:pPr>
    </w:p>
    <w:p w:rsidR="008E5B78" w:rsidRPr="00526D32" w:rsidRDefault="00526D32" w:rsidP="002D1802">
      <w:pPr>
        <w:pStyle w:val="Heading2"/>
      </w:pPr>
      <w:bookmarkStart w:id="4" w:name="_Toc484373010"/>
      <w:r w:rsidRPr="00526D32">
        <w:t>3</w:t>
      </w:r>
      <w:r w:rsidR="008E5B78" w:rsidRPr="00526D32">
        <w:t xml:space="preserve">.2 </w:t>
      </w:r>
      <w:r w:rsidR="00A10829">
        <w:t xml:space="preserve">Ostale reforme </w:t>
      </w:r>
      <w:r w:rsidR="008E5B78" w:rsidRPr="00526D32">
        <w:t>javnog sektora</w:t>
      </w:r>
      <w:bookmarkEnd w:id="4"/>
    </w:p>
    <w:p w:rsidR="008E5B78" w:rsidRPr="00526D32" w:rsidRDefault="008E5B78" w:rsidP="0048511B">
      <w:pPr>
        <w:spacing w:line="276" w:lineRule="auto"/>
        <w:rPr>
          <w:rFonts w:asciiTheme="minorHAnsi" w:hAnsiTheme="minorHAnsi" w:cstheme="minorHAnsi"/>
          <w:bCs/>
          <w:sz w:val="22"/>
          <w:szCs w:val="22"/>
        </w:rPr>
      </w:pPr>
    </w:p>
    <w:p w:rsidR="008E5B78" w:rsidRPr="00526D32" w:rsidRDefault="008E5B78" w:rsidP="0048511B">
      <w:pPr>
        <w:spacing w:line="276" w:lineRule="auto"/>
        <w:rPr>
          <w:rFonts w:asciiTheme="minorHAnsi" w:hAnsiTheme="minorHAnsi" w:cstheme="minorHAnsi"/>
          <w:sz w:val="22"/>
          <w:szCs w:val="22"/>
        </w:rPr>
      </w:pPr>
      <w:r w:rsidRPr="00526D32">
        <w:rPr>
          <w:rFonts w:asciiTheme="minorHAnsi" w:hAnsiTheme="minorHAnsi" w:cstheme="minorHAnsi"/>
          <w:bCs/>
          <w:sz w:val="22"/>
          <w:szCs w:val="22"/>
        </w:rPr>
        <w:t>Dugoročna održivost sistema javnih finansija</w:t>
      </w:r>
      <w:r w:rsidRPr="00526D32">
        <w:rPr>
          <w:rFonts w:asciiTheme="minorHAnsi" w:hAnsiTheme="minorHAnsi" w:cstheme="minorHAnsi"/>
          <w:b/>
          <w:bCs/>
          <w:sz w:val="22"/>
          <w:szCs w:val="22"/>
        </w:rPr>
        <w:t xml:space="preserve"> </w:t>
      </w:r>
      <w:r w:rsidRPr="00526D32">
        <w:rPr>
          <w:rFonts w:asciiTheme="minorHAnsi" w:hAnsiTheme="minorHAnsi" w:cstheme="minorHAnsi"/>
          <w:sz w:val="22"/>
          <w:szCs w:val="22"/>
        </w:rPr>
        <w:t>podrazumijeva realizaciju niza mjera koje se odnose na povećanje budžetskih prihoda, kao i odgovarajuće prilagođavanje u okviru sistema javnih rashoda. Osim toga, treba istaći značajan uticaj</w:t>
      </w:r>
      <w:r w:rsidRPr="00526D32">
        <w:rPr>
          <w:rFonts w:asciiTheme="minorHAnsi" w:hAnsiTheme="minorHAnsi" w:cstheme="minorHAnsi"/>
          <w:b/>
          <w:sz w:val="22"/>
          <w:szCs w:val="22"/>
        </w:rPr>
        <w:t xml:space="preserve"> </w:t>
      </w:r>
      <w:r w:rsidRPr="00526D32">
        <w:rPr>
          <w:rFonts w:asciiTheme="minorHAnsi" w:hAnsiTheme="minorHAnsi" w:cstheme="minorHAnsi"/>
          <w:sz w:val="22"/>
          <w:szCs w:val="22"/>
        </w:rPr>
        <w:t>reformi u javnoj upravi, uključujući i reformu upravljanja javnim finansijama, kao i reformi penzijsko – invalidskog, zdravstvenog sistema</w:t>
      </w:r>
      <w:r w:rsidR="00786EB0">
        <w:rPr>
          <w:rFonts w:asciiTheme="minorHAnsi" w:hAnsiTheme="minorHAnsi" w:cstheme="minorHAnsi"/>
          <w:sz w:val="22"/>
          <w:szCs w:val="22"/>
        </w:rPr>
        <w:t>,</w:t>
      </w:r>
      <w:r w:rsidRPr="00526D32">
        <w:rPr>
          <w:rFonts w:asciiTheme="minorHAnsi" w:hAnsiTheme="minorHAnsi" w:cstheme="minorHAnsi"/>
          <w:sz w:val="22"/>
          <w:szCs w:val="22"/>
        </w:rPr>
        <w:t xml:space="preserve"> sistema socijalne i dječje zaštite</w:t>
      </w:r>
      <w:r w:rsidR="00786EB0">
        <w:rPr>
          <w:rFonts w:asciiTheme="minorHAnsi" w:hAnsiTheme="minorHAnsi" w:cstheme="minorHAnsi"/>
          <w:sz w:val="22"/>
          <w:szCs w:val="22"/>
        </w:rPr>
        <w:t xml:space="preserve"> i sistema obrazovanja</w:t>
      </w:r>
      <w:r w:rsidRPr="00526D32">
        <w:rPr>
          <w:rFonts w:asciiTheme="minorHAnsi" w:hAnsiTheme="minorHAnsi" w:cstheme="minorHAnsi"/>
          <w:sz w:val="22"/>
          <w:szCs w:val="22"/>
        </w:rPr>
        <w:t>.</w:t>
      </w:r>
    </w:p>
    <w:p w:rsidR="008E5B78" w:rsidRPr="00526D32" w:rsidRDefault="008E5B78" w:rsidP="0048511B">
      <w:pPr>
        <w:spacing w:line="276" w:lineRule="auto"/>
        <w:rPr>
          <w:rFonts w:asciiTheme="minorHAnsi" w:hAnsiTheme="minorHAnsi" w:cstheme="minorHAnsi"/>
          <w:sz w:val="22"/>
          <w:szCs w:val="22"/>
        </w:rPr>
      </w:pPr>
    </w:p>
    <w:p w:rsidR="008E5B78" w:rsidRPr="00A550EB" w:rsidRDefault="008E5B78" w:rsidP="0048511B">
      <w:pPr>
        <w:pStyle w:val="ListParagraph"/>
        <w:numPr>
          <w:ilvl w:val="2"/>
          <w:numId w:val="2"/>
        </w:numPr>
        <w:spacing w:line="276" w:lineRule="auto"/>
        <w:rPr>
          <w:rFonts w:asciiTheme="minorHAnsi" w:hAnsiTheme="minorHAnsi" w:cstheme="minorHAnsi"/>
        </w:rPr>
      </w:pPr>
      <w:r w:rsidRPr="00A550EB">
        <w:rPr>
          <w:rFonts w:asciiTheme="minorHAnsi" w:hAnsiTheme="minorHAnsi" w:cstheme="minorHAnsi"/>
          <w:b/>
        </w:rPr>
        <w:t>Reforma upravljanja javnim finansijama</w:t>
      </w:r>
      <w:r w:rsidR="0048511B" w:rsidRPr="00A550EB">
        <w:rPr>
          <w:rFonts w:asciiTheme="minorHAnsi" w:hAnsiTheme="minorHAnsi" w:cstheme="minorHAnsi"/>
          <w:b/>
        </w:rPr>
        <w:t xml:space="preserve"> </w:t>
      </w:r>
    </w:p>
    <w:p w:rsidR="00F34081" w:rsidRPr="00526D32" w:rsidRDefault="00F34081" w:rsidP="0048511B">
      <w:pPr>
        <w:spacing w:line="276" w:lineRule="auto"/>
        <w:rPr>
          <w:rFonts w:asciiTheme="minorHAnsi" w:hAnsiTheme="minorHAnsi" w:cstheme="minorHAnsi"/>
          <w:sz w:val="22"/>
          <w:szCs w:val="22"/>
        </w:rPr>
      </w:pPr>
    </w:p>
    <w:p w:rsidR="008E5B78" w:rsidRPr="00526D32" w:rsidRDefault="008E5B78" w:rsidP="0048511B">
      <w:pPr>
        <w:spacing w:line="276" w:lineRule="auto"/>
        <w:rPr>
          <w:rFonts w:asciiTheme="minorHAnsi" w:hAnsiTheme="minorHAnsi" w:cstheme="minorHAnsi"/>
          <w:sz w:val="22"/>
          <w:szCs w:val="22"/>
        </w:rPr>
      </w:pPr>
      <w:r w:rsidRPr="00526D32">
        <w:rPr>
          <w:rFonts w:asciiTheme="minorHAnsi" w:hAnsiTheme="minorHAnsi" w:cstheme="minorHAnsi"/>
          <w:sz w:val="22"/>
          <w:szCs w:val="22"/>
        </w:rPr>
        <w:t>Reformske aktivnosti u oblasti upravljanja javnim finansijama realizuj</w:t>
      </w:r>
      <w:r w:rsidR="0048511B">
        <w:rPr>
          <w:rFonts w:asciiTheme="minorHAnsi" w:hAnsiTheme="minorHAnsi" w:cstheme="minorHAnsi"/>
          <w:sz w:val="22"/>
          <w:szCs w:val="22"/>
        </w:rPr>
        <w:t>u</w:t>
      </w:r>
      <w:r w:rsidRPr="00526D32">
        <w:rPr>
          <w:rFonts w:asciiTheme="minorHAnsi" w:hAnsiTheme="minorHAnsi" w:cstheme="minorHAnsi"/>
          <w:sz w:val="22"/>
          <w:szCs w:val="22"/>
        </w:rPr>
        <w:t xml:space="preserve"> se u skladu sa </w:t>
      </w:r>
      <w:r w:rsidRPr="00526D32">
        <w:rPr>
          <w:rFonts w:asciiTheme="minorHAnsi" w:hAnsiTheme="minorHAnsi" w:cstheme="minorHAnsi"/>
          <w:iCs/>
          <w:sz w:val="22"/>
          <w:szCs w:val="22"/>
        </w:rPr>
        <w:t>Programom reforme upravljanja javnim finansijama 2016-2020. Reforma je</w:t>
      </w:r>
      <w:r w:rsidRPr="00526D32">
        <w:rPr>
          <w:rFonts w:asciiTheme="minorHAnsi" w:hAnsiTheme="minorHAnsi" w:cstheme="minorHAnsi"/>
          <w:sz w:val="22"/>
          <w:szCs w:val="22"/>
        </w:rPr>
        <w:t xml:space="preserve"> neophodna kako bi se obezbijedila fiskalna održivost i pravilno upravljanje javnim finansijama. Osnovni cilj reforme je unapređenje funkcionisanja sistema budžeta, sistema menadžerske odgovornosti, izvršenja budžeta, unutrašnje i eksterne revizije, kao i usklađenost sa zakonodavstvom Evropske unije (EU).</w:t>
      </w:r>
    </w:p>
    <w:p w:rsidR="00F34081" w:rsidRPr="00526D32" w:rsidRDefault="00F34081" w:rsidP="0048511B">
      <w:pPr>
        <w:spacing w:line="276" w:lineRule="auto"/>
        <w:rPr>
          <w:rFonts w:asciiTheme="minorHAnsi" w:eastAsia="Calibri" w:hAnsiTheme="minorHAnsi" w:cstheme="minorHAnsi"/>
          <w:sz w:val="22"/>
          <w:szCs w:val="22"/>
        </w:rPr>
      </w:pPr>
    </w:p>
    <w:p w:rsidR="00F34081" w:rsidRPr="00526D32" w:rsidRDefault="00F34081" w:rsidP="0048511B">
      <w:pPr>
        <w:spacing w:line="276" w:lineRule="auto"/>
        <w:rPr>
          <w:rFonts w:asciiTheme="minorHAnsi" w:eastAsia="Calibri" w:hAnsiTheme="minorHAnsi" w:cstheme="minorHAnsi"/>
          <w:sz w:val="22"/>
          <w:szCs w:val="22"/>
        </w:rPr>
      </w:pPr>
      <w:r w:rsidRPr="00526D32">
        <w:rPr>
          <w:rFonts w:asciiTheme="minorHAnsi" w:eastAsia="Calibri" w:hAnsiTheme="minorHAnsi" w:cstheme="minorHAnsi"/>
          <w:sz w:val="22"/>
          <w:szCs w:val="22"/>
        </w:rPr>
        <w:t>Prioritetni ciljevi Programa su definisani i grupisani po oblastima reformi: Održivi fiskalni okvir, planiranje i budžetiranje javne potrošnje; Izvršenje budžeta; Razvoj sistema unutrašnjih finansijskih kontrola; Finansijsko izvještavanje i računovodstvo; Kapaciteti DRI da zadovolji standarde INTOSAI; Državna pomoć; Carine i Revizija sredstava iz fondova EU.</w:t>
      </w:r>
    </w:p>
    <w:p w:rsidR="00F34081" w:rsidRPr="00526D32" w:rsidRDefault="00F34081" w:rsidP="0048511B">
      <w:pPr>
        <w:spacing w:line="276" w:lineRule="auto"/>
        <w:rPr>
          <w:rFonts w:asciiTheme="minorHAnsi" w:hAnsiTheme="minorHAnsi" w:cstheme="minorHAnsi"/>
          <w:sz w:val="22"/>
          <w:szCs w:val="22"/>
        </w:rPr>
      </w:pPr>
    </w:p>
    <w:p w:rsidR="00F34081" w:rsidRDefault="00F34081" w:rsidP="0048511B">
      <w:pPr>
        <w:spacing w:line="276" w:lineRule="auto"/>
        <w:rPr>
          <w:rFonts w:asciiTheme="minorHAnsi" w:hAnsiTheme="minorHAnsi" w:cstheme="minorHAnsi"/>
          <w:sz w:val="22"/>
          <w:szCs w:val="22"/>
        </w:rPr>
      </w:pPr>
      <w:r w:rsidRPr="00526D32">
        <w:rPr>
          <w:rFonts w:asciiTheme="minorHAnsi" w:hAnsiTheme="minorHAnsi" w:cstheme="minorHAnsi"/>
          <w:sz w:val="22"/>
          <w:szCs w:val="22"/>
        </w:rPr>
        <w:t>Veliki broj aktivnosti normativno je definisan Zakon</w:t>
      </w:r>
      <w:r w:rsidR="0048511B">
        <w:rPr>
          <w:rFonts w:asciiTheme="minorHAnsi" w:hAnsiTheme="minorHAnsi" w:cstheme="minorHAnsi"/>
          <w:sz w:val="22"/>
          <w:szCs w:val="22"/>
        </w:rPr>
        <w:t>om</w:t>
      </w:r>
      <w:r w:rsidRPr="00526D32">
        <w:rPr>
          <w:rFonts w:asciiTheme="minorHAnsi" w:hAnsiTheme="minorHAnsi" w:cstheme="minorHAnsi"/>
          <w:sz w:val="22"/>
          <w:szCs w:val="22"/>
        </w:rPr>
        <w:t xml:space="preserve"> o budžetu i fiskalnoj odgovornosti koji reguliše planiranje i izvršenje budžeta, fiskalnu odgovornost i ostala pitanja koja se tiču centralnog i lokalnog nivoa vlasti. Takođe, Zakonom su definisani i kriterijumi za planiranje politike, sredjoročni budžetski okvir, numerička fiskalna pravila i druge norme koje imaju za cilj unaprjeđenje upravljanja javnim finansijama. </w:t>
      </w:r>
      <w:r w:rsidR="003E7C30" w:rsidRPr="00526D32">
        <w:rPr>
          <w:rFonts w:asciiTheme="minorHAnsi" w:hAnsiTheme="minorHAnsi" w:cstheme="minorHAnsi"/>
          <w:sz w:val="22"/>
          <w:szCs w:val="22"/>
        </w:rPr>
        <w:t>N</w:t>
      </w:r>
      <w:r w:rsidRPr="00526D32">
        <w:rPr>
          <w:rFonts w:asciiTheme="minorHAnsi" w:hAnsiTheme="minorHAnsi" w:cstheme="minorHAnsi"/>
          <w:sz w:val="22"/>
          <w:szCs w:val="22"/>
        </w:rPr>
        <w:t>avedene reformske aktivnosti predstavljaju i uslov za povlačenje sredstava direktne budžetske podrške u okviru IPA programa.</w:t>
      </w:r>
    </w:p>
    <w:p w:rsidR="00061369" w:rsidRDefault="00061369" w:rsidP="0048511B">
      <w:pPr>
        <w:spacing w:line="276" w:lineRule="auto"/>
        <w:rPr>
          <w:rFonts w:asciiTheme="minorHAnsi" w:hAnsiTheme="minorHAnsi" w:cstheme="minorHAnsi"/>
          <w:sz w:val="22"/>
          <w:szCs w:val="22"/>
        </w:rPr>
      </w:pPr>
    </w:p>
    <w:p w:rsidR="00061369" w:rsidRPr="00526D32" w:rsidRDefault="00061369" w:rsidP="00061369">
      <w:pPr>
        <w:spacing w:line="276" w:lineRule="auto"/>
        <w:rPr>
          <w:rFonts w:asciiTheme="minorHAnsi" w:hAnsiTheme="minorHAnsi" w:cstheme="minorHAnsi"/>
          <w:sz w:val="22"/>
          <w:szCs w:val="22"/>
        </w:rPr>
      </w:pPr>
      <w:r w:rsidRPr="00A550EB">
        <w:rPr>
          <w:rFonts w:asciiTheme="minorHAnsi" w:hAnsiTheme="minorHAnsi" w:cstheme="minorHAnsi"/>
          <w:sz w:val="22"/>
          <w:szCs w:val="22"/>
        </w:rPr>
        <w:t>Formalnim uvođenjem srednjoročnog budžetskog okvira, unaprijeđene su projekcije glavnih elemeta fiskalne politike posebno u dijelu planiranja javnih rashoda kroz utvrđivanje gornjih limita budžetske potrošnje za sve potrošačke jedinice budžeta Crne Gore. U narednim godinama, neophodno je dodatno snažiti srednjoročni okvir javnih finansija kako bi iste na odgovarajući način reflektovale strateške Vladine ciljeve i politike, povećala njihova transparentnost</w:t>
      </w:r>
      <w:r w:rsidR="00462D31" w:rsidRPr="00A550EB">
        <w:rPr>
          <w:rFonts w:asciiTheme="minorHAnsi" w:hAnsiTheme="minorHAnsi" w:cstheme="minorHAnsi"/>
          <w:sz w:val="22"/>
          <w:szCs w:val="22"/>
        </w:rPr>
        <w:t>,</w:t>
      </w:r>
      <w:r w:rsidRPr="00A550EB">
        <w:rPr>
          <w:rFonts w:asciiTheme="minorHAnsi" w:hAnsiTheme="minorHAnsi" w:cstheme="minorHAnsi"/>
          <w:sz w:val="22"/>
          <w:szCs w:val="22"/>
        </w:rPr>
        <w:t xml:space="preserve"> a samim tim</w:t>
      </w:r>
      <w:r w:rsidR="00462D31" w:rsidRPr="00A550EB">
        <w:rPr>
          <w:rFonts w:asciiTheme="minorHAnsi" w:hAnsiTheme="minorHAnsi" w:cstheme="minorHAnsi"/>
          <w:sz w:val="22"/>
          <w:szCs w:val="22"/>
        </w:rPr>
        <w:t>,</w:t>
      </w:r>
      <w:r w:rsidRPr="00A550EB">
        <w:rPr>
          <w:rFonts w:asciiTheme="minorHAnsi" w:hAnsiTheme="minorHAnsi" w:cstheme="minorHAnsi"/>
          <w:sz w:val="22"/>
          <w:szCs w:val="22"/>
        </w:rPr>
        <w:t xml:space="preserve"> i efikasnost korišćenja javnih resursa.</w:t>
      </w:r>
      <w:r>
        <w:rPr>
          <w:rFonts w:asciiTheme="minorHAnsi" w:hAnsiTheme="minorHAnsi" w:cstheme="minorHAnsi"/>
          <w:sz w:val="22"/>
          <w:szCs w:val="22"/>
        </w:rPr>
        <w:t xml:space="preserve"> </w:t>
      </w:r>
    </w:p>
    <w:p w:rsidR="003E7C30" w:rsidRPr="00526D32" w:rsidRDefault="003E7C30" w:rsidP="0048511B">
      <w:pPr>
        <w:spacing w:line="276" w:lineRule="auto"/>
        <w:rPr>
          <w:rFonts w:asciiTheme="minorHAnsi" w:hAnsiTheme="minorHAnsi" w:cstheme="minorHAnsi"/>
          <w:sz w:val="22"/>
          <w:szCs w:val="22"/>
        </w:rPr>
      </w:pPr>
    </w:p>
    <w:p w:rsidR="003536C9" w:rsidRPr="00E61ABA" w:rsidRDefault="00F34081" w:rsidP="003536C9">
      <w:pPr>
        <w:rPr>
          <w:rFonts w:asciiTheme="minorHAnsi" w:hAnsiTheme="minorHAnsi" w:cstheme="minorHAnsi"/>
          <w:color w:val="auto"/>
          <w:sz w:val="22"/>
          <w:szCs w:val="22"/>
        </w:rPr>
      </w:pPr>
      <w:r w:rsidRPr="00526D32">
        <w:rPr>
          <w:rFonts w:asciiTheme="minorHAnsi" w:hAnsiTheme="minorHAnsi" w:cstheme="minorHAnsi"/>
          <w:sz w:val="22"/>
          <w:szCs w:val="22"/>
        </w:rPr>
        <w:t>U dijelu procesa budžetiranja, sprovodiće se aktivnosti u cilju pune implementacije programskog budžetiranja, kako bi bio kreiran efikasan sistem mjerenja učinaka budžetskih programa i unaprijedilo planiranje i izvještavanje o kapitalnim projektima</w:t>
      </w:r>
      <w:r w:rsidRPr="00A550EB">
        <w:rPr>
          <w:rFonts w:asciiTheme="minorHAnsi" w:hAnsiTheme="minorHAnsi" w:cstheme="minorHAnsi"/>
          <w:sz w:val="22"/>
          <w:szCs w:val="22"/>
        </w:rPr>
        <w:t>.</w:t>
      </w:r>
      <w:r w:rsidR="003536C9" w:rsidRPr="00A550EB">
        <w:t xml:space="preserve"> </w:t>
      </w:r>
      <w:r w:rsidR="003536C9" w:rsidRPr="00A550EB">
        <w:rPr>
          <w:rFonts w:asciiTheme="minorHAnsi" w:hAnsiTheme="minorHAnsi" w:cstheme="minorHAnsi"/>
          <w:sz w:val="22"/>
          <w:szCs w:val="22"/>
        </w:rPr>
        <w:t>Donijeće se Zakon o računovodstvu u javnom sektoru i nadograditi informacioni sistem za dvojno knjigovodstvo, čime će se stvoriti pretpostavke za uvođenje obračunskog računovodstva.</w:t>
      </w:r>
    </w:p>
    <w:p w:rsidR="003E7C30" w:rsidRPr="00526D32" w:rsidRDefault="003E7C30" w:rsidP="0048511B">
      <w:pPr>
        <w:spacing w:line="276" w:lineRule="auto"/>
        <w:rPr>
          <w:rFonts w:asciiTheme="minorHAnsi" w:hAnsiTheme="minorHAnsi" w:cstheme="minorHAnsi"/>
          <w:sz w:val="22"/>
          <w:szCs w:val="22"/>
        </w:rPr>
      </w:pPr>
    </w:p>
    <w:p w:rsidR="00F34081" w:rsidRPr="00526D32" w:rsidRDefault="00F34081" w:rsidP="0048511B">
      <w:pPr>
        <w:spacing w:line="276" w:lineRule="auto"/>
        <w:rPr>
          <w:rFonts w:asciiTheme="minorHAnsi" w:hAnsiTheme="minorHAnsi" w:cstheme="minorHAnsi"/>
          <w:sz w:val="22"/>
          <w:szCs w:val="22"/>
        </w:rPr>
      </w:pPr>
      <w:r w:rsidRPr="00526D32">
        <w:rPr>
          <w:rFonts w:asciiTheme="minorHAnsi" w:hAnsiTheme="minorHAnsi" w:cstheme="minorHAnsi"/>
          <w:sz w:val="22"/>
          <w:szCs w:val="22"/>
        </w:rPr>
        <w:t xml:space="preserve">Crna Gora je u obavezi da uskladi svoje zakonodavstvo, procese i kapacitete sa zahtjevima iz Direktive 2011/85/EU, </w:t>
      </w:r>
      <w:r w:rsidR="003E7C30" w:rsidRPr="00526D32">
        <w:rPr>
          <w:rFonts w:asciiTheme="minorHAnsi" w:hAnsiTheme="minorHAnsi" w:cstheme="minorHAnsi"/>
          <w:sz w:val="22"/>
          <w:szCs w:val="22"/>
        </w:rPr>
        <w:t xml:space="preserve">a </w:t>
      </w:r>
      <w:r w:rsidRPr="00526D32">
        <w:rPr>
          <w:rFonts w:asciiTheme="minorHAnsi" w:hAnsiTheme="minorHAnsi" w:cstheme="minorHAnsi"/>
          <w:sz w:val="22"/>
          <w:szCs w:val="22"/>
        </w:rPr>
        <w:t xml:space="preserve">koji se odnose na budžetsko računovodstvo i statističko izvještavanje, prognoze, numerička fiskalna pravila, srednjoročni budžetski okvir i jasnu podjelu nadležnosti. U tom cilju, potrebno je da se u sistem javnih finansija uvede ESA 2010 metodologija, sa odgovarajućim institucionalnim obuhvatom. </w:t>
      </w:r>
    </w:p>
    <w:p w:rsidR="008E5B78" w:rsidRPr="00526D32" w:rsidRDefault="008E5B78" w:rsidP="0048511B">
      <w:pPr>
        <w:spacing w:line="276" w:lineRule="auto"/>
        <w:rPr>
          <w:rFonts w:asciiTheme="minorHAnsi" w:eastAsia="Calibri" w:hAnsiTheme="minorHAnsi" w:cstheme="minorHAnsi"/>
          <w:sz w:val="22"/>
          <w:szCs w:val="22"/>
        </w:rPr>
      </w:pPr>
    </w:p>
    <w:p w:rsidR="008E5B78" w:rsidRPr="00526D32" w:rsidRDefault="008E5B78" w:rsidP="0048511B">
      <w:pPr>
        <w:pStyle w:val="ListParagraph"/>
        <w:numPr>
          <w:ilvl w:val="2"/>
          <w:numId w:val="2"/>
        </w:numPr>
        <w:spacing w:line="276" w:lineRule="auto"/>
        <w:rPr>
          <w:rFonts w:asciiTheme="minorHAnsi" w:hAnsiTheme="minorHAnsi" w:cstheme="minorHAnsi"/>
          <w:b/>
        </w:rPr>
      </w:pPr>
      <w:r w:rsidRPr="00526D32">
        <w:rPr>
          <w:rFonts w:asciiTheme="minorHAnsi" w:hAnsiTheme="minorHAnsi" w:cstheme="minorHAnsi"/>
          <w:b/>
        </w:rPr>
        <w:t>Reforma javne uprave</w:t>
      </w:r>
      <w:r w:rsidR="00061369">
        <w:rPr>
          <w:rFonts w:asciiTheme="minorHAnsi" w:hAnsiTheme="minorHAnsi" w:cstheme="minorHAnsi"/>
          <w:b/>
        </w:rPr>
        <w:t xml:space="preserve"> </w:t>
      </w:r>
    </w:p>
    <w:p w:rsidR="008E5B78" w:rsidRPr="00526D32" w:rsidRDefault="008E5B78" w:rsidP="0048511B">
      <w:pPr>
        <w:spacing w:line="276" w:lineRule="auto"/>
        <w:rPr>
          <w:rFonts w:asciiTheme="minorHAnsi" w:eastAsia="Calibri" w:hAnsiTheme="minorHAnsi" w:cstheme="minorHAnsi"/>
          <w:sz w:val="22"/>
          <w:szCs w:val="22"/>
          <w:highlight w:val="yellow"/>
        </w:rPr>
      </w:pPr>
    </w:p>
    <w:p w:rsidR="008E5B78" w:rsidRPr="00526D32" w:rsidRDefault="008E5B78" w:rsidP="0048511B">
      <w:pPr>
        <w:spacing w:line="276" w:lineRule="auto"/>
        <w:rPr>
          <w:rFonts w:asciiTheme="minorHAnsi" w:eastAsia="Calibri" w:hAnsiTheme="minorHAnsi" w:cstheme="minorHAnsi"/>
          <w:bCs/>
          <w:sz w:val="22"/>
          <w:szCs w:val="22"/>
        </w:rPr>
      </w:pPr>
      <w:r w:rsidRPr="00526D32">
        <w:rPr>
          <w:rFonts w:asciiTheme="minorHAnsi" w:eastAsia="Calibri" w:hAnsiTheme="minorHAnsi" w:cstheme="minorHAnsi"/>
          <w:sz w:val="22"/>
          <w:szCs w:val="22"/>
        </w:rPr>
        <w:t>Opšti cilj reformskih aktivnosti do 2020. godine je stvaranje efikasne i servisno opredijeljene javne uprave, koju karakteriše rast povjerenja građana u njen rad. Planski okvir za reformu javne uprave predstavlja Strategija</w:t>
      </w:r>
      <w:r w:rsidRPr="00526D32">
        <w:rPr>
          <w:rFonts w:asciiTheme="minorHAnsi" w:eastAsia="Calibri" w:hAnsiTheme="minorHAnsi" w:cstheme="minorHAnsi"/>
          <w:bCs/>
          <w:sz w:val="22"/>
          <w:szCs w:val="22"/>
        </w:rPr>
        <w:t xml:space="preserve"> reforme javne uprave u Crnoj Gori 2016-2020.</w:t>
      </w:r>
    </w:p>
    <w:p w:rsidR="008E5B78" w:rsidRPr="00526D32" w:rsidRDefault="008E5B78" w:rsidP="0048511B">
      <w:pPr>
        <w:autoSpaceDE w:val="0"/>
        <w:autoSpaceDN w:val="0"/>
        <w:adjustRightInd w:val="0"/>
        <w:spacing w:line="276" w:lineRule="auto"/>
        <w:rPr>
          <w:rFonts w:asciiTheme="minorHAnsi" w:eastAsiaTheme="minorHAnsi" w:hAnsiTheme="minorHAnsi" w:cstheme="minorHAnsi"/>
          <w:sz w:val="22"/>
          <w:szCs w:val="22"/>
          <w:lang w:val="en-US"/>
        </w:rPr>
      </w:pPr>
    </w:p>
    <w:p w:rsidR="008E5B78" w:rsidRPr="00526D32" w:rsidRDefault="008E5B78" w:rsidP="0048511B">
      <w:pPr>
        <w:autoSpaceDE w:val="0"/>
        <w:autoSpaceDN w:val="0"/>
        <w:adjustRightInd w:val="0"/>
        <w:spacing w:line="276" w:lineRule="auto"/>
        <w:rPr>
          <w:rFonts w:asciiTheme="minorHAnsi" w:eastAsiaTheme="minorHAnsi" w:hAnsiTheme="minorHAnsi" w:cstheme="minorHAnsi"/>
          <w:sz w:val="22"/>
          <w:szCs w:val="22"/>
          <w:lang w:val="en-US"/>
        </w:rPr>
      </w:pPr>
      <w:r w:rsidRPr="00526D32">
        <w:rPr>
          <w:rFonts w:asciiTheme="minorHAnsi" w:eastAsiaTheme="minorHAnsi" w:hAnsiTheme="minorHAnsi" w:cstheme="minorHAnsi"/>
          <w:sz w:val="22"/>
          <w:szCs w:val="22"/>
          <w:lang w:val="en-US"/>
        </w:rPr>
        <w:t xml:space="preserve">U proteklom periodu, značajno je unaprijeđen kvalitet crnogorskog upravnog aparata. Prije svega, kreirani su stabilni normativni preduslovi, donošenjem brojnih sistemskih zakona i pratećih podzakonskih akata reformskog karaktera. U periodu implementacije Strategije 2016-2020, zakonodavni okvir će se nadograđivati, ali glavni akcenat refome biće na implementaciji usvojenog zakonodavnog okvira i suštinskim promjenama u svakodnevnoj praksi javne uprave. </w:t>
      </w:r>
    </w:p>
    <w:p w:rsidR="00E61ABA" w:rsidRDefault="00E61ABA" w:rsidP="0048511B">
      <w:pPr>
        <w:autoSpaceDE w:val="0"/>
        <w:autoSpaceDN w:val="0"/>
        <w:adjustRightInd w:val="0"/>
        <w:spacing w:line="276" w:lineRule="auto"/>
        <w:rPr>
          <w:sz w:val="20"/>
          <w:highlight w:val="yellow"/>
          <w:lang w:val="hr-HR"/>
        </w:rPr>
      </w:pPr>
    </w:p>
    <w:p w:rsidR="008E5B78" w:rsidRPr="00E61ABA" w:rsidRDefault="00E61ABA" w:rsidP="0048511B">
      <w:pPr>
        <w:autoSpaceDE w:val="0"/>
        <w:autoSpaceDN w:val="0"/>
        <w:adjustRightInd w:val="0"/>
        <w:spacing w:line="276" w:lineRule="auto"/>
        <w:rPr>
          <w:rFonts w:asciiTheme="minorHAnsi" w:eastAsiaTheme="minorHAnsi" w:hAnsiTheme="minorHAnsi" w:cstheme="minorHAnsi"/>
          <w:sz w:val="22"/>
          <w:szCs w:val="22"/>
          <w:lang w:val="en-US"/>
        </w:rPr>
      </w:pPr>
      <w:r w:rsidRPr="00E61ABA">
        <w:rPr>
          <w:rFonts w:asciiTheme="minorHAnsi" w:hAnsiTheme="minorHAnsi" w:cstheme="minorHAnsi"/>
          <w:sz w:val="22"/>
          <w:szCs w:val="22"/>
          <w:lang w:val="hr-HR"/>
        </w:rPr>
        <w:t>S tim u vezi, u</w:t>
      </w:r>
      <w:r w:rsidR="00670412">
        <w:rPr>
          <w:rFonts w:asciiTheme="minorHAnsi" w:hAnsiTheme="minorHAnsi" w:cstheme="minorHAnsi"/>
          <w:sz w:val="22"/>
          <w:szCs w:val="22"/>
          <w:lang w:val="hr-HR"/>
        </w:rPr>
        <w:t xml:space="preserve"> toku 2017. godine izvršiće se i</w:t>
      </w:r>
      <w:bookmarkStart w:id="5" w:name="_GoBack"/>
      <w:bookmarkEnd w:id="5"/>
      <w:r w:rsidRPr="00E61ABA">
        <w:rPr>
          <w:rFonts w:asciiTheme="minorHAnsi" w:hAnsiTheme="minorHAnsi" w:cstheme="minorHAnsi"/>
          <w:sz w:val="22"/>
          <w:szCs w:val="22"/>
          <w:lang w:val="hr-HR"/>
        </w:rPr>
        <w:t>zmjene</w:t>
      </w:r>
      <w:r>
        <w:rPr>
          <w:rFonts w:asciiTheme="minorHAnsi" w:hAnsiTheme="minorHAnsi" w:cstheme="minorHAnsi"/>
          <w:sz w:val="22"/>
          <w:szCs w:val="22"/>
          <w:lang w:val="hr-HR"/>
        </w:rPr>
        <w:t xml:space="preserve"> </w:t>
      </w:r>
      <w:r w:rsidRPr="00E61ABA">
        <w:rPr>
          <w:rFonts w:asciiTheme="minorHAnsi" w:hAnsiTheme="minorHAnsi" w:cstheme="minorHAnsi"/>
          <w:sz w:val="22"/>
          <w:szCs w:val="22"/>
          <w:lang w:val="hr-HR"/>
        </w:rPr>
        <w:t>i dopune Zakona o državnim službenicima i namještenicima, kojim će se, pored ostalog, ojačati primjena instituta kadrovskog plana, u smislu da popunjavanje određenog radnog mjesta mora biti predviđeno kadrovskim planom.</w:t>
      </w:r>
      <w:r>
        <w:rPr>
          <w:rFonts w:asciiTheme="minorHAnsi" w:hAnsiTheme="minorHAnsi" w:cstheme="minorHAnsi"/>
          <w:sz w:val="22"/>
          <w:szCs w:val="22"/>
          <w:lang w:val="hr-HR"/>
        </w:rPr>
        <w:t xml:space="preserve"> Uz već predloženu mjeru „zamrzavanja“ zapošljavanja, opisanu u prethodnom potpoglavlju, navedene izmjene će doprinijeti smanjenju, odnosno racionalnijem trošenju budžetskih sredstava.</w:t>
      </w:r>
    </w:p>
    <w:p w:rsidR="00E61ABA" w:rsidRDefault="00E61ABA" w:rsidP="0048511B">
      <w:pPr>
        <w:autoSpaceDE w:val="0"/>
        <w:autoSpaceDN w:val="0"/>
        <w:adjustRightInd w:val="0"/>
        <w:spacing w:line="276" w:lineRule="auto"/>
        <w:rPr>
          <w:rFonts w:asciiTheme="minorHAnsi" w:eastAsiaTheme="minorHAnsi" w:hAnsiTheme="minorHAnsi" w:cstheme="minorHAnsi"/>
          <w:sz w:val="22"/>
          <w:szCs w:val="22"/>
          <w:lang w:val="en-US"/>
        </w:rPr>
      </w:pPr>
    </w:p>
    <w:p w:rsidR="008E5B78" w:rsidRPr="00526D32" w:rsidRDefault="008E5B78" w:rsidP="0048511B">
      <w:pPr>
        <w:autoSpaceDE w:val="0"/>
        <w:autoSpaceDN w:val="0"/>
        <w:adjustRightInd w:val="0"/>
        <w:spacing w:line="276" w:lineRule="auto"/>
        <w:rPr>
          <w:rFonts w:asciiTheme="minorHAnsi" w:eastAsiaTheme="minorHAnsi" w:hAnsiTheme="minorHAnsi" w:cstheme="minorHAnsi"/>
          <w:sz w:val="22"/>
          <w:szCs w:val="22"/>
          <w:lang w:val="en-US"/>
        </w:rPr>
      </w:pPr>
      <w:r w:rsidRPr="00526D32">
        <w:rPr>
          <w:rFonts w:asciiTheme="minorHAnsi" w:eastAsiaTheme="minorHAnsi" w:hAnsiTheme="minorHAnsi" w:cstheme="minorHAnsi"/>
          <w:sz w:val="22"/>
          <w:szCs w:val="22"/>
          <w:lang w:val="en-US"/>
        </w:rPr>
        <w:t>Glavni pravci reformskih aktivnosti mogu se sažeti u sljedećem:</w:t>
      </w:r>
    </w:p>
    <w:p w:rsidR="008E5B78" w:rsidRPr="00526D32" w:rsidRDefault="008E5B78" w:rsidP="0048511B">
      <w:pPr>
        <w:autoSpaceDE w:val="0"/>
        <w:autoSpaceDN w:val="0"/>
        <w:adjustRightInd w:val="0"/>
        <w:spacing w:line="276" w:lineRule="auto"/>
        <w:rPr>
          <w:rFonts w:asciiTheme="minorHAnsi" w:eastAsiaTheme="minorHAnsi" w:hAnsiTheme="minorHAnsi" w:cstheme="minorHAnsi"/>
          <w:sz w:val="22"/>
          <w:szCs w:val="22"/>
          <w:lang w:val="en-US"/>
        </w:rPr>
      </w:pPr>
    </w:p>
    <w:p w:rsidR="008E5B78" w:rsidRPr="00526D32" w:rsidRDefault="00A10829" w:rsidP="0048511B">
      <w:pPr>
        <w:numPr>
          <w:ilvl w:val="0"/>
          <w:numId w:val="24"/>
        </w:numPr>
        <w:autoSpaceDE w:val="0"/>
        <w:autoSpaceDN w:val="0"/>
        <w:adjustRightInd w:val="0"/>
        <w:spacing w:line="276" w:lineRule="auto"/>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c</w:t>
      </w:r>
      <w:r w:rsidR="008E5B78" w:rsidRPr="00526D32">
        <w:rPr>
          <w:rFonts w:asciiTheme="minorHAnsi" w:eastAsiaTheme="minorHAnsi" w:hAnsiTheme="minorHAnsi" w:cstheme="minorHAnsi"/>
          <w:sz w:val="22"/>
          <w:szCs w:val="22"/>
          <w:lang w:val="en-US"/>
        </w:rPr>
        <w:t>entralnu ulogu u procesu reforme imaju zaposleni na svim nivoima upravnog sistema, koji moraju biti profesionalni, kompetentni i spremni da odgovore svim izazovima koje sa sobom nosi rad u modernom upravnom sistemu</w:t>
      </w:r>
      <w:r>
        <w:rPr>
          <w:rFonts w:asciiTheme="minorHAnsi" w:eastAsiaTheme="minorHAnsi" w:hAnsiTheme="minorHAnsi" w:cstheme="minorHAnsi"/>
          <w:sz w:val="22"/>
          <w:szCs w:val="22"/>
          <w:lang w:val="en-US"/>
        </w:rPr>
        <w:t>;</w:t>
      </w:r>
    </w:p>
    <w:p w:rsidR="008E5B78" w:rsidRPr="00526D32" w:rsidRDefault="00A10829" w:rsidP="0048511B">
      <w:pPr>
        <w:numPr>
          <w:ilvl w:val="0"/>
          <w:numId w:val="24"/>
        </w:numPr>
        <w:autoSpaceDE w:val="0"/>
        <w:autoSpaceDN w:val="0"/>
        <w:adjustRightInd w:val="0"/>
        <w:spacing w:line="276" w:lineRule="auto"/>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r</w:t>
      </w:r>
      <w:r w:rsidR="008E5B78" w:rsidRPr="00526D32">
        <w:rPr>
          <w:rFonts w:asciiTheme="minorHAnsi" w:eastAsiaTheme="minorHAnsi" w:hAnsiTheme="minorHAnsi" w:cstheme="minorHAnsi"/>
          <w:sz w:val="22"/>
          <w:szCs w:val="22"/>
          <w:lang w:val="en-US"/>
        </w:rPr>
        <w:t>adni procesi u upravi treba da budu usmjereni ka što kvalitetnijem pružanju upravnih usluga</w:t>
      </w:r>
      <w:r>
        <w:rPr>
          <w:rFonts w:asciiTheme="minorHAnsi" w:eastAsiaTheme="minorHAnsi" w:hAnsiTheme="minorHAnsi" w:cstheme="minorHAnsi"/>
          <w:sz w:val="22"/>
          <w:szCs w:val="22"/>
          <w:lang w:val="en-US"/>
        </w:rPr>
        <w:t>;</w:t>
      </w:r>
      <w:r w:rsidR="008E5B78" w:rsidRPr="00526D32">
        <w:rPr>
          <w:rFonts w:asciiTheme="minorHAnsi" w:eastAsiaTheme="minorHAnsi" w:hAnsiTheme="minorHAnsi" w:cstheme="minorHAnsi"/>
          <w:sz w:val="22"/>
          <w:szCs w:val="22"/>
          <w:lang w:val="en-US"/>
        </w:rPr>
        <w:t xml:space="preserve"> </w:t>
      </w:r>
    </w:p>
    <w:p w:rsidR="008E5B78" w:rsidRPr="00526D32" w:rsidRDefault="00A10829" w:rsidP="0048511B">
      <w:pPr>
        <w:numPr>
          <w:ilvl w:val="0"/>
          <w:numId w:val="24"/>
        </w:numPr>
        <w:autoSpaceDE w:val="0"/>
        <w:autoSpaceDN w:val="0"/>
        <w:adjustRightInd w:val="0"/>
        <w:spacing w:line="276" w:lineRule="auto"/>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n</w:t>
      </w:r>
      <w:r w:rsidR="008E5B78" w:rsidRPr="00526D32">
        <w:rPr>
          <w:rFonts w:asciiTheme="minorHAnsi" w:eastAsiaTheme="minorHAnsi" w:hAnsiTheme="minorHAnsi" w:cstheme="minorHAnsi"/>
          <w:sz w:val="22"/>
          <w:szCs w:val="22"/>
          <w:lang w:val="en-US"/>
        </w:rPr>
        <w:t xml:space="preserve">ivo odgovornosti u upravnom sistemu mora biti podignut na veći stepen, na svim nivoima sistema, kako bi se unaprijedila funkcionalnost administrativnog aparata i smanjili troškovi za njegov rad. </w:t>
      </w:r>
    </w:p>
    <w:p w:rsidR="008E5B78" w:rsidRDefault="00A10829" w:rsidP="0048511B">
      <w:pPr>
        <w:numPr>
          <w:ilvl w:val="0"/>
          <w:numId w:val="24"/>
        </w:numPr>
        <w:autoSpaceDE w:val="0"/>
        <w:autoSpaceDN w:val="0"/>
        <w:adjustRightInd w:val="0"/>
        <w:spacing w:line="276" w:lineRule="auto"/>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n</w:t>
      </w:r>
      <w:r w:rsidR="008E5B78" w:rsidRPr="00526D32">
        <w:rPr>
          <w:rFonts w:asciiTheme="minorHAnsi" w:eastAsiaTheme="minorHAnsi" w:hAnsiTheme="minorHAnsi" w:cstheme="minorHAnsi"/>
          <w:sz w:val="22"/>
          <w:szCs w:val="22"/>
          <w:lang w:val="en-US"/>
        </w:rPr>
        <w:t xml:space="preserve">ovi sistem organizacije lokalne samouprave treba da obezbijedi funkcionalniji i efikasniji sistem, kroz redefinisanje nadležnosti jedinica lokalne samouprave shodno njihovim kapacitetima i potrebama lokalnog stanovništva, a što će doprinijeti valorizaciji resursa i realizaciji strateških razvojnih politika Crne Gore. </w:t>
      </w:r>
    </w:p>
    <w:p w:rsidR="00302897" w:rsidRDefault="00302897" w:rsidP="00302897">
      <w:pPr>
        <w:autoSpaceDE w:val="0"/>
        <w:autoSpaceDN w:val="0"/>
        <w:adjustRightInd w:val="0"/>
        <w:spacing w:line="276" w:lineRule="auto"/>
        <w:rPr>
          <w:rFonts w:asciiTheme="minorHAnsi" w:eastAsiaTheme="minorHAnsi" w:hAnsiTheme="minorHAnsi" w:cstheme="minorHAnsi"/>
          <w:sz w:val="22"/>
          <w:szCs w:val="22"/>
          <w:lang w:val="en-US"/>
        </w:rPr>
      </w:pPr>
    </w:p>
    <w:p w:rsidR="00302897" w:rsidRDefault="00302897" w:rsidP="00302897">
      <w:pPr>
        <w:autoSpaceDE w:val="0"/>
        <w:autoSpaceDN w:val="0"/>
        <w:adjustRightInd w:val="0"/>
        <w:spacing w:line="276" w:lineRule="auto"/>
        <w:rPr>
          <w:rFonts w:asciiTheme="minorHAnsi" w:eastAsiaTheme="minorHAnsi" w:hAnsiTheme="minorHAnsi" w:cstheme="minorHAnsi"/>
          <w:sz w:val="22"/>
          <w:szCs w:val="22"/>
          <w:lang w:val="en-US"/>
        </w:rPr>
      </w:pPr>
    </w:p>
    <w:p w:rsidR="00302897" w:rsidRPr="00526D32" w:rsidRDefault="00302897" w:rsidP="00302897">
      <w:pPr>
        <w:autoSpaceDE w:val="0"/>
        <w:autoSpaceDN w:val="0"/>
        <w:adjustRightInd w:val="0"/>
        <w:spacing w:line="276" w:lineRule="auto"/>
        <w:rPr>
          <w:rFonts w:asciiTheme="minorHAnsi" w:eastAsiaTheme="minorHAnsi" w:hAnsiTheme="minorHAnsi" w:cstheme="minorHAnsi"/>
          <w:sz w:val="22"/>
          <w:szCs w:val="22"/>
          <w:lang w:val="en-US"/>
        </w:rPr>
      </w:pPr>
    </w:p>
    <w:p w:rsidR="008E5B78" w:rsidRPr="00526D32" w:rsidRDefault="008E5B78" w:rsidP="0048511B">
      <w:pPr>
        <w:spacing w:line="276" w:lineRule="auto"/>
        <w:rPr>
          <w:rFonts w:asciiTheme="minorHAnsi" w:eastAsia="Calibri" w:hAnsiTheme="minorHAnsi" w:cstheme="minorHAnsi"/>
          <w:sz w:val="22"/>
          <w:szCs w:val="22"/>
        </w:rPr>
      </w:pPr>
    </w:p>
    <w:p w:rsidR="008E5B78" w:rsidRPr="00526D32" w:rsidRDefault="008E5B78" w:rsidP="0048511B">
      <w:pPr>
        <w:pStyle w:val="ListParagraph"/>
        <w:numPr>
          <w:ilvl w:val="2"/>
          <w:numId w:val="2"/>
        </w:numPr>
        <w:spacing w:line="276" w:lineRule="auto"/>
        <w:rPr>
          <w:rFonts w:asciiTheme="minorHAnsi" w:hAnsiTheme="minorHAnsi" w:cstheme="minorHAnsi"/>
          <w:b/>
        </w:rPr>
      </w:pPr>
      <w:r w:rsidRPr="00526D32">
        <w:rPr>
          <w:rFonts w:asciiTheme="minorHAnsi" w:hAnsiTheme="minorHAnsi" w:cstheme="minorHAnsi"/>
          <w:b/>
        </w:rPr>
        <w:t>Penzijski sistem</w:t>
      </w:r>
    </w:p>
    <w:p w:rsidR="008E5B78" w:rsidRPr="00526D32" w:rsidRDefault="008E5B78" w:rsidP="0048511B">
      <w:pPr>
        <w:spacing w:line="276" w:lineRule="auto"/>
        <w:rPr>
          <w:rFonts w:asciiTheme="minorHAnsi" w:eastAsia="Calibri" w:hAnsiTheme="minorHAnsi" w:cstheme="minorHAnsi"/>
          <w:sz w:val="22"/>
          <w:szCs w:val="22"/>
        </w:rPr>
      </w:pPr>
    </w:p>
    <w:p w:rsidR="008E5B78" w:rsidRPr="00526D32" w:rsidRDefault="008E5B78" w:rsidP="0048511B">
      <w:pPr>
        <w:spacing w:line="276" w:lineRule="auto"/>
        <w:rPr>
          <w:rFonts w:asciiTheme="minorHAnsi" w:eastAsia="Calibri" w:hAnsiTheme="minorHAnsi" w:cstheme="minorHAnsi"/>
          <w:sz w:val="22"/>
          <w:szCs w:val="22"/>
        </w:rPr>
      </w:pPr>
      <w:r w:rsidRPr="00526D32">
        <w:rPr>
          <w:rFonts w:asciiTheme="minorHAnsi" w:eastAsia="Calibri" w:hAnsiTheme="minorHAnsi" w:cstheme="minorHAnsi"/>
          <w:sz w:val="22"/>
          <w:szCs w:val="22"/>
        </w:rPr>
        <w:t>Ključni cilj reforme penzijskog sistema je smanjenje pritisaka koje isplata penzija predstavlja za državni budžet. U tom smislu, a i zbog obezbjeđenja veće pravednosti, preispitaće se zakonski uslovi kojima se omogućava ranije penzionisanje i, time, uticati na sprječavanje ranog napuštanja tržišta rada. Izvjesno je da će na ovaj način doći do smanjenja priliva novih penzionera i do povećanja prihoda po osnovu doprinosa, ali u godinama koje slijede nakon što bi nova zakonska rješenja počela da se primjenju.</w:t>
      </w:r>
    </w:p>
    <w:p w:rsidR="008E5B78" w:rsidRPr="00526D32" w:rsidRDefault="008E5B78" w:rsidP="0048511B">
      <w:pPr>
        <w:spacing w:line="276" w:lineRule="auto"/>
        <w:rPr>
          <w:rFonts w:asciiTheme="minorHAnsi" w:hAnsiTheme="minorHAnsi" w:cstheme="minorHAnsi"/>
          <w:sz w:val="22"/>
          <w:szCs w:val="22"/>
        </w:rPr>
      </w:pPr>
    </w:p>
    <w:p w:rsidR="008E5B78" w:rsidRPr="00526D32" w:rsidRDefault="008E5B78" w:rsidP="0048511B">
      <w:pPr>
        <w:spacing w:line="276" w:lineRule="auto"/>
        <w:rPr>
          <w:rFonts w:asciiTheme="minorHAnsi" w:hAnsiTheme="minorHAnsi" w:cstheme="minorHAnsi"/>
          <w:sz w:val="22"/>
          <w:szCs w:val="22"/>
        </w:rPr>
      </w:pPr>
      <w:r w:rsidRPr="00526D32">
        <w:rPr>
          <w:rFonts w:asciiTheme="minorHAnsi" w:hAnsiTheme="minorHAnsi" w:cstheme="minorHAnsi"/>
          <w:sz w:val="22"/>
          <w:szCs w:val="22"/>
        </w:rPr>
        <w:t xml:space="preserve">Nastaviće se </w:t>
      </w:r>
      <w:r w:rsidR="008475F1">
        <w:rPr>
          <w:rFonts w:asciiTheme="minorHAnsi" w:hAnsiTheme="minorHAnsi" w:cstheme="minorHAnsi"/>
          <w:sz w:val="22"/>
          <w:szCs w:val="22"/>
        </w:rPr>
        <w:t xml:space="preserve">zakonsko usklađivanje penzija, kao i </w:t>
      </w:r>
      <w:r w:rsidRPr="00526D32">
        <w:rPr>
          <w:rFonts w:asciiTheme="minorHAnsi" w:hAnsiTheme="minorHAnsi" w:cstheme="minorHAnsi"/>
          <w:sz w:val="22"/>
          <w:szCs w:val="22"/>
        </w:rPr>
        <w:t>realizacija mjera za poboljšanje materijalnog položaja penzionera i, u tom okviru, sa sufinansiranjem stambene izgradnje za potrebe penzionera.</w:t>
      </w:r>
    </w:p>
    <w:p w:rsidR="008E5B78" w:rsidRPr="00526D32" w:rsidRDefault="008E5B78" w:rsidP="0048511B">
      <w:pPr>
        <w:spacing w:line="276" w:lineRule="auto"/>
        <w:rPr>
          <w:rFonts w:asciiTheme="minorHAnsi" w:hAnsiTheme="minorHAnsi" w:cstheme="minorHAnsi"/>
          <w:sz w:val="22"/>
          <w:szCs w:val="22"/>
        </w:rPr>
      </w:pPr>
    </w:p>
    <w:p w:rsidR="008E5B78" w:rsidRPr="00B85E7C" w:rsidRDefault="008E5B78" w:rsidP="0048511B">
      <w:pPr>
        <w:pStyle w:val="ListParagraph"/>
        <w:numPr>
          <w:ilvl w:val="2"/>
          <w:numId w:val="2"/>
        </w:numPr>
        <w:spacing w:line="276" w:lineRule="auto"/>
        <w:rPr>
          <w:rFonts w:asciiTheme="minorHAnsi" w:hAnsiTheme="minorHAnsi" w:cstheme="minorHAnsi"/>
          <w:b/>
          <w:color w:val="auto"/>
          <w:sz w:val="22"/>
          <w:szCs w:val="22"/>
        </w:rPr>
      </w:pPr>
      <w:r w:rsidRPr="00B85E7C">
        <w:rPr>
          <w:rFonts w:asciiTheme="minorHAnsi" w:hAnsiTheme="minorHAnsi" w:cstheme="minorHAnsi"/>
          <w:b/>
          <w:color w:val="auto"/>
        </w:rPr>
        <w:t>Zdravstveni sistem</w:t>
      </w:r>
    </w:p>
    <w:p w:rsidR="00B85E7C" w:rsidRPr="00B85E7C" w:rsidRDefault="00B85E7C" w:rsidP="00B85E7C">
      <w:pPr>
        <w:pStyle w:val="ListParagraph"/>
        <w:spacing w:line="276" w:lineRule="auto"/>
        <w:ind w:left="1080"/>
        <w:rPr>
          <w:rFonts w:asciiTheme="minorHAnsi" w:hAnsiTheme="minorHAnsi" w:cstheme="minorHAnsi"/>
          <w:b/>
          <w:color w:val="auto"/>
          <w:sz w:val="22"/>
          <w:szCs w:val="22"/>
        </w:rPr>
      </w:pPr>
    </w:p>
    <w:p w:rsidR="008E5B78" w:rsidRPr="002D1802" w:rsidRDefault="008E5B78" w:rsidP="0048511B">
      <w:pPr>
        <w:spacing w:line="276" w:lineRule="auto"/>
        <w:rPr>
          <w:rFonts w:asciiTheme="minorHAnsi" w:hAnsiTheme="minorHAnsi" w:cstheme="minorHAnsi"/>
          <w:color w:val="auto"/>
          <w:sz w:val="22"/>
          <w:szCs w:val="22"/>
        </w:rPr>
      </w:pPr>
      <w:r w:rsidRPr="002D1802">
        <w:rPr>
          <w:rFonts w:asciiTheme="minorHAnsi" w:hAnsiTheme="minorHAnsi" w:cstheme="minorHAnsi"/>
          <w:color w:val="auto"/>
          <w:sz w:val="22"/>
          <w:szCs w:val="22"/>
        </w:rPr>
        <w:t>Imajući u vidu opšte stanje u sistemu zdravstva, koje se ogleda u povećanom nezadovoljstvu građana u vezi dostupnosti i kvaliteta zdravstvene zaštite, nezadovoljstvu zdravstvenih radnika svojim statustom, te porastu troškova, prepoznata je potreba za intenzivnim sprovođenjem strukturnih reformi u ovoj oblasti, kojima će se obezbijediti povećanje efikasnosti i postizanje finansijske održivosti sistema zdravstvene zaštite, uz unapređenje zdravlja stanovništva i poboljšanje kvaliteta zdravstvenih usluga. S tim u vezi, u narednom periodu, radiće se na:</w:t>
      </w:r>
    </w:p>
    <w:p w:rsidR="008E5B78" w:rsidRPr="002D1802" w:rsidRDefault="008E5B78" w:rsidP="0048511B">
      <w:pPr>
        <w:spacing w:line="276" w:lineRule="auto"/>
        <w:rPr>
          <w:rFonts w:asciiTheme="minorHAnsi" w:hAnsiTheme="minorHAnsi" w:cstheme="minorHAnsi"/>
          <w:color w:val="auto"/>
          <w:sz w:val="22"/>
          <w:szCs w:val="22"/>
        </w:rPr>
      </w:pPr>
    </w:p>
    <w:p w:rsidR="00B85E7C" w:rsidRDefault="00A10829" w:rsidP="0048511B">
      <w:pPr>
        <w:numPr>
          <w:ilvl w:val="0"/>
          <w:numId w:val="17"/>
        </w:numPr>
        <w:spacing w:line="276" w:lineRule="auto"/>
        <w:rPr>
          <w:rFonts w:asciiTheme="minorHAnsi" w:hAnsiTheme="minorHAnsi" w:cstheme="minorHAnsi"/>
          <w:color w:val="auto"/>
          <w:sz w:val="22"/>
          <w:szCs w:val="22"/>
        </w:rPr>
      </w:pPr>
      <w:r w:rsidRPr="00B85E7C">
        <w:rPr>
          <w:rFonts w:asciiTheme="minorHAnsi" w:hAnsiTheme="minorHAnsi" w:cstheme="minorHAnsi"/>
          <w:color w:val="auto"/>
          <w:sz w:val="22"/>
          <w:szCs w:val="22"/>
        </w:rPr>
        <w:t>a</w:t>
      </w:r>
      <w:r w:rsidR="002F7D28" w:rsidRPr="00B85E7C">
        <w:rPr>
          <w:rFonts w:asciiTheme="minorHAnsi" w:hAnsiTheme="minorHAnsi" w:cstheme="minorHAnsi"/>
          <w:color w:val="auto"/>
          <w:sz w:val="22"/>
          <w:szCs w:val="22"/>
        </w:rPr>
        <w:t>nalizi osnovnog paketa usluga zdravstvenog osiguranja kako bi se obezbijedila racionalizacija u dijelu obuhvata liste ljekova i uvela participacija na doplatnu listu ljekova, troškova bolovanja i ostalih troškova kroz uvođenje centralizovanog sistema zakazivanja pregleda na svim niovima zdravstvene zaštite</w:t>
      </w:r>
      <w:r w:rsidR="00B85E7C">
        <w:rPr>
          <w:rFonts w:asciiTheme="minorHAnsi" w:hAnsiTheme="minorHAnsi" w:cstheme="minorHAnsi"/>
          <w:color w:val="auto"/>
          <w:sz w:val="22"/>
          <w:szCs w:val="22"/>
        </w:rPr>
        <w:t>;</w:t>
      </w:r>
    </w:p>
    <w:p w:rsidR="008E5B78" w:rsidRPr="00B85E7C" w:rsidRDefault="00A10829" w:rsidP="0048511B">
      <w:pPr>
        <w:numPr>
          <w:ilvl w:val="0"/>
          <w:numId w:val="17"/>
        </w:numPr>
        <w:spacing w:line="276" w:lineRule="auto"/>
        <w:rPr>
          <w:rFonts w:asciiTheme="minorHAnsi" w:hAnsiTheme="minorHAnsi" w:cstheme="minorHAnsi"/>
          <w:color w:val="auto"/>
          <w:sz w:val="22"/>
          <w:szCs w:val="22"/>
        </w:rPr>
      </w:pPr>
      <w:r w:rsidRPr="00B85E7C">
        <w:rPr>
          <w:rFonts w:asciiTheme="minorHAnsi" w:hAnsiTheme="minorHAnsi" w:cstheme="minorHAnsi"/>
          <w:color w:val="auto"/>
          <w:sz w:val="22"/>
          <w:szCs w:val="22"/>
        </w:rPr>
        <w:t>r</w:t>
      </w:r>
      <w:r w:rsidR="008E5B78" w:rsidRPr="00B85E7C">
        <w:rPr>
          <w:rFonts w:asciiTheme="minorHAnsi" w:hAnsiTheme="minorHAnsi" w:cstheme="minorHAnsi"/>
          <w:color w:val="auto"/>
          <w:sz w:val="22"/>
          <w:szCs w:val="22"/>
        </w:rPr>
        <w:t>ealnijem planiranju budžetskih sredstava za potrebe zdravstvenog sistema;</w:t>
      </w:r>
      <w:r w:rsidR="008E5B78" w:rsidRPr="00B85E7C">
        <w:rPr>
          <w:rFonts w:asciiTheme="minorHAnsi" w:hAnsiTheme="minorHAnsi" w:cstheme="minorHAnsi"/>
          <w:b/>
          <w:color w:val="auto"/>
          <w:sz w:val="22"/>
          <w:szCs w:val="22"/>
        </w:rPr>
        <w:t xml:space="preserve"> </w:t>
      </w:r>
    </w:p>
    <w:p w:rsidR="008E5B78" w:rsidRPr="002D1802" w:rsidRDefault="00A10829" w:rsidP="0048511B">
      <w:pPr>
        <w:numPr>
          <w:ilvl w:val="0"/>
          <w:numId w:val="17"/>
        </w:numPr>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w:t>
      </w:r>
      <w:r w:rsidR="008E5B78" w:rsidRPr="002D1802">
        <w:rPr>
          <w:rFonts w:asciiTheme="minorHAnsi" w:hAnsiTheme="minorHAnsi" w:cstheme="minorHAnsi"/>
          <w:color w:val="auto"/>
          <w:sz w:val="22"/>
          <w:szCs w:val="22"/>
        </w:rPr>
        <w:t>tvaranju uslova za usklađivanje obima prava iz zdravstvenog osiguranja sa raspoloživim finansijskim sredstvima;</w:t>
      </w:r>
    </w:p>
    <w:p w:rsidR="008E5B78" w:rsidRPr="002D1802" w:rsidRDefault="00A10829" w:rsidP="0048511B">
      <w:pPr>
        <w:numPr>
          <w:ilvl w:val="0"/>
          <w:numId w:val="17"/>
        </w:numPr>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p</w:t>
      </w:r>
      <w:r w:rsidR="008E5B78" w:rsidRPr="002D1802">
        <w:rPr>
          <w:rFonts w:asciiTheme="minorHAnsi" w:hAnsiTheme="minorHAnsi" w:cstheme="minorHAnsi"/>
          <w:color w:val="auto"/>
          <w:sz w:val="22"/>
          <w:szCs w:val="22"/>
        </w:rPr>
        <w:t>reispitivanju organizacije rada na sva tri nivoa zdravstvene zaštite (primarni, sekundarni i tercijarni);</w:t>
      </w:r>
    </w:p>
    <w:p w:rsidR="008E5B78" w:rsidRPr="002D1802" w:rsidRDefault="00A10829" w:rsidP="0048511B">
      <w:pPr>
        <w:numPr>
          <w:ilvl w:val="0"/>
          <w:numId w:val="17"/>
        </w:numPr>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o</w:t>
      </w:r>
      <w:r w:rsidR="008E5B78" w:rsidRPr="002D1802">
        <w:rPr>
          <w:rFonts w:asciiTheme="minorHAnsi" w:hAnsiTheme="minorHAnsi" w:cstheme="minorHAnsi"/>
          <w:color w:val="auto"/>
          <w:sz w:val="22"/>
          <w:szCs w:val="22"/>
        </w:rPr>
        <w:t>bezbjeđivanju dodatnih izvora finansiranja;</w:t>
      </w:r>
    </w:p>
    <w:p w:rsidR="008E5B78" w:rsidRPr="002D1802" w:rsidRDefault="00A10829" w:rsidP="0048511B">
      <w:pPr>
        <w:numPr>
          <w:ilvl w:val="0"/>
          <w:numId w:val="17"/>
        </w:numPr>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u</w:t>
      </w:r>
      <w:r w:rsidR="008E5B78" w:rsidRPr="002D1802">
        <w:rPr>
          <w:rFonts w:asciiTheme="minorHAnsi" w:hAnsiTheme="minorHAnsi" w:cstheme="minorHAnsi"/>
          <w:color w:val="auto"/>
          <w:sz w:val="22"/>
          <w:szCs w:val="22"/>
        </w:rPr>
        <w:t xml:space="preserve">spostavljanju sveobuhvatne kontrole nabavke i potrošnje ljekova i medicinskih sredstava u sistemu javnog zdravstva; </w:t>
      </w:r>
    </w:p>
    <w:p w:rsidR="008E5B78" w:rsidRPr="002D1802" w:rsidRDefault="00A10829" w:rsidP="0048511B">
      <w:pPr>
        <w:numPr>
          <w:ilvl w:val="0"/>
          <w:numId w:val="17"/>
        </w:numPr>
        <w:spacing w:line="276" w:lineRule="auto"/>
        <w:rPr>
          <w:rFonts w:asciiTheme="minorHAnsi" w:hAnsiTheme="minorHAnsi" w:cstheme="minorHAnsi"/>
          <w:b/>
          <w:color w:val="auto"/>
          <w:sz w:val="22"/>
          <w:szCs w:val="22"/>
        </w:rPr>
      </w:pPr>
      <w:r>
        <w:rPr>
          <w:rFonts w:asciiTheme="minorHAnsi" w:hAnsiTheme="minorHAnsi" w:cstheme="minorHAnsi"/>
          <w:color w:val="auto"/>
          <w:sz w:val="22"/>
          <w:szCs w:val="22"/>
        </w:rPr>
        <w:t>u</w:t>
      </w:r>
      <w:r w:rsidR="008E5B78" w:rsidRPr="002D1802">
        <w:rPr>
          <w:rFonts w:asciiTheme="minorHAnsi" w:hAnsiTheme="minorHAnsi" w:cstheme="minorHAnsi"/>
          <w:color w:val="auto"/>
          <w:sz w:val="22"/>
          <w:szCs w:val="22"/>
        </w:rPr>
        <w:t xml:space="preserve">stupanju tehničkih poslova specijalizovanim agencijama (Outsorcing); </w:t>
      </w:r>
    </w:p>
    <w:p w:rsidR="008E5B78" w:rsidRPr="002D1802" w:rsidRDefault="00A10829" w:rsidP="0048511B">
      <w:pPr>
        <w:numPr>
          <w:ilvl w:val="0"/>
          <w:numId w:val="17"/>
        </w:numPr>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d</w:t>
      </w:r>
      <w:r w:rsidR="008E5B78" w:rsidRPr="002D1802">
        <w:rPr>
          <w:rFonts w:asciiTheme="minorHAnsi" w:hAnsiTheme="minorHAnsi" w:cstheme="minorHAnsi"/>
          <w:color w:val="auto"/>
          <w:sz w:val="22"/>
          <w:szCs w:val="22"/>
        </w:rPr>
        <w:t>aljem razvoju i unapređenju integralnog zdravstvenog informacionog sistema i, u tom okviru, uspostavljanju informacionog sistema u KCCG i specijalnim bolnicama;</w:t>
      </w:r>
    </w:p>
    <w:p w:rsidR="008E5B78" w:rsidRPr="002D1802" w:rsidRDefault="00A10829" w:rsidP="0048511B">
      <w:pPr>
        <w:numPr>
          <w:ilvl w:val="0"/>
          <w:numId w:val="17"/>
        </w:numPr>
        <w:spacing w:line="276" w:lineRule="auto"/>
        <w:ind w:left="709" w:hanging="425"/>
        <w:contextualSpacing/>
        <w:rPr>
          <w:rFonts w:asciiTheme="minorHAnsi" w:hAnsiTheme="minorHAnsi" w:cstheme="minorHAnsi"/>
          <w:color w:val="auto"/>
          <w:sz w:val="22"/>
          <w:szCs w:val="22"/>
          <w:u w:val="single"/>
        </w:rPr>
      </w:pPr>
      <w:r>
        <w:rPr>
          <w:rFonts w:asciiTheme="minorHAnsi" w:hAnsiTheme="minorHAnsi" w:cstheme="minorHAnsi"/>
          <w:color w:val="auto"/>
          <w:sz w:val="22"/>
          <w:szCs w:val="22"/>
        </w:rPr>
        <w:t>m</w:t>
      </w:r>
      <w:r w:rsidR="008E5B78" w:rsidRPr="002D1802">
        <w:rPr>
          <w:rFonts w:asciiTheme="minorHAnsi" w:hAnsiTheme="minorHAnsi" w:cstheme="minorHAnsi"/>
          <w:color w:val="auto"/>
          <w:sz w:val="22"/>
          <w:szCs w:val="22"/>
        </w:rPr>
        <w:t>otivisanosti zdravstvenih radnika radi realizacije ciljeva zdravstvene politike, kroz sprovođenje programa od javnog interesa;</w:t>
      </w:r>
    </w:p>
    <w:p w:rsidR="008E5B78" w:rsidRPr="002D1802" w:rsidRDefault="00A10829" w:rsidP="0048511B">
      <w:pPr>
        <w:numPr>
          <w:ilvl w:val="0"/>
          <w:numId w:val="17"/>
        </w:numPr>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w:t>
      </w:r>
      <w:r w:rsidR="008E5B78" w:rsidRPr="002D1802">
        <w:rPr>
          <w:rFonts w:asciiTheme="minorHAnsi" w:hAnsiTheme="minorHAnsi" w:cstheme="minorHAnsi"/>
          <w:color w:val="auto"/>
          <w:sz w:val="22"/>
          <w:szCs w:val="22"/>
        </w:rPr>
        <w:t>manjivanju listi čekanja na zdravstvene usluge;</w:t>
      </w:r>
    </w:p>
    <w:p w:rsidR="008E5B78" w:rsidRPr="002D1802" w:rsidRDefault="00A10829" w:rsidP="0048511B">
      <w:pPr>
        <w:numPr>
          <w:ilvl w:val="0"/>
          <w:numId w:val="17"/>
        </w:numPr>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u</w:t>
      </w:r>
      <w:r w:rsidR="008E5B78" w:rsidRPr="002D1802">
        <w:rPr>
          <w:rFonts w:asciiTheme="minorHAnsi" w:hAnsiTheme="minorHAnsi" w:cstheme="minorHAnsi"/>
          <w:color w:val="auto"/>
          <w:sz w:val="22"/>
          <w:szCs w:val="22"/>
        </w:rPr>
        <w:t>napređenju stručnog znanja zdravstvenih radnika.</w:t>
      </w:r>
    </w:p>
    <w:p w:rsidR="002D1802" w:rsidRPr="002D1802" w:rsidRDefault="002D1802" w:rsidP="0048511B">
      <w:pPr>
        <w:spacing w:line="276" w:lineRule="auto"/>
        <w:rPr>
          <w:rFonts w:asciiTheme="minorHAnsi" w:hAnsiTheme="minorHAnsi" w:cstheme="minorHAnsi"/>
          <w:b/>
          <w:color w:val="auto"/>
          <w:sz w:val="22"/>
          <w:szCs w:val="22"/>
        </w:rPr>
      </w:pPr>
    </w:p>
    <w:p w:rsidR="008E5B78" w:rsidRPr="002D1802" w:rsidRDefault="008E5B78" w:rsidP="0048511B">
      <w:pPr>
        <w:pStyle w:val="ListParagraph"/>
        <w:numPr>
          <w:ilvl w:val="2"/>
          <w:numId w:val="2"/>
        </w:numPr>
        <w:spacing w:line="276" w:lineRule="auto"/>
        <w:rPr>
          <w:rFonts w:asciiTheme="minorHAnsi" w:hAnsiTheme="minorHAnsi" w:cstheme="minorHAnsi"/>
          <w:b/>
          <w:color w:val="auto"/>
        </w:rPr>
      </w:pPr>
      <w:r w:rsidRPr="002D1802">
        <w:rPr>
          <w:rFonts w:asciiTheme="minorHAnsi" w:hAnsiTheme="minorHAnsi" w:cstheme="minorHAnsi"/>
          <w:b/>
          <w:color w:val="auto"/>
        </w:rPr>
        <w:t>Socijalna i dječja zaštita</w:t>
      </w:r>
    </w:p>
    <w:p w:rsidR="008E5B78" w:rsidRPr="002D1802" w:rsidRDefault="008E5B78" w:rsidP="0048511B">
      <w:pPr>
        <w:spacing w:line="276" w:lineRule="auto"/>
        <w:rPr>
          <w:rFonts w:asciiTheme="minorHAnsi" w:hAnsiTheme="minorHAnsi" w:cstheme="minorHAnsi"/>
          <w:color w:val="auto"/>
          <w:sz w:val="22"/>
          <w:szCs w:val="22"/>
        </w:rPr>
      </w:pPr>
    </w:p>
    <w:p w:rsidR="008E5B78" w:rsidRDefault="008E5B78" w:rsidP="00B85E7C">
      <w:pPr>
        <w:spacing w:line="276" w:lineRule="auto"/>
        <w:rPr>
          <w:rFonts w:asciiTheme="minorHAnsi" w:hAnsiTheme="minorHAnsi" w:cstheme="minorHAnsi"/>
          <w:sz w:val="22"/>
          <w:szCs w:val="22"/>
        </w:rPr>
      </w:pPr>
      <w:r w:rsidRPr="00526D32">
        <w:rPr>
          <w:rFonts w:asciiTheme="minorHAnsi" w:hAnsiTheme="minorHAnsi" w:cstheme="minorHAnsi"/>
          <w:sz w:val="22"/>
          <w:szCs w:val="22"/>
        </w:rPr>
        <w:t>Reforma sistema socijalne i dječje zaštite je usmjerena na uspostavljanje ekonomski održivog, a socijalno prihvatljivog nivoa zaštite koji obezbjeđuje pravovremenu i efikasnu zašitu pojedinca i porodice koji su u stanju socijalne potrebe. U skladu sa utvrđenim ciljevima, neophodno je obezbijediti pravednije usmjeravanje socijalnih davanja, standardizaciju postupka odlučivanja o ostvarenju prava iz oblasti socijalne zaštite, te smanjenje zloupotreba, čime će se omogućiti efikasnije planiranje mjera i programa namijenjenih socijalno ugroženoj kategoriji stanovništva. S tim u vezi:</w:t>
      </w:r>
    </w:p>
    <w:p w:rsidR="00786EB0" w:rsidRPr="00526D32" w:rsidRDefault="00786EB0" w:rsidP="00B85E7C">
      <w:pPr>
        <w:spacing w:line="276" w:lineRule="auto"/>
        <w:rPr>
          <w:rFonts w:asciiTheme="minorHAnsi" w:hAnsiTheme="minorHAnsi" w:cstheme="minorHAnsi"/>
          <w:sz w:val="22"/>
          <w:szCs w:val="22"/>
        </w:rPr>
      </w:pPr>
    </w:p>
    <w:p w:rsidR="008E5B78" w:rsidRPr="00B85E7C" w:rsidRDefault="00B85E7C" w:rsidP="0048511B">
      <w:pPr>
        <w:numPr>
          <w:ilvl w:val="0"/>
          <w:numId w:val="25"/>
        </w:numPr>
        <w:spacing w:line="276" w:lineRule="auto"/>
        <w:rPr>
          <w:rFonts w:asciiTheme="minorHAnsi" w:hAnsiTheme="minorHAnsi" w:cstheme="minorHAnsi"/>
          <w:sz w:val="22"/>
          <w:szCs w:val="22"/>
        </w:rPr>
      </w:pPr>
      <w:r w:rsidRPr="00B85E7C">
        <w:rPr>
          <w:rFonts w:asciiTheme="minorHAnsi" w:hAnsiTheme="minorHAnsi" w:cstheme="minorHAnsi"/>
          <w:sz w:val="22"/>
          <w:szCs w:val="22"/>
        </w:rPr>
        <w:t xml:space="preserve">U cilju redefinisanja politike socijalnih davanja, kojom se postiže veća </w:t>
      </w:r>
      <w:r w:rsidRPr="00B85E7C">
        <w:rPr>
          <w:rFonts w:asciiTheme="minorHAnsi" w:hAnsiTheme="minorHAnsi" w:cstheme="minorHAnsi"/>
          <w:color w:val="auto"/>
          <w:sz w:val="22"/>
          <w:szCs w:val="22"/>
        </w:rPr>
        <w:t>pravednost i nediskriminacija u raspodjeli socijalnih fondova,</w:t>
      </w:r>
      <w:r w:rsidRPr="00B85E7C">
        <w:rPr>
          <w:rFonts w:asciiTheme="minorHAnsi" w:hAnsiTheme="minorHAnsi" w:cstheme="minorHAnsi"/>
          <w:sz w:val="22"/>
          <w:szCs w:val="22"/>
        </w:rPr>
        <w:t xml:space="preserve"> izvršiće se promjena zakonske regulative koja tretira ovu oblast. S tim u vezi, u toku je priprema Zakona o sprovođenju Odluke Ustavnog suda i Zakona o izmjenama i dopunama Zakona o socijalnoj i dječijoj zaštiti (Javna rasprava u toku).</w:t>
      </w:r>
    </w:p>
    <w:p w:rsidR="008E5B78" w:rsidRPr="00526D32" w:rsidRDefault="008E5B78" w:rsidP="0048511B">
      <w:pPr>
        <w:pStyle w:val="ListParagraph"/>
        <w:numPr>
          <w:ilvl w:val="0"/>
          <w:numId w:val="25"/>
        </w:numPr>
        <w:spacing w:line="276" w:lineRule="auto"/>
        <w:rPr>
          <w:rFonts w:asciiTheme="minorHAnsi" w:hAnsiTheme="minorHAnsi" w:cstheme="minorHAnsi"/>
          <w:sz w:val="22"/>
          <w:szCs w:val="22"/>
        </w:rPr>
      </w:pPr>
      <w:r w:rsidRPr="00B85E7C">
        <w:rPr>
          <w:rFonts w:asciiTheme="minorHAnsi" w:hAnsiTheme="minorHAnsi" w:cstheme="minorHAnsi"/>
          <w:sz w:val="22"/>
          <w:szCs w:val="22"/>
        </w:rPr>
        <w:t>Završiće se kapitalni projekat “Integrisani informacioni sistem socijalnog staranja – Socijalni karton“;</w:t>
      </w:r>
    </w:p>
    <w:p w:rsidR="008E5B78" w:rsidRPr="00526D32" w:rsidRDefault="008E5B78" w:rsidP="0048511B">
      <w:pPr>
        <w:pStyle w:val="ListParagraph"/>
        <w:numPr>
          <w:ilvl w:val="0"/>
          <w:numId w:val="34"/>
        </w:numPr>
        <w:spacing w:line="276" w:lineRule="auto"/>
        <w:rPr>
          <w:rFonts w:asciiTheme="minorHAnsi" w:hAnsiTheme="minorHAnsi" w:cstheme="minorHAnsi"/>
          <w:sz w:val="22"/>
          <w:szCs w:val="22"/>
        </w:rPr>
      </w:pPr>
      <w:r w:rsidRPr="00526D32">
        <w:rPr>
          <w:rFonts w:asciiTheme="minorHAnsi" w:hAnsiTheme="minorHAnsi" w:cstheme="minorHAnsi"/>
          <w:sz w:val="22"/>
          <w:szCs w:val="22"/>
        </w:rPr>
        <w:t xml:space="preserve">Radiće se na unapređenju organizacije usluga za lica sa invaliditetom. Osnovaće se Centar za rehabilitaciju i socijalnu integraciju lica sa smetnjama u razvoju, u cilju objedinjavanja sistema zdravstvene i socijalne zaštite, kao i obrazovanja djece i mladih sa smetnjama u razvoju. </w:t>
      </w:r>
    </w:p>
    <w:p w:rsidR="008E5B78" w:rsidRDefault="008E5B78" w:rsidP="0048511B">
      <w:pPr>
        <w:spacing w:line="276" w:lineRule="auto"/>
        <w:ind w:left="720"/>
        <w:contextualSpacing/>
        <w:rPr>
          <w:rFonts w:asciiTheme="minorHAnsi" w:hAnsiTheme="minorHAnsi" w:cstheme="minorHAnsi"/>
          <w:sz w:val="22"/>
          <w:szCs w:val="22"/>
        </w:rPr>
      </w:pPr>
    </w:p>
    <w:p w:rsidR="00A10829" w:rsidRPr="00526D32" w:rsidRDefault="00A10829" w:rsidP="00A10829">
      <w:pPr>
        <w:pStyle w:val="ListParagraph"/>
        <w:numPr>
          <w:ilvl w:val="2"/>
          <w:numId w:val="2"/>
        </w:numPr>
        <w:spacing w:line="276" w:lineRule="auto"/>
      </w:pPr>
      <w:bookmarkStart w:id="6" w:name="_Toc484178310"/>
      <w:r w:rsidRPr="00A10829">
        <w:rPr>
          <w:rFonts w:asciiTheme="minorHAnsi" w:hAnsiTheme="minorHAnsi" w:cstheme="minorHAnsi"/>
          <w:b/>
          <w:color w:val="auto"/>
        </w:rPr>
        <w:t>Obrazovanje</w:t>
      </w:r>
      <w:bookmarkEnd w:id="6"/>
    </w:p>
    <w:p w:rsidR="00A10829" w:rsidRPr="00526D32" w:rsidRDefault="00A10829" w:rsidP="00A10829">
      <w:pPr>
        <w:spacing w:line="276" w:lineRule="auto"/>
        <w:rPr>
          <w:rFonts w:asciiTheme="minorHAnsi" w:eastAsia="Calibri" w:hAnsiTheme="minorHAnsi" w:cstheme="minorHAnsi"/>
          <w:sz w:val="22"/>
          <w:szCs w:val="22"/>
        </w:rPr>
      </w:pPr>
    </w:p>
    <w:p w:rsidR="00A10829" w:rsidRPr="00526D32" w:rsidRDefault="00A10829" w:rsidP="00A10829">
      <w:pPr>
        <w:spacing w:line="276" w:lineRule="auto"/>
        <w:rPr>
          <w:rFonts w:asciiTheme="minorHAnsi" w:eastAsia="Calibri" w:hAnsiTheme="minorHAnsi" w:cstheme="minorHAnsi"/>
          <w:sz w:val="22"/>
          <w:szCs w:val="22"/>
        </w:rPr>
      </w:pPr>
      <w:r w:rsidRPr="00526D32">
        <w:rPr>
          <w:rFonts w:asciiTheme="minorHAnsi" w:eastAsia="Calibri" w:hAnsiTheme="minorHAnsi" w:cstheme="minorHAnsi"/>
          <w:sz w:val="22"/>
          <w:szCs w:val="22"/>
        </w:rPr>
        <w:t>Da bi Crna Gora imala konkurentnu radnu snagu, neophodno je obezbijediti kontinuirano vaspitanje i obrazovanje od najranijeg uzrasta. Strukturna neusklađenost ponude i potražnje, povećanje broja učenika stručnih škola koji nastavljaju obrazovanje, uz porast broja nezaposlenih visokoškolaca karakterišu stanje na tržištu rada, koje ima značajan negativan uticaj na konkurentnost ekonomije. U cilju unapređenja stanja u ovoj oblasti, realizovaće se niz reformskih mjera, a koje se odnose na:</w:t>
      </w:r>
    </w:p>
    <w:p w:rsidR="00A10829" w:rsidRPr="00526D32" w:rsidRDefault="00A10829" w:rsidP="00A10829">
      <w:pPr>
        <w:spacing w:line="276" w:lineRule="auto"/>
        <w:rPr>
          <w:rFonts w:asciiTheme="minorHAnsi" w:eastAsia="Calibri" w:hAnsiTheme="minorHAnsi" w:cstheme="minorHAnsi"/>
          <w:sz w:val="22"/>
          <w:szCs w:val="22"/>
        </w:rPr>
      </w:pPr>
    </w:p>
    <w:p w:rsidR="00A10829" w:rsidRPr="00526D32" w:rsidRDefault="00A10829" w:rsidP="00A10829">
      <w:pPr>
        <w:numPr>
          <w:ilvl w:val="0"/>
          <w:numId w:val="18"/>
        </w:numPr>
        <w:spacing w:line="276" w:lineRule="auto"/>
        <w:ind w:left="0" w:firstLine="284"/>
        <w:rPr>
          <w:rFonts w:asciiTheme="minorHAnsi" w:eastAsia="Calibri" w:hAnsiTheme="minorHAnsi" w:cstheme="minorHAnsi"/>
          <w:sz w:val="22"/>
          <w:szCs w:val="22"/>
        </w:rPr>
      </w:pPr>
      <w:r w:rsidRPr="00526D32">
        <w:rPr>
          <w:rFonts w:asciiTheme="minorHAnsi" w:eastAsia="Calibri" w:hAnsiTheme="minorHAnsi" w:cstheme="minorHAnsi"/>
          <w:sz w:val="22"/>
          <w:szCs w:val="22"/>
        </w:rPr>
        <w:t>povećanje nivoa znanja engleskog jezika djece i učenika;</w:t>
      </w:r>
    </w:p>
    <w:p w:rsidR="00A10829" w:rsidRPr="00526D32" w:rsidRDefault="00A10829" w:rsidP="00A10829">
      <w:pPr>
        <w:numPr>
          <w:ilvl w:val="0"/>
          <w:numId w:val="5"/>
        </w:numPr>
        <w:spacing w:line="276" w:lineRule="auto"/>
        <w:ind w:left="709" w:hanging="425"/>
        <w:contextualSpacing/>
        <w:rPr>
          <w:rFonts w:asciiTheme="minorHAnsi" w:hAnsiTheme="minorHAnsi" w:cstheme="minorHAnsi"/>
          <w:bCs/>
          <w:sz w:val="22"/>
          <w:szCs w:val="22"/>
        </w:rPr>
      </w:pPr>
      <w:r w:rsidRPr="00526D32">
        <w:rPr>
          <w:rFonts w:asciiTheme="minorHAnsi" w:hAnsiTheme="minorHAnsi" w:cstheme="minorHAnsi"/>
          <w:sz w:val="22"/>
          <w:szCs w:val="22"/>
        </w:rPr>
        <w:t xml:space="preserve">modernizaciju obrazovnih programa u srednjem stručnom obrazovanju, za sve nivoe stručnog obrazovanja kako bi se obezbijedila bolja povezanost obrazovanja i tržišta rada; </w:t>
      </w:r>
    </w:p>
    <w:p w:rsidR="00A10829" w:rsidRPr="00526D32" w:rsidRDefault="00A10829" w:rsidP="00A10829">
      <w:pPr>
        <w:numPr>
          <w:ilvl w:val="0"/>
          <w:numId w:val="5"/>
        </w:numPr>
        <w:spacing w:line="276" w:lineRule="auto"/>
        <w:ind w:left="0" w:firstLine="284"/>
        <w:contextualSpacing/>
        <w:rPr>
          <w:rFonts w:asciiTheme="minorHAnsi" w:hAnsiTheme="minorHAnsi" w:cstheme="minorHAnsi"/>
          <w:bCs/>
          <w:sz w:val="22"/>
          <w:szCs w:val="22"/>
        </w:rPr>
      </w:pPr>
      <w:r w:rsidRPr="00526D32">
        <w:rPr>
          <w:rFonts w:asciiTheme="minorHAnsi" w:hAnsiTheme="minorHAnsi" w:cstheme="minorHAnsi"/>
          <w:sz w:val="22"/>
          <w:szCs w:val="22"/>
        </w:rPr>
        <w:t xml:space="preserve">realizaciju praktičnog obrazovanja kod poslodavaca – dualno obrazovanje; </w:t>
      </w:r>
    </w:p>
    <w:p w:rsidR="00A10829" w:rsidRPr="00526D32" w:rsidRDefault="00A10829" w:rsidP="00A10829">
      <w:pPr>
        <w:numPr>
          <w:ilvl w:val="0"/>
          <w:numId w:val="5"/>
        </w:numPr>
        <w:spacing w:line="276" w:lineRule="auto"/>
        <w:ind w:left="0" w:firstLine="284"/>
        <w:contextualSpacing/>
        <w:rPr>
          <w:rFonts w:asciiTheme="minorHAnsi" w:hAnsiTheme="minorHAnsi" w:cstheme="minorHAnsi"/>
          <w:sz w:val="22"/>
          <w:szCs w:val="22"/>
        </w:rPr>
      </w:pPr>
      <w:r w:rsidRPr="00526D32">
        <w:rPr>
          <w:rFonts w:asciiTheme="minorHAnsi" w:hAnsiTheme="minorHAnsi" w:cstheme="minorHAnsi"/>
          <w:sz w:val="22"/>
          <w:szCs w:val="22"/>
        </w:rPr>
        <w:t xml:space="preserve">usaglašavanje visokog obrazovanja sa potrebama tržišta rada; </w:t>
      </w:r>
    </w:p>
    <w:p w:rsidR="00A10829" w:rsidRPr="00526D32" w:rsidRDefault="00A10829" w:rsidP="00A10829">
      <w:pPr>
        <w:numPr>
          <w:ilvl w:val="0"/>
          <w:numId w:val="5"/>
        </w:numPr>
        <w:spacing w:line="276" w:lineRule="auto"/>
        <w:ind w:left="0" w:firstLine="284"/>
        <w:contextualSpacing/>
        <w:rPr>
          <w:rFonts w:asciiTheme="minorHAnsi" w:hAnsiTheme="minorHAnsi" w:cstheme="minorHAnsi"/>
          <w:sz w:val="22"/>
          <w:szCs w:val="22"/>
        </w:rPr>
      </w:pPr>
      <w:r w:rsidRPr="00526D32">
        <w:rPr>
          <w:rFonts w:asciiTheme="minorHAnsi" w:hAnsiTheme="minorHAnsi" w:cstheme="minorHAnsi"/>
          <w:sz w:val="22"/>
          <w:szCs w:val="22"/>
        </w:rPr>
        <w:t xml:space="preserve">vrednovanje praktične nastave; </w:t>
      </w:r>
    </w:p>
    <w:p w:rsidR="00A10829" w:rsidRPr="00526D32" w:rsidRDefault="00A10829" w:rsidP="00A10829">
      <w:pPr>
        <w:numPr>
          <w:ilvl w:val="0"/>
          <w:numId w:val="5"/>
        </w:numPr>
        <w:autoSpaceDE w:val="0"/>
        <w:autoSpaceDN w:val="0"/>
        <w:adjustRightInd w:val="0"/>
        <w:spacing w:line="276" w:lineRule="auto"/>
        <w:ind w:left="709" w:hanging="425"/>
        <w:contextualSpacing/>
        <w:rPr>
          <w:rFonts w:asciiTheme="minorHAnsi" w:hAnsiTheme="minorHAnsi" w:cstheme="minorHAnsi"/>
          <w:sz w:val="22"/>
          <w:szCs w:val="22"/>
        </w:rPr>
      </w:pPr>
      <w:r w:rsidRPr="00526D32">
        <w:rPr>
          <w:rFonts w:asciiTheme="minorHAnsi" w:hAnsiTheme="minorHAnsi" w:cstheme="minorHAnsi"/>
          <w:color w:val="auto"/>
          <w:sz w:val="22"/>
          <w:szCs w:val="22"/>
        </w:rPr>
        <w:t>uvođenje novog modela studija u svim ustanovama visokog obrazovanja, koji se zasniva na</w:t>
      </w:r>
      <w:r w:rsidRPr="00526D32">
        <w:rPr>
          <w:rFonts w:asciiTheme="minorHAnsi" w:hAnsiTheme="minorHAnsi" w:cstheme="minorHAnsi"/>
          <w:sz w:val="22"/>
          <w:szCs w:val="22"/>
        </w:rPr>
        <w:t xml:space="preserve"> modelu 3+2+3;</w:t>
      </w:r>
    </w:p>
    <w:p w:rsidR="00A10829" w:rsidRPr="00526D32" w:rsidRDefault="00A10829" w:rsidP="00A10829">
      <w:pPr>
        <w:numPr>
          <w:ilvl w:val="0"/>
          <w:numId w:val="18"/>
        </w:numPr>
        <w:spacing w:line="276" w:lineRule="auto"/>
        <w:ind w:left="709" w:hanging="425"/>
        <w:contextualSpacing/>
        <w:rPr>
          <w:rFonts w:asciiTheme="minorHAnsi" w:hAnsiTheme="minorHAnsi" w:cstheme="minorHAnsi"/>
          <w:bCs/>
          <w:sz w:val="22"/>
          <w:szCs w:val="22"/>
        </w:rPr>
      </w:pPr>
      <w:r w:rsidRPr="00526D32">
        <w:rPr>
          <w:rFonts w:asciiTheme="minorHAnsi" w:hAnsiTheme="minorHAnsi" w:cstheme="minorHAnsi"/>
          <w:sz w:val="22"/>
          <w:szCs w:val="22"/>
        </w:rPr>
        <w:t xml:space="preserve">redefinisanje Programa stručnog osposobljavanja lica sa stečenim visokim obrazovanjem; </w:t>
      </w:r>
    </w:p>
    <w:p w:rsidR="00A10829" w:rsidRPr="00526D32" w:rsidRDefault="00A10829" w:rsidP="00A10829">
      <w:pPr>
        <w:numPr>
          <w:ilvl w:val="0"/>
          <w:numId w:val="19"/>
        </w:numPr>
        <w:spacing w:line="276" w:lineRule="auto"/>
        <w:ind w:left="709" w:hanging="425"/>
        <w:contextualSpacing/>
        <w:rPr>
          <w:rFonts w:asciiTheme="minorHAnsi" w:hAnsiTheme="minorHAnsi" w:cstheme="minorHAnsi"/>
          <w:sz w:val="22"/>
          <w:szCs w:val="22"/>
        </w:rPr>
      </w:pPr>
      <w:r w:rsidRPr="00526D32">
        <w:rPr>
          <w:rFonts w:asciiTheme="minorHAnsi" w:hAnsiTheme="minorHAnsi" w:cstheme="minorHAnsi"/>
          <w:sz w:val="22"/>
          <w:szCs w:val="22"/>
        </w:rPr>
        <w:t xml:space="preserve">redefinisanje kriterijuma za upis na studije za profesiju učitelja i nastavnika, uz kontrolisan upis kandidata na programe na kojima se edukuju nastavnici i učitelji u smislu prethodno postignutog uspjeha i odgovarajućeg obrazovnog programa. </w:t>
      </w:r>
    </w:p>
    <w:p w:rsidR="00A10829" w:rsidRPr="00526D32" w:rsidRDefault="00A10829" w:rsidP="00A10829">
      <w:pPr>
        <w:numPr>
          <w:ilvl w:val="0"/>
          <w:numId w:val="5"/>
        </w:numPr>
        <w:spacing w:line="276" w:lineRule="auto"/>
        <w:ind w:left="709" w:hanging="425"/>
        <w:contextualSpacing/>
        <w:rPr>
          <w:rFonts w:asciiTheme="minorHAnsi" w:hAnsiTheme="minorHAnsi" w:cstheme="minorHAnsi"/>
          <w:sz w:val="22"/>
          <w:szCs w:val="22"/>
        </w:rPr>
      </w:pPr>
      <w:r w:rsidRPr="00526D32">
        <w:rPr>
          <w:rFonts w:asciiTheme="minorHAnsi" w:hAnsiTheme="minorHAnsi" w:cstheme="minorHAnsi"/>
          <w:sz w:val="22"/>
          <w:szCs w:val="22"/>
        </w:rPr>
        <w:t>uvođenje novog modela finansiranja visokog obrazovanja, kako bi se finansiranje visokog obrazovanja učinilo efikasnim, održivim i stabilnim.</w:t>
      </w:r>
    </w:p>
    <w:p w:rsidR="00A10829" w:rsidRPr="00526D32" w:rsidRDefault="00A10829" w:rsidP="00A10829">
      <w:pPr>
        <w:spacing w:line="276" w:lineRule="auto"/>
        <w:contextualSpacing/>
        <w:rPr>
          <w:rFonts w:asciiTheme="minorHAnsi" w:hAnsiTheme="minorHAnsi" w:cstheme="minorHAnsi"/>
          <w:sz w:val="22"/>
          <w:szCs w:val="22"/>
        </w:rPr>
      </w:pPr>
    </w:p>
    <w:p w:rsidR="008E5B78" w:rsidRPr="00526D32" w:rsidRDefault="00526D32" w:rsidP="00CF1AD8">
      <w:pPr>
        <w:spacing w:line="276" w:lineRule="auto"/>
      </w:pPr>
      <w:r w:rsidRPr="00A10829">
        <w:rPr>
          <w:rFonts w:asciiTheme="minorHAnsi" w:hAnsiTheme="minorHAnsi" w:cstheme="minorHAnsi"/>
          <w:b/>
          <w:sz w:val="28"/>
          <w:szCs w:val="28"/>
        </w:rPr>
        <w:t>3</w:t>
      </w:r>
      <w:r w:rsidR="008E5B78" w:rsidRPr="00A10829">
        <w:rPr>
          <w:rFonts w:asciiTheme="minorHAnsi" w:hAnsiTheme="minorHAnsi" w:cstheme="minorHAnsi"/>
          <w:b/>
          <w:sz w:val="28"/>
          <w:szCs w:val="28"/>
        </w:rPr>
        <w:t>.3 Strukturne reforme realnog sektora</w:t>
      </w:r>
    </w:p>
    <w:p w:rsidR="008E5B78" w:rsidRPr="00071A61" w:rsidRDefault="008E5B78" w:rsidP="0048511B">
      <w:pPr>
        <w:spacing w:line="276" w:lineRule="auto"/>
        <w:rPr>
          <w:rFonts w:asciiTheme="minorHAnsi" w:hAnsiTheme="minorHAnsi" w:cstheme="minorHAnsi"/>
          <w:sz w:val="22"/>
          <w:szCs w:val="22"/>
        </w:rPr>
      </w:pPr>
    </w:p>
    <w:p w:rsidR="008E5B78" w:rsidRPr="00526D32" w:rsidRDefault="000852C0" w:rsidP="0048511B">
      <w:pPr>
        <w:spacing w:line="276" w:lineRule="auto"/>
        <w:rPr>
          <w:rFonts w:asciiTheme="minorHAnsi" w:hAnsiTheme="minorHAnsi" w:cstheme="minorHAnsi"/>
          <w:color w:val="auto"/>
          <w:sz w:val="22"/>
          <w:szCs w:val="22"/>
          <w:lang w:val="sl-SI"/>
        </w:rPr>
      </w:pPr>
      <w:r>
        <w:rPr>
          <w:rFonts w:asciiTheme="minorHAnsi" w:hAnsiTheme="minorHAnsi" w:cstheme="minorHAnsi"/>
          <w:color w:val="auto"/>
          <w:sz w:val="22"/>
          <w:szCs w:val="22"/>
          <w:lang w:val="sl-SI"/>
        </w:rPr>
        <w:t>U periodu 2017-2020.godina, r</w:t>
      </w:r>
      <w:r w:rsidR="008E5B78" w:rsidRPr="00526D32">
        <w:rPr>
          <w:rFonts w:asciiTheme="minorHAnsi" w:hAnsiTheme="minorHAnsi" w:cstheme="minorHAnsi"/>
          <w:color w:val="auto"/>
          <w:sz w:val="22"/>
          <w:szCs w:val="22"/>
          <w:lang w:val="sl-SI"/>
        </w:rPr>
        <w:t>ealizovaće se niz strukturnih reformi, u cilju smanjenja/eliminisanja dijagnostifikovanih prepreka rastu i konkurentnosti ekonomije, a kojima se podržava proces fiskalne konsolidacije. Poseban izazov predstavlja rješavanje sektorskih prepreka koje otežavaju da se u cjelini iskoristi potencijal za brži privredni rast. Riječ je, prije svega, o preprekama koje proizlaze, kako iz relativno nepovoljne privredne strukture, tako i iz postojećih karakteristika ljudskog potencijala i fizičke infrastrukture.</w:t>
      </w:r>
    </w:p>
    <w:p w:rsidR="008E5B78" w:rsidRPr="00526D32" w:rsidRDefault="008E5B78" w:rsidP="0048511B">
      <w:pPr>
        <w:spacing w:line="276" w:lineRule="auto"/>
        <w:rPr>
          <w:rFonts w:asciiTheme="minorHAnsi" w:hAnsiTheme="minorHAnsi" w:cstheme="minorHAnsi"/>
          <w:color w:val="auto"/>
          <w:sz w:val="22"/>
          <w:szCs w:val="22"/>
          <w:lang w:val="sl-SI"/>
        </w:rPr>
      </w:pPr>
    </w:p>
    <w:p w:rsidR="008E5B78" w:rsidRPr="00526D32" w:rsidRDefault="00526D32" w:rsidP="0048511B">
      <w:pPr>
        <w:pStyle w:val="Heading3"/>
      </w:pPr>
      <w:bookmarkStart w:id="7" w:name="_Toc484373011"/>
      <w:r w:rsidRPr="00526D32">
        <w:t>3</w:t>
      </w:r>
      <w:r w:rsidR="008E5B78" w:rsidRPr="00526D32">
        <w:t>.3.1 Poslovni ambijent i investiciona klima</w:t>
      </w:r>
      <w:bookmarkEnd w:id="7"/>
    </w:p>
    <w:p w:rsidR="008E5B78" w:rsidRPr="00526D32" w:rsidRDefault="008E5B78" w:rsidP="0048511B">
      <w:pPr>
        <w:pStyle w:val="Heading3"/>
        <w:rPr>
          <w:rFonts w:eastAsiaTheme="minorHAnsi"/>
        </w:rPr>
      </w:pPr>
    </w:p>
    <w:p w:rsidR="008E5B78" w:rsidRPr="00526D32" w:rsidRDefault="008E5B78" w:rsidP="0048511B">
      <w:pPr>
        <w:spacing w:line="276" w:lineRule="auto"/>
        <w:ind w:right="11"/>
        <w:rPr>
          <w:rFonts w:asciiTheme="minorHAnsi" w:hAnsiTheme="minorHAnsi" w:cstheme="minorHAnsi"/>
          <w:sz w:val="22"/>
          <w:szCs w:val="22"/>
        </w:rPr>
      </w:pPr>
      <w:r w:rsidRPr="00526D32">
        <w:rPr>
          <w:rFonts w:asciiTheme="minorHAnsi" w:hAnsiTheme="minorHAnsi" w:cstheme="minorHAnsi"/>
          <w:sz w:val="22"/>
          <w:szCs w:val="22"/>
        </w:rPr>
        <w:t>Unapređenje poslovnog ambijenta podrazumijeva realizaciju reformskih mjera i aktivnosti kojima se doprinosi stvaranju ekonomskog okvira pogodnog za investiranje i razvoj preduzetništva, odnosno otvaranje novih radnih mjesta, uz uštedu vremena i smanjenje troškova poslovanja. Od posebnog značaja je njegov uticaj na poziciju zemlje u smislu atraktivnosti za strana ulaganja, na kojima se, u najvećoj mjeri, zasniva model ekonomskog rasta.</w:t>
      </w:r>
    </w:p>
    <w:p w:rsidR="008E5B78" w:rsidRPr="00526D32" w:rsidRDefault="008E5B78" w:rsidP="0048511B">
      <w:pPr>
        <w:spacing w:line="276" w:lineRule="auto"/>
        <w:ind w:right="11"/>
        <w:rPr>
          <w:rFonts w:asciiTheme="minorHAnsi" w:hAnsiTheme="minorHAnsi" w:cstheme="minorHAnsi"/>
          <w:b/>
          <w:bCs/>
          <w:sz w:val="22"/>
          <w:szCs w:val="22"/>
          <w:lang w:eastAsia="zh-CN"/>
        </w:rPr>
      </w:pPr>
    </w:p>
    <w:p w:rsidR="008E5B78" w:rsidRPr="00526D32" w:rsidRDefault="008E5B78" w:rsidP="0048511B">
      <w:pPr>
        <w:spacing w:line="276" w:lineRule="auto"/>
        <w:rPr>
          <w:rFonts w:asciiTheme="minorHAnsi" w:eastAsia="Calibri" w:hAnsiTheme="minorHAnsi" w:cstheme="minorHAnsi"/>
          <w:sz w:val="22"/>
          <w:szCs w:val="22"/>
        </w:rPr>
      </w:pPr>
      <w:r w:rsidRPr="00526D32">
        <w:rPr>
          <w:rFonts w:asciiTheme="minorHAnsi" w:eastAsia="Calibri" w:hAnsiTheme="minorHAnsi" w:cstheme="minorHAnsi"/>
          <w:sz w:val="22"/>
          <w:szCs w:val="22"/>
        </w:rPr>
        <w:t>U cilju poboljšanja pozicije Crne Gore na rang listama o lakoći poslovanja</w:t>
      </w:r>
      <w:r w:rsidRPr="00526D32">
        <w:rPr>
          <w:rFonts w:asciiTheme="minorHAnsi" w:eastAsia="Calibri" w:hAnsiTheme="minorHAnsi" w:cstheme="minorHAnsi"/>
          <w:sz w:val="22"/>
          <w:szCs w:val="22"/>
          <w:vertAlign w:val="superscript"/>
        </w:rPr>
        <w:footnoteReference w:id="22"/>
      </w:r>
      <w:r w:rsidRPr="00526D32">
        <w:rPr>
          <w:rFonts w:asciiTheme="minorHAnsi" w:eastAsia="Calibri" w:hAnsiTheme="minorHAnsi" w:cstheme="minorHAnsi"/>
          <w:sz w:val="22"/>
          <w:szCs w:val="22"/>
        </w:rPr>
        <w:t>, radi se na otklanjanju identifikovanih prepreka za dalje poboljšanje poslovnog okruženja. U tom smislu:</w:t>
      </w:r>
    </w:p>
    <w:p w:rsidR="008E5B78" w:rsidRPr="00526D32" w:rsidRDefault="008E5B78" w:rsidP="0048511B">
      <w:pPr>
        <w:spacing w:line="276" w:lineRule="auto"/>
        <w:rPr>
          <w:rFonts w:asciiTheme="minorHAnsi" w:eastAsia="Calibri" w:hAnsiTheme="minorHAnsi" w:cstheme="minorHAnsi"/>
          <w:sz w:val="22"/>
          <w:szCs w:val="22"/>
        </w:rPr>
      </w:pPr>
    </w:p>
    <w:p w:rsidR="008E5B78" w:rsidRPr="00526D32" w:rsidRDefault="008E5B78" w:rsidP="0048511B">
      <w:pPr>
        <w:numPr>
          <w:ilvl w:val="0"/>
          <w:numId w:val="26"/>
        </w:numPr>
        <w:spacing w:line="276" w:lineRule="auto"/>
        <w:rPr>
          <w:rFonts w:asciiTheme="minorHAnsi" w:eastAsia="Calibri" w:hAnsiTheme="minorHAnsi" w:cstheme="minorHAnsi"/>
          <w:sz w:val="22"/>
          <w:szCs w:val="22"/>
        </w:rPr>
      </w:pPr>
      <w:r w:rsidRPr="00526D32">
        <w:rPr>
          <w:rFonts w:asciiTheme="minorHAnsi" w:eastAsia="Calibri" w:hAnsiTheme="minorHAnsi" w:cstheme="minorHAnsi"/>
          <w:sz w:val="22"/>
          <w:szCs w:val="22"/>
        </w:rPr>
        <w:t>Utvrdiće se jednostavnije i transparentnije procedure za dobijanje priključka na elektro-energetsku mrežu, razvoj kapaciteta elektro-energetske mreže uskladiće se sa urbanističkim planovima;</w:t>
      </w:r>
    </w:p>
    <w:p w:rsidR="008E5B78" w:rsidRPr="00526D32" w:rsidRDefault="008E5B78" w:rsidP="0048511B">
      <w:pPr>
        <w:numPr>
          <w:ilvl w:val="0"/>
          <w:numId w:val="27"/>
        </w:numPr>
        <w:spacing w:line="276" w:lineRule="auto"/>
        <w:rPr>
          <w:rFonts w:asciiTheme="minorHAnsi" w:eastAsia="Calibri" w:hAnsiTheme="minorHAnsi" w:cstheme="minorHAnsi"/>
          <w:sz w:val="22"/>
          <w:szCs w:val="22"/>
        </w:rPr>
      </w:pPr>
      <w:r w:rsidRPr="00526D32">
        <w:rPr>
          <w:rFonts w:asciiTheme="minorHAnsi" w:eastAsia="Calibri" w:hAnsiTheme="minorHAnsi" w:cstheme="minorHAnsi"/>
          <w:sz w:val="22"/>
          <w:szCs w:val="22"/>
        </w:rPr>
        <w:t>Pojednostaviće se procedure vezane za početak gradnje objekata. Umjesto građevinske i upotrebne dozvole uvešće se prijave radova i propisati neophodna dokumentacija kao uslov za građenje;</w:t>
      </w:r>
    </w:p>
    <w:p w:rsidR="008E5B78" w:rsidRPr="00526D32" w:rsidRDefault="008E5B78" w:rsidP="0048511B">
      <w:pPr>
        <w:numPr>
          <w:ilvl w:val="0"/>
          <w:numId w:val="16"/>
        </w:numPr>
        <w:spacing w:line="276" w:lineRule="auto"/>
        <w:ind w:left="0" w:firstLine="360"/>
        <w:rPr>
          <w:rFonts w:asciiTheme="minorHAnsi" w:eastAsia="Calibri" w:hAnsiTheme="minorHAnsi" w:cstheme="minorHAnsi"/>
          <w:sz w:val="22"/>
          <w:szCs w:val="22"/>
        </w:rPr>
      </w:pPr>
      <w:r w:rsidRPr="00526D32">
        <w:rPr>
          <w:rFonts w:asciiTheme="minorHAnsi" w:eastAsia="Calibri" w:hAnsiTheme="minorHAnsi" w:cstheme="minorHAnsi"/>
          <w:sz w:val="22"/>
          <w:szCs w:val="22"/>
        </w:rPr>
        <w:t>Uvešće se e-servis u rad katastarskih službi;</w:t>
      </w:r>
    </w:p>
    <w:p w:rsidR="008E5B78" w:rsidRPr="00526D32" w:rsidRDefault="008E5B78" w:rsidP="0048511B">
      <w:pPr>
        <w:numPr>
          <w:ilvl w:val="0"/>
          <w:numId w:val="16"/>
        </w:numPr>
        <w:spacing w:line="276" w:lineRule="auto"/>
        <w:ind w:left="0" w:firstLine="360"/>
        <w:rPr>
          <w:rFonts w:asciiTheme="minorHAnsi" w:eastAsia="Calibri" w:hAnsiTheme="minorHAnsi" w:cstheme="minorHAnsi"/>
          <w:sz w:val="22"/>
          <w:szCs w:val="22"/>
        </w:rPr>
      </w:pPr>
      <w:r w:rsidRPr="00526D32">
        <w:rPr>
          <w:rFonts w:asciiTheme="minorHAnsi" w:eastAsia="Calibri" w:hAnsiTheme="minorHAnsi" w:cstheme="minorHAnsi"/>
          <w:sz w:val="22"/>
          <w:szCs w:val="22"/>
        </w:rPr>
        <w:t>Nastaviće se postupak pojednostavljenja plaćanja poreza;</w:t>
      </w:r>
    </w:p>
    <w:p w:rsidR="008E5B78" w:rsidRPr="00526D32" w:rsidRDefault="008E5B78" w:rsidP="0048511B">
      <w:pPr>
        <w:numPr>
          <w:ilvl w:val="0"/>
          <w:numId w:val="16"/>
        </w:numPr>
        <w:spacing w:line="276" w:lineRule="auto"/>
        <w:ind w:left="0" w:firstLine="360"/>
        <w:rPr>
          <w:rFonts w:asciiTheme="minorHAnsi" w:eastAsia="Calibri" w:hAnsiTheme="minorHAnsi" w:cstheme="minorHAnsi"/>
          <w:sz w:val="22"/>
          <w:szCs w:val="22"/>
        </w:rPr>
      </w:pPr>
      <w:r w:rsidRPr="00526D32">
        <w:rPr>
          <w:rFonts w:asciiTheme="minorHAnsi" w:eastAsia="Calibri" w:hAnsiTheme="minorHAnsi" w:cstheme="minorHAnsi"/>
          <w:sz w:val="22"/>
          <w:szCs w:val="22"/>
        </w:rPr>
        <w:t>Radiće se na eliminisanju uočenih problema vezanih za postupke izvršenja.</w:t>
      </w:r>
    </w:p>
    <w:p w:rsidR="008E5B78" w:rsidRPr="00526D32" w:rsidRDefault="008E5B78" w:rsidP="0048511B">
      <w:pPr>
        <w:spacing w:line="276" w:lineRule="auto"/>
        <w:ind w:left="720"/>
        <w:contextualSpacing/>
        <w:rPr>
          <w:rFonts w:asciiTheme="minorHAnsi" w:hAnsiTheme="minorHAnsi" w:cstheme="minorHAnsi"/>
          <w:sz w:val="22"/>
          <w:szCs w:val="22"/>
        </w:rPr>
      </w:pPr>
    </w:p>
    <w:p w:rsidR="008E5B78" w:rsidRPr="00526D32" w:rsidRDefault="008E5B78" w:rsidP="0048511B">
      <w:pPr>
        <w:autoSpaceDE w:val="0"/>
        <w:autoSpaceDN w:val="0"/>
        <w:adjustRightInd w:val="0"/>
        <w:spacing w:line="276" w:lineRule="auto"/>
        <w:rPr>
          <w:rFonts w:asciiTheme="minorHAnsi" w:hAnsiTheme="minorHAnsi" w:cstheme="minorHAnsi"/>
          <w:sz w:val="22"/>
          <w:szCs w:val="22"/>
        </w:rPr>
      </w:pPr>
      <w:r w:rsidRPr="00526D32">
        <w:rPr>
          <w:rFonts w:asciiTheme="minorHAnsi" w:hAnsiTheme="minorHAnsi" w:cstheme="minorHAnsi"/>
          <w:bCs/>
          <w:sz w:val="22"/>
          <w:szCs w:val="22"/>
        </w:rPr>
        <w:t>Investiciona klima u Crnoj Gori, uz značajno unaprijeđen ambijent za poslovanje i stimulativan poreski sistem, dodatno je poboljšana sa ustanovljenim podsticajima i olakšicama za investitore: Uredba o podsticanju direktnih investicija, Program podsticaja razvoja biznisa</w:t>
      </w:r>
      <w:r w:rsidRPr="00526D32">
        <w:rPr>
          <w:rFonts w:asciiTheme="minorHAnsi" w:hAnsiTheme="minorHAnsi" w:cstheme="minorHAnsi"/>
          <w:sz w:val="22"/>
          <w:szCs w:val="22"/>
        </w:rPr>
        <w:t>, Uredba o subvencijama za zapošljavanje određenih kategorija nezaposlenih lica, Program podsticaja klastera u Crnoj Gori za period 2017-2020. godine, Program povećanja regionalne i lokalne konkurentnosti kroz usaglašavanje sa zahtjevima međunarodnih standarda poslovanja za period 2017.-2020. godine, Program za unapređenje inovativnosti u malim i srednjim preduzećima, Program podrške za modernizaciju industrije.</w:t>
      </w:r>
    </w:p>
    <w:p w:rsidR="008E5B78" w:rsidRPr="00526D32" w:rsidRDefault="008E5B78" w:rsidP="0048511B">
      <w:pPr>
        <w:spacing w:line="276" w:lineRule="auto"/>
        <w:rPr>
          <w:rFonts w:asciiTheme="minorHAnsi" w:eastAsia="Calibri" w:hAnsiTheme="minorHAnsi" w:cstheme="minorHAnsi"/>
          <w:sz w:val="22"/>
          <w:szCs w:val="22"/>
        </w:rPr>
      </w:pPr>
    </w:p>
    <w:p w:rsidR="008E5B78" w:rsidRPr="00526D32" w:rsidRDefault="00526D32" w:rsidP="0048511B">
      <w:pPr>
        <w:pStyle w:val="Heading3"/>
      </w:pPr>
      <w:bookmarkStart w:id="8" w:name="_Toc484373012"/>
      <w:r>
        <w:t>3</w:t>
      </w:r>
      <w:r w:rsidR="008E5B78" w:rsidRPr="00526D32">
        <w:t>.3.2 Finansijska stabilnost</w:t>
      </w:r>
      <w:bookmarkEnd w:id="8"/>
    </w:p>
    <w:p w:rsidR="008E5B78" w:rsidRPr="00526D32" w:rsidRDefault="008E5B78" w:rsidP="0048511B">
      <w:pPr>
        <w:spacing w:line="276" w:lineRule="auto"/>
        <w:rPr>
          <w:rFonts w:asciiTheme="minorHAnsi" w:eastAsia="Calibri" w:hAnsiTheme="minorHAnsi" w:cstheme="minorHAnsi"/>
          <w:sz w:val="22"/>
          <w:szCs w:val="22"/>
          <w:lang w:val="de-DE"/>
        </w:rPr>
      </w:pPr>
    </w:p>
    <w:p w:rsidR="008E5B78" w:rsidRPr="00526D32" w:rsidRDefault="008E5B78" w:rsidP="0048511B">
      <w:pPr>
        <w:spacing w:line="276" w:lineRule="auto"/>
        <w:rPr>
          <w:rFonts w:asciiTheme="minorHAnsi" w:hAnsiTheme="minorHAnsi" w:cstheme="minorHAnsi"/>
          <w:sz w:val="22"/>
          <w:szCs w:val="22"/>
        </w:rPr>
      </w:pPr>
      <w:r w:rsidRPr="00526D32">
        <w:rPr>
          <w:rFonts w:asciiTheme="minorHAnsi" w:eastAsia="Calibri" w:hAnsiTheme="minorHAnsi" w:cstheme="minorHAnsi"/>
          <w:sz w:val="22"/>
          <w:szCs w:val="22"/>
          <w:lang w:val="de-DE"/>
        </w:rPr>
        <w:t>Finansijski sistem</w:t>
      </w:r>
      <w:r w:rsidRPr="00526D32">
        <w:rPr>
          <w:rFonts w:asciiTheme="minorHAnsi" w:hAnsiTheme="minorHAnsi" w:cstheme="minorHAnsi"/>
          <w:sz w:val="22"/>
          <w:szCs w:val="22"/>
        </w:rPr>
        <w:t xml:space="preserve"> je stabilan, ali je još uvijek prisutan umjereni sistemski rizik. Pri tome, bankarski sistem, kao dominantan dio finansijskog sistema u Crnoj Gori, karakteriše stabilnost i kontinuirani rast depozita. Likvidnost i solventnost su poboljšani i značajno su iznad zakonom propisanog minimuma. U 2016, u odnosu na prethodnu godinu, gotovo sve pozicije iz bilansa banaka bilježe rast: ukupna aktiva, depoziti, krediti i kapital. Ban</w:t>
      </w:r>
      <w:r w:rsidR="0048511B">
        <w:rPr>
          <w:rFonts w:asciiTheme="minorHAnsi" w:hAnsiTheme="minorHAnsi" w:cstheme="minorHAnsi"/>
          <w:sz w:val="22"/>
          <w:szCs w:val="22"/>
        </w:rPr>
        <w:t>ke</w:t>
      </w:r>
      <w:r w:rsidRPr="00526D32">
        <w:rPr>
          <w:rFonts w:asciiTheme="minorHAnsi" w:hAnsiTheme="minorHAnsi" w:cstheme="minorHAnsi"/>
          <w:sz w:val="22"/>
          <w:szCs w:val="22"/>
        </w:rPr>
        <w:t xml:space="preserve"> su vodile opreznu politiku kreditiranja realnog sektora, uz oslanjanje, pretežno, na sopstvena likvidna sredstva. Iz depozit</w:t>
      </w:r>
      <w:r w:rsidR="0048511B">
        <w:rPr>
          <w:rFonts w:asciiTheme="minorHAnsi" w:hAnsiTheme="minorHAnsi" w:cstheme="minorHAnsi"/>
          <w:sz w:val="22"/>
          <w:szCs w:val="22"/>
        </w:rPr>
        <w:t>a</w:t>
      </w:r>
      <w:r w:rsidRPr="00526D32">
        <w:rPr>
          <w:rFonts w:asciiTheme="minorHAnsi" w:hAnsiTheme="minorHAnsi" w:cstheme="minorHAnsi"/>
          <w:sz w:val="22"/>
          <w:szCs w:val="22"/>
        </w:rPr>
        <w:t xml:space="preserve"> banaka, koji su bili znatno veći od odobrenih kredita, oko 85% sredstava je bilo usmjereno u svrhe kreditiranja privrede. Značajan dio novog kreditiranja odnosio se na restrukturiranje i refinansiranje postojećih kredita, što je pozitivno uticalo na oporavak privrede. Ukupni krediti i potraživanja banaka ostvarili su blagi rast (1,27%). Parametri kvaliteta aktive su poboljšani, što pozitivno utiče na stabilnost finansijskog sistema. Iako je učešće nekvalitetnih kredita u ukupnim kreditima smanjeno, ono je i dalje značajno (10,3% na kraju decembra 2016. godine), što uslovljava oprez banaka kada je u pitanju novo kreditiranje, čime je njihov doprinos u rješavanju problema izražene nelikvidnosti privrede i ubrzanja ekonomskog rasta daleko manji od očekivanog. Aktivne kamatne stope, uprkos tendenciji blagog pada, i dalje su visoke i predstavljaju barijeru za dinamičniji oporavak privrede.</w:t>
      </w:r>
    </w:p>
    <w:p w:rsidR="008E5B78" w:rsidRPr="00526D32" w:rsidRDefault="008E5B78" w:rsidP="0048511B">
      <w:pPr>
        <w:spacing w:line="276" w:lineRule="auto"/>
        <w:rPr>
          <w:rFonts w:asciiTheme="minorHAnsi" w:hAnsiTheme="minorHAnsi" w:cstheme="minorHAnsi"/>
          <w:sz w:val="22"/>
          <w:szCs w:val="22"/>
        </w:rPr>
      </w:pPr>
    </w:p>
    <w:p w:rsidR="008E5B78" w:rsidRPr="00526D32" w:rsidRDefault="008E5B78" w:rsidP="0048511B">
      <w:pPr>
        <w:spacing w:line="276" w:lineRule="auto"/>
        <w:rPr>
          <w:rFonts w:asciiTheme="minorHAnsi" w:hAnsiTheme="minorHAnsi" w:cstheme="minorHAnsi"/>
          <w:sz w:val="22"/>
          <w:szCs w:val="22"/>
        </w:rPr>
      </w:pPr>
      <w:r w:rsidRPr="00526D32">
        <w:rPr>
          <w:rFonts w:asciiTheme="minorHAnsi" w:hAnsiTheme="minorHAnsi" w:cstheme="minorHAnsi"/>
          <w:sz w:val="22"/>
          <w:szCs w:val="22"/>
        </w:rPr>
        <w:t xml:space="preserve">Zakon o sporazumnom finansijskom restrukturiranju dugova prema finansijskim institucijama, a koji je donesen u cilju rješavanja problema nekvalitetnih kredita u okviru Projekta „Podgorički pristup“, nije dao željene rezultate. U cilju njegove reafirmacije, odnosno produženja roka njegove primjene do maja 2018. godine i povećanja obuhvata kredita koji mogu biti predmet sporazumnog restrukturiranja, </w:t>
      </w:r>
      <w:r w:rsidR="008515DC">
        <w:rPr>
          <w:rFonts w:asciiTheme="minorHAnsi" w:hAnsiTheme="minorHAnsi" w:cstheme="minorHAnsi"/>
          <w:sz w:val="22"/>
          <w:szCs w:val="22"/>
        </w:rPr>
        <w:t>izvršene su</w:t>
      </w:r>
      <w:r w:rsidRPr="00526D32">
        <w:rPr>
          <w:rFonts w:asciiTheme="minorHAnsi" w:hAnsiTheme="minorHAnsi" w:cstheme="minorHAnsi"/>
          <w:sz w:val="22"/>
          <w:szCs w:val="22"/>
        </w:rPr>
        <w:t xml:space="preserve"> izmjene i dopune ovoga zakona</w:t>
      </w:r>
      <w:r w:rsidR="008515DC">
        <w:rPr>
          <w:rFonts w:asciiTheme="minorHAnsi" w:hAnsiTheme="minorHAnsi" w:cstheme="minorHAnsi"/>
          <w:sz w:val="22"/>
          <w:szCs w:val="22"/>
        </w:rPr>
        <w:t xml:space="preserve"> i isti je predmet usvajanja od strane Parlamenta u unu mjesecu 2017</w:t>
      </w:r>
      <w:r w:rsidRPr="00526D32">
        <w:rPr>
          <w:rFonts w:asciiTheme="minorHAnsi" w:hAnsiTheme="minorHAnsi" w:cstheme="minorHAnsi"/>
          <w:sz w:val="22"/>
          <w:szCs w:val="22"/>
        </w:rPr>
        <w:t>. U okviru istog projekta, izvršene su izmjene i dopune Odluke o minimalnim standardima za upravljanje kreditnim rizikom u bankama, čime su banke o</w:t>
      </w:r>
      <w:r w:rsidR="0048511B">
        <w:rPr>
          <w:rFonts w:asciiTheme="minorHAnsi" w:hAnsiTheme="minorHAnsi" w:cstheme="minorHAnsi"/>
          <w:sz w:val="22"/>
          <w:szCs w:val="22"/>
        </w:rPr>
        <w:t>bavezane da izvrše reviziju</w:t>
      </w:r>
      <w:r w:rsidRPr="00526D32">
        <w:rPr>
          <w:rFonts w:asciiTheme="minorHAnsi" w:hAnsiTheme="minorHAnsi" w:cstheme="minorHAnsi"/>
          <w:sz w:val="22"/>
          <w:szCs w:val="22"/>
        </w:rPr>
        <w:t xml:space="preserve"> strategije postupanja sa nekvalitetnim kreditima za period od tri godine i utvrde godišnje operativne ciljeve za smanjenje nekvalitetnih kredita. Primjenom ove odluke, uz permanentni nadzor CBCG, došlo je do značajnog smanjenja NPL-a. Očekuje se da će, u narednom periodu, na smanjnjenje NPL-a uticati i postepeni rast ukupne kreditne aktivnosti, zbog pojačane konkurencije u bankarskom sektoru.</w:t>
      </w:r>
    </w:p>
    <w:p w:rsidR="008E5B78" w:rsidRPr="00526D32" w:rsidRDefault="008E5B78" w:rsidP="0048511B">
      <w:pPr>
        <w:spacing w:line="276" w:lineRule="auto"/>
        <w:rPr>
          <w:rFonts w:asciiTheme="minorHAnsi" w:hAnsiTheme="minorHAnsi" w:cstheme="minorHAnsi"/>
          <w:sz w:val="22"/>
          <w:szCs w:val="22"/>
        </w:rPr>
      </w:pPr>
    </w:p>
    <w:p w:rsidR="008E5B78" w:rsidRPr="00526D32" w:rsidRDefault="008E5B78" w:rsidP="0048511B">
      <w:pPr>
        <w:spacing w:line="276" w:lineRule="auto"/>
        <w:rPr>
          <w:rFonts w:asciiTheme="minorHAnsi" w:hAnsiTheme="minorHAnsi" w:cstheme="minorHAnsi"/>
          <w:sz w:val="22"/>
          <w:szCs w:val="22"/>
        </w:rPr>
      </w:pPr>
      <w:r w:rsidRPr="00526D32">
        <w:rPr>
          <w:rFonts w:asciiTheme="minorHAnsi" w:hAnsiTheme="minorHAnsi" w:cstheme="minorHAnsi"/>
          <w:sz w:val="22"/>
          <w:szCs w:val="22"/>
        </w:rPr>
        <w:t>U cilju jačanja stabilnosti finansijskog sistema i usklađivanja sa pravnom regulativom Evropske unije u oblasti finansijskih usluga, izvršiće se značajne reforme bankarskog poslovanja:</w:t>
      </w:r>
    </w:p>
    <w:p w:rsidR="008E5B78" w:rsidRPr="00526D32" w:rsidRDefault="008E5B78" w:rsidP="0048511B">
      <w:pPr>
        <w:spacing w:line="276" w:lineRule="auto"/>
        <w:rPr>
          <w:rFonts w:asciiTheme="minorHAnsi" w:hAnsiTheme="minorHAnsi" w:cstheme="minorHAnsi"/>
          <w:sz w:val="22"/>
          <w:szCs w:val="22"/>
        </w:rPr>
      </w:pPr>
    </w:p>
    <w:p w:rsidR="008E5B78" w:rsidRPr="00526D32" w:rsidRDefault="00A10829" w:rsidP="0048511B">
      <w:pPr>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d</w:t>
      </w:r>
      <w:r w:rsidR="008E5B78" w:rsidRPr="00526D32">
        <w:rPr>
          <w:rFonts w:asciiTheme="minorHAnsi" w:hAnsiTheme="minorHAnsi" w:cstheme="minorHAnsi"/>
          <w:sz w:val="22"/>
          <w:szCs w:val="22"/>
        </w:rPr>
        <w:t xml:space="preserve">o kraja 2017. godine donijeće se Zakon o oporavku i sanaciji banaka od sistemskog značaja, u cilju obezbjeđenja stabilnosti finansijskog sistema i u slučajevima postojanja problema kod značajnijih banaka; </w:t>
      </w:r>
    </w:p>
    <w:p w:rsidR="008E5B78" w:rsidRPr="00526D32" w:rsidRDefault="00A10829" w:rsidP="0048511B">
      <w:pPr>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p</w:t>
      </w:r>
      <w:r w:rsidR="008E5B78" w:rsidRPr="00526D32">
        <w:rPr>
          <w:rFonts w:asciiTheme="minorHAnsi" w:hAnsiTheme="minorHAnsi" w:cstheme="minorHAnsi"/>
          <w:sz w:val="22"/>
          <w:szCs w:val="22"/>
        </w:rPr>
        <w:t>ripremiće se zakon kojim će se urediti osnivanje, poslovanje i kontrola poslovanja llizing kompanija, mikrokreditnih finansijskih institucija</w:t>
      </w:r>
      <w:r w:rsidR="0048511B">
        <w:rPr>
          <w:rFonts w:asciiTheme="minorHAnsi" w:hAnsiTheme="minorHAnsi" w:cstheme="minorHAnsi"/>
          <w:sz w:val="22"/>
          <w:szCs w:val="22"/>
        </w:rPr>
        <w:t xml:space="preserve"> i</w:t>
      </w:r>
      <w:r w:rsidR="008E5B78" w:rsidRPr="00526D32">
        <w:rPr>
          <w:rFonts w:asciiTheme="minorHAnsi" w:hAnsiTheme="minorHAnsi" w:cstheme="minorHAnsi"/>
          <w:sz w:val="22"/>
          <w:szCs w:val="22"/>
        </w:rPr>
        <w:t xml:space="preserve"> pravnih lica koja se bave kreditno-garantnim poslovima;</w:t>
      </w:r>
    </w:p>
    <w:p w:rsidR="008E5B78" w:rsidRPr="00526D32" w:rsidRDefault="00A10829" w:rsidP="0048511B">
      <w:pPr>
        <w:numPr>
          <w:ilvl w:val="0"/>
          <w:numId w:val="28"/>
        </w:numPr>
        <w:spacing w:line="276" w:lineRule="auto"/>
        <w:rPr>
          <w:rFonts w:asciiTheme="minorHAnsi" w:eastAsiaTheme="minorHAnsi" w:hAnsiTheme="minorHAnsi" w:cstheme="minorHAnsi"/>
          <w:color w:val="auto"/>
          <w:sz w:val="22"/>
          <w:szCs w:val="22"/>
        </w:rPr>
      </w:pPr>
      <w:r>
        <w:rPr>
          <w:rFonts w:asciiTheme="minorHAnsi" w:eastAsiaTheme="minorHAnsi" w:hAnsiTheme="minorHAnsi" w:cstheme="minorHAnsi"/>
          <w:color w:val="auto"/>
          <w:sz w:val="22"/>
          <w:szCs w:val="22"/>
          <w:lang w:val="en-US"/>
        </w:rPr>
        <w:t>u</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cilju</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uskla</w:t>
      </w:r>
      <w:r w:rsidR="008E5B78" w:rsidRPr="00526D32">
        <w:rPr>
          <w:rFonts w:asciiTheme="minorHAnsi" w:eastAsiaTheme="minorHAnsi" w:hAnsiTheme="minorHAnsi" w:cstheme="minorHAnsi"/>
          <w:color w:val="auto"/>
          <w:sz w:val="22"/>
          <w:szCs w:val="22"/>
        </w:rPr>
        <w:t>đ</w:t>
      </w:r>
      <w:r w:rsidR="008E5B78" w:rsidRPr="00526D32">
        <w:rPr>
          <w:rFonts w:asciiTheme="minorHAnsi" w:eastAsiaTheme="minorHAnsi" w:hAnsiTheme="minorHAnsi" w:cstheme="minorHAnsi"/>
          <w:color w:val="auto"/>
          <w:sz w:val="22"/>
          <w:szCs w:val="22"/>
          <w:lang w:val="en-US"/>
        </w:rPr>
        <w:t>ivanja</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sa</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pravnom</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regulativom</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Evropske</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unije</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vezanih</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za</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oblast</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finans</w:t>
      </w:r>
      <w:r w:rsidR="0048511B">
        <w:rPr>
          <w:rFonts w:asciiTheme="minorHAnsi" w:eastAsiaTheme="minorHAnsi" w:hAnsiTheme="minorHAnsi" w:cstheme="minorHAnsi"/>
          <w:color w:val="auto"/>
          <w:sz w:val="22"/>
          <w:szCs w:val="22"/>
          <w:lang w:val="en-US"/>
        </w:rPr>
        <w:t>i</w:t>
      </w:r>
      <w:r w:rsidR="008E5B78" w:rsidRPr="00526D32">
        <w:rPr>
          <w:rFonts w:asciiTheme="minorHAnsi" w:eastAsiaTheme="minorHAnsi" w:hAnsiTheme="minorHAnsi" w:cstheme="minorHAnsi"/>
          <w:color w:val="auto"/>
          <w:sz w:val="22"/>
          <w:szCs w:val="22"/>
          <w:lang w:val="en-US"/>
        </w:rPr>
        <w:t>jskih</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usluga</w:t>
      </w:r>
      <w:r w:rsidR="008E5B78" w:rsidRPr="00526D32">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tokom</w:t>
      </w:r>
      <w:r w:rsidR="008E5B78" w:rsidRPr="00526D32">
        <w:rPr>
          <w:rFonts w:asciiTheme="minorHAnsi" w:eastAsiaTheme="minorHAnsi" w:hAnsiTheme="minorHAnsi" w:cstheme="minorHAnsi"/>
          <w:color w:val="auto"/>
          <w:sz w:val="22"/>
          <w:szCs w:val="22"/>
        </w:rPr>
        <w:t xml:space="preserve"> 2017. </w:t>
      </w:r>
      <w:r w:rsidR="008E5B78" w:rsidRPr="00526D32">
        <w:rPr>
          <w:rFonts w:asciiTheme="minorHAnsi" w:eastAsiaTheme="minorHAnsi" w:hAnsiTheme="minorHAnsi" w:cstheme="minorHAnsi"/>
          <w:color w:val="auto"/>
          <w:sz w:val="22"/>
          <w:szCs w:val="22"/>
          <w:lang w:val="en-US"/>
        </w:rPr>
        <w:t>godine</w:t>
      </w:r>
      <w:r w:rsidR="008E5B78" w:rsidRPr="00526D32">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donije</w:t>
      </w:r>
      <w:r w:rsidR="008E5B78" w:rsidRPr="00526D32">
        <w:rPr>
          <w:rFonts w:asciiTheme="minorHAnsi" w:eastAsiaTheme="minorHAnsi" w:hAnsiTheme="minorHAnsi" w:cstheme="minorHAnsi"/>
          <w:color w:val="auto"/>
          <w:sz w:val="22"/>
          <w:szCs w:val="22"/>
        </w:rPr>
        <w:t>ć</w:t>
      </w:r>
      <w:r w:rsidR="008E5B78" w:rsidRPr="00526D32">
        <w:rPr>
          <w:rFonts w:asciiTheme="minorHAnsi" w:eastAsiaTheme="minorHAnsi" w:hAnsiTheme="minorHAnsi" w:cstheme="minorHAnsi"/>
          <w:color w:val="auto"/>
          <w:sz w:val="22"/>
          <w:szCs w:val="22"/>
          <w:lang w:val="en-US"/>
        </w:rPr>
        <w:t>e</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se</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novi</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Zakon</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o</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bankama</w:t>
      </w:r>
      <w:r w:rsidR="008E5B78" w:rsidRPr="00526D32">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Izvr</w:t>
      </w:r>
      <w:r w:rsidR="008E5B78" w:rsidRPr="00526D32">
        <w:rPr>
          <w:rFonts w:asciiTheme="minorHAnsi" w:eastAsiaTheme="minorHAnsi" w:hAnsiTheme="minorHAnsi" w:cstheme="minorHAnsi"/>
          <w:color w:val="auto"/>
          <w:sz w:val="22"/>
          <w:szCs w:val="22"/>
        </w:rPr>
        <w:t>š</w:t>
      </w:r>
      <w:r w:rsidR="008E5B78" w:rsidRPr="00526D32">
        <w:rPr>
          <w:rFonts w:asciiTheme="minorHAnsi" w:eastAsiaTheme="minorHAnsi" w:hAnsiTheme="minorHAnsi" w:cstheme="minorHAnsi"/>
          <w:color w:val="auto"/>
          <w:sz w:val="22"/>
          <w:szCs w:val="22"/>
          <w:lang w:val="en-US"/>
        </w:rPr>
        <w:t>i</w:t>
      </w:r>
      <w:r w:rsidR="008E5B78" w:rsidRPr="00526D32">
        <w:rPr>
          <w:rFonts w:asciiTheme="minorHAnsi" w:eastAsiaTheme="minorHAnsi" w:hAnsiTheme="minorHAnsi" w:cstheme="minorHAnsi"/>
          <w:color w:val="auto"/>
          <w:sz w:val="22"/>
          <w:szCs w:val="22"/>
        </w:rPr>
        <w:t>ć</w:t>
      </w:r>
      <w:r w:rsidR="008E5B78" w:rsidRPr="00526D32">
        <w:rPr>
          <w:rFonts w:asciiTheme="minorHAnsi" w:eastAsiaTheme="minorHAnsi" w:hAnsiTheme="minorHAnsi" w:cstheme="minorHAnsi"/>
          <w:color w:val="auto"/>
          <w:sz w:val="22"/>
          <w:szCs w:val="22"/>
          <w:lang w:val="en-US"/>
        </w:rPr>
        <w:t>e</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se</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i</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izmjene</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i</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dopune</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Zakona</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o</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CBCG</w:t>
      </w:r>
      <w:r w:rsidR="008E5B78" w:rsidRPr="00526D32">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kojim</w:t>
      </w:r>
      <w:r w:rsidR="008E5B78" w:rsidRPr="00526D32">
        <w:rPr>
          <w:rFonts w:asciiTheme="minorHAnsi" w:eastAsiaTheme="minorHAnsi" w:hAnsiTheme="minorHAnsi" w:cstheme="minorHAnsi"/>
          <w:color w:val="auto"/>
          <w:sz w:val="22"/>
          <w:szCs w:val="22"/>
        </w:rPr>
        <w:t xml:space="preserve"> ć</w:t>
      </w:r>
      <w:r w:rsidR="008E5B78" w:rsidRPr="00526D32">
        <w:rPr>
          <w:rFonts w:asciiTheme="minorHAnsi" w:eastAsiaTheme="minorHAnsi" w:hAnsiTheme="minorHAnsi" w:cstheme="minorHAnsi"/>
          <w:color w:val="auto"/>
          <w:sz w:val="22"/>
          <w:szCs w:val="22"/>
          <w:lang w:val="en-US"/>
        </w:rPr>
        <w:t>e</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se</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urediti</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poslovanje</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CBCG</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od</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dana</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pristupanja</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EU</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i</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Evropskoj</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monetarnoj</w:t>
      </w:r>
      <w:r w:rsidR="008E5B78" w:rsidRPr="00071A61">
        <w:rPr>
          <w:rFonts w:asciiTheme="minorHAnsi" w:eastAsiaTheme="minorHAnsi" w:hAnsiTheme="minorHAnsi" w:cstheme="minorHAnsi"/>
          <w:color w:val="auto"/>
          <w:sz w:val="22"/>
          <w:szCs w:val="22"/>
        </w:rPr>
        <w:t xml:space="preserve"> </w:t>
      </w:r>
      <w:r w:rsidR="008E5B78" w:rsidRPr="00526D32">
        <w:rPr>
          <w:rFonts w:asciiTheme="minorHAnsi" w:eastAsiaTheme="minorHAnsi" w:hAnsiTheme="minorHAnsi" w:cstheme="minorHAnsi"/>
          <w:color w:val="auto"/>
          <w:sz w:val="22"/>
          <w:szCs w:val="22"/>
          <w:lang w:val="en-US"/>
        </w:rPr>
        <w:t>uniji</w:t>
      </w:r>
      <w:r w:rsidR="008E5B78" w:rsidRPr="00526D32">
        <w:rPr>
          <w:rFonts w:asciiTheme="minorHAnsi" w:eastAsiaTheme="minorHAnsi" w:hAnsiTheme="minorHAnsi" w:cstheme="minorHAnsi"/>
          <w:color w:val="auto"/>
          <w:sz w:val="22"/>
          <w:szCs w:val="22"/>
        </w:rPr>
        <w:t>.</w:t>
      </w:r>
    </w:p>
    <w:p w:rsidR="008E5B78" w:rsidRPr="00526D32" w:rsidRDefault="008E5B78" w:rsidP="0048511B">
      <w:pPr>
        <w:spacing w:line="276" w:lineRule="auto"/>
        <w:rPr>
          <w:rFonts w:asciiTheme="minorHAnsi" w:eastAsiaTheme="minorHAnsi" w:hAnsiTheme="minorHAnsi" w:cstheme="minorHAnsi"/>
          <w:color w:val="auto"/>
          <w:sz w:val="22"/>
          <w:szCs w:val="22"/>
        </w:rPr>
      </w:pPr>
    </w:p>
    <w:p w:rsidR="008E5B78" w:rsidRPr="00526D32" w:rsidRDefault="008E5B78" w:rsidP="0048511B">
      <w:pPr>
        <w:spacing w:line="276" w:lineRule="auto"/>
        <w:rPr>
          <w:rFonts w:asciiTheme="minorHAnsi" w:eastAsiaTheme="minorHAnsi" w:hAnsiTheme="minorHAnsi" w:cstheme="minorHAnsi"/>
          <w:color w:val="auto"/>
          <w:sz w:val="22"/>
          <w:szCs w:val="22"/>
        </w:rPr>
      </w:pPr>
      <w:r w:rsidRPr="00526D32">
        <w:rPr>
          <w:rFonts w:asciiTheme="minorHAnsi" w:eastAsiaTheme="minorHAnsi" w:hAnsiTheme="minorHAnsi" w:cstheme="minorHAnsi"/>
          <w:color w:val="auto"/>
          <w:sz w:val="22"/>
          <w:szCs w:val="22"/>
          <w:lang w:val="en-US"/>
        </w:rPr>
        <w:t>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sektoru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osiguranja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stabilnost</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je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blago</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osna</w:t>
      </w:r>
      <w:r w:rsidRPr="00526D32">
        <w:rPr>
          <w:rFonts w:asciiTheme="minorHAnsi" w:eastAsiaTheme="minorHAnsi" w:hAnsiTheme="minorHAnsi" w:cstheme="minorHAnsi"/>
          <w:color w:val="auto"/>
          <w:sz w:val="22"/>
          <w:szCs w:val="22"/>
        </w:rPr>
        <w:t>ž</w:t>
      </w:r>
      <w:r w:rsidRPr="00526D32">
        <w:rPr>
          <w:rFonts w:asciiTheme="minorHAnsi" w:eastAsiaTheme="minorHAnsi" w:hAnsiTheme="minorHAnsi" w:cstheme="minorHAnsi"/>
          <w:color w:val="auto"/>
          <w:sz w:val="22"/>
          <w:szCs w:val="22"/>
          <w:lang w:val="en-US"/>
        </w:rPr>
        <w:t>ena</w:t>
      </w:r>
      <w:r w:rsidRPr="00526D32">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uz</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pozitivne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stope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rasta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ove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djelatnosti</w:t>
      </w:r>
      <w:r w:rsidRPr="00526D32">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pri</w:t>
      </w:r>
      <w:r w:rsidRPr="00526D32">
        <w:rPr>
          <w:rFonts w:asciiTheme="minorHAnsi" w:eastAsiaTheme="minorHAnsi" w:hAnsiTheme="minorHAnsi" w:cstheme="minorHAnsi"/>
          <w:color w:val="auto"/>
          <w:sz w:val="22"/>
          <w:szCs w:val="22"/>
        </w:rPr>
        <w:t xml:space="preserve"> č</w:t>
      </w:r>
      <w:r w:rsidRPr="00526D32">
        <w:rPr>
          <w:rFonts w:asciiTheme="minorHAnsi" w:eastAsiaTheme="minorHAnsi" w:hAnsiTheme="minorHAnsi" w:cstheme="minorHAnsi"/>
          <w:color w:val="auto"/>
          <w:sz w:val="22"/>
          <w:szCs w:val="22"/>
          <w:lang w:val="en-US"/>
        </w:rPr>
        <w:t>emu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strukturi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dalje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dominiraju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obavezni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oblici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osiguranja</w:t>
      </w:r>
      <w:r w:rsidRPr="00526D32">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Postoji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zna</w:t>
      </w:r>
      <w:r w:rsidRPr="00526D32">
        <w:rPr>
          <w:rFonts w:asciiTheme="minorHAnsi" w:eastAsiaTheme="minorHAnsi" w:hAnsiTheme="minorHAnsi" w:cstheme="minorHAnsi"/>
          <w:color w:val="auto"/>
          <w:sz w:val="22"/>
          <w:szCs w:val="22"/>
        </w:rPr>
        <w:t>č</w:t>
      </w:r>
      <w:r w:rsidRPr="00526D32">
        <w:rPr>
          <w:rFonts w:asciiTheme="minorHAnsi" w:eastAsiaTheme="minorHAnsi" w:hAnsiTheme="minorHAnsi" w:cstheme="minorHAnsi"/>
          <w:color w:val="auto"/>
          <w:sz w:val="22"/>
          <w:szCs w:val="22"/>
          <w:lang w:val="en-US"/>
        </w:rPr>
        <w:t>ajan</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prostor</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za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dalji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razvoj</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ovog</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sektora</w:t>
      </w:r>
      <w:r w:rsidRPr="00526D32">
        <w:rPr>
          <w:rFonts w:asciiTheme="minorHAnsi" w:eastAsiaTheme="minorHAnsi" w:hAnsiTheme="minorHAnsi" w:cstheme="minorHAnsi"/>
          <w:color w:val="auto"/>
          <w:sz w:val="22"/>
          <w:szCs w:val="22"/>
        </w:rPr>
        <w:t>, š</w:t>
      </w:r>
      <w:r w:rsidRPr="00526D32">
        <w:rPr>
          <w:rFonts w:asciiTheme="minorHAnsi" w:eastAsiaTheme="minorHAnsi" w:hAnsiTheme="minorHAnsi" w:cstheme="minorHAnsi"/>
          <w:color w:val="auto"/>
          <w:sz w:val="22"/>
          <w:szCs w:val="22"/>
          <w:lang w:val="en-US"/>
        </w:rPr>
        <w:t>to</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bi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imalo</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pozitivne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efekte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na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stabilnost</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finansijskog</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sistema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narednom</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periodu</w:t>
      </w:r>
      <w:r w:rsidRPr="00526D32">
        <w:rPr>
          <w:rFonts w:asciiTheme="minorHAnsi" w:eastAsiaTheme="minorHAnsi" w:hAnsiTheme="minorHAnsi" w:cstheme="minorHAnsi"/>
          <w:color w:val="auto"/>
          <w:sz w:val="22"/>
          <w:szCs w:val="22"/>
        </w:rPr>
        <w:t>.</w:t>
      </w:r>
    </w:p>
    <w:p w:rsidR="008E5B78" w:rsidRPr="00526D32" w:rsidRDefault="008E5B78" w:rsidP="0048511B">
      <w:pPr>
        <w:spacing w:line="276" w:lineRule="auto"/>
        <w:rPr>
          <w:rFonts w:asciiTheme="minorHAnsi" w:eastAsiaTheme="minorHAnsi" w:hAnsiTheme="minorHAnsi" w:cstheme="minorHAnsi"/>
          <w:color w:val="auto"/>
          <w:sz w:val="22"/>
          <w:szCs w:val="22"/>
        </w:rPr>
      </w:pPr>
    </w:p>
    <w:p w:rsidR="008E5B78" w:rsidRDefault="008E5B78" w:rsidP="0048511B">
      <w:pPr>
        <w:spacing w:line="276" w:lineRule="auto"/>
        <w:rPr>
          <w:rFonts w:asciiTheme="minorHAnsi" w:eastAsiaTheme="minorHAnsi" w:hAnsiTheme="minorHAnsi" w:cstheme="minorHAnsi"/>
          <w:color w:val="auto"/>
          <w:sz w:val="22"/>
          <w:szCs w:val="22"/>
        </w:rPr>
      </w:pPr>
      <w:r w:rsidRPr="00526D32">
        <w:rPr>
          <w:rFonts w:asciiTheme="minorHAnsi" w:eastAsiaTheme="minorHAnsi" w:hAnsiTheme="minorHAnsi" w:cstheme="minorHAnsi"/>
          <w:color w:val="auto"/>
          <w:sz w:val="22"/>
          <w:szCs w:val="22"/>
          <w:lang w:val="en-US"/>
        </w:rPr>
        <w:t>Promet</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na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bCs/>
          <w:color w:val="auto"/>
          <w:sz w:val="22"/>
          <w:szCs w:val="22"/>
          <w:lang w:val="en-US"/>
        </w:rPr>
        <w:t>tr</w:t>
      </w:r>
      <w:r w:rsidRPr="00526D32">
        <w:rPr>
          <w:rFonts w:asciiTheme="minorHAnsi" w:eastAsiaTheme="minorHAnsi" w:hAnsiTheme="minorHAnsi" w:cstheme="minorHAnsi"/>
          <w:bCs/>
          <w:color w:val="auto"/>
          <w:sz w:val="22"/>
          <w:szCs w:val="22"/>
        </w:rPr>
        <w:t>ž</w:t>
      </w:r>
      <w:r w:rsidRPr="00526D32">
        <w:rPr>
          <w:rFonts w:asciiTheme="minorHAnsi" w:eastAsiaTheme="minorHAnsi" w:hAnsiTheme="minorHAnsi" w:cstheme="minorHAnsi"/>
          <w:bCs/>
          <w:color w:val="auto"/>
          <w:sz w:val="22"/>
          <w:szCs w:val="22"/>
          <w:lang w:val="en-US"/>
        </w:rPr>
        <w:t>i</w:t>
      </w:r>
      <w:r w:rsidRPr="00526D32">
        <w:rPr>
          <w:rFonts w:asciiTheme="minorHAnsi" w:eastAsiaTheme="minorHAnsi" w:hAnsiTheme="minorHAnsi" w:cstheme="minorHAnsi"/>
          <w:bCs/>
          <w:color w:val="auto"/>
          <w:sz w:val="22"/>
          <w:szCs w:val="22"/>
        </w:rPr>
        <w:t>š</w:t>
      </w:r>
      <w:r w:rsidRPr="00526D32">
        <w:rPr>
          <w:rFonts w:asciiTheme="minorHAnsi" w:eastAsiaTheme="minorHAnsi" w:hAnsiTheme="minorHAnsi" w:cstheme="minorHAnsi"/>
          <w:bCs/>
          <w:color w:val="auto"/>
          <w:sz w:val="22"/>
          <w:szCs w:val="22"/>
          <w:lang w:val="en-US"/>
        </w:rPr>
        <w:t>tu</w:t>
      </w:r>
      <w:r w:rsidRPr="00071A61">
        <w:rPr>
          <w:rFonts w:asciiTheme="minorHAnsi" w:eastAsiaTheme="minorHAnsi" w:hAnsiTheme="minorHAnsi" w:cstheme="minorHAnsi"/>
          <w:bCs/>
          <w:color w:val="auto"/>
          <w:sz w:val="22"/>
          <w:szCs w:val="22"/>
        </w:rPr>
        <w:t xml:space="preserve"> </w:t>
      </w:r>
      <w:r w:rsidRPr="00526D32">
        <w:rPr>
          <w:rFonts w:asciiTheme="minorHAnsi" w:eastAsiaTheme="minorHAnsi" w:hAnsiTheme="minorHAnsi" w:cstheme="minorHAnsi"/>
          <w:bCs/>
          <w:color w:val="auto"/>
          <w:sz w:val="22"/>
          <w:szCs w:val="22"/>
          <w:lang w:val="en-US"/>
        </w:rPr>
        <w:t>kapitala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u</w:t>
      </w:r>
      <w:r w:rsidRPr="00526D32">
        <w:rPr>
          <w:rFonts w:asciiTheme="minorHAnsi" w:eastAsiaTheme="minorHAnsi" w:hAnsiTheme="minorHAnsi" w:cstheme="minorHAnsi"/>
          <w:color w:val="auto"/>
          <w:sz w:val="22"/>
          <w:szCs w:val="22"/>
        </w:rPr>
        <w:t xml:space="preserve"> 2016. </w:t>
      </w:r>
      <w:r w:rsidRPr="00526D32">
        <w:rPr>
          <w:rFonts w:asciiTheme="minorHAnsi" w:eastAsiaTheme="minorHAnsi" w:hAnsiTheme="minorHAnsi" w:cstheme="minorHAnsi"/>
          <w:color w:val="auto"/>
          <w:sz w:val="22"/>
          <w:szCs w:val="22"/>
          <w:lang w:val="en-US"/>
        </w:rPr>
        <w:t>godine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karakteri</w:t>
      </w:r>
      <w:r w:rsidRPr="00526D32">
        <w:rPr>
          <w:rFonts w:asciiTheme="minorHAnsi" w:eastAsiaTheme="minorHAnsi" w:hAnsiTheme="minorHAnsi" w:cstheme="minorHAnsi"/>
          <w:color w:val="auto"/>
          <w:sz w:val="22"/>
          <w:szCs w:val="22"/>
        </w:rPr>
        <w:t>š</w:t>
      </w:r>
      <w:r w:rsidRPr="00526D32">
        <w:rPr>
          <w:rFonts w:asciiTheme="minorHAnsi" w:eastAsiaTheme="minorHAnsi" w:hAnsiTheme="minorHAnsi" w:cstheme="minorHAnsi"/>
          <w:color w:val="auto"/>
          <w:sz w:val="22"/>
          <w:szCs w:val="22"/>
          <w:lang w:val="en-US"/>
        </w:rPr>
        <w:t>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transakcije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vezane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za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emitovanje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dr</w:t>
      </w:r>
      <w:r w:rsidRPr="00526D32">
        <w:rPr>
          <w:rFonts w:asciiTheme="minorHAnsi" w:eastAsiaTheme="minorHAnsi" w:hAnsiTheme="minorHAnsi" w:cstheme="minorHAnsi"/>
          <w:color w:val="auto"/>
          <w:sz w:val="22"/>
          <w:szCs w:val="22"/>
        </w:rPr>
        <w:t>ž</w:t>
      </w:r>
      <w:r w:rsidRPr="00526D32">
        <w:rPr>
          <w:rFonts w:asciiTheme="minorHAnsi" w:eastAsiaTheme="minorHAnsi" w:hAnsiTheme="minorHAnsi" w:cstheme="minorHAnsi"/>
          <w:color w:val="auto"/>
          <w:sz w:val="22"/>
          <w:szCs w:val="22"/>
          <w:lang w:val="en-US"/>
        </w:rPr>
        <w:t>avnih</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obveznica</w:t>
      </w:r>
      <w:r w:rsidRPr="00526D32">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Nije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zabilje</w:t>
      </w:r>
      <w:r w:rsidRPr="00526D32">
        <w:rPr>
          <w:rFonts w:asciiTheme="minorHAnsi" w:eastAsiaTheme="minorHAnsi" w:hAnsiTheme="minorHAnsi" w:cstheme="minorHAnsi"/>
          <w:color w:val="auto"/>
          <w:sz w:val="22"/>
          <w:szCs w:val="22"/>
        </w:rPr>
        <w:t>ž</w:t>
      </w:r>
      <w:r w:rsidRPr="00526D32">
        <w:rPr>
          <w:rFonts w:asciiTheme="minorHAnsi" w:eastAsiaTheme="minorHAnsi" w:hAnsiTheme="minorHAnsi" w:cstheme="minorHAnsi"/>
          <w:color w:val="auto"/>
          <w:sz w:val="22"/>
          <w:szCs w:val="22"/>
          <w:lang w:val="en-US"/>
        </w:rPr>
        <w:t>ena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dinami</w:t>
      </w:r>
      <w:r w:rsidRPr="00526D32">
        <w:rPr>
          <w:rFonts w:asciiTheme="minorHAnsi" w:eastAsiaTheme="minorHAnsi" w:hAnsiTheme="minorHAnsi" w:cstheme="minorHAnsi"/>
          <w:color w:val="auto"/>
          <w:sz w:val="22"/>
          <w:szCs w:val="22"/>
        </w:rPr>
        <w:t>č</w:t>
      </w:r>
      <w:r w:rsidRPr="00526D32">
        <w:rPr>
          <w:rFonts w:asciiTheme="minorHAnsi" w:eastAsiaTheme="minorHAnsi" w:hAnsiTheme="minorHAnsi" w:cstheme="minorHAnsi"/>
          <w:color w:val="auto"/>
          <w:sz w:val="22"/>
          <w:szCs w:val="22"/>
          <w:lang w:val="en-US"/>
        </w:rPr>
        <w:t>nija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trgovina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akcijama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finansijskog</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nefinansijskog</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sektora</w:t>
      </w:r>
      <w:r w:rsidRPr="00526D32">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tr</w:t>
      </w:r>
      <w:r w:rsidRPr="00526D32">
        <w:rPr>
          <w:rFonts w:asciiTheme="minorHAnsi" w:eastAsiaTheme="minorHAnsi" w:hAnsiTheme="minorHAnsi" w:cstheme="minorHAnsi"/>
          <w:color w:val="auto"/>
          <w:sz w:val="22"/>
          <w:szCs w:val="22"/>
        </w:rPr>
        <w:t>ž</w:t>
      </w:r>
      <w:r w:rsidRPr="00526D32">
        <w:rPr>
          <w:rFonts w:asciiTheme="minorHAnsi" w:eastAsiaTheme="minorHAnsi" w:hAnsiTheme="minorHAnsi" w:cstheme="minorHAnsi"/>
          <w:color w:val="auto"/>
          <w:sz w:val="22"/>
          <w:szCs w:val="22"/>
          <w:lang w:val="en-US"/>
        </w:rPr>
        <w:t>i</w:t>
      </w:r>
      <w:r w:rsidRPr="00526D32">
        <w:rPr>
          <w:rFonts w:asciiTheme="minorHAnsi" w:eastAsiaTheme="minorHAnsi" w:hAnsiTheme="minorHAnsi" w:cstheme="minorHAnsi"/>
          <w:color w:val="auto"/>
          <w:sz w:val="22"/>
          <w:szCs w:val="22"/>
        </w:rPr>
        <w:t>š</w:t>
      </w:r>
      <w:r w:rsidRPr="00526D32">
        <w:rPr>
          <w:rFonts w:asciiTheme="minorHAnsi" w:eastAsiaTheme="minorHAnsi" w:hAnsiTheme="minorHAnsi" w:cstheme="minorHAnsi"/>
          <w:color w:val="auto"/>
          <w:sz w:val="22"/>
          <w:szCs w:val="22"/>
          <w:lang w:val="en-US"/>
        </w:rPr>
        <w:t>na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kapitalizacija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je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bila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ni</w:t>
      </w:r>
      <w:r w:rsidRPr="00526D32">
        <w:rPr>
          <w:rFonts w:asciiTheme="minorHAnsi" w:eastAsiaTheme="minorHAnsi" w:hAnsiTheme="minorHAnsi" w:cstheme="minorHAnsi"/>
          <w:color w:val="auto"/>
          <w:sz w:val="22"/>
          <w:szCs w:val="22"/>
        </w:rPr>
        <w:t>ž</w:t>
      </w:r>
      <w:r w:rsidRPr="00526D32">
        <w:rPr>
          <w:rFonts w:asciiTheme="minorHAnsi" w:eastAsiaTheme="minorHAnsi" w:hAnsiTheme="minorHAnsi" w:cstheme="minorHAnsi"/>
          <w:color w:val="auto"/>
          <w:sz w:val="22"/>
          <w:szCs w:val="22"/>
          <w:lang w:val="en-US"/>
        </w:rPr>
        <w:t>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odnosu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na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prethodnu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godinu</w:t>
      </w:r>
      <w:r w:rsidRPr="00526D32">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cilju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daljeg</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razvoja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tr</w:t>
      </w:r>
      <w:r w:rsidRPr="00526D32">
        <w:rPr>
          <w:rFonts w:asciiTheme="minorHAnsi" w:eastAsiaTheme="minorHAnsi" w:hAnsiTheme="minorHAnsi" w:cstheme="minorHAnsi"/>
          <w:color w:val="auto"/>
          <w:sz w:val="22"/>
          <w:szCs w:val="22"/>
        </w:rPr>
        <w:t>ž</w:t>
      </w:r>
      <w:r w:rsidRPr="00526D32">
        <w:rPr>
          <w:rFonts w:asciiTheme="minorHAnsi" w:eastAsiaTheme="minorHAnsi" w:hAnsiTheme="minorHAnsi" w:cstheme="minorHAnsi"/>
          <w:color w:val="auto"/>
          <w:sz w:val="22"/>
          <w:szCs w:val="22"/>
          <w:lang w:val="en-US"/>
        </w:rPr>
        <w:t>i</w:t>
      </w:r>
      <w:r w:rsidRPr="00526D32">
        <w:rPr>
          <w:rFonts w:asciiTheme="minorHAnsi" w:eastAsiaTheme="minorHAnsi" w:hAnsiTheme="minorHAnsi" w:cstheme="minorHAnsi"/>
          <w:color w:val="auto"/>
          <w:sz w:val="22"/>
          <w:szCs w:val="22"/>
        </w:rPr>
        <w:t>š</w:t>
      </w:r>
      <w:r w:rsidRPr="00526D32">
        <w:rPr>
          <w:rFonts w:asciiTheme="minorHAnsi" w:eastAsiaTheme="minorHAnsi" w:hAnsiTheme="minorHAnsi" w:cstheme="minorHAnsi"/>
          <w:color w:val="auto"/>
          <w:sz w:val="22"/>
          <w:szCs w:val="22"/>
          <w:lang w:val="en-US"/>
        </w:rPr>
        <w:t>ta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kapitala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treba</w:t>
      </w:r>
      <w:r w:rsidRPr="00526D32">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unaprijediti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za</w:t>
      </w:r>
      <w:r w:rsidRPr="00526D32">
        <w:rPr>
          <w:rFonts w:asciiTheme="minorHAnsi" w:eastAsiaTheme="minorHAnsi" w:hAnsiTheme="minorHAnsi" w:cstheme="minorHAnsi"/>
          <w:color w:val="auto"/>
          <w:sz w:val="22"/>
          <w:szCs w:val="22"/>
        </w:rPr>
        <w:t>š</w:t>
      </w:r>
      <w:r w:rsidRPr="00526D32">
        <w:rPr>
          <w:rFonts w:asciiTheme="minorHAnsi" w:eastAsiaTheme="minorHAnsi" w:hAnsiTheme="minorHAnsi" w:cstheme="minorHAnsi"/>
          <w:color w:val="auto"/>
          <w:sz w:val="22"/>
          <w:szCs w:val="22"/>
          <w:lang w:val="en-US"/>
        </w:rPr>
        <w:t>titu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manjinskih</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akcionara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po</w:t>
      </w:r>
      <w:r w:rsidRPr="00526D32">
        <w:rPr>
          <w:rFonts w:asciiTheme="minorHAnsi" w:eastAsiaTheme="minorHAnsi" w:hAnsiTheme="minorHAnsi" w:cstheme="minorHAnsi"/>
          <w:color w:val="auto"/>
          <w:sz w:val="22"/>
          <w:szCs w:val="22"/>
        </w:rPr>
        <w:t>š</w:t>
      </w:r>
      <w:r w:rsidRPr="00526D32">
        <w:rPr>
          <w:rFonts w:asciiTheme="minorHAnsi" w:eastAsiaTheme="minorHAnsi" w:hAnsiTheme="minorHAnsi" w:cstheme="minorHAnsi"/>
          <w:color w:val="auto"/>
          <w:sz w:val="22"/>
          <w:szCs w:val="22"/>
          <w:lang w:val="en-US"/>
        </w:rPr>
        <w:t>tovanje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principa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korporativnog</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upravljanja</w:t>
      </w:r>
      <w:r w:rsidRPr="00526D32">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obezbijediti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ve</w:t>
      </w:r>
      <w:r w:rsidRPr="00526D32">
        <w:rPr>
          <w:rFonts w:asciiTheme="minorHAnsi" w:eastAsiaTheme="minorHAnsi" w:hAnsiTheme="minorHAnsi" w:cstheme="minorHAnsi"/>
          <w:color w:val="auto"/>
          <w:sz w:val="22"/>
          <w:szCs w:val="22"/>
        </w:rPr>
        <w:t>ć</w:t>
      </w:r>
      <w:r w:rsidRPr="00526D32">
        <w:rPr>
          <w:rFonts w:asciiTheme="minorHAnsi" w:eastAsiaTheme="minorHAnsi" w:hAnsiTheme="minorHAnsi" w:cstheme="minorHAnsi"/>
          <w:color w:val="auto"/>
          <w:sz w:val="22"/>
          <w:szCs w:val="22"/>
          <w:lang w:val="en-US"/>
        </w:rPr>
        <w:t>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transparentnosti</w:t>
      </w:r>
      <w:r w:rsidRPr="00526D32">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posebno</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dijelu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korporativnog</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finansijskog</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izvje</w:t>
      </w:r>
      <w:r w:rsidRPr="00526D32">
        <w:rPr>
          <w:rFonts w:asciiTheme="minorHAnsi" w:eastAsiaTheme="minorHAnsi" w:hAnsiTheme="minorHAnsi" w:cstheme="minorHAnsi"/>
          <w:color w:val="auto"/>
          <w:sz w:val="22"/>
          <w:szCs w:val="22"/>
        </w:rPr>
        <w:t>š</w:t>
      </w:r>
      <w:r w:rsidRPr="00526D32">
        <w:rPr>
          <w:rFonts w:asciiTheme="minorHAnsi" w:eastAsiaTheme="minorHAnsi" w:hAnsiTheme="minorHAnsi" w:cstheme="minorHAnsi"/>
          <w:color w:val="auto"/>
          <w:sz w:val="22"/>
          <w:szCs w:val="22"/>
          <w:lang w:val="en-US"/>
        </w:rPr>
        <w:t>tavanja</w:t>
      </w:r>
      <w:r w:rsidRPr="00526D32">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uz</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dosljednu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primjenu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Zakona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o</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ra</w:t>
      </w:r>
      <w:r w:rsidRPr="00526D32">
        <w:rPr>
          <w:rFonts w:asciiTheme="minorHAnsi" w:eastAsiaTheme="minorHAnsi" w:hAnsiTheme="minorHAnsi" w:cstheme="minorHAnsi"/>
          <w:color w:val="auto"/>
          <w:sz w:val="22"/>
          <w:szCs w:val="22"/>
        </w:rPr>
        <w:t>č</w:t>
      </w:r>
      <w:r w:rsidRPr="00526D32">
        <w:rPr>
          <w:rFonts w:asciiTheme="minorHAnsi" w:eastAsiaTheme="minorHAnsi" w:hAnsiTheme="minorHAnsi" w:cstheme="minorHAnsi"/>
          <w:color w:val="auto"/>
          <w:sz w:val="22"/>
          <w:szCs w:val="22"/>
          <w:lang w:val="en-US"/>
        </w:rPr>
        <w:t>unovodstvu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Zakona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o</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reviziji</w:t>
      </w:r>
      <w:r w:rsidRPr="00526D32">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podsticati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ulaganje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kapitala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kompanije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koje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uskla</w:t>
      </w:r>
      <w:r w:rsidRPr="00526D32">
        <w:rPr>
          <w:rFonts w:asciiTheme="minorHAnsi" w:eastAsiaTheme="minorHAnsi" w:hAnsiTheme="minorHAnsi" w:cstheme="minorHAnsi"/>
          <w:color w:val="auto"/>
          <w:sz w:val="22"/>
          <w:szCs w:val="22"/>
        </w:rPr>
        <w:t>đ</w:t>
      </w:r>
      <w:r w:rsidRPr="00526D32">
        <w:rPr>
          <w:rFonts w:asciiTheme="minorHAnsi" w:eastAsiaTheme="minorHAnsi" w:hAnsiTheme="minorHAnsi" w:cstheme="minorHAnsi"/>
          <w:color w:val="auto"/>
          <w:sz w:val="22"/>
          <w:szCs w:val="22"/>
          <w:lang w:val="en-US"/>
        </w:rPr>
        <w:t>uju</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svoje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poslovanje</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sa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dugoro</w:t>
      </w:r>
      <w:r w:rsidRPr="00526D32">
        <w:rPr>
          <w:rFonts w:asciiTheme="minorHAnsi" w:eastAsiaTheme="minorHAnsi" w:hAnsiTheme="minorHAnsi" w:cstheme="minorHAnsi"/>
          <w:color w:val="auto"/>
          <w:sz w:val="22"/>
          <w:szCs w:val="22"/>
        </w:rPr>
        <w:t>č</w:t>
      </w:r>
      <w:r w:rsidRPr="00526D32">
        <w:rPr>
          <w:rFonts w:asciiTheme="minorHAnsi" w:eastAsiaTheme="minorHAnsi" w:hAnsiTheme="minorHAnsi" w:cstheme="minorHAnsi"/>
          <w:color w:val="auto"/>
          <w:sz w:val="22"/>
          <w:szCs w:val="22"/>
          <w:lang w:val="en-US"/>
        </w:rPr>
        <w:t>nim</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ciljevima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odr</w:t>
      </w:r>
      <w:r w:rsidRPr="00526D32">
        <w:rPr>
          <w:rFonts w:asciiTheme="minorHAnsi" w:eastAsiaTheme="minorHAnsi" w:hAnsiTheme="minorHAnsi" w:cstheme="minorHAnsi"/>
          <w:color w:val="auto"/>
          <w:sz w:val="22"/>
          <w:szCs w:val="22"/>
        </w:rPr>
        <w:t>ž</w:t>
      </w:r>
      <w:r w:rsidRPr="00526D32">
        <w:rPr>
          <w:rFonts w:asciiTheme="minorHAnsi" w:eastAsiaTheme="minorHAnsi" w:hAnsiTheme="minorHAnsi" w:cstheme="minorHAnsi"/>
          <w:color w:val="auto"/>
          <w:sz w:val="22"/>
          <w:szCs w:val="22"/>
          <w:lang w:val="en-US"/>
        </w:rPr>
        <w:t>ivog</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razvoja</w:t>
      </w:r>
      <w:r w:rsidRPr="00526D32">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unaprijediti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znanja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stanovni</w:t>
      </w:r>
      <w:r w:rsidRPr="00526D32">
        <w:rPr>
          <w:rFonts w:asciiTheme="minorHAnsi" w:eastAsiaTheme="minorHAnsi" w:hAnsiTheme="minorHAnsi" w:cstheme="minorHAnsi"/>
          <w:color w:val="auto"/>
          <w:sz w:val="22"/>
          <w:szCs w:val="22"/>
        </w:rPr>
        <w:t>š</w:t>
      </w:r>
      <w:r w:rsidRPr="00526D32">
        <w:rPr>
          <w:rFonts w:asciiTheme="minorHAnsi" w:eastAsiaTheme="minorHAnsi" w:hAnsiTheme="minorHAnsi" w:cstheme="minorHAnsi"/>
          <w:color w:val="auto"/>
          <w:sz w:val="22"/>
          <w:szCs w:val="22"/>
          <w:lang w:val="en-US"/>
        </w:rPr>
        <w:t>tva</w:t>
      </w:r>
      <w:r w:rsidRPr="00526D32">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posebno</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menad</w:t>
      </w:r>
      <w:r w:rsidR="0048511B" w:rsidRPr="00071A61">
        <w:rPr>
          <w:rFonts w:asciiTheme="minorHAnsi" w:eastAsiaTheme="minorHAnsi" w:hAnsiTheme="minorHAnsi" w:cstheme="minorHAnsi"/>
          <w:color w:val="auto"/>
          <w:sz w:val="22"/>
          <w:szCs w:val="22"/>
        </w:rPr>
        <w:t>ž</w:t>
      </w:r>
      <w:r w:rsidRPr="00526D32">
        <w:rPr>
          <w:rFonts w:asciiTheme="minorHAnsi" w:eastAsiaTheme="minorHAnsi" w:hAnsiTheme="minorHAnsi" w:cstheme="minorHAnsi"/>
          <w:color w:val="auto"/>
          <w:sz w:val="22"/>
          <w:szCs w:val="22"/>
          <w:lang w:val="en-US"/>
        </w:rPr>
        <w:t>era</w:t>
      </w:r>
      <w:r w:rsidRPr="00526D32">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iz</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oblasti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tr</w:t>
      </w:r>
      <w:r w:rsidRPr="00526D32">
        <w:rPr>
          <w:rFonts w:asciiTheme="minorHAnsi" w:eastAsiaTheme="minorHAnsi" w:hAnsiTheme="minorHAnsi" w:cstheme="minorHAnsi"/>
          <w:color w:val="auto"/>
          <w:sz w:val="22"/>
          <w:szCs w:val="22"/>
        </w:rPr>
        <w:t>ž</w:t>
      </w:r>
      <w:r w:rsidRPr="00526D32">
        <w:rPr>
          <w:rFonts w:asciiTheme="minorHAnsi" w:eastAsiaTheme="minorHAnsi" w:hAnsiTheme="minorHAnsi" w:cstheme="minorHAnsi"/>
          <w:color w:val="auto"/>
          <w:sz w:val="22"/>
          <w:szCs w:val="22"/>
          <w:lang w:val="en-US"/>
        </w:rPr>
        <w:t>i</w:t>
      </w:r>
      <w:r w:rsidRPr="00526D32">
        <w:rPr>
          <w:rFonts w:asciiTheme="minorHAnsi" w:eastAsiaTheme="minorHAnsi" w:hAnsiTheme="minorHAnsi" w:cstheme="minorHAnsi"/>
          <w:color w:val="auto"/>
          <w:sz w:val="22"/>
          <w:szCs w:val="22"/>
        </w:rPr>
        <w:t>š</w:t>
      </w:r>
      <w:r w:rsidRPr="00526D32">
        <w:rPr>
          <w:rFonts w:asciiTheme="minorHAnsi" w:eastAsiaTheme="minorHAnsi" w:hAnsiTheme="minorHAnsi" w:cstheme="minorHAnsi"/>
          <w:color w:val="auto"/>
          <w:sz w:val="22"/>
          <w:szCs w:val="22"/>
          <w:lang w:val="en-US"/>
        </w:rPr>
        <w:t>ta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kapitala</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i</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investicionih</w:t>
      </w:r>
      <w:r w:rsidRPr="00071A61">
        <w:rPr>
          <w:rFonts w:asciiTheme="minorHAnsi" w:eastAsiaTheme="minorHAnsi" w:hAnsiTheme="minorHAnsi" w:cstheme="minorHAnsi"/>
          <w:color w:val="auto"/>
          <w:sz w:val="22"/>
          <w:szCs w:val="22"/>
        </w:rPr>
        <w:t xml:space="preserve"> </w:t>
      </w:r>
      <w:r w:rsidRPr="00526D32">
        <w:rPr>
          <w:rFonts w:asciiTheme="minorHAnsi" w:eastAsiaTheme="minorHAnsi" w:hAnsiTheme="minorHAnsi" w:cstheme="minorHAnsi"/>
          <w:color w:val="auto"/>
          <w:sz w:val="22"/>
          <w:szCs w:val="22"/>
          <w:lang w:val="en-US"/>
        </w:rPr>
        <w:t>aktivnosti</w:t>
      </w:r>
      <w:r w:rsidRPr="00526D32">
        <w:rPr>
          <w:rFonts w:asciiTheme="minorHAnsi" w:eastAsiaTheme="minorHAnsi" w:hAnsiTheme="minorHAnsi" w:cstheme="minorHAnsi"/>
          <w:color w:val="auto"/>
          <w:sz w:val="22"/>
          <w:szCs w:val="22"/>
        </w:rPr>
        <w:t>.</w:t>
      </w:r>
    </w:p>
    <w:p w:rsidR="00526D32" w:rsidRPr="00526D32" w:rsidRDefault="00526D32" w:rsidP="0048511B">
      <w:pPr>
        <w:spacing w:line="276" w:lineRule="auto"/>
        <w:rPr>
          <w:rFonts w:asciiTheme="minorHAnsi" w:eastAsiaTheme="minorHAnsi" w:hAnsiTheme="minorHAnsi" w:cstheme="minorHAnsi"/>
          <w:color w:val="auto"/>
          <w:sz w:val="22"/>
          <w:szCs w:val="22"/>
        </w:rPr>
      </w:pPr>
    </w:p>
    <w:p w:rsidR="008E5B78" w:rsidRDefault="00526D32" w:rsidP="0048511B">
      <w:pPr>
        <w:pStyle w:val="Heading3"/>
      </w:pPr>
      <w:bookmarkStart w:id="9" w:name="_Toc484373013"/>
      <w:r>
        <w:t>3</w:t>
      </w:r>
      <w:r w:rsidR="008E5B78" w:rsidRPr="00526D32">
        <w:t>.3.3 Sektor malih i srednjih preduzeća</w:t>
      </w:r>
      <w:bookmarkEnd w:id="9"/>
    </w:p>
    <w:p w:rsidR="00A10829" w:rsidRDefault="00A10829" w:rsidP="008515DC">
      <w:pPr>
        <w:spacing w:line="276" w:lineRule="auto"/>
        <w:rPr>
          <w:rFonts w:asciiTheme="minorHAnsi" w:eastAsia="Calibri" w:hAnsiTheme="minorHAnsi" w:cstheme="minorHAnsi"/>
          <w:sz w:val="22"/>
          <w:szCs w:val="22"/>
          <w:lang w:eastAsia="zh-CN"/>
        </w:rPr>
      </w:pPr>
    </w:p>
    <w:p w:rsidR="00A10829" w:rsidRDefault="008E5B78" w:rsidP="008515DC">
      <w:pPr>
        <w:spacing w:line="276" w:lineRule="auto"/>
      </w:pPr>
      <w:r w:rsidRPr="00526D32">
        <w:rPr>
          <w:rFonts w:asciiTheme="minorHAnsi" w:eastAsia="Calibri" w:hAnsiTheme="minorHAnsi" w:cstheme="minorHAnsi"/>
          <w:sz w:val="22"/>
          <w:szCs w:val="22"/>
          <w:lang w:eastAsia="zh-CN"/>
        </w:rPr>
        <w:t>Razvoj sektora</w:t>
      </w:r>
      <w:r w:rsidRPr="00526D32">
        <w:rPr>
          <w:rFonts w:asciiTheme="minorHAnsi" w:eastAsia="Calibri" w:hAnsiTheme="minorHAnsi" w:cstheme="minorHAnsi"/>
          <w:sz w:val="22"/>
          <w:szCs w:val="22"/>
        </w:rPr>
        <w:t xml:space="preserve"> malih i srednjih preduzeća, jednog od glavnih pokretača ekonomskog razvoja, podstiče se mjerama koje se realizuju u pravcu u</w:t>
      </w:r>
      <w:r w:rsidRPr="00526D32">
        <w:rPr>
          <w:rFonts w:asciiTheme="minorHAnsi" w:eastAsia="Calibri" w:hAnsiTheme="minorHAnsi" w:cstheme="minorHAnsi"/>
          <w:sz w:val="22"/>
          <w:szCs w:val="22"/>
          <w:lang w:val="en-US"/>
        </w:rPr>
        <w:t>naprje</w:t>
      </w:r>
      <w:r w:rsidRPr="00526D32">
        <w:rPr>
          <w:rFonts w:asciiTheme="minorHAnsi" w:eastAsia="Calibri" w:hAnsiTheme="minorHAnsi" w:cstheme="minorHAnsi"/>
          <w:sz w:val="22"/>
          <w:szCs w:val="22"/>
        </w:rPr>
        <w:t>đ</w:t>
      </w:r>
      <w:r w:rsidRPr="00526D32">
        <w:rPr>
          <w:rFonts w:asciiTheme="minorHAnsi" w:eastAsia="Calibri" w:hAnsiTheme="minorHAnsi" w:cstheme="minorHAnsi"/>
          <w:sz w:val="22"/>
          <w:szCs w:val="22"/>
          <w:lang w:val="en-US"/>
        </w:rPr>
        <w:t>enja</w:t>
      </w:r>
      <w:r w:rsidRPr="00071A61">
        <w:rPr>
          <w:rFonts w:asciiTheme="minorHAnsi" w:eastAsia="Calibri" w:hAnsiTheme="minorHAnsi" w:cstheme="minorHAnsi"/>
          <w:sz w:val="22"/>
          <w:szCs w:val="22"/>
        </w:rPr>
        <w:t xml:space="preserve"> </w:t>
      </w:r>
      <w:r w:rsidRPr="00526D32">
        <w:rPr>
          <w:rFonts w:asciiTheme="minorHAnsi" w:eastAsia="Calibri" w:hAnsiTheme="minorHAnsi" w:cstheme="minorHAnsi"/>
          <w:sz w:val="22"/>
          <w:szCs w:val="22"/>
          <w:lang w:val="en-US"/>
        </w:rPr>
        <w:t>finansijske</w:t>
      </w:r>
      <w:r w:rsidRPr="00071A61">
        <w:rPr>
          <w:rFonts w:asciiTheme="minorHAnsi" w:eastAsia="Calibri" w:hAnsiTheme="minorHAnsi" w:cstheme="minorHAnsi"/>
          <w:sz w:val="22"/>
          <w:szCs w:val="22"/>
        </w:rPr>
        <w:t xml:space="preserve"> </w:t>
      </w:r>
      <w:r w:rsidRPr="00526D32">
        <w:rPr>
          <w:rFonts w:asciiTheme="minorHAnsi" w:eastAsia="Calibri" w:hAnsiTheme="minorHAnsi" w:cstheme="minorHAnsi"/>
          <w:sz w:val="22"/>
          <w:szCs w:val="22"/>
          <w:lang w:val="en-US"/>
        </w:rPr>
        <w:t>i</w:t>
      </w:r>
      <w:r w:rsidRPr="00071A61">
        <w:rPr>
          <w:rFonts w:asciiTheme="minorHAnsi" w:eastAsia="Calibri" w:hAnsiTheme="minorHAnsi" w:cstheme="minorHAnsi"/>
          <w:sz w:val="22"/>
          <w:szCs w:val="22"/>
        </w:rPr>
        <w:t xml:space="preserve"> </w:t>
      </w:r>
      <w:r w:rsidRPr="00526D32">
        <w:rPr>
          <w:rFonts w:asciiTheme="minorHAnsi" w:eastAsia="Calibri" w:hAnsiTheme="minorHAnsi" w:cstheme="minorHAnsi"/>
          <w:sz w:val="22"/>
          <w:szCs w:val="22"/>
          <w:lang w:val="en-US"/>
        </w:rPr>
        <w:t>nefinansijske</w:t>
      </w:r>
      <w:r w:rsidRPr="00071A61">
        <w:rPr>
          <w:rFonts w:asciiTheme="minorHAnsi" w:eastAsia="Calibri" w:hAnsiTheme="minorHAnsi" w:cstheme="minorHAnsi"/>
          <w:sz w:val="22"/>
          <w:szCs w:val="22"/>
        </w:rPr>
        <w:t xml:space="preserve"> </w:t>
      </w:r>
      <w:r w:rsidRPr="00526D32">
        <w:rPr>
          <w:rFonts w:asciiTheme="minorHAnsi" w:eastAsia="Calibri" w:hAnsiTheme="minorHAnsi" w:cstheme="minorHAnsi"/>
          <w:sz w:val="22"/>
          <w:szCs w:val="22"/>
          <w:lang w:val="en-US"/>
        </w:rPr>
        <w:t>podr</w:t>
      </w:r>
      <w:r w:rsidRPr="00526D32">
        <w:rPr>
          <w:rFonts w:asciiTheme="minorHAnsi" w:eastAsia="Calibri" w:hAnsiTheme="minorHAnsi" w:cstheme="minorHAnsi"/>
          <w:sz w:val="22"/>
          <w:szCs w:val="22"/>
        </w:rPr>
        <w:t>š</w:t>
      </w:r>
      <w:r w:rsidRPr="00526D32">
        <w:rPr>
          <w:rFonts w:asciiTheme="minorHAnsi" w:eastAsia="Calibri" w:hAnsiTheme="minorHAnsi" w:cstheme="minorHAnsi"/>
          <w:sz w:val="22"/>
          <w:szCs w:val="22"/>
          <w:lang w:val="en-US"/>
        </w:rPr>
        <w:t>ke</w:t>
      </w:r>
      <w:r w:rsidRPr="00526D32">
        <w:rPr>
          <w:rFonts w:asciiTheme="minorHAnsi" w:eastAsia="Calibri" w:hAnsiTheme="minorHAnsi" w:cstheme="minorHAnsi"/>
          <w:sz w:val="22"/>
          <w:szCs w:val="22"/>
        </w:rPr>
        <w:t>.</w:t>
      </w:r>
    </w:p>
    <w:p w:rsidR="00A10829" w:rsidRDefault="00A10829" w:rsidP="008515DC">
      <w:pPr>
        <w:spacing w:line="276" w:lineRule="auto"/>
      </w:pPr>
    </w:p>
    <w:p w:rsidR="008E5B78" w:rsidRPr="00526D32" w:rsidRDefault="008515DC" w:rsidP="008515DC">
      <w:p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lang w:eastAsia="zh-CN"/>
        </w:rPr>
        <w:t>U Crnoj Gori posuje oko25.000 malih i srednjih preduzeća i njihov broj je u stalnom porastu.</w:t>
      </w:r>
      <w:r w:rsidR="008E5B78" w:rsidRPr="00526D32">
        <w:rPr>
          <w:rFonts w:asciiTheme="minorHAnsi" w:eastAsia="Calibri" w:hAnsiTheme="minorHAnsi" w:cstheme="minorHAnsi"/>
          <w:sz w:val="22"/>
          <w:szCs w:val="22"/>
        </w:rPr>
        <w:t xml:space="preserve"> </w:t>
      </w:r>
      <w:r w:rsidR="008E5B78" w:rsidRPr="00526D32">
        <w:rPr>
          <w:rFonts w:asciiTheme="minorHAnsi" w:eastAsia="Calibri" w:hAnsiTheme="minorHAnsi" w:cstheme="minorHAnsi"/>
          <w:sz w:val="22"/>
          <w:szCs w:val="22"/>
          <w:lang w:val="en-US"/>
        </w:rPr>
        <w:t>Cilj</w:t>
      </w:r>
      <w:r w:rsidR="008E5B78" w:rsidRPr="00071A61">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reformskih </w:t>
      </w:r>
      <w:r w:rsidR="008E5B78" w:rsidRPr="00526D32">
        <w:rPr>
          <w:rFonts w:asciiTheme="minorHAnsi" w:eastAsia="Calibri" w:hAnsiTheme="minorHAnsi" w:cstheme="minorHAnsi"/>
          <w:sz w:val="22"/>
          <w:szCs w:val="22"/>
          <w:lang w:val="en-US"/>
        </w:rPr>
        <w:t>mjera</w:t>
      </w:r>
      <w:r>
        <w:rPr>
          <w:rFonts w:asciiTheme="minorHAnsi" w:eastAsia="Calibri" w:hAnsiTheme="minorHAnsi" w:cstheme="minorHAnsi"/>
          <w:sz w:val="22"/>
          <w:szCs w:val="22"/>
          <w:lang w:val="en-US"/>
        </w:rPr>
        <w:t xml:space="preserve"> u ovoj oblasti je</w:t>
      </w:r>
      <w:r w:rsidR="008E5B78" w:rsidRPr="00071A61">
        <w:rPr>
          <w:rFonts w:asciiTheme="minorHAnsi" w:eastAsia="Calibri" w:hAnsiTheme="minorHAnsi" w:cstheme="minorHAnsi"/>
          <w:sz w:val="22"/>
          <w:szCs w:val="22"/>
        </w:rPr>
        <w:t xml:space="preserve"> </w:t>
      </w:r>
      <w:r w:rsidR="008E5B78" w:rsidRPr="00526D32">
        <w:rPr>
          <w:rFonts w:asciiTheme="minorHAnsi" w:eastAsia="Calibri" w:hAnsiTheme="minorHAnsi" w:cstheme="minorHAnsi"/>
          <w:sz w:val="22"/>
          <w:szCs w:val="22"/>
          <w:lang w:val="en-US"/>
        </w:rPr>
        <w:t>je</w:t>
      </w:r>
      <w:r w:rsidR="008E5B78" w:rsidRPr="00526D32">
        <w:rPr>
          <w:rFonts w:asciiTheme="minorHAnsi" w:eastAsia="Calibri" w:hAnsiTheme="minorHAnsi" w:cstheme="minorHAnsi"/>
          <w:sz w:val="22"/>
          <w:szCs w:val="22"/>
        </w:rPr>
        <w:t xml:space="preserve"> osnivanje novih preduzeća, povećanje kvaliteta i obima prozvodnje, pristup novim tržištima, jačanje inovativnosti i, time, većeg učešća u BDP-u, izvozu, zaposlenosti i povećanju životnog standarda.</w:t>
      </w:r>
    </w:p>
    <w:p w:rsidR="008E5B78" w:rsidRPr="00526D32" w:rsidRDefault="008E5B78" w:rsidP="0048511B">
      <w:pPr>
        <w:spacing w:line="276" w:lineRule="auto"/>
        <w:rPr>
          <w:rFonts w:asciiTheme="minorHAnsi" w:eastAsia="Calibri" w:hAnsiTheme="minorHAnsi" w:cstheme="minorHAnsi"/>
          <w:sz w:val="22"/>
          <w:szCs w:val="22"/>
        </w:rPr>
      </w:pPr>
    </w:p>
    <w:p w:rsidR="008E5B78" w:rsidRPr="00526D32" w:rsidRDefault="008E5B78" w:rsidP="0048511B">
      <w:pPr>
        <w:spacing w:line="276" w:lineRule="auto"/>
        <w:rPr>
          <w:rFonts w:asciiTheme="minorHAnsi" w:eastAsia="Calibri" w:hAnsiTheme="minorHAnsi" w:cstheme="minorHAnsi"/>
          <w:sz w:val="22"/>
          <w:szCs w:val="22"/>
        </w:rPr>
      </w:pPr>
      <w:r w:rsidRPr="00526D32">
        <w:rPr>
          <w:rFonts w:asciiTheme="minorHAnsi" w:eastAsia="Calibri" w:hAnsiTheme="minorHAnsi" w:cstheme="minorHAnsi"/>
          <w:bCs/>
          <w:sz w:val="22"/>
          <w:szCs w:val="22"/>
        </w:rPr>
        <w:t>U cilju smanjenja prepreka finansiranju za mala i srednja preduzeća, Investiono-razvojni fond Crne Gore intenzivira aktivnosti posvećene podsticaju preduzetništva kroz unaprjeđenje finansijske podrške, ponudom kratkoročnih i dugoročnih kredita za investicije i likvidnost. Obezbijeđene su i olakšice u pogledu uslova i procedura u okviru određenog seta kreditnih linija namijenjenih različitim korisnicima, kao što su nezaposlena lica koja imaju fakultetsko obrazovanje, mladi u biznisu, žene u biznisu, start-up preduzeća, klasteri, inovativna preduzeća, itd.</w:t>
      </w:r>
    </w:p>
    <w:p w:rsidR="008E5B78" w:rsidRPr="00526D32" w:rsidRDefault="008E5B78" w:rsidP="0048511B">
      <w:pPr>
        <w:autoSpaceDE w:val="0"/>
        <w:autoSpaceDN w:val="0"/>
        <w:adjustRightInd w:val="0"/>
        <w:spacing w:line="276" w:lineRule="auto"/>
        <w:rPr>
          <w:rFonts w:asciiTheme="minorHAnsi" w:hAnsiTheme="minorHAnsi" w:cstheme="minorHAnsi"/>
          <w:bCs/>
          <w:sz w:val="22"/>
          <w:szCs w:val="22"/>
        </w:rPr>
      </w:pPr>
    </w:p>
    <w:p w:rsidR="008E5B78" w:rsidRPr="00526D32" w:rsidRDefault="008E5B78" w:rsidP="0048511B">
      <w:pPr>
        <w:spacing w:line="276" w:lineRule="auto"/>
        <w:rPr>
          <w:rFonts w:asciiTheme="minorHAnsi" w:eastAsia="Calibri" w:hAnsiTheme="minorHAnsi" w:cstheme="minorHAnsi"/>
          <w:sz w:val="22"/>
          <w:szCs w:val="22"/>
        </w:rPr>
      </w:pPr>
      <w:r w:rsidRPr="00526D32">
        <w:rPr>
          <w:rFonts w:asciiTheme="minorHAnsi" w:eastAsia="Calibri" w:hAnsiTheme="minorHAnsi" w:cstheme="minorHAnsi"/>
          <w:sz w:val="22"/>
          <w:szCs w:val="22"/>
        </w:rPr>
        <w:t>Nastaviće se afirmacija finansiranja modelom kreditnih garancija za finansijske posrednike u okviru COSME programa (Konkurentnost malih i srednjih preduzeća 2014-2020) za postojeće i nove korisnike.</w:t>
      </w:r>
    </w:p>
    <w:p w:rsidR="008E5B78" w:rsidRPr="00526D32" w:rsidRDefault="008E5B78" w:rsidP="0048511B">
      <w:pPr>
        <w:spacing w:line="276" w:lineRule="auto"/>
        <w:ind w:firstLine="720"/>
        <w:rPr>
          <w:rFonts w:asciiTheme="minorHAnsi" w:eastAsia="Calibri" w:hAnsiTheme="minorHAnsi" w:cstheme="minorHAnsi"/>
          <w:sz w:val="22"/>
          <w:szCs w:val="22"/>
        </w:rPr>
      </w:pPr>
    </w:p>
    <w:p w:rsidR="008E5B78" w:rsidRPr="00526D32" w:rsidRDefault="008E5B78" w:rsidP="0048511B">
      <w:pPr>
        <w:spacing w:line="276" w:lineRule="auto"/>
        <w:rPr>
          <w:rFonts w:asciiTheme="minorHAnsi" w:eastAsia="Calibri" w:hAnsiTheme="minorHAnsi" w:cstheme="minorHAnsi"/>
          <w:sz w:val="22"/>
          <w:szCs w:val="22"/>
        </w:rPr>
      </w:pPr>
      <w:r w:rsidRPr="00526D32">
        <w:rPr>
          <w:rFonts w:asciiTheme="minorHAnsi" w:eastAsia="Calibri" w:hAnsiTheme="minorHAnsi" w:cstheme="minorHAnsi"/>
          <w:sz w:val="22"/>
          <w:szCs w:val="22"/>
        </w:rPr>
        <w:t>Nefinansijska podrška početnicima u biznisu odvija se kroz proces edukacije i davanje usluga poslovnog savjetovanja.</w:t>
      </w:r>
    </w:p>
    <w:p w:rsidR="008E5B78" w:rsidRPr="00526D32" w:rsidRDefault="008E5B78" w:rsidP="0048511B">
      <w:pPr>
        <w:spacing w:line="276" w:lineRule="auto"/>
        <w:rPr>
          <w:rFonts w:asciiTheme="minorHAnsi" w:eastAsia="Calibri" w:hAnsiTheme="minorHAnsi" w:cstheme="minorHAnsi"/>
          <w:sz w:val="22"/>
          <w:szCs w:val="22"/>
        </w:rPr>
      </w:pPr>
    </w:p>
    <w:p w:rsidR="008E5B78" w:rsidRPr="00526D32" w:rsidRDefault="00526D32" w:rsidP="0048511B">
      <w:pPr>
        <w:pStyle w:val="Heading3"/>
      </w:pPr>
      <w:bookmarkStart w:id="10" w:name="_Toc484373014"/>
      <w:r>
        <w:t>3</w:t>
      </w:r>
      <w:r w:rsidR="008E5B78" w:rsidRPr="00526D32">
        <w:t>.3.4 Tržište rada</w:t>
      </w:r>
      <w:bookmarkEnd w:id="10"/>
    </w:p>
    <w:p w:rsidR="008E5B78" w:rsidRPr="00526D32" w:rsidRDefault="008E5B78" w:rsidP="0048511B">
      <w:pPr>
        <w:autoSpaceDE w:val="0"/>
        <w:autoSpaceDN w:val="0"/>
        <w:adjustRightInd w:val="0"/>
        <w:spacing w:line="276" w:lineRule="auto"/>
        <w:rPr>
          <w:rFonts w:asciiTheme="minorHAnsi" w:hAnsiTheme="minorHAnsi" w:cstheme="minorHAnsi"/>
          <w:sz w:val="22"/>
          <w:szCs w:val="22"/>
        </w:rPr>
      </w:pPr>
    </w:p>
    <w:p w:rsidR="008E5B78" w:rsidRPr="00526D32" w:rsidRDefault="008E5B78" w:rsidP="0048511B">
      <w:pPr>
        <w:autoSpaceDE w:val="0"/>
        <w:autoSpaceDN w:val="0"/>
        <w:adjustRightInd w:val="0"/>
        <w:spacing w:line="276" w:lineRule="auto"/>
        <w:rPr>
          <w:rFonts w:asciiTheme="minorHAnsi" w:eastAsia="CalibriLight" w:hAnsiTheme="minorHAnsi" w:cstheme="minorHAnsi"/>
          <w:color w:val="auto"/>
          <w:sz w:val="22"/>
          <w:szCs w:val="22"/>
          <w:lang w:val="en-US"/>
        </w:rPr>
      </w:pPr>
      <w:r w:rsidRPr="00526D32">
        <w:rPr>
          <w:rFonts w:asciiTheme="minorHAnsi" w:hAnsiTheme="minorHAnsi" w:cstheme="minorHAnsi"/>
          <w:sz w:val="22"/>
          <w:szCs w:val="22"/>
        </w:rPr>
        <w:t>Reforme u oblasti tržišta rada imaju za cilj povećanje aktivnosti radne snage, povećanje ukupne zaposlenosti, posebno u privatnom sektoru, smanjenje</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nezaposlenosti</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prije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svega</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mladih</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w:t>
      </w:r>
      <w:r w:rsidRPr="00526D32">
        <w:rPr>
          <w:rFonts w:asciiTheme="minorHAnsi" w:eastAsia="CalibriLight" w:hAnsiTheme="minorHAnsi" w:cstheme="minorHAnsi"/>
          <w:color w:val="auto"/>
          <w:sz w:val="22"/>
          <w:szCs w:val="22"/>
        </w:rPr>
        <w:t xml:space="preserve"> ž</w:t>
      </w:r>
      <w:r w:rsidRPr="00526D32">
        <w:rPr>
          <w:rFonts w:asciiTheme="minorHAnsi" w:eastAsia="CalibriLight" w:hAnsiTheme="minorHAnsi" w:cstheme="minorHAnsi"/>
          <w:color w:val="auto"/>
          <w:sz w:val="22"/>
          <w:szCs w:val="22"/>
          <w:lang w:val="en-US"/>
        </w:rPr>
        <w:t>ena</w:t>
      </w:r>
      <w:r w:rsidRPr="00526D32">
        <w:rPr>
          <w:rFonts w:asciiTheme="minorHAnsi" w:eastAsia="CalibriLight" w:hAnsiTheme="minorHAnsi" w:cstheme="minorHAnsi"/>
          <w:color w:val="auto"/>
          <w:sz w:val="22"/>
          <w:szCs w:val="22"/>
        </w:rPr>
        <w:t>, š</w:t>
      </w:r>
      <w:r w:rsidRPr="00526D32">
        <w:rPr>
          <w:rFonts w:asciiTheme="minorHAnsi" w:eastAsia="CalibriLight" w:hAnsiTheme="minorHAnsi" w:cstheme="minorHAnsi"/>
          <w:color w:val="auto"/>
          <w:sz w:val="22"/>
          <w:szCs w:val="22"/>
          <w:lang w:val="en-US"/>
        </w:rPr>
        <w:t>to</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zna</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ajnoj</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mjeri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posljedica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nedovoljne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fleksibilnosti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tr</w:t>
      </w:r>
      <w:r w:rsidRPr="00526D32">
        <w:rPr>
          <w:rFonts w:asciiTheme="minorHAnsi" w:eastAsia="CalibriLight" w:hAnsiTheme="minorHAnsi" w:cstheme="minorHAnsi"/>
          <w:color w:val="auto"/>
          <w:sz w:val="22"/>
          <w:szCs w:val="22"/>
        </w:rPr>
        <w:t>ž</w:t>
      </w:r>
      <w:r w:rsidRPr="00526D32">
        <w:rPr>
          <w:rFonts w:asciiTheme="minorHAnsi" w:eastAsia="CalibriLight" w:hAnsiTheme="minorHAnsi" w:cstheme="minorHAnsi"/>
          <w:color w:val="auto"/>
          <w:sz w:val="22"/>
          <w:szCs w:val="22"/>
          <w:lang w:val="en-US"/>
        </w:rPr>
        <w:t>i</w:t>
      </w:r>
      <w:r w:rsidRPr="00526D32">
        <w:rPr>
          <w:rFonts w:asciiTheme="minorHAnsi" w:eastAsia="CalibriLight" w:hAnsiTheme="minorHAnsi" w:cstheme="minorHAnsi"/>
          <w:color w:val="auto"/>
          <w:sz w:val="22"/>
          <w:szCs w:val="22"/>
        </w:rPr>
        <w:t>š</w:t>
      </w:r>
      <w:r w:rsidRPr="00526D32">
        <w:rPr>
          <w:rFonts w:asciiTheme="minorHAnsi" w:eastAsia="CalibriLight" w:hAnsiTheme="minorHAnsi" w:cstheme="minorHAnsi"/>
          <w:color w:val="auto"/>
          <w:sz w:val="22"/>
          <w:szCs w:val="22"/>
          <w:lang w:val="en-US"/>
        </w:rPr>
        <w:t>ta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rada</w:t>
      </w:r>
      <w:r w:rsidRPr="00526D32">
        <w:rPr>
          <w:rFonts w:asciiTheme="minorHAnsi" w:eastAsia="CalibriLight" w:hAnsiTheme="minorHAnsi" w:cstheme="minorHAnsi"/>
          <w:color w:val="auto"/>
          <w:sz w:val="22"/>
          <w:szCs w:val="22"/>
        </w:rPr>
        <w:t xml:space="preserve">. </w:t>
      </w:r>
      <w:r w:rsidR="008515DC">
        <w:rPr>
          <w:rFonts w:asciiTheme="minorHAnsi" w:eastAsia="CalibriLight" w:hAnsiTheme="minorHAnsi" w:cstheme="minorHAnsi"/>
          <w:color w:val="auto"/>
          <w:sz w:val="22"/>
          <w:szCs w:val="22"/>
        </w:rPr>
        <w:t>Sve navedeno će istovremneo imati efekat na rast budžetskih prihoda i smanjenje rashoda</w:t>
      </w:r>
      <w:r w:rsidR="00A10829">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 tom smislu:</w:t>
      </w:r>
    </w:p>
    <w:p w:rsidR="008E5B78" w:rsidRPr="00526D32" w:rsidRDefault="008E5B78" w:rsidP="0048511B">
      <w:pPr>
        <w:autoSpaceDE w:val="0"/>
        <w:autoSpaceDN w:val="0"/>
        <w:adjustRightInd w:val="0"/>
        <w:spacing w:line="276" w:lineRule="auto"/>
        <w:rPr>
          <w:rFonts w:asciiTheme="minorHAnsi" w:hAnsiTheme="minorHAnsi" w:cstheme="minorHAnsi"/>
          <w:sz w:val="22"/>
          <w:szCs w:val="22"/>
        </w:rPr>
      </w:pPr>
    </w:p>
    <w:p w:rsidR="008E5B78" w:rsidRPr="00526D32" w:rsidRDefault="00A10829" w:rsidP="0048511B">
      <w:pPr>
        <w:numPr>
          <w:ilvl w:val="0"/>
          <w:numId w:val="18"/>
        </w:numPr>
        <w:spacing w:line="276" w:lineRule="auto"/>
        <w:ind w:left="709" w:hanging="349"/>
        <w:contextualSpacing/>
        <w:rPr>
          <w:rFonts w:asciiTheme="minorHAnsi" w:hAnsiTheme="minorHAnsi" w:cstheme="minorHAnsi"/>
          <w:sz w:val="22"/>
          <w:szCs w:val="22"/>
        </w:rPr>
      </w:pPr>
      <w:r>
        <w:rPr>
          <w:rFonts w:asciiTheme="minorHAnsi" w:hAnsiTheme="minorHAnsi" w:cstheme="minorHAnsi"/>
          <w:sz w:val="22"/>
          <w:szCs w:val="22"/>
        </w:rPr>
        <w:t>d</w:t>
      </w:r>
      <w:r w:rsidR="008E5B78" w:rsidRPr="00526D32">
        <w:rPr>
          <w:rFonts w:asciiTheme="minorHAnsi" w:hAnsiTheme="minorHAnsi" w:cstheme="minorHAnsi"/>
          <w:sz w:val="22"/>
          <w:szCs w:val="22"/>
        </w:rPr>
        <w:t>onijeće se novi Zakon o radu, i time doprinijeti većoj fleksibilnosti i mobilnosti pri zapošljavanju, kao i smanjenju rada u sivoj zoni;</w:t>
      </w:r>
    </w:p>
    <w:p w:rsidR="008E5B78" w:rsidRPr="00526D32" w:rsidRDefault="00A10829" w:rsidP="0048511B">
      <w:pPr>
        <w:numPr>
          <w:ilvl w:val="0"/>
          <w:numId w:val="18"/>
        </w:numPr>
        <w:spacing w:line="276" w:lineRule="auto"/>
        <w:ind w:left="709" w:hanging="349"/>
        <w:contextualSpacing/>
        <w:rPr>
          <w:rFonts w:asciiTheme="minorHAnsi" w:hAnsiTheme="minorHAnsi" w:cstheme="minorHAnsi"/>
          <w:sz w:val="22"/>
          <w:szCs w:val="22"/>
        </w:rPr>
      </w:pPr>
      <w:r>
        <w:rPr>
          <w:rFonts w:asciiTheme="minorHAnsi" w:hAnsiTheme="minorHAnsi" w:cstheme="minorHAnsi"/>
          <w:sz w:val="22"/>
          <w:szCs w:val="22"/>
        </w:rPr>
        <w:t>i</w:t>
      </w:r>
      <w:r w:rsidR="008E5B78" w:rsidRPr="00526D32">
        <w:rPr>
          <w:rFonts w:asciiTheme="minorHAnsi" w:hAnsiTheme="minorHAnsi" w:cstheme="minorHAnsi"/>
          <w:sz w:val="22"/>
          <w:szCs w:val="22"/>
        </w:rPr>
        <w:t>zmijeniće se Zakon o Fondu rada, kako bi se stvorili uslovi, odnosno obezbijedila sredstva za izmirenje svih potraživanja po osnovu rada za zaposlene koji su usljed stečaja ostali bez posla.</w:t>
      </w:r>
    </w:p>
    <w:p w:rsidR="008E5B78" w:rsidRPr="00526D32" w:rsidRDefault="00A10829" w:rsidP="0048511B">
      <w:pPr>
        <w:numPr>
          <w:ilvl w:val="0"/>
          <w:numId w:val="18"/>
        </w:numPr>
        <w:spacing w:line="276" w:lineRule="auto"/>
        <w:ind w:left="709" w:hanging="349"/>
        <w:contextualSpacing/>
        <w:rPr>
          <w:rFonts w:asciiTheme="minorHAnsi" w:hAnsiTheme="minorHAnsi" w:cstheme="minorHAnsi"/>
          <w:color w:val="auto"/>
          <w:sz w:val="22"/>
          <w:szCs w:val="22"/>
        </w:rPr>
      </w:pPr>
      <w:r>
        <w:rPr>
          <w:rFonts w:asciiTheme="minorHAnsi" w:hAnsiTheme="minorHAnsi" w:cstheme="minorHAnsi"/>
          <w:sz w:val="22"/>
          <w:szCs w:val="22"/>
        </w:rPr>
        <w:t>d</w:t>
      </w:r>
      <w:r w:rsidR="008E5B78" w:rsidRPr="00526D32">
        <w:rPr>
          <w:rFonts w:asciiTheme="minorHAnsi" w:hAnsiTheme="minorHAnsi" w:cstheme="minorHAnsi"/>
          <w:sz w:val="22"/>
          <w:szCs w:val="22"/>
        </w:rPr>
        <w:t xml:space="preserve">onijeće se novi Zakon o zapošljavanju i ostvarivanju prava iz osiguranja od nezaposlenosti koji će uticati na smanjenje nezaposlenosti i rast zaposlenosti; </w:t>
      </w:r>
    </w:p>
    <w:p w:rsidR="008E5B78" w:rsidRPr="00526D32" w:rsidRDefault="00A10829" w:rsidP="0048511B">
      <w:pPr>
        <w:numPr>
          <w:ilvl w:val="0"/>
          <w:numId w:val="18"/>
        </w:numPr>
        <w:spacing w:line="276" w:lineRule="auto"/>
        <w:ind w:left="709" w:hanging="349"/>
        <w:contextualSpacing/>
        <w:rPr>
          <w:rFonts w:asciiTheme="minorHAnsi" w:hAnsiTheme="minorHAnsi" w:cstheme="minorHAnsi"/>
          <w:color w:val="auto"/>
          <w:sz w:val="22"/>
          <w:szCs w:val="22"/>
        </w:rPr>
      </w:pPr>
      <w:r>
        <w:rPr>
          <w:rFonts w:asciiTheme="minorHAnsi" w:hAnsiTheme="minorHAnsi" w:cstheme="minorHAnsi"/>
          <w:sz w:val="22"/>
          <w:szCs w:val="22"/>
        </w:rPr>
        <w:t>d</w:t>
      </w:r>
      <w:r w:rsidR="008E5B78" w:rsidRPr="00526D32">
        <w:rPr>
          <w:rFonts w:asciiTheme="minorHAnsi" w:hAnsiTheme="minorHAnsi" w:cstheme="minorHAnsi"/>
          <w:sz w:val="22"/>
          <w:szCs w:val="22"/>
        </w:rPr>
        <w:t xml:space="preserve">onijeće se novi Zakon o profesionalnoj rehabilitaciji i zapošljavanju lica sa invaliditetom i utvrditi rešenje po kome će se Fond za profesionalnu rehabilitaciju i zapošljavanje lica sa invaliditetom izdvojiti iz okvira Zavoda za zapošljavanje i formirati kao posebno pravno lice. </w:t>
      </w:r>
    </w:p>
    <w:p w:rsidR="008E5B78" w:rsidRPr="00526D32" w:rsidRDefault="008E5B78" w:rsidP="0048511B">
      <w:pPr>
        <w:spacing w:line="276" w:lineRule="auto"/>
        <w:rPr>
          <w:rFonts w:asciiTheme="minorHAnsi" w:hAnsiTheme="minorHAnsi" w:cstheme="minorHAnsi"/>
          <w:sz w:val="22"/>
          <w:szCs w:val="22"/>
        </w:rPr>
      </w:pPr>
    </w:p>
    <w:p w:rsidR="008E5B78" w:rsidRPr="00526D32" w:rsidRDefault="00526D32" w:rsidP="0048511B">
      <w:pPr>
        <w:pStyle w:val="Heading3"/>
      </w:pPr>
      <w:bookmarkStart w:id="11" w:name="_Toc484373015"/>
      <w:r>
        <w:t>3</w:t>
      </w:r>
      <w:r w:rsidR="008E5B78" w:rsidRPr="00526D32">
        <w:t>.3.6 Istraživanje i inovacije</w:t>
      </w:r>
      <w:bookmarkEnd w:id="11"/>
    </w:p>
    <w:p w:rsidR="008E5B78" w:rsidRPr="00526D32" w:rsidRDefault="008E5B78" w:rsidP="0048511B">
      <w:pPr>
        <w:spacing w:line="276" w:lineRule="auto"/>
        <w:rPr>
          <w:rFonts w:asciiTheme="minorHAnsi" w:hAnsiTheme="minorHAnsi" w:cstheme="minorHAnsi"/>
          <w:b/>
          <w:sz w:val="22"/>
          <w:szCs w:val="22"/>
        </w:rPr>
      </w:pPr>
    </w:p>
    <w:p w:rsidR="008E5B78" w:rsidRPr="00526D32" w:rsidRDefault="008E5B78" w:rsidP="0048511B">
      <w:pPr>
        <w:spacing w:line="276" w:lineRule="auto"/>
        <w:rPr>
          <w:rFonts w:asciiTheme="minorHAnsi" w:eastAsiaTheme="minorHAnsi" w:hAnsiTheme="minorHAnsi" w:cstheme="minorHAnsi"/>
          <w:sz w:val="22"/>
          <w:szCs w:val="22"/>
        </w:rPr>
      </w:pPr>
      <w:r w:rsidRPr="00526D32">
        <w:rPr>
          <w:rFonts w:asciiTheme="minorHAnsi" w:eastAsia="Calibri" w:hAnsiTheme="minorHAnsi" w:cstheme="minorHAnsi"/>
          <w:sz w:val="22"/>
          <w:szCs w:val="22"/>
        </w:rPr>
        <w:t xml:space="preserve">Crna Gora je posebnu pažnju usmjerila na kreiranje okvirnih uslova za stimulisanje procesa inovacija i razmjenu znanja, kao i na jačanje veza između naučnoistraživačkih ustanova i privrednog sektora. U tom smislu </w:t>
      </w:r>
      <w:r w:rsidRPr="00526D32">
        <w:rPr>
          <w:rFonts w:asciiTheme="minorHAnsi" w:eastAsiaTheme="minorHAnsi" w:hAnsiTheme="minorHAnsi" w:cstheme="minorHAnsi"/>
          <w:sz w:val="22"/>
          <w:szCs w:val="22"/>
        </w:rPr>
        <w:t>uspostaviće se prvi Naučno-teh</w:t>
      </w:r>
      <w:r w:rsidR="0048511B">
        <w:rPr>
          <w:rFonts w:asciiTheme="minorHAnsi" w:eastAsiaTheme="minorHAnsi" w:hAnsiTheme="minorHAnsi" w:cstheme="minorHAnsi"/>
          <w:sz w:val="22"/>
          <w:szCs w:val="22"/>
        </w:rPr>
        <w:t>nološki</w:t>
      </w:r>
      <w:r w:rsidRPr="00526D32">
        <w:rPr>
          <w:rFonts w:asciiTheme="minorHAnsi" w:eastAsiaTheme="minorHAnsi" w:hAnsiTheme="minorHAnsi" w:cstheme="minorHAnsi"/>
          <w:sz w:val="22"/>
          <w:szCs w:val="22"/>
        </w:rPr>
        <w:t xml:space="preserve"> park (NTP) u Crnoj Gori, čime će se direktno uticati na eliminisanje barijera između nauke, istraživanja, inovacija i biznisa. Plan osnivanja NTP uključuje mrežu NTP Podgorica i impulsnih centara u Nikšiću („Tehnopolis“), Baru i Pljevljima, kao i impulsnih centara koji bi mogli nastati u drugim gradovima.</w:t>
      </w:r>
    </w:p>
    <w:p w:rsidR="008E5B78" w:rsidRPr="00526D32" w:rsidRDefault="008E5B78" w:rsidP="0048511B">
      <w:pPr>
        <w:spacing w:line="276" w:lineRule="auto"/>
        <w:ind w:left="720"/>
        <w:contextualSpacing/>
        <w:rPr>
          <w:rFonts w:asciiTheme="minorHAnsi" w:eastAsiaTheme="minorHAnsi" w:hAnsiTheme="minorHAnsi" w:cstheme="minorHAnsi"/>
          <w:sz w:val="22"/>
          <w:szCs w:val="22"/>
        </w:rPr>
      </w:pPr>
    </w:p>
    <w:p w:rsidR="008E5B78" w:rsidRPr="00526D32" w:rsidRDefault="008E5B78" w:rsidP="0048511B">
      <w:pPr>
        <w:spacing w:line="276" w:lineRule="auto"/>
        <w:rPr>
          <w:rFonts w:asciiTheme="minorHAnsi" w:eastAsiaTheme="minorHAnsi" w:hAnsiTheme="minorHAnsi" w:cstheme="minorHAnsi"/>
          <w:sz w:val="22"/>
          <w:szCs w:val="22"/>
        </w:rPr>
      </w:pPr>
      <w:r w:rsidRPr="00526D32">
        <w:rPr>
          <w:rFonts w:asciiTheme="minorHAnsi" w:eastAsiaTheme="minorHAnsi" w:hAnsiTheme="minorHAnsi" w:cstheme="minorHAnsi"/>
          <w:sz w:val="22"/>
          <w:szCs w:val="22"/>
        </w:rPr>
        <w:t>Povezivanje sistema nauke i istraživanja sa inovacijama i biznisom, kroz program podrške NTP, omogućiće: stvaranje i privlačenje novih malih i srednjih preduzeća i „start-up“ i „spin-off“ inovativnih subjekata; konsolidaciju postojećih preduzeća; stvaranje jake veze sa lokalnim i regionalnim biznis centrima, inkubatorima, klasterima i vaučerskim šemama; stimulisanje transfera znanja i visokih tehnologija sa naučnih ustanova na pred</w:t>
      </w:r>
      <w:r w:rsidR="0048511B">
        <w:rPr>
          <w:rFonts w:asciiTheme="minorHAnsi" w:eastAsiaTheme="minorHAnsi" w:hAnsiTheme="minorHAnsi" w:cstheme="minorHAnsi"/>
          <w:sz w:val="22"/>
          <w:szCs w:val="22"/>
        </w:rPr>
        <w:t>u</w:t>
      </w:r>
      <w:r w:rsidRPr="00526D32">
        <w:rPr>
          <w:rFonts w:asciiTheme="minorHAnsi" w:eastAsiaTheme="minorHAnsi" w:hAnsiTheme="minorHAnsi" w:cstheme="minorHAnsi"/>
          <w:sz w:val="22"/>
          <w:szCs w:val="22"/>
        </w:rPr>
        <w:t>zeća; unapređenje komercijalizacije istraživanja; podsticanje stvaranja i primjenu novih ili poboljšanje postojećih tehnologija, postupaka, proizvoda, usluga i procesa na tržištu, zasnovanih na vrhunskim naučnim rezultatima, kao i zapošljavanje u postojećim i novim privrednim društvima.</w:t>
      </w:r>
    </w:p>
    <w:p w:rsidR="008E5B78" w:rsidRPr="00526D32" w:rsidRDefault="008E5B78" w:rsidP="0048511B">
      <w:pPr>
        <w:spacing w:line="276" w:lineRule="auto"/>
        <w:rPr>
          <w:rFonts w:asciiTheme="minorHAnsi" w:eastAsiaTheme="minorHAnsi" w:hAnsiTheme="minorHAnsi" w:cstheme="minorHAnsi"/>
          <w:sz w:val="22"/>
          <w:szCs w:val="22"/>
        </w:rPr>
      </w:pPr>
    </w:p>
    <w:p w:rsidR="008E5B78" w:rsidRPr="00526D32" w:rsidRDefault="00526D32" w:rsidP="0048511B">
      <w:pPr>
        <w:pStyle w:val="Heading3"/>
      </w:pPr>
      <w:bookmarkStart w:id="12" w:name="_Toc484373016"/>
      <w:r>
        <w:t>3</w:t>
      </w:r>
      <w:r w:rsidR="008E5B78" w:rsidRPr="00526D32">
        <w:t>.3.7 Prerađivačka industrija</w:t>
      </w:r>
      <w:bookmarkEnd w:id="12"/>
    </w:p>
    <w:p w:rsidR="008E5B78" w:rsidRPr="00526D32" w:rsidRDefault="008E5B78" w:rsidP="0048511B">
      <w:pPr>
        <w:autoSpaceDE w:val="0"/>
        <w:autoSpaceDN w:val="0"/>
        <w:adjustRightInd w:val="0"/>
        <w:spacing w:line="276" w:lineRule="auto"/>
        <w:rPr>
          <w:rFonts w:asciiTheme="minorHAnsi" w:eastAsia="CalibriLight" w:hAnsiTheme="minorHAnsi" w:cstheme="minorHAnsi"/>
          <w:color w:val="auto"/>
          <w:sz w:val="22"/>
          <w:szCs w:val="22"/>
        </w:rPr>
      </w:pPr>
    </w:p>
    <w:p w:rsidR="008E5B78" w:rsidRPr="00526D32" w:rsidRDefault="008E5B78" w:rsidP="0048511B">
      <w:pPr>
        <w:autoSpaceDE w:val="0"/>
        <w:autoSpaceDN w:val="0"/>
        <w:adjustRightInd w:val="0"/>
        <w:spacing w:line="276" w:lineRule="auto"/>
        <w:rPr>
          <w:rFonts w:asciiTheme="minorHAnsi" w:eastAsia="CalibriLight" w:hAnsiTheme="minorHAnsi" w:cstheme="minorHAnsi"/>
          <w:color w:val="auto"/>
          <w:sz w:val="22"/>
          <w:szCs w:val="22"/>
        </w:rPr>
      </w:pPr>
      <w:r w:rsidRPr="00526D32">
        <w:rPr>
          <w:rFonts w:asciiTheme="minorHAnsi" w:eastAsia="CalibriLight" w:hAnsiTheme="minorHAnsi" w:cstheme="minorHAnsi"/>
          <w:color w:val="auto"/>
          <w:sz w:val="22"/>
          <w:szCs w:val="22"/>
          <w:lang w:val="en-US"/>
        </w:rPr>
        <w:t>Nedovoljno</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iskori</w:t>
      </w:r>
      <w:r w:rsidRPr="00526D32">
        <w:rPr>
          <w:rFonts w:asciiTheme="minorHAnsi" w:eastAsia="CalibriLight" w:hAnsiTheme="minorHAnsi" w:cstheme="minorHAnsi"/>
          <w:color w:val="auto"/>
          <w:sz w:val="22"/>
          <w:szCs w:val="22"/>
        </w:rPr>
        <w:t>šć</w:t>
      </w:r>
      <w:r w:rsidRPr="00526D32">
        <w:rPr>
          <w:rFonts w:asciiTheme="minorHAnsi" w:eastAsia="CalibriLight" w:hAnsiTheme="minorHAnsi" w:cstheme="minorHAnsi"/>
          <w:color w:val="auto"/>
          <w:sz w:val="22"/>
          <w:szCs w:val="22"/>
          <w:lang w:val="en-US"/>
        </w:rPr>
        <w:t>en</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potencijal</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za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razvoj</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industrije</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kao</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strukturni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dis</w:t>
      </w:r>
      <w:r w:rsidR="0048511B">
        <w:rPr>
          <w:rFonts w:asciiTheme="minorHAnsi" w:eastAsia="CalibriLight" w:hAnsiTheme="minorHAnsi" w:cstheme="minorHAnsi"/>
          <w:color w:val="auto"/>
          <w:sz w:val="22"/>
          <w:szCs w:val="22"/>
          <w:lang w:val="en-US"/>
        </w:rPr>
        <w:t>b</w:t>
      </w:r>
      <w:r w:rsidRPr="00526D32">
        <w:rPr>
          <w:rFonts w:asciiTheme="minorHAnsi" w:eastAsia="CalibriLight" w:hAnsiTheme="minorHAnsi" w:cstheme="minorHAnsi"/>
          <w:color w:val="auto"/>
          <w:sz w:val="22"/>
          <w:szCs w:val="22"/>
          <w:lang w:val="en-US"/>
        </w:rPr>
        <w:t>alansi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koji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ogledaju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uskoj</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odnosno</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nediverzifikovanoj</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proizvodnoj</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bazi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nametnuli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potrebu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za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preduzimanje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mjera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cilju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pove</w:t>
      </w:r>
      <w:r w:rsidRPr="00526D32">
        <w:rPr>
          <w:rFonts w:asciiTheme="minorHAnsi" w:eastAsia="CalibriLight" w:hAnsiTheme="minorHAnsi" w:cstheme="minorHAnsi"/>
          <w:color w:val="auto"/>
          <w:sz w:val="22"/>
          <w:szCs w:val="22"/>
        </w:rPr>
        <w:t>ć</w:t>
      </w:r>
      <w:r w:rsidRPr="00526D32">
        <w:rPr>
          <w:rFonts w:asciiTheme="minorHAnsi" w:eastAsia="CalibriLight" w:hAnsiTheme="minorHAnsi" w:cstheme="minorHAnsi"/>
          <w:color w:val="auto"/>
          <w:sz w:val="22"/>
          <w:szCs w:val="22"/>
          <w:lang w:val="en-US"/>
        </w:rPr>
        <w:t>anja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obima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proizvodnje</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promjene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proizvodne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strukture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pravcu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pove</w:t>
      </w:r>
      <w:r w:rsidRPr="00526D32">
        <w:rPr>
          <w:rFonts w:asciiTheme="minorHAnsi" w:eastAsia="CalibriLight" w:hAnsiTheme="minorHAnsi" w:cstheme="minorHAnsi"/>
          <w:color w:val="auto"/>
          <w:sz w:val="22"/>
          <w:szCs w:val="22"/>
        </w:rPr>
        <w:t>ć</w:t>
      </w:r>
      <w:r w:rsidRPr="00526D32">
        <w:rPr>
          <w:rFonts w:asciiTheme="minorHAnsi" w:eastAsia="CalibriLight" w:hAnsiTheme="minorHAnsi" w:cstheme="minorHAnsi"/>
          <w:color w:val="auto"/>
          <w:sz w:val="22"/>
          <w:szCs w:val="22"/>
          <w:lang w:val="en-US"/>
        </w:rPr>
        <w:t>anja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proizvodnje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ve</w:t>
      </w:r>
      <w:r w:rsidRPr="00526D32">
        <w:rPr>
          <w:rFonts w:asciiTheme="minorHAnsi" w:eastAsia="CalibriLight" w:hAnsiTheme="minorHAnsi" w:cstheme="minorHAnsi"/>
          <w:color w:val="auto"/>
          <w:sz w:val="22"/>
          <w:szCs w:val="22"/>
        </w:rPr>
        <w:t>ć</w:t>
      </w:r>
      <w:r w:rsidRPr="00526D32">
        <w:rPr>
          <w:rFonts w:asciiTheme="minorHAnsi" w:eastAsia="CalibriLight" w:hAnsiTheme="minorHAnsi" w:cstheme="minorHAnsi"/>
          <w:color w:val="auto"/>
          <w:sz w:val="22"/>
          <w:szCs w:val="22"/>
          <w:lang w:val="en-US"/>
        </w:rPr>
        <w:t>om</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dodatom</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vrijedno</w:t>
      </w:r>
      <w:r w:rsidRPr="00526D32">
        <w:rPr>
          <w:rFonts w:asciiTheme="minorHAnsi" w:eastAsia="CalibriLight" w:hAnsiTheme="minorHAnsi" w:cstheme="minorHAnsi"/>
          <w:color w:val="auto"/>
          <w:sz w:val="22"/>
          <w:szCs w:val="22"/>
        </w:rPr>
        <w:t>šć</w:t>
      </w:r>
      <w:r w:rsidRPr="00526D32">
        <w:rPr>
          <w:rFonts w:asciiTheme="minorHAnsi" w:eastAsia="CalibriLight" w:hAnsiTheme="minorHAnsi" w:cstheme="minorHAnsi"/>
          <w:color w:val="auto"/>
          <w:sz w:val="22"/>
          <w:szCs w:val="22"/>
          <w:lang w:val="en-US"/>
        </w:rPr>
        <w:t>u</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odnosno</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proizvodnje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vi</w:t>
      </w:r>
      <w:r w:rsidRPr="00526D32">
        <w:rPr>
          <w:rFonts w:asciiTheme="minorHAnsi" w:eastAsia="CalibriLight" w:hAnsiTheme="minorHAnsi" w:cstheme="minorHAnsi"/>
          <w:color w:val="auto"/>
          <w:sz w:val="22"/>
          <w:szCs w:val="22"/>
        </w:rPr>
        <w:t>š</w:t>
      </w:r>
      <w:r w:rsidRPr="00526D32">
        <w:rPr>
          <w:rFonts w:asciiTheme="minorHAnsi" w:eastAsia="CalibriLight" w:hAnsiTheme="minorHAnsi" w:cstheme="minorHAnsi"/>
          <w:color w:val="auto"/>
          <w:sz w:val="22"/>
          <w:szCs w:val="22"/>
          <w:lang w:val="en-US"/>
        </w:rPr>
        <w:t>ih</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faza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prerade</w:t>
      </w:r>
      <w:r w:rsidRPr="00526D32">
        <w:rPr>
          <w:rFonts w:asciiTheme="minorHAnsi" w:eastAsia="CalibriLight" w:hAnsiTheme="minorHAnsi" w:cstheme="minorHAnsi"/>
          <w:color w:val="auto"/>
          <w:sz w:val="22"/>
          <w:szCs w:val="22"/>
        </w:rPr>
        <w:t xml:space="preserve"> š</w:t>
      </w:r>
      <w:r w:rsidRPr="00526D32">
        <w:rPr>
          <w:rFonts w:asciiTheme="minorHAnsi" w:eastAsia="CalibriLight" w:hAnsiTheme="minorHAnsi" w:cstheme="minorHAnsi"/>
          <w:color w:val="auto"/>
          <w:sz w:val="22"/>
          <w:szCs w:val="22"/>
          <w:lang w:val="en-US"/>
        </w:rPr>
        <w:t>to</w:t>
      </w:r>
      <w:r w:rsidRPr="00526D32">
        <w:rPr>
          <w:rFonts w:asciiTheme="minorHAnsi" w:eastAsia="CalibriLight" w:hAnsiTheme="minorHAnsi" w:cstheme="minorHAnsi"/>
          <w:color w:val="auto"/>
          <w:sz w:val="22"/>
          <w:szCs w:val="22"/>
        </w:rPr>
        <w:t xml:space="preserve"> ć</w:t>
      </w:r>
      <w:r w:rsidRPr="00526D32">
        <w:rPr>
          <w:rFonts w:asciiTheme="minorHAnsi" w:eastAsia="CalibriLight" w:hAnsiTheme="minorHAnsi" w:cstheme="minorHAnsi"/>
          <w:color w:val="auto"/>
          <w:sz w:val="22"/>
          <w:szCs w:val="22"/>
          <w:lang w:val="en-US"/>
        </w:rPr>
        <w:t>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uticati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pobolj</w:t>
      </w:r>
      <w:r w:rsidRPr="00526D32">
        <w:rPr>
          <w:rFonts w:asciiTheme="minorHAnsi" w:eastAsia="CalibriLight" w:hAnsiTheme="minorHAnsi" w:cstheme="minorHAnsi"/>
          <w:color w:val="auto"/>
          <w:sz w:val="22"/>
          <w:szCs w:val="22"/>
        </w:rPr>
        <w:t>š</w:t>
      </w:r>
      <w:r w:rsidRPr="00526D32">
        <w:rPr>
          <w:rFonts w:asciiTheme="minorHAnsi" w:eastAsia="CalibriLight" w:hAnsiTheme="minorHAnsi" w:cstheme="minorHAnsi"/>
          <w:color w:val="auto"/>
          <w:sz w:val="22"/>
          <w:szCs w:val="22"/>
          <w:lang w:val="en-US"/>
        </w:rPr>
        <w:t>anje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izvoznih</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performansi</w:t>
      </w:r>
      <w:r w:rsidRPr="00526D32">
        <w:rPr>
          <w:rFonts w:asciiTheme="minorHAnsi" w:eastAsia="CalibriLight" w:hAnsiTheme="minorHAnsi" w:cstheme="minorHAnsi"/>
          <w:color w:val="auto"/>
          <w:sz w:val="22"/>
          <w:szCs w:val="22"/>
        </w:rPr>
        <w:t>.</w:t>
      </w:r>
    </w:p>
    <w:p w:rsidR="008E5B78" w:rsidRPr="00526D32" w:rsidRDefault="008E5B78" w:rsidP="0048511B">
      <w:pPr>
        <w:autoSpaceDE w:val="0"/>
        <w:autoSpaceDN w:val="0"/>
        <w:adjustRightInd w:val="0"/>
        <w:spacing w:line="276" w:lineRule="auto"/>
        <w:rPr>
          <w:rFonts w:asciiTheme="minorHAnsi" w:eastAsia="CalibriLight" w:hAnsiTheme="minorHAnsi" w:cstheme="minorHAnsi"/>
          <w:color w:val="auto"/>
          <w:sz w:val="22"/>
          <w:szCs w:val="22"/>
        </w:rPr>
      </w:pPr>
    </w:p>
    <w:p w:rsidR="008E5B78" w:rsidRPr="00526D32" w:rsidRDefault="008E5B78" w:rsidP="0048511B">
      <w:pPr>
        <w:autoSpaceDE w:val="0"/>
        <w:autoSpaceDN w:val="0"/>
        <w:adjustRightInd w:val="0"/>
        <w:spacing w:line="276" w:lineRule="auto"/>
        <w:rPr>
          <w:rFonts w:asciiTheme="minorHAnsi" w:eastAsia="CalibriLight" w:hAnsiTheme="minorHAnsi" w:cstheme="minorHAnsi"/>
          <w:color w:val="auto"/>
          <w:sz w:val="22"/>
          <w:szCs w:val="22"/>
        </w:rPr>
      </w:pP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tom</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smislu</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nastavi</w:t>
      </w:r>
      <w:r w:rsidRPr="00526D32">
        <w:rPr>
          <w:rFonts w:asciiTheme="minorHAnsi" w:eastAsia="CalibriLight" w:hAnsiTheme="minorHAnsi" w:cstheme="minorHAnsi"/>
          <w:color w:val="auto"/>
          <w:sz w:val="22"/>
          <w:szCs w:val="22"/>
        </w:rPr>
        <w:t>ć</w:t>
      </w:r>
      <w:r w:rsidRPr="00526D32">
        <w:rPr>
          <w:rFonts w:asciiTheme="minorHAnsi" w:eastAsia="CalibriLight" w:hAnsiTheme="minorHAnsi" w:cstheme="minorHAnsi"/>
          <w:color w:val="auto"/>
          <w:sz w:val="22"/>
          <w:szCs w:val="22"/>
          <w:lang w:val="en-US"/>
        </w:rPr>
        <w:t>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realizacijom</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mjera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podsticanja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investicija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sektoru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industrije</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kroz</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implementaciju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rje</w:t>
      </w:r>
      <w:r w:rsidRPr="00526D32">
        <w:rPr>
          <w:rFonts w:asciiTheme="minorHAnsi" w:eastAsia="CalibriLight" w:hAnsiTheme="minorHAnsi" w:cstheme="minorHAnsi"/>
          <w:color w:val="auto"/>
          <w:sz w:val="22"/>
          <w:szCs w:val="22"/>
        </w:rPr>
        <w:t>š</w:t>
      </w:r>
      <w:r w:rsidRPr="00526D32">
        <w:rPr>
          <w:rFonts w:asciiTheme="minorHAnsi" w:eastAsia="CalibriLight" w:hAnsiTheme="minorHAnsi" w:cstheme="minorHAnsi"/>
          <w:color w:val="auto"/>
          <w:sz w:val="22"/>
          <w:szCs w:val="22"/>
          <w:lang w:val="en-US"/>
        </w:rPr>
        <w:t>enja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datih</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Uredbom</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o</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podsticanju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direktnih</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investicija</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obezbje</w:t>
      </w:r>
      <w:r w:rsidRPr="00526D32">
        <w:rPr>
          <w:rFonts w:asciiTheme="minorHAnsi" w:eastAsia="CalibriLight" w:hAnsiTheme="minorHAnsi" w:cstheme="minorHAnsi"/>
          <w:color w:val="auto"/>
          <w:sz w:val="22"/>
          <w:szCs w:val="22"/>
        </w:rPr>
        <w:t>đ</w:t>
      </w:r>
      <w:r w:rsidRPr="00526D32">
        <w:rPr>
          <w:rFonts w:asciiTheme="minorHAnsi" w:eastAsia="CalibriLight" w:hAnsiTheme="minorHAnsi" w:cstheme="minorHAnsi"/>
          <w:color w:val="auto"/>
          <w:sz w:val="22"/>
          <w:szCs w:val="22"/>
          <w:lang w:val="en-US"/>
        </w:rPr>
        <w:t>enje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povoljnijih</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kreditnih</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linija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za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podsticanje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razvoja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prera</w:t>
      </w:r>
      <w:r w:rsidRPr="00526D32">
        <w:rPr>
          <w:rFonts w:asciiTheme="minorHAnsi" w:eastAsia="CalibriLight" w:hAnsiTheme="minorHAnsi" w:cstheme="minorHAnsi"/>
          <w:color w:val="auto"/>
          <w:sz w:val="22"/>
          <w:szCs w:val="22"/>
        </w:rPr>
        <w:t>đ</w:t>
      </w:r>
      <w:r w:rsidRPr="00526D32">
        <w:rPr>
          <w:rFonts w:asciiTheme="minorHAnsi" w:eastAsia="CalibriLight" w:hAnsiTheme="minorHAnsi" w:cstheme="minorHAnsi"/>
          <w:color w:val="auto"/>
          <w:sz w:val="22"/>
          <w:szCs w:val="22"/>
          <w:lang w:val="en-US"/>
        </w:rPr>
        <w:t>iva</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ke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industrije</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realizaciju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programa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podsticanja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konkurentnosti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kroz</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usagla</w:t>
      </w:r>
      <w:r w:rsidRPr="00526D32">
        <w:rPr>
          <w:rFonts w:asciiTheme="minorHAnsi" w:eastAsia="CalibriLight" w:hAnsiTheme="minorHAnsi" w:cstheme="minorHAnsi"/>
          <w:color w:val="auto"/>
          <w:sz w:val="22"/>
          <w:szCs w:val="22"/>
        </w:rPr>
        <w:t>š</w:t>
      </w:r>
      <w:r w:rsidRPr="00526D32">
        <w:rPr>
          <w:rFonts w:asciiTheme="minorHAnsi" w:eastAsia="CalibriLight" w:hAnsiTheme="minorHAnsi" w:cstheme="minorHAnsi"/>
          <w:color w:val="auto"/>
          <w:sz w:val="22"/>
          <w:szCs w:val="22"/>
          <w:lang w:val="en-US"/>
        </w:rPr>
        <w:t>avanje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me</w:t>
      </w:r>
      <w:r w:rsidRPr="00526D32">
        <w:rPr>
          <w:rFonts w:asciiTheme="minorHAnsi" w:eastAsia="CalibriLight" w:hAnsiTheme="minorHAnsi" w:cstheme="minorHAnsi"/>
          <w:color w:val="auto"/>
          <w:sz w:val="22"/>
          <w:szCs w:val="22"/>
        </w:rPr>
        <w:t>đ</w:t>
      </w:r>
      <w:r w:rsidRPr="00526D32">
        <w:rPr>
          <w:rFonts w:asciiTheme="minorHAnsi" w:eastAsia="CalibriLight" w:hAnsiTheme="minorHAnsi" w:cstheme="minorHAnsi"/>
          <w:color w:val="auto"/>
          <w:sz w:val="22"/>
          <w:szCs w:val="22"/>
          <w:lang w:val="en-US"/>
        </w:rPr>
        <w:t>unarodnim</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standardima</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program</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za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unaprje</w:t>
      </w:r>
      <w:r w:rsidRPr="00526D32">
        <w:rPr>
          <w:rFonts w:asciiTheme="minorHAnsi" w:eastAsia="CalibriLight" w:hAnsiTheme="minorHAnsi" w:cstheme="minorHAnsi"/>
          <w:color w:val="auto"/>
          <w:sz w:val="22"/>
          <w:szCs w:val="22"/>
        </w:rPr>
        <w:t>đ</w:t>
      </w:r>
      <w:r w:rsidRPr="00526D32">
        <w:rPr>
          <w:rFonts w:asciiTheme="minorHAnsi" w:eastAsia="CalibriLight" w:hAnsiTheme="minorHAnsi" w:cstheme="minorHAnsi"/>
          <w:color w:val="auto"/>
          <w:sz w:val="22"/>
          <w:szCs w:val="22"/>
          <w:lang w:val="en-US"/>
        </w:rPr>
        <w:t>enje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inovativnosti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preduze</w:t>
      </w:r>
      <w:r w:rsidRPr="00526D32">
        <w:rPr>
          <w:rFonts w:asciiTheme="minorHAnsi" w:eastAsia="CalibriLight" w:hAnsiTheme="minorHAnsi" w:cstheme="minorHAnsi"/>
          <w:color w:val="auto"/>
          <w:sz w:val="22"/>
          <w:szCs w:val="22"/>
        </w:rPr>
        <w:t>ć</w:t>
      </w:r>
      <w:r w:rsidRPr="00526D32">
        <w:rPr>
          <w:rFonts w:asciiTheme="minorHAnsi" w:eastAsia="CalibriLight" w:hAnsiTheme="minorHAnsi" w:cstheme="minorHAnsi"/>
          <w:color w:val="auto"/>
          <w:sz w:val="22"/>
          <w:szCs w:val="22"/>
          <w:lang w:val="en-US"/>
        </w:rPr>
        <w:t>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prera</w:t>
      </w:r>
      <w:r w:rsidRPr="00526D32">
        <w:rPr>
          <w:rFonts w:asciiTheme="minorHAnsi" w:eastAsia="CalibriLight" w:hAnsiTheme="minorHAnsi" w:cstheme="minorHAnsi"/>
          <w:color w:val="auto"/>
          <w:sz w:val="22"/>
          <w:szCs w:val="22"/>
        </w:rPr>
        <w:t>đ</w:t>
      </w:r>
      <w:r w:rsidRPr="00526D32">
        <w:rPr>
          <w:rFonts w:asciiTheme="minorHAnsi" w:eastAsia="CalibriLight" w:hAnsiTheme="minorHAnsi" w:cstheme="minorHAnsi"/>
          <w:color w:val="auto"/>
          <w:sz w:val="22"/>
          <w:szCs w:val="22"/>
          <w:lang w:val="en-US"/>
        </w:rPr>
        <w:t>iva</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koj</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industriji</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uz</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pokretanje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novih</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programa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usmjerenih</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sufinansiranje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investicija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tehni</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ko</w:t>
      </w:r>
      <w:r w:rsidRPr="00526D32">
        <w:rPr>
          <w:rFonts w:asciiTheme="minorHAnsi" w:eastAsia="CalibriLight" w:hAnsiTheme="minorHAnsi" w:cstheme="minorHAnsi"/>
          <w:color w:val="auto"/>
          <w:sz w:val="22"/>
          <w:szCs w:val="22"/>
        </w:rPr>
        <w:t>-</w:t>
      </w:r>
      <w:r w:rsidRPr="00526D32">
        <w:rPr>
          <w:rFonts w:asciiTheme="minorHAnsi" w:eastAsia="CalibriLight" w:hAnsiTheme="minorHAnsi" w:cstheme="minorHAnsi"/>
          <w:color w:val="auto"/>
          <w:sz w:val="22"/>
          <w:szCs w:val="22"/>
          <w:lang w:val="en-US"/>
        </w:rPr>
        <w:t>tehnolo</w:t>
      </w:r>
      <w:r w:rsidRPr="00526D32">
        <w:rPr>
          <w:rFonts w:asciiTheme="minorHAnsi" w:eastAsia="CalibriLight" w:hAnsiTheme="minorHAnsi" w:cstheme="minorHAnsi"/>
          <w:color w:val="auto"/>
          <w:sz w:val="22"/>
          <w:szCs w:val="22"/>
        </w:rPr>
        <w:t>š</w:t>
      </w:r>
      <w:r w:rsidRPr="00526D32">
        <w:rPr>
          <w:rFonts w:asciiTheme="minorHAnsi" w:eastAsia="CalibriLight" w:hAnsiTheme="minorHAnsi" w:cstheme="minorHAnsi"/>
          <w:color w:val="auto"/>
          <w:sz w:val="22"/>
          <w:szCs w:val="22"/>
          <w:lang w:val="en-US"/>
        </w:rPr>
        <w:t>ku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opremljenost</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Istovremeno</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realizova</w:t>
      </w:r>
      <w:r w:rsidRPr="00526D32">
        <w:rPr>
          <w:rFonts w:asciiTheme="minorHAnsi" w:eastAsia="CalibriLight" w:hAnsiTheme="minorHAnsi" w:cstheme="minorHAnsi"/>
          <w:color w:val="auto"/>
          <w:sz w:val="22"/>
          <w:szCs w:val="22"/>
        </w:rPr>
        <w:t>ć</w:t>
      </w:r>
      <w:r w:rsidRPr="00526D32">
        <w:rPr>
          <w:rFonts w:asciiTheme="minorHAnsi" w:eastAsia="CalibriLight" w:hAnsiTheme="minorHAnsi" w:cstheme="minorHAnsi"/>
          <w:color w:val="auto"/>
          <w:sz w:val="22"/>
          <w:szCs w:val="22"/>
          <w:lang w:val="en-US"/>
        </w:rPr>
        <w:t>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mjere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kojima</w:t>
      </w:r>
      <w:r w:rsidRPr="00526D32">
        <w:rPr>
          <w:rFonts w:asciiTheme="minorHAnsi" w:eastAsia="CalibriLight" w:hAnsiTheme="minorHAnsi" w:cstheme="minorHAnsi"/>
          <w:color w:val="auto"/>
          <w:sz w:val="22"/>
          <w:szCs w:val="22"/>
        </w:rPr>
        <w:t xml:space="preserve"> ć</w:t>
      </w:r>
      <w:r w:rsidRPr="00526D32">
        <w:rPr>
          <w:rFonts w:asciiTheme="minorHAnsi" w:eastAsia="CalibriLight" w:hAnsiTheme="minorHAnsi" w:cstheme="minorHAnsi"/>
          <w:color w:val="auto"/>
          <w:sz w:val="22"/>
          <w:szCs w:val="22"/>
          <w:lang w:val="en-US"/>
        </w:rPr>
        <w:t>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obezbijediti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bolja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povezanost</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industrije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prate</w:t>
      </w:r>
      <w:r w:rsidRPr="00526D32">
        <w:rPr>
          <w:rFonts w:asciiTheme="minorHAnsi" w:eastAsia="CalibriLight" w:hAnsiTheme="minorHAnsi" w:cstheme="minorHAnsi"/>
          <w:color w:val="auto"/>
          <w:sz w:val="22"/>
          <w:szCs w:val="22"/>
        </w:rPr>
        <w:t>ć</w:t>
      </w:r>
      <w:r w:rsidRPr="00526D32">
        <w:rPr>
          <w:rFonts w:asciiTheme="minorHAnsi" w:eastAsia="CalibriLight" w:hAnsiTheme="minorHAnsi" w:cstheme="minorHAnsi"/>
          <w:color w:val="auto"/>
          <w:sz w:val="22"/>
          <w:szCs w:val="22"/>
          <w:lang w:val="en-US"/>
        </w:rPr>
        <w:t>im</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sektorima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ja</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anje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veza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izme</w:t>
      </w:r>
      <w:r w:rsidRPr="00526D32">
        <w:rPr>
          <w:rFonts w:asciiTheme="minorHAnsi" w:eastAsia="CalibriLight" w:hAnsiTheme="minorHAnsi" w:cstheme="minorHAnsi"/>
          <w:color w:val="auto"/>
          <w:sz w:val="22"/>
          <w:szCs w:val="22"/>
        </w:rPr>
        <w:t>đ</w:t>
      </w: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privrede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istra</w:t>
      </w:r>
      <w:r w:rsidRPr="00526D32">
        <w:rPr>
          <w:rFonts w:asciiTheme="minorHAnsi" w:eastAsia="CalibriLight" w:hAnsiTheme="minorHAnsi" w:cstheme="minorHAnsi"/>
          <w:color w:val="auto"/>
          <w:sz w:val="22"/>
          <w:szCs w:val="22"/>
        </w:rPr>
        <w:t>ž</w:t>
      </w:r>
      <w:r w:rsidRPr="00526D32">
        <w:rPr>
          <w:rFonts w:asciiTheme="minorHAnsi" w:eastAsia="CalibriLight" w:hAnsiTheme="minorHAnsi" w:cstheme="minorHAnsi"/>
          <w:color w:val="auto"/>
          <w:sz w:val="22"/>
          <w:szCs w:val="22"/>
          <w:lang w:val="en-US"/>
        </w:rPr>
        <w:t>iva</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ke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zajednice</w:t>
      </w:r>
      <w:r w:rsidRPr="00526D32">
        <w:rPr>
          <w:rFonts w:asciiTheme="minorHAnsi" w:eastAsia="CalibriLight" w:hAnsiTheme="minorHAnsi" w:cstheme="minorHAnsi"/>
          <w:color w:val="auto"/>
          <w:sz w:val="22"/>
          <w:szCs w:val="22"/>
        </w:rPr>
        <w:t xml:space="preserve">. </w:t>
      </w:r>
    </w:p>
    <w:p w:rsidR="008E5B78" w:rsidRPr="00526D32" w:rsidRDefault="008E5B78" w:rsidP="0048511B">
      <w:pPr>
        <w:autoSpaceDE w:val="0"/>
        <w:autoSpaceDN w:val="0"/>
        <w:adjustRightInd w:val="0"/>
        <w:spacing w:line="276" w:lineRule="auto"/>
        <w:rPr>
          <w:rFonts w:asciiTheme="minorHAnsi" w:hAnsiTheme="minorHAnsi" w:cstheme="minorHAnsi"/>
          <w:sz w:val="22"/>
          <w:szCs w:val="22"/>
        </w:rPr>
      </w:pPr>
    </w:p>
    <w:p w:rsidR="008E5B78" w:rsidRPr="00526D32" w:rsidRDefault="00526D32" w:rsidP="0048511B">
      <w:pPr>
        <w:pStyle w:val="Heading3"/>
      </w:pPr>
      <w:bookmarkStart w:id="13" w:name="_Toc484373017"/>
      <w:r>
        <w:t>3</w:t>
      </w:r>
      <w:r w:rsidR="008E5B78" w:rsidRPr="00526D32">
        <w:t>.3.8 Poljoprivreda, ruralni razvoj i šumarstvo</w:t>
      </w:r>
      <w:bookmarkEnd w:id="13"/>
    </w:p>
    <w:p w:rsidR="008E5B78" w:rsidRPr="00526D32" w:rsidRDefault="008E5B78" w:rsidP="0048511B">
      <w:pPr>
        <w:spacing w:line="276" w:lineRule="auto"/>
        <w:rPr>
          <w:rFonts w:asciiTheme="minorHAnsi" w:hAnsiTheme="minorHAnsi" w:cstheme="minorHAnsi"/>
          <w:noProof/>
          <w:sz w:val="22"/>
          <w:szCs w:val="22"/>
        </w:rPr>
      </w:pPr>
    </w:p>
    <w:p w:rsidR="008E5B78" w:rsidRPr="00526D32" w:rsidRDefault="008E5B78" w:rsidP="0048511B">
      <w:pPr>
        <w:spacing w:line="276" w:lineRule="auto"/>
        <w:rPr>
          <w:rFonts w:asciiTheme="minorHAnsi" w:hAnsiTheme="minorHAnsi" w:cstheme="minorHAnsi"/>
          <w:noProof/>
          <w:sz w:val="22"/>
          <w:szCs w:val="22"/>
        </w:rPr>
      </w:pPr>
      <w:r w:rsidRPr="00526D32">
        <w:rPr>
          <w:rFonts w:asciiTheme="minorHAnsi" w:hAnsiTheme="minorHAnsi" w:cstheme="minorHAnsi"/>
          <w:noProof/>
          <w:sz w:val="22"/>
          <w:szCs w:val="22"/>
        </w:rPr>
        <w:t>Koncept razvoja poljoprivrede bazira se na jačanju poljoprivrednih proizvođača, porodičnih firmi, novog privatnog biznisa i domaće preduzetničke klase. U tom pravcu, neophodno je stvoriti uslove za povećanje investicija, za povećanje konkurentnosti poljoprivrednih proizvođača, kroz uvođenje novih tehnologija, poboljšanje organizacije proizvodnje i kvalitetniju edukaciju, kao i za uvođenje standarda kvaliteta. Time se doprinosi unaprjeđenju sistema bezbjednosti hrane u Crnoj Gori.</w:t>
      </w:r>
    </w:p>
    <w:p w:rsidR="008E5B78" w:rsidRPr="00526D32" w:rsidRDefault="008E5B78" w:rsidP="0048511B">
      <w:pPr>
        <w:spacing w:line="276" w:lineRule="auto"/>
        <w:rPr>
          <w:rFonts w:asciiTheme="minorHAnsi" w:hAnsiTheme="minorHAnsi" w:cstheme="minorHAnsi"/>
          <w:b/>
          <w:noProof/>
          <w:sz w:val="22"/>
          <w:szCs w:val="22"/>
        </w:rPr>
      </w:pPr>
    </w:p>
    <w:p w:rsidR="008E5B78" w:rsidRPr="00526D32" w:rsidRDefault="008E5B78" w:rsidP="0048511B">
      <w:pPr>
        <w:spacing w:line="276" w:lineRule="auto"/>
        <w:rPr>
          <w:rFonts w:asciiTheme="minorHAnsi" w:hAnsiTheme="minorHAnsi" w:cstheme="minorHAnsi"/>
          <w:noProof/>
          <w:sz w:val="22"/>
          <w:szCs w:val="22"/>
        </w:rPr>
      </w:pPr>
      <w:r w:rsidRPr="00526D32">
        <w:rPr>
          <w:rFonts w:asciiTheme="minorHAnsi" w:hAnsiTheme="minorHAnsi" w:cstheme="minorHAnsi"/>
          <w:noProof/>
          <w:sz w:val="22"/>
          <w:szCs w:val="22"/>
        </w:rPr>
        <w:t>Kako bi se dostigli ciljevi poljoprivredne politike i ista prilagodila Zajedničkoj poljoprivrednoj politici EU, u narednom periodu sprovodiće se reformske mjere, koje se odnose na:</w:t>
      </w:r>
    </w:p>
    <w:p w:rsidR="008E5B78" w:rsidRPr="00526D32" w:rsidRDefault="008E5B78" w:rsidP="0048511B">
      <w:pPr>
        <w:spacing w:line="276" w:lineRule="auto"/>
        <w:ind w:left="720"/>
        <w:rPr>
          <w:rFonts w:asciiTheme="minorHAnsi" w:hAnsiTheme="minorHAnsi" w:cstheme="minorHAnsi"/>
          <w:noProof/>
          <w:sz w:val="22"/>
          <w:szCs w:val="22"/>
        </w:rPr>
      </w:pPr>
    </w:p>
    <w:p w:rsidR="008E5B78" w:rsidRPr="00526D32" w:rsidRDefault="008E5B78" w:rsidP="0048511B">
      <w:pPr>
        <w:numPr>
          <w:ilvl w:val="0"/>
          <w:numId w:val="23"/>
        </w:numPr>
        <w:spacing w:line="276" w:lineRule="auto"/>
        <w:rPr>
          <w:rFonts w:asciiTheme="minorHAnsi" w:eastAsia="Calibri" w:hAnsiTheme="minorHAnsi" w:cstheme="minorHAnsi"/>
          <w:noProof/>
          <w:sz w:val="22"/>
          <w:szCs w:val="22"/>
        </w:rPr>
      </w:pPr>
      <w:r w:rsidRPr="00526D32">
        <w:rPr>
          <w:rFonts w:asciiTheme="minorHAnsi" w:hAnsiTheme="minorHAnsi" w:cstheme="minorHAnsi"/>
          <w:noProof/>
          <w:sz w:val="22"/>
          <w:szCs w:val="22"/>
        </w:rPr>
        <w:t xml:space="preserve">Jačanje konkurentnosti poljoprivredne prozivodnje kroz investicije; </w:t>
      </w:r>
    </w:p>
    <w:p w:rsidR="008E5B78" w:rsidRPr="00526D32" w:rsidRDefault="008E5B78" w:rsidP="0048511B">
      <w:pPr>
        <w:numPr>
          <w:ilvl w:val="0"/>
          <w:numId w:val="23"/>
        </w:numPr>
        <w:spacing w:line="276" w:lineRule="auto"/>
        <w:rPr>
          <w:rFonts w:asciiTheme="minorHAnsi" w:eastAsia="Calibri" w:hAnsiTheme="minorHAnsi" w:cstheme="minorHAnsi"/>
          <w:noProof/>
          <w:sz w:val="22"/>
          <w:szCs w:val="22"/>
        </w:rPr>
      </w:pPr>
      <w:r w:rsidRPr="00526D32">
        <w:rPr>
          <w:rFonts w:asciiTheme="minorHAnsi" w:hAnsiTheme="minorHAnsi" w:cstheme="minorHAnsi"/>
          <w:noProof/>
          <w:sz w:val="22"/>
          <w:szCs w:val="22"/>
        </w:rPr>
        <w:t xml:space="preserve">Povećanje stepena iskorišćenosti poljoprivrednog zemljišta i, u tom smislu, boljoj valorizaciji poljoprivrednog zemljišta u državnom vlasništvu; </w:t>
      </w:r>
    </w:p>
    <w:p w:rsidR="008E5B78" w:rsidRPr="00526D32" w:rsidRDefault="008E5B78" w:rsidP="0048511B">
      <w:pPr>
        <w:numPr>
          <w:ilvl w:val="0"/>
          <w:numId w:val="23"/>
        </w:numPr>
        <w:autoSpaceDE w:val="0"/>
        <w:autoSpaceDN w:val="0"/>
        <w:adjustRightInd w:val="0"/>
        <w:spacing w:line="276" w:lineRule="auto"/>
        <w:rPr>
          <w:rFonts w:asciiTheme="minorHAnsi" w:eastAsia="Calibri" w:hAnsiTheme="minorHAnsi" w:cstheme="minorHAnsi"/>
          <w:sz w:val="22"/>
          <w:szCs w:val="22"/>
        </w:rPr>
      </w:pPr>
      <w:r w:rsidRPr="00526D32">
        <w:rPr>
          <w:rFonts w:asciiTheme="minorHAnsi" w:hAnsiTheme="minorHAnsi" w:cstheme="minorHAnsi"/>
          <w:noProof/>
          <w:sz w:val="22"/>
          <w:szCs w:val="22"/>
        </w:rPr>
        <w:t>Unapređenje životnog standarda stanovnika ruralnih područja, zaustavljanje iseljavanja i rast zaposlenosti, kroz poboljšanje ruralne infrastrukture;</w:t>
      </w:r>
    </w:p>
    <w:p w:rsidR="008E5B78" w:rsidRPr="00526D32" w:rsidRDefault="008E5B78" w:rsidP="0048511B">
      <w:pPr>
        <w:numPr>
          <w:ilvl w:val="0"/>
          <w:numId w:val="23"/>
        </w:numPr>
        <w:spacing w:line="276" w:lineRule="auto"/>
        <w:rPr>
          <w:rFonts w:asciiTheme="minorHAnsi" w:eastAsia="Calibri" w:hAnsiTheme="minorHAnsi" w:cstheme="minorHAnsi"/>
          <w:sz w:val="22"/>
          <w:szCs w:val="22"/>
        </w:rPr>
      </w:pPr>
      <w:r w:rsidRPr="00526D32">
        <w:rPr>
          <w:rFonts w:asciiTheme="minorHAnsi" w:eastAsia="Calibri" w:hAnsiTheme="minorHAnsi" w:cstheme="minorHAnsi"/>
          <w:bCs/>
          <w:sz w:val="22"/>
          <w:szCs w:val="22"/>
        </w:rPr>
        <w:t xml:space="preserve">Jačanje sistema bezbjednosti hrane, u cilju </w:t>
      </w:r>
      <w:r w:rsidRPr="00526D32">
        <w:rPr>
          <w:rFonts w:asciiTheme="minorHAnsi" w:eastAsia="Calibri" w:hAnsiTheme="minorHAnsi" w:cstheme="minorHAnsi"/>
          <w:sz w:val="22"/>
          <w:szCs w:val="22"/>
        </w:rPr>
        <w:t xml:space="preserve">uspostavljanja efikasnog sistema bezbjednosti hrane, povećanja </w:t>
      </w:r>
      <w:r w:rsidRPr="00526D32">
        <w:rPr>
          <w:rFonts w:asciiTheme="minorHAnsi" w:hAnsiTheme="minorHAnsi" w:cstheme="minorHAnsi"/>
          <w:sz w:val="22"/>
          <w:szCs w:val="22"/>
        </w:rPr>
        <w:t>izvoza poljoprivredno-prehrambenih proizvoda u zemlje EU i na treća tržišta,</w:t>
      </w:r>
      <w:r w:rsidRPr="00526D32">
        <w:rPr>
          <w:rFonts w:asciiTheme="minorHAnsi" w:eastAsia="Calibri" w:hAnsiTheme="minorHAnsi" w:cstheme="minorHAnsi"/>
          <w:sz w:val="22"/>
          <w:szCs w:val="22"/>
        </w:rPr>
        <w:t xml:space="preserve"> kao i prodaje proizvoda turistima u Crnoj Gori (skriveni izvoz);</w:t>
      </w:r>
    </w:p>
    <w:p w:rsidR="008E5B78" w:rsidRPr="00526D32" w:rsidRDefault="008E5B78" w:rsidP="0048511B">
      <w:pPr>
        <w:numPr>
          <w:ilvl w:val="0"/>
          <w:numId w:val="23"/>
        </w:numPr>
        <w:spacing w:line="276" w:lineRule="auto"/>
        <w:rPr>
          <w:rFonts w:asciiTheme="minorHAnsi" w:eastAsia="Calibri" w:hAnsiTheme="minorHAnsi" w:cstheme="minorHAnsi"/>
          <w:sz w:val="22"/>
          <w:szCs w:val="22"/>
        </w:rPr>
      </w:pPr>
      <w:r w:rsidRPr="00526D32">
        <w:rPr>
          <w:rFonts w:asciiTheme="minorHAnsi" w:eastAsia="Calibri" w:hAnsiTheme="minorHAnsi" w:cstheme="minorHAnsi"/>
          <w:bCs/>
          <w:sz w:val="22"/>
          <w:szCs w:val="22"/>
        </w:rPr>
        <w:t>Unapređenje korišćenja šuma i povećanje prihoda od djelatnosti šumarstva.</w:t>
      </w:r>
    </w:p>
    <w:p w:rsidR="008E5B78" w:rsidRPr="00526D32" w:rsidRDefault="008E5B78" w:rsidP="0048511B">
      <w:pPr>
        <w:spacing w:line="276" w:lineRule="auto"/>
        <w:ind w:left="720"/>
        <w:contextualSpacing/>
        <w:rPr>
          <w:rFonts w:asciiTheme="minorHAnsi" w:eastAsia="Calibri" w:hAnsiTheme="minorHAnsi" w:cstheme="minorHAnsi"/>
          <w:sz w:val="22"/>
          <w:szCs w:val="22"/>
        </w:rPr>
      </w:pPr>
    </w:p>
    <w:p w:rsidR="008E5B78" w:rsidRPr="00526D32" w:rsidRDefault="00526D32" w:rsidP="0048511B">
      <w:pPr>
        <w:pStyle w:val="Heading3"/>
      </w:pPr>
      <w:bookmarkStart w:id="14" w:name="_Toc484373018"/>
      <w:r>
        <w:t>3</w:t>
      </w:r>
      <w:r w:rsidR="008E5B78" w:rsidRPr="00526D32">
        <w:t>.3.9 Turizam</w:t>
      </w:r>
      <w:bookmarkEnd w:id="14"/>
    </w:p>
    <w:p w:rsidR="008E5B78" w:rsidRPr="00526D32" w:rsidRDefault="008E5B78" w:rsidP="0048511B">
      <w:pPr>
        <w:autoSpaceDE w:val="0"/>
        <w:autoSpaceDN w:val="0"/>
        <w:adjustRightInd w:val="0"/>
        <w:spacing w:line="276" w:lineRule="auto"/>
        <w:rPr>
          <w:rFonts w:asciiTheme="minorHAnsi" w:hAnsiTheme="minorHAnsi" w:cstheme="minorHAnsi"/>
          <w:sz w:val="22"/>
          <w:szCs w:val="22"/>
        </w:rPr>
      </w:pPr>
    </w:p>
    <w:p w:rsidR="008E5B78" w:rsidRPr="00526D32" w:rsidRDefault="008E5B78" w:rsidP="0048511B">
      <w:pPr>
        <w:autoSpaceDE w:val="0"/>
        <w:autoSpaceDN w:val="0"/>
        <w:adjustRightInd w:val="0"/>
        <w:spacing w:line="276" w:lineRule="auto"/>
        <w:rPr>
          <w:rFonts w:asciiTheme="minorHAnsi" w:eastAsia="CalibriLight" w:hAnsiTheme="minorHAnsi" w:cstheme="minorHAnsi"/>
          <w:color w:val="auto"/>
          <w:sz w:val="22"/>
          <w:szCs w:val="22"/>
        </w:rPr>
      </w:pPr>
      <w:r w:rsidRPr="00526D32">
        <w:rPr>
          <w:rFonts w:asciiTheme="minorHAnsi" w:eastAsia="CalibriLight" w:hAnsiTheme="minorHAnsi" w:cstheme="minorHAnsi"/>
          <w:color w:val="auto"/>
          <w:sz w:val="22"/>
          <w:szCs w:val="22"/>
          <w:lang w:val="en-US"/>
        </w:rPr>
        <w:t>Primarni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cilj</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politike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razvoja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turizma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da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Crna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Gora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postane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visokokvalitetna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cjelogodi</w:t>
      </w:r>
      <w:r w:rsidRPr="00526D32">
        <w:rPr>
          <w:rFonts w:asciiTheme="minorHAnsi" w:eastAsia="CalibriLight" w:hAnsiTheme="minorHAnsi" w:cstheme="minorHAnsi"/>
          <w:color w:val="auto"/>
          <w:sz w:val="22"/>
          <w:szCs w:val="22"/>
        </w:rPr>
        <w:t>š</w:t>
      </w:r>
      <w:r w:rsidRPr="00526D32">
        <w:rPr>
          <w:rFonts w:asciiTheme="minorHAnsi" w:eastAsia="CalibriLight" w:hAnsiTheme="minorHAnsi" w:cstheme="minorHAnsi"/>
          <w:color w:val="auto"/>
          <w:sz w:val="22"/>
          <w:szCs w:val="22"/>
          <w:lang w:val="en-US"/>
        </w:rPr>
        <w:t>nja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turisti</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ka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destinacija</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tom</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smislu</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neophodno</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dalje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ja</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anje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konkurentnosti</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uz</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aktivnosti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otklanjanju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klju</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nih</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prepreka</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koje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odnose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unapre</w:t>
      </w:r>
      <w:r w:rsidRPr="00526D32">
        <w:rPr>
          <w:rFonts w:asciiTheme="minorHAnsi" w:eastAsia="CalibriLight" w:hAnsiTheme="minorHAnsi" w:cstheme="minorHAnsi"/>
          <w:color w:val="auto"/>
          <w:sz w:val="22"/>
          <w:szCs w:val="22"/>
        </w:rPr>
        <w:t>đ</w:t>
      </w:r>
      <w:r w:rsidRPr="00526D32">
        <w:rPr>
          <w:rFonts w:asciiTheme="minorHAnsi" w:eastAsia="CalibriLight" w:hAnsiTheme="minorHAnsi" w:cstheme="minorHAnsi"/>
          <w:color w:val="auto"/>
          <w:sz w:val="22"/>
          <w:szCs w:val="22"/>
          <w:lang w:val="en-US"/>
        </w:rPr>
        <w:t>enje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turiti</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ke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infrastrukture</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strukture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smje</w:t>
      </w:r>
      <w:r w:rsidRPr="00526D32">
        <w:rPr>
          <w:rFonts w:asciiTheme="minorHAnsi" w:eastAsia="CalibriLight" w:hAnsiTheme="minorHAnsi" w:cstheme="minorHAnsi"/>
          <w:color w:val="auto"/>
          <w:sz w:val="22"/>
          <w:szCs w:val="22"/>
        </w:rPr>
        <w:t>š</w:t>
      </w:r>
      <w:r w:rsidRPr="00526D32">
        <w:rPr>
          <w:rFonts w:asciiTheme="minorHAnsi" w:eastAsia="CalibriLight" w:hAnsiTheme="minorHAnsi" w:cstheme="minorHAnsi"/>
          <w:color w:val="auto"/>
          <w:sz w:val="22"/>
          <w:szCs w:val="22"/>
          <w:lang w:val="en-US"/>
        </w:rPr>
        <w:t>tajnih</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kapaciteta</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unapre</w:t>
      </w:r>
      <w:r w:rsidRPr="00526D32">
        <w:rPr>
          <w:rFonts w:asciiTheme="minorHAnsi" w:eastAsia="CalibriLight" w:hAnsiTheme="minorHAnsi" w:cstheme="minorHAnsi"/>
          <w:color w:val="auto"/>
          <w:sz w:val="22"/>
          <w:szCs w:val="22"/>
        </w:rPr>
        <w:t>đ</w:t>
      </w:r>
      <w:r w:rsidRPr="00526D32">
        <w:rPr>
          <w:rFonts w:asciiTheme="minorHAnsi" w:eastAsia="CalibriLight" w:hAnsiTheme="minorHAnsi" w:cstheme="minorHAnsi"/>
          <w:color w:val="auto"/>
          <w:sz w:val="22"/>
          <w:szCs w:val="22"/>
          <w:lang w:val="en-US"/>
        </w:rPr>
        <w:t>enje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povezanosti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dostupnosti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destinacije</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prevazila</w:t>
      </w:r>
      <w:r w:rsidRPr="00526D32">
        <w:rPr>
          <w:rFonts w:asciiTheme="minorHAnsi" w:eastAsia="CalibriLight" w:hAnsiTheme="minorHAnsi" w:cstheme="minorHAnsi"/>
          <w:color w:val="auto"/>
          <w:sz w:val="22"/>
          <w:szCs w:val="22"/>
        </w:rPr>
        <w:t>ž</w:t>
      </w:r>
      <w:r w:rsidRPr="00526D32">
        <w:rPr>
          <w:rFonts w:asciiTheme="minorHAnsi" w:eastAsia="CalibriLight" w:hAnsiTheme="minorHAnsi" w:cstheme="minorHAnsi"/>
          <w:color w:val="auto"/>
          <w:sz w:val="22"/>
          <w:szCs w:val="22"/>
          <w:lang w:val="en-US"/>
        </w:rPr>
        <w:t>enje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sezonalnosti</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smanjenje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regionalne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neizbalansiranosti</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skra</w:t>
      </w:r>
      <w:r w:rsidRPr="00526D32">
        <w:rPr>
          <w:rFonts w:asciiTheme="minorHAnsi" w:eastAsia="CalibriLight" w:hAnsiTheme="minorHAnsi" w:cstheme="minorHAnsi"/>
          <w:color w:val="auto"/>
          <w:sz w:val="22"/>
          <w:szCs w:val="22"/>
        </w:rPr>
        <w:t>ć</w:t>
      </w:r>
      <w:r w:rsidRPr="00526D32">
        <w:rPr>
          <w:rFonts w:asciiTheme="minorHAnsi" w:eastAsia="CalibriLight" w:hAnsiTheme="minorHAnsi" w:cstheme="minorHAnsi"/>
          <w:color w:val="auto"/>
          <w:sz w:val="22"/>
          <w:szCs w:val="22"/>
          <w:lang w:val="en-US"/>
        </w:rPr>
        <w:t>ivanja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rokova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povrata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investicije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turisti</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koj</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industriji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kroz</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poreske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druge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olak</w:t>
      </w:r>
      <w:r w:rsidRPr="00526D32">
        <w:rPr>
          <w:rFonts w:asciiTheme="minorHAnsi" w:eastAsia="CalibriLight" w:hAnsiTheme="minorHAnsi" w:cstheme="minorHAnsi"/>
          <w:color w:val="auto"/>
          <w:sz w:val="22"/>
          <w:szCs w:val="22"/>
        </w:rPr>
        <w:t>š</w:t>
      </w:r>
      <w:r w:rsidRPr="00526D32">
        <w:rPr>
          <w:rFonts w:asciiTheme="minorHAnsi" w:eastAsia="CalibriLight" w:hAnsiTheme="minorHAnsi" w:cstheme="minorHAnsi"/>
          <w:color w:val="auto"/>
          <w:sz w:val="22"/>
          <w:szCs w:val="22"/>
          <w:lang w:val="en-US"/>
        </w:rPr>
        <w:t>ice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podsticaje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investitorima</w:t>
      </w:r>
      <w:r w:rsidRPr="00526D32">
        <w:rPr>
          <w:rFonts w:asciiTheme="minorHAnsi" w:eastAsia="CalibriLight" w:hAnsiTheme="minorHAnsi" w:cstheme="minorHAnsi"/>
          <w:color w:val="auto"/>
          <w:sz w:val="22"/>
          <w:szCs w:val="22"/>
        </w:rPr>
        <w:t>.</w:t>
      </w:r>
    </w:p>
    <w:p w:rsidR="008E5B78" w:rsidRPr="00526D32" w:rsidRDefault="008E5B78" w:rsidP="0048511B">
      <w:pPr>
        <w:autoSpaceDE w:val="0"/>
        <w:autoSpaceDN w:val="0"/>
        <w:adjustRightInd w:val="0"/>
        <w:spacing w:line="276" w:lineRule="auto"/>
        <w:rPr>
          <w:rFonts w:asciiTheme="minorHAnsi" w:eastAsia="CalibriLight" w:hAnsiTheme="minorHAnsi" w:cstheme="minorHAnsi"/>
          <w:color w:val="auto"/>
          <w:sz w:val="22"/>
          <w:szCs w:val="22"/>
        </w:rPr>
      </w:pPr>
    </w:p>
    <w:p w:rsidR="008E5B78" w:rsidRPr="00526D32" w:rsidRDefault="008E5B78" w:rsidP="0048511B">
      <w:pPr>
        <w:autoSpaceDE w:val="0"/>
        <w:autoSpaceDN w:val="0"/>
        <w:adjustRightInd w:val="0"/>
        <w:spacing w:line="276" w:lineRule="auto"/>
        <w:rPr>
          <w:rFonts w:asciiTheme="minorHAnsi" w:eastAsia="CalibriLight" w:hAnsiTheme="minorHAnsi" w:cstheme="minorHAnsi"/>
          <w:color w:val="auto"/>
          <w:sz w:val="22"/>
          <w:szCs w:val="22"/>
        </w:rPr>
      </w:pP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cilju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pove</w:t>
      </w:r>
      <w:r w:rsidRPr="00526D32">
        <w:rPr>
          <w:rFonts w:asciiTheme="minorHAnsi" w:eastAsia="CalibriLight" w:hAnsiTheme="minorHAnsi" w:cstheme="minorHAnsi"/>
          <w:color w:val="auto"/>
          <w:sz w:val="22"/>
          <w:szCs w:val="22"/>
        </w:rPr>
        <w:t>ć</w:t>
      </w:r>
      <w:r w:rsidRPr="00526D32">
        <w:rPr>
          <w:rFonts w:asciiTheme="minorHAnsi" w:eastAsia="CalibriLight" w:hAnsiTheme="minorHAnsi" w:cstheme="minorHAnsi"/>
          <w:color w:val="auto"/>
          <w:sz w:val="22"/>
          <w:szCs w:val="22"/>
          <w:lang w:val="en-US"/>
        </w:rPr>
        <w:t>anja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konkurentnosti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sektora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turizma</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kao</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va</w:t>
      </w:r>
      <w:r w:rsidRPr="00526D32">
        <w:rPr>
          <w:rFonts w:asciiTheme="minorHAnsi" w:eastAsia="CalibriLight" w:hAnsiTheme="minorHAnsi" w:cstheme="minorHAnsi"/>
          <w:color w:val="auto"/>
          <w:sz w:val="22"/>
          <w:szCs w:val="22"/>
        </w:rPr>
        <w:t>ž</w:t>
      </w:r>
      <w:r w:rsidRPr="00526D32">
        <w:rPr>
          <w:rFonts w:asciiTheme="minorHAnsi" w:eastAsia="CalibriLight" w:hAnsiTheme="minorHAnsi" w:cstheme="minorHAnsi"/>
          <w:color w:val="auto"/>
          <w:sz w:val="22"/>
          <w:szCs w:val="22"/>
          <w:lang w:val="en-US"/>
        </w:rPr>
        <w:t>nog</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generatora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bud</w:t>
      </w:r>
      <w:r w:rsidRPr="00526D32">
        <w:rPr>
          <w:rFonts w:asciiTheme="minorHAnsi" w:eastAsia="CalibriLight" w:hAnsiTheme="minorHAnsi" w:cstheme="minorHAnsi"/>
          <w:color w:val="auto"/>
          <w:sz w:val="22"/>
          <w:szCs w:val="22"/>
        </w:rPr>
        <w:t>ž</w:t>
      </w:r>
      <w:r w:rsidRPr="00526D32">
        <w:rPr>
          <w:rFonts w:asciiTheme="minorHAnsi" w:eastAsia="CalibriLight" w:hAnsiTheme="minorHAnsi" w:cstheme="minorHAnsi"/>
          <w:color w:val="auto"/>
          <w:sz w:val="22"/>
          <w:szCs w:val="22"/>
          <w:lang w:val="en-US"/>
        </w:rPr>
        <w:t>etskih</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prihoda</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pove</w:t>
      </w:r>
      <w:r w:rsidRPr="00526D32">
        <w:rPr>
          <w:rFonts w:asciiTheme="minorHAnsi" w:eastAsia="CalibriLight" w:hAnsiTheme="minorHAnsi" w:cstheme="minorHAnsi"/>
          <w:color w:val="auto"/>
          <w:sz w:val="22"/>
          <w:szCs w:val="22"/>
        </w:rPr>
        <w:t>ć</w:t>
      </w:r>
      <w:r w:rsidRPr="00526D32">
        <w:rPr>
          <w:rFonts w:asciiTheme="minorHAnsi" w:eastAsia="CalibriLight" w:hAnsiTheme="minorHAnsi" w:cstheme="minorHAnsi"/>
          <w:color w:val="auto"/>
          <w:sz w:val="22"/>
          <w:szCs w:val="22"/>
          <w:lang w:val="en-US"/>
        </w:rPr>
        <w:t>anja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BDP</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zaposlenosti</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radi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unapre</w:t>
      </w:r>
      <w:r w:rsidRPr="00526D32">
        <w:rPr>
          <w:rFonts w:asciiTheme="minorHAnsi" w:eastAsia="CalibriLight" w:hAnsiTheme="minorHAnsi" w:cstheme="minorHAnsi"/>
          <w:color w:val="auto"/>
          <w:sz w:val="22"/>
          <w:szCs w:val="22"/>
        </w:rPr>
        <w:t>đ</w:t>
      </w:r>
      <w:r w:rsidRPr="00526D32">
        <w:rPr>
          <w:rFonts w:asciiTheme="minorHAnsi" w:eastAsia="CalibriLight" w:hAnsiTheme="minorHAnsi" w:cstheme="minorHAnsi"/>
          <w:color w:val="auto"/>
          <w:sz w:val="22"/>
          <w:szCs w:val="22"/>
          <w:lang w:val="en-US"/>
        </w:rPr>
        <w:t>enju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turisti</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ke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ponude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Sjeveru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Crne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Gore</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kroz</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izgradnju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neophodne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infrastrukture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skijali</w:t>
      </w:r>
      <w:r w:rsidRPr="00526D32">
        <w:rPr>
          <w:rFonts w:asciiTheme="minorHAnsi" w:eastAsia="CalibriLight" w:hAnsiTheme="minorHAnsi" w:cstheme="minorHAnsi"/>
          <w:color w:val="auto"/>
          <w:sz w:val="22"/>
          <w:szCs w:val="22"/>
        </w:rPr>
        <w:t>š</w:t>
      </w:r>
      <w:r w:rsidRPr="00526D32">
        <w:rPr>
          <w:rFonts w:asciiTheme="minorHAnsi" w:eastAsia="CalibriLight" w:hAnsiTheme="minorHAnsi" w:cstheme="minorHAnsi"/>
          <w:color w:val="auto"/>
          <w:sz w:val="22"/>
          <w:szCs w:val="22"/>
          <w:lang w:val="en-US"/>
        </w:rPr>
        <w:t>tima</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Radi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unapre</w:t>
      </w:r>
      <w:r w:rsidRPr="00526D32">
        <w:rPr>
          <w:rFonts w:asciiTheme="minorHAnsi" w:eastAsia="CalibriLight" w:hAnsiTheme="minorHAnsi" w:cstheme="minorHAnsi"/>
          <w:color w:val="auto"/>
          <w:sz w:val="22"/>
          <w:szCs w:val="22"/>
        </w:rPr>
        <w:t>đ</w:t>
      </w:r>
      <w:r w:rsidRPr="00526D32">
        <w:rPr>
          <w:rFonts w:asciiTheme="minorHAnsi" w:eastAsia="CalibriLight" w:hAnsiTheme="minorHAnsi" w:cstheme="minorHAnsi"/>
          <w:color w:val="auto"/>
          <w:sz w:val="22"/>
          <w:szCs w:val="22"/>
          <w:lang w:val="en-US"/>
        </w:rPr>
        <w:t>enja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turist</w:t>
      </w:r>
      <w:r w:rsidR="0048511B">
        <w:rPr>
          <w:rFonts w:asciiTheme="minorHAnsi" w:eastAsia="CalibriLight" w:hAnsiTheme="minorHAnsi" w:cstheme="minorHAnsi"/>
          <w:color w:val="auto"/>
          <w:sz w:val="22"/>
          <w:szCs w:val="22"/>
          <w:lang w:val="en-US"/>
        </w:rPr>
        <w:t>i</w:t>
      </w:r>
      <w:r w:rsidR="0048511B" w:rsidRPr="00071A61">
        <w:rPr>
          <w:rFonts w:asciiTheme="minorHAnsi" w:eastAsia="CalibriLight" w:hAnsiTheme="minorHAnsi" w:cstheme="minorHAnsi"/>
          <w:color w:val="auto"/>
          <w:sz w:val="22"/>
          <w:szCs w:val="22"/>
        </w:rPr>
        <w:t>č</w:t>
      </w:r>
      <w:r w:rsidR="0048511B">
        <w:rPr>
          <w:rFonts w:asciiTheme="minorHAnsi" w:eastAsia="CalibriLight" w:hAnsiTheme="minorHAnsi" w:cstheme="minorHAnsi"/>
          <w:color w:val="auto"/>
          <w:sz w:val="22"/>
          <w:szCs w:val="22"/>
          <w:lang w:val="en-US"/>
        </w:rPr>
        <w:t>ke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ponude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ruralnim</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podru</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jima</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naro</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ito</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sjeveru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zemlje</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donije</w:t>
      </w:r>
      <w:r w:rsidRPr="00526D32">
        <w:rPr>
          <w:rFonts w:asciiTheme="minorHAnsi" w:eastAsia="CalibriLight" w:hAnsiTheme="minorHAnsi" w:cstheme="minorHAnsi"/>
          <w:color w:val="auto"/>
          <w:sz w:val="22"/>
          <w:szCs w:val="22"/>
        </w:rPr>
        <w:t>ć</w:t>
      </w:r>
      <w:r w:rsidRPr="00526D32">
        <w:rPr>
          <w:rFonts w:asciiTheme="minorHAnsi" w:eastAsia="CalibriLight" w:hAnsiTheme="minorHAnsi" w:cstheme="minorHAnsi"/>
          <w:color w:val="auto"/>
          <w:sz w:val="22"/>
          <w:szCs w:val="22"/>
          <w:lang w:val="en-US"/>
        </w:rPr>
        <w:t>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Strategija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razvoja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ruralnog</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turizma</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Tako</w:t>
      </w:r>
      <w:r w:rsidRPr="00526D32">
        <w:rPr>
          <w:rFonts w:asciiTheme="minorHAnsi" w:eastAsia="CalibriLight" w:hAnsiTheme="minorHAnsi" w:cstheme="minorHAnsi"/>
          <w:color w:val="auto"/>
          <w:sz w:val="22"/>
          <w:szCs w:val="22"/>
        </w:rPr>
        <w:t>đ</w:t>
      </w:r>
      <w:r w:rsidRPr="00526D32">
        <w:rPr>
          <w:rFonts w:asciiTheme="minorHAnsi" w:eastAsia="CalibriLight" w:hAnsiTheme="minorHAnsi" w:cstheme="minorHAnsi"/>
          <w:color w:val="auto"/>
          <w:sz w:val="22"/>
          <w:szCs w:val="22"/>
          <w:lang w:val="en-US"/>
        </w:rPr>
        <w:t>e</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cilju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diverzifikacije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turisti</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ke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ponude</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od</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zna</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aja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su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mjere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unapre</w:t>
      </w:r>
      <w:r w:rsidRPr="00526D32">
        <w:rPr>
          <w:rFonts w:asciiTheme="minorHAnsi" w:eastAsia="CalibriLight" w:hAnsiTheme="minorHAnsi" w:cstheme="minorHAnsi"/>
          <w:color w:val="auto"/>
          <w:sz w:val="22"/>
          <w:szCs w:val="22"/>
        </w:rPr>
        <w:t>đ</w:t>
      </w:r>
      <w:r w:rsidRPr="00526D32">
        <w:rPr>
          <w:rFonts w:asciiTheme="minorHAnsi" w:eastAsia="CalibriLight" w:hAnsiTheme="minorHAnsi" w:cstheme="minorHAnsi"/>
          <w:color w:val="auto"/>
          <w:sz w:val="22"/>
          <w:szCs w:val="22"/>
          <w:lang w:val="en-US"/>
        </w:rPr>
        <w:t>enju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nauti</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ke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ponude</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kroz</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izgradnju</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turisti</w:t>
      </w:r>
      <w:r w:rsidRPr="00526D32">
        <w:rPr>
          <w:rFonts w:asciiTheme="minorHAnsi" w:eastAsia="CalibriLight" w:hAnsiTheme="minorHAnsi" w:cstheme="minorHAnsi"/>
          <w:color w:val="auto"/>
          <w:sz w:val="22"/>
          <w:szCs w:val="22"/>
        </w:rPr>
        <w:t>č</w:t>
      </w:r>
      <w:r w:rsidRPr="00526D32">
        <w:rPr>
          <w:rFonts w:asciiTheme="minorHAnsi" w:eastAsia="CalibriLight" w:hAnsiTheme="minorHAnsi" w:cstheme="minorHAnsi"/>
          <w:color w:val="auto"/>
          <w:sz w:val="22"/>
          <w:szCs w:val="22"/>
          <w:lang w:val="en-US"/>
        </w:rPr>
        <w:t>kih</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kompleksa</w:t>
      </w:r>
      <w:r w:rsidRPr="00526D32">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marina</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prate</w:t>
      </w:r>
      <w:r w:rsidRPr="00526D32">
        <w:rPr>
          <w:rFonts w:asciiTheme="minorHAnsi" w:eastAsia="CalibriLight" w:hAnsiTheme="minorHAnsi" w:cstheme="minorHAnsi"/>
          <w:color w:val="auto"/>
          <w:sz w:val="22"/>
          <w:szCs w:val="22"/>
        </w:rPr>
        <w:t>ć</w:t>
      </w:r>
      <w:r w:rsidRPr="00526D32">
        <w:rPr>
          <w:rFonts w:asciiTheme="minorHAnsi" w:eastAsia="CalibriLight" w:hAnsiTheme="minorHAnsi" w:cstheme="minorHAnsi"/>
          <w:color w:val="auto"/>
          <w:sz w:val="22"/>
          <w:szCs w:val="22"/>
          <w:lang w:val="en-US"/>
        </w:rPr>
        <w:t>e</w:t>
      </w:r>
      <w:r w:rsidRPr="00071A61">
        <w:rPr>
          <w:rFonts w:asciiTheme="minorHAnsi" w:eastAsia="CalibriLight" w:hAnsiTheme="minorHAnsi" w:cstheme="minorHAnsi"/>
          <w:color w:val="auto"/>
          <w:sz w:val="22"/>
          <w:szCs w:val="22"/>
        </w:rPr>
        <w:t xml:space="preserve"> </w:t>
      </w:r>
      <w:r w:rsidRPr="00526D32">
        <w:rPr>
          <w:rFonts w:asciiTheme="minorHAnsi" w:eastAsia="CalibriLight" w:hAnsiTheme="minorHAnsi" w:cstheme="minorHAnsi"/>
          <w:color w:val="auto"/>
          <w:sz w:val="22"/>
          <w:szCs w:val="22"/>
          <w:lang w:val="en-US"/>
        </w:rPr>
        <w:t>infrastrukture</w:t>
      </w:r>
      <w:r w:rsidRPr="00526D32">
        <w:rPr>
          <w:rFonts w:asciiTheme="minorHAnsi" w:eastAsia="CalibriLight" w:hAnsiTheme="minorHAnsi" w:cstheme="minorHAnsi"/>
          <w:color w:val="auto"/>
          <w:sz w:val="22"/>
          <w:szCs w:val="22"/>
        </w:rPr>
        <w:t>.</w:t>
      </w:r>
    </w:p>
    <w:p w:rsidR="008E5B78" w:rsidRPr="00526D32" w:rsidRDefault="008E5B78" w:rsidP="0048511B">
      <w:pPr>
        <w:autoSpaceDE w:val="0"/>
        <w:autoSpaceDN w:val="0"/>
        <w:adjustRightInd w:val="0"/>
        <w:spacing w:line="276" w:lineRule="auto"/>
        <w:rPr>
          <w:rFonts w:asciiTheme="minorHAnsi" w:eastAsia="CalibriLight" w:hAnsiTheme="minorHAnsi" w:cstheme="minorHAnsi"/>
          <w:color w:val="auto"/>
          <w:sz w:val="22"/>
          <w:szCs w:val="22"/>
        </w:rPr>
      </w:pPr>
    </w:p>
    <w:p w:rsidR="008E5B78" w:rsidRDefault="00526D32" w:rsidP="0048511B">
      <w:pPr>
        <w:pStyle w:val="Heading3"/>
      </w:pPr>
      <w:bookmarkStart w:id="15" w:name="_Toc484373019"/>
      <w:r>
        <w:t>3</w:t>
      </w:r>
      <w:r w:rsidR="008E5B78" w:rsidRPr="00526D32">
        <w:t>.3.10 Razvoj infrastrukture</w:t>
      </w:r>
      <w:bookmarkEnd w:id="15"/>
    </w:p>
    <w:p w:rsidR="00526D32" w:rsidRPr="00526D32" w:rsidRDefault="00526D32" w:rsidP="0048511B">
      <w:pPr>
        <w:spacing w:line="276" w:lineRule="auto"/>
        <w:rPr>
          <w:sz w:val="22"/>
          <w:szCs w:val="22"/>
        </w:rPr>
      </w:pPr>
    </w:p>
    <w:p w:rsidR="008E5B78" w:rsidRPr="00526D32" w:rsidRDefault="008E5B78" w:rsidP="0048511B">
      <w:pPr>
        <w:pStyle w:val="Heading3"/>
        <w:rPr>
          <w:sz w:val="22"/>
          <w:szCs w:val="22"/>
        </w:rPr>
      </w:pPr>
      <w:r w:rsidRPr="00526D32">
        <w:rPr>
          <w:sz w:val="22"/>
          <w:szCs w:val="22"/>
        </w:rPr>
        <w:t xml:space="preserve"> </w:t>
      </w:r>
      <w:r w:rsidRPr="00526D32">
        <w:rPr>
          <w:sz w:val="22"/>
          <w:szCs w:val="22"/>
        </w:rPr>
        <w:tab/>
      </w:r>
      <w:bookmarkStart w:id="16" w:name="_Toc484373020"/>
      <w:r w:rsidR="00526D32" w:rsidRPr="00526D32">
        <w:rPr>
          <w:sz w:val="22"/>
          <w:szCs w:val="22"/>
        </w:rPr>
        <w:t>3</w:t>
      </w:r>
      <w:r w:rsidRPr="00526D32">
        <w:rPr>
          <w:sz w:val="22"/>
          <w:szCs w:val="22"/>
        </w:rPr>
        <w:t>.3.10.1 Saobraćaj</w:t>
      </w:r>
      <w:bookmarkEnd w:id="16"/>
    </w:p>
    <w:p w:rsidR="008E5B78" w:rsidRPr="00526D32" w:rsidRDefault="008E5B78" w:rsidP="0048511B">
      <w:pPr>
        <w:spacing w:line="276" w:lineRule="auto"/>
        <w:rPr>
          <w:rFonts w:asciiTheme="minorHAnsi" w:hAnsiTheme="minorHAnsi" w:cstheme="minorHAnsi"/>
          <w:sz w:val="22"/>
          <w:szCs w:val="22"/>
        </w:rPr>
      </w:pPr>
    </w:p>
    <w:p w:rsidR="008E5B78" w:rsidRPr="00526D32" w:rsidRDefault="008E5B78" w:rsidP="0048511B">
      <w:pPr>
        <w:spacing w:line="276" w:lineRule="auto"/>
        <w:rPr>
          <w:rFonts w:asciiTheme="minorHAnsi" w:hAnsiTheme="minorHAnsi" w:cstheme="minorHAnsi"/>
          <w:sz w:val="22"/>
          <w:szCs w:val="22"/>
        </w:rPr>
      </w:pPr>
      <w:r w:rsidRPr="00526D32">
        <w:rPr>
          <w:rFonts w:asciiTheme="minorHAnsi" w:hAnsiTheme="minorHAnsi" w:cstheme="minorHAnsi"/>
          <w:sz w:val="22"/>
          <w:szCs w:val="22"/>
        </w:rPr>
        <w:t>Dobra fizička infrastruktura omogućava fizičku povezanost između stanovnika u različitim regionima Crne Gore i preduslov je za različite oblike međunarodne saradnje. Osim toga, kvalitetna fizička infrastruktura jača atraktivnost Crne Gore kao turističke i investicione destinacije. Slabosti u fizičkoj infrastrukturi istovremeno znače i prepreke za ostvarivanje bržeg privrednog rasta, što zapravo predstavlja prepreku povećanju konkurentnosti i bržem ekonomskom rastu Crne Gore. Jedno od ograničenja sa kojima se suočava Crna Gora, kao prepreka rastu konkurentnosti, jeste nedovoljno razvijena i uvezana visokokvalitetna infrastruktura. Investicije u saobraćajnu infrastrukturu imaju dugoročne implikacije ne samo na razvoj transportnog sistema, već i na razvoj cjelokupne ekonomije. Njegova povezanost i uslovljenost u razvoju sa drugim djelatnostima, izdvajaju saobraćaj kao granu od strateškog značaja. Transport kao uslužna djelatnost, doprinosi rastu robne razmjene, međunarodnih usluga, razvoju turizma i industrije. Takođe, utiče na stepen integracije zemlje, kako u regionalnom, tako i u širem međunarodnom kontekstu.</w:t>
      </w:r>
    </w:p>
    <w:p w:rsidR="008E5B78" w:rsidRPr="00526D32" w:rsidRDefault="008E5B78" w:rsidP="0048511B">
      <w:pPr>
        <w:spacing w:line="276" w:lineRule="auto"/>
        <w:rPr>
          <w:rFonts w:asciiTheme="minorHAnsi" w:hAnsiTheme="minorHAnsi" w:cstheme="minorHAnsi"/>
          <w:sz w:val="22"/>
          <w:szCs w:val="22"/>
        </w:rPr>
      </w:pPr>
    </w:p>
    <w:p w:rsidR="008E5B78" w:rsidRPr="00526D32" w:rsidRDefault="008E5B78" w:rsidP="0048511B">
      <w:pPr>
        <w:pStyle w:val="Heading3"/>
      </w:pPr>
      <w:r w:rsidRPr="00526D32">
        <w:tab/>
      </w:r>
      <w:bookmarkStart w:id="17" w:name="_Toc484373021"/>
      <w:r w:rsidR="00526D32">
        <w:t>3</w:t>
      </w:r>
      <w:r w:rsidRPr="00526D32">
        <w:t>.3.10.2 Energetika</w:t>
      </w:r>
      <w:bookmarkEnd w:id="17"/>
    </w:p>
    <w:p w:rsidR="008E5B78" w:rsidRPr="00526D32" w:rsidRDefault="008E5B78" w:rsidP="0048511B">
      <w:pPr>
        <w:spacing w:line="276" w:lineRule="auto"/>
        <w:rPr>
          <w:rFonts w:asciiTheme="minorHAnsi" w:hAnsiTheme="minorHAnsi" w:cstheme="minorHAnsi"/>
          <w:sz w:val="22"/>
          <w:szCs w:val="22"/>
        </w:rPr>
      </w:pPr>
    </w:p>
    <w:p w:rsidR="008E5B78" w:rsidRPr="00526D32" w:rsidRDefault="008E5B78" w:rsidP="0048511B">
      <w:pPr>
        <w:spacing w:line="276" w:lineRule="auto"/>
        <w:rPr>
          <w:rFonts w:asciiTheme="minorHAnsi" w:hAnsiTheme="minorHAnsi" w:cstheme="minorHAnsi"/>
          <w:sz w:val="22"/>
          <w:szCs w:val="22"/>
        </w:rPr>
      </w:pPr>
      <w:r w:rsidRPr="00526D32">
        <w:rPr>
          <w:rFonts w:asciiTheme="minorHAnsi" w:hAnsiTheme="minorHAnsi" w:cstheme="minorHAnsi"/>
          <w:sz w:val="22"/>
          <w:szCs w:val="22"/>
        </w:rPr>
        <w:t>Nedovoljna povezanost elektroenergetskog sistema Crne Gore sa elektroenergetskim sistemima država regiona i EU negativno utiče na sigurnost snabdijevanja kupaca u Crnoj Gori, mogućnost izvoza raspoloživog viška električne energije i učešće na regionalnom i tržištu EU. To je i jedan od uzroka što se raspoloživi energetski resursi Crne Gore ne mogu u dovoljnoj mjeri komercijalno iskoristiti i više doprinijeti ekonomskom razvoju države. U ovom segmentu fizičke infrastrukture zemlja se susrijeće i sa izazovima, kao što su nedovoljno investiranje u postojeće energetske kapacitete, gubici u distribuciji električne energije i visoki energetski intenzitet. Sve ovo ukazuje na neophodnost većih investicija u energetski sektor Crne Gore.</w:t>
      </w:r>
    </w:p>
    <w:p w:rsidR="008E5B78" w:rsidRPr="00526D32" w:rsidRDefault="008E5B78" w:rsidP="0048511B">
      <w:pPr>
        <w:spacing w:line="276" w:lineRule="auto"/>
        <w:rPr>
          <w:rFonts w:asciiTheme="minorHAnsi" w:hAnsiTheme="minorHAnsi" w:cstheme="minorHAnsi"/>
          <w:sz w:val="22"/>
          <w:szCs w:val="22"/>
        </w:rPr>
      </w:pPr>
    </w:p>
    <w:p w:rsidR="008E5B78" w:rsidRPr="00526D32" w:rsidRDefault="008E5B78" w:rsidP="0048511B">
      <w:pPr>
        <w:spacing w:line="276" w:lineRule="auto"/>
        <w:rPr>
          <w:rFonts w:asciiTheme="minorHAnsi" w:hAnsiTheme="minorHAnsi" w:cstheme="minorHAnsi"/>
          <w:sz w:val="22"/>
          <w:szCs w:val="22"/>
        </w:rPr>
      </w:pPr>
      <w:r w:rsidRPr="00526D32">
        <w:rPr>
          <w:rFonts w:asciiTheme="minorHAnsi" w:hAnsiTheme="minorHAnsi" w:cstheme="minorHAnsi"/>
          <w:sz w:val="22"/>
          <w:szCs w:val="22"/>
        </w:rPr>
        <w:t xml:space="preserve">Investicije u revitalizaciju postojećih i izgradnju novih objekata za proizvodnju, prenos i distribuciju energije, kao i investiranje u programe i projekte povećanja energetske efikasnosti predstavljaju glavni fokus u energetici Crne Gore. </w:t>
      </w:r>
    </w:p>
    <w:p w:rsidR="008E5B78" w:rsidRPr="00526D32" w:rsidRDefault="008E5B78" w:rsidP="0048511B">
      <w:pPr>
        <w:spacing w:line="276" w:lineRule="auto"/>
        <w:rPr>
          <w:rFonts w:asciiTheme="minorHAnsi" w:hAnsiTheme="minorHAnsi" w:cstheme="minorHAnsi"/>
          <w:sz w:val="22"/>
          <w:szCs w:val="22"/>
        </w:rPr>
      </w:pPr>
    </w:p>
    <w:p w:rsidR="008E5B78" w:rsidRPr="00526D32" w:rsidRDefault="008E5B78" w:rsidP="0048511B">
      <w:pPr>
        <w:pStyle w:val="Heading3"/>
      </w:pPr>
      <w:r w:rsidRPr="00526D32">
        <w:tab/>
      </w:r>
      <w:bookmarkStart w:id="18" w:name="_Toc484373022"/>
      <w:r w:rsidR="00526D32">
        <w:t>3</w:t>
      </w:r>
      <w:r w:rsidRPr="00526D32">
        <w:t>.3.10.3 Komunalna infrastruktura</w:t>
      </w:r>
      <w:bookmarkEnd w:id="18"/>
    </w:p>
    <w:p w:rsidR="008E5B78" w:rsidRPr="00526D32" w:rsidRDefault="008E5B78" w:rsidP="0048511B">
      <w:pPr>
        <w:spacing w:line="276" w:lineRule="auto"/>
        <w:rPr>
          <w:rFonts w:asciiTheme="minorHAnsi" w:hAnsiTheme="minorHAnsi" w:cstheme="minorHAnsi"/>
          <w:sz w:val="22"/>
          <w:szCs w:val="22"/>
        </w:rPr>
      </w:pPr>
    </w:p>
    <w:p w:rsidR="008E5B78" w:rsidRPr="00526D32" w:rsidRDefault="008E5B78" w:rsidP="0048511B">
      <w:pPr>
        <w:spacing w:line="276" w:lineRule="auto"/>
        <w:rPr>
          <w:rFonts w:asciiTheme="minorHAnsi" w:hAnsiTheme="minorHAnsi" w:cstheme="minorHAnsi"/>
          <w:sz w:val="22"/>
          <w:szCs w:val="22"/>
        </w:rPr>
      </w:pPr>
      <w:r w:rsidRPr="00526D32">
        <w:rPr>
          <w:rFonts w:asciiTheme="minorHAnsi" w:hAnsiTheme="minorHAnsi" w:cstheme="minorHAnsi"/>
          <w:sz w:val="22"/>
          <w:szCs w:val="22"/>
        </w:rPr>
        <w:t>Ustavom deklarisana kao ekološka država, Crna Gora ima obavezu da posebnu pažnju posveti zaštiti i očuvanju životne sredine. Problemi u oblasti komunalne infrastrukture kao što su njena dotrajalost, visoki troškovi kapitalnih investicija, neadekvatno planiranje i finansijska sredstava koja se, premda ograničena, troše na neadekvatne investicije, doveli su d</w:t>
      </w:r>
      <w:r w:rsidR="0048511B">
        <w:rPr>
          <w:rFonts w:asciiTheme="minorHAnsi" w:hAnsiTheme="minorHAnsi" w:cstheme="minorHAnsi"/>
          <w:sz w:val="22"/>
          <w:szCs w:val="22"/>
        </w:rPr>
        <w:t>o nižeg kvaliteta usluga i većih</w:t>
      </w:r>
      <w:r w:rsidRPr="00526D32">
        <w:rPr>
          <w:rFonts w:asciiTheme="minorHAnsi" w:hAnsiTheme="minorHAnsi" w:cstheme="minorHAnsi"/>
          <w:sz w:val="22"/>
          <w:szCs w:val="22"/>
        </w:rPr>
        <w:t xml:space="preserve"> troškov</w:t>
      </w:r>
      <w:r w:rsidR="0048511B">
        <w:rPr>
          <w:rFonts w:asciiTheme="minorHAnsi" w:hAnsiTheme="minorHAnsi" w:cstheme="minorHAnsi"/>
          <w:sz w:val="22"/>
          <w:szCs w:val="22"/>
        </w:rPr>
        <w:t xml:space="preserve">a </w:t>
      </w:r>
      <w:r w:rsidRPr="00526D32">
        <w:rPr>
          <w:rFonts w:asciiTheme="minorHAnsi" w:hAnsiTheme="minorHAnsi" w:cstheme="minorHAnsi"/>
          <w:sz w:val="22"/>
          <w:szCs w:val="22"/>
        </w:rPr>
        <w:t>obavljanja djelatnosti. Ovo istovremeno predstavlja i ključne prepreke za dalje povećanje konkurentnosti u ovoj oblasti i ekonomiji u cjelini. Jedinice lokalne samouprave, njihova vodovodna i komunalna preduzeća, imaju važnu ulogu u ovom procesu, jer učestvuju u realizaciji najznačajnijih infrastrukturnih projekata, koji se odnose na tretman otpadnih voda, vodosnabdijevanja, komunalnog, veterinarskog, medicinskog i drugog otpada.</w:t>
      </w:r>
    </w:p>
    <w:p w:rsidR="008E5B78" w:rsidRPr="00526D32" w:rsidRDefault="008E5B78" w:rsidP="0048511B">
      <w:pPr>
        <w:spacing w:line="276" w:lineRule="auto"/>
        <w:rPr>
          <w:rFonts w:asciiTheme="minorHAnsi" w:hAnsiTheme="minorHAnsi" w:cstheme="minorHAnsi"/>
          <w:sz w:val="22"/>
          <w:szCs w:val="22"/>
        </w:rPr>
      </w:pPr>
    </w:p>
    <w:p w:rsidR="008E5B78" w:rsidRPr="00526D32" w:rsidRDefault="008E5B78" w:rsidP="0048511B">
      <w:pPr>
        <w:pStyle w:val="Heading3"/>
      </w:pPr>
      <w:r w:rsidRPr="00526D32">
        <w:tab/>
      </w:r>
      <w:bookmarkStart w:id="19" w:name="_Toc484373023"/>
      <w:r w:rsidR="00526D32">
        <w:t>3</w:t>
      </w:r>
      <w:r w:rsidRPr="00526D32">
        <w:t>.3.10.4 Ruralna infrastruktura</w:t>
      </w:r>
      <w:bookmarkEnd w:id="19"/>
    </w:p>
    <w:p w:rsidR="008E5B78" w:rsidRPr="00526D32" w:rsidRDefault="008E5B78" w:rsidP="0048511B">
      <w:pPr>
        <w:spacing w:line="276" w:lineRule="auto"/>
        <w:rPr>
          <w:rFonts w:asciiTheme="minorHAnsi" w:hAnsiTheme="minorHAnsi" w:cstheme="minorHAnsi"/>
          <w:sz w:val="22"/>
          <w:szCs w:val="22"/>
        </w:rPr>
      </w:pPr>
    </w:p>
    <w:p w:rsidR="008E5B78" w:rsidRPr="00526D32" w:rsidRDefault="008E5B78" w:rsidP="0048511B">
      <w:pPr>
        <w:spacing w:line="276" w:lineRule="auto"/>
        <w:rPr>
          <w:rFonts w:asciiTheme="minorHAnsi" w:hAnsiTheme="minorHAnsi" w:cstheme="minorHAnsi"/>
          <w:sz w:val="22"/>
          <w:szCs w:val="22"/>
        </w:rPr>
      </w:pPr>
      <w:r w:rsidRPr="00526D32">
        <w:rPr>
          <w:rFonts w:asciiTheme="minorHAnsi" w:hAnsiTheme="minorHAnsi" w:cstheme="minorHAnsi"/>
          <w:sz w:val="22"/>
          <w:szCs w:val="22"/>
        </w:rPr>
        <w:t xml:space="preserve">Važan segment fizičke infrastrukture u kojem je Crna Gora, slično kao i zemlje u okruženju, suočena sa značajnim problemima je ruralna infrastruktura. Kako bi se spriječio odliv stanovništva, iskoristili raspoloživi prirodni resursi u cilju generalnog poboljšanja uslova života za seosko stanovništvo i povećanja njihove konkurentnosti, sprovodi se program poboljšanja putne, vodovodne i elektro‐energetske infrastrukture u ruralnim područjima zemlje. </w:t>
      </w:r>
    </w:p>
    <w:p w:rsidR="008E5B78" w:rsidRPr="00526D32" w:rsidRDefault="008E5B78" w:rsidP="0048511B">
      <w:pPr>
        <w:spacing w:line="276" w:lineRule="auto"/>
        <w:rPr>
          <w:rFonts w:asciiTheme="minorHAnsi" w:hAnsiTheme="minorHAnsi" w:cstheme="minorHAnsi"/>
          <w:color w:val="auto"/>
          <w:sz w:val="22"/>
          <w:szCs w:val="22"/>
          <w:lang w:val="pl-PL"/>
        </w:rPr>
      </w:pPr>
    </w:p>
    <w:p w:rsidR="0090519E" w:rsidRPr="0048511B" w:rsidRDefault="0090519E" w:rsidP="0048511B">
      <w:pPr>
        <w:pStyle w:val="Heading3"/>
      </w:pPr>
      <w:bookmarkStart w:id="20" w:name="_Toc484373024"/>
      <w:r w:rsidRPr="0048511B">
        <w:t>3.3.10.4 Infrastruktura informacionih i komunikacionih tehnologija</w:t>
      </w:r>
      <w:bookmarkEnd w:id="20"/>
    </w:p>
    <w:p w:rsidR="0090519E" w:rsidRPr="0090519E" w:rsidRDefault="0090519E" w:rsidP="0048511B">
      <w:pPr>
        <w:spacing w:line="276" w:lineRule="auto"/>
        <w:rPr>
          <w:rFonts w:asciiTheme="minorHAnsi" w:hAnsiTheme="minorHAnsi" w:cstheme="minorHAnsi"/>
          <w:sz w:val="22"/>
          <w:szCs w:val="22"/>
        </w:rPr>
      </w:pPr>
    </w:p>
    <w:p w:rsidR="0090519E" w:rsidRPr="0090519E" w:rsidRDefault="0090519E" w:rsidP="0048511B">
      <w:pPr>
        <w:spacing w:line="276" w:lineRule="auto"/>
        <w:rPr>
          <w:rFonts w:asciiTheme="minorHAnsi" w:hAnsiTheme="minorHAnsi" w:cstheme="minorHAnsi"/>
          <w:sz w:val="22"/>
          <w:szCs w:val="22"/>
        </w:rPr>
      </w:pPr>
      <w:r w:rsidRPr="0090519E">
        <w:rPr>
          <w:rFonts w:asciiTheme="minorHAnsi" w:hAnsiTheme="minorHAnsi" w:cstheme="minorHAnsi"/>
          <w:sz w:val="22"/>
          <w:szCs w:val="22"/>
        </w:rPr>
        <w:t xml:space="preserve">Aktivno korišćenje informacionih i komunikacionih tehnologije, za države veličine Crne Gore, ima ključni značaj </w:t>
      </w:r>
      <w:r>
        <w:rPr>
          <w:rFonts w:asciiTheme="minorHAnsi" w:hAnsiTheme="minorHAnsi" w:cstheme="minorHAnsi"/>
          <w:sz w:val="22"/>
          <w:szCs w:val="22"/>
        </w:rPr>
        <w:t>i</w:t>
      </w:r>
      <w:r w:rsidRPr="0090519E">
        <w:rPr>
          <w:rFonts w:asciiTheme="minorHAnsi" w:hAnsiTheme="minorHAnsi" w:cstheme="minorHAnsi"/>
          <w:sz w:val="22"/>
          <w:szCs w:val="22"/>
        </w:rPr>
        <w:t>, u velikoj mjeri, doprinosi konkurentnosti države, poboljšanju investicione klime, kao i jačanju inovacionih potencijala države. Investicije u infrastrukturu informacionih i komunikacionih tehnologija i njima povezanih kadrovskih profila, imaju veliki potencijal u smislu jačanja privrednog rasta i stvaranja visokokvalitetnih radnih mjesta. Izuzetna pažnja se u tom smislu pridaje unaprjeđenju kako poslovnog ambijenta, tako i infrastrukturnim preduslovima za upotrebu informacione komunikacionih tehnologija u poslovanju.</w:t>
      </w:r>
    </w:p>
    <w:p w:rsidR="005A2D78" w:rsidRPr="00526D32" w:rsidRDefault="005A2D78" w:rsidP="00526D32">
      <w:pPr>
        <w:autoSpaceDE w:val="0"/>
        <w:autoSpaceDN w:val="0"/>
        <w:adjustRightInd w:val="0"/>
        <w:spacing w:line="276" w:lineRule="auto"/>
        <w:rPr>
          <w:rFonts w:asciiTheme="minorHAnsi" w:hAnsiTheme="minorHAnsi" w:cstheme="minorHAnsi"/>
          <w:bCs/>
          <w:sz w:val="22"/>
          <w:szCs w:val="22"/>
        </w:rPr>
      </w:pPr>
    </w:p>
    <w:p w:rsidR="003E7C30" w:rsidRDefault="003E7C30" w:rsidP="008C791B">
      <w:pPr>
        <w:autoSpaceDE w:val="0"/>
        <w:autoSpaceDN w:val="0"/>
        <w:adjustRightInd w:val="0"/>
        <w:spacing w:line="276" w:lineRule="auto"/>
        <w:rPr>
          <w:rFonts w:asciiTheme="minorHAnsi" w:hAnsiTheme="minorHAnsi" w:cstheme="minorHAnsi"/>
          <w:bCs/>
          <w:sz w:val="22"/>
          <w:szCs w:val="22"/>
        </w:rPr>
      </w:pPr>
    </w:p>
    <w:p w:rsidR="003E7C30" w:rsidRDefault="003E7C30" w:rsidP="008C791B">
      <w:pPr>
        <w:autoSpaceDE w:val="0"/>
        <w:autoSpaceDN w:val="0"/>
        <w:adjustRightInd w:val="0"/>
        <w:spacing w:line="276" w:lineRule="auto"/>
        <w:rPr>
          <w:rFonts w:asciiTheme="minorHAnsi" w:hAnsiTheme="minorHAnsi" w:cstheme="minorHAnsi"/>
          <w:bCs/>
          <w:sz w:val="22"/>
          <w:szCs w:val="22"/>
        </w:rPr>
      </w:pPr>
    </w:p>
    <w:p w:rsidR="003E7C30" w:rsidRDefault="003E7C30" w:rsidP="008C791B">
      <w:pPr>
        <w:autoSpaceDE w:val="0"/>
        <w:autoSpaceDN w:val="0"/>
        <w:adjustRightInd w:val="0"/>
        <w:spacing w:line="276" w:lineRule="auto"/>
        <w:rPr>
          <w:rFonts w:asciiTheme="minorHAnsi" w:hAnsiTheme="minorHAnsi" w:cstheme="minorHAnsi"/>
          <w:bCs/>
          <w:sz w:val="22"/>
          <w:szCs w:val="22"/>
        </w:rPr>
      </w:pPr>
    </w:p>
    <w:p w:rsidR="003E7C30" w:rsidRDefault="003E7C30" w:rsidP="008C791B">
      <w:pPr>
        <w:autoSpaceDE w:val="0"/>
        <w:autoSpaceDN w:val="0"/>
        <w:adjustRightInd w:val="0"/>
        <w:spacing w:line="276" w:lineRule="auto"/>
        <w:rPr>
          <w:rFonts w:asciiTheme="minorHAnsi" w:hAnsiTheme="minorHAnsi" w:cstheme="minorHAnsi"/>
          <w:bCs/>
          <w:sz w:val="22"/>
          <w:szCs w:val="22"/>
        </w:rPr>
      </w:pPr>
    </w:p>
    <w:p w:rsidR="00764B04" w:rsidRDefault="00764B04" w:rsidP="008C791B">
      <w:pPr>
        <w:autoSpaceDE w:val="0"/>
        <w:autoSpaceDN w:val="0"/>
        <w:adjustRightInd w:val="0"/>
        <w:spacing w:line="276" w:lineRule="auto"/>
        <w:rPr>
          <w:rFonts w:asciiTheme="minorHAnsi" w:hAnsiTheme="minorHAnsi" w:cstheme="minorHAnsi"/>
          <w:bCs/>
          <w:sz w:val="22"/>
          <w:szCs w:val="22"/>
        </w:rPr>
      </w:pPr>
    </w:p>
    <w:p w:rsidR="00E408A9" w:rsidRPr="001D76E3" w:rsidRDefault="00E408A9" w:rsidP="007C0116">
      <w:pPr>
        <w:pStyle w:val="Heading1"/>
      </w:pPr>
      <w:r w:rsidRPr="001D76E3">
        <w:t xml:space="preserve"> </w:t>
      </w:r>
      <w:bookmarkStart w:id="21" w:name="_Toc484373025"/>
      <w:r w:rsidRPr="004B6EDD">
        <w:t>Efekti mjera</w:t>
      </w:r>
      <w:r w:rsidR="00A65898" w:rsidRPr="004B6EDD">
        <w:t xml:space="preserve"> </w:t>
      </w:r>
      <w:r w:rsidR="004B6EDD">
        <w:t>ekonomske politike</w:t>
      </w:r>
      <w:bookmarkEnd w:id="21"/>
    </w:p>
    <w:p w:rsidR="0090519E" w:rsidRPr="0090519E" w:rsidRDefault="0090519E" w:rsidP="00832727">
      <w:pPr>
        <w:autoSpaceDE w:val="0"/>
        <w:autoSpaceDN w:val="0"/>
        <w:adjustRightInd w:val="0"/>
        <w:spacing w:line="240" w:lineRule="auto"/>
        <w:rPr>
          <w:rFonts w:asciiTheme="minorHAnsi" w:eastAsiaTheme="minorHAnsi" w:hAnsiTheme="minorHAnsi" w:cstheme="minorHAnsi"/>
          <w:color w:val="auto"/>
          <w:sz w:val="22"/>
          <w:szCs w:val="22"/>
          <w:highlight w:val="yellow"/>
          <w:lang w:val="en-US"/>
        </w:rPr>
      </w:pPr>
    </w:p>
    <w:p w:rsidR="0048511B" w:rsidRDefault="0048511B" w:rsidP="0048511B">
      <w:pPr>
        <w:rPr>
          <w:rFonts w:asciiTheme="minorHAnsi" w:hAnsiTheme="minorHAnsi" w:cstheme="minorHAnsi"/>
          <w:sz w:val="22"/>
          <w:szCs w:val="22"/>
        </w:rPr>
      </w:pPr>
      <w:r w:rsidRPr="0090519E">
        <w:rPr>
          <w:rFonts w:asciiTheme="minorHAnsi" w:hAnsiTheme="minorHAnsi" w:cstheme="minorHAnsi"/>
          <w:sz w:val="22"/>
          <w:szCs w:val="22"/>
        </w:rPr>
        <w:t xml:space="preserve">U ovom poglavlju dat je prikaz uticaja mjera budžetske politike, kao i uticaja realizacije </w:t>
      </w:r>
      <w:r w:rsidRPr="0048511B">
        <w:rPr>
          <w:rFonts w:asciiTheme="minorHAnsi" w:hAnsiTheme="minorHAnsi" w:cstheme="minorHAnsi"/>
          <w:sz w:val="22"/>
          <w:szCs w:val="22"/>
        </w:rPr>
        <w:t>razvojnih mjera i</w:t>
      </w:r>
      <w:r w:rsidRPr="0090519E">
        <w:rPr>
          <w:rFonts w:asciiTheme="minorHAnsi" w:hAnsiTheme="minorHAnsi" w:cstheme="minorHAnsi"/>
          <w:sz w:val="22"/>
          <w:szCs w:val="22"/>
        </w:rPr>
        <w:t xml:space="preserve"> projekata i strukturnih reformi na ekonomska kretanja, odnosno makroekonomske i fiskalne agregate. Pri tome je, zbog karaktera mjera u okviru budžetske politike, kao i očekivanih efekata u kratkom roku, “</w:t>
      </w:r>
      <w:r>
        <w:rPr>
          <w:rFonts w:asciiTheme="minorHAnsi" w:hAnsiTheme="minorHAnsi" w:cstheme="minorHAnsi"/>
          <w:sz w:val="22"/>
          <w:szCs w:val="22"/>
        </w:rPr>
        <w:t>kvantifikovan</w:t>
      </w:r>
      <w:r w:rsidRPr="0090519E">
        <w:rPr>
          <w:rFonts w:asciiTheme="minorHAnsi" w:hAnsiTheme="minorHAnsi" w:cstheme="minorHAnsi"/>
          <w:sz w:val="22"/>
          <w:szCs w:val="22"/>
        </w:rPr>
        <w:t xml:space="preserve">” njihov uticaj na makroekonomska kretanja, odnosno </w:t>
      </w:r>
      <w:r>
        <w:rPr>
          <w:rFonts w:asciiTheme="minorHAnsi" w:hAnsiTheme="minorHAnsi" w:cstheme="minorHAnsi"/>
          <w:sz w:val="22"/>
          <w:szCs w:val="22"/>
        </w:rPr>
        <w:t xml:space="preserve">fiskalne </w:t>
      </w:r>
      <w:r w:rsidRPr="0090519E">
        <w:rPr>
          <w:rFonts w:asciiTheme="minorHAnsi" w:hAnsiTheme="minorHAnsi" w:cstheme="minorHAnsi"/>
          <w:sz w:val="22"/>
          <w:szCs w:val="22"/>
        </w:rPr>
        <w:t>agregate. Efekti određenih strukturnih reformi, a kojima se indirektno utiče na rast i povećanje konkurentnosti ekonomije, biće vidljivi u dužem roku.</w:t>
      </w:r>
    </w:p>
    <w:p w:rsidR="0048511B" w:rsidRDefault="0048511B" w:rsidP="0048511B">
      <w:pPr>
        <w:spacing w:line="276" w:lineRule="auto"/>
        <w:rPr>
          <w:rFonts w:asciiTheme="minorHAnsi" w:hAnsiTheme="minorHAnsi" w:cstheme="minorHAnsi"/>
          <w:sz w:val="22"/>
          <w:szCs w:val="22"/>
          <w:highlight w:val="green"/>
        </w:rPr>
      </w:pPr>
    </w:p>
    <w:p w:rsidR="0048511B" w:rsidRPr="006D1592" w:rsidRDefault="0048511B" w:rsidP="0048511B">
      <w:pPr>
        <w:spacing w:line="276" w:lineRule="auto"/>
        <w:rPr>
          <w:rFonts w:asciiTheme="minorHAnsi" w:hAnsiTheme="minorHAnsi" w:cstheme="minorHAnsi"/>
          <w:noProof/>
          <w:sz w:val="22"/>
          <w:szCs w:val="22"/>
        </w:rPr>
      </w:pPr>
      <w:r w:rsidRPr="00391D58">
        <w:rPr>
          <w:rFonts w:asciiTheme="minorHAnsi" w:hAnsiTheme="minorHAnsi" w:cstheme="minorHAnsi"/>
          <w:sz w:val="22"/>
          <w:szCs w:val="22"/>
        </w:rPr>
        <w:t>Mjere ekonomske politike,</w:t>
      </w:r>
      <w:r w:rsidRPr="00391D58">
        <w:rPr>
          <w:rFonts w:asciiTheme="minorHAnsi" w:hAnsiTheme="minorHAnsi" w:cstheme="minorHAnsi"/>
          <w:noProof/>
          <w:sz w:val="22"/>
          <w:szCs w:val="22"/>
        </w:rPr>
        <w:t xml:space="preserve"> </w:t>
      </w:r>
      <w:r>
        <w:rPr>
          <w:rFonts w:asciiTheme="minorHAnsi" w:hAnsiTheme="minorHAnsi" w:cstheme="minorHAnsi"/>
          <w:noProof/>
          <w:sz w:val="22"/>
          <w:szCs w:val="22"/>
        </w:rPr>
        <w:t xml:space="preserve">a </w:t>
      </w:r>
      <w:r w:rsidRPr="00391D58">
        <w:rPr>
          <w:rFonts w:asciiTheme="minorHAnsi" w:hAnsiTheme="minorHAnsi" w:cstheme="minorHAnsi"/>
          <w:noProof/>
          <w:sz w:val="22"/>
          <w:szCs w:val="22"/>
        </w:rPr>
        <w:t xml:space="preserve">koje su u funkciji fiskalne konsolidacije, </w:t>
      </w:r>
      <w:r>
        <w:rPr>
          <w:rFonts w:asciiTheme="minorHAnsi" w:hAnsiTheme="minorHAnsi" w:cstheme="minorHAnsi"/>
          <w:noProof/>
          <w:sz w:val="22"/>
          <w:szCs w:val="22"/>
        </w:rPr>
        <w:t>imaće određen</w:t>
      </w:r>
      <w:r w:rsidRPr="00391D58">
        <w:rPr>
          <w:rFonts w:asciiTheme="minorHAnsi" w:hAnsiTheme="minorHAnsi" w:cstheme="minorHAnsi"/>
          <w:noProof/>
          <w:sz w:val="22"/>
          <w:szCs w:val="22"/>
        </w:rPr>
        <w:t>i uticaj na usporavanje ekonomske aktivnosti u srednjem roku, a</w:t>
      </w:r>
      <w:r>
        <w:rPr>
          <w:rFonts w:asciiTheme="minorHAnsi" w:hAnsiTheme="minorHAnsi" w:cstheme="minorHAnsi"/>
          <w:noProof/>
          <w:sz w:val="22"/>
          <w:szCs w:val="22"/>
        </w:rPr>
        <w:t>li će iste, na</w:t>
      </w:r>
      <w:r w:rsidRPr="00391D58">
        <w:rPr>
          <w:rFonts w:asciiTheme="minorHAnsi" w:hAnsiTheme="minorHAnsi" w:cstheme="minorHAnsi"/>
          <w:noProof/>
          <w:sz w:val="22"/>
          <w:szCs w:val="22"/>
        </w:rPr>
        <w:t xml:space="preserve"> dugi rok, doprinijeti poboljšanju ambijenta za nova ulaganja, jačanju konkurentnosti ekonomije, odnosno povećanju potencijala za njen rast. Sa druge</w:t>
      </w:r>
      <w:r>
        <w:rPr>
          <w:rFonts w:asciiTheme="minorHAnsi" w:hAnsiTheme="minorHAnsi" w:cstheme="minorHAnsi"/>
          <w:noProof/>
          <w:sz w:val="22"/>
          <w:szCs w:val="22"/>
        </w:rPr>
        <w:t xml:space="preserve"> strane, njihov uticaj na </w:t>
      </w:r>
      <w:r w:rsidRPr="00526D32">
        <w:rPr>
          <w:rFonts w:asciiTheme="minorHAnsi" w:hAnsiTheme="minorHAnsi" w:cstheme="minorHAnsi"/>
          <w:sz w:val="22"/>
          <w:szCs w:val="22"/>
        </w:rPr>
        <w:t xml:space="preserve">održivost javnih finansija, odnosno smanjenje deficita i uspostavljanje silaznog trenda javnog duga </w:t>
      </w:r>
      <w:r>
        <w:rPr>
          <w:rFonts w:asciiTheme="minorHAnsi" w:hAnsiTheme="minorHAnsi" w:cstheme="minorHAnsi"/>
          <w:sz w:val="22"/>
          <w:szCs w:val="22"/>
        </w:rPr>
        <w:t>je značajan,</w:t>
      </w:r>
      <w:r w:rsidRPr="006D1592">
        <w:rPr>
          <w:rFonts w:asciiTheme="minorHAnsi" w:hAnsiTheme="minorHAnsi" w:cstheme="minorHAnsi"/>
          <w:sz w:val="22"/>
          <w:szCs w:val="22"/>
        </w:rPr>
        <w:t xml:space="preserve"> </w:t>
      </w:r>
      <w:r>
        <w:rPr>
          <w:rFonts w:asciiTheme="minorHAnsi" w:hAnsiTheme="minorHAnsi" w:cstheme="minorHAnsi"/>
          <w:sz w:val="22"/>
          <w:szCs w:val="22"/>
        </w:rPr>
        <w:t xml:space="preserve">a što je jedan </w:t>
      </w:r>
      <w:r w:rsidRPr="00526D32">
        <w:rPr>
          <w:rFonts w:asciiTheme="minorHAnsi" w:hAnsiTheme="minorHAnsi" w:cstheme="minorHAnsi"/>
          <w:sz w:val="22"/>
          <w:szCs w:val="22"/>
        </w:rPr>
        <w:t>od prioriteta Vlade Crne Gore</w:t>
      </w:r>
      <w:r>
        <w:rPr>
          <w:rFonts w:asciiTheme="minorHAnsi" w:hAnsiTheme="minorHAnsi" w:cstheme="minorHAnsi"/>
          <w:sz w:val="22"/>
          <w:szCs w:val="22"/>
        </w:rPr>
        <w:t>.</w:t>
      </w:r>
    </w:p>
    <w:p w:rsidR="0048511B" w:rsidRPr="0090519E" w:rsidRDefault="0048511B" w:rsidP="0048511B">
      <w:pPr>
        <w:rPr>
          <w:rFonts w:asciiTheme="minorHAnsi" w:hAnsiTheme="minorHAnsi" w:cstheme="minorHAnsi"/>
          <w:sz w:val="22"/>
          <w:szCs w:val="22"/>
        </w:rPr>
      </w:pPr>
    </w:p>
    <w:p w:rsidR="0048511B" w:rsidRDefault="0048511B" w:rsidP="0048511B">
      <w:pPr>
        <w:spacing w:line="276" w:lineRule="auto"/>
        <w:contextualSpacing/>
        <w:rPr>
          <w:rFonts w:asciiTheme="minorHAnsi" w:hAnsiTheme="minorHAnsi" w:cstheme="minorHAnsi"/>
          <w:sz w:val="22"/>
          <w:szCs w:val="22"/>
        </w:rPr>
      </w:pPr>
      <w:r>
        <w:rPr>
          <w:rFonts w:asciiTheme="minorHAnsi" w:hAnsiTheme="minorHAnsi" w:cstheme="minorHAnsi"/>
          <w:sz w:val="22"/>
          <w:szCs w:val="22"/>
        </w:rPr>
        <w:t>Imajući u vidu navedeno,</w:t>
      </w:r>
      <w:r w:rsidR="00A10829">
        <w:rPr>
          <w:rFonts w:asciiTheme="minorHAnsi" w:hAnsiTheme="minorHAnsi" w:cstheme="minorHAnsi"/>
          <w:sz w:val="22"/>
          <w:szCs w:val="22"/>
        </w:rPr>
        <w:t xml:space="preserve"> </w:t>
      </w:r>
      <w:r w:rsidR="000C1F11">
        <w:rPr>
          <w:rFonts w:asciiTheme="minorHAnsi" w:hAnsiTheme="minorHAnsi" w:cstheme="minorHAnsi"/>
          <w:sz w:val="22"/>
          <w:szCs w:val="22"/>
        </w:rPr>
        <w:t>odnosno ukupne mjere fiskalne konsolidacije</w:t>
      </w:r>
      <w:r>
        <w:rPr>
          <w:rFonts w:asciiTheme="minorHAnsi" w:hAnsiTheme="minorHAnsi" w:cstheme="minorHAnsi"/>
          <w:sz w:val="22"/>
          <w:szCs w:val="22"/>
        </w:rPr>
        <w:t xml:space="preserve"> u periodu od 2017. do 2020. godine, planirano je da će:</w:t>
      </w:r>
    </w:p>
    <w:p w:rsidR="0048511B" w:rsidRPr="0055492A" w:rsidRDefault="0048511B" w:rsidP="0048511B">
      <w:pPr>
        <w:spacing w:line="276" w:lineRule="auto"/>
        <w:contextualSpacing/>
        <w:rPr>
          <w:rFonts w:asciiTheme="minorHAnsi" w:hAnsiTheme="minorHAnsi" w:cstheme="minorHAnsi"/>
          <w:sz w:val="22"/>
          <w:szCs w:val="22"/>
        </w:rPr>
      </w:pPr>
    </w:p>
    <w:p w:rsidR="0048511B" w:rsidRPr="00A550EB" w:rsidRDefault="0048511B" w:rsidP="00786EB0">
      <w:pPr>
        <w:numPr>
          <w:ilvl w:val="0"/>
          <w:numId w:val="9"/>
        </w:numPr>
        <w:spacing w:line="276" w:lineRule="auto"/>
        <w:ind w:left="567" w:hanging="283"/>
        <w:contextualSpacing/>
        <w:rPr>
          <w:rFonts w:asciiTheme="minorHAnsi" w:hAnsiTheme="minorHAnsi" w:cstheme="minorHAnsi"/>
          <w:sz w:val="22"/>
          <w:szCs w:val="22"/>
        </w:rPr>
      </w:pPr>
      <w:r w:rsidRPr="00A550EB">
        <w:rPr>
          <w:rFonts w:ascii="Calibri" w:hAnsi="Calibri" w:cs="Times New Roman"/>
          <w:sz w:val="22"/>
          <w:szCs w:val="22"/>
        </w:rPr>
        <w:t>ukupni efekti konsolidacije, posmatrano „godina na godinu“, iznositi 117,0 mil.</w:t>
      </w:r>
      <w:r w:rsidRPr="00A550EB">
        <w:rPr>
          <w:rFonts w:ascii="Calibri" w:hAnsi="Calibri" w:cs="Calibri"/>
          <w:sz w:val="22"/>
          <w:szCs w:val="22"/>
        </w:rPr>
        <w:t>€</w:t>
      </w:r>
      <w:r w:rsidRPr="00A550EB">
        <w:rPr>
          <w:rFonts w:ascii="Calibri" w:hAnsi="Calibri" w:cs="Times New Roman"/>
          <w:sz w:val="22"/>
          <w:szCs w:val="22"/>
        </w:rPr>
        <w:t xml:space="preserve">, </w:t>
      </w:r>
      <w:r w:rsidRPr="00A550EB">
        <w:rPr>
          <w:rFonts w:asciiTheme="minorHAnsi" w:hAnsiTheme="minorHAnsi" w:cstheme="minorHAnsi"/>
          <w:sz w:val="22"/>
          <w:szCs w:val="22"/>
        </w:rPr>
        <w:t xml:space="preserve">od čega se </w:t>
      </w:r>
      <w:r w:rsidRPr="00A550EB">
        <w:rPr>
          <w:rFonts w:ascii="Calibri" w:hAnsi="Calibri" w:cs="Times New Roman"/>
          <w:sz w:val="22"/>
          <w:szCs w:val="22"/>
        </w:rPr>
        <w:t xml:space="preserve">na povećanje prihoda odnosi </w:t>
      </w:r>
      <w:r w:rsidR="00051E70" w:rsidRPr="00A550EB">
        <w:rPr>
          <w:rFonts w:ascii="Calibri" w:hAnsi="Calibri" w:cs="Times New Roman"/>
          <w:sz w:val="22"/>
          <w:szCs w:val="22"/>
        </w:rPr>
        <w:t>132,9</w:t>
      </w:r>
      <w:r w:rsidRPr="00A550EB">
        <w:rPr>
          <w:rFonts w:ascii="Calibri" w:hAnsi="Calibri" w:cs="Times New Roman"/>
          <w:sz w:val="22"/>
          <w:szCs w:val="22"/>
        </w:rPr>
        <w:t xml:space="preserve"> mil.</w:t>
      </w:r>
      <w:r w:rsidRPr="00A550EB">
        <w:rPr>
          <w:rFonts w:ascii="Calibri" w:hAnsi="Calibri" w:cs="Calibri"/>
          <w:sz w:val="22"/>
          <w:szCs w:val="22"/>
        </w:rPr>
        <w:t>€</w:t>
      </w:r>
      <w:r w:rsidRPr="00A550EB">
        <w:rPr>
          <w:rFonts w:ascii="Calibri" w:hAnsi="Calibri" w:cs="Times New Roman"/>
          <w:sz w:val="22"/>
          <w:szCs w:val="22"/>
        </w:rPr>
        <w:t xml:space="preserve">, na smanjenje </w:t>
      </w:r>
      <w:r w:rsidRPr="00A550EB">
        <w:rPr>
          <w:rFonts w:ascii="Calibri" w:hAnsi="Calibri" w:cs="Times New Roman"/>
          <w:color w:val="auto"/>
          <w:sz w:val="22"/>
          <w:szCs w:val="22"/>
        </w:rPr>
        <w:t xml:space="preserve">rashoda </w:t>
      </w:r>
      <w:r w:rsidR="002000AA" w:rsidRPr="00A550EB">
        <w:rPr>
          <w:rFonts w:ascii="Calibri" w:hAnsi="Calibri" w:cs="Times New Roman"/>
          <w:color w:val="auto"/>
          <w:sz w:val="22"/>
          <w:szCs w:val="22"/>
        </w:rPr>
        <w:t>41</w:t>
      </w:r>
      <w:r w:rsidRPr="00A550EB">
        <w:rPr>
          <w:rFonts w:ascii="Calibri" w:hAnsi="Calibri" w:cs="Times New Roman"/>
          <w:color w:val="auto"/>
          <w:sz w:val="22"/>
          <w:szCs w:val="22"/>
        </w:rPr>
        <w:t>,</w:t>
      </w:r>
      <w:r w:rsidR="002000AA" w:rsidRPr="00A550EB">
        <w:rPr>
          <w:rFonts w:ascii="Calibri" w:hAnsi="Calibri" w:cs="Times New Roman"/>
          <w:color w:val="auto"/>
          <w:sz w:val="22"/>
          <w:szCs w:val="22"/>
        </w:rPr>
        <w:t>5</w:t>
      </w:r>
      <w:r w:rsidRPr="00A550EB">
        <w:rPr>
          <w:rFonts w:ascii="Calibri" w:hAnsi="Calibri" w:cs="Times New Roman"/>
          <w:color w:val="auto"/>
          <w:sz w:val="22"/>
          <w:szCs w:val="22"/>
        </w:rPr>
        <w:t xml:space="preserve"> mil.</w:t>
      </w:r>
      <w:r w:rsidRPr="00A550EB">
        <w:rPr>
          <w:rFonts w:ascii="Calibri" w:hAnsi="Calibri" w:cs="Calibri"/>
          <w:color w:val="auto"/>
          <w:sz w:val="22"/>
          <w:szCs w:val="22"/>
        </w:rPr>
        <w:t>€</w:t>
      </w:r>
      <w:r w:rsidR="00051E70" w:rsidRPr="00A550EB">
        <w:rPr>
          <w:rFonts w:ascii="Calibri" w:hAnsi="Calibri" w:cs="Times New Roman"/>
          <w:color w:val="auto"/>
          <w:sz w:val="22"/>
          <w:szCs w:val="22"/>
        </w:rPr>
        <w:t>,</w:t>
      </w:r>
      <w:r w:rsidR="00051E70" w:rsidRPr="00A550EB">
        <w:rPr>
          <w:rFonts w:ascii="Calibri" w:hAnsi="Calibri" w:cs="Times New Roman"/>
          <w:sz w:val="22"/>
          <w:szCs w:val="22"/>
        </w:rPr>
        <w:t xml:space="preserve"> a nove obaveze će iznositi 57,4</w:t>
      </w:r>
      <w:r w:rsidRPr="00A550EB">
        <w:rPr>
          <w:rFonts w:ascii="Calibri" w:hAnsi="Calibri" w:cs="Times New Roman"/>
          <w:sz w:val="22"/>
          <w:szCs w:val="22"/>
        </w:rPr>
        <w:t xml:space="preserve"> mil.</w:t>
      </w:r>
      <w:r w:rsidRPr="00A550EB">
        <w:rPr>
          <w:rFonts w:ascii="Calibri" w:hAnsi="Calibri" w:cs="Calibri"/>
          <w:sz w:val="22"/>
          <w:szCs w:val="22"/>
        </w:rPr>
        <w:t>€</w:t>
      </w:r>
      <w:r w:rsidRPr="00A550EB">
        <w:rPr>
          <w:rFonts w:ascii="Calibri" w:hAnsi="Calibri" w:cs="Times New Roman"/>
          <w:sz w:val="22"/>
          <w:szCs w:val="22"/>
        </w:rPr>
        <w:t>;</w:t>
      </w:r>
    </w:p>
    <w:p w:rsidR="0048511B" w:rsidRPr="00A550EB" w:rsidRDefault="0048511B" w:rsidP="00786EB0">
      <w:pPr>
        <w:numPr>
          <w:ilvl w:val="0"/>
          <w:numId w:val="9"/>
        </w:numPr>
        <w:spacing w:line="276" w:lineRule="auto"/>
        <w:ind w:left="567" w:hanging="283"/>
        <w:contextualSpacing/>
        <w:rPr>
          <w:rFonts w:asciiTheme="minorHAnsi" w:hAnsiTheme="minorHAnsi" w:cstheme="minorHAnsi"/>
          <w:sz w:val="22"/>
          <w:szCs w:val="22"/>
        </w:rPr>
      </w:pPr>
      <w:r w:rsidRPr="00A550EB">
        <w:rPr>
          <w:rFonts w:asciiTheme="minorHAnsi" w:hAnsiTheme="minorHAnsi" w:cstheme="minorHAnsi"/>
          <w:sz w:val="22"/>
          <w:szCs w:val="22"/>
        </w:rPr>
        <w:t xml:space="preserve">ukupna vrijednost mjera konsolidacije </w:t>
      </w:r>
      <w:r w:rsidR="00477B4C">
        <w:rPr>
          <w:rFonts w:asciiTheme="minorHAnsi" w:hAnsiTheme="minorHAnsi" w:cstheme="minorHAnsi"/>
          <w:color w:val="auto"/>
          <w:sz w:val="22"/>
          <w:szCs w:val="22"/>
        </w:rPr>
        <w:t>iznositi 2,2</w:t>
      </w:r>
      <w:r w:rsidRPr="00A550EB">
        <w:rPr>
          <w:rFonts w:asciiTheme="minorHAnsi" w:hAnsiTheme="minorHAnsi" w:cstheme="minorHAnsi"/>
          <w:color w:val="auto"/>
          <w:sz w:val="22"/>
          <w:szCs w:val="22"/>
        </w:rPr>
        <w:t>% BDP-a (</w:t>
      </w:r>
      <w:r w:rsidRPr="00A550EB">
        <w:rPr>
          <w:rFonts w:asciiTheme="minorHAnsi" w:hAnsiTheme="minorHAnsi" w:cstheme="minorHAnsi"/>
          <w:sz w:val="22"/>
          <w:szCs w:val="22"/>
        </w:rPr>
        <w:t>vrijednost mjera/BDP);</w:t>
      </w:r>
    </w:p>
    <w:p w:rsidR="0048511B" w:rsidRPr="00A550EB" w:rsidRDefault="0048511B" w:rsidP="00786EB0">
      <w:pPr>
        <w:numPr>
          <w:ilvl w:val="0"/>
          <w:numId w:val="9"/>
        </w:numPr>
        <w:spacing w:line="276" w:lineRule="auto"/>
        <w:ind w:left="567" w:hanging="283"/>
        <w:contextualSpacing/>
        <w:rPr>
          <w:rFonts w:asciiTheme="minorHAnsi" w:hAnsiTheme="minorHAnsi" w:cstheme="minorHAnsi"/>
          <w:sz w:val="22"/>
          <w:szCs w:val="22"/>
        </w:rPr>
      </w:pPr>
      <w:r w:rsidRPr="00A550EB">
        <w:rPr>
          <w:rFonts w:asciiTheme="minorHAnsi" w:hAnsiTheme="minorHAnsi" w:cstheme="minorHAnsi"/>
          <w:sz w:val="22"/>
          <w:szCs w:val="22"/>
        </w:rPr>
        <w:t>prosječna realna stopa rasta BDP-a biti 2,6%.</w:t>
      </w:r>
    </w:p>
    <w:p w:rsidR="0048511B" w:rsidRPr="00A550EB" w:rsidRDefault="0048511B" w:rsidP="00786EB0">
      <w:pPr>
        <w:pStyle w:val="ListParagraph"/>
        <w:numPr>
          <w:ilvl w:val="0"/>
          <w:numId w:val="9"/>
        </w:numPr>
        <w:spacing w:line="276" w:lineRule="auto"/>
        <w:ind w:left="567" w:hanging="283"/>
        <w:rPr>
          <w:rFonts w:asciiTheme="minorHAnsi" w:hAnsiTheme="minorHAnsi" w:cstheme="minorHAnsi"/>
          <w:sz w:val="22"/>
          <w:szCs w:val="22"/>
        </w:rPr>
      </w:pPr>
      <w:r w:rsidRPr="00A550EB">
        <w:rPr>
          <w:rFonts w:asciiTheme="minorHAnsi" w:hAnsiTheme="minorHAnsi" w:cstheme="minorHAnsi"/>
          <w:sz w:val="22"/>
          <w:szCs w:val="22"/>
        </w:rPr>
        <w:t>deficit budžeta</w:t>
      </w:r>
      <w:r w:rsidRPr="00A550EB">
        <w:rPr>
          <w:rFonts w:asciiTheme="minorHAnsi" w:hAnsiTheme="minorHAnsi" w:cstheme="minorHAnsi"/>
          <w:b/>
          <w:sz w:val="22"/>
          <w:szCs w:val="22"/>
        </w:rPr>
        <w:t xml:space="preserve"> </w:t>
      </w:r>
      <w:r w:rsidRPr="00A550EB">
        <w:rPr>
          <w:rFonts w:asciiTheme="minorHAnsi" w:hAnsiTheme="minorHAnsi" w:cstheme="minorHAnsi"/>
          <w:sz w:val="22"/>
          <w:szCs w:val="22"/>
        </w:rPr>
        <w:t>imati sila</w:t>
      </w:r>
      <w:r w:rsidR="00051E70" w:rsidRPr="00A550EB">
        <w:rPr>
          <w:rFonts w:asciiTheme="minorHAnsi" w:hAnsiTheme="minorHAnsi" w:cstheme="minorHAnsi"/>
          <w:sz w:val="22"/>
          <w:szCs w:val="22"/>
        </w:rPr>
        <w:t>znu putanju, i kretaće se od 5,0</w:t>
      </w:r>
      <w:r w:rsidRPr="00A550EB">
        <w:rPr>
          <w:rFonts w:asciiTheme="minorHAnsi" w:hAnsiTheme="minorHAnsi" w:cstheme="minorHAnsi"/>
          <w:sz w:val="22"/>
          <w:szCs w:val="22"/>
        </w:rPr>
        <w:t>% BDP-a u 2017. do 0,</w:t>
      </w:r>
      <w:r w:rsidR="00051E70" w:rsidRPr="00A550EB">
        <w:rPr>
          <w:rFonts w:asciiTheme="minorHAnsi" w:hAnsiTheme="minorHAnsi" w:cstheme="minorHAnsi"/>
          <w:sz w:val="22"/>
          <w:szCs w:val="22"/>
        </w:rPr>
        <w:t>6</w:t>
      </w:r>
      <w:r w:rsidRPr="00A550EB">
        <w:rPr>
          <w:rFonts w:asciiTheme="minorHAnsi" w:hAnsiTheme="minorHAnsi" w:cstheme="minorHAnsi"/>
          <w:sz w:val="22"/>
          <w:szCs w:val="22"/>
        </w:rPr>
        <w:t>% BDP-a u 2019, a u 2020. prelazi u zonu suficita (4,</w:t>
      </w:r>
      <w:r w:rsidR="00051E70" w:rsidRPr="00A550EB">
        <w:rPr>
          <w:rFonts w:asciiTheme="minorHAnsi" w:hAnsiTheme="minorHAnsi" w:cstheme="minorHAnsi"/>
          <w:sz w:val="22"/>
          <w:szCs w:val="22"/>
        </w:rPr>
        <w:t>5</w:t>
      </w:r>
      <w:r w:rsidRPr="00A550EB">
        <w:rPr>
          <w:rFonts w:asciiTheme="minorHAnsi" w:hAnsiTheme="minorHAnsi" w:cstheme="minorHAnsi"/>
          <w:sz w:val="22"/>
          <w:szCs w:val="22"/>
        </w:rPr>
        <w:t xml:space="preserve">% BDP-a). Primarni bilans preći će u zonu suficita u 2019. godini i iznosiće 1,4% BDP-a. </w:t>
      </w:r>
    </w:p>
    <w:p w:rsidR="0048511B" w:rsidRPr="00A550EB" w:rsidRDefault="0048511B" w:rsidP="00786EB0">
      <w:pPr>
        <w:pStyle w:val="ListParagraph"/>
        <w:numPr>
          <w:ilvl w:val="0"/>
          <w:numId w:val="9"/>
        </w:numPr>
        <w:spacing w:line="276" w:lineRule="auto"/>
        <w:ind w:left="567" w:hanging="283"/>
        <w:rPr>
          <w:rFonts w:asciiTheme="minorHAnsi" w:hAnsiTheme="minorHAnsi" w:cstheme="minorHAnsi"/>
          <w:sz w:val="22"/>
          <w:szCs w:val="22"/>
        </w:rPr>
      </w:pPr>
      <w:r w:rsidRPr="00A550EB">
        <w:rPr>
          <w:rFonts w:asciiTheme="minorHAnsi" w:hAnsiTheme="minorHAnsi" w:cstheme="minorHAnsi"/>
          <w:sz w:val="22"/>
          <w:szCs w:val="22"/>
        </w:rPr>
        <w:t xml:space="preserve">javni dug rasti do 2018. godine, kada će </w:t>
      </w:r>
      <w:r w:rsidRPr="00A550EB">
        <w:rPr>
          <w:rFonts w:asciiTheme="minorHAnsi" w:hAnsiTheme="minorHAnsi" w:cstheme="minorHAnsi"/>
          <w:color w:val="auto"/>
          <w:sz w:val="22"/>
          <w:szCs w:val="22"/>
        </w:rPr>
        <w:t xml:space="preserve">dostići maksimum od </w:t>
      </w:r>
      <w:r w:rsidR="002A62C3" w:rsidRPr="00A550EB">
        <w:rPr>
          <w:rFonts w:asciiTheme="minorHAnsi" w:hAnsiTheme="minorHAnsi" w:cstheme="minorHAnsi"/>
          <w:color w:val="auto"/>
          <w:sz w:val="22"/>
          <w:szCs w:val="22"/>
        </w:rPr>
        <w:t>74,6</w:t>
      </w:r>
      <w:r w:rsidRPr="00A550EB">
        <w:rPr>
          <w:rFonts w:asciiTheme="minorHAnsi" w:hAnsiTheme="minorHAnsi" w:cstheme="minorHAnsi"/>
          <w:color w:val="auto"/>
          <w:sz w:val="22"/>
          <w:szCs w:val="22"/>
        </w:rPr>
        <w:t xml:space="preserve"> % BDP-a, nakon čega se očekuje blagi pad u 2019. godini, a za</w:t>
      </w:r>
      <w:r w:rsidR="002A62C3" w:rsidRPr="00A550EB">
        <w:rPr>
          <w:rFonts w:asciiTheme="minorHAnsi" w:hAnsiTheme="minorHAnsi" w:cstheme="minorHAnsi"/>
          <w:color w:val="auto"/>
          <w:sz w:val="22"/>
          <w:szCs w:val="22"/>
        </w:rPr>
        <w:t>tim i značajno smanjenje na 67,0</w:t>
      </w:r>
      <w:r w:rsidRPr="00A550EB">
        <w:rPr>
          <w:rFonts w:asciiTheme="minorHAnsi" w:hAnsiTheme="minorHAnsi" w:cstheme="minorHAnsi"/>
          <w:color w:val="auto"/>
          <w:sz w:val="22"/>
          <w:szCs w:val="22"/>
        </w:rPr>
        <w:t xml:space="preserve"> % BDP-a u 2020. godini.</w:t>
      </w:r>
      <w:r w:rsidRPr="00A550EB">
        <w:rPr>
          <w:rFonts w:asciiTheme="minorHAnsi" w:hAnsiTheme="minorHAnsi" w:cstheme="minorHAnsi"/>
          <w:sz w:val="22"/>
          <w:szCs w:val="22"/>
        </w:rPr>
        <w:t xml:space="preserve"> </w:t>
      </w:r>
    </w:p>
    <w:p w:rsidR="0048511B" w:rsidRPr="0090519E" w:rsidRDefault="0048511B" w:rsidP="0048511B">
      <w:pPr>
        <w:rPr>
          <w:rFonts w:asciiTheme="minorHAnsi" w:hAnsiTheme="minorHAnsi" w:cstheme="minorHAnsi"/>
          <w:sz w:val="22"/>
          <w:szCs w:val="22"/>
        </w:rPr>
      </w:pPr>
    </w:p>
    <w:p w:rsidR="0048511B" w:rsidRDefault="00DB6F26" w:rsidP="002D1802">
      <w:pPr>
        <w:pStyle w:val="Heading2"/>
        <w:rPr>
          <w:sz w:val="22"/>
          <w:szCs w:val="22"/>
        </w:rPr>
      </w:pPr>
      <w:bookmarkStart w:id="22" w:name="_Toc484373026"/>
      <w:r>
        <w:t>4.1.</w:t>
      </w:r>
      <w:r w:rsidR="0048511B" w:rsidRPr="006D1592">
        <w:t xml:space="preserve"> Makroe</w:t>
      </w:r>
      <w:r>
        <w:t>konomske projekcije za period 2017-</w:t>
      </w:r>
      <w:r w:rsidR="0048511B" w:rsidRPr="006D1592">
        <w:t xml:space="preserve">2020. </w:t>
      </w:r>
      <w:r w:rsidR="00061369">
        <w:t>g</w:t>
      </w:r>
      <w:r w:rsidR="0048511B" w:rsidRPr="006D1592">
        <w:t>odine</w:t>
      </w:r>
      <w:bookmarkEnd w:id="22"/>
      <w:r w:rsidR="00061369">
        <w:t xml:space="preserve"> </w:t>
      </w:r>
    </w:p>
    <w:p w:rsidR="0048511B" w:rsidRDefault="0048511B" w:rsidP="0048511B">
      <w:pPr>
        <w:spacing w:line="276" w:lineRule="auto"/>
        <w:contextualSpacing/>
        <w:rPr>
          <w:rFonts w:asciiTheme="minorHAnsi" w:hAnsiTheme="minorHAnsi" w:cstheme="minorHAnsi"/>
          <w:sz w:val="22"/>
          <w:szCs w:val="22"/>
        </w:rPr>
      </w:pPr>
    </w:p>
    <w:p w:rsidR="0048511B" w:rsidRDefault="0048511B" w:rsidP="0048511B">
      <w:pPr>
        <w:spacing w:line="276" w:lineRule="auto"/>
        <w:contextualSpacing/>
        <w:rPr>
          <w:rFonts w:asciiTheme="minorHAnsi" w:hAnsiTheme="minorHAnsi" w:cstheme="minorHAnsi"/>
          <w:sz w:val="22"/>
          <w:szCs w:val="22"/>
        </w:rPr>
      </w:pPr>
      <w:r w:rsidRPr="0055492A">
        <w:rPr>
          <w:rFonts w:asciiTheme="minorHAnsi" w:hAnsiTheme="minorHAnsi" w:cstheme="minorHAnsi"/>
          <w:sz w:val="22"/>
          <w:szCs w:val="22"/>
        </w:rPr>
        <w:t>Kretanje ekonomske aktivnos</w:t>
      </w:r>
      <w:r>
        <w:rPr>
          <w:rFonts w:asciiTheme="minorHAnsi" w:hAnsiTheme="minorHAnsi" w:cstheme="minorHAnsi"/>
          <w:sz w:val="22"/>
          <w:szCs w:val="22"/>
        </w:rPr>
        <w:t xml:space="preserve">ti, u narednom periodu, biće </w:t>
      </w:r>
      <w:r w:rsidRPr="0055492A">
        <w:rPr>
          <w:rFonts w:asciiTheme="minorHAnsi" w:hAnsiTheme="minorHAnsi" w:cstheme="minorHAnsi"/>
          <w:sz w:val="22"/>
          <w:szCs w:val="22"/>
        </w:rPr>
        <w:t xml:space="preserve">pod uticajem </w:t>
      </w:r>
      <w:r>
        <w:rPr>
          <w:rFonts w:asciiTheme="minorHAnsi" w:hAnsiTheme="minorHAnsi" w:cstheme="minorHAnsi"/>
          <w:sz w:val="22"/>
          <w:szCs w:val="22"/>
        </w:rPr>
        <w:t>očekivanog</w:t>
      </w:r>
      <w:r w:rsidRPr="0055492A">
        <w:rPr>
          <w:rFonts w:asciiTheme="minorHAnsi" w:hAnsiTheme="minorHAnsi" w:cstheme="minorHAnsi"/>
          <w:sz w:val="22"/>
          <w:szCs w:val="22"/>
        </w:rPr>
        <w:t xml:space="preserve"> rast</w:t>
      </w:r>
      <w:r>
        <w:rPr>
          <w:rFonts w:asciiTheme="minorHAnsi" w:hAnsiTheme="minorHAnsi" w:cstheme="minorHAnsi"/>
          <w:sz w:val="22"/>
          <w:szCs w:val="22"/>
        </w:rPr>
        <w:t>a</w:t>
      </w:r>
      <w:r w:rsidRPr="0055492A">
        <w:rPr>
          <w:rFonts w:asciiTheme="minorHAnsi" w:hAnsiTheme="minorHAnsi" w:cstheme="minorHAnsi"/>
          <w:sz w:val="22"/>
          <w:szCs w:val="22"/>
        </w:rPr>
        <w:t xml:space="preserve"> investicione aktivnosti</w:t>
      </w:r>
      <w:r>
        <w:rPr>
          <w:rFonts w:asciiTheme="minorHAnsi" w:hAnsiTheme="minorHAnsi" w:cstheme="minorHAnsi"/>
          <w:sz w:val="22"/>
          <w:szCs w:val="22"/>
        </w:rPr>
        <w:t>,</w:t>
      </w:r>
      <w:r w:rsidRPr="0055492A">
        <w:rPr>
          <w:rFonts w:asciiTheme="minorHAnsi" w:hAnsiTheme="minorHAnsi" w:cstheme="minorHAnsi"/>
          <w:sz w:val="22"/>
          <w:szCs w:val="22"/>
        </w:rPr>
        <w:t xml:space="preserve"> koj</w:t>
      </w:r>
      <w:r>
        <w:rPr>
          <w:rFonts w:asciiTheme="minorHAnsi" w:hAnsiTheme="minorHAnsi" w:cstheme="minorHAnsi"/>
          <w:sz w:val="22"/>
          <w:szCs w:val="22"/>
        </w:rPr>
        <w:t>a</w:t>
      </w:r>
      <w:r w:rsidRPr="0055492A">
        <w:rPr>
          <w:rFonts w:asciiTheme="minorHAnsi" w:hAnsiTheme="minorHAnsi" w:cstheme="minorHAnsi"/>
          <w:sz w:val="22"/>
          <w:szCs w:val="22"/>
        </w:rPr>
        <w:t xml:space="preserve"> </w:t>
      </w:r>
      <w:r>
        <w:rPr>
          <w:rFonts w:asciiTheme="minorHAnsi" w:hAnsiTheme="minorHAnsi" w:cstheme="minorHAnsi"/>
          <w:sz w:val="22"/>
          <w:szCs w:val="22"/>
        </w:rPr>
        <w:t>doprinosi povećanju</w:t>
      </w:r>
      <w:r w:rsidRPr="0055492A">
        <w:rPr>
          <w:rFonts w:asciiTheme="minorHAnsi" w:hAnsiTheme="minorHAnsi" w:cstheme="minorHAnsi"/>
          <w:sz w:val="22"/>
          <w:szCs w:val="22"/>
        </w:rPr>
        <w:t xml:space="preserve"> realne stopa rasta BDP-a</w:t>
      </w:r>
      <w:r>
        <w:rPr>
          <w:rFonts w:asciiTheme="minorHAnsi" w:hAnsiTheme="minorHAnsi" w:cstheme="minorHAnsi"/>
          <w:sz w:val="22"/>
          <w:szCs w:val="22"/>
        </w:rPr>
        <w:t>,</w:t>
      </w:r>
      <w:r w:rsidRPr="0055492A">
        <w:rPr>
          <w:rFonts w:asciiTheme="minorHAnsi" w:hAnsiTheme="minorHAnsi" w:cstheme="minorHAnsi"/>
          <w:sz w:val="22"/>
          <w:szCs w:val="22"/>
        </w:rPr>
        <w:t xml:space="preserve"> i </w:t>
      </w:r>
      <w:r>
        <w:rPr>
          <w:rFonts w:asciiTheme="minorHAnsi" w:hAnsiTheme="minorHAnsi" w:cstheme="minorHAnsi"/>
          <w:sz w:val="22"/>
          <w:szCs w:val="22"/>
        </w:rPr>
        <w:t>realizacije mjera fiskalne konsolidacije</w:t>
      </w:r>
      <w:r w:rsidRPr="0055492A">
        <w:rPr>
          <w:rFonts w:asciiTheme="minorHAnsi" w:hAnsiTheme="minorHAnsi" w:cstheme="minorHAnsi"/>
          <w:sz w:val="22"/>
          <w:szCs w:val="22"/>
        </w:rPr>
        <w:t>, koj</w:t>
      </w:r>
      <w:r>
        <w:rPr>
          <w:rFonts w:asciiTheme="minorHAnsi" w:hAnsiTheme="minorHAnsi" w:cstheme="minorHAnsi"/>
          <w:sz w:val="22"/>
          <w:szCs w:val="22"/>
        </w:rPr>
        <w:t>ima se, u određenoj mjeri,</w:t>
      </w:r>
      <w:r w:rsidRPr="0055492A">
        <w:rPr>
          <w:rFonts w:asciiTheme="minorHAnsi" w:hAnsiTheme="minorHAnsi" w:cstheme="minorHAnsi"/>
          <w:sz w:val="22"/>
          <w:szCs w:val="22"/>
        </w:rPr>
        <w:t xml:space="preserve"> utiče na smanjenje ekonomske aktivnosti a</w:t>
      </w:r>
      <w:r>
        <w:rPr>
          <w:rFonts w:asciiTheme="minorHAnsi" w:hAnsiTheme="minorHAnsi" w:cstheme="minorHAnsi"/>
          <w:sz w:val="22"/>
          <w:szCs w:val="22"/>
        </w:rPr>
        <w:t>,</w:t>
      </w:r>
      <w:r w:rsidRPr="0055492A">
        <w:rPr>
          <w:rFonts w:asciiTheme="minorHAnsi" w:hAnsiTheme="minorHAnsi" w:cstheme="minorHAnsi"/>
          <w:sz w:val="22"/>
          <w:szCs w:val="22"/>
        </w:rPr>
        <w:t xml:space="preserve"> time</w:t>
      </w:r>
      <w:r>
        <w:rPr>
          <w:rFonts w:asciiTheme="minorHAnsi" w:hAnsiTheme="minorHAnsi" w:cstheme="minorHAnsi"/>
          <w:sz w:val="22"/>
          <w:szCs w:val="22"/>
        </w:rPr>
        <w:t>,</w:t>
      </w:r>
      <w:r w:rsidRPr="0055492A">
        <w:rPr>
          <w:rFonts w:asciiTheme="minorHAnsi" w:hAnsiTheme="minorHAnsi" w:cstheme="minorHAnsi"/>
          <w:sz w:val="22"/>
          <w:szCs w:val="22"/>
        </w:rPr>
        <w:t xml:space="preserve"> i realne stope rasta. Zbog nedovoljne diverzifikovanosti ekonomije</w:t>
      </w:r>
      <w:r>
        <w:rPr>
          <w:rFonts w:asciiTheme="minorHAnsi" w:hAnsiTheme="minorHAnsi" w:cstheme="minorHAnsi"/>
          <w:sz w:val="22"/>
          <w:szCs w:val="22"/>
        </w:rPr>
        <w:t>,</w:t>
      </w:r>
      <w:r w:rsidRPr="0055492A">
        <w:rPr>
          <w:rFonts w:asciiTheme="minorHAnsi" w:hAnsiTheme="minorHAnsi" w:cstheme="minorHAnsi"/>
          <w:sz w:val="22"/>
          <w:szCs w:val="22"/>
        </w:rPr>
        <w:t xml:space="preserve"> povećana investiciona aktivnost </w:t>
      </w:r>
      <w:r>
        <w:rPr>
          <w:rFonts w:asciiTheme="minorHAnsi" w:hAnsiTheme="minorHAnsi" w:cstheme="minorHAnsi"/>
          <w:sz w:val="22"/>
          <w:szCs w:val="22"/>
        </w:rPr>
        <w:t xml:space="preserve">usloviće povećanje uvoza, a što se negativno odražava na </w:t>
      </w:r>
      <w:r w:rsidRPr="0055492A">
        <w:rPr>
          <w:rFonts w:asciiTheme="minorHAnsi" w:hAnsiTheme="minorHAnsi" w:cstheme="minorHAnsi"/>
          <w:sz w:val="22"/>
          <w:szCs w:val="22"/>
        </w:rPr>
        <w:t xml:space="preserve">neto izvoz. Na drugoj strani, mjere fiskalne konsolidacije </w:t>
      </w:r>
      <w:r>
        <w:rPr>
          <w:rFonts w:asciiTheme="minorHAnsi" w:hAnsiTheme="minorHAnsi" w:cstheme="minorHAnsi"/>
          <w:sz w:val="22"/>
          <w:szCs w:val="22"/>
        </w:rPr>
        <w:t>će,</w:t>
      </w:r>
      <w:r w:rsidRPr="0055492A">
        <w:rPr>
          <w:rFonts w:asciiTheme="minorHAnsi" w:hAnsiTheme="minorHAnsi" w:cstheme="minorHAnsi"/>
          <w:sz w:val="22"/>
          <w:szCs w:val="22"/>
        </w:rPr>
        <w:t xml:space="preserve"> </w:t>
      </w:r>
      <w:r>
        <w:rPr>
          <w:rFonts w:asciiTheme="minorHAnsi" w:hAnsiTheme="minorHAnsi" w:cstheme="minorHAnsi"/>
          <w:sz w:val="22"/>
          <w:szCs w:val="22"/>
        </w:rPr>
        <w:t xml:space="preserve">posebno </w:t>
      </w:r>
      <w:r w:rsidRPr="0055492A">
        <w:rPr>
          <w:rFonts w:asciiTheme="minorHAnsi" w:hAnsiTheme="minorHAnsi" w:cstheme="minorHAnsi"/>
          <w:sz w:val="22"/>
          <w:szCs w:val="22"/>
        </w:rPr>
        <w:t xml:space="preserve">u prvoj godini </w:t>
      </w:r>
      <w:r>
        <w:rPr>
          <w:rFonts w:asciiTheme="minorHAnsi" w:hAnsiTheme="minorHAnsi" w:cstheme="minorHAnsi"/>
          <w:sz w:val="22"/>
          <w:szCs w:val="22"/>
        </w:rPr>
        <w:t xml:space="preserve">njihove primjene, </w:t>
      </w:r>
      <w:r w:rsidRPr="0055492A">
        <w:rPr>
          <w:rFonts w:asciiTheme="minorHAnsi" w:hAnsiTheme="minorHAnsi" w:cstheme="minorHAnsi"/>
          <w:sz w:val="22"/>
          <w:szCs w:val="22"/>
        </w:rPr>
        <w:t>utica</w:t>
      </w:r>
      <w:r>
        <w:rPr>
          <w:rFonts w:asciiTheme="minorHAnsi" w:hAnsiTheme="minorHAnsi" w:cstheme="minorHAnsi"/>
          <w:sz w:val="22"/>
          <w:szCs w:val="22"/>
        </w:rPr>
        <w:t>ti</w:t>
      </w:r>
      <w:r w:rsidRPr="0055492A">
        <w:rPr>
          <w:rFonts w:asciiTheme="minorHAnsi" w:hAnsiTheme="minorHAnsi" w:cstheme="minorHAnsi"/>
          <w:sz w:val="22"/>
          <w:szCs w:val="22"/>
        </w:rPr>
        <w:t xml:space="preserve"> na blagi rast inflacije</w:t>
      </w:r>
      <w:r>
        <w:rPr>
          <w:rFonts w:asciiTheme="minorHAnsi" w:hAnsiTheme="minorHAnsi" w:cstheme="minorHAnsi"/>
          <w:sz w:val="22"/>
          <w:szCs w:val="22"/>
        </w:rPr>
        <w:t xml:space="preserve">, </w:t>
      </w:r>
      <w:r w:rsidRPr="0055492A">
        <w:rPr>
          <w:rFonts w:asciiTheme="minorHAnsi" w:hAnsiTheme="minorHAnsi" w:cstheme="minorHAnsi"/>
          <w:sz w:val="22"/>
          <w:szCs w:val="22"/>
        </w:rPr>
        <w:t>smanjenje raspoloživog dohotka domaćinstava</w:t>
      </w:r>
      <w:r>
        <w:rPr>
          <w:rFonts w:asciiTheme="minorHAnsi" w:hAnsiTheme="minorHAnsi" w:cstheme="minorHAnsi"/>
          <w:sz w:val="22"/>
          <w:szCs w:val="22"/>
        </w:rPr>
        <w:t xml:space="preserve"> i</w:t>
      </w:r>
      <w:r w:rsidRPr="0055492A">
        <w:rPr>
          <w:rFonts w:asciiTheme="minorHAnsi" w:hAnsiTheme="minorHAnsi" w:cstheme="minorHAnsi"/>
          <w:sz w:val="22"/>
          <w:szCs w:val="22"/>
        </w:rPr>
        <w:t xml:space="preserve"> potencijalnih investicija. </w:t>
      </w:r>
      <w:r>
        <w:rPr>
          <w:rFonts w:asciiTheme="minorHAnsi" w:hAnsiTheme="minorHAnsi" w:cstheme="minorHAnsi"/>
          <w:sz w:val="22"/>
          <w:szCs w:val="22"/>
        </w:rPr>
        <w:t>Istovremeno</w:t>
      </w:r>
      <w:r w:rsidRPr="0055492A">
        <w:rPr>
          <w:rFonts w:asciiTheme="minorHAnsi" w:hAnsiTheme="minorHAnsi" w:cstheme="minorHAnsi"/>
          <w:sz w:val="22"/>
          <w:szCs w:val="22"/>
        </w:rPr>
        <w:t xml:space="preserve">, smanjenje finalne potrošnje uticaće na smanjenje uvoza, a što će </w:t>
      </w:r>
      <w:r>
        <w:rPr>
          <w:rFonts w:asciiTheme="minorHAnsi" w:hAnsiTheme="minorHAnsi" w:cstheme="minorHAnsi"/>
          <w:sz w:val="22"/>
          <w:szCs w:val="22"/>
        </w:rPr>
        <w:t>se pozitivno odraziti na</w:t>
      </w:r>
      <w:r w:rsidRPr="0055492A">
        <w:rPr>
          <w:rFonts w:asciiTheme="minorHAnsi" w:hAnsiTheme="minorHAnsi" w:cstheme="minorHAnsi"/>
          <w:sz w:val="22"/>
          <w:szCs w:val="22"/>
        </w:rPr>
        <w:t xml:space="preserve"> neto izvoz. </w:t>
      </w:r>
    </w:p>
    <w:p w:rsidR="0048511B" w:rsidRDefault="0048511B" w:rsidP="0048511B">
      <w:pPr>
        <w:spacing w:line="276" w:lineRule="auto"/>
        <w:rPr>
          <w:rFonts w:asciiTheme="minorHAnsi" w:hAnsiTheme="minorHAnsi" w:cstheme="minorHAnsi"/>
          <w:sz w:val="22"/>
          <w:szCs w:val="22"/>
        </w:rPr>
      </w:pPr>
      <w:r w:rsidRPr="0055492A">
        <w:rPr>
          <w:rFonts w:asciiTheme="minorHAnsi" w:hAnsiTheme="minorHAnsi" w:cstheme="minorHAnsi"/>
          <w:sz w:val="22"/>
          <w:szCs w:val="22"/>
        </w:rPr>
        <w:t xml:space="preserve"> </w:t>
      </w:r>
    </w:p>
    <w:p w:rsidR="0048511B" w:rsidRDefault="0048511B" w:rsidP="0048511B">
      <w:pPr>
        <w:spacing w:line="276" w:lineRule="auto"/>
        <w:rPr>
          <w:rFonts w:asciiTheme="minorHAnsi" w:hAnsiTheme="minorHAnsi" w:cstheme="minorHAnsi"/>
          <w:sz w:val="22"/>
          <w:szCs w:val="22"/>
        </w:rPr>
      </w:pPr>
      <w:r w:rsidRPr="0055492A">
        <w:rPr>
          <w:rFonts w:asciiTheme="minorHAnsi" w:hAnsiTheme="minorHAnsi" w:cstheme="minorHAnsi"/>
          <w:sz w:val="22"/>
          <w:szCs w:val="22"/>
        </w:rPr>
        <w:t xml:space="preserve">U </w:t>
      </w:r>
      <w:r>
        <w:rPr>
          <w:rFonts w:asciiTheme="minorHAnsi" w:hAnsiTheme="minorHAnsi" w:cstheme="minorHAnsi"/>
          <w:sz w:val="22"/>
          <w:szCs w:val="22"/>
        </w:rPr>
        <w:t>narednoj tabeli</w:t>
      </w:r>
      <w:r w:rsidRPr="0055492A">
        <w:rPr>
          <w:rFonts w:asciiTheme="minorHAnsi" w:hAnsiTheme="minorHAnsi" w:cstheme="minorHAnsi"/>
          <w:sz w:val="22"/>
          <w:szCs w:val="22"/>
        </w:rPr>
        <w:t xml:space="preserve"> je dato poređenje makroekonomskih kretanja, odnosno ažuriranih jesenjih projekcija</w:t>
      </w:r>
      <w:r w:rsidR="007C0116">
        <w:rPr>
          <w:rFonts w:asciiTheme="minorHAnsi" w:hAnsiTheme="minorHAnsi" w:cstheme="minorHAnsi"/>
          <w:sz w:val="22"/>
          <w:szCs w:val="22"/>
        </w:rPr>
        <w:t xml:space="preserve"> </w:t>
      </w:r>
      <w:r w:rsidR="000C1F11">
        <w:rPr>
          <w:rFonts w:asciiTheme="minorHAnsi" w:hAnsiTheme="minorHAnsi" w:cstheme="minorHAnsi"/>
          <w:sz w:val="22"/>
          <w:szCs w:val="22"/>
        </w:rPr>
        <w:t>iz 2016</w:t>
      </w:r>
      <w:r w:rsidRPr="0055492A">
        <w:rPr>
          <w:rStyle w:val="FootnoteReference"/>
          <w:rFonts w:asciiTheme="minorHAnsi" w:hAnsiTheme="minorHAnsi" w:cstheme="minorHAnsi"/>
          <w:sz w:val="22"/>
          <w:szCs w:val="22"/>
        </w:rPr>
        <w:footnoteReference w:id="23"/>
      </w:r>
      <w:r w:rsidRPr="0055492A">
        <w:rPr>
          <w:rFonts w:asciiTheme="minorHAnsi" w:hAnsiTheme="minorHAnsi" w:cstheme="minorHAnsi"/>
          <w:sz w:val="22"/>
          <w:szCs w:val="22"/>
        </w:rPr>
        <w:t xml:space="preserve"> i projekcija u koje su uključene dodatne mjere fiskalne konsolidacije</w:t>
      </w:r>
      <w:r>
        <w:rPr>
          <w:rFonts w:asciiTheme="minorHAnsi" w:hAnsiTheme="minorHAnsi" w:cstheme="minorHAnsi"/>
          <w:sz w:val="22"/>
          <w:szCs w:val="22"/>
        </w:rPr>
        <w:t xml:space="preserve"> i efekti tih mjera na makroekonomske indikatore.</w:t>
      </w:r>
    </w:p>
    <w:p w:rsidR="0048511B" w:rsidRDefault="0048511B" w:rsidP="0048511B">
      <w:pPr>
        <w:spacing w:line="276" w:lineRule="auto"/>
        <w:rPr>
          <w:rFonts w:asciiTheme="minorHAnsi" w:hAnsiTheme="minorHAnsi" w:cstheme="minorHAnsi"/>
          <w:sz w:val="22"/>
          <w:szCs w:val="22"/>
        </w:rPr>
      </w:pPr>
    </w:p>
    <w:p w:rsidR="00764B04" w:rsidRPr="00C06475" w:rsidRDefault="00764B04" w:rsidP="00764B04">
      <w:pPr>
        <w:pStyle w:val="Caption"/>
        <w:keepNext/>
        <w:rPr>
          <w:sz w:val="20"/>
          <w:szCs w:val="20"/>
        </w:rPr>
      </w:pPr>
      <w:r w:rsidRPr="00C06475">
        <w:rPr>
          <w:sz w:val="20"/>
          <w:szCs w:val="20"/>
        </w:rPr>
        <w:t xml:space="preserve">Tabela </w:t>
      </w:r>
      <w:r w:rsidR="000D71A3" w:rsidRPr="00C06475">
        <w:rPr>
          <w:sz w:val="20"/>
          <w:szCs w:val="20"/>
        </w:rPr>
        <w:fldChar w:fldCharType="begin"/>
      </w:r>
      <w:r w:rsidRPr="00C06475">
        <w:rPr>
          <w:sz w:val="20"/>
          <w:szCs w:val="20"/>
        </w:rPr>
        <w:instrText xml:space="preserve"> SEQ Tabela \* ARABIC </w:instrText>
      </w:r>
      <w:r w:rsidR="000D71A3" w:rsidRPr="00C06475">
        <w:rPr>
          <w:sz w:val="20"/>
          <w:szCs w:val="20"/>
        </w:rPr>
        <w:fldChar w:fldCharType="separate"/>
      </w:r>
      <w:r w:rsidR="002D5E45">
        <w:rPr>
          <w:noProof/>
          <w:sz w:val="20"/>
          <w:szCs w:val="20"/>
        </w:rPr>
        <w:t>2</w:t>
      </w:r>
      <w:r w:rsidR="000D71A3" w:rsidRPr="00C06475">
        <w:rPr>
          <w:sz w:val="20"/>
          <w:szCs w:val="20"/>
        </w:rPr>
        <w:fldChar w:fldCharType="end"/>
      </w:r>
      <w:r w:rsidRPr="00C06475">
        <w:rPr>
          <w:sz w:val="20"/>
          <w:szCs w:val="20"/>
        </w:rPr>
        <w:t xml:space="preserve"> Makroekonomski scenario 2017-2020</w:t>
      </w:r>
    </w:p>
    <w:tbl>
      <w:tblPr>
        <w:tblStyle w:val="GridTable1Light-Accent21"/>
        <w:tblW w:w="5000" w:type="pct"/>
        <w:tblLook w:val="04A0"/>
      </w:tblPr>
      <w:tblGrid>
        <w:gridCol w:w="4578"/>
        <w:gridCol w:w="1248"/>
        <w:gridCol w:w="1248"/>
        <w:gridCol w:w="1248"/>
        <w:gridCol w:w="1248"/>
      </w:tblGrid>
      <w:tr w:rsidR="00302A4E" w:rsidRPr="0048511B" w:rsidTr="00462D31">
        <w:trPr>
          <w:cnfStyle w:val="100000000000"/>
          <w:trHeight w:val="355"/>
        </w:trPr>
        <w:tc>
          <w:tcPr>
            <w:cnfStyle w:val="001000000000"/>
            <w:tcW w:w="5000" w:type="pct"/>
            <w:gridSpan w:val="5"/>
            <w:noWrap/>
            <w:vAlign w:val="center"/>
            <w:hideMark/>
          </w:tcPr>
          <w:p w:rsidR="00302A4E" w:rsidRPr="0048511B" w:rsidRDefault="00302A4E" w:rsidP="00462D31">
            <w:pPr>
              <w:spacing w:line="240" w:lineRule="auto"/>
              <w:jc w:val="center"/>
              <w:rPr>
                <w:rFonts w:asciiTheme="minorHAnsi" w:hAnsiTheme="minorHAnsi" w:cstheme="minorHAnsi"/>
                <w:sz w:val="20"/>
                <w:szCs w:val="20"/>
              </w:rPr>
            </w:pPr>
            <w:r w:rsidRPr="0048511B">
              <w:rPr>
                <w:rFonts w:asciiTheme="minorHAnsi" w:hAnsiTheme="minorHAnsi" w:cstheme="minorHAnsi"/>
                <w:sz w:val="20"/>
                <w:szCs w:val="20"/>
              </w:rPr>
              <w:t>Makroekonomski scenario 2017-2020</w:t>
            </w:r>
            <w:r w:rsidR="000C1F11">
              <w:rPr>
                <w:rFonts w:asciiTheme="minorHAnsi" w:hAnsiTheme="minorHAnsi" w:cstheme="minorHAnsi"/>
                <w:sz w:val="20"/>
                <w:szCs w:val="20"/>
              </w:rPr>
              <w:t xml:space="preserve"> sadržan u jesenjim projekcijama 2016.</w:t>
            </w:r>
          </w:p>
        </w:tc>
      </w:tr>
      <w:tr w:rsidR="00302A4E" w:rsidRPr="0048511B" w:rsidTr="00462D31">
        <w:trPr>
          <w:trHeight w:val="298"/>
        </w:trPr>
        <w:tc>
          <w:tcPr>
            <w:cnfStyle w:val="001000000000"/>
            <w:tcW w:w="2392" w:type="pct"/>
            <w:noWrap/>
            <w:hideMark/>
          </w:tcPr>
          <w:p w:rsidR="00302A4E" w:rsidRPr="0048511B" w:rsidRDefault="00302A4E" w:rsidP="00462D31">
            <w:pPr>
              <w:spacing w:line="240" w:lineRule="auto"/>
              <w:jc w:val="center"/>
              <w:rPr>
                <w:rFonts w:asciiTheme="minorHAnsi" w:hAnsiTheme="minorHAnsi" w:cstheme="minorHAnsi"/>
                <w:sz w:val="20"/>
                <w:szCs w:val="20"/>
              </w:rPr>
            </w:pP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sz w:val="20"/>
                <w:szCs w:val="20"/>
              </w:rPr>
            </w:pPr>
            <w:r w:rsidRPr="0048511B">
              <w:rPr>
                <w:rFonts w:asciiTheme="minorHAnsi" w:hAnsiTheme="minorHAnsi" w:cstheme="minorHAnsi"/>
                <w:sz w:val="20"/>
                <w:szCs w:val="20"/>
              </w:rPr>
              <w:t>2017</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sz w:val="20"/>
                <w:szCs w:val="20"/>
              </w:rPr>
            </w:pPr>
            <w:r w:rsidRPr="0048511B">
              <w:rPr>
                <w:rFonts w:asciiTheme="minorHAnsi" w:hAnsiTheme="minorHAnsi" w:cstheme="minorHAnsi"/>
                <w:sz w:val="20"/>
                <w:szCs w:val="20"/>
              </w:rPr>
              <w:t>2018</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sz w:val="20"/>
                <w:szCs w:val="20"/>
              </w:rPr>
            </w:pPr>
            <w:r w:rsidRPr="0048511B">
              <w:rPr>
                <w:rFonts w:asciiTheme="minorHAnsi" w:hAnsiTheme="minorHAnsi" w:cstheme="minorHAnsi"/>
                <w:sz w:val="20"/>
                <w:szCs w:val="20"/>
              </w:rPr>
              <w:t>2019</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sz w:val="20"/>
                <w:szCs w:val="20"/>
              </w:rPr>
            </w:pPr>
            <w:r w:rsidRPr="0048511B">
              <w:rPr>
                <w:rFonts w:asciiTheme="minorHAnsi" w:hAnsiTheme="minorHAnsi" w:cstheme="minorHAnsi"/>
                <w:sz w:val="20"/>
                <w:szCs w:val="20"/>
              </w:rPr>
              <w:t>2020</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i/>
                <w:iCs/>
                <w:color w:val="0000FF"/>
                <w:sz w:val="20"/>
                <w:szCs w:val="20"/>
              </w:rPr>
            </w:pPr>
            <w:r w:rsidRPr="0048511B">
              <w:rPr>
                <w:rFonts w:asciiTheme="minorHAnsi" w:hAnsiTheme="minorHAnsi" w:cstheme="minorHAnsi"/>
                <w:i/>
                <w:iCs/>
                <w:color w:val="0000FF"/>
                <w:sz w:val="20"/>
                <w:szCs w:val="20"/>
              </w:rPr>
              <w:t>BDP</w:t>
            </w:r>
            <w:r>
              <w:rPr>
                <w:rFonts w:asciiTheme="minorHAnsi" w:hAnsiTheme="minorHAnsi" w:cstheme="minorHAnsi"/>
                <w:i/>
                <w:iCs/>
                <w:color w:val="0000FF"/>
                <w:sz w:val="20"/>
                <w:szCs w:val="20"/>
              </w:rPr>
              <w:t>-u mil.</w:t>
            </w:r>
            <w:r>
              <w:rPr>
                <w:rFonts w:ascii="Calibri" w:hAnsi="Calibri" w:cs="Calibri"/>
                <w:i/>
                <w:iCs/>
                <w:color w:val="0000FF"/>
                <w:sz w:val="20"/>
                <w:szCs w:val="20"/>
              </w:rPr>
              <w:t>€</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b/>
                <w:bCs/>
                <w:sz w:val="20"/>
                <w:szCs w:val="20"/>
              </w:rPr>
            </w:pPr>
            <w:r w:rsidRPr="0048511B">
              <w:rPr>
                <w:rFonts w:asciiTheme="minorHAnsi" w:hAnsiTheme="minorHAnsi" w:cstheme="minorHAnsi"/>
                <w:b/>
                <w:bCs/>
                <w:sz w:val="20"/>
                <w:szCs w:val="20"/>
              </w:rPr>
              <w:t>3975.7</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b/>
                <w:bCs/>
                <w:sz w:val="20"/>
                <w:szCs w:val="20"/>
              </w:rPr>
            </w:pPr>
            <w:r w:rsidRPr="0048511B">
              <w:rPr>
                <w:rFonts w:asciiTheme="minorHAnsi" w:hAnsiTheme="minorHAnsi" w:cstheme="minorHAnsi"/>
                <w:b/>
                <w:bCs/>
                <w:sz w:val="20"/>
                <w:szCs w:val="20"/>
              </w:rPr>
              <w:t>4227.2</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b/>
                <w:bCs/>
                <w:sz w:val="20"/>
                <w:szCs w:val="20"/>
              </w:rPr>
            </w:pPr>
            <w:r w:rsidRPr="0048511B">
              <w:rPr>
                <w:rFonts w:asciiTheme="minorHAnsi" w:hAnsiTheme="minorHAnsi" w:cstheme="minorHAnsi"/>
                <w:b/>
                <w:bCs/>
                <w:sz w:val="20"/>
                <w:szCs w:val="20"/>
              </w:rPr>
              <w:t>4410.4</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b/>
                <w:bCs/>
                <w:sz w:val="20"/>
                <w:szCs w:val="20"/>
              </w:rPr>
            </w:pPr>
            <w:r w:rsidRPr="0048511B">
              <w:rPr>
                <w:rFonts w:asciiTheme="minorHAnsi" w:hAnsiTheme="minorHAnsi" w:cstheme="minorHAnsi"/>
                <w:b/>
                <w:bCs/>
                <w:sz w:val="20"/>
                <w:szCs w:val="20"/>
              </w:rPr>
              <w:t>4566.7</w:t>
            </w:r>
          </w:p>
        </w:tc>
      </w:tr>
      <w:tr w:rsidR="00302A4E" w:rsidRPr="0048511B" w:rsidTr="00462D31">
        <w:trPr>
          <w:trHeight w:val="327"/>
        </w:trPr>
        <w:tc>
          <w:tcPr>
            <w:cnfStyle w:val="001000000000"/>
            <w:tcW w:w="2392" w:type="pct"/>
            <w:noWrap/>
            <w:hideMark/>
          </w:tcPr>
          <w:p w:rsidR="00302A4E" w:rsidRPr="0048511B" w:rsidRDefault="00302A4E" w:rsidP="00462D31">
            <w:pPr>
              <w:spacing w:line="240" w:lineRule="auto"/>
              <w:rPr>
                <w:rFonts w:asciiTheme="minorHAnsi" w:hAnsiTheme="minorHAnsi" w:cstheme="minorHAnsi"/>
                <w:i/>
                <w:iCs/>
                <w:sz w:val="20"/>
                <w:szCs w:val="20"/>
              </w:rPr>
            </w:pPr>
            <w:r w:rsidRPr="0048511B">
              <w:rPr>
                <w:rFonts w:asciiTheme="minorHAnsi" w:hAnsiTheme="minorHAnsi" w:cstheme="minorHAnsi"/>
                <w:i/>
                <w:iCs/>
                <w:sz w:val="20"/>
                <w:szCs w:val="20"/>
              </w:rPr>
              <w:t>Nominalni rast</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5.4</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6.3</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4.3</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3.5</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i/>
                <w:iCs/>
                <w:sz w:val="20"/>
                <w:szCs w:val="20"/>
              </w:rPr>
            </w:pPr>
            <w:r w:rsidRPr="0048511B">
              <w:rPr>
                <w:rFonts w:asciiTheme="minorHAnsi" w:hAnsiTheme="minorHAnsi" w:cstheme="minorHAnsi"/>
                <w:i/>
                <w:iCs/>
                <w:sz w:val="20"/>
                <w:szCs w:val="20"/>
              </w:rPr>
              <w:t xml:space="preserve">Realni rast </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b/>
                <w:i/>
                <w:iCs/>
                <w:sz w:val="20"/>
                <w:szCs w:val="20"/>
              </w:rPr>
            </w:pPr>
            <w:r w:rsidRPr="0048511B">
              <w:rPr>
                <w:rFonts w:asciiTheme="minorHAnsi" w:hAnsiTheme="minorHAnsi" w:cstheme="minorHAnsi"/>
                <w:b/>
                <w:i/>
                <w:iCs/>
                <w:sz w:val="20"/>
                <w:szCs w:val="20"/>
              </w:rPr>
              <w:t>3.3</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b/>
                <w:i/>
                <w:iCs/>
                <w:sz w:val="20"/>
                <w:szCs w:val="20"/>
              </w:rPr>
            </w:pPr>
            <w:r w:rsidRPr="0048511B">
              <w:rPr>
                <w:rFonts w:asciiTheme="minorHAnsi" w:hAnsiTheme="minorHAnsi" w:cstheme="minorHAnsi"/>
                <w:b/>
                <w:i/>
                <w:iCs/>
                <w:sz w:val="20"/>
                <w:szCs w:val="20"/>
              </w:rPr>
              <w:t>4.4</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b/>
                <w:i/>
                <w:iCs/>
                <w:sz w:val="20"/>
                <w:szCs w:val="20"/>
              </w:rPr>
            </w:pPr>
            <w:r w:rsidRPr="0048511B">
              <w:rPr>
                <w:rFonts w:asciiTheme="minorHAnsi" w:hAnsiTheme="minorHAnsi" w:cstheme="minorHAnsi"/>
                <w:b/>
                <w:i/>
                <w:iCs/>
                <w:sz w:val="20"/>
                <w:szCs w:val="20"/>
              </w:rPr>
              <w:t>2.6</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b/>
                <w:i/>
                <w:iCs/>
                <w:sz w:val="20"/>
                <w:szCs w:val="20"/>
              </w:rPr>
            </w:pPr>
            <w:r w:rsidRPr="0048511B">
              <w:rPr>
                <w:rFonts w:asciiTheme="minorHAnsi" w:hAnsiTheme="minorHAnsi" w:cstheme="minorHAnsi"/>
                <w:b/>
                <w:i/>
                <w:iCs/>
                <w:sz w:val="20"/>
                <w:szCs w:val="20"/>
              </w:rPr>
              <w:t>2.0</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 xml:space="preserve">Deflator </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2.0</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1.9</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1.6</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1.5</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Potrošnja domaćinstava % BDP</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75.9</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73.6</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72.7</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72.3</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Investicije % BDP</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28.5</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30.9</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30.1</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27.6</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Uvoz roba  % BDP</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53.3</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51.6</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49.5</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46.3</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Inflacija %</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2.2</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2.0</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1.7</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i/>
                <w:iCs/>
                <w:sz w:val="20"/>
                <w:szCs w:val="20"/>
              </w:rPr>
            </w:pPr>
            <w:r w:rsidRPr="0048511B">
              <w:rPr>
                <w:rFonts w:asciiTheme="minorHAnsi" w:hAnsiTheme="minorHAnsi" w:cstheme="minorHAnsi"/>
                <w:i/>
                <w:iCs/>
                <w:sz w:val="20"/>
                <w:szCs w:val="20"/>
              </w:rPr>
              <w:t>1.5</w:t>
            </w:r>
          </w:p>
        </w:tc>
      </w:tr>
      <w:tr w:rsidR="00302A4E" w:rsidRPr="0048511B" w:rsidTr="00462D31">
        <w:trPr>
          <w:trHeight w:val="161"/>
        </w:trPr>
        <w:tc>
          <w:tcPr>
            <w:cnfStyle w:val="001000000000"/>
            <w:tcW w:w="2392" w:type="pct"/>
            <w:noWrap/>
            <w:hideMark/>
          </w:tcPr>
          <w:p w:rsidR="00302A4E" w:rsidRPr="0048511B" w:rsidRDefault="00302A4E" w:rsidP="00462D31">
            <w:pPr>
              <w:spacing w:line="240" w:lineRule="auto"/>
              <w:jc w:val="right"/>
              <w:rPr>
                <w:rFonts w:asciiTheme="minorHAnsi" w:hAnsiTheme="minorHAnsi" w:cstheme="minorHAnsi"/>
                <w:i/>
                <w:iCs/>
                <w:sz w:val="20"/>
                <w:szCs w:val="20"/>
              </w:rPr>
            </w:pPr>
          </w:p>
        </w:tc>
        <w:tc>
          <w:tcPr>
            <w:tcW w:w="652" w:type="pct"/>
            <w:noWrap/>
            <w:hideMark/>
          </w:tcPr>
          <w:p w:rsidR="00302A4E" w:rsidRPr="0048511B" w:rsidRDefault="00302A4E" w:rsidP="00462D31">
            <w:pPr>
              <w:spacing w:line="240" w:lineRule="auto"/>
              <w:cnfStyle w:val="000000000000"/>
              <w:rPr>
                <w:rFonts w:asciiTheme="minorHAnsi" w:hAnsiTheme="minorHAnsi" w:cstheme="minorHAnsi"/>
                <w:color w:val="auto"/>
                <w:sz w:val="20"/>
                <w:szCs w:val="20"/>
              </w:rPr>
            </w:pP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color w:val="auto"/>
                <w:sz w:val="20"/>
                <w:szCs w:val="20"/>
              </w:rPr>
            </w:pP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color w:val="auto"/>
                <w:sz w:val="20"/>
                <w:szCs w:val="20"/>
              </w:rPr>
            </w:pP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color w:val="auto"/>
                <w:sz w:val="20"/>
                <w:szCs w:val="20"/>
              </w:rPr>
            </w:pPr>
          </w:p>
        </w:tc>
      </w:tr>
      <w:tr w:rsidR="00302A4E" w:rsidRPr="0048511B" w:rsidTr="00462D31">
        <w:trPr>
          <w:trHeight w:val="355"/>
        </w:trPr>
        <w:tc>
          <w:tcPr>
            <w:cnfStyle w:val="001000000000"/>
            <w:tcW w:w="5000" w:type="pct"/>
            <w:gridSpan w:val="5"/>
            <w:noWrap/>
            <w:vAlign w:val="center"/>
            <w:hideMark/>
          </w:tcPr>
          <w:p w:rsidR="00302A4E" w:rsidRPr="0048511B" w:rsidRDefault="00302A4E" w:rsidP="00462D31">
            <w:pPr>
              <w:spacing w:line="240" w:lineRule="auto"/>
              <w:jc w:val="center"/>
              <w:rPr>
                <w:rFonts w:asciiTheme="minorHAnsi" w:hAnsiTheme="minorHAnsi" w:cstheme="minorHAnsi"/>
                <w:sz w:val="20"/>
                <w:szCs w:val="20"/>
              </w:rPr>
            </w:pPr>
            <w:r w:rsidRPr="0048511B">
              <w:rPr>
                <w:rFonts w:asciiTheme="minorHAnsi" w:hAnsiTheme="minorHAnsi" w:cstheme="minorHAnsi"/>
                <w:sz w:val="20"/>
                <w:szCs w:val="20"/>
              </w:rPr>
              <w:t>Makroekonomski scenario 2017-2020</w:t>
            </w:r>
            <w:r>
              <w:rPr>
                <w:rFonts w:asciiTheme="minorHAnsi" w:hAnsiTheme="minorHAnsi" w:cstheme="minorHAnsi"/>
                <w:sz w:val="20"/>
                <w:szCs w:val="20"/>
              </w:rPr>
              <w:t>, sa dodatnim</w:t>
            </w:r>
            <w:r w:rsidRPr="0048511B">
              <w:rPr>
                <w:rFonts w:asciiTheme="minorHAnsi" w:hAnsiTheme="minorHAnsi" w:cstheme="minorHAnsi"/>
                <w:sz w:val="20"/>
                <w:szCs w:val="20"/>
              </w:rPr>
              <w:t xml:space="preserve"> mjerama</w:t>
            </w:r>
            <w:r>
              <w:rPr>
                <w:rFonts w:asciiTheme="minorHAnsi" w:hAnsiTheme="minorHAnsi" w:cstheme="minorHAnsi"/>
                <w:sz w:val="20"/>
                <w:szCs w:val="20"/>
              </w:rPr>
              <w:t xml:space="preserve"> fiskalne konsolidacije</w:t>
            </w:r>
          </w:p>
        </w:tc>
      </w:tr>
      <w:tr w:rsidR="00302A4E" w:rsidRPr="0048511B" w:rsidTr="00462D31">
        <w:trPr>
          <w:trHeight w:val="298"/>
        </w:trPr>
        <w:tc>
          <w:tcPr>
            <w:cnfStyle w:val="001000000000"/>
            <w:tcW w:w="2392" w:type="pct"/>
            <w:noWrap/>
            <w:hideMark/>
          </w:tcPr>
          <w:p w:rsidR="00302A4E" w:rsidRPr="0048511B" w:rsidRDefault="00302A4E" w:rsidP="00462D31">
            <w:pPr>
              <w:spacing w:line="240" w:lineRule="auto"/>
              <w:jc w:val="center"/>
              <w:rPr>
                <w:rFonts w:asciiTheme="minorHAnsi" w:hAnsiTheme="minorHAnsi" w:cstheme="minorHAnsi"/>
                <w:sz w:val="20"/>
                <w:szCs w:val="20"/>
              </w:rPr>
            </w:pP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sz w:val="20"/>
                <w:szCs w:val="20"/>
              </w:rPr>
            </w:pPr>
            <w:r w:rsidRPr="0048511B">
              <w:rPr>
                <w:rFonts w:asciiTheme="minorHAnsi" w:hAnsiTheme="minorHAnsi" w:cstheme="minorHAnsi"/>
                <w:sz w:val="20"/>
                <w:szCs w:val="20"/>
              </w:rPr>
              <w:t>2017</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sz w:val="20"/>
                <w:szCs w:val="20"/>
              </w:rPr>
            </w:pPr>
            <w:r w:rsidRPr="0048511B">
              <w:rPr>
                <w:rFonts w:asciiTheme="minorHAnsi" w:hAnsiTheme="minorHAnsi" w:cstheme="minorHAnsi"/>
                <w:sz w:val="20"/>
                <w:szCs w:val="20"/>
              </w:rPr>
              <w:t>2018</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sz w:val="20"/>
                <w:szCs w:val="20"/>
              </w:rPr>
            </w:pPr>
            <w:r w:rsidRPr="0048511B">
              <w:rPr>
                <w:rFonts w:asciiTheme="minorHAnsi" w:hAnsiTheme="minorHAnsi" w:cstheme="minorHAnsi"/>
                <w:sz w:val="20"/>
                <w:szCs w:val="20"/>
              </w:rPr>
              <w:t>2019</w:t>
            </w:r>
          </w:p>
        </w:tc>
        <w:tc>
          <w:tcPr>
            <w:tcW w:w="652" w:type="pct"/>
            <w:noWrap/>
            <w:hideMark/>
          </w:tcPr>
          <w:p w:rsidR="00302A4E" w:rsidRPr="0048511B" w:rsidRDefault="00302A4E" w:rsidP="00462D31">
            <w:pPr>
              <w:spacing w:line="240" w:lineRule="auto"/>
              <w:jc w:val="right"/>
              <w:cnfStyle w:val="000000000000"/>
              <w:rPr>
                <w:rFonts w:asciiTheme="minorHAnsi" w:hAnsiTheme="minorHAnsi" w:cstheme="minorHAnsi"/>
                <w:sz w:val="20"/>
                <w:szCs w:val="20"/>
              </w:rPr>
            </w:pPr>
            <w:r w:rsidRPr="0048511B">
              <w:rPr>
                <w:rFonts w:asciiTheme="minorHAnsi" w:hAnsiTheme="minorHAnsi" w:cstheme="minorHAnsi"/>
                <w:sz w:val="20"/>
                <w:szCs w:val="20"/>
              </w:rPr>
              <w:t>2020</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i/>
                <w:iCs/>
                <w:color w:val="0000FF"/>
                <w:sz w:val="20"/>
                <w:szCs w:val="20"/>
              </w:rPr>
            </w:pPr>
            <w:r w:rsidRPr="0048511B">
              <w:rPr>
                <w:rFonts w:asciiTheme="minorHAnsi" w:hAnsiTheme="minorHAnsi" w:cstheme="minorHAnsi"/>
                <w:i/>
                <w:iCs/>
                <w:color w:val="0000FF"/>
                <w:sz w:val="20"/>
                <w:szCs w:val="20"/>
              </w:rPr>
              <w:t>BDP</w:t>
            </w:r>
            <w:r>
              <w:rPr>
                <w:rFonts w:asciiTheme="minorHAnsi" w:hAnsiTheme="minorHAnsi" w:cstheme="minorHAnsi"/>
                <w:i/>
                <w:iCs/>
                <w:color w:val="0000FF"/>
                <w:sz w:val="20"/>
                <w:szCs w:val="20"/>
              </w:rPr>
              <w:t>-u mil.</w:t>
            </w:r>
            <w:r>
              <w:rPr>
                <w:rFonts w:ascii="Calibri" w:hAnsi="Calibri" w:cs="Calibri"/>
                <w:i/>
                <w:iCs/>
                <w:color w:val="0000FF"/>
                <w:sz w:val="20"/>
                <w:szCs w:val="20"/>
              </w:rPr>
              <w:t>€</w:t>
            </w:r>
          </w:p>
        </w:tc>
        <w:tc>
          <w:tcPr>
            <w:tcW w:w="652" w:type="pct"/>
            <w:noWrap/>
            <w:vAlign w:val="center"/>
            <w:hideMark/>
          </w:tcPr>
          <w:p w:rsidR="00302A4E" w:rsidRDefault="00302A4E" w:rsidP="00462D31">
            <w:pPr>
              <w:jc w:val="right"/>
              <w:cnfStyle w:val="000000000000"/>
              <w:rPr>
                <w:rFonts w:ascii="Calibri" w:hAnsi="Calibri"/>
                <w:b/>
                <w:bCs/>
              </w:rPr>
            </w:pPr>
            <w:r>
              <w:rPr>
                <w:rFonts w:ascii="Calibri" w:hAnsi="Calibri"/>
                <w:b/>
                <w:bCs/>
              </w:rPr>
              <w:t>3957.2</w:t>
            </w:r>
          </w:p>
        </w:tc>
        <w:tc>
          <w:tcPr>
            <w:tcW w:w="652" w:type="pct"/>
            <w:noWrap/>
            <w:vAlign w:val="center"/>
            <w:hideMark/>
          </w:tcPr>
          <w:p w:rsidR="00302A4E" w:rsidRDefault="00302A4E" w:rsidP="00462D31">
            <w:pPr>
              <w:jc w:val="right"/>
              <w:cnfStyle w:val="000000000000"/>
              <w:rPr>
                <w:rFonts w:ascii="Calibri" w:hAnsi="Calibri"/>
                <w:b/>
                <w:bCs/>
              </w:rPr>
            </w:pPr>
            <w:r>
              <w:rPr>
                <w:rFonts w:ascii="Calibri" w:hAnsi="Calibri"/>
                <w:b/>
                <w:bCs/>
              </w:rPr>
              <w:t>4192.4</w:t>
            </w:r>
          </w:p>
        </w:tc>
        <w:tc>
          <w:tcPr>
            <w:tcW w:w="652" w:type="pct"/>
            <w:noWrap/>
            <w:vAlign w:val="center"/>
            <w:hideMark/>
          </w:tcPr>
          <w:p w:rsidR="00302A4E" w:rsidRDefault="00302A4E" w:rsidP="00462D31">
            <w:pPr>
              <w:jc w:val="right"/>
              <w:cnfStyle w:val="000000000000"/>
              <w:rPr>
                <w:rFonts w:ascii="Calibri" w:hAnsi="Calibri"/>
                <w:b/>
                <w:bCs/>
              </w:rPr>
            </w:pPr>
            <w:r>
              <w:rPr>
                <w:rFonts w:ascii="Calibri" w:hAnsi="Calibri"/>
                <w:b/>
                <w:bCs/>
              </w:rPr>
              <w:t>4372.2</w:t>
            </w:r>
          </w:p>
        </w:tc>
        <w:tc>
          <w:tcPr>
            <w:tcW w:w="652" w:type="pct"/>
            <w:noWrap/>
            <w:vAlign w:val="center"/>
            <w:hideMark/>
          </w:tcPr>
          <w:p w:rsidR="00302A4E" w:rsidRDefault="00302A4E" w:rsidP="00462D31">
            <w:pPr>
              <w:jc w:val="right"/>
              <w:cnfStyle w:val="000000000000"/>
              <w:rPr>
                <w:rFonts w:ascii="Calibri" w:hAnsi="Calibri"/>
                <w:b/>
                <w:bCs/>
              </w:rPr>
            </w:pPr>
            <w:r>
              <w:rPr>
                <w:rFonts w:ascii="Calibri" w:hAnsi="Calibri"/>
                <w:b/>
                <w:bCs/>
              </w:rPr>
              <w:t>4536.4</w:t>
            </w:r>
          </w:p>
        </w:tc>
      </w:tr>
      <w:tr w:rsidR="00302A4E" w:rsidRPr="0048511B" w:rsidTr="00462D31">
        <w:trPr>
          <w:trHeight w:val="327"/>
        </w:trPr>
        <w:tc>
          <w:tcPr>
            <w:cnfStyle w:val="001000000000"/>
            <w:tcW w:w="2392" w:type="pct"/>
            <w:noWrap/>
            <w:hideMark/>
          </w:tcPr>
          <w:p w:rsidR="00302A4E" w:rsidRPr="0048511B" w:rsidRDefault="00302A4E" w:rsidP="00462D31">
            <w:pPr>
              <w:spacing w:line="240" w:lineRule="auto"/>
              <w:rPr>
                <w:rFonts w:asciiTheme="minorHAnsi" w:hAnsiTheme="minorHAnsi" w:cstheme="minorHAnsi"/>
                <w:i/>
                <w:iCs/>
                <w:sz w:val="20"/>
                <w:szCs w:val="20"/>
              </w:rPr>
            </w:pPr>
            <w:r w:rsidRPr="0048511B">
              <w:rPr>
                <w:rFonts w:asciiTheme="minorHAnsi" w:hAnsiTheme="minorHAnsi" w:cstheme="minorHAnsi"/>
                <w:i/>
                <w:iCs/>
                <w:sz w:val="20"/>
                <w:szCs w:val="20"/>
              </w:rPr>
              <w:t>Nominalni rast</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4.9</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5.9</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4.3</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3.8</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i/>
                <w:iCs/>
                <w:sz w:val="20"/>
                <w:szCs w:val="20"/>
              </w:rPr>
            </w:pPr>
            <w:r w:rsidRPr="0048511B">
              <w:rPr>
                <w:rFonts w:asciiTheme="minorHAnsi" w:hAnsiTheme="minorHAnsi" w:cstheme="minorHAnsi"/>
                <w:i/>
                <w:iCs/>
                <w:sz w:val="20"/>
                <w:szCs w:val="20"/>
              </w:rPr>
              <w:t xml:space="preserve">Realni rast </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2.7</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3.2</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2.3</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2.1</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 xml:space="preserve">Deflator </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2.1</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2.7</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1.9</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1.6</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Potrošnja domaćinstava % BDP</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75.5</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73.2</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72.5</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72.2</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Investicije  % BDP</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28.5</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31.2</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30.4</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27.9</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Uvoz roba  % BDP</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53.0</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51.8</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49.7</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46.6</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Inflacija %</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2.3</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3.1</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2.1</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1.6</w:t>
            </w:r>
          </w:p>
        </w:tc>
      </w:tr>
      <w:tr w:rsidR="00302A4E" w:rsidRPr="0048511B" w:rsidTr="00462D31">
        <w:trPr>
          <w:trHeight w:val="198"/>
        </w:trPr>
        <w:tc>
          <w:tcPr>
            <w:cnfStyle w:val="001000000000"/>
            <w:tcW w:w="2392" w:type="pct"/>
            <w:noWrap/>
            <w:hideMark/>
          </w:tcPr>
          <w:p w:rsidR="00302A4E" w:rsidRPr="0048511B" w:rsidRDefault="00302A4E" w:rsidP="00462D31">
            <w:pPr>
              <w:spacing w:line="240" w:lineRule="auto"/>
              <w:jc w:val="right"/>
              <w:rPr>
                <w:rFonts w:asciiTheme="minorHAnsi" w:hAnsiTheme="minorHAnsi" w:cstheme="minorHAnsi"/>
                <w:i/>
                <w:iCs/>
                <w:sz w:val="20"/>
                <w:szCs w:val="20"/>
              </w:rPr>
            </w:pPr>
          </w:p>
        </w:tc>
        <w:tc>
          <w:tcPr>
            <w:tcW w:w="652" w:type="pct"/>
            <w:noWrap/>
            <w:hideMark/>
          </w:tcPr>
          <w:p w:rsidR="00302A4E" w:rsidRPr="0048511B" w:rsidRDefault="00302A4E" w:rsidP="00462D31">
            <w:pPr>
              <w:spacing w:line="240" w:lineRule="auto"/>
              <w:jc w:val="center"/>
              <w:cnfStyle w:val="000000000000"/>
              <w:rPr>
                <w:rFonts w:asciiTheme="minorHAnsi" w:hAnsiTheme="minorHAnsi" w:cstheme="minorHAnsi"/>
                <w:color w:val="auto"/>
                <w:sz w:val="20"/>
                <w:szCs w:val="20"/>
              </w:rPr>
            </w:pPr>
          </w:p>
        </w:tc>
        <w:tc>
          <w:tcPr>
            <w:tcW w:w="652" w:type="pct"/>
            <w:noWrap/>
            <w:hideMark/>
          </w:tcPr>
          <w:p w:rsidR="00302A4E" w:rsidRPr="0048511B" w:rsidRDefault="00302A4E" w:rsidP="00462D31">
            <w:pPr>
              <w:spacing w:line="240" w:lineRule="auto"/>
              <w:jc w:val="center"/>
              <w:cnfStyle w:val="000000000000"/>
              <w:rPr>
                <w:rFonts w:asciiTheme="minorHAnsi" w:hAnsiTheme="minorHAnsi" w:cstheme="minorHAnsi"/>
                <w:color w:val="auto"/>
                <w:sz w:val="20"/>
                <w:szCs w:val="20"/>
              </w:rPr>
            </w:pPr>
          </w:p>
        </w:tc>
        <w:tc>
          <w:tcPr>
            <w:tcW w:w="652" w:type="pct"/>
            <w:noWrap/>
            <w:hideMark/>
          </w:tcPr>
          <w:p w:rsidR="00302A4E" w:rsidRPr="0048511B" w:rsidRDefault="00302A4E" w:rsidP="00462D31">
            <w:pPr>
              <w:spacing w:line="240" w:lineRule="auto"/>
              <w:jc w:val="center"/>
              <w:cnfStyle w:val="000000000000"/>
              <w:rPr>
                <w:rFonts w:asciiTheme="minorHAnsi" w:hAnsiTheme="minorHAnsi" w:cstheme="minorHAnsi"/>
                <w:color w:val="auto"/>
                <w:sz w:val="20"/>
                <w:szCs w:val="20"/>
              </w:rPr>
            </w:pPr>
          </w:p>
        </w:tc>
        <w:tc>
          <w:tcPr>
            <w:tcW w:w="652" w:type="pct"/>
            <w:noWrap/>
            <w:hideMark/>
          </w:tcPr>
          <w:p w:rsidR="00302A4E" w:rsidRPr="0048511B" w:rsidRDefault="00302A4E" w:rsidP="00462D31">
            <w:pPr>
              <w:spacing w:line="240" w:lineRule="auto"/>
              <w:jc w:val="center"/>
              <w:cnfStyle w:val="000000000000"/>
              <w:rPr>
                <w:rFonts w:asciiTheme="minorHAnsi" w:hAnsiTheme="minorHAnsi" w:cstheme="minorHAnsi"/>
                <w:color w:val="auto"/>
                <w:sz w:val="20"/>
                <w:szCs w:val="20"/>
              </w:rPr>
            </w:pPr>
          </w:p>
        </w:tc>
      </w:tr>
      <w:tr w:rsidR="00302A4E" w:rsidRPr="0048511B" w:rsidTr="00462D31">
        <w:trPr>
          <w:trHeight w:val="369"/>
        </w:trPr>
        <w:tc>
          <w:tcPr>
            <w:cnfStyle w:val="001000000000"/>
            <w:tcW w:w="5000" w:type="pct"/>
            <w:gridSpan w:val="5"/>
            <w:shd w:val="clear" w:color="auto" w:fill="auto"/>
            <w:noWrap/>
            <w:vAlign w:val="center"/>
            <w:hideMark/>
          </w:tcPr>
          <w:p w:rsidR="00302A4E" w:rsidRPr="0048511B" w:rsidRDefault="00302A4E" w:rsidP="00462D31">
            <w:pPr>
              <w:spacing w:line="240" w:lineRule="auto"/>
              <w:jc w:val="center"/>
              <w:rPr>
                <w:rFonts w:asciiTheme="minorHAnsi" w:hAnsiTheme="minorHAnsi" w:cstheme="minorHAnsi"/>
                <w:sz w:val="20"/>
                <w:szCs w:val="20"/>
              </w:rPr>
            </w:pPr>
            <w:r w:rsidRPr="0048511B">
              <w:rPr>
                <w:rFonts w:asciiTheme="minorHAnsi" w:hAnsiTheme="minorHAnsi" w:cstheme="minorHAnsi"/>
                <w:sz w:val="20"/>
                <w:szCs w:val="20"/>
              </w:rPr>
              <w:t>Razlike</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i/>
                <w:iCs/>
                <w:color w:val="0000FF"/>
                <w:sz w:val="20"/>
                <w:szCs w:val="20"/>
              </w:rPr>
            </w:pPr>
            <w:r w:rsidRPr="0048511B">
              <w:rPr>
                <w:rFonts w:asciiTheme="minorHAnsi" w:hAnsiTheme="minorHAnsi" w:cstheme="minorHAnsi"/>
                <w:i/>
                <w:iCs/>
                <w:color w:val="0000FF"/>
                <w:sz w:val="20"/>
                <w:szCs w:val="20"/>
              </w:rPr>
              <w:t>BDP</w:t>
            </w:r>
            <w:r>
              <w:rPr>
                <w:rFonts w:asciiTheme="minorHAnsi" w:hAnsiTheme="minorHAnsi" w:cstheme="minorHAnsi"/>
                <w:i/>
                <w:iCs/>
                <w:color w:val="0000FF"/>
                <w:sz w:val="20"/>
                <w:szCs w:val="20"/>
              </w:rPr>
              <w:t>-u mil.</w:t>
            </w:r>
            <w:r>
              <w:rPr>
                <w:rFonts w:ascii="Calibri" w:hAnsi="Calibri" w:cs="Calibri"/>
                <w:i/>
                <w:iCs/>
                <w:color w:val="0000FF"/>
                <w:sz w:val="20"/>
                <w:szCs w:val="20"/>
              </w:rPr>
              <w:t>€</w:t>
            </w:r>
          </w:p>
        </w:tc>
        <w:tc>
          <w:tcPr>
            <w:tcW w:w="652" w:type="pct"/>
            <w:noWrap/>
            <w:vAlign w:val="center"/>
            <w:hideMark/>
          </w:tcPr>
          <w:p w:rsidR="00302A4E" w:rsidRDefault="00302A4E" w:rsidP="00462D31">
            <w:pPr>
              <w:jc w:val="right"/>
              <w:cnfStyle w:val="000000000000"/>
              <w:rPr>
                <w:rFonts w:ascii="Calibri" w:hAnsi="Calibri"/>
                <w:b/>
                <w:bCs/>
              </w:rPr>
            </w:pPr>
            <w:r>
              <w:rPr>
                <w:rFonts w:ascii="Calibri" w:hAnsi="Calibri"/>
                <w:b/>
                <w:bCs/>
              </w:rPr>
              <w:t>-18.4</w:t>
            </w:r>
          </w:p>
        </w:tc>
        <w:tc>
          <w:tcPr>
            <w:tcW w:w="652" w:type="pct"/>
            <w:noWrap/>
            <w:vAlign w:val="center"/>
            <w:hideMark/>
          </w:tcPr>
          <w:p w:rsidR="00302A4E" w:rsidRDefault="00302A4E" w:rsidP="00462D31">
            <w:pPr>
              <w:jc w:val="right"/>
              <w:cnfStyle w:val="000000000000"/>
              <w:rPr>
                <w:rFonts w:ascii="Calibri" w:hAnsi="Calibri"/>
                <w:b/>
                <w:bCs/>
              </w:rPr>
            </w:pPr>
            <w:r>
              <w:rPr>
                <w:rFonts w:ascii="Calibri" w:hAnsi="Calibri"/>
                <w:b/>
                <w:bCs/>
              </w:rPr>
              <w:t>-34.8</w:t>
            </w:r>
          </w:p>
        </w:tc>
        <w:tc>
          <w:tcPr>
            <w:tcW w:w="652" w:type="pct"/>
            <w:noWrap/>
            <w:vAlign w:val="center"/>
            <w:hideMark/>
          </w:tcPr>
          <w:p w:rsidR="00302A4E" w:rsidRDefault="00302A4E" w:rsidP="00462D31">
            <w:pPr>
              <w:jc w:val="right"/>
              <w:cnfStyle w:val="000000000000"/>
              <w:rPr>
                <w:rFonts w:ascii="Calibri" w:hAnsi="Calibri"/>
                <w:b/>
                <w:bCs/>
              </w:rPr>
            </w:pPr>
            <w:r>
              <w:rPr>
                <w:rFonts w:ascii="Calibri" w:hAnsi="Calibri"/>
                <w:b/>
                <w:bCs/>
              </w:rPr>
              <w:t>-38.2</w:t>
            </w:r>
          </w:p>
        </w:tc>
        <w:tc>
          <w:tcPr>
            <w:tcW w:w="652" w:type="pct"/>
            <w:noWrap/>
            <w:vAlign w:val="center"/>
            <w:hideMark/>
          </w:tcPr>
          <w:p w:rsidR="00302A4E" w:rsidRDefault="00302A4E" w:rsidP="00462D31">
            <w:pPr>
              <w:jc w:val="right"/>
              <w:cnfStyle w:val="000000000000"/>
              <w:rPr>
                <w:rFonts w:ascii="Calibri" w:hAnsi="Calibri"/>
                <w:b/>
                <w:bCs/>
              </w:rPr>
            </w:pPr>
            <w:r>
              <w:rPr>
                <w:rFonts w:ascii="Calibri" w:hAnsi="Calibri"/>
                <w:b/>
                <w:bCs/>
              </w:rPr>
              <w:t>-30.3</w:t>
            </w:r>
          </w:p>
        </w:tc>
      </w:tr>
      <w:tr w:rsidR="00302A4E" w:rsidRPr="0048511B" w:rsidTr="00462D31">
        <w:trPr>
          <w:trHeight w:val="327"/>
        </w:trPr>
        <w:tc>
          <w:tcPr>
            <w:cnfStyle w:val="001000000000"/>
            <w:tcW w:w="2392" w:type="pct"/>
            <w:noWrap/>
            <w:hideMark/>
          </w:tcPr>
          <w:p w:rsidR="00302A4E" w:rsidRPr="0048511B" w:rsidRDefault="00302A4E" w:rsidP="00462D31">
            <w:pPr>
              <w:spacing w:line="240" w:lineRule="auto"/>
              <w:rPr>
                <w:rFonts w:asciiTheme="minorHAnsi" w:hAnsiTheme="minorHAnsi" w:cstheme="minorHAnsi"/>
                <w:i/>
                <w:iCs/>
                <w:sz w:val="20"/>
                <w:szCs w:val="20"/>
              </w:rPr>
            </w:pPr>
            <w:r w:rsidRPr="0048511B">
              <w:rPr>
                <w:rFonts w:asciiTheme="minorHAnsi" w:hAnsiTheme="minorHAnsi" w:cstheme="minorHAnsi"/>
                <w:i/>
                <w:iCs/>
                <w:sz w:val="20"/>
                <w:szCs w:val="20"/>
              </w:rPr>
              <w:t>Nominalni rast</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-0.5</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-0.4</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0.0</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0.2</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i/>
                <w:iCs/>
                <w:sz w:val="20"/>
                <w:szCs w:val="20"/>
              </w:rPr>
            </w:pPr>
            <w:r w:rsidRPr="0048511B">
              <w:rPr>
                <w:rFonts w:asciiTheme="minorHAnsi" w:hAnsiTheme="minorHAnsi" w:cstheme="minorHAnsi"/>
                <w:i/>
                <w:iCs/>
                <w:sz w:val="20"/>
                <w:szCs w:val="20"/>
              </w:rPr>
              <w:t xml:space="preserve">Realni rast </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-0.5</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-1.2</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-0.3</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0.1</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 xml:space="preserve">Deflator </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0.1</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0.8</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0.3</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0.1</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Potrošnja domaćinstava % BDP</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-0.4</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-0.4</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-0.2</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-0.1</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Investicije % BDP</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0.0</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0.4</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0.3</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0.3</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Uvoz roba  % BDP</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-0.3</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0.2</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0.3</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0.3</w:t>
            </w:r>
          </w:p>
        </w:tc>
      </w:tr>
      <w:tr w:rsidR="00302A4E" w:rsidRPr="0048511B" w:rsidTr="00462D31">
        <w:trPr>
          <w:trHeight w:val="312"/>
        </w:trPr>
        <w:tc>
          <w:tcPr>
            <w:cnfStyle w:val="001000000000"/>
            <w:tcW w:w="2392" w:type="pct"/>
            <w:noWrap/>
            <w:hideMark/>
          </w:tcPr>
          <w:p w:rsidR="00302A4E" w:rsidRPr="0048511B" w:rsidRDefault="00302A4E" w:rsidP="00462D31">
            <w:pPr>
              <w:spacing w:line="240" w:lineRule="auto"/>
              <w:rPr>
                <w:rFonts w:asciiTheme="minorHAnsi" w:hAnsiTheme="minorHAnsi" w:cstheme="minorHAnsi"/>
                <w:sz w:val="20"/>
                <w:szCs w:val="20"/>
              </w:rPr>
            </w:pPr>
            <w:r w:rsidRPr="0048511B">
              <w:rPr>
                <w:rFonts w:asciiTheme="minorHAnsi" w:hAnsiTheme="minorHAnsi" w:cstheme="minorHAnsi"/>
                <w:sz w:val="20"/>
                <w:szCs w:val="20"/>
              </w:rPr>
              <w:t>Inflacija %</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0.1</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1.1</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0.4</w:t>
            </w:r>
          </w:p>
        </w:tc>
        <w:tc>
          <w:tcPr>
            <w:tcW w:w="652" w:type="pct"/>
            <w:noWrap/>
            <w:vAlign w:val="center"/>
            <w:hideMark/>
          </w:tcPr>
          <w:p w:rsidR="00302A4E" w:rsidRDefault="00302A4E" w:rsidP="00462D31">
            <w:pPr>
              <w:jc w:val="right"/>
              <w:cnfStyle w:val="000000000000"/>
              <w:rPr>
                <w:rFonts w:ascii="Calibri" w:hAnsi="Calibri"/>
                <w:i/>
                <w:iCs/>
              </w:rPr>
            </w:pPr>
            <w:r>
              <w:rPr>
                <w:rFonts w:ascii="Calibri" w:hAnsi="Calibri"/>
                <w:i/>
                <w:iCs/>
              </w:rPr>
              <w:t>0.1</w:t>
            </w:r>
          </w:p>
        </w:tc>
      </w:tr>
    </w:tbl>
    <w:p w:rsidR="0048511B" w:rsidRPr="0055492A" w:rsidRDefault="0048511B" w:rsidP="0048511B">
      <w:pPr>
        <w:spacing w:line="276" w:lineRule="auto"/>
        <w:ind w:left="360"/>
        <w:contextualSpacing/>
        <w:rPr>
          <w:rFonts w:asciiTheme="minorHAnsi" w:hAnsiTheme="minorHAnsi" w:cstheme="minorHAnsi"/>
          <w:sz w:val="22"/>
          <w:szCs w:val="22"/>
        </w:rPr>
      </w:pPr>
    </w:p>
    <w:p w:rsidR="007509B2" w:rsidRDefault="007509B2" w:rsidP="0048511B">
      <w:pPr>
        <w:spacing w:line="276" w:lineRule="auto"/>
        <w:rPr>
          <w:rFonts w:asciiTheme="minorHAnsi" w:hAnsiTheme="minorHAnsi" w:cstheme="minorHAnsi"/>
          <w:sz w:val="22"/>
          <w:szCs w:val="22"/>
        </w:rPr>
      </w:pPr>
    </w:p>
    <w:p w:rsidR="007509B2" w:rsidRDefault="007509B2" w:rsidP="0048511B">
      <w:pPr>
        <w:spacing w:line="276" w:lineRule="auto"/>
        <w:rPr>
          <w:rFonts w:asciiTheme="minorHAnsi" w:hAnsiTheme="minorHAnsi" w:cstheme="minorHAnsi"/>
          <w:sz w:val="22"/>
          <w:szCs w:val="22"/>
        </w:rPr>
      </w:pPr>
    </w:p>
    <w:p w:rsidR="0048511B" w:rsidRDefault="0048511B" w:rsidP="0048511B">
      <w:pPr>
        <w:spacing w:line="276" w:lineRule="auto"/>
        <w:rPr>
          <w:rFonts w:asciiTheme="minorHAnsi" w:hAnsiTheme="minorHAnsi" w:cstheme="minorHAnsi"/>
          <w:sz w:val="22"/>
          <w:szCs w:val="22"/>
        </w:rPr>
      </w:pPr>
      <w:r>
        <w:rPr>
          <w:rFonts w:asciiTheme="minorHAnsi" w:hAnsiTheme="minorHAnsi" w:cstheme="minorHAnsi"/>
          <w:sz w:val="22"/>
          <w:szCs w:val="22"/>
        </w:rPr>
        <w:t>Kao što se vidi iz tabele, uticaj dodatnih mjera fiskalne konsolidacije</w:t>
      </w:r>
      <w:r w:rsidRPr="0055492A">
        <w:rPr>
          <w:rFonts w:asciiTheme="minorHAnsi" w:hAnsiTheme="minorHAnsi" w:cstheme="minorHAnsi"/>
          <w:sz w:val="22"/>
          <w:szCs w:val="22"/>
        </w:rPr>
        <w:t xml:space="preserve"> </w:t>
      </w:r>
      <w:r>
        <w:rPr>
          <w:rFonts w:asciiTheme="minorHAnsi" w:hAnsiTheme="minorHAnsi" w:cstheme="minorHAnsi"/>
          <w:sz w:val="22"/>
          <w:szCs w:val="22"/>
        </w:rPr>
        <w:t>na ekonomsku aktivnost, ogleda se u:</w:t>
      </w:r>
    </w:p>
    <w:p w:rsidR="0048511B" w:rsidRPr="0055492A" w:rsidRDefault="0048511B" w:rsidP="0048511B">
      <w:pPr>
        <w:spacing w:line="276" w:lineRule="auto"/>
        <w:rPr>
          <w:rFonts w:asciiTheme="minorHAnsi" w:hAnsiTheme="minorHAnsi" w:cstheme="minorHAnsi"/>
          <w:sz w:val="22"/>
          <w:szCs w:val="22"/>
        </w:rPr>
      </w:pPr>
    </w:p>
    <w:p w:rsidR="0048511B" w:rsidRPr="0055492A" w:rsidRDefault="0048511B" w:rsidP="007C0116">
      <w:pPr>
        <w:numPr>
          <w:ilvl w:val="0"/>
          <w:numId w:val="22"/>
        </w:numPr>
        <w:spacing w:line="276" w:lineRule="auto"/>
        <w:ind w:left="567" w:hanging="283"/>
        <w:contextualSpacing/>
        <w:rPr>
          <w:rFonts w:asciiTheme="minorHAnsi" w:hAnsiTheme="minorHAnsi" w:cstheme="minorHAnsi"/>
          <w:sz w:val="22"/>
          <w:szCs w:val="22"/>
        </w:rPr>
      </w:pPr>
      <w:r>
        <w:rPr>
          <w:rFonts w:asciiTheme="minorHAnsi" w:hAnsiTheme="minorHAnsi" w:cstheme="minorHAnsi"/>
          <w:sz w:val="22"/>
          <w:szCs w:val="22"/>
        </w:rPr>
        <w:t>smanjenju n</w:t>
      </w:r>
      <w:r w:rsidRPr="0055492A">
        <w:rPr>
          <w:rFonts w:asciiTheme="minorHAnsi" w:hAnsiTheme="minorHAnsi" w:cstheme="minorHAnsi"/>
          <w:sz w:val="22"/>
          <w:szCs w:val="22"/>
        </w:rPr>
        <w:t>ominaln</w:t>
      </w:r>
      <w:r>
        <w:rPr>
          <w:rFonts w:asciiTheme="minorHAnsi" w:hAnsiTheme="minorHAnsi" w:cstheme="minorHAnsi"/>
          <w:sz w:val="22"/>
          <w:szCs w:val="22"/>
        </w:rPr>
        <w:t>og</w:t>
      </w:r>
      <w:r w:rsidRPr="0055492A">
        <w:rPr>
          <w:rFonts w:asciiTheme="minorHAnsi" w:hAnsiTheme="minorHAnsi" w:cstheme="minorHAnsi"/>
          <w:sz w:val="22"/>
          <w:szCs w:val="22"/>
        </w:rPr>
        <w:t xml:space="preserve"> iznos</w:t>
      </w:r>
      <w:r>
        <w:rPr>
          <w:rFonts w:asciiTheme="minorHAnsi" w:hAnsiTheme="minorHAnsi" w:cstheme="minorHAnsi"/>
          <w:sz w:val="22"/>
          <w:szCs w:val="22"/>
        </w:rPr>
        <w:t>a</w:t>
      </w:r>
      <w:r w:rsidRPr="0055492A">
        <w:rPr>
          <w:rFonts w:asciiTheme="minorHAnsi" w:hAnsiTheme="minorHAnsi" w:cstheme="minorHAnsi"/>
          <w:sz w:val="22"/>
          <w:szCs w:val="22"/>
        </w:rPr>
        <w:t xml:space="preserve"> BDP-a u 2020</w:t>
      </w:r>
      <w:r>
        <w:rPr>
          <w:rFonts w:asciiTheme="minorHAnsi" w:hAnsiTheme="minorHAnsi" w:cstheme="minorHAnsi"/>
          <w:sz w:val="22"/>
          <w:szCs w:val="22"/>
        </w:rPr>
        <w:t xml:space="preserve">. </w:t>
      </w:r>
      <w:r w:rsidRPr="0055492A">
        <w:rPr>
          <w:rFonts w:asciiTheme="minorHAnsi" w:hAnsiTheme="minorHAnsi" w:cstheme="minorHAnsi"/>
          <w:sz w:val="22"/>
          <w:szCs w:val="22"/>
        </w:rPr>
        <w:t xml:space="preserve">za oko </w:t>
      </w:r>
      <w:r w:rsidR="00302A4E">
        <w:rPr>
          <w:rFonts w:asciiTheme="minorHAnsi" w:hAnsiTheme="minorHAnsi" w:cstheme="minorHAnsi"/>
          <w:sz w:val="22"/>
          <w:szCs w:val="22"/>
        </w:rPr>
        <w:t>30,3</w:t>
      </w:r>
      <w:r w:rsidRPr="0055492A">
        <w:rPr>
          <w:rFonts w:asciiTheme="minorHAnsi" w:hAnsiTheme="minorHAnsi" w:cstheme="minorHAnsi"/>
          <w:sz w:val="22"/>
          <w:szCs w:val="22"/>
        </w:rPr>
        <w:t xml:space="preserve"> mil.€</w:t>
      </w:r>
      <w:r>
        <w:rPr>
          <w:rFonts w:asciiTheme="minorHAnsi" w:hAnsiTheme="minorHAnsi" w:cstheme="minorHAnsi"/>
          <w:sz w:val="22"/>
          <w:szCs w:val="22"/>
        </w:rPr>
        <w:t>;</w:t>
      </w:r>
    </w:p>
    <w:p w:rsidR="0048511B" w:rsidRPr="0055492A" w:rsidRDefault="0048511B" w:rsidP="007C0116">
      <w:pPr>
        <w:numPr>
          <w:ilvl w:val="0"/>
          <w:numId w:val="22"/>
        </w:numPr>
        <w:spacing w:line="276" w:lineRule="auto"/>
        <w:ind w:left="567" w:hanging="283"/>
        <w:contextualSpacing/>
        <w:rPr>
          <w:rFonts w:asciiTheme="minorHAnsi" w:hAnsiTheme="minorHAnsi" w:cstheme="minorHAnsi"/>
          <w:sz w:val="22"/>
          <w:szCs w:val="22"/>
        </w:rPr>
      </w:pPr>
      <w:r>
        <w:rPr>
          <w:rFonts w:asciiTheme="minorHAnsi" w:hAnsiTheme="minorHAnsi" w:cstheme="minorHAnsi"/>
          <w:sz w:val="22"/>
          <w:szCs w:val="22"/>
        </w:rPr>
        <w:t>smanjenju n</w:t>
      </w:r>
      <w:r w:rsidRPr="0055492A">
        <w:rPr>
          <w:rFonts w:asciiTheme="minorHAnsi" w:hAnsiTheme="minorHAnsi" w:cstheme="minorHAnsi"/>
          <w:sz w:val="22"/>
          <w:szCs w:val="22"/>
        </w:rPr>
        <w:t>ominaln</w:t>
      </w:r>
      <w:r>
        <w:rPr>
          <w:rFonts w:asciiTheme="minorHAnsi" w:hAnsiTheme="minorHAnsi" w:cstheme="minorHAnsi"/>
          <w:sz w:val="22"/>
          <w:szCs w:val="22"/>
        </w:rPr>
        <w:t>e</w:t>
      </w:r>
      <w:r w:rsidRPr="0055492A">
        <w:rPr>
          <w:rFonts w:asciiTheme="minorHAnsi" w:hAnsiTheme="minorHAnsi" w:cstheme="minorHAnsi"/>
          <w:sz w:val="22"/>
          <w:szCs w:val="22"/>
        </w:rPr>
        <w:t xml:space="preserve"> stop</w:t>
      </w:r>
      <w:r>
        <w:rPr>
          <w:rFonts w:asciiTheme="minorHAnsi" w:hAnsiTheme="minorHAnsi" w:cstheme="minorHAnsi"/>
          <w:sz w:val="22"/>
          <w:szCs w:val="22"/>
        </w:rPr>
        <w:t>e</w:t>
      </w:r>
      <w:r w:rsidRPr="0055492A">
        <w:rPr>
          <w:rFonts w:asciiTheme="minorHAnsi" w:hAnsiTheme="minorHAnsi" w:cstheme="minorHAnsi"/>
          <w:sz w:val="22"/>
          <w:szCs w:val="22"/>
        </w:rPr>
        <w:t xml:space="preserve"> rasta BDP-a</w:t>
      </w:r>
      <w:r>
        <w:rPr>
          <w:rFonts w:asciiTheme="minorHAnsi" w:hAnsiTheme="minorHAnsi" w:cstheme="minorHAnsi"/>
          <w:sz w:val="22"/>
          <w:szCs w:val="22"/>
        </w:rPr>
        <w:t>, u periodu 2017-2020,</w:t>
      </w:r>
      <w:r w:rsidR="00302A4E">
        <w:rPr>
          <w:rFonts w:asciiTheme="minorHAnsi" w:hAnsiTheme="minorHAnsi" w:cstheme="minorHAnsi"/>
          <w:sz w:val="22"/>
          <w:szCs w:val="22"/>
        </w:rPr>
        <w:t xml:space="preserve"> prosječno za 0,2</w:t>
      </w:r>
      <w:r>
        <w:rPr>
          <w:rFonts w:asciiTheme="minorHAnsi" w:hAnsiTheme="minorHAnsi" w:cstheme="minorHAnsi"/>
          <w:sz w:val="22"/>
          <w:szCs w:val="22"/>
        </w:rPr>
        <w:t xml:space="preserve"> p.p;</w:t>
      </w:r>
    </w:p>
    <w:p w:rsidR="0048511B" w:rsidRPr="0055492A" w:rsidRDefault="0048511B" w:rsidP="007C0116">
      <w:pPr>
        <w:numPr>
          <w:ilvl w:val="0"/>
          <w:numId w:val="22"/>
        </w:numPr>
        <w:spacing w:line="276" w:lineRule="auto"/>
        <w:ind w:left="567" w:hanging="283"/>
        <w:contextualSpacing/>
        <w:rPr>
          <w:rFonts w:asciiTheme="minorHAnsi" w:hAnsiTheme="minorHAnsi" w:cstheme="minorHAnsi"/>
          <w:sz w:val="22"/>
          <w:szCs w:val="22"/>
        </w:rPr>
      </w:pPr>
      <w:r>
        <w:rPr>
          <w:rFonts w:asciiTheme="minorHAnsi" w:hAnsiTheme="minorHAnsi" w:cstheme="minorHAnsi"/>
          <w:sz w:val="22"/>
          <w:szCs w:val="22"/>
        </w:rPr>
        <w:t>nižoj r</w:t>
      </w:r>
      <w:r w:rsidRPr="0055492A">
        <w:rPr>
          <w:rFonts w:asciiTheme="minorHAnsi" w:hAnsiTheme="minorHAnsi" w:cstheme="minorHAnsi"/>
          <w:sz w:val="22"/>
          <w:szCs w:val="22"/>
        </w:rPr>
        <w:t>ealn</w:t>
      </w:r>
      <w:r>
        <w:rPr>
          <w:rFonts w:asciiTheme="minorHAnsi" w:hAnsiTheme="minorHAnsi" w:cstheme="minorHAnsi"/>
          <w:sz w:val="22"/>
          <w:szCs w:val="22"/>
        </w:rPr>
        <w:t>oj</w:t>
      </w:r>
      <w:r w:rsidRPr="0055492A">
        <w:rPr>
          <w:rFonts w:asciiTheme="minorHAnsi" w:hAnsiTheme="minorHAnsi" w:cstheme="minorHAnsi"/>
          <w:sz w:val="22"/>
          <w:szCs w:val="22"/>
        </w:rPr>
        <w:t xml:space="preserve"> stop</w:t>
      </w:r>
      <w:r>
        <w:rPr>
          <w:rFonts w:asciiTheme="minorHAnsi" w:hAnsiTheme="minorHAnsi" w:cstheme="minorHAnsi"/>
          <w:sz w:val="22"/>
          <w:szCs w:val="22"/>
        </w:rPr>
        <w:t>i</w:t>
      </w:r>
      <w:r w:rsidR="00302A4E">
        <w:rPr>
          <w:rFonts w:asciiTheme="minorHAnsi" w:hAnsiTheme="minorHAnsi" w:cstheme="minorHAnsi"/>
          <w:sz w:val="22"/>
          <w:szCs w:val="22"/>
        </w:rPr>
        <w:t xml:space="preserve"> rasta BDP-a prosječno za 0,5</w:t>
      </w:r>
      <w:r w:rsidRPr="0048511B">
        <w:rPr>
          <w:rFonts w:asciiTheme="minorHAnsi" w:hAnsiTheme="minorHAnsi" w:cstheme="minorHAnsi"/>
          <w:sz w:val="22"/>
          <w:szCs w:val="22"/>
        </w:rPr>
        <w:t xml:space="preserve"> </w:t>
      </w:r>
      <w:r>
        <w:rPr>
          <w:rFonts w:asciiTheme="minorHAnsi" w:hAnsiTheme="minorHAnsi" w:cstheme="minorHAnsi"/>
          <w:sz w:val="22"/>
          <w:szCs w:val="22"/>
        </w:rPr>
        <w:t>p.p;</w:t>
      </w:r>
    </w:p>
    <w:p w:rsidR="0048511B" w:rsidRDefault="0048511B" w:rsidP="007C0116">
      <w:pPr>
        <w:numPr>
          <w:ilvl w:val="0"/>
          <w:numId w:val="22"/>
        </w:numPr>
        <w:spacing w:line="276" w:lineRule="auto"/>
        <w:ind w:left="567" w:hanging="283"/>
        <w:contextualSpacing/>
        <w:rPr>
          <w:rFonts w:asciiTheme="minorHAnsi" w:hAnsiTheme="minorHAnsi" w:cstheme="minorHAnsi"/>
          <w:sz w:val="22"/>
          <w:szCs w:val="22"/>
        </w:rPr>
      </w:pPr>
      <w:r>
        <w:rPr>
          <w:rFonts w:asciiTheme="minorHAnsi" w:eastAsiaTheme="minorHAnsi" w:hAnsiTheme="minorHAnsi" w:cstheme="minorHAnsi"/>
          <w:i/>
          <w:iCs/>
          <w:color w:val="1F497D" w:themeColor="text2"/>
          <w:sz w:val="20"/>
          <w:szCs w:val="20"/>
          <w:lang w:val="en-US"/>
        </w:rPr>
        <w:t xml:space="preserve"> </w:t>
      </w:r>
      <w:r w:rsidRPr="00051E70">
        <w:rPr>
          <w:rFonts w:asciiTheme="minorHAnsi" w:hAnsiTheme="minorHAnsi" w:cstheme="minorHAnsi"/>
          <w:sz w:val="22"/>
          <w:szCs w:val="22"/>
        </w:rPr>
        <w:t>povećanju p</w:t>
      </w:r>
      <w:r w:rsidRPr="0055492A">
        <w:rPr>
          <w:rFonts w:asciiTheme="minorHAnsi" w:hAnsiTheme="minorHAnsi" w:cstheme="minorHAnsi"/>
          <w:sz w:val="22"/>
          <w:szCs w:val="22"/>
        </w:rPr>
        <w:t>rosječn</w:t>
      </w:r>
      <w:r w:rsidR="00051E70">
        <w:rPr>
          <w:rFonts w:asciiTheme="minorHAnsi" w:hAnsiTheme="minorHAnsi" w:cstheme="minorHAnsi"/>
          <w:sz w:val="22"/>
          <w:szCs w:val="22"/>
        </w:rPr>
        <w:t>og</w:t>
      </w:r>
      <w:r w:rsidRPr="0055492A">
        <w:rPr>
          <w:rFonts w:asciiTheme="minorHAnsi" w:hAnsiTheme="minorHAnsi" w:cstheme="minorHAnsi"/>
          <w:sz w:val="22"/>
          <w:szCs w:val="22"/>
        </w:rPr>
        <w:t xml:space="preserve"> deflator</w:t>
      </w:r>
      <w:r>
        <w:rPr>
          <w:rFonts w:asciiTheme="minorHAnsi" w:hAnsiTheme="minorHAnsi" w:cstheme="minorHAnsi"/>
          <w:sz w:val="22"/>
          <w:szCs w:val="22"/>
        </w:rPr>
        <w:t>a</w:t>
      </w:r>
      <w:r w:rsidRPr="0055492A">
        <w:rPr>
          <w:rFonts w:asciiTheme="minorHAnsi" w:hAnsiTheme="minorHAnsi" w:cstheme="minorHAnsi"/>
          <w:sz w:val="22"/>
          <w:szCs w:val="22"/>
        </w:rPr>
        <w:t xml:space="preserve"> za 0,3</w:t>
      </w:r>
      <w:r w:rsidRPr="0048511B">
        <w:rPr>
          <w:rFonts w:asciiTheme="minorHAnsi" w:hAnsiTheme="minorHAnsi" w:cstheme="minorHAnsi"/>
          <w:sz w:val="22"/>
          <w:szCs w:val="22"/>
        </w:rPr>
        <w:t xml:space="preserve"> </w:t>
      </w:r>
      <w:r>
        <w:rPr>
          <w:rFonts w:asciiTheme="minorHAnsi" w:hAnsiTheme="minorHAnsi" w:cstheme="minorHAnsi"/>
          <w:sz w:val="22"/>
          <w:szCs w:val="22"/>
        </w:rPr>
        <w:t>p.p;</w:t>
      </w:r>
    </w:p>
    <w:p w:rsidR="0048511B" w:rsidRDefault="0048511B" w:rsidP="007C0116">
      <w:pPr>
        <w:numPr>
          <w:ilvl w:val="0"/>
          <w:numId w:val="22"/>
        </w:numPr>
        <w:spacing w:line="276" w:lineRule="auto"/>
        <w:ind w:left="567" w:hanging="283"/>
        <w:contextualSpacing/>
        <w:rPr>
          <w:rFonts w:asciiTheme="minorHAnsi" w:hAnsiTheme="minorHAnsi" w:cstheme="minorHAnsi"/>
          <w:sz w:val="22"/>
          <w:szCs w:val="22"/>
        </w:rPr>
      </w:pPr>
      <w:r>
        <w:rPr>
          <w:rFonts w:asciiTheme="minorHAnsi" w:hAnsiTheme="minorHAnsi" w:cstheme="minorHAnsi"/>
          <w:sz w:val="22"/>
          <w:szCs w:val="22"/>
        </w:rPr>
        <w:t>smanjenju potrošnje domaćinstava prosječno za 0,3% BDP-a;</w:t>
      </w:r>
    </w:p>
    <w:p w:rsidR="0048511B" w:rsidRDefault="0048511B" w:rsidP="007C0116">
      <w:pPr>
        <w:numPr>
          <w:ilvl w:val="0"/>
          <w:numId w:val="22"/>
        </w:numPr>
        <w:spacing w:line="276" w:lineRule="auto"/>
        <w:ind w:left="567" w:hanging="283"/>
        <w:contextualSpacing/>
        <w:rPr>
          <w:rFonts w:asciiTheme="minorHAnsi" w:hAnsiTheme="minorHAnsi" w:cstheme="minorHAnsi"/>
          <w:sz w:val="22"/>
          <w:szCs w:val="22"/>
        </w:rPr>
      </w:pPr>
      <w:r>
        <w:rPr>
          <w:rFonts w:asciiTheme="minorHAnsi" w:hAnsiTheme="minorHAnsi" w:cstheme="minorHAnsi"/>
          <w:sz w:val="22"/>
          <w:szCs w:val="22"/>
        </w:rPr>
        <w:t>neznatno nižem nominalnom nivou bruto investicija ali i povećanju njihovog</w:t>
      </w:r>
      <w:r w:rsidR="00302A4E">
        <w:rPr>
          <w:rFonts w:asciiTheme="minorHAnsi" w:hAnsiTheme="minorHAnsi" w:cstheme="minorHAnsi"/>
          <w:sz w:val="22"/>
          <w:szCs w:val="22"/>
        </w:rPr>
        <w:t xml:space="preserve"> učešća u BDP-u prosječno za 0,2</w:t>
      </w:r>
      <w:r>
        <w:rPr>
          <w:rFonts w:asciiTheme="minorHAnsi" w:hAnsiTheme="minorHAnsi" w:cstheme="minorHAnsi"/>
          <w:sz w:val="22"/>
          <w:szCs w:val="22"/>
        </w:rPr>
        <w:t>%, zbog nižeg BDP-a;</w:t>
      </w:r>
    </w:p>
    <w:p w:rsidR="0048511B" w:rsidRDefault="0048511B" w:rsidP="007C0116">
      <w:pPr>
        <w:numPr>
          <w:ilvl w:val="0"/>
          <w:numId w:val="22"/>
        </w:numPr>
        <w:spacing w:line="276" w:lineRule="auto"/>
        <w:ind w:left="567" w:hanging="283"/>
        <w:contextualSpacing/>
        <w:rPr>
          <w:rFonts w:asciiTheme="minorHAnsi" w:hAnsiTheme="minorHAnsi" w:cstheme="minorHAnsi"/>
          <w:sz w:val="22"/>
          <w:szCs w:val="22"/>
        </w:rPr>
      </w:pPr>
      <w:r>
        <w:rPr>
          <w:rFonts w:asciiTheme="minorHAnsi" w:hAnsiTheme="minorHAnsi" w:cstheme="minorHAnsi"/>
          <w:sz w:val="22"/>
          <w:szCs w:val="22"/>
        </w:rPr>
        <w:t>povećanju uvoza robe prosječno za 0,1% BDP-a;</w:t>
      </w:r>
    </w:p>
    <w:p w:rsidR="0048511B" w:rsidRPr="002D1802" w:rsidRDefault="0048511B" w:rsidP="007C0116">
      <w:pPr>
        <w:pStyle w:val="ListParagraph"/>
        <w:numPr>
          <w:ilvl w:val="0"/>
          <w:numId w:val="22"/>
        </w:numPr>
        <w:spacing w:line="276" w:lineRule="auto"/>
        <w:ind w:left="567" w:hanging="283"/>
        <w:rPr>
          <w:rFonts w:asciiTheme="minorHAnsi" w:hAnsiTheme="minorHAnsi" w:cstheme="minorHAnsi"/>
          <w:sz w:val="22"/>
          <w:szCs w:val="22"/>
        </w:rPr>
      </w:pPr>
      <w:r w:rsidRPr="002D1802">
        <w:rPr>
          <w:rFonts w:asciiTheme="minorHAnsi" w:hAnsiTheme="minorHAnsi" w:cstheme="minorHAnsi"/>
          <w:sz w:val="22"/>
          <w:szCs w:val="22"/>
        </w:rPr>
        <w:t>porastu inflacije prosječno za 0,4 p.p, pri čemu je najveći efekat u 2018. godini, što je uslovljeno dinamikom realizacije mjera fiskalne konsolidacije.</w:t>
      </w:r>
      <w:r w:rsidR="002D1802" w:rsidRPr="002D1802">
        <w:rPr>
          <w:rFonts w:asciiTheme="minorHAnsi" w:hAnsiTheme="minorHAnsi" w:cstheme="minorHAnsi"/>
          <w:sz w:val="22"/>
          <w:szCs w:val="22"/>
        </w:rPr>
        <w:t>Povećanje stope PDV- sa 19 na 21% bi povećalo potrošačke cijene za oko 0,8%, pa bi realna potrošnja domaćinstva opala za taj procenat. Povećanje stope akciza na izabrane proizvode uticaće na povećanje infacije za oko 0,8% kumulativno.</w:t>
      </w:r>
    </w:p>
    <w:p w:rsidR="0048511B" w:rsidRPr="0055492A" w:rsidRDefault="0048511B" w:rsidP="0048511B">
      <w:pPr>
        <w:spacing w:line="276" w:lineRule="auto"/>
        <w:ind w:left="1080"/>
        <w:contextualSpacing/>
        <w:rPr>
          <w:rFonts w:asciiTheme="minorHAnsi" w:hAnsiTheme="minorHAnsi" w:cstheme="minorHAnsi"/>
          <w:sz w:val="22"/>
          <w:szCs w:val="22"/>
        </w:rPr>
      </w:pPr>
    </w:p>
    <w:p w:rsidR="0048511B" w:rsidRPr="0055492A" w:rsidRDefault="0048511B" w:rsidP="0048511B">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Međutim, imajući u vidu </w:t>
      </w:r>
      <w:r w:rsidRPr="0055492A">
        <w:rPr>
          <w:rFonts w:asciiTheme="minorHAnsi" w:hAnsiTheme="minorHAnsi" w:cstheme="minorHAnsi"/>
          <w:sz w:val="22"/>
          <w:szCs w:val="22"/>
        </w:rPr>
        <w:t>da su realna kretanja ekonomije vrlo kompleksna, nije moguće precizno ocijeniti efekte ov</w:t>
      </w:r>
      <w:r>
        <w:rPr>
          <w:rFonts w:asciiTheme="minorHAnsi" w:hAnsiTheme="minorHAnsi" w:cstheme="minorHAnsi"/>
          <w:sz w:val="22"/>
          <w:szCs w:val="22"/>
        </w:rPr>
        <w:t>ih</w:t>
      </w:r>
      <w:r w:rsidRPr="0055492A">
        <w:rPr>
          <w:rFonts w:asciiTheme="minorHAnsi" w:hAnsiTheme="minorHAnsi" w:cstheme="minorHAnsi"/>
          <w:sz w:val="22"/>
          <w:szCs w:val="22"/>
        </w:rPr>
        <w:t xml:space="preserve"> mjera</w:t>
      </w:r>
      <w:r>
        <w:rPr>
          <w:rFonts w:asciiTheme="minorHAnsi" w:hAnsiTheme="minorHAnsi" w:cstheme="minorHAnsi"/>
          <w:sz w:val="22"/>
          <w:szCs w:val="22"/>
        </w:rPr>
        <w:t>,</w:t>
      </w:r>
      <w:r w:rsidR="006773B5">
        <w:rPr>
          <w:rFonts w:asciiTheme="minorHAnsi" w:hAnsiTheme="minorHAnsi" w:cstheme="minorHAnsi"/>
          <w:sz w:val="22"/>
          <w:szCs w:val="22"/>
        </w:rPr>
        <w:t xml:space="preserve"> </w:t>
      </w:r>
      <w:r w:rsidR="000C1F11">
        <w:rPr>
          <w:rFonts w:asciiTheme="minorHAnsi" w:hAnsiTheme="minorHAnsi" w:cstheme="minorHAnsi"/>
          <w:sz w:val="22"/>
          <w:szCs w:val="22"/>
        </w:rPr>
        <w:t>nar</w:t>
      </w:r>
      <w:r w:rsidR="006773B5">
        <w:rPr>
          <w:rFonts w:asciiTheme="minorHAnsi" w:hAnsiTheme="minorHAnsi" w:cstheme="minorHAnsi"/>
          <w:sz w:val="22"/>
          <w:szCs w:val="22"/>
        </w:rPr>
        <w:t>o</w:t>
      </w:r>
      <w:r w:rsidR="000C1F11">
        <w:rPr>
          <w:rFonts w:asciiTheme="minorHAnsi" w:hAnsiTheme="minorHAnsi" w:cstheme="minorHAnsi"/>
          <w:sz w:val="22"/>
          <w:szCs w:val="22"/>
        </w:rPr>
        <w:t>čito strukturnih reformi</w:t>
      </w:r>
      <w:r w:rsidR="006773B5">
        <w:rPr>
          <w:rFonts w:asciiTheme="minorHAnsi" w:hAnsiTheme="minorHAnsi" w:cstheme="minorHAnsi"/>
          <w:sz w:val="22"/>
          <w:szCs w:val="22"/>
        </w:rPr>
        <w:t>,</w:t>
      </w:r>
      <w:r>
        <w:rPr>
          <w:rFonts w:asciiTheme="minorHAnsi" w:hAnsiTheme="minorHAnsi" w:cstheme="minorHAnsi"/>
          <w:sz w:val="22"/>
          <w:szCs w:val="22"/>
        </w:rPr>
        <w:t xml:space="preserve"> prije svega,</w:t>
      </w:r>
      <w:r w:rsidRPr="0055492A">
        <w:rPr>
          <w:rFonts w:asciiTheme="minorHAnsi" w:hAnsiTheme="minorHAnsi" w:cstheme="minorHAnsi"/>
          <w:sz w:val="22"/>
          <w:szCs w:val="22"/>
        </w:rPr>
        <w:t xml:space="preserve"> na: siv</w:t>
      </w:r>
      <w:r>
        <w:rPr>
          <w:rFonts w:asciiTheme="minorHAnsi" w:hAnsiTheme="minorHAnsi" w:cstheme="minorHAnsi"/>
          <w:sz w:val="22"/>
          <w:szCs w:val="22"/>
        </w:rPr>
        <w:t>u</w:t>
      </w:r>
      <w:r w:rsidRPr="0055492A">
        <w:rPr>
          <w:rFonts w:asciiTheme="minorHAnsi" w:hAnsiTheme="minorHAnsi" w:cstheme="minorHAnsi"/>
          <w:sz w:val="22"/>
          <w:szCs w:val="22"/>
        </w:rPr>
        <w:t xml:space="preserve"> ekonomij</w:t>
      </w:r>
      <w:r>
        <w:rPr>
          <w:rFonts w:asciiTheme="minorHAnsi" w:hAnsiTheme="minorHAnsi" w:cstheme="minorHAnsi"/>
          <w:sz w:val="22"/>
          <w:szCs w:val="22"/>
        </w:rPr>
        <w:t>u</w:t>
      </w:r>
      <w:r w:rsidRPr="0055492A">
        <w:rPr>
          <w:rFonts w:asciiTheme="minorHAnsi" w:hAnsiTheme="minorHAnsi" w:cstheme="minorHAnsi"/>
          <w:sz w:val="22"/>
          <w:szCs w:val="22"/>
        </w:rPr>
        <w:t>, preferencije potrošača, formiranj</w:t>
      </w:r>
      <w:r>
        <w:rPr>
          <w:rFonts w:asciiTheme="minorHAnsi" w:hAnsiTheme="minorHAnsi" w:cstheme="minorHAnsi"/>
          <w:sz w:val="22"/>
          <w:szCs w:val="22"/>
        </w:rPr>
        <w:t>e</w:t>
      </w:r>
      <w:r w:rsidRPr="0055492A">
        <w:rPr>
          <w:rFonts w:asciiTheme="minorHAnsi" w:hAnsiTheme="minorHAnsi" w:cstheme="minorHAnsi"/>
          <w:sz w:val="22"/>
          <w:szCs w:val="22"/>
        </w:rPr>
        <w:t xml:space="preserve"> cijena, </w:t>
      </w:r>
      <w:r>
        <w:rPr>
          <w:rFonts w:asciiTheme="minorHAnsi" w:hAnsiTheme="minorHAnsi" w:cstheme="minorHAnsi"/>
          <w:sz w:val="22"/>
          <w:szCs w:val="22"/>
        </w:rPr>
        <w:t>kretanje</w:t>
      </w:r>
      <w:r w:rsidRPr="0055492A">
        <w:rPr>
          <w:rFonts w:asciiTheme="minorHAnsi" w:hAnsiTheme="minorHAnsi" w:cstheme="minorHAnsi"/>
          <w:sz w:val="22"/>
          <w:szCs w:val="22"/>
        </w:rPr>
        <w:t xml:space="preserve"> zaposlenosti, zarade i druge teže mjerljive </w:t>
      </w:r>
      <w:r>
        <w:rPr>
          <w:rFonts w:asciiTheme="minorHAnsi" w:hAnsiTheme="minorHAnsi" w:cstheme="minorHAnsi"/>
          <w:sz w:val="22"/>
          <w:szCs w:val="22"/>
        </w:rPr>
        <w:t>kategorije</w:t>
      </w:r>
      <w:r w:rsidRPr="0055492A">
        <w:rPr>
          <w:rFonts w:asciiTheme="minorHAnsi" w:hAnsiTheme="minorHAnsi" w:cstheme="minorHAnsi"/>
          <w:sz w:val="22"/>
          <w:szCs w:val="22"/>
        </w:rPr>
        <w:t xml:space="preserve">, </w:t>
      </w:r>
      <w:r>
        <w:rPr>
          <w:rFonts w:asciiTheme="minorHAnsi" w:hAnsiTheme="minorHAnsi" w:cstheme="minorHAnsi"/>
          <w:sz w:val="22"/>
          <w:szCs w:val="22"/>
        </w:rPr>
        <w:t xml:space="preserve">a </w:t>
      </w:r>
      <w:r w:rsidRPr="0055492A">
        <w:rPr>
          <w:rFonts w:asciiTheme="minorHAnsi" w:hAnsiTheme="minorHAnsi" w:cstheme="minorHAnsi"/>
          <w:sz w:val="22"/>
          <w:szCs w:val="22"/>
        </w:rPr>
        <w:t xml:space="preserve">koji mogu dovesti do odstupanja u procjeni </w:t>
      </w:r>
      <w:r>
        <w:rPr>
          <w:rFonts w:asciiTheme="minorHAnsi" w:hAnsiTheme="minorHAnsi" w:cstheme="minorHAnsi"/>
          <w:sz w:val="22"/>
          <w:szCs w:val="22"/>
        </w:rPr>
        <w:t xml:space="preserve">efekata </w:t>
      </w:r>
      <w:r w:rsidRPr="0055492A">
        <w:rPr>
          <w:rFonts w:asciiTheme="minorHAnsi" w:hAnsiTheme="minorHAnsi" w:cstheme="minorHAnsi"/>
          <w:sz w:val="22"/>
          <w:szCs w:val="22"/>
        </w:rPr>
        <w:t xml:space="preserve">mjera, bilo da će mjere proizvesti jače ili slabije efekte na ekonomsku aktivnost, a time i na makroekonomske indikatore. </w:t>
      </w:r>
    </w:p>
    <w:p w:rsidR="0048511B" w:rsidRPr="0055492A" w:rsidRDefault="0048511B" w:rsidP="0048511B">
      <w:pPr>
        <w:spacing w:line="276" w:lineRule="auto"/>
        <w:contextualSpacing/>
        <w:rPr>
          <w:rFonts w:asciiTheme="minorHAnsi" w:hAnsiTheme="minorHAnsi" w:cstheme="minorHAnsi"/>
          <w:sz w:val="22"/>
          <w:szCs w:val="22"/>
        </w:rPr>
      </w:pPr>
    </w:p>
    <w:p w:rsidR="0048511B" w:rsidRPr="0055492A" w:rsidRDefault="0048511B" w:rsidP="0048511B">
      <w:pPr>
        <w:spacing w:line="276" w:lineRule="auto"/>
        <w:contextualSpacing/>
        <w:rPr>
          <w:rFonts w:asciiTheme="minorHAnsi" w:hAnsiTheme="minorHAnsi" w:cstheme="minorHAnsi"/>
          <w:sz w:val="22"/>
          <w:szCs w:val="22"/>
        </w:rPr>
      </w:pPr>
      <w:r w:rsidRPr="007C0116">
        <w:rPr>
          <w:rFonts w:asciiTheme="minorHAnsi" w:hAnsiTheme="minorHAnsi" w:cstheme="minorHAnsi"/>
          <w:b/>
          <w:sz w:val="22"/>
          <w:szCs w:val="22"/>
        </w:rPr>
        <w:t>Prema</w:t>
      </w:r>
      <w:r>
        <w:rPr>
          <w:rFonts w:asciiTheme="minorHAnsi" w:hAnsiTheme="minorHAnsi" w:cstheme="minorHAnsi"/>
          <w:sz w:val="22"/>
          <w:szCs w:val="22"/>
        </w:rPr>
        <w:t xml:space="preserve"> </w:t>
      </w:r>
      <w:r w:rsidR="00031D92" w:rsidRPr="00031D92">
        <w:rPr>
          <w:rFonts w:asciiTheme="minorHAnsi" w:hAnsiTheme="minorHAnsi" w:cstheme="minorHAnsi"/>
          <w:b/>
          <w:sz w:val="22"/>
          <w:szCs w:val="22"/>
        </w:rPr>
        <w:t>projekcijama, prosječna realna stopa rasta BDP-a, u periodu 2017-2020, iznosiće 2,6%.</w:t>
      </w:r>
      <w:r w:rsidRPr="0055492A">
        <w:rPr>
          <w:rFonts w:asciiTheme="minorHAnsi" w:hAnsiTheme="minorHAnsi" w:cstheme="minorHAnsi"/>
          <w:sz w:val="22"/>
          <w:szCs w:val="22"/>
        </w:rPr>
        <w:t xml:space="preserve"> </w:t>
      </w:r>
      <w:r>
        <w:rPr>
          <w:rFonts w:asciiTheme="minorHAnsi" w:hAnsiTheme="minorHAnsi" w:cstheme="minorHAnsi"/>
          <w:sz w:val="22"/>
          <w:szCs w:val="22"/>
        </w:rPr>
        <w:t xml:space="preserve">Pri tome, u </w:t>
      </w:r>
      <w:r w:rsidRPr="0055492A">
        <w:rPr>
          <w:rFonts w:asciiTheme="minorHAnsi" w:hAnsiTheme="minorHAnsi" w:cstheme="minorHAnsi"/>
          <w:sz w:val="22"/>
          <w:szCs w:val="22"/>
        </w:rPr>
        <w:t xml:space="preserve">prve dvije godine </w:t>
      </w:r>
      <w:r>
        <w:rPr>
          <w:rFonts w:asciiTheme="minorHAnsi" w:hAnsiTheme="minorHAnsi" w:cstheme="minorHAnsi"/>
          <w:sz w:val="22"/>
          <w:szCs w:val="22"/>
        </w:rPr>
        <w:t xml:space="preserve">iznosiće oko </w:t>
      </w:r>
      <w:r w:rsidRPr="0055492A">
        <w:rPr>
          <w:rFonts w:asciiTheme="minorHAnsi" w:hAnsiTheme="minorHAnsi" w:cstheme="minorHAnsi"/>
          <w:sz w:val="22"/>
          <w:szCs w:val="22"/>
        </w:rPr>
        <w:t xml:space="preserve">3%, </w:t>
      </w:r>
      <w:r>
        <w:rPr>
          <w:rFonts w:asciiTheme="minorHAnsi" w:hAnsiTheme="minorHAnsi" w:cstheme="minorHAnsi"/>
          <w:sz w:val="22"/>
          <w:szCs w:val="22"/>
        </w:rPr>
        <w:t>nakon čega će se smanjiti na oko</w:t>
      </w:r>
      <w:r w:rsidRPr="0055492A">
        <w:rPr>
          <w:rFonts w:asciiTheme="minorHAnsi" w:hAnsiTheme="minorHAnsi" w:cstheme="minorHAnsi"/>
          <w:sz w:val="22"/>
          <w:szCs w:val="22"/>
        </w:rPr>
        <w:t xml:space="preserve"> 2</w:t>
      </w:r>
      <w:r w:rsidR="00302A4E">
        <w:rPr>
          <w:rFonts w:asciiTheme="minorHAnsi" w:hAnsiTheme="minorHAnsi" w:cstheme="minorHAnsi"/>
          <w:sz w:val="22"/>
          <w:szCs w:val="22"/>
        </w:rPr>
        <w:t>,2</w:t>
      </w:r>
      <w:r w:rsidRPr="0055492A">
        <w:rPr>
          <w:rFonts w:asciiTheme="minorHAnsi" w:hAnsiTheme="minorHAnsi" w:cstheme="minorHAnsi"/>
          <w:sz w:val="22"/>
          <w:szCs w:val="22"/>
        </w:rPr>
        <w:t xml:space="preserve">%, </w:t>
      </w:r>
      <w:r>
        <w:rPr>
          <w:rFonts w:asciiTheme="minorHAnsi" w:hAnsiTheme="minorHAnsi" w:cstheme="minorHAnsi"/>
          <w:sz w:val="22"/>
          <w:szCs w:val="22"/>
        </w:rPr>
        <w:t>zbog</w:t>
      </w:r>
      <w:r w:rsidRPr="0055492A">
        <w:rPr>
          <w:rFonts w:asciiTheme="minorHAnsi" w:hAnsiTheme="minorHAnsi" w:cstheme="minorHAnsi"/>
          <w:sz w:val="22"/>
          <w:szCs w:val="22"/>
        </w:rPr>
        <w:t xml:space="preserve"> visoke osnove bruto investicija u prethodnim god</w:t>
      </w:r>
      <w:r>
        <w:rPr>
          <w:rFonts w:asciiTheme="minorHAnsi" w:hAnsiTheme="minorHAnsi" w:cstheme="minorHAnsi"/>
          <w:sz w:val="22"/>
          <w:szCs w:val="22"/>
        </w:rPr>
        <w:t>inama, ali uz i dalje visoko učešće</w:t>
      </w:r>
      <w:r w:rsidRPr="0055492A">
        <w:rPr>
          <w:rFonts w:asciiTheme="minorHAnsi" w:hAnsiTheme="minorHAnsi" w:cstheme="minorHAnsi"/>
          <w:sz w:val="22"/>
          <w:szCs w:val="22"/>
        </w:rPr>
        <w:t xml:space="preserve"> </w:t>
      </w:r>
      <w:r>
        <w:rPr>
          <w:rFonts w:asciiTheme="minorHAnsi" w:hAnsiTheme="minorHAnsi" w:cstheme="minorHAnsi"/>
          <w:sz w:val="22"/>
          <w:szCs w:val="22"/>
        </w:rPr>
        <w:t xml:space="preserve">od </w:t>
      </w:r>
      <w:r w:rsidRPr="0055492A">
        <w:rPr>
          <w:rFonts w:asciiTheme="minorHAnsi" w:hAnsiTheme="minorHAnsi" w:cstheme="minorHAnsi"/>
          <w:sz w:val="22"/>
          <w:szCs w:val="22"/>
        </w:rPr>
        <w:t>oko 28% BDP</w:t>
      </w:r>
      <w:r>
        <w:rPr>
          <w:rFonts w:asciiTheme="minorHAnsi" w:hAnsiTheme="minorHAnsi" w:cstheme="minorHAnsi"/>
          <w:sz w:val="22"/>
          <w:szCs w:val="22"/>
        </w:rPr>
        <w:t>-a</w:t>
      </w:r>
      <w:r>
        <w:rPr>
          <w:rStyle w:val="FootnoteReference"/>
          <w:rFonts w:asciiTheme="minorHAnsi" w:hAnsiTheme="minorHAnsi" w:cstheme="minorHAnsi"/>
          <w:sz w:val="22"/>
          <w:szCs w:val="22"/>
        </w:rPr>
        <w:footnoteReference w:id="24"/>
      </w:r>
      <w:r w:rsidRPr="0055492A">
        <w:rPr>
          <w:rFonts w:asciiTheme="minorHAnsi" w:hAnsiTheme="minorHAnsi" w:cstheme="minorHAnsi"/>
          <w:sz w:val="22"/>
          <w:szCs w:val="22"/>
        </w:rPr>
        <w:t xml:space="preserve"> na kraju perioda. </w:t>
      </w:r>
    </w:p>
    <w:p w:rsidR="0048511B" w:rsidRPr="00071A61" w:rsidRDefault="0048511B" w:rsidP="0048511B">
      <w:pPr>
        <w:autoSpaceDE w:val="0"/>
        <w:autoSpaceDN w:val="0"/>
        <w:adjustRightInd w:val="0"/>
        <w:spacing w:line="276" w:lineRule="auto"/>
        <w:jc w:val="left"/>
        <w:rPr>
          <w:rFonts w:asciiTheme="minorHAnsi" w:eastAsiaTheme="minorHAnsi" w:hAnsiTheme="minorHAnsi" w:cstheme="minorHAnsi"/>
          <w:sz w:val="22"/>
          <w:szCs w:val="22"/>
        </w:rPr>
      </w:pPr>
    </w:p>
    <w:p w:rsidR="00901EEA" w:rsidRPr="00071A61" w:rsidRDefault="00901EEA" w:rsidP="0090519E">
      <w:pPr>
        <w:autoSpaceDE w:val="0"/>
        <w:autoSpaceDN w:val="0"/>
        <w:adjustRightInd w:val="0"/>
        <w:spacing w:line="276" w:lineRule="auto"/>
        <w:jc w:val="left"/>
        <w:rPr>
          <w:rFonts w:asciiTheme="minorHAnsi" w:eastAsiaTheme="minorHAnsi" w:hAnsiTheme="minorHAnsi" w:cstheme="minorHAnsi"/>
          <w:sz w:val="22"/>
          <w:szCs w:val="22"/>
        </w:rPr>
      </w:pPr>
      <w:r>
        <w:rPr>
          <w:rFonts w:asciiTheme="minorHAnsi" w:eastAsiaTheme="minorHAnsi" w:hAnsiTheme="minorHAnsi" w:cstheme="minorHAnsi"/>
          <w:sz w:val="22"/>
          <w:szCs w:val="22"/>
          <w:lang w:val="en-US"/>
        </w:rPr>
        <w:t>Kretanje</w:t>
      </w:r>
      <w:r w:rsidRPr="00071A61">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lang w:val="en-US"/>
        </w:rPr>
        <w:t>BDP</w:t>
      </w:r>
      <w:r w:rsidRPr="00071A61">
        <w:rPr>
          <w:rFonts w:asciiTheme="minorHAnsi" w:eastAsiaTheme="minorHAnsi" w:hAnsiTheme="minorHAnsi" w:cstheme="minorHAnsi"/>
          <w:sz w:val="22"/>
          <w:szCs w:val="22"/>
        </w:rPr>
        <w:t>-</w:t>
      </w:r>
      <w:r>
        <w:rPr>
          <w:rFonts w:asciiTheme="minorHAnsi" w:eastAsiaTheme="minorHAnsi" w:hAnsiTheme="minorHAnsi" w:cstheme="minorHAnsi"/>
          <w:sz w:val="22"/>
          <w:szCs w:val="22"/>
          <w:lang w:val="en-US"/>
        </w:rPr>
        <w:t>a</w:t>
      </w:r>
      <w:r w:rsidRPr="00071A61">
        <w:rPr>
          <w:rFonts w:asciiTheme="minorHAnsi" w:eastAsiaTheme="minorHAnsi" w:hAnsiTheme="minorHAnsi" w:cstheme="minorHAnsi"/>
          <w:sz w:val="22"/>
          <w:szCs w:val="22"/>
        </w:rPr>
        <w:t xml:space="preserve">, </w:t>
      </w:r>
      <w:r w:rsidRPr="0055492A">
        <w:rPr>
          <w:rFonts w:asciiTheme="minorHAnsi" w:hAnsiTheme="minorHAnsi" w:cstheme="minorHAnsi"/>
          <w:sz w:val="22"/>
          <w:szCs w:val="22"/>
        </w:rPr>
        <w:t xml:space="preserve">u periodu </w:t>
      </w:r>
      <w:r>
        <w:rPr>
          <w:rFonts w:asciiTheme="minorHAnsi" w:hAnsiTheme="minorHAnsi" w:cstheme="minorHAnsi"/>
          <w:sz w:val="22"/>
          <w:szCs w:val="22"/>
        </w:rPr>
        <w:t xml:space="preserve">od </w:t>
      </w:r>
      <w:r w:rsidRPr="0055492A">
        <w:rPr>
          <w:rFonts w:asciiTheme="minorHAnsi" w:hAnsiTheme="minorHAnsi" w:cstheme="minorHAnsi"/>
          <w:sz w:val="22"/>
          <w:szCs w:val="22"/>
        </w:rPr>
        <w:t xml:space="preserve">2017-2020. </w:t>
      </w:r>
      <w:r>
        <w:rPr>
          <w:rFonts w:asciiTheme="minorHAnsi" w:hAnsiTheme="minorHAnsi" w:cstheme="minorHAnsi"/>
          <w:sz w:val="22"/>
          <w:szCs w:val="22"/>
        </w:rPr>
        <w:t>g</w:t>
      </w:r>
      <w:r w:rsidRPr="0055492A">
        <w:rPr>
          <w:rFonts w:asciiTheme="minorHAnsi" w:hAnsiTheme="minorHAnsi" w:cstheme="minorHAnsi"/>
          <w:sz w:val="22"/>
          <w:szCs w:val="22"/>
        </w:rPr>
        <w:t>odine</w:t>
      </w:r>
      <w:r>
        <w:rPr>
          <w:rFonts w:asciiTheme="minorHAnsi" w:hAnsiTheme="minorHAnsi" w:cstheme="minorHAnsi"/>
          <w:sz w:val="22"/>
          <w:szCs w:val="22"/>
        </w:rPr>
        <w:t>,</w:t>
      </w:r>
      <w:r w:rsidRPr="00071A61">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lang w:val="en-US"/>
        </w:rPr>
        <w:t>opredijeljeno</w:t>
      </w:r>
      <w:r w:rsidRPr="00071A61">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lang w:val="en-US"/>
        </w:rPr>
        <w:t>je</w:t>
      </w:r>
      <w:r w:rsidRPr="00071A61">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lang w:val="en-US"/>
        </w:rPr>
        <w:t>sljede</w:t>
      </w:r>
      <w:r w:rsidRPr="00071A61">
        <w:rPr>
          <w:rFonts w:asciiTheme="minorHAnsi" w:eastAsiaTheme="minorHAnsi" w:hAnsiTheme="minorHAnsi" w:cstheme="minorHAnsi"/>
          <w:sz w:val="22"/>
          <w:szCs w:val="22"/>
        </w:rPr>
        <w:t>ć</w:t>
      </w:r>
      <w:r>
        <w:rPr>
          <w:rFonts w:asciiTheme="minorHAnsi" w:eastAsiaTheme="minorHAnsi" w:hAnsiTheme="minorHAnsi" w:cstheme="minorHAnsi"/>
          <w:sz w:val="22"/>
          <w:szCs w:val="22"/>
          <w:lang w:val="en-US"/>
        </w:rPr>
        <w:t>im</w:t>
      </w:r>
      <w:r w:rsidRPr="00071A61">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lang w:val="en-US"/>
        </w:rPr>
        <w:t>kategorijama</w:t>
      </w:r>
      <w:r w:rsidRPr="00071A61">
        <w:rPr>
          <w:rFonts w:asciiTheme="minorHAnsi" w:eastAsiaTheme="minorHAnsi" w:hAnsiTheme="minorHAnsi" w:cstheme="minorHAnsi"/>
          <w:sz w:val="22"/>
          <w:szCs w:val="22"/>
        </w:rPr>
        <w:t>:</w:t>
      </w:r>
    </w:p>
    <w:p w:rsidR="00901EEA" w:rsidRPr="00071A61" w:rsidRDefault="00901EEA" w:rsidP="0090519E">
      <w:pPr>
        <w:autoSpaceDE w:val="0"/>
        <w:autoSpaceDN w:val="0"/>
        <w:adjustRightInd w:val="0"/>
        <w:spacing w:line="276" w:lineRule="auto"/>
        <w:jc w:val="left"/>
        <w:rPr>
          <w:rFonts w:asciiTheme="minorHAnsi" w:eastAsiaTheme="minorHAnsi" w:hAnsiTheme="minorHAnsi" w:cstheme="minorHAnsi"/>
          <w:sz w:val="22"/>
          <w:szCs w:val="22"/>
        </w:rPr>
      </w:pPr>
    </w:p>
    <w:p w:rsidR="0090519E" w:rsidRDefault="00901EEA" w:rsidP="0090519E">
      <w:pPr>
        <w:numPr>
          <w:ilvl w:val="0"/>
          <w:numId w:val="11"/>
        </w:numPr>
        <w:spacing w:line="276" w:lineRule="auto"/>
        <w:contextualSpacing/>
        <w:rPr>
          <w:rFonts w:asciiTheme="minorHAnsi" w:hAnsiTheme="minorHAnsi" w:cstheme="minorHAnsi"/>
          <w:sz w:val="22"/>
          <w:szCs w:val="22"/>
        </w:rPr>
      </w:pPr>
      <w:r>
        <w:rPr>
          <w:rFonts w:asciiTheme="minorHAnsi" w:hAnsiTheme="minorHAnsi" w:cstheme="minorHAnsi"/>
          <w:sz w:val="22"/>
          <w:szCs w:val="22"/>
        </w:rPr>
        <w:t>Domaća tražnja (</w:t>
      </w:r>
      <w:r w:rsidR="0090519E" w:rsidRPr="0055492A">
        <w:rPr>
          <w:rFonts w:asciiTheme="minorHAnsi" w:hAnsiTheme="minorHAnsi" w:cstheme="minorHAnsi"/>
          <w:sz w:val="22"/>
          <w:szCs w:val="22"/>
        </w:rPr>
        <w:t>potrošnj</w:t>
      </w:r>
      <w:r>
        <w:rPr>
          <w:rFonts w:asciiTheme="minorHAnsi" w:hAnsiTheme="minorHAnsi" w:cstheme="minorHAnsi"/>
          <w:sz w:val="22"/>
          <w:szCs w:val="22"/>
        </w:rPr>
        <w:t>a</w:t>
      </w:r>
      <w:r w:rsidR="0090519E" w:rsidRPr="0055492A">
        <w:rPr>
          <w:rFonts w:asciiTheme="minorHAnsi" w:hAnsiTheme="minorHAnsi" w:cstheme="minorHAnsi"/>
          <w:sz w:val="22"/>
          <w:szCs w:val="22"/>
        </w:rPr>
        <w:t xml:space="preserve"> domaćinstava, finaln</w:t>
      </w:r>
      <w:r>
        <w:rPr>
          <w:rFonts w:asciiTheme="minorHAnsi" w:hAnsiTheme="minorHAnsi" w:cstheme="minorHAnsi"/>
          <w:sz w:val="22"/>
          <w:szCs w:val="22"/>
        </w:rPr>
        <w:t>a</w:t>
      </w:r>
      <w:r w:rsidR="0090519E" w:rsidRPr="0055492A">
        <w:rPr>
          <w:rFonts w:asciiTheme="minorHAnsi" w:hAnsiTheme="minorHAnsi" w:cstheme="minorHAnsi"/>
          <w:sz w:val="22"/>
          <w:szCs w:val="22"/>
        </w:rPr>
        <w:t xml:space="preserve"> potrošnj</w:t>
      </w:r>
      <w:r>
        <w:rPr>
          <w:rFonts w:asciiTheme="minorHAnsi" w:hAnsiTheme="minorHAnsi" w:cstheme="minorHAnsi"/>
          <w:sz w:val="22"/>
          <w:szCs w:val="22"/>
        </w:rPr>
        <w:t>a</w:t>
      </w:r>
      <w:r w:rsidR="0090519E" w:rsidRPr="0055492A">
        <w:rPr>
          <w:rFonts w:asciiTheme="minorHAnsi" w:hAnsiTheme="minorHAnsi" w:cstheme="minorHAnsi"/>
          <w:sz w:val="22"/>
          <w:szCs w:val="22"/>
        </w:rPr>
        <w:t xml:space="preserve"> države i bruto investicij</w:t>
      </w:r>
      <w:r>
        <w:rPr>
          <w:rFonts w:asciiTheme="minorHAnsi" w:hAnsiTheme="minorHAnsi" w:cstheme="minorHAnsi"/>
          <w:sz w:val="22"/>
          <w:szCs w:val="22"/>
        </w:rPr>
        <w:t>e</w:t>
      </w:r>
      <w:r w:rsidR="0090519E" w:rsidRPr="0055492A">
        <w:rPr>
          <w:rFonts w:asciiTheme="minorHAnsi" w:hAnsiTheme="minorHAnsi" w:cstheme="minorHAnsi"/>
          <w:sz w:val="22"/>
          <w:szCs w:val="22"/>
        </w:rPr>
        <w:t xml:space="preserve">) je glavni </w:t>
      </w:r>
      <w:r>
        <w:rPr>
          <w:rFonts w:asciiTheme="minorHAnsi" w:hAnsiTheme="minorHAnsi" w:cstheme="minorHAnsi"/>
          <w:sz w:val="22"/>
          <w:szCs w:val="22"/>
        </w:rPr>
        <w:t>pokretač rasta BDP-a i,</w:t>
      </w:r>
      <w:r w:rsidRPr="0055492A">
        <w:rPr>
          <w:rFonts w:asciiTheme="minorHAnsi" w:hAnsiTheme="minorHAnsi" w:cstheme="minorHAnsi"/>
          <w:sz w:val="22"/>
          <w:szCs w:val="22"/>
        </w:rPr>
        <w:t xml:space="preserve"> </w:t>
      </w:r>
      <w:r>
        <w:rPr>
          <w:rFonts w:asciiTheme="minorHAnsi" w:hAnsiTheme="minorHAnsi" w:cstheme="minorHAnsi"/>
          <w:sz w:val="22"/>
          <w:szCs w:val="22"/>
        </w:rPr>
        <w:t xml:space="preserve">u posmatranom periodu, će </w:t>
      </w:r>
      <w:r w:rsidR="0090519E" w:rsidRPr="0055492A">
        <w:rPr>
          <w:rFonts w:asciiTheme="minorHAnsi" w:hAnsiTheme="minorHAnsi" w:cstheme="minorHAnsi"/>
          <w:sz w:val="22"/>
          <w:szCs w:val="22"/>
        </w:rPr>
        <w:t>prosječ</w:t>
      </w:r>
      <w:r>
        <w:rPr>
          <w:rFonts w:asciiTheme="minorHAnsi" w:hAnsiTheme="minorHAnsi" w:cstheme="minorHAnsi"/>
          <w:sz w:val="22"/>
          <w:szCs w:val="22"/>
        </w:rPr>
        <w:t xml:space="preserve">no </w:t>
      </w:r>
      <w:r w:rsidR="0090519E" w:rsidRPr="0055492A">
        <w:rPr>
          <w:rFonts w:asciiTheme="minorHAnsi" w:hAnsiTheme="minorHAnsi" w:cstheme="minorHAnsi"/>
          <w:sz w:val="22"/>
          <w:szCs w:val="22"/>
        </w:rPr>
        <w:t>rast</w:t>
      </w:r>
      <w:r>
        <w:rPr>
          <w:rFonts w:asciiTheme="minorHAnsi" w:hAnsiTheme="minorHAnsi" w:cstheme="minorHAnsi"/>
          <w:sz w:val="22"/>
          <w:szCs w:val="22"/>
        </w:rPr>
        <w:t>i</w:t>
      </w:r>
      <w:r w:rsidR="0090519E" w:rsidRPr="0055492A">
        <w:rPr>
          <w:rFonts w:asciiTheme="minorHAnsi" w:hAnsiTheme="minorHAnsi" w:cstheme="minorHAnsi"/>
          <w:sz w:val="22"/>
          <w:szCs w:val="22"/>
        </w:rPr>
        <w:t xml:space="preserve"> </w:t>
      </w:r>
      <w:r>
        <w:rPr>
          <w:rFonts w:asciiTheme="minorHAnsi" w:hAnsiTheme="minorHAnsi" w:cstheme="minorHAnsi"/>
          <w:sz w:val="22"/>
          <w:szCs w:val="22"/>
        </w:rPr>
        <w:t xml:space="preserve">za </w:t>
      </w:r>
      <w:r w:rsidR="0090519E" w:rsidRPr="0055492A">
        <w:rPr>
          <w:rFonts w:asciiTheme="minorHAnsi" w:hAnsiTheme="minorHAnsi" w:cstheme="minorHAnsi"/>
          <w:sz w:val="22"/>
          <w:szCs w:val="22"/>
        </w:rPr>
        <w:t>1,</w:t>
      </w:r>
      <w:r w:rsidR="0048511B">
        <w:rPr>
          <w:rFonts w:asciiTheme="minorHAnsi" w:hAnsiTheme="minorHAnsi" w:cstheme="minorHAnsi"/>
          <w:sz w:val="22"/>
          <w:szCs w:val="22"/>
        </w:rPr>
        <w:t>4</w:t>
      </w:r>
      <w:r w:rsidR="0090519E" w:rsidRPr="0055492A">
        <w:rPr>
          <w:rFonts w:asciiTheme="minorHAnsi" w:hAnsiTheme="minorHAnsi" w:cstheme="minorHAnsi"/>
          <w:sz w:val="22"/>
          <w:szCs w:val="22"/>
        </w:rPr>
        <w:t>%</w:t>
      </w:r>
      <w:r>
        <w:rPr>
          <w:rFonts w:asciiTheme="minorHAnsi" w:hAnsiTheme="minorHAnsi" w:cstheme="minorHAnsi"/>
          <w:sz w:val="22"/>
          <w:szCs w:val="22"/>
        </w:rPr>
        <w:t>, pri čemu je</w:t>
      </w:r>
      <w:r w:rsidR="0090519E" w:rsidRPr="0055492A">
        <w:rPr>
          <w:rFonts w:asciiTheme="minorHAnsi" w:hAnsiTheme="minorHAnsi" w:cstheme="minorHAnsi"/>
          <w:sz w:val="22"/>
          <w:szCs w:val="22"/>
        </w:rPr>
        <w:t xml:space="preserve"> rast u prve dvije godine</w:t>
      </w:r>
      <w:r w:rsidRPr="00901EEA">
        <w:rPr>
          <w:rFonts w:asciiTheme="minorHAnsi" w:hAnsiTheme="minorHAnsi" w:cstheme="minorHAnsi"/>
          <w:sz w:val="22"/>
          <w:szCs w:val="22"/>
        </w:rPr>
        <w:t xml:space="preserve"> </w:t>
      </w:r>
      <w:r>
        <w:rPr>
          <w:rFonts w:asciiTheme="minorHAnsi" w:hAnsiTheme="minorHAnsi" w:cstheme="minorHAnsi"/>
          <w:sz w:val="22"/>
          <w:szCs w:val="22"/>
        </w:rPr>
        <w:t>veći</w:t>
      </w:r>
      <w:r w:rsidR="0090519E" w:rsidRPr="0055492A">
        <w:rPr>
          <w:rFonts w:asciiTheme="minorHAnsi" w:hAnsiTheme="minorHAnsi" w:cstheme="minorHAnsi"/>
          <w:sz w:val="22"/>
          <w:szCs w:val="22"/>
        </w:rPr>
        <w:t xml:space="preserve">. Realni rast eksterne tražnje prosječno </w:t>
      </w:r>
      <w:r>
        <w:rPr>
          <w:rFonts w:asciiTheme="minorHAnsi" w:hAnsiTheme="minorHAnsi" w:cstheme="minorHAnsi"/>
          <w:sz w:val="22"/>
          <w:szCs w:val="22"/>
        </w:rPr>
        <w:t xml:space="preserve">iznosi </w:t>
      </w:r>
      <w:r w:rsidR="00302A4E">
        <w:rPr>
          <w:rFonts w:asciiTheme="minorHAnsi" w:hAnsiTheme="minorHAnsi" w:cstheme="minorHAnsi"/>
          <w:sz w:val="22"/>
          <w:szCs w:val="22"/>
        </w:rPr>
        <w:t>4,2</w:t>
      </w:r>
      <w:r w:rsidR="0090519E" w:rsidRPr="0055492A">
        <w:rPr>
          <w:rFonts w:asciiTheme="minorHAnsi" w:hAnsiTheme="minorHAnsi" w:cstheme="minorHAnsi"/>
          <w:sz w:val="22"/>
          <w:szCs w:val="22"/>
        </w:rPr>
        <w:t xml:space="preserve">%, </w:t>
      </w:r>
      <w:r w:rsidR="0048511B">
        <w:rPr>
          <w:rFonts w:asciiTheme="minorHAnsi" w:hAnsiTheme="minorHAnsi" w:cstheme="minorHAnsi"/>
          <w:sz w:val="22"/>
          <w:szCs w:val="22"/>
        </w:rPr>
        <w:t>uz</w:t>
      </w:r>
      <w:r>
        <w:rPr>
          <w:rFonts w:asciiTheme="minorHAnsi" w:hAnsiTheme="minorHAnsi" w:cstheme="minorHAnsi"/>
          <w:sz w:val="22"/>
          <w:szCs w:val="22"/>
        </w:rPr>
        <w:t xml:space="preserve"> </w:t>
      </w:r>
      <w:r w:rsidR="0090519E" w:rsidRPr="0055492A">
        <w:rPr>
          <w:rFonts w:asciiTheme="minorHAnsi" w:hAnsiTheme="minorHAnsi" w:cstheme="minorHAnsi"/>
          <w:sz w:val="22"/>
          <w:szCs w:val="22"/>
        </w:rPr>
        <w:t>postepeno smanjenje uvoza i jačanje izvozne komponente, prije svega</w:t>
      </w:r>
      <w:r>
        <w:rPr>
          <w:rFonts w:asciiTheme="minorHAnsi" w:hAnsiTheme="minorHAnsi" w:cstheme="minorHAnsi"/>
          <w:sz w:val="22"/>
          <w:szCs w:val="22"/>
        </w:rPr>
        <w:t>,</w:t>
      </w:r>
      <w:r w:rsidR="0048511B">
        <w:rPr>
          <w:rFonts w:asciiTheme="minorHAnsi" w:hAnsiTheme="minorHAnsi" w:cstheme="minorHAnsi"/>
          <w:sz w:val="22"/>
          <w:szCs w:val="22"/>
        </w:rPr>
        <w:t xml:space="preserve"> kroz rast prihoda od turizma;</w:t>
      </w:r>
    </w:p>
    <w:p w:rsidR="0090519E" w:rsidRPr="0048511B" w:rsidRDefault="0090519E" w:rsidP="0048511B">
      <w:pPr>
        <w:pStyle w:val="ListParagraph"/>
        <w:numPr>
          <w:ilvl w:val="0"/>
          <w:numId w:val="5"/>
        </w:numPr>
        <w:spacing w:line="276" w:lineRule="auto"/>
        <w:rPr>
          <w:rFonts w:asciiTheme="minorHAnsi" w:hAnsiTheme="minorHAnsi" w:cstheme="minorHAnsi"/>
          <w:sz w:val="22"/>
          <w:szCs w:val="22"/>
        </w:rPr>
      </w:pPr>
      <w:r w:rsidRPr="0048511B">
        <w:rPr>
          <w:rFonts w:asciiTheme="minorHAnsi" w:hAnsiTheme="minorHAnsi" w:cstheme="minorHAnsi"/>
          <w:sz w:val="22"/>
          <w:szCs w:val="22"/>
        </w:rPr>
        <w:t xml:space="preserve">Potrošnja domaćinstava će biti pod uticajem </w:t>
      </w:r>
      <w:r w:rsidR="00901EEA" w:rsidRPr="0048511B">
        <w:rPr>
          <w:rFonts w:asciiTheme="minorHAnsi" w:hAnsiTheme="minorHAnsi" w:cstheme="minorHAnsi"/>
          <w:sz w:val="22"/>
          <w:szCs w:val="22"/>
        </w:rPr>
        <w:t>povećanja</w:t>
      </w:r>
      <w:r w:rsidRPr="0048511B">
        <w:rPr>
          <w:rFonts w:asciiTheme="minorHAnsi" w:hAnsiTheme="minorHAnsi" w:cstheme="minorHAnsi"/>
          <w:sz w:val="22"/>
          <w:szCs w:val="22"/>
        </w:rPr>
        <w:t xml:space="preserve"> zarada i broja zaposlenih, </w:t>
      </w:r>
      <w:r w:rsidR="00901EEA" w:rsidRPr="0048511B">
        <w:rPr>
          <w:rFonts w:asciiTheme="minorHAnsi" w:hAnsiTheme="minorHAnsi" w:cstheme="minorHAnsi"/>
          <w:sz w:val="22"/>
          <w:szCs w:val="22"/>
        </w:rPr>
        <w:t>a što će biti rezultat</w:t>
      </w:r>
      <w:r w:rsidRPr="0048511B">
        <w:rPr>
          <w:rFonts w:asciiTheme="minorHAnsi" w:hAnsiTheme="minorHAnsi" w:cstheme="minorHAnsi"/>
          <w:sz w:val="22"/>
          <w:szCs w:val="22"/>
        </w:rPr>
        <w:t xml:space="preserve"> </w:t>
      </w:r>
      <w:r w:rsidR="00901EEA" w:rsidRPr="0048511B">
        <w:rPr>
          <w:rFonts w:asciiTheme="minorHAnsi" w:hAnsiTheme="minorHAnsi" w:cstheme="minorHAnsi"/>
          <w:sz w:val="22"/>
          <w:szCs w:val="22"/>
        </w:rPr>
        <w:t>porasta</w:t>
      </w:r>
      <w:r w:rsidRPr="0048511B">
        <w:rPr>
          <w:rFonts w:asciiTheme="minorHAnsi" w:hAnsiTheme="minorHAnsi" w:cstheme="minorHAnsi"/>
          <w:sz w:val="22"/>
          <w:szCs w:val="22"/>
        </w:rPr>
        <w:t xml:space="preserve"> tražnje</w:t>
      </w:r>
      <w:r w:rsidR="00901EEA" w:rsidRPr="0048511B">
        <w:rPr>
          <w:rFonts w:asciiTheme="minorHAnsi" w:hAnsiTheme="minorHAnsi" w:cstheme="minorHAnsi"/>
          <w:sz w:val="22"/>
          <w:szCs w:val="22"/>
        </w:rPr>
        <w:t xml:space="preserve"> po osnovu realizacije investicionih aktivnosti, i</w:t>
      </w:r>
      <w:r w:rsidRPr="0048511B">
        <w:rPr>
          <w:rFonts w:asciiTheme="minorHAnsi" w:hAnsiTheme="minorHAnsi" w:cstheme="minorHAnsi"/>
          <w:sz w:val="22"/>
          <w:szCs w:val="22"/>
        </w:rPr>
        <w:t xml:space="preserve"> </w:t>
      </w:r>
      <w:r w:rsidR="00901EEA" w:rsidRPr="0048511B">
        <w:rPr>
          <w:rFonts w:asciiTheme="minorHAnsi" w:hAnsiTheme="minorHAnsi" w:cstheme="minorHAnsi"/>
          <w:sz w:val="22"/>
          <w:szCs w:val="22"/>
        </w:rPr>
        <w:t>povećanja prihoda od turizma. Sa druge strane, smanjenje potrošnje može prouzrokovati</w:t>
      </w:r>
      <w:r w:rsidRPr="0048511B">
        <w:rPr>
          <w:rFonts w:asciiTheme="minorHAnsi" w:hAnsiTheme="minorHAnsi" w:cstheme="minorHAnsi"/>
          <w:sz w:val="22"/>
          <w:szCs w:val="22"/>
        </w:rPr>
        <w:t xml:space="preserve"> pad realne stope</w:t>
      </w:r>
      <w:r w:rsidR="00901EEA" w:rsidRPr="0048511B">
        <w:rPr>
          <w:rFonts w:asciiTheme="minorHAnsi" w:hAnsiTheme="minorHAnsi" w:cstheme="minorHAnsi"/>
          <w:sz w:val="22"/>
          <w:szCs w:val="22"/>
        </w:rPr>
        <w:t xml:space="preserve"> rasta i povećanje</w:t>
      </w:r>
      <w:r w:rsidRPr="0048511B">
        <w:rPr>
          <w:rFonts w:asciiTheme="minorHAnsi" w:hAnsiTheme="minorHAnsi" w:cstheme="minorHAnsi"/>
          <w:sz w:val="22"/>
          <w:szCs w:val="22"/>
        </w:rPr>
        <w:t xml:space="preserve"> cijena</w:t>
      </w:r>
      <w:r w:rsidR="00901EEA" w:rsidRPr="0048511B">
        <w:rPr>
          <w:rFonts w:asciiTheme="minorHAnsi" w:hAnsiTheme="minorHAnsi" w:cstheme="minorHAnsi"/>
          <w:sz w:val="22"/>
          <w:szCs w:val="22"/>
        </w:rPr>
        <w:t>.</w:t>
      </w:r>
      <w:r w:rsidRPr="0048511B">
        <w:rPr>
          <w:rFonts w:asciiTheme="minorHAnsi" w:hAnsiTheme="minorHAnsi" w:cstheme="minorHAnsi"/>
          <w:sz w:val="22"/>
          <w:szCs w:val="22"/>
        </w:rPr>
        <w:t xml:space="preserve"> Prosječna realna stopa rasta </w:t>
      </w:r>
      <w:r w:rsidR="00901EEA" w:rsidRPr="0048511B">
        <w:rPr>
          <w:rFonts w:asciiTheme="minorHAnsi" w:hAnsiTheme="minorHAnsi" w:cstheme="minorHAnsi"/>
          <w:sz w:val="22"/>
          <w:szCs w:val="22"/>
        </w:rPr>
        <w:t xml:space="preserve">potrošnje domaćinstava, </w:t>
      </w:r>
      <w:r w:rsidRPr="0048511B">
        <w:rPr>
          <w:rFonts w:asciiTheme="minorHAnsi" w:hAnsiTheme="minorHAnsi" w:cstheme="minorHAnsi"/>
          <w:sz w:val="22"/>
          <w:szCs w:val="22"/>
        </w:rPr>
        <w:t>u</w:t>
      </w:r>
      <w:r w:rsidR="00901EEA" w:rsidRPr="0048511B">
        <w:rPr>
          <w:rFonts w:asciiTheme="minorHAnsi" w:hAnsiTheme="minorHAnsi" w:cstheme="minorHAnsi"/>
          <w:sz w:val="22"/>
          <w:szCs w:val="22"/>
        </w:rPr>
        <w:t xml:space="preserve"> navedenom</w:t>
      </w:r>
      <w:r w:rsidRPr="0048511B">
        <w:rPr>
          <w:rFonts w:asciiTheme="minorHAnsi" w:hAnsiTheme="minorHAnsi" w:cstheme="minorHAnsi"/>
          <w:sz w:val="22"/>
          <w:szCs w:val="22"/>
        </w:rPr>
        <w:t xml:space="preserve"> periodu</w:t>
      </w:r>
      <w:r w:rsidR="00901EEA" w:rsidRPr="0048511B">
        <w:rPr>
          <w:rFonts w:asciiTheme="minorHAnsi" w:hAnsiTheme="minorHAnsi" w:cstheme="minorHAnsi"/>
          <w:sz w:val="22"/>
          <w:szCs w:val="22"/>
        </w:rPr>
        <w:t>,</w:t>
      </w:r>
      <w:r w:rsidRPr="0048511B">
        <w:rPr>
          <w:rFonts w:asciiTheme="minorHAnsi" w:hAnsiTheme="minorHAnsi" w:cstheme="minorHAnsi"/>
          <w:sz w:val="22"/>
          <w:szCs w:val="22"/>
        </w:rPr>
        <w:t xml:space="preserve"> </w:t>
      </w:r>
      <w:r w:rsidR="00901EEA" w:rsidRPr="0048511B">
        <w:rPr>
          <w:rFonts w:asciiTheme="minorHAnsi" w:hAnsiTheme="minorHAnsi" w:cstheme="minorHAnsi"/>
          <w:sz w:val="22"/>
          <w:szCs w:val="22"/>
        </w:rPr>
        <w:t>iznosi</w:t>
      </w:r>
      <w:r w:rsidRPr="0048511B">
        <w:rPr>
          <w:rFonts w:asciiTheme="minorHAnsi" w:hAnsiTheme="minorHAnsi" w:cstheme="minorHAnsi"/>
          <w:sz w:val="22"/>
          <w:szCs w:val="22"/>
        </w:rPr>
        <w:t xml:space="preserve">će 0,3%; </w:t>
      </w:r>
    </w:p>
    <w:p w:rsidR="0090519E" w:rsidRDefault="0090519E" w:rsidP="003536C9">
      <w:pPr>
        <w:pStyle w:val="ListParagraph"/>
        <w:numPr>
          <w:ilvl w:val="0"/>
          <w:numId w:val="5"/>
        </w:numPr>
        <w:spacing w:line="276" w:lineRule="auto"/>
        <w:rPr>
          <w:rFonts w:asciiTheme="minorHAnsi" w:hAnsiTheme="minorHAnsi" w:cstheme="minorHAnsi"/>
          <w:sz w:val="22"/>
          <w:szCs w:val="22"/>
        </w:rPr>
      </w:pPr>
      <w:r w:rsidRPr="003536C9">
        <w:rPr>
          <w:rFonts w:asciiTheme="minorHAnsi" w:hAnsiTheme="minorHAnsi" w:cstheme="minorHAnsi"/>
          <w:sz w:val="22"/>
          <w:szCs w:val="22"/>
        </w:rPr>
        <w:t xml:space="preserve">Bruto investicije u osnovna sredstva </w:t>
      </w:r>
      <w:r w:rsidR="00302A4E">
        <w:rPr>
          <w:rFonts w:asciiTheme="minorHAnsi" w:hAnsiTheme="minorHAnsi" w:cstheme="minorHAnsi"/>
          <w:sz w:val="22"/>
          <w:szCs w:val="22"/>
        </w:rPr>
        <w:t>će rasti po prosječnoj stopi od 6,9</w:t>
      </w:r>
      <w:r w:rsidRPr="003536C9">
        <w:rPr>
          <w:rFonts w:asciiTheme="minorHAnsi" w:hAnsiTheme="minorHAnsi" w:cstheme="minorHAnsi"/>
          <w:sz w:val="22"/>
          <w:szCs w:val="22"/>
        </w:rPr>
        <w:t xml:space="preserve">% u srednjem roku, </w:t>
      </w:r>
      <w:r w:rsidR="00901EEA" w:rsidRPr="003536C9">
        <w:rPr>
          <w:rFonts w:asciiTheme="minorHAnsi" w:hAnsiTheme="minorHAnsi" w:cstheme="minorHAnsi"/>
          <w:sz w:val="22"/>
          <w:szCs w:val="22"/>
        </w:rPr>
        <w:t>pri čemu će,</w:t>
      </w:r>
      <w:r w:rsidRPr="003536C9">
        <w:rPr>
          <w:rFonts w:asciiTheme="minorHAnsi" w:hAnsiTheme="minorHAnsi" w:cstheme="minorHAnsi"/>
          <w:sz w:val="22"/>
          <w:szCs w:val="22"/>
        </w:rPr>
        <w:t xml:space="preserve"> </w:t>
      </w:r>
      <w:r w:rsidR="00901EEA" w:rsidRPr="003536C9">
        <w:rPr>
          <w:rFonts w:asciiTheme="minorHAnsi" w:hAnsiTheme="minorHAnsi" w:cstheme="minorHAnsi"/>
          <w:sz w:val="22"/>
          <w:szCs w:val="22"/>
        </w:rPr>
        <w:t xml:space="preserve">u skladu sa dinamikom realizacije investicionih projekata, </w:t>
      </w:r>
      <w:r w:rsidRPr="003536C9">
        <w:rPr>
          <w:rFonts w:asciiTheme="minorHAnsi" w:hAnsiTheme="minorHAnsi" w:cstheme="minorHAnsi"/>
          <w:sz w:val="22"/>
          <w:szCs w:val="22"/>
        </w:rPr>
        <w:t xml:space="preserve">prosječna realna stopa u prve dvije godine </w:t>
      </w:r>
      <w:r w:rsidR="00901EEA" w:rsidRPr="003536C9">
        <w:rPr>
          <w:rFonts w:asciiTheme="minorHAnsi" w:hAnsiTheme="minorHAnsi" w:cstheme="minorHAnsi"/>
          <w:sz w:val="22"/>
          <w:szCs w:val="22"/>
        </w:rPr>
        <w:t xml:space="preserve">iznositi oko </w:t>
      </w:r>
      <w:r w:rsidR="00302A4E">
        <w:rPr>
          <w:rFonts w:asciiTheme="minorHAnsi" w:hAnsiTheme="minorHAnsi" w:cstheme="minorHAnsi"/>
          <w:sz w:val="22"/>
          <w:szCs w:val="22"/>
        </w:rPr>
        <w:t>16,9</w:t>
      </w:r>
      <w:r w:rsidRPr="003536C9">
        <w:rPr>
          <w:rFonts w:asciiTheme="minorHAnsi" w:hAnsiTheme="minorHAnsi" w:cstheme="minorHAnsi"/>
          <w:sz w:val="22"/>
          <w:szCs w:val="22"/>
        </w:rPr>
        <w:t xml:space="preserve">%, dok će </w:t>
      </w:r>
      <w:r w:rsidR="00901EEA" w:rsidRPr="003536C9">
        <w:rPr>
          <w:rFonts w:asciiTheme="minorHAnsi" w:hAnsiTheme="minorHAnsi" w:cstheme="minorHAnsi"/>
          <w:sz w:val="22"/>
          <w:szCs w:val="22"/>
        </w:rPr>
        <w:t xml:space="preserve">se </w:t>
      </w:r>
      <w:r w:rsidRPr="003536C9">
        <w:rPr>
          <w:rFonts w:asciiTheme="minorHAnsi" w:hAnsiTheme="minorHAnsi" w:cstheme="minorHAnsi"/>
          <w:sz w:val="22"/>
          <w:szCs w:val="22"/>
        </w:rPr>
        <w:t xml:space="preserve">u 2020. godini </w:t>
      </w:r>
      <w:r w:rsidR="00901EEA" w:rsidRPr="003536C9">
        <w:rPr>
          <w:rFonts w:asciiTheme="minorHAnsi" w:hAnsiTheme="minorHAnsi" w:cstheme="minorHAnsi"/>
          <w:sz w:val="22"/>
          <w:szCs w:val="22"/>
        </w:rPr>
        <w:t xml:space="preserve">smanjiti, </w:t>
      </w:r>
      <w:r w:rsidRPr="003536C9">
        <w:rPr>
          <w:rFonts w:asciiTheme="minorHAnsi" w:hAnsiTheme="minorHAnsi" w:cstheme="minorHAnsi"/>
          <w:sz w:val="22"/>
          <w:szCs w:val="22"/>
        </w:rPr>
        <w:t>zbog visok</w:t>
      </w:r>
      <w:r w:rsidR="00901EEA" w:rsidRPr="003536C9">
        <w:rPr>
          <w:rFonts w:asciiTheme="minorHAnsi" w:hAnsiTheme="minorHAnsi" w:cstheme="minorHAnsi"/>
          <w:sz w:val="22"/>
          <w:szCs w:val="22"/>
        </w:rPr>
        <w:t>o</w:t>
      </w:r>
      <w:r w:rsidR="003536C9">
        <w:rPr>
          <w:rFonts w:asciiTheme="minorHAnsi" w:hAnsiTheme="minorHAnsi" w:cstheme="minorHAnsi"/>
          <w:sz w:val="22"/>
          <w:szCs w:val="22"/>
        </w:rPr>
        <w:t xml:space="preserve"> dostignutog nivoa;</w:t>
      </w:r>
    </w:p>
    <w:p w:rsidR="003536C9" w:rsidRPr="003536C9" w:rsidRDefault="0090519E" w:rsidP="003536C9">
      <w:pPr>
        <w:pStyle w:val="ListParagraph"/>
        <w:numPr>
          <w:ilvl w:val="0"/>
          <w:numId w:val="5"/>
        </w:numPr>
        <w:spacing w:line="276" w:lineRule="auto"/>
        <w:rPr>
          <w:rFonts w:asciiTheme="minorHAnsi" w:hAnsiTheme="minorHAnsi" w:cstheme="minorHAnsi"/>
          <w:sz w:val="22"/>
          <w:szCs w:val="22"/>
        </w:rPr>
      </w:pPr>
      <w:r w:rsidRPr="003536C9">
        <w:rPr>
          <w:rFonts w:asciiTheme="minorHAnsi" w:hAnsiTheme="minorHAnsi" w:cstheme="minorHAnsi"/>
          <w:sz w:val="22"/>
          <w:szCs w:val="22"/>
        </w:rPr>
        <w:t>Finalna potrošnja države će biti po</w:t>
      </w:r>
      <w:r w:rsidR="00901EEA" w:rsidRPr="003536C9">
        <w:rPr>
          <w:rFonts w:asciiTheme="minorHAnsi" w:hAnsiTheme="minorHAnsi" w:cstheme="minorHAnsi"/>
          <w:sz w:val="22"/>
          <w:szCs w:val="22"/>
        </w:rPr>
        <w:t>d</w:t>
      </w:r>
      <w:r w:rsidRPr="003536C9">
        <w:rPr>
          <w:rFonts w:asciiTheme="minorHAnsi" w:hAnsiTheme="minorHAnsi" w:cstheme="minorHAnsi"/>
          <w:sz w:val="22"/>
          <w:szCs w:val="22"/>
        </w:rPr>
        <w:t xml:space="preserve"> uticajem </w:t>
      </w:r>
      <w:r w:rsidR="00901EEA" w:rsidRPr="003536C9">
        <w:rPr>
          <w:rFonts w:asciiTheme="minorHAnsi" w:hAnsiTheme="minorHAnsi" w:cstheme="minorHAnsi"/>
          <w:sz w:val="22"/>
          <w:szCs w:val="22"/>
        </w:rPr>
        <w:t xml:space="preserve">realizacije mjera </w:t>
      </w:r>
      <w:r w:rsidRPr="003536C9">
        <w:rPr>
          <w:rFonts w:asciiTheme="minorHAnsi" w:hAnsiTheme="minorHAnsi" w:cstheme="minorHAnsi"/>
          <w:sz w:val="22"/>
          <w:szCs w:val="22"/>
        </w:rPr>
        <w:t>fiskalne konsolidacije</w:t>
      </w:r>
      <w:r w:rsidR="00901EEA" w:rsidRPr="003536C9">
        <w:rPr>
          <w:rFonts w:asciiTheme="minorHAnsi" w:hAnsiTheme="minorHAnsi" w:cstheme="minorHAnsi"/>
          <w:sz w:val="22"/>
          <w:szCs w:val="22"/>
        </w:rPr>
        <w:t xml:space="preserve">, što podrazumijeva </w:t>
      </w:r>
      <w:r w:rsidRPr="003536C9">
        <w:rPr>
          <w:rFonts w:asciiTheme="minorHAnsi" w:hAnsiTheme="minorHAnsi" w:cstheme="minorHAnsi"/>
          <w:sz w:val="22"/>
          <w:szCs w:val="22"/>
        </w:rPr>
        <w:t>kontrolisano trošenje iz tekućeg budžeta i značajan rast kapitalnog budžeta, kao razvojne komponente</w:t>
      </w:r>
      <w:r w:rsidR="00901EEA" w:rsidRPr="003536C9">
        <w:rPr>
          <w:rFonts w:asciiTheme="minorHAnsi" w:hAnsiTheme="minorHAnsi" w:cstheme="minorHAnsi"/>
          <w:sz w:val="22"/>
          <w:szCs w:val="22"/>
        </w:rPr>
        <w:t>, a što će efektuirati</w:t>
      </w:r>
      <w:r w:rsidRPr="003536C9">
        <w:rPr>
          <w:rFonts w:asciiTheme="minorHAnsi" w:hAnsiTheme="minorHAnsi" w:cstheme="minorHAnsi"/>
          <w:sz w:val="22"/>
          <w:szCs w:val="22"/>
        </w:rPr>
        <w:t xml:space="preserve"> smanjiva</w:t>
      </w:r>
      <w:r w:rsidR="00901EEA" w:rsidRPr="003536C9">
        <w:rPr>
          <w:rFonts w:asciiTheme="minorHAnsi" w:hAnsiTheme="minorHAnsi" w:cstheme="minorHAnsi"/>
          <w:sz w:val="22"/>
          <w:szCs w:val="22"/>
        </w:rPr>
        <w:t>njem</w:t>
      </w:r>
      <w:r w:rsidRPr="003536C9">
        <w:rPr>
          <w:rFonts w:asciiTheme="minorHAnsi" w:hAnsiTheme="minorHAnsi" w:cstheme="minorHAnsi"/>
          <w:sz w:val="22"/>
          <w:szCs w:val="22"/>
        </w:rPr>
        <w:t xml:space="preserve"> finaln</w:t>
      </w:r>
      <w:r w:rsidR="00901EEA" w:rsidRPr="003536C9">
        <w:rPr>
          <w:rFonts w:asciiTheme="minorHAnsi" w:hAnsiTheme="minorHAnsi" w:cstheme="minorHAnsi"/>
          <w:sz w:val="22"/>
          <w:szCs w:val="22"/>
        </w:rPr>
        <w:t>e</w:t>
      </w:r>
      <w:r w:rsidRPr="003536C9">
        <w:rPr>
          <w:rFonts w:asciiTheme="minorHAnsi" w:hAnsiTheme="minorHAnsi" w:cstheme="minorHAnsi"/>
          <w:sz w:val="22"/>
          <w:szCs w:val="22"/>
        </w:rPr>
        <w:t xml:space="preserve"> potrošnj</w:t>
      </w:r>
      <w:r w:rsidR="00901EEA" w:rsidRPr="003536C9">
        <w:rPr>
          <w:rFonts w:asciiTheme="minorHAnsi" w:hAnsiTheme="minorHAnsi" w:cstheme="minorHAnsi"/>
          <w:sz w:val="22"/>
          <w:szCs w:val="22"/>
        </w:rPr>
        <w:t>e</w:t>
      </w:r>
      <w:r w:rsidRPr="003536C9">
        <w:rPr>
          <w:rFonts w:asciiTheme="minorHAnsi" w:hAnsiTheme="minorHAnsi" w:cstheme="minorHAnsi"/>
          <w:sz w:val="22"/>
          <w:szCs w:val="22"/>
        </w:rPr>
        <w:t xml:space="preserve"> države </w:t>
      </w:r>
      <w:r w:rsidR="00901EEA" w:rsidRPr="003536C9">
        <w:rPr>
          <w:rFonts w:asciiTheme="minorHAnsi" w:hAnsiTheme="minorHAnsi" w:cstheme="minorHAnsi"/>
          <w:sz w:val="22"/>
          <w:szCs w:val="22"/>
        </w:rPr>
        <w:t xml:space="preserve">po prosječnoj realnoj stopi od </w:t>
      </w:r>
      <w:r w:rsidRPr="003536C9">
        <w:rPr>
          <w:rFonts w:asciiTheme="minorHAnsi" w:hAnsiTheme="minorHAnsi" w:cstheme="minorHAnsi"/>
          <w:sz w:val="22"/>
          <w:szCs w:val="22"/>
        </w:rPr>
        <w:t>1,1%</w:t>
      </w:r>
      <w:r w:rsidR="003536C9">
        <w:rPr>
          <w:rFonts w:asciiTheme="minorHAnsi" w:hAnsiTheme="minorHAnsi" w:cstheme="minorHAnsi"/>
          <w:sz w:val="22"/>
          <w:szCs w:val="22"/>
        </w:rPr>
        <w:t>;</w:t>
      </w:r>
    </w:p>
    <w:p w:rsidR="003536C9" w:rsidRPr="003536C9" w:rsidRDefault="0090519E" w:rsidP="003536C9">
      <w:pPr>
        <w:numPr>
          <w:ilvl w:val="0"/>
          <w:numId w:val="11"/>
        </w:numPr>
        <w:spacing w:line="276" w:lineRule="auto"/>
        <w:contextualSpacing/>
        <w:rPr>
          <w:rFonts w:asciiTheme="minorHAnsi" w:hAnsiTheme="minorHAnsi" w:cstheme="minorHAnsi"/>
          <w:sz w:val="22"/>
          <w:szCs w:val="22"/>
        </w:rPr>
      </w:pPr>
      <w:r w:rsidRPr="0055492A">
        <w:rPr>
          <w:rFonts w:asciiTheme="minorHAnsi" w:hAnsiTheme="minorHAnsi" w:cstheme="minorHAnsi"/>
          <w:sz w:val="22"/>
          <w:szCs w:val="22"/>
        </w:rPr>
        <w:t>Izvoz roba i usluga će rasti po prosječnoj realnoj stopi od 2,1%, pri čemu je projektovani nominalni rast izvoza usluga (potrošnja stranih turista) 4,6%</w:t>
      </w:r>
      <w:r w:rsidR="003536C9">
        <w:rPr>
          <w:rFonts w:asciiTheme="minorHAnsi" w:hAnsiTheme="minorHAnsi" w:cstheme="minorHAnsi"/>
          <w:sz w:val="22"/>
          <w:szCs w:val="22"/>
        </w:rPr>
        <w:t>, dok je rast izvoza roba 2%;</w:t>
      </w:r>
    </w:p>
    <w:p w:rsidR="0090519E" w:rsidRPr="0055492A" w:rsidRDefault="00901EEA" w:rsidP="0090519E">
      <w:pPr>
        <w:numPr>
          <w:ilvl w:val="0"/>
          <w:numId w:val="11"/>
        </w:numPr>
        <w:spacing w:line="276" w:lineRule="auto"/>
        <w:contextualSpacing/>
        <w:rPr>
          <w:rFonts w:asciiTheme="minorHAnsi" w:hAnsiTheme="minorHAnsi" w:cstheme="minorHAnsi"/>
          <w:sz w:val="22"/>
          <w:szCs w:val="22"/>
        </w:rPr>
      </w:pPr>
      <w:r>
        <w:rPr>
          <w:rFonts w:asciiTheme="minorHAnsi" w:hAnsiTheme="minorHAnsi" w:cstheme="minorHAnsi"/>
          <w:sz w:val="22"/>
          <w:szCs w:val="22"/>
        </w:rPr>
        <w:t>P</w:t>
      </w:r>
      <w:r w:rsidRPr="0055492A">
        <w:rPr>
          <w:rFonts w:asciiTheme="minorHAnsi" w:hAnsiTheme="minorHAnsi" w:cstheme="minorHAnsi"/>
          <w:sz w:val="22"/>
          <w:szCs w:val="22"/>
        </w:rPr>
        <w:t>rema procjeni</w:t>
      </w:r>
      <w:r>
        <w:rPr>
          <w:rFonts w:asciiTheme="minorHAnsi" w:hAnsiTheme="minorHAnsi" w:cstheme="minorHAnsi"/>
          <w:sz w:val="22"/>
          <w:szCs w:val="22"/>
        </w:rPr>
        <w:t>,</w:t>
      </w:r>
      <w:r w:rsidRPr="0055492A">
        <w:rPr>
          <w:rFonts w:asciiTheme="minorHAnsi" w:hAnsiTheme="minorHAnsi" w:cstheme="minorHAnsi"/>
          <w:sz w:val="22"/>
          <w:szCs w:val="22"/>
        </w:rPr>
        <w:t xml:space="preserve"> </w:t>
      </w:r>
      <w:r>
        <w:rPr>
          <w:rFonts w:asciiTheme="minorHAnsi" w:hAnsiTheme="minorHAnsi" w:cstheme="minorHAnsi"/>
          <w:sz w:val="22"/>
          <w:szCs w:val="22"/>
        </w:rPr>
        <w:t>u</w:t>
      </w:r>
      <w:r w:rsidR="0090519E" w:rsidRPr="0055492A">
        <w:rPr>
          <w:rFonts w:asciiTheme="minorHAnsi" w:hAnsiTheme="minorHAnsi" w:cstheme="minorHAnsi"/>
          <w:sz w:val="22"/>
          <w:szCs w:val="22"/>
        </w:rPr>
        <w:t>voz roba i usluga je dostigao iznos od 2,5 mlrd.€</w:t>
      </w:r>
      <w:r>
        <w:rPr>
          <w:rFonts w:asciiTheme="minorHAnsi" w:hAnsiTheme="minorHAnsi" w:cstheme="minorHAnsi"/>
          <w:sz w:val="22"/>
          <w:szCs w:val="22"/>
        </w:rPr>
        <w:t>, odnosno</w:t>
      </w:r>
      <w:r w:rsidR="0090519E" w:rsidRPr="0055492A">
        <w:rPr>
          <w:rFonts w:asciiTheme="minorHAnsi" w:hAnsiTheme="minorHAnsi" w:cstheme="minorHAnsi"/>
          <w:sz w:val="22"/>
          <w:szCs w:val="22"/>
        </w:rPr>
        <w:t xml:space="preserve"> 66% procijenjenog BDP-a za 2016. godinu i </w:t>
      </w:r>
      <w:r>
        <w:rPr>
          <w:rFonts w:asciiTheme="minorHAnsi" w:hAnsiTheme="minorHAnsi" w:cstheme="minorHAnsi"/>
          <w:sz w:val="22"/>
          <w:szCs w:val="22"/>
        </w:rPr>
        <w:t>veći</w:t>
      </w:r>
      <w:r w:rsidR="0090519E" w:rsidRPr="0055492A">
        <w:rPr>
          <w:rFonts w:asciiTheme="minorHAnsi" w:hAnsiTheme="minorHAnsi" w:cstheme="minorHAnsi"/>
          <w:sz w:val="22"/>
          <w:szCs w:val="22"/>
        </w:rPr>
        <w:t xml:space="preserve"> je za 263</w:t>
      </w:r>
      <w:r>
        <w:rPr>
          <w:rFonts w:asciiTheme="minorHAnsi" w:hAnsiTheme="minorHAnsi" w:cstheme="minorHAnsi"/>
          <w:sz w:val="22"/>
          <w:szCs w:val="22"/>
        </w:rPr>
        <w:t>,0</w:t>
      </w:r>
      <w:r w:rsidR="0090519E" w:rsidRPr="0055492A">
        <w:rPr>
          <w:rFonts w:asciiTheme="minorHAnsi" w:hAnsiTheme="minorHAnsi" w:cstheme="minorHAnsi"/>
          <w:sz w:val="22"/>
          <w:szCs w:val="22"/>
        </w:rPr>
        <w:t xml:space="preserve"> mil. € u odnosu na prethodnu godinu. Ovakav rast je uslovljen povećanim uvozom za potrebe investicija (uvoz građevinskih materijala i opreme) i rastom uvoza usluga koji se odnosi na građevinarstvo (izgradnja autoputa i drugi projekti). U sljedeće dvije godine predviđen je rast uvoza </w:t>
      </w:r>
      <w:r>
        <w:rPr>
          <w:rFonts w:asciiTheme="minorHAnsi" w:hAnsiTheme="minorHAnsi" w:cstheme="minorHAnsi"/>
          <w:sz w:val="22"/>
          <w:szCs w:val="22"/>
        </w:rPr>
        <w:t xml:space="preserve">od </w:t>
      </w:r>
      <w:r w:rsidR="003536C9">
        <w:rPr>
          <w:rFonts w:asciiTheme="minorHAnsi" w:hAnsiTheme="minorHAnsi" w:cstheme="minorHAnsi"/>
          <w:sz w:val="22"/>
          <w:szCs w:val="22"/>
        </w:rPr>
        <w:t>2,2</w:t>
      </w:r>
      <w:r w:rsidR="0090519E" w:rsidRPr="0055492A">
        <w:rPr>
          <w:rFonts w:asciiTheme="minorHAnsi" w:hAnsiTheme="minorHAnsi" w:cstheme="minorHAnsi"/>
          <w:sz w:val="22"/>
          <w:szCs w:val="22"/>
        </w:rPr>
        <w:t xml:space="preserve">%, </w:t>
      </w:r>
      <w:r>
        <w:rPr>
          <w:rFonts w:asciiTheme="minorHAnsi" w:hAnsiTheme="minorHAnsi" w:cstheme="minorHAnsi"/>
          <w:sz w:val="22"/>
          <w:szCs w:val="22"/>
        </w:rPr>
        <w:t xml:space="preserve">nakon čega će doći do njegovog smanjenja, što proističe iz </w:t>
      </w:r>
      <w:r w:rsidR="0090519E" w:rsidRPr="0055492A">
        <w:rPr>
          <w:rFonts w:asciiTheme="minorHAnsi" w:hAnsiTheme="minorHAnsi" w:cstheme="minorHAnsi"/>
          <w:sz w:val="22"/>
          <w:szCs w:val="22"/>
        </w:rPr>
        <w:t>dinamike investiranja.</w:t>
      </w:r>
    </w:p>
    <w:p w:rsidR="0090519E" w:rsidRPr="0055492A" w:rsidRDefault="0090519E" w:rsidP="0090519E">
      <w:pPr>
        <w:spacing w:line="276" w:lineRule="auto"/>
        <w:contextualSpacing/>
        <w:rPr>
          <w:rFonts w:asciiTheme="minorHAnsi" w:hAnsiTheme="minorHAnsi" w:cstheme="minorHAnsi"/>
          <w:sz w:val="22"/>
          <w:szCs w:val="22"/>
        </w:rPr>
      </w:pPr>
    </w:p>
    <w:p w:rsidR="0090519E" w:rsidRPr="0055492A" w:rsidRDefault="00901EEA" w:rsidP="0090519E">
      <w:pPr>
        <w:spacing w:line="276" w:lineRule="auto"/>
        <w:contextualSpacing/>
        <w:rPr>
          <w:rFonts w:asciiTheme="minorHAnsi" w:hAnsiTheme="minorHAnsi" w:cstheme="minorHAnsi"/>
          <w:sz w:val="22"/>
          <w:szCs w:val="22"/>
        </w:rPr>
      </w:pPr>
      <w:r>
        <w:rPr>
          <w:rFonts w:asciiTheme="minorHAnsi" w:hAnsiTheme="minorHAnsi" w:cstheme="minorHAnsi"/>
          <w:sz w:val="22"/>
          <w:szCs w:val="22"/>
        </w:rPr>
        <w:t>U nastavku su date projekcije osnovnih m</w:t>
      </w:r>
      <w:r w:rsidR="0090519E" w:rsidRPr="0055492A">
        <w:rPr>
          <w:rFonts w:asciiTheme="minorHAnsi" w:hAnsiTheme="minorHAnsi" w:cstheme="minorHAnsi"/>
          <w:sz w:val="22"/>
          <w:szCs w:val="22"/>
        </w:rPr>
        <w:t>akroekonomski</w:t>
      </w:r>
      <w:r>
        <w:rPr>
          <w:rFonts w:asciiTheme="minorHAnsi" w:hAnsiTheme="minorHAnsi" w:cstheme="minorHAnsi"/>
          <w:sz w:val="22"/>
          <w:szCs w:val="22"/>
        </w:rPr>
        <w:t>h</w:t>
      </w:r>
      <w:r w:rsidR="0090519E" w:rsidRPr="0055492A">
        <w:rPr>
          <w:rFonts w:asciiTheme="minorHAnsi" w:hAnsiTheme="minorHAnsi" w:cstheme="minorHAnsi"/>
          <w:sz w:val="22"/>
          <w:szCs w:val="22"/>
        </w:rPr>
        <w:t xml:space="preserve"> indikator</w:t>
      </w:r>
      <w:r>
        <w:rPr>
          <w:rFonts w:asciiTheme="minorHAnsi" w:hAnsiTheme="minorHAnsi" w:cstheme="minorHAnsi"/>
          <w:sz w:val="22"/>
          <w:szCs w:val="22"/>
        </w:rPr>
        <w:t>a</w:t>
      </w:r>
      <w:r w:rsidRPr="00901EEA">
        <w:rPr>
          <w:rFonts w:asciiTheme="minorHAnsi" w:hAnsiTheme="minorHAnsi" w:cstheme="minorHAnsi"/>
          <w:sz w:val="22"/>
          <w:szCs w:val="22"/>
        </w:rPr>
        <w:t xml:space="preserve"> </w:t>
      </w:r>
      <w:r>
        <w:rPr>
          <w:rFonts w:asciiTheme="minorHAnsi" w:hAnsiTheme="minorHAnsi" w:cstheme="minorHAnsi"/>
          <w:sz w:val="22"/>
          <w:szCs w:val="22"/>
        </w:rPr>
        <w:t xml:space="preserve">od </w:t>
      </w:r>
      <w:r w:rsidRPr="0055492A">
        <w:rPr>
          <w:rFonts w:asciiTheme="minorHAnsi" w:hAnsiTheme="minorHAnsi" w:cstheme="minorHAnsi"/>
          <w:sz w:val="22"/>
          <w:szCs w:val="22"/>
        </w:rPr>
        <w:t xml:space="preserve">2017-2020. </w:t>
      </w:r>
      <w:r>
        <w:rPr>
          <w:rFonts w:asciiTheme="minorHAnsi" w:hAnsiTheme="minorHAnsi" w:cstheme="minorHAnsi"/>
          <w:sz w:val="22"/>
          <w:szCs w:val="22"/>
        </w:rPr>
        <w:t>g</w:t>
      </w:r>
      <w:r w:rsidRPr="0055492A">
        <w:rPr>
          <w:rFonts w:asciiTheme="minorHAnsi" w:hAnsiTheme="minorHAnsi" w:cstheme="minorHAnsi"/>
          <w:sz w:val="22"/>
          <w:szCs w:val="22"/>
        </w:rPr>
        <w:t>odine</w:t>
      </w:r>
      <w:r>
        <w:rPr>
          <w:rFonts w:asciiTheme="minorHAnsi" w:hAnsiTheme="minorHAnsi" w:cstheme="minorHAnsi"/>
          <w:sz w:val="22"/>
          <w:szCs w:val="22"/>
        </w:rPr>
        <w:t>:</w:t>
      </w:r>
    </w:p>
    <w:p w:rsidR="0090519E" w:rsidRPr="0055492A" w:rsidRDefault="0090519E" w:rsidP="0090519E">
      <w:pPr>
        <w:spacing w:line="276" w:lineRule="auto"/>
        <w:contextualSpacing/>
        <w:rPr>
          <w:rFonts w:asciiTheme="minorHAnsi" w:hAnsiTheme="minorHAnsi" w:cstheme="minorHAnsi"/>
          <w:sz w:val="22"/>
          <w:szCs w:val="22"/>
        </w:rPr>
      </w:pPr>
    </w:p>
    <w:p w:rsidR="0090519E" w:rsidRPr="0055492A" w:rsidRDefault="0090519E" w:rsidP="0090519E">
      <w:pPr>
        <w:numPr>
          <w:ilvl w:val="0"/>
          <w:numId w:val="11"/>
        </w:numPr>
        <w:spacing w:line="276" w:lineRule="auto"/>
        <w:contextualSpacing/>
        <w:rPr>
          <w:rFonts w:asciiTheme="minorHAnsi" w:hAnsiTheme="minorHAnsi" w:cstheme="minorHAnsi"/>
          <w:sz w:val="22"/>
          <w:szCs w:val="22"/>
        </w:rPr>
      </w:pPr>
      <w:r w:rsidRPr="0055492A">
        <w:rPr>
          <w:rFonts w:asciiTheme="minorHAnsi" w:hAnsiTheme="minorHAnsi" w:cstheme="minorHAnsi"/>
          <w:sz w:val="22"/>
          <w:szCs w:val="22"/>
        </w:rPr>
        <w:t xml:space="preserve">Deficit tekućeg računa platnog bilansa prosječno </w:t>
      </w:r>
      <w:r w:rsidR="00901EEA">
        <w:rPr>
          <w:rFonts w:asciiTheme="minorHAnsi" w:hAnsiTheme="minorHAnsi" w:cstheme="minorHAnsi"/>
          <w:sz w:val="22"/>
          <w:szCs w:val="22"/>
        </w:rPr>
        <w:t xml:space="preserve">će iznositi oko </w:t>
      </w:r>
      <w:r w:rsidRPr="0055492A">
        <w:rPr>
          <w:rFonts w:asciiTheme="minorHAnsi" w:hAnsiTheme="minorHAnsi" w:cstheme="minorHAnsi"/>
          <w:sz w:val="22"/>
          <w:szCs w:val="22"/>
        </w:rPr>
        <w:t>17</w:t>
      </w:r>
      <w:r w:rsidR="00302A4E">
        <w:rPr>
          <w:rFonts w:asciiTheme="minorHAnsi" w:hAnsiTheme="minorHAnsi" w:cstheme="minorHAnsi"/>
          <w:sz w:val="22"/>
          <w:szCs w:val="22"/>
        </w:rPr>
        <w:t>,1</w:t>
      </w:r>
      <w:r w:rsidRPr="0055492A">
        <w:rPr>
          <w:rFonts w:asciiTheme="minorHAnsi" w:hAnsiTheme="minorHAnsi" w:cstheme="minorHAnsi"/>
          <w:sz w:val="22"/>
          <w:szCs w:val="22"/>
        </w:rPr>
        <w:t xml:space="preserve">% BDP-a, s tim što će se, uz postepeni pad uvoza i rast izvoza roba i usluga, smanjiti na 13,7% BDP-a u 2020. godini; </w:t>
      </w:r>
    </w:p>
    <w:p w:rsidR="0090519E" w:rsidRPr="0055492A" w:rsidRDefault="0090519E" w:rsidP="0090519E">
      <w:pPr>
        <w:numPr>
          <w:ilvl w:val="0"/>
          <w:numId w:val="11"/>
        </w:numPr>
        <w:spacing w:line="276" w:lineRule="auto"/>
        <w:contextualSpacing/>
        <w:rPr>
          <w:rFonts w:asciiTheme="minorHAnsi" w:hAnsiTheme="minorHAnsi" w:cstheme="minorHAnsi"/>
          <w:sz w:val="22"/>
          <w:szCs w:val="22"/>
        </w:rPr>
      </w:pPr>
      <w:r w:rsidRPr="0055492A">
        <w:rPr>
          <w:rFonts w:asciiTheme="minorHAnsi" w:hAnsiTheme="minorHAnsi" w:cstheme="minorHAnsi"/>
          <w:sz w:val="22"/>
          <w:szCs w:val="22"/>
        </w:rPr>
        <w:t>Zaposlenost će se postepeno povećavati tokom čitavog perioda</w:t>
      </w:r>
      <w:r w:rsidR="003536C9">
        <w:rPr>
          <w:rFonts w:asciiTheme="minorHAnsi" w:hAnsiTheme="minorHAnsi" w:cstheme="minorHAnsi"/>
          <w:sz w:val="22"/>
          <w:szCs w:val="22"/>
        </w:rPr>
        <w:t>, po prosječnoj godišnjio stopi od</w:t>
      </w:r>
      <w:r w:rsidRPr="0055492A">
        <w:rPr>
          <w:rFonts w:asciiTheme="minorHAnsi" w:hAnsiTheme="minorHAnsi" w:cstheme="minorHAnsi"/>
          <w:sz w:val="22"/>
          <w:szCs w:val="22"/>
        </w:rPr>
        <w:t xml:space="preserve"> 0,9%</w:t>
      </w:r>
      <w:r w:rsidR="00901EEA">
        <w:rPr>
          <w:rFonts w:asciiTheme="minorHAnsi" w:hAnsiTheme="minorHAnsi" w:cstheme="minorHAnsi"/>
          <w:sz w:val="22"/>
          <w:szCs w:val="22"/>
        </w:rPr>
        <w:t>,</w:t>
      </w:r>
      <w:r w:rsidRPr="0055492A">
        <w:rPr>
          <w:rFonts w:asciiTheme="minorHAnsi" w:hAnsiTheme="minorHAnsi" w:cstheme="minorHAnsi"/>
          <w:sz w:val="22"/>
          <w:szCs w:val="22"/>
        </w:rPr>
        <w:t xml:space="preserve"> </w:t>
      </w:r>
      <w:r w:rsidR="003536C9">
        <w:rPr>
          <w:rFonts w:asciiTheme="minorHAnsi" w:hAnsiTheme="minorHAnsi" w:cstheme="minorHAnsi"/>
          <w:sz w:val="22"/>
          <w:szCs w:val="22"/>
        </w:rPr>
        <w:t>a rezultat je</w:t>
      </w:r>
      <w:r w:rsidRPr="0055492A">
        <w:rPr>
          <w:rFonts w:asciiTheme="minorHAnsi" w:hAnsiTheme="minorHAnsi" w:cstheme="minorHAnsi"/>
          <w:sz w:val="22"/>
          <w:szCs w:val="22"/>
        </w:rPr>
        <w:t xml:space="preserve"> rasta ekonomske aktivnosti, uz ograničenja koja se odnose na djelimično angažovanje domaće radne snage u izvođenju </w:t>
      </w:r>
      <w:r w:rsidRPr="0055492A">
        <w:rPr>
          <w:rFonts w:asciiTheme="minorHAnsi" w:hAnsiTheme="minorHAnsi" w:cstheme="minorHAnsi"/>
          <w:color w:val="auto"/>
          <w:sz w:val="22"/>
          <w:szCs w:val="22"/>
        </w:rPr>
        <w:t xml:space="preserve">investicija i nepodudaranje ponude </w:t>
      </w:r>
      <w:r w:rsidRPr="0055492A">
        <w:rPr>
          <w:rFonts w:asciiTheme="minorHAnsi" w:hAnsiTheme="minorHAnsi" w:cstheme="minorHAnsi"/>
          <w:sz w:val="22"/>
          <w:szCs w:val="22"/>
        </w:rPr>
        <w:t xml:space="preserve">i tražnje na tržištu rada. U </w:t>
      </w:r>
      <w:r w:rsidR="00901EEA">
        <w:rPr>
          <w:rFonts w:asciiTheme="minorHAnsi" w:hAnsiTheme="minorHAnsi" w:cstheme="minorHAnsi"/>
          <w:sz w:val="22"/>
          <w:szCs w:val="22"/>
        </w:rPr>
        <w:t xml:space="preserve">posmatranom periodu </w:t>
      </w:r>
      <w:r w:rsidRPr="0055492A">
        <w:rPr>
          <w:rFonts w:asciiTheme="minorHAnsi" w:hAnsiTheme="minorHAnsi" w:cstheme="minorHAnsi"/>
          <w:sz w:val="22"/>
          <w:szCs w:val="22"/>
        </w:rPr>
        <w:t>nominaln</w:t>
      </w:r>
      <w:r w:rsidR="00901EEA">
        <w:rPr>
          <w:rFonts w:asciiTheme="minorHAnsi" w:hAnsiTheme="minorHAnsi" w:cstheme="minorHAnsi"/>
          <w:sz w:val="22"/>
          <w:szCs w:val="22"/>
        </w:rPr>
        <w:t>e</w:t>
      </w:r>
      <w:r w:rsidRPr="0055492A">
        <w:rPr>
          <w:rFonts w:asciiTheme="minorHAnsi" w:hAnsiTheme="minorHAnsi" w:cstheme="minorHAnsi"/>
          <w:sz w:val="22"/>
          <w:szCs w:val="22"/>
        </w:rPr>
        <w:t xml:space="preserve"> zarad</w:t>
      </w:r>
      <w:r w:rsidR="00901EEA">
        <w:rPr>
          <w:rFonts w:asciiTheme="minorHAnsi" w:hAnsiTheme="minorHAnsi" w:cstheme="minorHAnsi"/>
          <w:sz w:val="22"/>
          <w:szCs w:val="22"/>
        </w:rPr>
        <w:t>e će prosječno rasti po stopi od</w:t>
      </w:r>
      <w:r w:rsidR="00901EEA" w:rsidRPr="0055492A">
        <w:rPr>
          <w:rFonts w:asciiTheme="minorHAnsi" w:hAnsiTheme="minorHAnsi" w:cstheme="minorHAnsi"/>
          <w:sz w:val="22"/>
          <w:szCs w:val="22"/>
        </w:rPr>
        <w:t xml:space="preserve"> </w:t>
      </w:r>
      <w:r w:rsidRPr="0055492A">
        <w:rPr>
          <w:rFonts w:asciiTheme="minorHAnsi" w:hAnsiTheme="minorHAnsi" w:cstheme="minorHAnsi"/>
          <w:sz w:val="22"/>
          <w:szCs w:val="22"/>
        </w:rPr>
        <w:t xml:space="preserve">1,4%, </w:t>
      </w:r>
      <w:r w:rsidR="00901EEA">
        <w:rPr>
          <w:rFonts w:asciiTheme="minorHAnsi" w:hAnsiTheme="minorHAnsi" w:cstheme="minorHAnsi"/>
          <w:sz w:val="22"/>
          <w:szCs w:val="22"/>
        </w:rPr>
        <w:t>što je u velikoj mjeri opredijeljeno</w:t>
      </w:r>
      <w:r w:rsidRPr="0055492A">
        <w:rPr>
          <w:rFonts w:asciiTheme="minorHAnsi" w:hAnsiTheme="minorHAnsi" w:cstheme="minorHAnsi"/>
          <w:sz w:val="22"/>
          <w:szCs w:val="22"/>
        </w:rPr>
        <w:t xml:space="preserve"> visok</w:t>
      </w:r>
      <w:r w:rsidR="00901EEA">
        <w:rPr>
          <w:rFonts w:asciiTheme="minorHAnsi" w:hAnsiTheme="minorHAnsi" w:cstheme="minorHAnsi"/>
          <w:sz w:val="22"/>
          <w:szCs w:val="22"/>
        </w:rPr>
        <w:t>om</w:t>
      </w:r>
      <w:r w:rsidRPr="0055492A">
        <w:rPr>
          <w:rFonts w:asciiTheme="minorHAnsi" w:hAnsiTheme="minorHAnsi" w:cstheme="minorHAnsi"/>
          <w:sz w:val="22"/>
          <w:szCs w:val="22"/>
        </w:rPr>
        <w:t xml:space="preserve"> stop</w:t>
      </w:r>
      <w:r w:rsidR="00901EEA">
        <w:rPr>
          <w:rFonts w:asciiTheme="minorHAnsi" w:hAnsiTheme="minorHAnsi" w:cstheme="minorHAnsi"/>
          <w:sz w:val="22"/>
          <w:szCs w:val="22"/>
        </w:rPr>
        <w:t>om</w:t>
      </w:r>
      <w:r w:rsidRPr="0055492A">
        <w:rPr>
          <w:rFonts w:asciiTheme="minorHAnsi" w:hAnsiTheme="minorHAnsi" w:cstheme="minorHAnsi"/>
          <w:sz w:val="22"/>
          <w:szCs w:val="22"/>
        </w:rPr>
        <w:t xml:space="preserve"> nezaposlenosti i </w:t>
      </w:r>
      <w:r w:rsidR="00901EEA">
        <w:rPr>
          <w:rFonts w:asciiTheme="minorHAnsi" w:hAnsiTheme="minorHAnsi" w:cstheme="minorHAnsi"/>
          <w:sz w:val="22"/>
          <w:szCs w:val="22"/>
        </w:rPr>
        <w:t>smanjenjem</w:t>
      </w:r>
      <w:r w:rsidRPr="0055492A">
        <w:rPr>
          <w:rFonts w:asciiTheme="minorHAnsi" w:hAnsiTheme="minorHAnsi" w:cstheme="minorHAnsi"/>
          <w:sz w:val="22"/>
          <w:szCs w:val="22"/>
        </w:rPr>
        <w:t xml:space="preserve"> nominalnih zarada u javnom sektoru.</w:t>
      </w:r>
    </w:p>
    <w:p w:rsidR="0090519E" w:rsidRPr="0055492A" w:rsidRDefault="0090519E" w:rsidP="0090519E">
      <w:pPr>
        <w:numPr>
          <w:ilvl w:val="0"/>
          <w:numId w:val="11"/>
        </w:numPr>
        <w:spacing w:line="276" w:lineRule="auto"/>
        <w:contextualSpacing/>
        <w:rPr>
          <w:rFonts w:asciiTheme="minorHAnsi" w:hAnsiTheme="minorHAnsi" w:cstheme="minorHAnsi"/>
          <w:sz w:val="22"/>
          <w:szCs w:val="22"/>
        </w:rPr>
      </w:pPr>
      <w:r w:rsidRPr="0055492A">
        <w:rPr>
          <w:rFonts w:asciiTheme="minorHAnsi" w:hAnsiTheme="minorHAnsi" w:cstheme="minorHAnsi"/>
          <w:sz w:val="22"/>
          <w:szCs w:val="22"/>
        </w:rPr>
        <w:t xml:space="preserve">Nezaposlenost će </w:t>
      </w:r>
      <w:r w:rsidR="00901EEA">
        <w:rPr>
          <w:rFonts w:asciiTheme="minorHAnsi" w:hAnsiTheme="minorHAnsi" w:cstheme="minorHAnsi"/>
          <w:sz w:val="22"/>
          <w:szCs w:val="22"/>
        </w:rPr>
        <w:t xml:space="preserve">se smanjivati i, </w:t>
      </w:r>
      <w:r w:rsidRPr="0055492A">
        <w:rPr>
          <w:rFonts w:asciiTheme="minorHAnsi" w:hAnsiTheme="minorHAnsi" w:cstheme="minorHAnsi"/>
          <w:sz w:val="22"/>
          <w:szCs w:val="22"/>
        </w:rPr>
        <w:t xml:space="preserve">sa procijenjenih 17,7%(ARS) u 2016. godini, </w:t>
      </w:r>
      <w:r w:rsidR="00901EEA">
        <w:rPr>
          <w:rFonts w:asciiTheme="minorHAnsi" w:hAnsiTheme="minorHAnsi" w:cstheme="minorHAnsi"/>
          <w:sz w:val="22"/>
          <w:szCs w:val="22"/>
        </w:rPr>
        <w:t xml:space="preserve">pasti na nivo od </w:t>
      </w:r>
      <w:r w:rsidR="003536C9">
        <w:rPr>
          <w:rFonts w:asciiTheme="minorHAnsi" w:hAnsiTheme="minorHAnsi" w:cstheme="minorHAnsi"/>
          <w:sz w:val="22"/>
          <w:szCs w:val="22"/>
        </w:rPr>
        <w:t>16,1</w:t>
      </w:r>
      <w:r w:rsidRPr="0055492A">
        <w:rPr>
          <w:rFonts w:asciiTheme="minorHAnsi" w:hAnsiTheme="minorHAnsi" w:cstheme="minorHAnsi"/>
          <w:sz w:val="22"/>
          <w:szCs w:val="22"/>
        </w:rPr>
        <w:t>% u 2020. godini.</w:t>
      </w:r>
    </w:p>
    <w:p w:rsidR="0090519E" w:rsidRPr="0055492A" w:rsidRDefault="0090519E" w:rsidP="0090519E">
      <w:pPr>
        <w:numPr>
          <w:ilvl w:val="0"/>
          <w:numId w:val="11"/>
        </w:numPr>
        <w:spacing w:line="276" w:lineRule="auto"/>
        <w:contextualSpacing/>
        <w:rPr>
          <w:rFonts w:asciiTheme="minorHAnsi" w:hAnsiTheme="minorHAnsi" w:cstheme="minorHAnsi"/>
          <w:sz w:val="22"/>
          <w:szCs w:val="22"/>
        </w:rPr>
      </w:pPr>
      <w:r w:rsidRPr="0055492A">
        <w:rPr>
          <w:rFonts w:asciiTheme="minorHAnsi" w:hAnsiTheme="minorHAnsi" w:cstheme="minorHAnsi"/>
          <w:sz w:val="22"/>
          <w:szCs w:val="22"/>
        </w:rPr>
        <w:t xml:space="preserve">Strane direktne investicije će </w:t>
      </w:r>
      <w:r w:rsidR="003536C9" w:rsidRPr="0055492A">
        <w:rPr>
          <w:rFonts w:asciiTheme="minorHAnsi" w:hAnsiTheme="minorHAnsi" w:cstheme="minorHAnsi"/>
          <w:sz w:val="22"/>
          <w:szCs w:val="22"/>
        </w:rPr>
        <w:t xml:space="preserve">prosječno </w:t>
      </w:r>
      <w:r w:rsidRPr="0055492A">
        <w:rPr>
          <w:rFonts w:asciiTheme="minorHAnsi" w:hAnsiTheme="minorHAnsi" w:cstheme="minorHAnsi"/>
          <w:sz w:val="22"/>
          <w:szCs w:val="22"/>
        </w:rPr>
        <w:t>iznositi 10</w:t>
      </w:r>
      <w:r w:rsidR="003536C9">
        <w:rPr>
          <w:rFonts w:asciiTheme="minorHAnsi" w:hAnsiTheme="minorHAnsi" w:cstheme="minorHAnsi"/>
          <w:sz w:val="22"/>
          <w:szCs w:val="22"/>
        </w:rPr>
        <w:t xml:space="preserve">,1 </w:t>
      </w:r>
      <w:r w:rsidRPr="0055492A">
        <w:rPr>
          <w:rFonts w:asciiTheme="minorHAnsi" w:hAnsiTheme="minorHAnsi" w:cstheme="minorHAnsi"/>
          <w:sz w:val="22"/>
          <w:szCs w:val="22"/>
        </w:rPr>
        <w:t>% BDP-a</w:t>
      </w:r>
      <w:r w:rsidR="003536C9">
        <w:rPr>
          <w:rFonts w:asciiTheme="minorHAnsi" w:hAnsiTheme="minorHAnsi" w:cstheme="minorHAnsi"/>
          <w:sz w:val="22"/>
          <w:szCs w:val="22"/>
        </w:rPr>
        <w:t>.</w:t>
      </w:r>
    </w:p>
    <w:p w:rsidR="0090519E" w:rsidRDefault="00901EEA" w:rsidP="0090519E">
      <w:pPr>
        <w:numPr>
          <w:ilvl w:val="0"/>
          <w:numId w:val="11"/>
        </w:numPr>
        <w:spacing w:line="276" w:lineRule="auto"/>
        <w:contextualSpacing/>
        <w:rPr>
          <w:rFonts w:asciiTheme="minorHAnsi" w:hAnsiTheme="minorHAnsi" w:cstheme="minorHAnsi"/>
          <w:sz w:val="22"/>
          <w:szCs w:val="22"/>
        </w:rPr>
      </w:pPr>
      <w:r>
        <w:rPr>
          <w:rFonts w:asciiTheme="minorHAnsi" w:hAnsiTheme="minorHAnsi" w:cstheme="minorHAnsi"/>
          <w:sz w:val="22"/>
          <w:szCs w:val="22"/>
        </w:rPr>
        <w:t>U ovom periodu očekuje se blagi</w:t>
      </w:r>
      <w:r w:rsidR="0090519E" w:rsidRPr="0055492A">
        <w:rPr>
          <w:rFonts w:asciiTheme="minorHAnsi" w:hAnsiTheme="minorHAnsi" w:cstheme="minorHAnsi"/>
          <w:sz w:val="22"/>
          <w:szCs w:val="22"/>
        </w:rPr>
        <w:t xml:space="preserve"> rast cijena, zasnovan na nešto višim cijenama energenata (administrativna inflacija u vidu povećanja cijena naftnih d</w:t>
      </w:r>
      <w:r>
        <w:rPr>
          <w:rFonts w:asciiTheme="minorHAnsi" w:hAnsiTheme="minorHAnsi" w:cstheme="minorHAnsi"/>
          <w:sz w:val="22"/>
          <w:szCs w:val="22"/>
        </w:rPr>
        <w:t>e</w:t>
      </w:r>
      <w:r w:rsidR="0090519E" w:rsidRPr="0055492A">
        <w:rPr>
          <w:rFonts w:asciiTheme="minorHAnsi" w:hAnsiTheme="minorHAnsi" w:cstheme="minorHAnsi"/>
          <w:sz w:val="22"/>
          <w:szCs w:val="22"/>
        </w:rPr>
        <w:t>rivata</w:t>
      </w:r>
      <w:r>
        <w:rPr>
          <w:rFonts w:asciiTheme="minorHAnsi" w:hAnsiTheme="minorHAnsi" w:cstheme="minorHAnsi"/>
          <w:sz w:val="22"/>
          <w:szCs w:val="22"/>
        </w:rPr>
        <w:t>,</w:t>
      </w:r>
      <w:r w:rsidR="0090519E" w:rsidRPr="0055492A">
        <w:rPr>
          <w:rFonts w:asciiTheme="minorHAnsi" w:hAnsiTheme="minorHAnsi" w:cstheme="minorHAnsi"/>
          <w:sz w:val="22"/>
          <w:szCs w:val="22"/>
        </w:rPr>
        <w:t xml:space="preserve"> zbog povećanja akcize na gorivo od 9 centi/L i povećanju cijena naftnih derivata na svjetskom tržištu), i blagom pritisku povećane tražnje, usljed snažnije ekonomske aktivnosti. Jedan od faktora </w:t>
      </w:r>
      <w:r>
        <w:rPr>
          <w:rFonts w:asciiTheme="minorHAnsi" w:hAnsiTheme="minorHAnsi" w:cstheme="minorHAnsi"/>
          <w:sz w:val="22"/>
          <w:szCs w:val="22"/>
        </w:rPr>
        <w:t>povećanja</w:t>
      </w:r>
      <w:r w:rsidR="0090519E" w:rsidRPr="0055492A">
        <w:rPr>
          <w:rFonts w:asciiTheme="minorHAnsi" w:hAnsiTheme="minorHAnsi" w:cstheme="minorHAnsi"/>
          <w:sz w:val="22"/>
          <w:szCs w:val="22"/>
        </w:rPr>
        <w:t xml:space="preserve"> inflacije su i mjere fiskalne konsolidacije (povećanje akciza i PDV-a). </w:t>
      </w:r>
      <w:r>
        <w:rPr>
          <w:rFonts w:asciiTheme="minorHAnsi" w:hAnsiTheme="minorHAnsi" w:cstheme="minorHAnsi"/>
          <w:sz w:val="22"/>
          <w:szCs w:val="22"/>
        </w:rPr>
        <w:t xml:space="preserve">Procjenjuje se da će </w:t>
      </w:r>
      <w:r w:rsidR="0090519E" w:rsidRPr="0055492A">
        <w:rPr>
          <w:rFonts w:asciiTheme="minorHAnsi" w:hAnsiTheme="minorHAnsi" w:cstheme="minorHAnsi"/>
          <w:sz w:val="22"/>
          <w:szCs w:val="22"/>
        </w:rPr>
        <w:t>prosječn</w:t>
      </w:r>
      <w:r>
        <w:rPr>
          <w:rFonts w:asciiTheme="minorHAnsi" w:hAnsiTheme="minorHAnsi" w:cstheme="minorHAnsi"/>
          <w:sz w:val="22"/>
          <w:szCs w:val="22"/>
        </w:rPr>
        <w:t>a</w:t>
      </w:r>
      <w:r w:rsidR="0090519E" w:rsidRPr="0055492A">
        <w:rPr>
          <w:rFonts w:asciiTheme="minorHAnsi" w:hAnsiTheme="minorHAnsi" w:cstheme="minorHAnsi"/>
          <w:sz w:val="22"/>
          <w:szCs w:val="22"/>
        </w:rPr>
        <w:t xml:space="preserve"> inflacij</w:t>
      </w:r>
      <w:r>
        <w:rPr>
          <w:rFonts w:asciiTheme="minorHAnsi" w:hAnsiTheme="minorHAnsi" w:cstheme="minorHAnsi"/>
          <w:sz w:val="22"/>
          <w:szCs w:val="22"/>
        </w:rPr>
        <w:t>a</w:t>
      </w:r>
      <w:r w:rsidR="0090519E" w:rsidRPr="0055492A">
        <w:rPr>
          <w:rFonts w:asciiTheme="minorHAnsi" w:hAnsiTheme="minorHAnsi" w:cstheme="minorHAnsi"/>
          <w:sz w:val="22"/>
          <w:szCs w:val="22"/>
        </w:rPr>
        <w:t xml:space="preserve"> </w:t>
      </w:r>
      <w:r>
        <w:rPr>
          <w:rFonts w:asciiTheme="minorHAnsi" w:hAnsiTheme="minorHAnsi" w:cstheme="minorHAnsi"/>
          <w:sz w:val="22"/>
          <w:szCs w:val="22"/>
        </w:rPr>
        <w:t>iznositi oko</w:t>
      </w:r>
      <w:r w:rsidR="0090519E" w:rsidRPr="0055492A">
        <w:rPr>
          <w:rFonts w:asciiTheme="minorHAnsi" w:hAnsiTheme="minorHAnsi" w:cstheme="minorHAnsi"/>
          <w:sz w:val="22"/>
          <w:szCs w:val="22"/>
        </w:rPr>
        <w:t xml:space="preserve"> 2,3%. </w:t>
      </w:r>
    </w:p>
    <w:p w:rsidR="003536C9" w:rsidRPr="0055492A" w:rsidRDefault="003536C9" w:rsidP="003536C9">
      <w:pPr>
        <w:spacing w:line="276" w:lineRule="auto"/>
        <w:ind w:left="720"/>
        <w:contextualSpacing/>
        <w:rPr>
          <w:rFonts w:asciiTheme="minorHAnsi" w:hAnsiTheme="minorHAnsi" w:cstheme="minorHAnsi"/>
          <w:sz w:val="22"/>
          <w:szCs w:val="22"/>
        </w:rPr>
      </w:pPr>
    </w:p>
    <w:p w:rsidR="0090519E" w:rsidRPr="0055492A" w:rsidRDefault="0090519E" w:rsidP="0090519E">
      <w:pPr>
        <w:spacing w:line="276" w:lineRule="auto"/>
        <w:rPr>
          <w:rFonts w:asciiTheme="minorHAnsi" w:hAnsiTheme="minorHAnsi" w:cstheme="minorHAnsi"/>
          <w:b/>
          <w:sz w:val="22"/>
          <w:szCs w:val="22"/>
        </w:rPr>
      </w:pPr>
    </w:p>
    <w:p w:rsidR="0090519E" w:rsidRDefault="0090519E" w:rsidP="0090519E">
      <w:pPr>
        <w:spacing w:line="276" w:lineRule="auto"/>
        <w:rPr>
          <w:rFonts w:asciiTheme="minorHAnsi" w:hAnsiTheme="minorHAnsi" w:cstheme="minorHAnsi"/>
          <w:noProof/>
          <w:sz w:val="22"/>
          <w:szCs w:val="22"/>
        </w:rPr>
      </w:pPr>
      <w:r w:rsidRPr="0055492A">
        <w:rPr>
          <w:rFonts w:asciiTheme="minorHAnsi" w:hAnsiTheme="minorHAnsi" w:cstheme="minorHAnsi"/>
          <w:noProof/>
          <w:sz w:val="22"/>
          <w:szCs w:val="22"/>
        </w:rPr>
        <w:t xml:space="preserve">Rizici za ostvarenje makroekonomskog scenarija 2017-2020 su </w:t>
      </w:r>
      <w:r w:rsidR="00901EEA">
        <w:rPr>
          <w:rFonts w:asciiTheme="minorHAnsi" w:hAnsiTheme="minorHAnsi" w:cstheme="minorHAnsi"/>
          <w:noProof/>
          <w:sz w:val="22"/>
          <w:szCs w:val="22"/>
        </w:rPr>
        <w:t xml:space="preserve">ostali </w:t>
      </w:r>
      <w:r w:rsidRPr="0055492A">
        <w:rPr>
          <w:rFonts w:asciiTheme="minorHAnsi" w:hAnsiTheme="minorHAnsi" w:cstheme="minorHAnsi"/>
          <w:noProof/>
          <w:sz w:val="22"/>
          <w:szCs w:val="22"/>
        </w:rPr>
        <w:t xml:space="preserve">isti kao u </w:t>
      </w:r>
      <w:r w:rsidR="00901EEA">
        <w:rPr>
          <w:rFonts w:asciiTheme="minorHAnsi" w:hAnsiTheme="minorHAnsi" w:cstheme="minorHAnsi"/>
          <w:noProof/>
          <w:sz w:val="22"/>
          <w:szCs w:val="22"/>
        </w:rPr>
        <w:t>j</w:t>
      </w:r>
      <w:r w:rsidRPr="0055492A">
        <w:rPr>
          <w:rFonts w:asciiTheme="minorHAnsi" w:hAnsiTheme="minorHAnsi" w:cstheme="minorHAnsi"/>
          <w:noProof/>
          <w:sz w:val="22"/>
          <w:szCs w:val="22"/>
        </w:rPr>
        <w:t>esenjim projekcij</w:t>
      </w:r>
      <w:r w:rsidRPr="0055492A">
        <w:rPr>
          <w:rFonts w:asciiTheme="minorHAnsi" w:hAnsiTheme="minorHAnsi" w:cstheme="minorHAnsi"/>
          <w:noProof/>
          <w:color w:val="auto"/>
          <w:sz w:val="22"/>
          <w:szCs w:val="22"/>
        </w:rPr>
        <w:t xml:space="preserve">ama </w:t>
      </w:r>
      <w:r w:rsidR="00901EEA">
        <w:rPr>
          <w:rFonts w:asciiTheme="minorHAnsi" w:hAnsiTheme="minorHAnsi" w:cstheme="minorHAnsi"/>
          <w:noProof/>
          <w:color w:val="auto"/>
          <w:sz w:val="22"/>
          <w:szCs w:val="22"/>
        </w:rPr>
        <w:t>i odnose se na:</w:t>
      </w:r>
    </w:p>
    <w:p w:rsidR="0090519E" w:rsidRPr="0055492A" w:rsidRDefault="0090519E" w:rsidP="0090519E">
      <w:pPr>
        <w:spacing w:line="276" w:lineRule="auto"/>
        <w:rPr>
          <w:rFonts w:asciiTheme="minorHAnsi" w:hAnsiTheme="minorHAnsi" w:cstheme="minorHAnsi"/>
          <w:noProof/>
          <w:sz w:val="22"/>
          <w:szCs w:val="22"/>
        </w:rPr>
      </w:pPr>
    </w:p>
    <w:p w:rsidR="0090519E" w:rsidRPr="0055492A" w:rsidRDefault="0090519E" w:rsidP="0090519E">
      <w:pPr>
        <w:numPr>
          <w:ilvl w:val="0"/>
          <w:numId w:val="8"/>
        </w:numPr>
        <w:spacing w:line="276" w:lineRule="auto"/>
        <w:ind w:left="567" w:hanging="499"/>
        <w:rPr>
          <w:rFonts w:asciiTheme="minorHAnsi" w:hAnsiTheme="minorHAnsi" w:cstheme="minorHAnsi"/>
          <w:noProof/>
          <w:sz w:val="22"/>
          <w:szCs w:val="22"/>
        </w:rPr>
      </w:pPr>
      <w:r w:rsidRPr="0055492A">
        <w:rPr>
          <w:rFonts w:asciiTheme="minorHAnsi" w:hAnsiTheme="minorHAnsi" w:cstheme="minorHAnsi"/>
          <w:noProof/>
          <w:sz w:val="22"/>
          <w:szCs w:val="22"/>
        </w:rPr>
        <w:t xml:space="preserve">promjenu dinamike realizacije investicija; </w:t>
      </w:r>
    </w:p>
    <w:p w:rsidR="0090519E" w:rsidRPr="0055492A" w:rsidRDefault="0090519E" w:rsidP="0090519E">
      <w:pPr>
        <w:numPr>
          <w:ilvl w:val="0"/>
          <w:numId w:val="8"/>
        </w:numPr>
        <w:spacing w:line="276" w:lineRule="auto"/>
        <w:ind w:left="567" w:hanging="499"/>
        <w:rPr>
          <w:rFonts w:asciiTheme="minorHAnsi" w:hAnsiTheme="minorHAnsi" w:cstheme="minorHAnsi"/>
          <w:noProof/>
          <w:sz w:val="22"/>
          <w:szCs w:val="22"/>
        </w:rPr>
      </w:pPr>
      <w:r w:rsidRPr="0055492A">
        <w:rPr>
          <w:rFonts w:asciiTheme="minorHAnsi" w:hAnsiTheme="minorHAnsi" w:cstheme="minorHAnsi"/>
          <w:noProof/>
          <w:sz w:val="22"/>
          <w:szCs w:val="22"/>
        </w:rPr>
        <w:t>potencijalnu nestabilnost na finansijskim tržištima</w:t>
      </w:r>
      <w:r w:rsidR="00901EEA">
        <w:rPr>
          <w:rFonts w:asciiTheme="minorHAnsi" w:hAnsiTheme="minorHAnsi" w:cstheme="minorHAnsi"/>
          <w:noProof/>
          <w:sz w:val="22"/>
          <w:szCs w:val="22"/>
        </w:rPr>
        <w:t>,</w:t>
      </w:r>
      <w:r w:rsidRPr="0055492A">
        <w:rPr>
          <w:rFonts w:asciiTheme="minorHAnsi" w:hAnsiTheme="minorHAnsi" w:cstheme="minorHAnsi"/>
          <w:noProof/>
          <w:sz w:val="22"/>
          <w:szCs w:val="22"/>
        </w:rPr>
        <w:t xml:space="preserve"> koja može da poveća kamate na suvereno zaduživanje ili oteža zaduživanje potrebno za refinansiranje dospjelih obaveza;</w:t>
      </w:r>
    </w:p>
    <w:p w:rsidR="0090519E" w:rsidRPr="0055492A" w:rsidRDefault="0090519E" w:rsidP="0090519E">
      <w:pPr>
        <w:numPr>
          <w:ilvl w:val="0"/>
          <w:numId w:val="8"/>
        </w:numPr>
        <w:spacing w:line="276" w:lineRule="auto"/>
        <w:ind w:left="567" w:hanging="499"/>
        <w:rPr>
          <w:rFonts w:asciiTheme="minorHAnsi" w:hAnsiTheme="minorHAnsi" w:cstheme="minorHAnsi"/>
          <w:noProof/>
          <w:sz w:val="22"/>
          <w:szCs w:val="22"/>
        </w:rPr>
      </w:pPr>
      <w:r w:rsidRPr="0055492A">
        <w:rPr>
          <w:rFonts w:asciiTheme="minorHAnsi" w:hAnsiTheme="minorHAnsi" w:cstheme="minorHAnsi"/>
          <w:noProof/>
          <w:sz w:val="22"/>
          <w:szCs w:val="22"/>
        </w:rPr>
        <w:t>nepovoljne vremenske prilike koje mogu u značajnoj mjeri uticati na sektore turizma</w:t>
      </w:r>
      <w:r w:rsidR="00901EEA">
        <w:rPr>
          <w:rFonts w:asciiTheme="minorHAnsi" w:hAnsiTheme="minorHAnsi" w:cstheme="minorHAnsi"/>
          <w:noProof/>
          <w:sz w:val="22"/>
          <w:szCs w:val="22"/>
        </w:rPr>
        <w:t xml:space="preserve"> i</w:t>
      </w:r>
      <w:r w:rsidRPr="0055492A">
        <w:rPr>
          <w:rFonts w:asciiTheme="minorHAnsi" w:hAnsiTheme="minorHAnsi" w:cstheme="minorHAnsi"/>
          <w:noProof/>
          <w:sz w:val="22"/>
          <w:szCs w:val="22"/>
        </w:rPr>
        <w:t xml:space="preserve"> poljoprivrede</w:t>
      </w:r>
      <w:r w:rsidR="00901EEA">
        <w:rPr>
          <w:rFonts w:asciiTheme="minorHAnsi" w:hAnsiTheme="minorHAnsi" w:cstheme="minorHAnsi"/>
          <w:noProof/>
          <w:sz w:val="22"/>
          <w:szCs w:val="22"/>
        </w:rPr>
        <w:t>, kao</w:t>
      </w:r>
      <w:r w:rsidRPr="0055492A">
        <w:rPr>
          <w:rFonts w:asciiTheme="minorHAnsi" w:hAnsiTheme="minorHAnsi" w:cstheme="minorHAnsi"/>
          <w:noProof/>
          <w:sz w:val="22"/>
          <w:szCs w:val="22"/>
        </w:rPr>
        <w:t xml:space="preserve"> i proizvodnj</w:t>
      </w:r>
      <w:r w:rsidR="00901EEA">
        <w:rPr>
          <w:rFonts w:asciiTheme="minorHAnsi" w:hAnsiTheme="minorHAnsi" w:cstheme="minorHAnsi"/>
          <w:noProof/>
          <w:sz w:val="22"/>
          <w:szCs w:val="22"/>
        </w:rPr>
        <w:t>u</w:t>
      </w:r>
      <w:r w:rsidRPr="0055492A">
        <w:rPr>
          <w:rFonts w:asciiTheme="minorHAnsi" w:hAnsiTheme="minorHAnsi" w:cstheme="minorHAnsi"/>
          <w:noProof/>
          <w:sz w:val="22"/>
          <w:szCs w:val="22"/>
        </w:rPr>
        <w:t xml:space="preserve"> električne energije;</w:t>
      </w:r>
    </w:p>
    <w:p w:rsidR="004B6EDD" w:rsidRPr="007509B2" w:rsidRDefault="0090519E" w:rsidP="007509B2">
      <w:pPr>
        <w:numPr>
          <w:ilvl w:val="0"/>
          <w:numId w:val="8"/>
        </w:numPr>
        <w:spacing w:line="276" w:lineRule="auto"/>
        <w:ind w:left="567" w:hanging="499"/>
        <w:rPr>
          <w:rFonts w:asciiTheme="minorHAnsi" w:hAnsiTheme="minorHAnsi" w:cstheme="minorHAnsi"/>
          <w:noProof/>
          <w:sz w:val="22"/>
          <w:szCs w:val="22"/>
        </w:rPr>
      </w:pPr>
      <w:r w:rsidRPr="0055492A">
        <w:rPr>
          <w:rFonts w:asciiTheme="minorHAnsi" w:hAnsiTheme="minorHAnsi" w:cstheme="minorHAnsi"/>
          <w:noProof/>
          <w:sz w:val="22"/>
          <w:szCs w:val="22"/>
        </w:rPr>
        <w:t>geopolitičke rizike.</w:t>
      </w:r>
    </w:p>
    <w:p w:rsidR="0090519E" w:rsidRPr="002D1802" w:rsidRDefault="002D1802" w:rsidP="002D1802">
      <w:pPr>
        <w:pStyle w:val="Heading2"/>
        <w:rPr>
          <w:sz w:val="22"/>
          <w:szCs w:val="22"/>
        </w:rPr>
      </w:pPr>
      <w:bookmarkStart w:id="23" w:name="_Toc484373027"/>
      <w:r w:rsidRPr="002D1802">
        <w:t xml:space="preserve">4.2. </w:t>
      </w:r>
      <w:r w:rsidR="00DB6F26">
        <w:t>Fiskalne projekcije</w:t>
      </w:r>
      <w:r w:rsidR="0090519E" w:rsidRPr="002D1802">
        <w:t xml:space="preserve"> za period </w:t>
      </w:r>
      <w:r w:rsidR="00DB6F26">
        <w:t>2017</w:t>
      </w:r>
      <w:r w:rsidR="0090519E" w:rsidRPr="002D1802">
        <w:t>-2020. godine</w:t>
      </w:r>
      <w:bookmarkEnd w:id="23"/>
    </w:p>
    <w:p w:rsidR="00E408A9" w:rsidRPr="006D1592" w:rsidRDefault="00E408A9" w:rsidP="0055492A">
      <w:pPr>
        <w:autoSpaceDE w:val="0"/>
        <w:autoSpaceDN w:val="0"/>
        <w:adjustRightInd w:val="0"/>
        <w:spacing w:line="276" w:lineRule="auto"/>
        <w:rPr>
          <w:rFonts w:asciiTheme="minorHAnsi" w:hAnsiTheme="minorHAnsi" w:cstheme="minorHAnsi"/>
          <w:bCs/>
          <w:sz w:val="22"/>
          <w:szCs w:val="22"/>
        </w:rPr>
      </w:pPr>
    </w:p>
    <w:p w:rsidR="00B50B0D" w:rsidRPr="006D1592" w:rsidRDefault="00B50B0D" w:rsidP="00B50B0D">
      <w:pPr>
        <w:spacing w:line="276" w:lineRule="auto"/>
        <w:rPr>
          <w:rFonts w:asciiTheme="minorHAnsi" w:hAnsiTheme="minorHAnsi" w:cstheme="minorHAnsi"/>
          <w:sz w:val="22"/>
          <w:szCs w:val="22"/>
        </w:rPr>
      </w:pPr>
      <w:r w:rsidRPr="006D1592">
        <w:rPr>
          <w:rFonts w:asciiTheme="minorHAnsi" w:hAnsiTheme="minorHAnsi" w:cstheme="minorHAnsi"/>
          <w:sz w:val="22"/>
          <w:szCs w:val="22"/>
        </w:rPr>
        <w:t xml:space="preserve">Na osnovu projektovanih kretanja makroekonomskih indikatora i planiranih efekata dodatnih mjera fiskalne konsolidacije </w:t>
      </w:r>
      <w:r w:rsidR="006D1592" w:rsidRPr="006D1592">
        <w:rPr>
          <w:rFonts w:asciiTheme="minorHAnsi" w:hAnsiTheme="minorHAnsi" w:cstheme="minorHAnsi"/>
          <w:sz w:val="22"/>
          <w:szCs w:val="22"/>
        </w:rPr>
        <w:t xml:space="preserve">urađena </w:t>
      </w:r>
      <w:r w:rsidRPr="006D1592">
        <w:rPr>
          <w:rFonts w:asciiTheme="minorHAnsi" w:hAnsiTheme="minorHAnsi" w:cstheme="minorHAnsi"/>
          <w:sz w:val="22"/>
          <w:szCs w:val="22"/>
        </w:rPr>
        <w:t>je projekcija prihoda i rashoda, odnosno deficita/suficita budžeta.</w:t>
      </w:r>
    </w:p>
    <w:p w:rsidR="006D1592" w:rsidRPr="006D1592" w:rsidRDefault="006D1592" w:rsidP="00D12992">
      <w:pPr>
        <w:spacing w:line="240" w:lineRule="auto"/>
        <w:rPr>
          <w:rFonts w:ascii="Calibri" w:hAnsi="Calibri"/>
          <w:sz w:val="22"/>
          <w:szCs w:val="22"/>
        </w:rPr>
      </w:pPr>
    </w:p>
    <w:p w:rsidR="00D12992" w:rsidRPr="006D1592" w:rsidRDefault="00D12992" w:rsidP="00D12992">
      <w:pPr>
        <w:spacing w:line="240" w:lineRule="auto"/>
        <w:rPr>
          <w:rFonts w:ascii="Calibri" w:hAnsi="Calibri"/>
          <w:sz w:val="22"/>
          <w:szCs w:val="22"/>
        </w:rPr>
      </w:pPr>
      <w:r w:rsidRPr="006D1592">
        <w:rPr>
          <w:rFonts w:ascii="Calibri" w:hAnsi="Calibri"/>
          <w:sz w:val="22"/>
          <w:szCs w:val="22"/>
        </w:rPr>
        <w:t xml:space="preserve">Potreba fiskalne konsolidacije u cilju smanjenja nivoa deficita i smanjenja duga, </w:t>
      </w:r>
      <w:r w:rsidR="006D1592">
        <w:rPr>
          <w:rFonts w:ascii="Calibri" w:hAnsi="Calibri"/>
          <w:sz w:val="22"/>
          <w:szCs w:val="22"/>
        </w:rPr>
        <w:t>uslovila je uvođenje</w:t>
      </w:r>
      <w:r w:rsidRPr="006D1592">
        <w:rPr>
          <w:rFonts w:ascii="Calibri" w:hAnsi="Calibri"/>
          <w:sz w:val="22"/>
          <w:szCs w:val="22"/>
        </w:rPr>
        <w:t xml:space="preserve"> dodatnih mjera na prihodnoj, ali i na rashodnoj strani budžeta</w:t>
      </w:r>
      <w:r w:rsidR="006D1592">
        <w:rPr>
          <w:rFonts w:ascii="Calibri" w:hAnsi="Calibri"/>
          <w:sz w:val="22"/>
          <w:szCs w:val="22"/>
        </w:rPr>
        <w:t>. Pri tome, mora se voditi računa o servisiranju</w:t>
      </w:r>
      <w:r w:rsidRPr="006D1592">
        <w:rPr>
          <w:rFonts w:ascii="Calibri" w:hAnsi="Calibri"/>
          <w:sz w:val="22"/>
          <w:szCs w:val="22"/>
        </w:rPr>
        <w:t xml:space="preserve"> preuzetih obaveza koje je neophodno </w:t>
      </w:r>
      <w:r w:rsidR="006D1592">
        <w:rPr>
          <w:rFonts w:ascii="Calibri" w:hAnsi="Calibri"/>
          <w:sz w:val="22"/>
          <w:szCs w:val="22"/>
        </w:rPr>
        <w:t>realizovati</w:t>
      </w:r>
      <w:r w:rsidRPr="006D1592">
        <w:rPr>
          <w:rFonts w:ascii="Calibri" w:hAnsi="Calibri"/>
          <w:sz w:val="22"/>
          <w:szCs w:val="22"/>
        </w:rPr>
        <w:t xml:space="preserve"> u srednjeročnom periodu.</w:t>
      </w:r>
    </w:p>
    <w:p w:rsidR="00D12992" w:rsidRPr="006D1592" w:rsidRDefault="00D12992" w:rsidP="00D12992">
      <w:pPr>
        <w:spacing w:line="276" w:lineRule="auto"/>
        <w:rPr>
          <w:rFonts w:ascii="Calibri" w:hAnsi="Calibri"/>
          <w:sz w:val="22"/>
          <w:szCs w:val="22"/>
        </w:rPr>
      </w:pPr>
    </w:p>
    <w:p w:rsidR="00D12992" w:rsidRDefault="00D12992" w:rsidP="00A10829">
      <w:pPr>
        <w:spacing w:line="276" w:lineRule="auto"/>
        <w:rPr>
          <w:rFonts w:ascii="Calibri" w:hAnsi="Calibri"/>
          <w:sz w:val="22"/>
          <w:szCs w:val="22"/>
        </w:rPr>
      </w:pPr>
      <w:r w:rsidRPr="006D1592">
        <w:rPr>
          <w:rFonts w:ascii="Calibri" w:hAnsi="Calibri"/>
          <w:sz w:val="22"/>
          <w:szCs w:val="22"/>
        </w:rPr>
        <w:t>U sljedećoj tabeli dat je pregled dodatnih mjera fiskalne konsolidacije,</w:t>
      </w:r>
      <w:r w:rsidR="00E03388">
        <w:rPr>
          <w:rFonts w:ascii="Calibri" w:hAnsi="Calibri"/>
          <w:sz w:val="22"/>
          <w:szCs w:val="22"/>
        </w:rPr>
        <w:t>opisnih u poglavlju 3.1</w:t>
      </w:r>
      <w:r w:rsidRPr="006D1592">
        <w:rPr>
          <w:rFonts w:ascii="Calibri" w:hAnsi="Calibri"/>
          <w:sz w:val="22"/>
          <w:szCs w:val="22"/>
        </w:rPr>
        <w:t xml:space="preserve"> sa efektima prikazanim „godina na godinu“.</w:t>
      </w:r>
    </w:p>
    <w:p w:rsidR="007C0116" w:rsidRPr="00A10829" w:rsidRDefault="007C0116" w:rsidP="00A10829">
      <w:pPr>
        <w:spacing w:line="276" w:lineRule="auto"/>
        <w:rPr>
          <w:rFonts w:ascii="Calibri" w:hAnsi="Calibri"/>
          <w:sz w:val="22"/>
          <w:szCs w:val="22"/>
        </w:rPr>
      </w:pPr>
    </w:p>
    <w:p w:rsidR="00C06475" w:rsidRPr="00071A61" w:rsidRDefault="00C06475" w:rsidP="00C06475">
      <w:pPr>
        <w:pStyle w:val="Caption"/>
        <w:keepNext/>
        <w:rPr>
          <w:sz w:val="20"/>
          <w:szCs w:val="20"/>
          <w:lang w:val="de-DE"/>
        </w:rPr>
      </w:pPr>
      <w:r w:rsidRPr="00071A61">
        <w:rPr>
          <w:sz w:val="20"/>
          <w:szCs w:val="20"/>
          <w:lang w:val="de-DE"/>
        </w:rPr>
        <w:t xml:space="preserve">Tabela </w:t>
      </w:r>
      <w:r w:rsidR="000D71A3" w:rsidRPr="00C06475">
        <w:rPr>
          <w:sz w:val="20"/>
          <w:szCs w:val="20"/>
        </w:rPr>
        <w:fldChar w:fldCharType="begin"/>
      </w:r>
      <w:r w:rsidRPr="00071A61">
        <w:rPr>
          <w:sz w:val="20"/>
          <w:szCs w:val="20"/>
          <w:lang w:val="de-DE"/>
        </w:rPr>
        <w:instrText xml:space="preserve"> SEQ Tabela \* ARABIC </w:instrText>
      </w:r>
      <w:r w:rsidR="000D71A3" w:rsidRPr="00C06475">
        <w:rPr>
          <w:sz w:val="20"/>
          <w:szCs w:val="20"/>
        </w:rPr>
        <w:fldChar w:fldCharType="separate"/>
      </w:r>
      <w:r w:rsidR="002D5E45">
        <w:rPr>
          <w:noProof/>
          <w:sz w:val="20"/>
          <w:szCs w:val="20"/>
          <w:lang w:val="de-DE"/>
        </w:rPr>
        <w:t>3</w:t>
      </w:r>
      <w:r w:rsidR="000D71A3" w:rsidRPr="00C06475">
        <w:rPr>
          <w:sz w:val="20"/>
          <w:szCs w:val="20"/>
        </w:rPr>
        <w:fldChar w:fldCharType="end"/>
      </w:r>
      <w:r w:rsidRPr="00071A61">
        <w:rPr>
          <w:sz w:val="20"/>
          <w:szCs w:val="20"/>
          <w:lang w:val="de-DE"/>
        </w:rPr>
        <w:t xml:space="preserve"> Mjere fiskalne konsolidacije (u mil.€)</w:t>
      </w:r>
    </w:p>
    <w:tbl>
      <w:tblPr>
        <w:tblStyle w:val="GridTable1Light-Accent111"/>
        <w:tblW w:w="5000" w:type="pct"/>
        <w:tblLayout w:type="fixed"/>
        <w:tblLook w:val="04A0"/>
      </w:tblPr>
      <w:tblGrid>
        <w:gridCol w:w="5061"/>
        <w:gridCol w:w="788"/>
        <w:gridCol w:w="804"/>
        <w:gridCol w:w="804"/>
        <w:gridCol w:w="848"/>
        <w:gridCol w:w="1265"/>
      </w:tblGrid>
      <w:tr w:rsidR="00D12992" w:rsidRPr="00E71D58" w:rsidTr="007C0116">
        <w:trPr>
          <w:cnfStyle w:val="100000000000"/>
          <w:trHeight w:val="57"/>
        </w:trPr>
        <w:tc>
          <w:tcPr>
            <w:cnfStyle w:val="001000000000"/>
            <w:tcW w:w="4942" w:type="dxa"/>
            <w:noWrap/>
            <w:hideMark/>
          </w:tcPr>
          <w:p w:rsidR="00D12992" w:rsidRPr="00E71D58" w:rsidRDefault="00D12992" w:rsidP="006D1592">
            <w:pPr>
              <w:jc w:val="center"/>
              <w:rPr>
                <w:rFonts w:ascii="Calibri" w:hAnsi="Calibri" w:cs="Times New Roman"/>
                <w:color w:val="FF0000"/>
                <w:sz w:val="20"/>
                <w:szCs w:val="20"/>
              </w:rPr>
            </w:pPr>
          </w:p>
        </w:tc>
        <w:tc>
          <w:tcPr>
            <w:tcW w:w="769" w:type="dxa"/>
            <w:noWrap/>
            <w:vAlign w:val="center"/>
            <w:hideMark/>
          </w:tcPr>
          <w:p w:rsidR="00D12992" w:rsidRPr="00E71D58" w:rsidRDefault="00D12992" w:rsidP="007C0116">
            <w:pPr>
              <w:jc w:val="center"/>
              <w:cnfStyle w:val="100000000000"/>
              <w:rPr>
                <w:rFonts w:ascii="Calibri" w:hAnsi="Calibri" w:cs="Times New Roman"/>
                <w:sz w:val="20"/>
                <w:szCs w:val="20"/>
              </w:rPr>
            </w:pPr>
            <w:r w:rsidRPr="00E71D58">
              <w:rPr>
                <w:rFonts w:ascii="Calibri" w:hAnsi="Calibri" w:cs="Times New Roman"/>
                <w:sz w:val="20"/>
                <w:szCs w:val="20"/>
              </w:rPr>
              <w:t>2017</w:t>
            </w:r>
            <w:r w:rsidR="007C0116">
              <w:rPr>
                <w:rFonts w:ascii="Calibri" w:hAnsi="Calibri" w:cs="Times New Roman"/>
                <w:sz w:val="20"/>
                <w:szCs w:val="20"/>
              </w:rPr>
              <w:t>.</w:t>
            </w:r>
          </w:p>
        </w:tc>
        <w:tc>
          <w:tcPr>
            <w:tcW w:w="785" w:type="dxa"/>
            <w:noWrap/>
            <w:vAlign w:val="center"/>
            <w:hideMark/>
          </w:tcPr>
          <w:p w:rsidR="00D12992" w:rsidRPr="00E71D58" w:rsidRDefault="00D12992" w:rsidP="007C0116">
            <w:pPr>
              <w:jc w:val="center"/>
              <w:cnfStyle w:val="100000000000"/>
              <w:rPr>
                <w:rFonts w:ascii="Calibri" w:hAnsi="Calibri" w:cs="Times New Roman"/>
                <w:sz w:val="20"/>
                <w:szCs w:val="20"/>
              </w:rPr>
            </w:pPr>
            <w:r w:rsidRPr="00E71D58">
              <w:rPr>
                <w:rFonts w:ascii="Calibri" w:hAnsi="Calibri" w:cs="Times New Roman"/>
                <w:sz w:val="20"/>
                <w:szCs w:val="20"/>
              </w:rPr>
              <w:t>2018</w:t>
            </w:r>
            <w:r w:rsidR="007C0116">
              <w:rPr>
                <w:rFonts w:ascii="Calibri" w:hAnsi="Calibri" w:cs="Times New Roman"/>
                <w:sz w:val="20"/>
                <w:szCs w:val="20"/>
              </w:rPr>
              <w:t>.</w:t>
            </w:r>
          </w:p>
        </w:tc>
        <w:tc>
          <w:tcPr>
            <w:tcW w:w="785" w:type="dxa"/>
            <w:noWrap/>
            <w:vAlign w:val="center"/>
            <w:hideMark/>
          </w:tcPr>
          <w:p w:rsidR="00D12992" w:rsidRPr="00E71D58" w:rsidRDefault="00D12992" w:rsidP="007C0116">
            <w:pPr>
              <w:jc w:val="center"/>
              <w:cnfStyle w:val="100000000000"/>
              <w:rPr>
                <w:rFonts w:ascii="Calibri" w:hAnsi="Calibri" w:cs="Times New Roman"/>
                <w:sz w:val="20"/>
                <w:szCs w:val="20"/>
              </w:rPr>
            </w:pPr>
            <w:r w:rsidRPr="00E71D58">
              <w:rPr>
                <w:rFonts w:ascii="Calibri" w:hAnsi="Calibri" w:cs="Times New Roman"/>
                <w:sz w:val="20"/>
                <w:szCs w:val="20"/>
              </w:rPr>
              <w:t>2019</w:t>
            </w:r>
            <w:r w:rsidR="007C0116">
              <w:rPr>
                <w:rFonts w:ascii="Calibri" w:hAnsi="Calibri" w:cs="Times New Roman"/>
                <w:sz w:val="20"/>
                <w:szCs w:val="20"/>
              </w:rPr>
              <w:t>.</w:t>
            </w:r>
          </w:p>
        </w:tc>
        <w:tc>
          <w:tcPr>
            <w:tcW w:w="828" w:type="dxa"/>
            <w:noWrap/>
            <w:vAlign w:val="center"/>
            <w:hideMark/>
          </w:tcPr>
          <w:p w:rsidR="00D12992" w:rsidRPr="00E71D58" w:rsidRDefault="00D12992" w:rsidP="007C0116">
            <w:pPr>
              <w:jc w:val="center"/>
              <w:cnfStyle w:val="100000000000"/>
              <w:rPr>
                <w:rFonts w:ascii="Calibri" w:hAnsi="Calibri" w:cs="Times New Roman"/>
                <w:sz w:val="20"/>
                <w:szCs w:val="20"/>
              </w:rPr>
            </w:pPr>
            <w:r w:rsidRPr="00E71D58">
              <w:rPr>
                <w:rFonts w:ascii="Calibri" w:hAnsi="Calibri" w:cs="Times New Roman"/>
                <w:sz w:val="20"/>
                <w:szCs w:val="20"/>
              </w:rPr>
              <w:t>2020</w:t>
            </w:r>
            <w:r w:rsidR="007C0116">
              <w:rPr>
                <w:rFonts w:ascii="Calibri" w:hAnsi="Calibri" w:cs="Times New Roman"/>
                <w:sz w:val="20"/>
                <w:szCs w:val="20"/>
              </w:rPr>
              <w:t>.</w:t>
            </w:r>
          </w:p>
        </w:tc>
        <w:tc>
          <w:tcPr>
            <w:tcW w:w="1235" w:type="dxa"/>
            <w:noWrap/>
            <w:vAlign w:val="center"/>
            <w:hideMark/>
          </w:tcPr>
          <w:p w:rsidR="00D12992" w:rsidRPr="00E71D58" w:rsidRDefault="00D12992" w:rsidP="007C0116">
            <w:pPr>
              <w:jc w:val="center"/>
              <w:cnfStyle w:val="100000000000"/>
              <w:rPr>
                <w:rFonts w:ascii="Calibri" w:hAnsi="Calibri" w:cs="Times New Roman"/>
                <w:sz w:val="20"/>
                <w:szCs w:val="20"/>
              </w:rPr>
            </w:pPr>
            <w:r w:rsidRPr="00E71D58">
              <w:rPr>
                <w:rFonts w:ascii="Calibri" w:hAnsi="Calibri" w:cs="Times New Roman"/>
                <w:sz w:val="20"/>
                <w:szCs w:val="20"/>
              </w:rPr>
              <w:t>2017-2020</w:t>
            </w:r>
          </w:p>
        </w:tc>
      </w:tr>
      <w:tr w:rsidR="00D12992" w:rsidRPr="00E71D58" w:rsidTr="00C06475">
        <w:trPr>
          <w:trHeight w:val="57"/>
        </w:trPr>
        <w:tc>
          <w:tcPr>
            <w:cnfStyle w:val="001000000000"/>
            <w:tcW w:w="4942" w:type="dxa"/>
          </w:tcPr>
          <w:p w:rsidR="00D12992" w:rsidRPr="00E71D58" w:rsidRDefault="006D1592" w:rsidP="006D1592">
            <w:pPr>
              <w:rPr>
                <w:rFonts w:ascii="Calibri" w:hAnsi="Calibri" w:cs="Times New Roman"/>
                <w:sz w:val="20"/>
                <w:szCs w:val="20"/>
              </w:rPr>
            </w:pPr>
            <w:r w:rsidRPr="00E71D58">
              <w:rPr>
                <w:rFonts w:ascii="Calibri" w:hAnsi="Calibri" w:cs="Times New Roman"/>
                <w:sz w:val="20"/>
                <w:szCs w:val="20"/>
              </w:rPr>
              <w:t>Mjere na prihodnoj strani</w:t>
            </w:r>
          </w:p>
        </w:tc>
        <w:tc>
          <w:tcPr>
            <w:tcW w:w="769" w:type="dxa"/>
            <w:noWrap/>
          </w:tcPr>
          <w:p w:rsidR="00D12992" w:rsidRPr="00E71D58" w:rsidRDefault="00D12992" w:rsidP="006D1592">
            <w:pPr>
              <w:jc w:val="right"/>
              <w:cnfStyle w:val="000000000000"/>
              <w:rPr>
                <w:rFonts w:ascii="Calibri" w:hAnsi="Calibri" w:cs="Times New Roman"/>
                <w:sz w:val="20"/>
                <w:szCs w:val="20"/>
              </w:rPr>
            </w:pPr>
          </w:p>
        </w:tc>
        <w:tc>
          <w:tcPr>
            <w:tcW w:w="785" w:type="dxa"/>
            <w:noWrap/>
          </w:tcPr>
          <w:p w:rsidR="00D12992" w:rsidRPr="00E71D58" w:rsidRDefault="00D12992" w:rsidP="006D1592">
            <w:pPr>
              <w:jc w:val="right"/>
              <w:cnfStyle w:val="000000000000"/>
              <w:rPr>
                <w:rFonts w:ascii="Calibri" w:hAnsi="Calibri" w:cs="Times New Roman"/>
                <w:sz w:val="20"/>
                <w:szCs w:val="20"/>
              </w:rPr>
            </w:pPr>
          </w:p>
        </w:tc>
        <w:tc>
          <w:tcPr>
            <w:tcW w:w="785" w:type="dxa"/>
            <w:noWrap/>
          </w:tcPr>
          <w:p w:rsidR="00D12992" w:rsidRPr="00E71D58" w:rsidRDefault="00D12992" w:rsidP="006D1592">
            <w:pPr>
              <w:jc w:val="right"/>
              <w:cnfStyle w:val="000000000000"/>
              <w:rPr>
                <w:rFonts w:ascii="Calibri" w:hAnsi="Calibri" w:cs="Times New Roman"/>
                <w:sz w:val="20"/>
                <w:szCs w:val="20"/>
              </w:rPr>
            </w:pPr>
          </w:p>
        </w:tc>
        <w:tc>
          <w:tcPr>
            <w:tcW w:w="828" w:type="dxa"/>
            <w:noWrap/>
          </w:tcPr>
          <w:p w:rsidR="00D12992" w:rsidRPr="00E71D58" w:rsidRDefault="00D12992" w:rsidP="006D1592">
            <w:pPr>
              <w:jc w:val="right"/>
              <w:cnfStyle w:val="000000000000"/>
              <w:rPr>
                <w:rFonts w:ascii="Calibri" w:hAnsi="Calibri" w:cs="Times New Roman"/>
                <w:sz w:val="20"/>
                <w:szCs w:val="20"/>
              </w:rPr>
            </w:pPr>
          </w:p>
        </w:tc>
        <w:tc>
          <w:tcPr>
            <w:tcW w:w="1235" w:type="dxa"/>
            <w:noWrap/>
          </w:tcPr>
          <w:p w:rsidR="00D12992" w:rsidRPr="00E71D58" w:rsidRDefault="00D12992" w:rsidP="006D1592">
            <w:pPr>
              <w:jc w:val="right"/>
              <w:cnfStyle w:val="000000000000"/>
              <w:rPr>
                <w:rFonts w:ascii="Calibri" w:hAnsi="Calibri" w:cs="Times New Roman"/>
                <w:sz w:val="20"/>
                <w:szCs w:val="20"/>
              </w:rPr>
            </w:pPr>
          </w:p>
        </w:tc>
      </w:tr>
      <w:tr w:rsidR="00D12992" w:rsidRPr="00E71D58" w:rsidTr="00C06475">
        <w:trPr>
          <w:trHeight w:val="57"/>
        </w:trPr>
        <w:tc>
          <w:tcPr>
            <w:cnfStyle w:val="001000000000"/>
            <w:tcW w:w="4942" w:type="dxa"/>
            <w:hideMark/>
          </w:tcPr>
          <w:p w:rsidR="00D12992" w:rsidRPr="00E71D58" w:rsidRDefault="00D12992" w:rsidP="00950354">
            <w:pPr>
              <w:rPr>
                <w:rFonts w:ascii="Calibri" w:hAnsi="Calibri" w:cs="Times New Roman"/>
                <w:b w:val="0"/>
                <w:sz w:val="20"/>
                <w:szCs w:val="20"/>
              </w:rPr>
            </w:pPr>
            <w:r w:rsidRPr="00E71D58">
              <w:rPr>
                <w:rFonts w:ascii="Calibri" w:hAnsi="Calibri" w:cs="Times New Roman"/>
                <w:b w:val="0"/>
                <w:sz w:val="20"/>
                <w:szCs w:val="20"/>
              </w:rPr>
              <w:t xml:space="preserve">Akciza na cigarete </w:t>
            </w:r>
          </w:p>
        </w:tc>
        <w:tc>
          <w:tcPr>
            <w:tcW w:w="769"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4.6</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17.8</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13.2</w:t>
            </w:r>
          </w:p>
        </w:tc>
        <w:tc>
          <w:tcPr>
            <w:tcW w:w="828"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0.0</w:t>
            </w:r>
          </w:p>
        </w:tc>
        <w:tc>
          <w:tcPr>
            <w:tcW w:w="123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35.6</w:t>
            </w:r>
          </w:p>
        </w:tc>
      </w:tr>
      <w:tr w:rsidR="00D12992" w:rsidRPr="00E71D58" w:rsidTr="00C06475">
        <w:trPr>
          <w:trHeight w:val="57"/>
        </w:trPr>
        <w:tc>
          <w:tcPr>
            <w:cnfStyle w:val="001000000000"/>
            <w:tcW w:w="4942" w:type="dxa"/>
            <w:noWrap/>
            <w:hideMark/>
          </w:tcPr>
          <w:p w:rsidR="00D12992" w:rsidRPr="00E71D58" w:rsidRDefault="00D12992" w:rsidP="00950354">
            <w:pPr>
              <w:rPr>
                <w:rFonts w:ascii="Calibri" w:hAnsi="Calibri" w:cs="Times New Roman"/>
                <w:b w:val="0"/>
                <w:sz w:val="20"/>
                <w:szCs w:val="20"/>
              </w:rPr>
            </w:pPr>
            <w:r w:rsidRPr="00E71D58">
              <w:rPr>
                <w:rFonts w:ascii="Calibri" w:hAnsi="Calibri" w:cs="Times New Roman"/>
                <w:b w:val="0"/>
                <w:sz w:val="20"/>
                <w:szCs w:val="20"/>
              </w:rPr>
              <w:t>PDV od akciza na cigarete</w:t>
            </w:r>
          </w:p>
        </w:tc>
        <w:tc>
          <w:tcPr>
            <w:tcW w:w="769"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0.7</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2.8</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2.1</w:t>
            </w:r>
          </w:p>
        </w:tc>
        <w:tc>
          <w:tcPr>
            <w:tcW w:w="828"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0.0</w:t>
            </w:r>
          </w:p>
        </w:tc>
        <w:tc>
          <w:tcPr>
            <w:tcW w:w="123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5.6</w:t>
            </w:r>
          </w:p>
        </w:tc>
      </w:tr>
      <w:tr w:rsidR="00D12992" w:rsidRPr="00E71D58" w:rsidTr="00C06475">
        <w:trPr>
          <w:trHeight w:val="57"/>
        </w:trPr>
        <w:tc>
          <w:tcPr>
            <w:cnfStyle w:val="001000000000"/>
            <w:tcW w:w="4942" w:type="dxa"/>
            <w:hideMark/>
          </w:tcPr>
          <w:p w:rsidR="00D12992" w:rsidRPr="00E71D58" w:rsidRDefault="00D12992" w:rsidP="00950354">
            <w:pPr>
              <w:rPr>
                <w:rFonts w:ascii="Calibri" w:hAnsi="Calibri" w:cs="Times New Roman"/>
                <w:b w:val="0"/>
                <w:sz w:val="20"/>
                <w:szCs w:val="20"/>
              </w:rPr>
            </w:pPr>
            <w:r w:rsidRPr="00E71D58">
              <w:rPr>
                <w:rFonts w:ascii="Calibri" w:hAnsi="Calibri" w:cs="Times New Roman"/>
                <w:b w:val="0"/>
                <w:sz w:val="20"/>
                <w:szCs w:val="20"/>
              </w:rPr>
              <w:t xml:space="preserve">Akciza na gaziranu vodu sa dodatkom šećera </w:t>
            </w:r>
          </w:p>
        </w:tc>
        <w:tc>
          <w:tcPr>
            <w:tcW w:w="769"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0.0</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7.7</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3.8</w:t>
            </w:r>
          </w:p>
        </w:tc>
        <w:tc>
          <w:tcPr>
            <w:tcW w:w="828"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3.8</w:t>
            </w:r>
          </w:p>
        </w:tc>
        <w:tc>
          <w:tcPr>
            <w:tcW w:w="123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15.3</w:t>
            </w:r>
          </w:p>
        </w:tc>
      </w:tr>
      <w:tr w:rsidR="00D12992" w:rsidRPr="00E71D58" w:rsidTr="00C06475">
        <w:trPr>
          <w:trHeight w:val="57"/>
        </w:trPr>
        <w:tc>
          <w:tcPr>
            <w:cnfStyle w:val="001000000000"/>
            <w:tcW w:w="4942" w:type="dxa"/>
            <w:noWrap/>
            <w:hideMark/>
          </w:tcPr>
          <w:p w:rsidR="00D12992" w:rsidRPr="00E71D58" w:rsidRDefault="00D12992" w:rsidP="00950354">
            <w:pPr>
              <w:rPr>
                <w:rFonts w:ascii="Calibri" w:hAnsi="Calibri" w:cs="Times New Roman"/>
                <w:b w:val="0"/>
                <w:sz w:val="20"/>
                <w:szCs w:val="20"/>
              </w:rPr>
            </w:pPr>
            <w:r w:rsidRPr="00E71D58">
              <w:rPr>
                <w:rFonts w:ascii="Calibri" w:hAnsi="Calibri" w:cs="Times New Roman"/>
                <w:b w:val="0"/>
                <w:sz w:val="20"/>
                <w:szCs w:val="20"/>
              </w:rPr>
              <w:t>PDV od akciza na gaziranu vodu</w:t>
            </w:r>
          </w:p>
        </w:tc>
        <w:tc>
          <w:tcPr>
            <w:tcW w:w="769"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0.0</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0.7</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0.3</w:t>
            </w:r>
          </w:p>
        </w:tc>
        <w:tc>
          <w:tcPr>
            <w:tcW w:w="828"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0.3</w:t>
            </w:r>
          </w:p>
        </w:tc>
        <w:tc>
          <w:tcPr>
            <w:tcW w:w="123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1.3</w:t>
            </w:r>
          </w:p>
        </w:tc>
      </w:tr>
      <w:tr w:rsidR="00D12992" w:rsidRPr="00E71D58" w:rsidTr="00C06475">
        <w:trPr>
          <w:trHeight w:val="57"/>
        </w:trPr>
        <w:tc>
          <w:tcPr>
            <w:cnfStyle w:val="001000000000"/>
            <w:tcW w:w="4942" w:type="dxa"/>
            <w:hideMark/>
          </w:tcPr>
          <w:p w:rsidR="00D12992" w:rsidRPr="00E71D58" w:rsidRDefault="00E71D58" w:rsidP="00950354">
            <w:pPr>
              <w:rPr>
                <w:rFonts w:ascii="Calibri" w:hAnsi="Calibri" w:cs="Times New Roman"/>
                <w:b w:val="0"/>
                <w:sz w:val="20"/>
                <w:szCs w:val="20"/>
              </w:rPr>
            </w:pPr>
            <w:r>
              <w:rPr>
                <w:rFonts w:ascii="Calibri" w:hAnsi="Calibri" w:cs="Times New Roman"/>
                <w:b w:val="0"/>
                <w:sz w:val="20"/>
                <w:szCs w:val="20"/>
              </w:rPr>
              <w:t xml:space="preserve">Akciza na ugalj </w:t>
            </w:r>
          </w:p>
        </w:tc>
        <w:tc>
          <w:tcPr>
            <w:tcW w:w="769" w:type="dxa"/>
            <w:noWrap/>
            <w:hideMark/>
          </w:tcPr>
          <w:p w:rsidR="00D12992" w:rsidRPr="00E71D58" w:rsidRDefault="00D12992" w:rsidP="006D1592">
            <w:pPr>
              <w:jc w:val="right"/>
              <w:cnfStyle w:val="000000000000"/>
              <w:rPr>
                <w:rFonts w:ascii="Calibri" w:hAnsi="Calibri" w:cs="Times New Roman"/>
                <w:color w:val="auto"/>
                <w:sz w:val="20"/>
                <w:szCs w:val="20"/>
              </w:rPr>
            </w:pPr>
            <w:r w:rsidRPr="00E71D58">
              <w:rPr>
                <w:rFonts w:ascii="Calibri" w:hAnsi="Calibri" w:cs="Times New Roman"/>
                <w:color w:val="auto"/>
                <w:sz w:val="20"/>
                <w:szCs w:val="20"/>
              </w:rPr>
              <w:t> </w:t>
            </w:r>
          </w:p>
        </w:tc>
        <w:tc>
          <w:tcPr>
            <w:tcW w:w="785" w:type="dxa"/>
            <w:noWrap/>
            <w:hideMark/>
          </w:tcPr>
          <w:p w:rsidR="00D12992" w:rsidRPr="00E71D58" w:rsidRDefault="00D12992" w:rsidP="006D1592">
            <w:pPr>
              <w:jc w:val="right"/>
              <w:cnfStyle w:val="000000000000"/>
              <w:rPr>
                <w:rFonts w:ascii="Calibri" w:hAnsi="Calibri" w:cs="Times New Roman"/>
                <w:color w:val="auto"/>
                <w:sz w:val="20"/>
                <w:szCs w:val="20"/>
              </w:rPr>
            </w:pPr>
            <w:r w:rsidRPr="00E71D58">
              <w:rPr>
                <w:rFonts w:ascii="Calibri" w:hAnsi="Calibri" w:cs="Times New Roman"/>
                <w:color w:val="auto"/>
                <w:sz w:val="20"/>
                <w:szCs w:val="20"/>
              </w:rPr>
              <w:t> </w:t>
            </w:r>
          </w:p>
        </w:tc>
        <w:tc>
          <w:tcPr>
            <w:tcW w:w="785" w:type="dxa"/>
            <w:noWrap/>
            <w:hideMark/>
          </w:tcPr>
          <w:p w:rsidR="00D12992" w:rsidRPr="00E71D58" w:rsidRDefault="00D12992" w:rsidP="006D1592">
            <w:pPr>
              <w:jc w:val="right"/>
              <w:cnfStyle w:val="000000000000"/>
              <w:rPr>
                <w:rFonts w:ascii="Calibri" w:hAnsi="Calibri" w:cs="Times New Roman"/>
                <w:color w:val="auto"/>
                <w:sz w:val="20"/>
                <w:szCs w:val="20"/>
              </w:rPr>
            </w:pPr>
            <w:r w:rsidRPr="00E71D58">
              <w:rPr>
                <w:rFonts w:ascii="Calibri" w:hAnsi="Calibri" w:cs="Times New Roman"/>
                <w:color w:val="auto"/>
                <w:sz w:val="20"/>
                <w:szCs w:val="20"/>
              </w:rPr>
              <w:t>2.3</w:t>
            </w:r>
          </w:p>
        </w:tc>
        <w:tc>
          <w:tcPr>
            <w:tcW w:w="828"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2.3</w:t>
            </w:r>
          </w:p>
        </w:tc>
        <w:tc>
          <w:tcPr>
            <w:tcW w:w="123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4.6</w:t>
            </w:r>
          </w:p>
        </w:tc>
      </w:tr>
      <w:tr w:rsidR="00D12992" w:rsidRPr="00E71D58" w:rsidTr="00C06475">
        <w:trPr>
          <w:trHeight w:val="57"/>
        </w:trPr>
        <w:tc>
          <w:tcPr>
            <w:cnfStyle w:val="001000000000"/>
            <w:tcW w:w="4942" w:type="dxa"/>
            <w:noWrap/>
            <w:hideMark/>
          </w:tcPr>
          <w:p w:rsidR="00D12992" w:rsidRPr="00E71D58" w:rsidRDefault="00D12992" w:rsidP="00950354">
            <w:pPr>
              <w:rPr>
                <w:rFonts w:ascii="Calibri" w:hAnsi="Calibri" w:cs="Times New Roman"/>
                <w:b w:val="0"/>
                <w:sz w:val="20"/>
                <w:szCs w:val="20"/>
              </w:rPr>
            </w:pPr>
            <w:r w:rsidRPr="00E71D58">
              <w:rPr>
                <w:rFonts w:ascii="Calibri" w:hAnsi="Calibri" w:cs="Times New Roman"/>
                <w:b w:val="0"/>
                <w:sz w:val="20"/>
                <w:szCs w:val="20"/>
              </w:rPr>
              <w:t>PDV od akcize na ugalj</w:t>
            </w:r>
          </w:p>
        </w:tc>
        <w:tc>
          <w:tcPr>
            <w:tcW w:w="769" w:type="dxa"/>
            <w:noWrap/>
            <w:hideMark/>
          </w:tcPr>
          <w:p w:rsidR="00D12992" w:rsidRPr="00E71D58" w:rsidRDefault="00D12992" w:rsidP="006D1592">
            <w:pPr>
              <w:jc w:val="right"/>
              <w:cnfStyle w:val="000000000000"/>
              <w:rPr>
                <w:rFonts w:ascii="Calibri" w:hAnsi="Calibri" w:cs="Times New Roman"/>
                <w:color w:val="auto"/>
                <w:sz w:val="20"/>
                <w:szCs w:val="20"/>
              </w:rPr>
            </w:pPr>
            <w:r w:rsidRPr="00E71D58">
              <w:rPr>
                <w:rFonts w:ascii="Calibri" w:hAnsi="Calibri" w:cs="Times New Roman"/>
                <w:color w:val="auto"/>
                <w:sz w:val="20"/>
                <w:szCs w:val="20"/>
              </w:rPr>
              <w:t> </w:t>
            </w:r>
          </w:p>
        </w:tc>
        <w:tc>
          <w:tcPr>
            <w:tcW w:w="785" w:type="dxa"/>
            <w:noWrap/>
            <w:hideMark/>
          </w:tcPr>
          <w:p w:rsidR="00D12992" w:rsidRPr="00E71D58" w:rsidRDefault="00D12992" w:rsidP="006D1592">
            <w:pPr>
              <w:jc w:val="right"/>
              <w:cnfStyle w:val="000000000000"/>
              <w:rPr>
                <w:rFonts w:ascii="Calibri" w:hAnsi="Calibri" w:cs="Times New Roman"/>
                <w:color w:val="auto"/>
                <w:sz w:val="20"/>
                <w:szCs w:val="20"/>
              </w:rPr>
            </w:pPr>
            <w:r w:rsidRPr="00E71D58">
              <w:rPr>
                <w:rFonts w:ascii="Calibri" w:hAnsi="Calibri" w:cs="Times New Roman"/>
                <w:color w:val="auto"/>
                <w:sz w:val="20"/>
                <w:szCs w:val="20"/>
              </w:rPr>
              <w:t> </w:t>
            </w:r>
          </w:p>
        </w:tc>
        <w:tc>
          <w:tcPr>
            <w:tcW w:w="785" w:type="dxa"/>
            <w:noWrap/>
            <w:hideMark/>
          </w:tcPr>
          <w:p w:rsidR="00D12992" w:rsidRPr="00E71D58" w:rsidRDefault="00D12992" w:rsidP="006D1592">
            <w:pPr>
              <w:jc w:val="right"/>
              <w:cnfStyle w:val="000000000000"/>
              <w:rPr>
                <w:rFonts w:ascii="Calibri" w:hAnsi="Calibri" w:cs="Times New Roman"/>
                <w:color w:val="auto"/>
                <w:sz w:val="20"/>
                <w:szCs w:val="20"/>
              </w:rPr>
            </w:pPr>
            <w:r w:rsidRPr="00E71D58">
              <w:rPr>
                <w:rFonts w:ascii="Calibri" w:hAnsi="Calibri" w:cs="Times New Roman"/>
                <w:color w:val="auto"/>
                <w:sz w:val="20"/>
                <w:szCs w:val="20"/>
              </w:rPr>
              <w:t>0.4</w:t>
            </w:r>
          </w:p>
        </w:tc>
        <w:tc>
          <w:tcPr>
            <w:tcW w:w="828"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0.4</w:t>
            </w:r>
          </w:p>
        </w:tc>
        <w:tc>
          <w:tcPr>
            <w:tcW w:w="123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0.9</w:t>
            </w:r>
          </w:p>
        </w:tc>
      </w:tr>
      <w:tr w:rsidR="00D12992" w:rsidRPr="00E71D58" w:rsidTr="00C06475">
        <w:trPr>
          <w:trHeight w:val="57"/>
        </w:trPr>
        <w:tc>
          <w:tcPr>
            <w:cnfStyle w:val="001000000000"/>
            <w:tcW w:w="4942" w:type="dxa"/>
            <w:hideMark/>
          </w:tcPr>
          <w:p w:rsidR="00D12992" w:rsidRPr="00E71D58" w:rsidRDefault="00D12992" w:rsidP="00950354">
            <w:pPr>
              <w:rPr>
                <w:rFonts w:ascii="Calibri" w:hAnsi="Calibri" w:cs="Times New Roman"/>
                <w:b w:val="0"/>
                <w:sz w:val="20"/>
                <w:szCs w:val="20"/>
              </w:rPr>
            </w:pPr>
            <w:r w:rsidRPr="00E71D58">
              <w:rPr>
                <w:rFonts w:ascii="Calibri" w:hAnsi="Calibri" w:cs="Times New Roman"/>
                <w:b w:val="0"/>
                <w:sz w:val="20"/>
                <w:szCs w:val="20"/>
              </w:rPr>
              <w:t xml:space="preserve">Akciza na etil alkohol </w:t>
            </w:r>
          </w:p>
        </w:tc>
        <w:tc>
          <w:tcPr>
            <w:tcW w:w="769"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0.6</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1.1</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1.1</w:t>
            </w:r>
          </w:p>
        </w:tc>
        <w:tc>
          <w:tcPr>
            <w:tcW w:w="828"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1.4</w:t>
            </w:r>
          </w:p>
        </w:tc>
        <w:tc>
          <w:tcPr>
            <w:tcW w:w="123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4.3</w:t>
            </w:r>
          </w:p>
        </w:tc>
      </w:tr>
      <w:tr w:rsidR="00D12992" w:rsidRPr="00E71D58" w:rsidTr="00C06475">
        <w:trPr>
          <w:trHeight w:val="57"/>
        </w:trPr>
        <w:tc>
          <w:tcPr>
            <w:cnfStyle w:val="001000000000"/>
            <w:tcW w:w="4942" w:type="dxa"/>
            <w:noWrap/>
            <w:hideMark/>
          </w:tcPr>
          <w:p w:rsidR="00D12992" w:rsidRPr="00E71D58" w:rsidRDefault="00D12992" w:rsidP="00950354">
            <w:pPr>
              <w:rPr>
                <w:rFonts w:ascii="Calibri" w:hAnsi="Calibri" w:cs="Times New Roman"/>
                <w:b w:val="0"/>
                <w:sz w:val="20"/>
                <w:szCs w:val="20"/>
              </w:rPr>
            </w:pPr>
            <w:r w:rsidRPr="00E71D58">
              <w:rPr>
                <w:rFonts w:ascii="Calibri" w:hAnsi="Calibri" w:cs="Times New Roman"/>
                <w:b w:val="0"/>
                <w:sz w:val="20"/>
                <w:szCs w:val="20"/>
              </w:rPr>
              <w:t>PDV od akcize na etil alkohol</w:t>
            </w:r>
          </w:p>
        </w:tc>
        <w:tc>
          <w:tcPr>
            <w:tcW w:w="769"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0.3</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0.6</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0.7</w:t>
            </w:r>
          </w:p>
        </w:tc>
        <w:tc>
          <w:tcPr>
            <w:tcW w:w="828"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0.8</w:t>
            </w:r>
          </w:p>
        </w:tc>
        <w:tc>
          <w:tcPr>
            <w:tcW w:w="123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2.4</w:t>
            </w:r>
          </w:p>
        </w:tc>
      </w:tr>
      <w:tr w:rsidR="00D12992" w:rsidRPr="00E71D58" w:rsidTr="00C06475">
        <w:trPr>
          <w:trHeight w:val="57"/>
        </w:trPr>
        <w:tc>
          <w:tcPr>
            <w:cnfStyle w:val="001000000000"/>
            <w:tcW w:w="4942" w:type="dxa"/>
            <w:hideMark/>
          </w:tcPr>
          <w:p w:rsidR="00D12992" w:rsidRPr="00E71D58" w:rsidRDefault="00D12992" w:rsidP="00950354">
            <w:pPr>
              <w:rPr>
                <w:rFonts w:ascii="Calibri" w:hAnsi="Calibri" w:cs="Times New Roman"/>
                <w:b w:val="0"/>
                <w:sz w:val="20"/>
                <w:szCs w:val="20"/>
              </w:rPr>
            </w:pPr>
            <w:r w:rsidRPr="00E71D58">
              <w:rPr>
                <w:rFonts w:ascii="Calibri" w:hAnsi="Calibri" w:cs="Times New Roman"/>
                <w:b w:val="0"/>
                <w:sz w:val="20"/>
                <w:szCs w:val="20"/>
              </w:rPr>
              <w:t>Povećanje standardne stope PDV na 21% (2pp)</w:t>
            </w:r>
          </w:p>
        </w:tc>
        <w:tc>
          <w:tcPr>
            <w:tcW w:w="769"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0.0</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42.8</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 </w:t>
            </w:r>
          </w:p>
        </w:tc>
        <w:tc>
          <w:tcPr>
            <w:tcW w:w="828"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 </w:t>
            </w:r>
          </w:p>
        </w:tc>
        <w:tc>
          <w:tcPr>
            <w:tcW w:w="123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42.8</w:t>
            </w:r>
          </w:p>
        </w:tc>
      </w:tr>
      <w:tr w:rsidR="00D12992" w:rsidRPr="00E71D58" w:rsidTr="00C06475">
        <w:trPr>
          <w:trHeight w:val="57"/>
        </w:trPr>
        <w:tc>
          <w:tcPr>
            <w:cnfStyle w:val="001000000000"/>
            <w:tcW w:w="4942" w:type="dxa"/>
            <w:hideMark/>
          </w:tcPr>
          <w:p w:rsidR="00D12992" w:rsidRPr="00E71D58" w:rsidRDefault="00D12992" w:rsidP="00950354">
            <w:pPr>
              <w:rPr>
                <w:rFonts w:ascii="Calibri" w:hAnsi="Calibri" w:cs="Times New Roman"/>
                <w:b w:val="0"/>
                <w:sz w:val="20"/>
                <w:szCs w:val="20"/>
              </w:rPr>
            </w:pPr>
            <w:r w:rsidRPr="00E71D58">
              <w:rPr>
                <w:rFonts w:ascii="Calibri" w:hAnsi="Calibri" w:cs="Times New Roman"/>
                <w:b w:val="0"/>
                <w:sz w:val="20"/>
                <w:szCs w:val="20"/>
              </w:rPr>
              <w:t>Reprogram poreskog duga</w:t>
            </w:r>
          </w:p>
        </w:tc>
        <w:tc>
          <w:tcPr>
            <w:tcW w:w="769"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17.0</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0.0</w:t>
            </w:r>
          </w:p>
        </w:tc>
        <w:tc>
          <w:tcPr>
            <w:tcW w:w="78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0.0</w:t>
            </w:r>
          </w:p>
        </w:tc>
        <w:tc>
          <w:tcPr>
            <w:tcW w:w="828"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0.0</w:t>
            </w:r>
          </w:p>
        </w:tc>
        <w:tc>
          <w:tcPr>
            <w:tcW w:w="1235" w:type="dxa"/>
            <w:noWrap/>
            <w:hideMark/>
          </w:tcPr>
          <w:p w:rsidR="00D12992" w:rsidRPr="00E71D58" w:rsidRDefault="00D12992" w:rsidP="006D1592">
            <w:pPr>
              <w:jc w:val="right"/>
              <w:cnfStyle w:val="000000000000"/>
              <w:rPr>
                <w:rFonts w:ascii="Calibri" w:hAnsi="Calibri" w:cs="Times New Roman"/>
                <w:sz w:val="20"/>
                <w:szCs w:val="20"/>
              </w:rPr>
            </w:pPr>
            <w:r w:rsidRPr="00E71D58">
              <w:rPr>
                <w:rFonts w:ascii="Calibri" w:hAnsi="Calibri" w:cs="Times New Roman"/>
                <w:sz w:val="20"/>
                <w:szCs w:val="20"/>
              </w:rPr>
              <w:t>17.0</w:t>
            </w:r>
          </w:p>
        </w:tc>
      </w:tr>
      <w:tr w:rsidR="005A710F" w:rsidRPr="00E71D58" w:rsidTr="00C06475">
        <w:trPr>
          <w:trHeight w:val="57"/>
        </w:trPr>
        <w:tc>
          <w:tcPr>
            <w:cnfStyle w:val="001000000000"/>
            <w:tcW w:w="4942" w:type="dxa"/>
            <w:hideMark/>
          </w:tcPr>
          <w:p w:rsidR="005A710F" w:rsidRPr="00E71D58" w:rsidRDefault="005A710F" w:rsidP="00950354">
            <w:pPr>
              <w:rPr>
                <w:rFonts w:ascii="Calibri" w:hAnsi="Calibri" w:cs="Times New Roman"/>
                <w:b w:val="0"/>
                <w:sz w:val="20"/>
                <w:szCs w:val="20"/>
              </w:rPr>
            </w:pPr>
            <w:r>
              <w:rPr>
                <w:rFonts w:ascii="Calibri" w:hAnsi="Calibri" w:cs="Times New Roman"/>
                <w:b w:val="0"/>
                <w:sz w:val="20"/>
                <w:szCs w:val="20"/>
              </w:rPr>
              <w:t>Doprinosi za majke za povezivanje radnog staža</w:t>
            </w:r>
          </w:p>
        </w:tc>
        <w:tc>
          <w:tcPr>
            <w:tcW w:w="769" w:type="dxa"/>
            <w:noWrap/>
            <w:hideMark/>
          </w:tcPr>
          <w:p w:rsidR="005A710F" w:rsidRPr="00E71D58" w:rsidRDefault="005A710F" w:rsidP="006D1592">
            <w:pPr>
              <w:jc w:val="right"/>
              <w:cnfStyle w:val="000000000000"/>
              <w:rPr>
                <w:rFonts w:ascii="Calibri" w:hAnsi="Calibri" w:cs="Times New Roman"/>
                <w:sz w:val="20"/>
                <w:szCs w:val="20"/>
              </w:rPr>
            </w:pPr>
            <w:r>
              <w:rPr>
                <w:rFonts w:ascii="Calibri" w:hAnsi="Calibri" w:cs="Times New Roman"/>
                <w:sz w:val="20"/>
                <w:szCs w:val="20"/>
              </w:rPr>
              <w:t>1.0</w:t>
            </w:r>
          </w:p>
        </w:tc>
        <w:tc>
          <w:tcPr>
            <w:tcW w:w="785" w:type="dxa"/>
            <w:noWrap/>
            <w:hideMark/>
          </w:tcPr>
          <w:p w:rsidR="005A710F" w:rsidRPr="00E71D58" w:rsidRDefault="005A710F" w:rsidP="006D1592">
            <w:pPr>
              <w:jc w:val="right"/>
              <w:cnfStyle w:val="000000000000"/>
              <w:rPr>
                <w:rFonts w:ascii="Calibri" w:hAnsi="Calibri" w:cs="Times New Roman"/>
                <w:sz w:val="20"/>
                <w:szCs w:val="20"/>
              </w:rPr>
            </w:pPr>
            <w:r>
              <w:rPr>
                <w:rFonts w:ascii="Calibri" w:hAnsi="Calibri" w:cs="Times New Roman"/>
                <w:sz w:val="20"/>
                <w:szCs w:val="20"/>
              </w:rPr>
              <w:t>4.2</w:t>
            </w:r>
          </w:p>
        </w:tc>
        <w:tc>
          <w:tcPr>
            <w:tcW w:w="785" w:type="dxa"/>
            <w:noWrap/>
            <w:hideMark/>
          </w:tcPr>
          <w:p w:rsidR="005A710F" w:rsidRPr="00E71D58" w:rsidRDefault="005A710F" w:rsidP="006D1592">
            <w:pPr>
              <w:jc w:val="right"/>
              <w:cnfStyle w:val="000000000000"/>
              <w:rPr>
                <w:rFonts w:ascii="Calibri" w:hAnsi="Calibri" w:cs="Times New Roman"/>
                <w:sz w:val="20"/>
                <w:szCs w:val="20"/>
              </w:rPr>
            </w:pPr>
            <w:r>
              <w:rPr>
                <w:rFonts w:ascii="Calibri" w:hAnsi="Calibri" w:cs="Times New Roman"/>
                <w:sz w:val="20"/>
                <w:szCs w:val="20"/>
              </w:rPr>
              <w:t>-2.1</w:t>
            </w:r>
          </w:p>
        </w:tc>
        <w:tc>
          <w:tcPr>
            <w:tcW w:w="828" w:type="dxa"/>
            <w:noWrap/>
            <w:hideMark/>
          </w:tcPr>
          <w:p w:rsidR="005A710F" w:rsidRPr="00E71D58" w:rsidRDefault="005A710F" w:rsidP="006D1592">
            <w:pPr>
              <w:jc w:val="right"/>
              <w:cnfStyle w:val="000000000000"/>
              <w:rPr>
                <w:rFonts w:ascii="Calibri" w:hAnsi="Calibri" w:cs="Times New Roman"/>
                <w:sz w:val="20"/>
                <w:szCs w:val="20"/>
              </w:rPr>
            </w:pPr>
            <w:r>
              <w:rPr>
                <w:rFonts w:ascii="Calibri" w:hAnsi="Calibri" w:cs="Times New Roman"/>
                <w:sz w:val="20"/>
                <w:szCs w:val="20"/>
              </w:rPr>
              <w:t>0.0</w:t>
            </w:r>
          </w:p>
        </w:tc>
        <w:tc>
          <w:tcPr>
            <w:tcW w:w="1235" w:type="dxa"/>
            <w:noWrap/>
            <w:hideMark/>
          </w:tcPr>
          <w:p w:rsidR="005A710F" w:rsidRPr="00E71D58" w:rsidRDefault="005A710F" w:rsidP="006D1592">
            <w:pPr>
              <w:jc w:val="right"/>
              <w:cnfStyle w:val="000000000000"/>
              <w:rPr>
                <w:rFonts w:ascii="Calibri" w:hAnsi="Calibri" w:cs="Times New Roman"/>
                <w:sz w:val="20"/>
                <w:szCs w:val="20"/>
              </w:rPr>
            </w:pPr>
            <w:r>
              <w:rPr>
                <w:rFonts w:ascii="Calibri" w:hAnsi="Calibri" w:cs="Times New Roman"/>
                <w:sz w:val="20"/>
                <w:szCs w:val="20"/>
              </w:rPr>
              <w:t>3.2</w:t>
            </w:r>
          </w:p>
        </w:tc>
      </w:tr>
      <w:tr w:rsidR="00D12992" w:rsidRPr="00E71D58" w:rsidTr="00C06475">
        <w:trPr>
          <w:trHeight w:val="57"/>
        </w:trPr>
        <w:tc>
          <w:tcPr>
            <w:cnfStyle w:val="001000000000"/>
            <w:tcW w:w="4942" w:type="dxa"/>
            <w:hideMark/>
          </w:tcPr>
          <w:p w:rsidR="00D12992" w:rsidRPr="00E71D58" w:rsidRDefault="006D1592" w:rsidP="00950354">
            <w:pPr>
              <w:rPr>
                <w:rFonts w:ascii="Calibri" w:hAnsi="Calibri" w:cs="Times New Roman"/>
                <w:sz w:val="20"/>
                <w:szCs w:val="20"/>
              </w:rPr>
            </w:pPr>
            <w:r w:rsidRPr="00E71D58">
              <w:rPr>
                <w:rFonts w:ascii="Calibri" w:hAnsi="Calibri" w:cs="Times New Roman"/>
                <w:sz w:val="20"/>
                <w:szCs w:val="20"/>
              </w:rPr>
              <w:t>I Efekat mjera na prihode</w:t>
            </w:r>
          </w:p>
        </w:tc>
        <w:tc>
          <w:tcPr>
            <w:tcW w:w="769" w:type="dxa"/>
            <w:noWrap/>
            <w:hideMark/>
          </w:tcPr>
          <w:p w:rsidR="00D12992" w:rsidRPr="00E71D58" w:rsidRDefault="00D12992" w:rsidP="005A710F">
            <w:pPr>
              <w:jc w:val="right"/>
              <w:cnfStyle w:val="000000000000"/>
              <w:rPr>
                <w:rFonts w:ascii="Calibri" w:hAnsi="Calibri" w:cs="Times New Roman"/>
                <w:b/>
                <w:bCs/>
                <w:sz w:val="20"/>
                <w:szCs w:val="20"/>
              </w:rPr>
            </w:pPr>
            <w:r w:rsidRPr="00E71D58">
              <w:rPr>
                <w:rFonts w:ascii="Calibri" w:hAnsi="Calibri" w:cs="Times New Roman"/>
                <w:b/>
                <w:bCs/>
                <w:sz w:val="20"/>
                <w:szCs w:val="20"/>
              </w:rPr>
              <w:t>2</w:t>
            </w:r>
            <w:r w:rsidR="005A710F">
              <w:rPr>
                <w:rFonts w:ascii="Calibri" w:hAnsi="Calibri" w:cs="Times New Roman"/>
                <w:b/>
                <w:bCs/>
                <w:sz w:val="20"/>
                <w:szCs w:val="20"/>
              </w:rPr>
              <w:t>4</w:t>
            </w:r>
            <w:r w:rsidRPr="00E71D58">
              <w:rPr>
                <w:rFonts w:ascii="Calibri" w:hAnsi="Calibri" w:cs="Times New Roman"/>
                <w:b/>
                <w:bCs/>
                <w:sz w:val="20"/>
                <w:szCs w:val="20"/>
              </w:rPr>
              <w:t>.2</w:t>
            </w:r>
          </w:p>
        </w:tc>
        <w:tc>
          <w:tcPr>
            <w:tcW w:w="785" w:type="dxa"/>
            <w:noWrap/>
            <w:hideMark/>
          </w:tcPr>
          <w:p w:rsidR="00D12992" w:rsidRPr="00E71D58" w:rsidRDefault="00D12992" w:rsidP="005A710F">
            <w:pPr>
              <w:jc w:val="right"/>
              <w:cnfStyle w:val="000000000000"/>
              <w:rPr>
                <w:rFonts w:ascii="Calibri" w:hAnsi="Calibri" w:cs="Times New Roman"/>
                <w:b/>
                <w:bCs/>
                <w:sz w:val="20"/>
                <w:szCs w:val="20"/>
              </w:rPr>
            </w:pPr>
            <w:r w:rsidRPr="00E71D58">
              <w:rPr>
                <w:rFonts w:ascii="Calibri" w:hAnsi="Calibri" w:cs="Times New Roman"/>
                <w:b/>
                <w:bCs/>
                <w:sz w:val="20"/>
                <w:szCs w:val="20"/>
              </w:rPr>
              <w:t>7</w:t>
            </w:r>
            <w:r w:rsidR="005A710F">
              <w:rPr>
                <w:rFonts w:ascii="Calibri" w:hAnsi="Calibri" w:cs="Times New Roman"/>
                <w:b/>
                <w:bCs/>
                <w:sz w:val="20"/>
                <w:szCs w:val="20"/>
              </w:rPr>
              <w:t>7</w:t>
            </w:r>
            <w:r w:rsidRPr="00E71D58">
              <w:rPr>
                <w:rFonts w:ascii="Calibri" w:hAnsi="Calibri" w:cs="Times New Roman"/>
                <w:b/>
                <w:bCs/>
                <w:sz w:val="20"/>
                <w:szCs w:val="20"/>
              </w:rPr>
              <w:t>.</w:t>
            </w:r>
            <w:r w:rsidR="005A710F">
              <w:rPr>
                <w:rFonts w:ascii="Calibri" w:hAnsi="Calibri" w:cs="Times New Roman"/>
                <w:b/>
                <w:bCs/>
                <w:sz w:val="20"/>
                <w:szCs w:val="20"/>
              </w:rPr>
              <w:t>7</w:t>
            </w:r>
          </w:p>
        </w:tc>
        <w:tc>
          <w:tcPr>
            <w:tcW w:w="785" w:type="dxa"/>
            <w:noWrap/>
            <w:hideMark/>
          </w:tcPr>
          <w:p w:rsidR="00D12992" w:rsidRPr="00E71D58" w:rsidRDefault="00D12992" w:rsidP="005A710F">
            <w:pPr>
              <w:jc w:val="right"/>
              <w:cnfStyle w:val="000000000000"/>
              <w:rPr>
                <w:rFonts w:ascii="Calibri" w:hAnsi="Calibri" w:cs="Times New Roman"/>
                <w:b/>
                <w:bCs/>
                <w:sz w:val="20"/>
                <w:szCs w:val="20"/>
              </w:rPr>
            </w:pPr>
            <w:r w:rsidRPr="00E71D58">
              <w:rPr>
                <w:rFonts w:ascii="Calibri" w:hAnsi="Calibri" w:cs="Times New Roman"/>
                <w:b/>
                <w:bCs/>
                <w:sz w:val="20"/>
                <w:szCs w:val="20"/>
              </w:rPr>
              <w:t>2</w:t>
            </w:r>
            <w:r w:rsidR="005A710F">
              <w:rPr>
                <w:rFonts w:ascii="Calibri" w:hAnsi="Calibri" w:cs="Times New Roman"/>
                <w:b/>
                <w:bCs/>
                <w:sz w:val="20"/>
                <w:szCs w:val="20"/>
              </w:rPr>
              <w:t>1</w:t>
            </w:r>
            <w:r w:rsidRPr="00E71D58">
              <w:rPr>
                <w:rFonts w:ascii="Calibri" w:hAnsi="Calibri" w:cs="Times New Roman"/>
                <w:b/>
                <w:bCs/>
                <w:sz w:val="20"/>
                <w:szCs w:val="20"/>
              </w:rPr>
              <w:t>.</w:t>
            </w:r>
            <w:r w:rsidR="005A710F">
              <w:rPr>
                <w:rFonts w:ascii="Calibri" w:hAnsi="Calibri" w:cs="Times New Roman"/>
                <w:b/>
                <w:bCs/>
                <w:sz w:val="20"/>
                <w:szCs w:val="20"/>
              </w:rPr>
              <w:t>9</w:t>
            </w:r>
          </w:p>
        </w:tc>
        <w:tc>
          <w:tcPr>
            <w:tcW w:w="828" w:type="dxa"/>
            <w:noWrap/>
            <w:hideMark/>
          </w:tcPr>
          <w:p w:rsidR="00D12992" w:rsidRPr="00E71D58" w:rsidRDefault="00D12992" w:rsidP="006D1592">
            <w:pPr>
              <w:jc w:val="right"/>
              <w:cnfStyle w:val="000000000000"/>
              <w:rPr>
                <w:rFonts w:ascii="Calibri" w:hAnsi="Calibri" w:cs="Times New Roman"/>
                <w:b/>
                <w:bCs/>
                <w:sz w:val="20"/>
                <w:szCs w:val="20"/>
              </w:rPr>
            </w:pPr>
            <w:r w:rsidRPr="00E71D58">
              <w:rPr>
                <w:rFonts w:ascii="Calibri" w:hAnsi="Calibri" w:cs="Times New Roman"/>
                <w:b/>
                <w:bCs/>
                <w:sz w:val="20"/>
                <w:szCs w:val="20"/>
              </w:rPr>
              <w:t>9.1</w:t>
            </w:r>
          </w:p>
        </w:tc>
        <w:tc>
          <w:tcPr>
            <w:tcW w:w="1235" w:type="dxa"/>
            <w:noWrap/>
            <w:hideMark/>
          </w:tcPr>
          <w:p w:rsidR="00D12992" w:rsidRPr="00E71D58" w:rsidRDefault="005A710F" w:rsidP="006D1592">
            <w:pPr>
              <w:jc w:val="right"/>
              <w:cnfStyle w:val="000000000000"/>
              <w:rPr>
                <w:rFonts w:ascii="Calibri" w:hAnsi="Calibri" w:cs="Times New Roman"/>
                <w:b/>
                <w:bCs/>
                <w:sz w:val="20"/>
                <w:szCs w:val="20"/>
              </w:rPr>
            </w:pPr>
            <w:r>
              <w:rPr>
                <w:rFonts w:ascii="Calibri" w:hAnsi="Calibri" w:cs="Times New Roman"/>
                <w:b/>
                <w:bCs/>
                <w:sz w:val="20"/>
                <w:szCs w:val="20"/>
              </w:rPr>
              <w:t>132.9</w:t>
            </w:r>
          </w:p>
        </w:tc>
      </w:tr>
      <w:tr w:rsidR="00D12992" w:rsidRPr="00E71D58" w:rsidTr="00C06475">
        <w:trPr>
          <w:trHeight w:val="57"/>
        </w:trPr>
        <w:tc>
          <w:tcPr>
            <w:cnfStyle w:val="001000000000"/>
            <w:tcW w:w="4942" w:type="dxa"/>
            <w:noWrap/>
            <w:hideMark/>
          </w:tcPr>
          <w:p w:rsidR="00D12992" w:rsidRPr="00E71D58" w:rsidRDefault="006D1592" w:rsidP="006D1592">
            <w:pPr>
              <w:rPr>
                <w:rFonts w:ascii="Calibri" w:hAnsi="Calibri" w:cs="Times New Roman"/>
                <w:sz w:val="20"/>
                <w:szCs w:val="20"/>
              </w:rPr>
            </w:pPr>
            <w:r w:rsidRPr="00E71D58">
              <w:rPr>
                <w:rFonts w:ascii="Calibri" w:hAnsi="Calibri" w:cs="Times New Roman"/>
                <w:sz w:val="20"/>
                <w:szCs w:val="20"/>
              </w:rPr>
              <w:t>Mjere na strani rashoda</w:t>
            </w:r>
          </w:p>
        </w:tc>
        <w:tc>
          <w:tcPr>
            <w:tcW w:w="769" w:type="dxa"/>
            <w:noWrap/>
          </w:tcPr>
          <w:p w:rsidR="00D12992" w:rsidRPr="00E71D58" w:rsidRDefault="00D12992" w:rsidP="006D1592">
            <w:pPr>
              <w:jc w:val="right"/>
              <w:cnfStyle w:val="000000000000"/>
              <w:rPr>
                <w:rFonts w:ascii="Calibri" w:hAnsi="Calibri" w:cs="Times New Roman"/>
                <w:b/>
                <w:bCs/>
                <w:sz w:val="20"/>
                <w:szCs w:val="20"/>
              </w:rPr>
            </w:pPr>
          </w:p>
        </w:tc>
        <w:tc>
          <w:tcPr>
            <w:tcW w:w="785" w:type="dxa"/>
            <w:noWrap/>
          </w:tcPr>
          <w:p w:rsidR="00D12992" w:rsidRPr="00E71D58" w:rsidRDefault="00D12992" w:rsidP="006D1592">
            <w:pPr>
              <w:jc w:val="right"/>
              <w:cnfStyle w:val="000000000000"/>
              <w:rPr>
                <w:rFonts w:ascii="Calibri" w:hAnsi="Calibri" w:cs="Times New Roman"/>
                <w:b/>
                <w:bCs/>
                <w:sz w:val="20"/>
                <w:szCs w:val="20"/>
              </w:rPr>
            </w:pPr>
          </w:p>
        </w:tc>
        <w:tc>
          <w:tcPr>
            <w:tcW w:w="785" w:type="dxa"/>
            <w:noWrap/>
          </w:tcPr>
          <w:p w:rsidR="00D12992" w:rsidRPr="00E71D58" w:rsidRDefault="00D12992" w:rsidP="006D1592">
            <w:pPr>
              <w:jc w:val="right"/>
              <w:cnfStyle w:val="000000000000"/>
              <w:rPr>
                <w:rFonts w:ascii="Calibri" w:hAnsi="Calibri" w:cs="Times New Roman"/>
                <w:b/>
                <w:bCs/>
                <w:sz w:val="20"/>
                <w:szCs w:val="20"/>
              </w:rPr>
            </w:pPr>
          </w:p>
        </w:tc>
        <w:tc>
          <w:tcPr>
            <w:tcW w:w="828" w:type="dxa"/>
            <w:noWrap/>
          </w:tcPr>
          <w:p w:rsidR="00D12992" w:rsidRPr="00E71D58" w:rsidRDefault="00D12992" w:rsidP="006D1592">
            <w:pPr>
              <w:jc w:val="right"/>
              <w:cnfStyle w:val="000000000000"/>
              <w:rPr>
                <w:rFonts w:ascii="Calibri" w:hAnsi="Calibri" w:cs="Times New Roman"/>
                <w:b/>
                <w:bCs/>
                <w:sz w:val="20"/>
                <w:szCs w:val="20"/>
              </w:rPr>
            </w:pPr>
          </w:p>
        </w:tc>
        <w:tc>
          <w:tcPr>
            <w:tcW w:w="1235" w:type="dxa"/>
            <w:noWrap/>
            <w:hideMark/>
          </w:tcPr>
          <w:p w:rsidR="00D12992" w:rsidRPr="00E71D58" w:rsidRDefault="00D12992" w:rsidP="006D1592">
            <w:pPr>
              <w:jc w:val="right"/>
              <w:cnfStyle w:val="000000000000"/>
              <w:rPr>
                <w:rFonts w:ascii="Calibri" w:hAnsi="Calibri" w:cs="Times New Roman"/>
                <w:b/>
                <w:bCs/>
                <w:sz w:val="20"/>
                <w:szCs w:val="20"/>
              </w:rPr>
            </w:pPr>
          </w:p>
        </w:tc>
      </w:tr>
      <w:tr w:rsidR="00D12992" w:rsidRPr="00E71D58" w:rsidTr="00C06475">
        <w:trPr>
          <w:trHeight w:val="57"/>
        </w:trPr>
        <w:tc>
          <w:tcPr>
            <w:cnfStyle w:val="001000000000"/>
            <w:tcW w:w="4942" w:type="dxa"/>
            <w:noWrap/>
            <w:hideMark/>
          </w:tcPr>
          <w:p w:rsidR="00D12992" w:rsidRPr="00E71D58" w:rsidRDefault="00D12992" w:rsidP="00950354">
            <w:pPr>
              <w:rPr>
                <w:rFonts w:ascii="Calibri" w:hAnsi="Calibri" w:cs="Times New Roman"/>
                <w:b w:val="0"/>
                <w:sz w:val="20"/>
                <w:szCs w:val="20"/>
              </w:rPr>
            </w:pPr>
            <w:r w:rsidRPr="00E71D58">
              <w:rPr>
                <w:rFonts w:ascii="Calibri" w:hAnsi="Calibri" w:cs="Times New Roman"/>
                <w:b w:val="0"/>
                <w:sz w:val="20"/>
                <w:szCs w:val="20"/>
              </w:rPr>
              <w:t xml:space="preserve">Smanjenje fonda bruto zarada </w:t>
            </w:r>
          </w:p>
        </w:tc>
        <w:tc>
          <w:tcPr>
            <w:tcW w:w="769"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1.0</w:t>
            </w:r>
          </w:p>
        </w:tc>
        <w:tc>
          <w:tcPr>
            <w:tcW w:w="785"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1.5</w:t>
            </w:r>
          </w:p>
        </w:tc>
        <w:tc>
          <w:tcPr>
            <w:tcW w:w="785"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1.0</w:t>
            </w:r>
          </w:p>
        </w:tc>
        <w:tc>
          <w:tcPr>
            <w:tcW w:w="828"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0.0</w:t>
            </w:r>
          </w:p>
        </w:tc>
        <w:tc>
          <w:tcPr>
            <w:tcW w:w="1235" w:type="dxa"/>
            <w:noWrap/>
            <w:hideMark/>
          </w:tcPr>
          <w:p w:rsidR="00D12992" w:rsidRPr="00E71D58" w:rsidRDefault="00D12992" w:rsidP="006D1592">
            <w:pPr>
              <w:jc w:val="right"/>
              <w:cnfStyle w:val="000000000000"/>
              <w:rPr>
                <w:rFonts w:ascii="Calibri" w:hAnsi="Calibri"/>
                <w:bCs/>
                <w:sz w:val="20"/>
                <w:szCs w:val="20"/>
              </w:rPr>
            </w:pPr>
            <w:r w:rsidRPr="00E71D58">
              <w:rPr>
                <w:rFonts w:ascii="Calibri" w:hAnsi="Calibri"/>
                <w:bCs/>
                <w:sz w:val="20"/>
                <w:szCs w:val="20"/>
              </w:rPr>
              <w:t>3.5</w:t>
            </w:r>
          </w:p>
        </w:tc>
      </w:tr>
      <w:tr w:rsidR="00D12992" w:rsidRPr="00E71D58" w:rsidTr="00C06475">
        <w:trPr>
          <w:trHeight w:val="57"/>
        </w:trPr>
        <w:tc>
          <w:tcPr>
            <w:cnfStyle w:val="001000000000"/>
            <w:tcW w:w="4942" w:type="dxa"/>
            <w:noWrap/>
            <w:hideMark/>
          </w:tcPr>
          <w:p w:rsidR="00D12992" w:rsidRPr="00E71D58" w:rsidRDefault="00D12992" w:rsidP="00950354">
            <w:pPr>
              <w:rPr>
                <w:rFonts w:ascii="Calibri" w:hAnsi="Calibri" w:cs="Times New Roman"/>
                <w:b w:val="0"/>
                <w:sz w:val="20"/>
                <w:szCs w:val="20"/>
              </w:rPr>
            </w:pPr>
            <w:r w:rsidRPr="00E71D58">
              <w:rPr>
                <w:rFonts w:ascii="Calibri" w:hAnsi="Calibri" w:cs="Times New Roman"/>
                <w:b w:val="0"/>
                <w:sz w:val="20"/>
                <w:szCs w:val="20"/>
              </w:rPr>
              <w:t>Smanjenje koeficijenta zarada 1%</w:t>
            </w:r>
          </w:p>
        </w:tc>
        <w:tc>
          <w:tcPr>
            <w:tcW w:w="769"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2.1</w:t>
            </w:r>
          </w:p>
        </w:tc>
        <w:tc>
          <w:tcPr>
            <w:tcW w:w="785"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2.8</w:t>
            </w:r>
          </w:p>
        </w:tc>
        <w:tc>
          <w:tcPr>
            <w:tcW w:w="785"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-2.1</w:t>
            </w:r>
          </w:p>
        </w:tc>
        <w:tc>
          <w:tcPr>
            <w:tcW w:w="828"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-2.8</w:t>
            </w:r>
          </w:p>
        </w:tc>
        <w:tc>
          <w:tcPr>
            <w:tcW w:w="1235" w:type="dxa"/>
            <w:noWrap/>
            <w:hideMark/>
          </w:tcPr>
          <w:p w:rsidR="00D12992" w:rsidRPr="00E71D58" w:rsidRDefault="00D12992" w:rsidP="006D1592">
            <w:pPr>
              <w:jc w:val="right"/>
              <w:cnfStyle w:val="000000000000"/>
              <w:rPr>
                <w:rFonts w:ascii="Calibri" w:hAnsi="Calibri"/>
                <w:bCs/>
                <w:sz w:val="20"/>
                <w:szCs w:val="20"/>
              </w:rPr>
            </w:pPr>
            <w:r w:rsidRPr="00E71D58">
              <w:rPr>
                <w:rFonts w:ascii="Calibri" w:hAnsi="Calibri"/>
                <w:bCs/>
                <w:sz w:val="20"/>
                <w:szCs w:val="20"/>
              </w:rPr>
              <w:t>0.0</w:t>
            </w:r>
          </w:p>
        </w:tc>
      </w:tr>
      <w:tr w:rsidR="00D12992" w:rsidRPr="00E71D58" w:rsidTr="00C06475">
        <w:trPr>
          <w:trHeight w:val="57"/>
        </w:trPr>
        <w:tc>
          <w:tcPr>
            <w:cnfStyle w:val="001000000000"/>
            <w:tcW w:w="4942" w:type="dxa"/>
            <w:noWrap/>
            <w:hideMark/>
          </w:tcPr>
          <w:p w:rsidR="00D12992" w:rsidRPr="00E71D58" w:rsidRDefault="00D12992" w:rsidP="00950354">
            <w:pPr>
              <w:rPr>
                <w:rFonts w:ascii="Calibri" w:hAnsi="Calibri" w:cs="Times New Roman"/>
                <w:b w:val="0"/>
                <w:sz w:val="20"/>
                <w:szCs w:val="20"/>
              </w:rPr>
            </w:pPr>
            <w:r w:rsidRPr="00E71D58">
              <w:rPr>
                <w:rFonts w:ascii="Calibri" w:hAnsi="Calibri" w:cs="Times New Roman"/>
                <w:b w:val="0"/>
                <w:sz w:val="20"/>
                <w:szCs w:val="20"/>
              </w:rPr>
              <w:t>Smanjenje zarada za ABC za 6% (bruto efekat)</w:t>
            </w:r>
          </w:p>
        </w:tc>
        <w:tc>
          <w:tcPr>
            <w:tcW w:w="769"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0.9</w:t>
            </w:r>
          </w:p>
        </w:tc>
        <w:tc>
          <w:tcPr>
            <w:tcW w:w="785"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0.9</w:t>
            </w:r>
          </w:p>
        </w:tc>
        <w:tc>
          <w:tcPr>
            <w:tcW w:w="785"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 </w:t>
            </w:r>
          </w:p>
        </w:tc>
        <w:tc>
          <w:tcPr>
            <w:tcW w:w="828"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 </w:t>
            </w:r>
          </w:p>
        </w:tc>
        <w:tc>
          <w:tcPr>
            <w:tcW w:w="1235" w:type="dxa"/>
            <w:noWrap/>
            <w:hideMark/>
          </w:tcPr>
          <w:p w:rsidR="00D12992" w:rsidRPr="00E71D58" w:rsidRDefault="00D12992" w:rsidP="006D1592">
            <w:pPr>
              <w:jc w:val="right"/>
              <w:cnfStyle w:val="000000000000"/>
              <w:rPr>
                <w:rFonts w:ascii="Calibri" w:hAnsi="Calibri"/>
                <w:bCs/>
                <w:sz w:val="20"/>
                <w:szCs w:val="20"/>
              </w:rPr>
            </w:pPr>
            <w:r w:rsidRPr="00E71D58">
              <w:rPr>
                <w:rFonts w:ascii="Calibri" w:hAnsi="Calibri"/>
                <w:bCs/>
                <w:sz w:val="20"/>
                <w:szCs w:val="20"/>
              </w:rPr>
              <w:t>1.</w:t>
            </w:r>
            <w:r w:rsidR="006D1592" w:rsidRPr="00E71D58">
              <w:rPr>
                <w:rFonts w:ascii="Calibri" w:hAnsi="Calibri"/>
                <w:bCs/>
                <w:sz w:val="20"/>
                <w:szCs w:val="20"/>
              </w:rPr>
              <w:t>8</w:t>
            </w:r>
          </w:p>
        </w:tc>
      </w:tr>
      <w:tr w:rsidR="00D12992" w:rsidRPr="00E71D58" w:rsidTr="00C06475">
        <w:trPr>
          <w:trHeight w:val="57"/>
        </w:trPr>
        <w:tc>
          <w:tcPr>
            <w:cnfStyle w:val="001000000000"/>
            <w:tcW w:w="4942" w:type="dxa"/>
            <w:noWrap/>
            <w:hideMark/>
          </w:tcPr>
          <w:p w:rsidR="00D12992" w:rsidRPr="00E71D58" w:rsidRDefault="00D12992" w:rsidP="00950354">
            <w:pPr>
              <w:rPr>
                <w:rFonts w:ascii="Calibri" w:hAnsi="Calibri" w:cs="Times New Roman"/>
                <w:b w:val="0"/>
                <w:sz w:val="20"/>
                <w:szCs w:val="20"/>
              </w:rPr>
            </w:pPr>
            <w:r w:rsidRPr="00E71D58">
              <w:rPr>
                <w:rFonts w:ascii="Calibri" w:hAnsi="Calibri" w:cs="Times New Roman"/>
                <w:b w:val="0"/>
                <w:sz w:val="20"/>
                <w:szCs w:val="20"/>
              </w:rPr>
              <w:t xml:space="preserve">Naknade za majke </w:t>
            </w:r>
            <w:r w:rsidR="00E71D58">
              <w:rPr>
                <w:rFonts w:ascii="Calibri" w:hAnsi="Calibri" w:cs="Times New Roman"/>
                <w:b w:val="0"/>
                <w:sz w:val="20"/>
                <w:szCs w:val="20"/>
              </w:rPr>
              <w:t>I paket mjera socijalne zaštite</w:t>
            </w:r>
          </w:p>
        </w:tc>
        <w:tc>
          <w:tcPr>
            <w:tcW w:w="769" w:type="dxa"/>
            <w:noWrap/>
            <w:hideMark/>
          </w:tcPr>
          <w:p w:rsidR="00D12992" w:rsidRPr="00E71D58" w:rsidRDefault="00E71D58" w:rsidP="006D1592">
            <w:pPr>
              <w:jc w:val="right"/>
              <w:cnfStyle w:val="000000000000"/>
              <w:rPr>
                <w:rFonts w:ascii="Calibri" w:hAnsi="Calibri"/>
                <w:sz w:val="20"/>
                <w:szCs w:val="20"/>
              </w:rPr>
            </w:pPr>
            <w:r>
              <w:rPr>
                <w:rFonts w:ascii="Calibri" w:hAnsi="Calibri"/>
                <w:sz w:val="20"/>
                <w:szCs w:val="20"/>
              </w:rPr>
              <w:t>6.0</w:t>
            </w:r>
          </w:p>
        </w:tc>
        <w:tc>
          <w:tcPr>
            <w:tcW w:w="785" w:type="dxa"/>
            <w:noWrap/>
            <w:hideMark/>
          </w:tcPr>
          <w:p w:rsidR="00D12992" w:rsidRPr="00E71D58" w:rsidRDefault="00E71D58" w:rsidP="006D1592">
            <w:pPr>
              <w:jc w:val="right"/>
              <w:cnfStyle w:val="000000000000"/>
              <w:rPr>
                <w:rFonts w:ascii="Calibri" w:hAnsi="Calibri"/>
                <w:sz w:val="20"/>
                <w:szCs w:val="20"/>
              </w:rPr>
            </w:pPr>
            <w:r>
              <w:rPr>
                <w:rFonts w:ascii="Calibri" w:hAnsi="Calibri"/>
                <w:sz w:val="20"/>
                <w:szCs w:val="20"/>
              </w:rPr>
              <w:t>13.5</w:t>
            </w:r>
          </w:p>
        </w:tc>
        <w:tc>
          <w:tcPr>
            <w:tcW w:w="785" w:type="dxa"/>
            <w:noWrap/>
            <w:hideMark/>
          </w:tcPr>
          <w:p w:rsidR="00D12992" w:rsidRPr="00E71D58" w:rsidRDefault="00E71D58" w:rsidP="006D1592">
            <w:pPr>
              <w:jc w:val="right"/>
              <w:cnfStyle w:val="000000000000"/>
              <w:rPr>
                <w:rFonts w:ascii="Calibri" w:hAnsi="Calibri"/>
                <w:sz w:val="20"/>
                <w:szCs w:val="20"/>
              </w:rPr>
            </w:pPr>
            <w:r>
              <w:rPr>
                <w:rFonts w:ascii="Calibri" w:hAnsi="Calibri"/>
                <w:sz w:val="20"/>
                <w:szCs w:val="20"/>
              </w:rPr>
              <w:t>5.7</w:t>
            </w:r>
          </w:p>
        </w:tc>
        <w:tc>
          <w:tcPr>
            <w:tcW w:w="828"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0.0</w:t>
            </w:r>
          </w:p>
        </w:tc>
        <w:tc>
          <w:tcPr>
            <w:tcW w:w="1235" w:type="dxa"/>
            <w:noWrap/>
            <w:hideMark/>
          </w:tcPr>
          <w:p w:rsidR="00D12992" w:rsidRPr="00E71D58" w:rsidRDefault="00E71D58" w:rsidP="006D1592">
            <w:pPr>
              <w:jc w:val="right"/>
              <w:cnfStyle w:val="000000000000"/>
              <w:rPr>
                <w:rFonts w:ascii="Calibri" w:hAnsi="Calibri"/>
                <w:bCs/>
                <w:sz w:val="20"/>
                <w:szCs w:val="20"/>
              </w:rPr>
            </w:pPr>
            <w:r>
              <w:rPr>
                <w:rFonts w:ascii="Calibri" w:hAnsi="Calibri"/>
                <w:bCs/>
                <w:sz w:val="20"/>
                <w:szCs w:val="20"/>
              </w:rPr>
              <w:t>25.2</w:t>
            </w:r>
          </w:p>
        </w:tc>
      </w:tr>
      <w:tr w:rsidR="00D12992" w:rsidRPr="00E71D58" w:rsidTr="00C06475">
        <w:trPr>
          <w:trHeight w:val="57"/>
        </w:trPr>
        <w:tc>
          <w:tcPr>
            <w:cnfStyle w:val="001000000000"/>
            <w:tcW w:w="4942" w:type="dxa"/>
            <w:noWrap/>
            <w:hideMark/>
          </w:tcPr>
          <w:p w:rsidR="00D12992" w:rsidRPr="00E71D58" w:rsidRDefault="00D12992" w:rsidP="00950354">
            <w:pPr>
              <w:rPr>
                <w:rFonts w:ascii="Calibri" w:hAnsi="Calibri" w:cs="Times New Roman"/>
                <w:b w:val="0"/>
                <w:sz w:val="20"/>
                <w:szCs w:val="20"/>
              </w:rPr>
            </w:pPr>
            <w:r w:rsidRPr="00E71D58">
              <w:rPr>
                <w:rFonts w:ascii="Calibri" w:hAnsi="Calibri" w:cs="Times New Roman"/>
                <w:b w:val="0"/>
                <w:sz w:val="20"/>
                <w:szCs w:val="20"/>
              </w:rPr>
              <w:t xml:space="preserve">Smanjenje diskrecione potrošnje </w:t>
            </w:r>
          </w:p>
        </w:tc>
        <w:tc>
          <w:tcPr>
            <w:tcW w:w="769"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0.0</w:t>
            </w:r>
          </w:p>
        </w:tc>
        <w:tc>
          <w:tcPr>
            <w:tcW w:w="785"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4.0</w:t>
            </w:r>
          </w:p>
        </w:tc>
        <w:tc>
          <w:tcPr>
            <w:tcW w:w="785"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4.0</w:t>
            </w:r>
          </w:p>
        </w:tc>
        <w:tc>
          <w:tcPr>
            <w:tcW w:w="828"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3.0</w:t>
            </w:r>
          </w:p>
        </w:tc>
        <w:tc>
          <w:tcPr>
            <w:tcW w:w="1235" w:type="dxa"/>
            <w:noWrap/>
            <w:hideMark/>
          </w:tcPr>
          <w:p w:rsidR="00D12992" w:rsidRPr="00E71D58" w:rsidRDefault="00D12992" w:rsidP="006D1592">
            <w:pPr>
              <w:jc w:val="right"/>
              <w:cnfStyle w:val="000000000000"/>
              <w:rPr>
                <w:rFonts w:ascii="Calibri" w:hAnsi="Calibri"/>
                <w:sz w:val="20"/>
                <w:szCs w:val="20"/>
              </w:rPr>
            </w:pPr>
            <w:r w:rsidRPr="00E71D58">
              <w:rPr>
                <w:rFonts w:ascii="Calibri" w:hAnsi="Calibri"/>
                <w:sz w:val="20"/>
                <w:szCs w:val="20"/>
              </w:rPr>
              <w:t>11.0</w:t>
            </w:r>
          </w:p>
        </w:tc>
      </w:tr>
      <w:tr w:rsidR="006D1592" w:rsidRPr="00E71D58" w:rsidTr="00C06475">
        <w:trPr>
          <w:trHeight w:val="57"/>
        </w:trPr>
        <w:tc>
          <w:tcPr>
            <w:cnfStyle w:val="001000000000"/>
            <w:tcW w:w="4942" w:type="dxa"/>
            <w:noWrap/>
            <w:hideMark/>
          </w:tcPr>
          <w:p w:rsidR="006D1592" w:rsidRPr="00E71D58" w:rsidRDefault="006D1592" w:rsidP="006D1592">
            <w:pPr>
              <w:rPr>
                <w:rFonts w:ascii="Calibri" w:hAnsi="Calibri" w:cs="Times New Roman"/>
                <w:b w:val="0"/>
                <w:sz w:val="20"/>
                <w:szCs w:val="20"/>
              </w:rPr>
            </w:pPr>
            <w:r w:rsidRPr="00E71D58">
              <w:rPr>
                <w:rFonts w:ascii="Calibri" w:hAnsi="Calibri" w:cs="Times New Roman"/>
                <w:sz w:val="20"/>
                <w:szCs w:val="20"/>
              </w:rPr>
              <w:t>II Efekat mjera na rashode</w:t>
            </w:r>
          </w:p>
        </w:tc>
        <w:tc>
          <w:tcPr>
            <w:tcW w:w="769" w:type="dxa"/>
            <w:noWrap/>
            <w:hideMark/>
          </w:tcPr>
          <w:p w:rsidR="006D1592" w:rsidRPr="00E71D58" w:rsidRDefault="00E71D58" w:rsidP="006D1592">
            <w:pPr>
              <w:jc w:val="right"/>
              <w:cnfStyle w:val="000000000000"/>
              <w:rPr>
                <w:rFonts w:ascii="Calibri" w:hAnsi="Calibri"/>
                <w:sz w:val="20"/>
                <w:szCs w:val="20"/>
              </w:rPr>
            </w:pPr>
            <w:r>
              <w:rPr>
                <w:rFonts w:ascii="Calibri" w:eastAsiaTheme="minorHAnsi" w:hAnsi="Calibri" w:cs="Calibri"/>
                <w:bCs/>
                <w:sz w:val="20"/>
                <w:szCs w:val="20"/>
              </w:rPr>
              <w:t>10</w:t>
            </w:r>
            <w:r w:rsidR="006D1592" w:rsidRPr="00E71D58">
              <w:rPr>
                <w:rFonts w:ascii="Calibri" w:eastAsiaTheme="minorHAnsi" w:hAnsi="Calibri" w:cs="Calibri"/>
                <w:bCs/>
                <w:sz w:val="20"/>
                <w:szCs w:val="20"/>
              </w:rPr>
              <w:t>.0</w:t>
            </w:r>
          </w:p>
        </w:tc>
        <w:tc>
          <w:tcPr>
            <w:tcW w:w="785" w:type="dxa"/>
            <w:noWrap/>
            <w:hideMark/>
          </w:tcPr>
          <w:p w:rsidR="006D1592" w:rsidRPr="00E71D58" w:rsidRDefault="00E71D58" w:rsidP="006D1592">
            <w:pPr>
              <w:jc w:val="right"/>
              <w:cnfStyle w:val="000000000000"/>
              <w:rPr>
                <w:rFonts w:ascii="Calibri" w:hAnsi="Calibri"/>
                <w:sz w:val="20"/>
                <w:szCs w:val="20"/>
              </w:rPr>
            </w:pPr>
            <w:r>
              <w:rPr>
                <w:rFonts w:ascii="Calibri" w:hAnsi="Calibri"/>
                <w:sz w:val="20"/>
                <w:szCs w:val="20"/>
              </w:rPr>
              <w:t>22.7</w:t>
            </w:r>
          </w:p>
        </w:tc>
        <w:tc>
          <w:tcPr>
            <w:tcW w:w="785" w:type="dxa"/>
            <w:noWrap/>
            <w:hideMark/>
          </w:tcPr>
          <w:p w:rsidR="006D1592" w:rsidRPr="00E71D58" w:rsidRDefault="00E71D58" w:rsidP="006D1592">
            <w:pPr>
              <w:jc w:val="right"/>
              <w:cnfStyle w:val="000000000000"/>
              <w:rPr>
                <w:rFonts w:ascii="Calibri" w:hAnsi="Calibri"/>
                <w:sz w:val="20"/>
                <w:szCs w:val="20"/>
              </w:rPr>
            </w:pPr>
            <w:r>
              <w:rPr>
                <w:rFonts w:ascii="Calibri" w:hAnsi="Calibri"/>
                <w:sz w:val="20"/>
                <w:szCs w:val="20"/>
              </w:rPr>
              <w:t>8.6</w:t>
            </w:r>
          </w:p>
        </w:tc>
        <w:tc>
          <w:tcPr>
            <w:tcW w:w="828" w:type="dxa"/>
            <w:noWrap/>
            <w:hideMark/>
          </w:tcPr>
          <w:p w:rsidR="006D1592" w:rsidRPr="00E71D58" w:rsidRDefault="00E71D58" w:rsidP="006D1592">
            <w:pPr>
              <w:jc w:val="right"/>
              <w:cnfStyle w:val="000000000000"/>
              <w:rPr>
                <w:rFonts w:ascii="Calibri" w:hAnsi="Calibri"/>
                <w:sz w:val="20"/>
                <w:szCs w:val="20"/>
              </w:rPr>
            </w:pPr>
            <w:r>
              <w:rPr>
                <w:rFonts w:ascii="Calibri" w:hAnsi="Calibri"/>
                <w:sz w:val="20"/>
                <w:szCs w:val="20"/>
              </w:rPr>
              <w:t>0.</w:t>
            </w:r>
            <w:r w:rsidR="006D1592" w:rsidRPr="00E71D58">
              <w:rPr>
                <w:rFonts w:ascii="Calibri" w:hAnsi="Calibri"/>
                <w:sz w:val="20"/>
                <w:szCs w:val="20"/>
              </w:rPr>
              <w:t>2</w:t>
            </w:r>
          </w:p>
        </w:tc>
        <w:tc>
          <w:tcPr>
            <w:tcW w:w="1235" w:type="dxa"/>
            <w:noWrap/>
            <w:hideMark/>
          </w:tcPr>
          <w:p w:rsidR="006D1592" w:rsidRPr="00E71D58" w:rsidRDefault="00E71D58" w:rsidP="006D1592">
            <w:pPr>
              <w:jc w:val="right"/>
              <w:cnfStyle w:val="000000000000"/>
              <w:rPr>
                <w:rFonts w:ascii="Calibri" w:hAnsi="Calibri"/>
                <w:sz w:val="20"/>
                <w:szCs w:val="20"/>
              </w:rPr>
            </w:pPr>
            <w:r>
              <w:rPr>
                <w:rFonts w:ascii="Calibri" w:hAnsi="Calibri"/>
                <w:sz w:val="20"/>
                <w:szCs w:val="20"/>
              </w:rPr>
              <w:t>41.5</w:t>
            </w:r>
          </w:p>
        </w:tc>
      </w:tr>
      <w:tr w:rsidR="00D12992" w:rsidRPr="00E71D58" w:rsidTr="00C06475">
        <w:trPr>
          <w:trHeight w:val="57"/>
        </w:trPr>
        <w:tc>
          <w:tcPr>
            <w:cnfStyle w:val="001000000000"/>
            <w:tcW w:w="4942" w:type="dxa"/>
            <w:noWrap/>
            <w:hideMark/>
          </w:tcPr>
          <w:p w:rsidR="00D12992" w:rsidRPr="00E71D58" w:rsidRDefault="006D1592" w:rsidP="006D1592">
            <w:pPr>
              <w:rPr>
                <w:rFonts w:ascii="Calibri" w:hAnsi="Calibri" w:cs="Times New Roman"/>
                <w:sz w:val="20"/>
                <w:szCs w:val="20"/>
              </w:rPr>
            </w:pPr>
            <w:r w:rsidRPr="00E71D58">
              <w:rPr>
                <w:rFonts w:ascii="Calibri" w:hAnsi="Calibri" w:cs="Times New Roman"/>
                <w:sz w:val="20"/>
                <w:szCs w:val="20"/>
              </w:rPr>
              <w:t xml:space="preserve">III </w:t>
            </w:r>
            <w:r w:rsidR="00D12992" w:rsidRPr="00E71D58">
              <w:rPr>
                <w:rFonts w:ascii="Calibri" w:hAnsi="Calibri" w:cs="Times New Roman"/>
                <w:sz w:val="20"/>
                <w:szCs w:val="20"/>
              </w:rPr>
              <w:t>Nove obaveze</w:t>
            </w:r>
          </w:p>
        </w:tc>
        <w:tc>
          <w:tcPr>
            <w:tcW w:w="769" w:type="dxa"/>
            <w:noWrap/>
            <w:hideMark/>
          </w:tcPr>
          <w:p w:rsidR="00D12992" w:rsidRPr="00E71D58" w:rsidRDefault="00D12992" w:rsidP="006D1592">
            <w:pPr>
              <w:jc w:val="right"/>
              <w:cnfStyle w:val="000000000000"/>
              <w:rPr>
                <w:rFonts w:ascii="Calibri" w:hAnsi="Calibri"/>
                <w:sz w:val="20"/>
                <w:szCs w:val="20"/>
              </w:rPr>
            </w:pPr>
          </w:p>
        </w:tc>
        <w:tc>
          <w:tcPr>
            <w:tcW w:w="785" w:type="dxa"/>
            <w:noWrap/>
            <w:hideMark/>
          </w:tcPr>
          <w:p w:rsidR="00D12992" w:rsidRPr="00E71D58" w:rsidRDefault="00E71D58" w:rsidP="006D1592">
            <w:pPr>
              <w:jc w:val="right"/>
              <w:cnfStyle w:val="000000000000"/>
              <w:rPr>
                <w:rFonts w:ascii="Calibri" w:hAnsi="Calibri"/>
                <w:bCs/>
                <w:sz w:val="20"/>
                <w:szCs w:val="20"/>
              </w:rPr>
            </w:pPr>
            <w:r>
              <w:rPr>
                <w:rFonts w:ascii="Calibri" w:hAnsi="Calibri"/>
                <w:bCs/>
                <w:sz w:val="20"/>
                <w:szCs w:val="20"/>
              </w:rPr>
              <w:t>32.1</w:t>
            </w:r>
          </w:p>
        </w:tc>
        <w:tc>
          <w:tcPr>
            <w:tcW w:w="785" w:type="dxa"/>
            <w:noWrap/>
            <w:hideMark/>
          </w:tcPr>
          <w:p w:rsidR="00D12992" w:rsidRPr="00E71D58" w:rsidRDefault="00D12992" w:rsidP="006D1592">
            <w:pPr>
              <w:jc w:val="right"/>
              <w:cnfStyle w:val="000000000000"/>
              <w:rPr>
                <w:rFonts w:ascii="Calibri" w:hAnsi="Calibri"/>
                <w:bCs/>
                <w:sz w:val="20"/>
                <w:szCs w:val="20"/>
              </w:rPr>
            </w:pPr>
            <w:r w:rsidRPr="00E71D58">
              <w:rPr>
                <w:rFonts w:ascii="Calibri" w:hAnsi="Calibri"/>
                <w:bCs/>
                <w:sz w:val="20"/>
                <w:szCs w:val="20"/>
              </w:rPr>
              <w:t>11.0</w:t>
            </w:r>
          </w:p>
        </w:tc>
        <w:tc>
          <w:tcPr>
            <w:tcW w:w="828" w:type="dxa"/>
            <w:noWrap/>
            <w:hideMark/>
          </w:tcPr>
          <w:p w:rsidR="00D12992" w:rsidRPr="00E71D58" w:rsidRDefault="00D12992" w:rsidP="006D1592">
            <w:pPr>
              <w:jc w:val="right"/>
              <w:cnfStyle w:val="000000000000"/>
              <w:rPr>
                <w:rFonts w:ascii="Calibri" w:hAnsi="Calibri"/>
                <w:bCs/>
                <w:sz w:val="20"/>
                <w:szCs w:val="20"/>
              </w:rPr>
            </w:pPr>
            <w:r w:rsidRPr="00E71D58">
              <w:rPr>
                <w:rFonts w:ascii="Calibri" w:hAnsi="Calibri"/>
                <w:bCs/>
                <w:sz w:val="20"/>
                <w:szCs w:val="20"/>
              </w:rPr>
              <w:t>14.3</w:t>
            </w:r>
          </w:p>
        </w:tc>
        <w:tc>
          <w:tcPr>
            <w:tcW w:w="1235" w:type="dxa"/>
            <w:noWrap/>
            <w:hideMark/>
          </w:tcPr>
          <w:p w:rsidR="00D12992" w:rsidRPr="00E71D58" w:rsidRDefault="00E71D58" w:rsidP="006D1592">
            <w:pPr>
              <w:jc w:val="right"/>
              <w:cnfStyle w:val="000000000000"/>
              <w:rPr>
                <w:rFonts w:ascii="Calibri" w:hAnsi="Calibri"/>
                <w:bCs/>
                <w:sz w:val="20"/>
                <w:szCs w:val="20"/>
              </w:rPr>
            </w:pPr>
            <w:r>
              <w:rPr>
                <w:rFonts w:ascii="Calibri" w:hAnsi="Calibri"/>
                <w:bCs/>
                <w:sz w:val="20"/>
                <w:szCs w:val="20"/>
              </w:rPr>
              <w:t>57.4</w:t>
            </w:r>
          </w:p>
        </w:tc>
      </w:tr>
      <w:tr w:rsidR="00D12992" w:rsidRPr="00E71D58" w:rsidTr="00C06475">
        <w:trPr>
          <w:trHeight w:val="57"/>
        </w:trPr>
        <w:tc>
          <w:tcPr>
            <w:cnfStyle w:val="001000000000"/>
            <w:tcW w:w="4942" w:type="dxa"/>
            <w:noWrap/>
            <w:hideMark/>
          </w:tcPr>
          <w:p w:rsidR="00D12992" w:rsidRPr="00E71D58" w:rsidRDefault="006D1592" w:rsidP="001C1C2D">
            <w:pPr>
              <w:rPr>
                <w:rFonts w:ascii="Calibri" w:hAnsi="Calibri" w:cs="Times New Roman"/>
                <w:sz w:val="20"/>
                <w:szCs w:val="20"/>
              </w:rPr>
            </w:pPr>
            <w:r w:rsidRPr="00E71D58">
              <w:rPr>
                <w:rFonts w:ascii="Calibri" w:hAnsi="Calibri" w:cs="Times New Roman"/>
                <w:sz w:val="20"/>
                <w:szCs w:val="20"/>
              </w:rPr>
              <w:t>IV Ukupni efekti na rashode (II-II</w:t>
            </w:r>
            <w:r w:rsidR="001C1C2D" w:rsidRPr="00E71D58">
              <w:rPr>
                <w:rFonts w:ascii="Calibri" w:hAnsi="Calibri" w:cs="Times New Roman"/>
                <w:sz w:val="20"/>
                <w:szCs w:val="20"/>
              </w:rPr>
              <w:t>I</w:t>
            </w:r>
            <w:r w:rsidRPr="00E71D58">
              <w:rPr>
                <w:rFonts w:ascii="Calibri" w:hAnsi="Calibri" w:cs="Times New Roman"/>
                <w:sz w:val="20"/>
                <w:szCs w:val="20"/>
              </w:rPr>
              <w:t>)</w:t>
            </w:r>
          </w:p>
        </w:tc>
        <w:tc>
          <w:tcPr>
            <w:tcW w:w="769" w:type="dxa"/>
            <w:noWrap/>
            <w:hideMark/>
          </w:tcPr>
          <w:p w:rsidR="00D12992" w:rsidRPr="00E71D58" w:rsidRDefault="00E71D58" w:rsidP="006D1592">
            <w:pPr>
              <w:jc w:val="right"/>
              <w:cnfStyle w:val="000000000000"/>
              <w:rPr>
                <w:rFonts w:ascii="Calibri" w:hAnsi="Calibri"/>
                <w:b/>
                <w:bCs/>
                <w:sz w:val="20"/>
                <w:szCs w:val="20"/>
              </w:rPr>
            </w:pPr>
            <w:r>
              <w:rPr>
                <w:rFonts w:ascii="Calibri" w:eastAsiaTheme="minorHAnsi" w:hAnsi="Calibri" w:cs="Calibri"/>
                <w:b/>
                <w:bCs/>
                <w:sz w:val="20"/>
                <w:szCs w:val="20"/>
              </w:rPr>
              <w:t>10.0</w:t>
            </w:r>
          </w:p>
        </w:tc>
        <w:tc>
          <w:tcPr>
            <w:tcW w:w="785" w:type="dxa"/>
            <w:noWrap/>
            <w:hideMark/>
          </w:tcPr>
          <w:p w:rsidR="00D12992" w:rsidRPr="00E71D58" w:rsidRDefault="00D12992" w:rsidP="00E71D58">
            <w:pPr>
              <w:jc w:val="right"/>
              <w:cnfStyle w:val="000000000000"/>
              <w:rPr>
                <w:rFonts w:ascii="Calibri" w:hAnsi="Calibri"/>
                <w:b/>
                <w:bCs/>
                <w:sz w:val="20"/>
                <w:szCs w:val="20"/>
              </w:rPr>
            </w:pPr>
            <w:r w:rsidRPr="00E71D58">
              <w:rPr>
                <w:rFonts w:ascii="Calibri" w:eastAsiaTheme="minorHAnsi" w:hAnsi="Calibri" w:cs="Calibri"/>
                <w:b/>
                <w:bCs/>
                <w:sz w:val="20"/>
                <w:szCs w:val="20"/>
              </w:rPr>
              <w:t>-9.</w:t>
            </w:r>
            <w:r w:rsidR="00E71D58">
              <w:rPr>
                <w:rFonts w:ascii="Calibri" w:eastAsiaTheme="minorHAnsi" w:hAnsi="Calibri" w:cs="Calibri"/>
                <w:b/>
                <w:bCs/>
                <w:sz w:val="20"/>
                <w:szCs w:val="20"/>
              </w:rPr>
              <w:t>4</w:t>
            </w:r>
          </w:p>
        </w:tc>
        <w:tc>
          <w:tcPr>
            <w:tcW w:w="785" w:type="dxa"/>
            <w:noWrap/>
            <w:hideMark/>
          </w:tcPr>
          <w:p w:rsidR="00D12992" w:rsidRPr="00E71D58" w:rsidRDefault="00E71D58" w:rsidP="006D1592">
            <w:pPr>
              <w:jc w:val="right"/>
              <w:cnfStyle w:val="000000000000"/>
              <w:rPr>
                <w:rFonts w:ascii="Calibri" w:hAnsi="Calibri"/>
                <w:b/>
                <w:bCs/>
                <w:sz w:val="20"/>
                <w:szCs w:val="20"/>
              </w:rPr>
            </w:pPr>
            <w:r>
              <w:rPr>
                <w:rFonts w:ascii="Calibri" w:eastAsiaTheme="minorHAnsi" w:hAnsi="Calibri" w:cs="Calibri"/>
                <w:b/>
                <w:bCs/>
                <w:sz w:val="20"/>
                <w:szCs w:val="20"/>
              </w:rPr>
              <w:t>-2.4</w:t>
            </w:r>
          </w:p>
        </w:tc>
        <w:tc>
          <w:tcPr>
            <w:tcW w:w="828" w:type="dxa"/>
            <w:noWrap/>
            <w:hideMark/>
          </w:tcPr>
          <w:p w:rsidR="00D12992" w:rsidRPr="00E71D58" w:rsidRDefault="00D12992" w:rsidP="006D1592">
            <w:pPr>
              <w:jc w:val="right"/>
              <w:cnfStyle w:val="000000000000"/>
              <w:rPr>
                <w:rFonts w:ascii="Calibri" w:hAnsi="Calibri"/>
                <w:b/>
                <w:bCs/>
                <w:sz w:val="20"/>
                <w:szCs w:val="20"/>
              </w:rPr>
            </w:pPr>
            <w:r w:rsidRPr="00E71D58">
              <w:rPr>
                <w:rFonts w:ascii="Calibri" w:eastAsiaTheme="minorHAnsi" w:hAnsi="Calibri" w:cs="Calibri"/>
                <w:b/>
                <w:bCs/>
                <w:sz w:val="20"/>
                <w:szCs w:val="20"/>
              </w:rPr>
              <w:t>-14.1</w:t>
            </w:r>
          </w:p>
        </w:tc>
        <w:tc>
          <w:tcPr>
            <w:tcW w:w="1235" w:type="dxa"/>
            <w:noWrap/>
            <w:hideMark/>
          </w:tcPr>
          <w:p w:rsidR="00D12992" w:rsidRPr="00E71D58" w:rsidRDefault="00D12992" w:rsidP="006D1592">
            <w:pPr>
              <w:jc w:val="right"/>
              <w:cnfStyle w:val="000000000000"/>
              <w:rPr>
                <w:rFonts w:ascii="Calibri" w:hAnsi="Calibri"/>
                <w:b/>
                <w:bCs/>
                <w:sz w:val="20"/>
                <w:szCs w:val="20"/>
              </w:rPr>
            </w:pPr>
            <w:r w:rsidRPr="00E71D58">
              <w:rPr>
                <w:rFonts w:ascii="Calibri" w:eastAsiaTheme="minorHAnsi" w:hAnsi="Calibri" w:cs="Calibri"/>
                <w:b/>
                <w:bCs/>
                <w:sz w:val="20"/>
                <w:szCs w:val="20"/>
              </w:rPr>
              <w:t>-</w:t>
            </w:r>
            <w:r w:rsidR="005A710F">
              <w:rPr>
                <w:rFonts w:ascii="Calibri" w:eastAsiaTheme="minorHAnsi" w:hAnsi="Calibri" w:cs="Calibri"/>
                <w:b/>
                <w:bCs/>
                <w:sz w:val="20"/>
                <w:szCs w:val="20"/>
              </w:rPr>
              <w:t>15.9</w:t>
            </w:r>
          </w:p>
        </w:tc>
      </w:tr>
      <w:tr w:rsidR="00D12992" w:rsidRPr="003E7C30" w:rsidTr="00C06475">
        <w:trPr>
          <w:trHeight w:val="57"/>
        </w:trPr>
        <w:tc>
          <w:tcPr>
            <w:cnfStyle w:val="001000000000"/>
            <w:tcW w:w="4942" w:type="dxa"/>
            <w:noWrap/>
            <w:hideMark/>
          </w:tcPr>
          <w:p w:rsidR="00D12992" w:rsidRPr="00E71D58" w:rsidRDefault="006D1592" w:rsidP="00950354">
            <w:pPr>
              <w:rPr>
                <w:rFonts w:ascii="Calibri" w:hAnsi="Calibri" w:cs="Times New Roman"/>
                <w:sz w:val="20"/>
                <w:szCs w:val="20"/>
              </w:rPr>
            </w:pPr>
            <w:r w:rsidRPr="00E71D58">
              <w:rPr>
                <w:rFonts w:ascii="Calibri" w:hAnsi="Calibri" w:cs="Times New Roman"/>
                <w:sz w:val="20"/>
                <w:szCs w:val="20"/>
              </w:rPr>
              <w:t>Ukupni efekti konsolidacije</w:t>
            </w:r>
            <w:r w:rsidR="00D12992" w:rsidRPr="00E71D58">
              <w:rPr>
                <w:rFonts w:ascii="Calibri" w:hAnsi="Calibri" w:cs="Times New Roman"/>
                <w:sz w:val="20"/>
                <w:szCs w:val="20"/>
              </w:rPr>
              <w:t xml:space="preserve"> </w:t>
            </w:r>
            <w:r w:rsidRPr="00E71D58">
              <w:rPr>
                <w:rFonts w:ascii="Calibri" w:hAnsi="Calibri" w:cs="Times New Roman"/>
                <w:sz w:val="20"/>
                <w:szCs w:val="20"/>
              </w:rPr>
              <w:t>(I +IV)</w:t>
            </w:r>
          </w:p>
        </w:tc>
        <w:tc>
          <w:tcPr>
            <w:tcW w:w="769" w:type="dxa"/>
            <w:noWrap/>
            <w:hideMark/>
          </w:tcPr>
          <w:p w:rsidR="00D12992" w:rsidRPr="00E71D58" w:rsidRDefault="005A710F" w:rsidP="006D1592">
            <w:pPr>
              <w:jc w:val="right"/>
              <w:cnfStyle w:val="000000000000"/>
              <w:rPr>
                <w:rFonts w:ascii="Calibri" w:hAnsi="Calibri"/>
                <w:b/>
                <w:bCs/>
                <w:sz w:val="20"/>
                <w:szCs w:val="20"/>
              </w:rPr>
            </w:pPr>
            <w:r>
              <w:rPr>
                <w:rFonts w:ascii="Calibri" w:eastAsiaTheme="minorHAnsi" w:hAnsi="Calibri" w:cs="Calibri"/>
                <w:b/>
                <w:bCs/>
                <w:sz w:val="20"/>
                <w:szCs w:val="20"/>
              </w:rPr>
              <w:t>34.2</w:t>
            </w:r>
          </w:p>
        </w:tc>
        <w:tc>
          <w:tcPr>
            <w:tcW w:w="785" w:type="dxa"/>
            <w:noWrap/>
            <w:hideMark/>
          </w:tcPr>
          <w:p w:rsidR="00D12992" w:rsidRPr="00E71D58" w:rsidRDefault="005A710F" w:rsidP="005A710F">
            <w:pPr>
              <w:jc w:val="right"/>
              <w:cnfStyle w:val="000000000000"/>
              <w:rPr>
                <w:rFonts w:ascii="Calibri" w:hAnsi="Calibri"/>
                <w:b/>
                <w:bCs/>
                <w:sz w:val="20"/>
                <w:szCs w:val="20"/>
              </w:rPr>
            </w:pPr>
            <w:r>
              <w:rPr>
                <w:rFonts w:ascii="Calibri" w:eastAsiaTheme="minorHAnsi" w:hAnsi="Calibri" w:cs="Calibri"/>
                <w:b/>
                <w:bCs/>
                <w:sz w:val="20"/>
                <w:szCs w:val="20"/>
              </w:rPr>
              <w:t>68.3</w:t>
            </w:r>
          </w:p>
        </w:tc>
        <w:tc>
          <w:tcPr>
            <w:tcW w:w="785" w:type="dxa"/>
            <w:noWrap/>
            <w:hideMark/>
          </w:tcPr>
          <w:p w:rsidR="00D12992" w:rsidRPr="00E71D58" w:rsidRDefault="005A710F" w:rsidP="006D1592">
            <w:pPr>
              <w:jc w:val="right"/>
              <w:cnfStyle w:val="000000000000"/>
              <w:rPr>
                <w:rFonts w:ascii="Calibri" w:hAnsi="Calibri"/>
                <w:b/>
                <w:bCs/>
                <w:color w:val="auto"/>
                <w:sz w:val="20"/>
                <w:szCs w:val="20"/>
              </w:rPr>
            </w:pPr>
            <w:r>
              <w:rPr>
                <w:rFonts w:ascii="Calibri" w:eastAsiaTheme="minorHAnsi" w:hAnsi="Calibri" w:cs="Calibri"/>
                <w:b/>
                <w:bCs/>
                <w:color w:val="auto"/>
                <w:sz w:val="20"/>
                <w:szCs w:val="20"/>
              </w:rPr>
              <w:t>19.5</w:t>
            </w:r>
          </w:p>
        </w:tc>
        <w:tc>
          <w:tcPr>
            <w:tcW w:w="828" w:type="dxa"/>
            <w:noWrap/>
            <w:hideMark/>
          </w:tcPr>
          <w:p w:rsidR="00D12992" w:rsidRPr="00E71D58" w:rsidRDefault="00D12992" w:rsidP="006D1592">
            <w:pPr>
              <w:jc w:val="right"/>
              <w:cnfStyle w:val="000000000000"/>
              <w:rPr>
                <w:rFonts w:ascii="Calibri" w:hAnsi="Calibri"/>
                <w:b/>
                <w:bCs/>
                <w:color w:val="auto"/>
                <w:sz w:val="20"/>
                <w:szCs w:val="20"/>
              </w:rPr>
            </w:pPr>
            <w:r w:rsidRPr="00E71D58">
              <w:rPr>
                <w:rFonts w:ascii="Calibri" w:eastAsiaTheme="minorHAnsi" w:hAnsi="Calibri" w:cs="Calibri"/>
                <w:b/>
                <w:bCs/>
                <w:color w:val="auto"/>
                <w:sz w:val="20"/>
                <w:szCs w:val="20"/>
              </w:rPr>
              <w:t>-5.</w:t>
            </w:r>
            <w:r w:rsidR="005A710F">
              <w:rPr>
                <w:rFonts w:ascii="Calibri" w:eastAsiaTheme="minorHAnsi" w:hAnsi="Calibri" w:cs="Calibri"/>
                <w:b/>
                <w:bCs/>
                <w:color w:val="auto"/>
                <w:sz w:val="20"/>
                <w:szCs w:val="20"/>
              </w:rPr>
              <w:t>0</w:t>
            </w:r>
          </w:p>
        </w:tc>
        <w:tc>
          <w:tcPr>
            <w:tcW w:w="1235" w:type="dxa"/>
            <w:noWrap/>
            <w:hideMark/>
          </w:tcPr>
          <w:p w:rsidR="00D12992" w:rsidRPr="003E7C30" w:rsidRDefault="006D1592" w:rsidP="006D1592">
            <w:pPr>
              <w:jc w:val="right"/>
              <w:cnfStyle w:val="000000000000"/>
              <w:rPr>
                <w:rFonts w:ascii="Calibri" w:hAnsi="Calibri"/>
                <w:b/>
                <w:bCs/>
                <w:sz w:val="20"/>
                <w:szCs w:val="20"/>
              </w:rPr>
            </w:pPr>
            <w:r w:rsidRPr="00E71D58">
              <w:rPr>
                <w:rFonts w:ascii="Calibri" w:eastAsiaTheme="minorHAnsi" w:hAnsi="Calibri" w:cs="Calibri"/>
                <w:b/>
                <w:bCs/>
                <w:sz w:val="20"/>
                <w:szCs w:val="20"/>
              </w:rPr>
              <w:t>117.0</w:t>
            </w:r>
          </w:p>
        </w:tc>
      </w:tr>
    </w:tbl>
    <w:p w:rsidR="00B50B0D" w:rsidRDefault="00B50B0D" w:rsidP="005A2D78">
      <w:pPr>
        <w:spacing w:line="276" w:lineRule="auto"/>
        <w:rPr>
          <w:rFonts w:asciiTheme="minorHAnsi" w:hAnsiTheme="minorHAnsi" w:cstheme="minorHAnsi"/>
          <w:b/>
          <w:sz w:val="22"/>
          <w:szCs w:val="22"/>
        </w:rPr>
      </w:pPr>
    </w:p>
    <w:p w:rsidR="00D66F8B" w:rsidRPr="000635E1" w:rsidRDefault="003B3A05" w:rsidP="005A2D78">
      <w:pPr>
        <w:spacing w:line="276" w:lineRule="auto"/>
        <w:rPr>
          <w:rFonts w:asciiTheme="minorHAnsi" w:hAnsiTheme="minorHAnsi" w:cstheme="minorHAnsi"/>
          <w:sz w:val="22"/>
          <w:szCs w:val="22"/>
        </w:rPr>
      </w:pPr>
      <w:r w:rsidRPr="0090519E">
        <w:rPr>
          <w:rFonts w:asciiTheme="minorHAnsi" w:hAnsiTheme="minorHAnsi" w:cstheme="minorHAnsi"/>
          <w:sz w:val="22"/>
          <w:szCs w:val="22"/>
        </w:rPr>
        <w:t xml:space="preserve">Prihodi budžeta </w:t>
      </w:r>
      <w:r w:rsidRPr="000635E1">
        <w:rPr>
          <w:rFonts w:asciiTheme="minorHAnsi" w:hAnsiTheme="minorHAnsi" w:cstheme="minorHAnsi"/>
          <w:sz w:val="22"/>
          <w:szCs w:val="22"/>
        </w:rPr>
        <w:t xml:space="preserve">u </w:t>
      </w:r>
      <w:r w:rsidR="0090519E">
        <w:rPr>
          <w:rFonts w:asciiTheme="minorHAnsi" w:hAnsiTheme="minorHAnsi" w:cstheme="minorHAnsi"/>
          <w:sz w:val="22"/>
          <w:szCs w:val="22"/>
        </w:rPr>
        <w:t xml:space="preserve">posmatranom </w:t>
      </w:r>
      <w:r w:rsidRPr="000635E1">
        <w:rPr>
          <w:rFonts w:asciiTheme="minorHAnsi" w:hAnsiTheme="minorHAnsi" w:cstheme="minorHAnsi"/>
          <w:sz w:val="22"/>
          <w:szCs w:val="22"/>
        </w:rPr>
        <w:t xml:space="preserve">periodu </w:t>
      </w:r>
      <w:r w:rsidR="0027063C" w:rsidRPr="000635E1">
        <w:rPr>
          <w:rFonts w:asciiTheme="minorHAnsi" w:hAnsiTheme="minorHAnsi" w:cstheme="minorHAnsi"/>
          <w:sz w:val="22"/>
          <w:szCs w:val="22"/>
        </w:rPr>
        <w:t>kreta</w:t>
      </w:r>
      <w:r w:rsidR="0090519E" w:rsidRPr="000635E1">
        <w:rPr>
          <w:rFonts w:asciiTheme="minorHAnsi" w:hAnsiTheme="minorHAnsi" w:cstheme="minorHAnsi"/>
          <w:sz w:val="22"/>
          <w:szCs w:val="22"/>
        </w:rPr>
        <w:t xml:space="preserve">će se </w:t>
      </w:r>
      <w:r w:rsidR="0027063C" w:rsidRPr="000635E1">
        <w:rPr>
          <w:rFonts w:asciiTheme="minorHAnsi" w:hAnsiTheme="minorHAnsi" w:cstheme="minorHAnsi"/>
          <w:sz w:val="22"/>
          <w:szCs w:val="22"/>
        </w:rPr>
        <w:t>u rasponu od 1.578,</w:t>
      </w:r>
      <w:r w:rsidR="00A60DAF">
        <w:rPr>
          <w:rFonts w:asciiTheme="minorHAnsi" w:hAnsiTheme="minorHAnsi" w:cstheme="minorHAnsi"/>
          <w:sz w:val="22"/>
          <w:szCs w:val="22"/>
        </w:rPr>
        <w:t>3</w:t>
      </w:r>
      <w:r w:rsidR="0027063C" w:rsidRPr="000635E1">
        <w:rPr>
          <w:rFonts w:asciiTheme="minorHAnsi" w:hAnsiTheme="minorHAnsi" w:cstheme="minorHAnsi"/>
          <w:sz w:val="22"/>
          <w:szCs w:val="22"/>
        </w:rPr>
        <w:t xml:space="preserve"> mil.€</w:t>
      </w:r>
      <w:r w:rsidR="0090519E">
        <w:rPr>
          <w:rFonts w:asciiTheme="minorHAnsi" w:hAnsiTheme="minorHAnsi" w:cstheme="minorHAnsi"/>
          <w:sz w:val="22"/>
          <w:szCs w:val="22"/>
        </w:rPr>
        <w:t>, odnosno</w:t>
      </w:r>
      <w:r w:rsidR="0027063C" w:rsidRPr="000635E1">
        <w:rPr>
          <w:rFonts w:asciiTheme="minorHAnsi" w:hAnsiTheme="minorHAnsi" w:cstheme="minorHAnsi"/>
          <w:sz w:val="22"/>
          <w:szCs w:val="22"/>
        </w:rPr>
        <w:t xml:space="preserve"> 39,</w:t>
      </w:r>
      <w:r w:rsidR="00A60DAF">
        <w:rPr>
          <w:rFonts w:asciiTheme="minorHAnsi" w:hAnsiTheme="minorHAnsi" w:cstheme="minorHAnsi"/>
          <w:sz w:val="22"/>
          <w:szCs w:val="22"/>
        </w:rPr>
        <w:t>9</w:t>
      </w:r>
      <w:r w:rsidR="0027063C" w:rsidRPr="000635E1">
        <w:rPr>
          <w:rFonts w:asciiTheme="minorHAnsi" w:hAnsiTheme="minorHAnsi" w:cstheme="minorHAnsi"/>
          <w:sz w:val="22"/>
          <w:szCs w:val="22"/>
        </w:rPr>
        <w:t xml:space="preserve">% BDP-a </w:t>
      </w:r>
      <w:r w:rsidR="0090519E">
        <w:rPr>
          <w:rFonts w:asciiTheme="minorHAnsi" w:hAnsiTheme="minorHAnsi" w:cstheme="minorHAnsi"/>
          <w:sz w:val="22"/>
          <w:szCs w:val="22"/>
        </w:rPr>
        <w:t xml:space="preserve">u </w:t>
      </w:r>
      <w:r w:rsidR="0090519E" w:rsidRPr="000635E1">
        <w:rPr>
          <w:rFonts w:asciiTheme="minorHAnsi" w:hAnsiTheme="minorHAnsi" w:cstheme="minorHAnsi"/>
          <w:sz w:val="22"/>
          <w:szCs w:val="22"/>
        </w:rPr>
        <w:t>2017</w:t>
      </w:r>
      <w:r w:rsidR="0090519E">
        <w:rPr>
          <w:rFonts w:asciiTheme="minorHAnsi" w:hAnsiTheme="minorHAnsi" w:cstheme="minorHAnsi"/>
          <w:sz w:val="22"/>
          <w:szCs w:val="22"/>
        </w:rPr>
        <w:t xml:space="preserve">. </w:t>
      </w:r>
      <w:r w:rsidR="0027063C" w:rsidRPr="000635E1">
        <w:rPr>
          <w:rFonts w:asciiTheme="minorHAnsi" w:hAnsiTheme="minorHAnsi" w:cstheme="minorHAnsi"/>
          <w:sz w:val="22"/>
          <w:szCs w:val="22"/>
        </w:rPr>
        <w:t>do 1.80</w:t>
      </w:r>
      <w:r w:rsidR="00A60DAF">
        <w:rPr>
          <w:rFonts w:asciiTheme="minorHAnsi" w:hAnsiTheme="minorHAnsi" w:cstheme="minorHAnsi"/>
          <w:sz w:val="22"/>
          <w:szCs w:val="22"/>
        </w:rPr>
        <w:t>5</w:t>
      </w:r>
      <w:r w:rsidR="0027063C" w:rsidRPr="000635E1">
        <w:rPr>
          <w:rFonts w:asciiTheme="minorHAnsi" w:hAnsiTheme="minorHAnsi" w:cstheme="minorHAnsi"/>
          <w:sz w:val="22"/>
          <w:szCs w:val="22"/>
        </w:rPr>
        <w:t>,</w:t>
      </w:r>
      <w:r w:rsidR="00A60DAF">
        <w:rPr>
          <w:rFonts w:asciiTheme="minorHAnsi" w:hAnsiTheme="minorHAnsi" w:cstheme="minorHAnsi"/>
          <w:sz w:val="22"/>
          <w:szCs w:val="22"/>
        </w:rPr>
        <w:t>2</w:t>
      </w:r>
      <w:r w:rsidR="0027063C" w:rsidRPr="000635E1">
        <w:rPr>
          <w:rFonts w:asciiTheme="minorHAnsi" w:hAnsiTheme="minorHAnsi" w:cstheme="minorHAnsi"/>
          <w:sz w:val="22"/>
          <w:szCs w:val="22"/>
        </w:rPr>
        <w:t xml:space="preserve"> mil.€</w:t>
      </w:r>
      <w:r w:rsidR="0090519E">
        <w:rPr>
          <w:rFonts w:asciiTheme="minorHAnsi" w:hAnsiTheme="minorHAnsi" w:cstheme="minorHAnsi"/>
          <w:sz w:val="22"/>
          <w:szCs w:val="22"/>
        </w:rPr>
        <w:t>, odnosno</w:t>
      </w:r>
      <w:r w:rsidR="0027063C" w:rsidRPr="000635E1">
        <w:rPr>
          <w:rFonts w:asciiTheme="minorHAnsi" w:hAnsiTheme="minorHAnsi" w:cstheme="minorHAnsi"/>
          <w:sz w:val="22"/>
          <w:szCs w:val="22"/>
        </w:rPr>
        <w:t xml:space="preserve"> 39,8% BDP-a</w:t>
      </w:r>
      <w:r w:rsidR="0090519E">
        <w:rPr>
          <w:rFonts w:asciiTheme="minorHAnsi" w:hAnsiTheme="minorHAnsi" w:cstheme="minorHAnsi"/>
          <w:sz w:val="22"/>
          <w:szCs w:val="22"/>
        </w:rPr>
        <w:t xml:space="preserve"> u </w:t>
      </w:r>
      <w:r w:rsidR="0090519E" w:rsidRPr="000635E1">
        <w:rPr>
          <w:rFonts w:asciiTheme="minorHAnsi" w:hAnsiTheme="minorHAnsi" w:cstheme="minorHAnsi"/>
          <w:sz w:val="22"/>
          <w:szCs w:val="22"/>
        </w:rPr>
        <w:t>2020</w:t>
      </w:r>
      <w:r w:rsidR="0027063C" w:rsidRPr="000635E1">
        <w:rPr>
          <w:rFonts w:asciiTheme="minorHAnsi" w:hAnsiTheme="minorHAnsi" w:cstheme="minorHAnsi"/>
          <w:sz w:val="22"/>
          <w:szCs w:val="22"/>
        </w:rPr>
        <w:t xml:space="preserve">. </w:t>
      </w:r>
      <w:r w:rsidR="0090519E">
        <w:rPr>
          <w:rFonts w:asciiTheme="minorHAnsi" w:hAnsiTheme="minorHAnsi" w:cstheme="minorHAnsi"/>
          <w:sz w:val="22"/>
          <w:szCs w:val="22"/>
        </w:rPr>
        <w:t>godini. Pri tome, n</w:t>
      </w:r>
      <w:r w:rsidR="0027063C" w:rsidRPr="000635E1">
        <w:rPr>
          <w:rFonts w:asciiTheme="minorHAnsi" w:hAnsiTheme="minorHAnsi" w:cstheme="minorHAnsi"/>
          <w:sz w:val="22"/>
          <w:szCs w:val="22"/>
        </w:rPr>
        <w:t xml:space="preserve">ajveća </w:t>
      </w:r>
      <w:r w:rsidR="0090519E">
        <w:rPr>
          <w:rFonts w:asciiTheme="minorHAnsi" w:hAnsiTheme="minorHAnsi" w:cstheme="minorHAnsi"/>
          <w:sz w:val="22"/>
          <w:szCs w:val="22"/>
        </w:rPr>
        <w:t>razlika u projekciji prihoda u odnosu na jesenje projekcije je</w:t>
      </w:r>
      <w:r w:rsidR="0027063C" w:rsidRPr="000635E1">
        <w:rPr>
          <w:rFonts w:asciiTheme="minorHAnsi" w:hAnsiTheme="minorHAnsi" w:cstheme="minorHAnsi"/>
          <w:sz w:val="22"/>
          <w:szCs w:val="22"/>
        </w:rPr>
        <w:t xml:space="preserve"> kod </w:t>
      </w:r>
      <w:r w:rsidR="0090519E">
        <w:rPr>
          <w:rFonts w:asciiTheme="minorHAnsi" w:hAnsiTheme="minorHAnsi" w:cstheme="minorHAnsi"/>
          <w:sz w:val="22"/>
          <w:szCs w:val="22"/>
        </w:rPr>
        <w:t xml:space="preserve">prihoda po osnovu </w:t>
      </w:r>
      <w:r w:rsidR="008F3E71" w:rsidRPr="000635E1">
        <w:rPr>
          <w:rFonts w:asciiTheme="minorHAnsi" w:hAnsiTheme="minorHAnsi" w:cstheme="minorHAnsi"/>
          <w:sz w:val="22"/>
          <w:szCs w:val="22"/>
        </w:rPr>
        <w:t>PDV-a</w:t>
      </w:r>
      <w:r w:rsidR="0090519E">
        <w:rPr>
          <w:rFonts w:asciiTheme="minorHAnsi" w:hAnsiTheme="minorHAnsi" w:cstheme="minorHAnsi"/>
          <w:sz w:val="22"/>
          <w:szCs w:val="22"/>
        </w:rPr>
        <w:t xml:space="preserve"> koji će, u periodu 2017-2020, biti veći za </w:t>
      </w:r>
      <w:r w:rsidR="00A60DAF">
        <w:rPr>
          <w:rFonts w:asciiTheme="minorHAnsi" w:hAnsiTheme="minorHAnsi" w:cstheme="minorHAnsi"/>
          <w:sz w:val="22"/>
          <w:szCs w:val="22"/>
        </w:rPr>
        <w:t>9,9</w:t>
      </w:r>
      <w:r w:rsidR="008F3E71" w:rsidRPr="000635E1">
        <w:rPr>
          <w:rFonts w:asciiTheme="minorHAnsi" w:hAnsiTheme="minorHAnsi" w:cstheme="minorHAnsi"/>
          <w:sz w:val="22"/>
          <w:szCs w:val="22"/>
        </w:rPr>
        <w:t xml:space="preserve"> mil.€</w:t>
      </w:r>
      <w:r w:rsidR="0090519E">
        <w:rPr>
          <w:rFonts w:asciiTheme="minorHAnsi" w:hAnsiTheme="minorHAnsi" w:cstheme="minorHAnsi"/>
          <w:sz w:val="22"/>
          <w:szCs w:val="22"/>
        </w:rPr>
        <w:t>,</w:t>
      </w:r>
      <w:r w:rsidR="008F3E71" w:rsidRPr="000635E1">
        <w:rPr>
          <w:rFonts w:asciiTheme="minorHAnsi" w:hAnsiTheme="minorHAnsi" w:cstheme="minorHAnsi"/>
          <w:sz w:val="22"/>
          <w:szCs w:val="22"/>
        </w:rPr>
        <w:t xml:space="preserve"> 5</w:t>
      </w:r>
      <w:r w:rsidR="00A60DAF">
        <w:rPr>
          <w:rFonts w:asciiTheme="minorHAnsi" w:hAnsiTheme="minorHAnsi" w:cstheme="minorHAnsi"/>
          <w:sz w:val="22"/>
          <w:szCs w:val="22"/>
        </w:rPr>
        <w:t>7,9</w:t>
      </w:r>
      <w:r w:rsidR="008F3E71" w:rsidRPr="000635E1">
        <w:rPr>
          <w:rFonts w:asciiTheme="minorHAnsi" w:hAnsiTheme="minorHAnsi" w:cstheme="minorHAnsi"/>
          <w:sz w:val="22"/>
          <w:szCs w:val="22"/>
        </w:rPr>
        <w:t xml:space="preserve"> mil.€, </w:t>
      </w:r>
      <w:r w:rsidR="0027063C" w:rsidRPr="000635E1">
        <w:rPr>
          <w:rFonts w:asciiTheme="minorHAnsi" w:hAnsiTheme="minorHAnsi" w:cstheme="minorHAnsi"/>
          <w:sz w:val="22"/>
          <w:szCs w:val="22"/>
        </w:rPr>
        <w:t>63,</w:t>
      </w:r>
      <w:r w:rsidR="00A60DAF">
        <w:rPr>
          <w:rFonts w:asciiTheme="minorHAnsi" w:hAnsiTheme="minorHAnsi" w:cstheme="minorHAnsi"/>
          <w:sz w:val="22"/>
          <w:szCs w:val="22"/>
        </w:rPr>
        <w:t>6 mil.€ i 67,0</w:t>
      </w:r>
      <w:r w:rsidR="0027063C" w:rsidRPr="000635E1">
        <w:rPr>
          <w:rFonts w:asciiTheme="minorHAnsi" w:hAnsiTheme="minorHAnsi" w:cstheme="minorHAnsi"/>
          <w:sz w:val="22"/>
          <w:szCs w:val="22"/>
        </w:rPr>
        <w:t xml:space="preserve"> mil.€</w:t>
      </w:r>
      <w:r w:rsidR="0090519E">
        <w:rPr>
          <w:rFonts w:asciiTheme="minorHAnsi" w:hAnsiTheme="minorHAnsi" w:cstheme="minorHAnsi"/>
          <w:sz w:val="22"/>
          <w:szCs w:val="22"/>
        </w:rPr>
        <w:t>, respektivno. Pri tome, povećanje ove kategorije prihoda rezultat je</w:t>
      </w:r>
      <w:r w:rsidR="0027063C" w:rsidRPr="000635E1">
        <w:rPr>
          <w:rFonts w:asciiTheme="minorHAnsi" w:hAnsiTheme="minorHAnsi" w:cstheme="minorHAnsi"/>
          <w:sz w:val="22"/>
          <w:szCs w:val="22"/>
        </w:rPr>
        <w:t xml:space="preserve"> povećanj</w:t>
      </w:r>
      <w:r w:rsidR="0090519E">
        <w:rPr>
          <w:rFonts w:asciiTheme="minorHAnsi" w:hAnsiTheme="minorHAnsi" w:cstheme="minorHAnsi"/>
          <w:sz w:val="22"/>
          <w:szCs w:val="22"/>
        </w:rPr>
        <w:t>a</w:t>
      </w:r>
      <w:r w:rsidR="0027063C" w:rsidRPr="000635E1">
        <w:rPr>
          <w:rFonts w:asciiTheme="minorHAnsi" w:hAnsiTheme="minorHAnsi" w:cstheme="minorHAnsi"/>
          <w:sz w:val="22"/>
          <w:szCs w:val="22"/>
        </w:rPr>
        <w:t xml:space="preserve"> stope PDV-a za 2 p.p, povećanj</w:t>
      </w:r>
      <w:r w:rsidR="0090519E">
        <w:rPr>
          <w:rFonts w:asciiTheme="minorHAnsi" w:hAnsiTheme="minorHAnsi" w:cstheme="minorHAnsi"/>
          <w:sz w:val="22"/>
          <w:szCs w:val="22"/>
        </w:rPr>
        <w:t>a</w:t>
      </w:r>
      <w:r w:rsidR="0027063C" w:rsidRPr="000635E1">
        <w:rPr>
          <w:rFonts w:asciiTheme="minorHAnsi" w:hAnsiTheme="minorHAnsi" w:cstheme="minorHAnsi"/>
          <w:sz w:val="22"/>
          <w:szCs w:val="22"/>
        </w:rPr>
        <w:t xml:space="preserve"> akciza koj</w:t>
      </w:r>
      <w:r w:rsidR="0090519E">
        <w:rPr>
          <w:rFonts w:asciiTheme="minorHAnsi" w:hAnsiTheme="minorHAnsi" w:cstheme="minorHAnsi"/>
          <w:sz w:val="22"/>
          <w:szCs w:val="22"/>
        </w:rPr>
        <w:t>ima se povećava osnovica</w:t>
      </w:r>
      <w:r w:rsidR="0027063C" w:rsidRPr="000635E1">
        <w:rPr>
          <w:rFonts w:asciiTheme="minorHAnsi" w:hAnsiTheme="minorHAnsi" w:cstheme="minorHAnsi"/>
          <w:sz w:val="22"/>
          <w:szCs w:val="22"/>
        </w:rPr>
        <w:t xml:space="preserve"> za obračun PDV-a, kao i </w:t>
      </w:r>
      <w:r w:rsidR="0090519E">
        <w:rPr>
          <w:rFonts w:asciiTheme="minorHAnsi" w:hAnsiTheme="minorHAnsi" w:cstheme="minorHAnsi"/>
          <w:sz w:val="22"/>
          <w:szCs w:val="22"/>
        </w:rPr>
        <w:t>bolje</w:t>
      </w:r>
      <w:r w:rsidR="0027063C" w:rsidRPr="000635E1">
        <w:rPr>
          <w:rFonts w:asciiTheme="minorHAnsi" w:hAnsiTheme="minorHAnsi" w:cstheme="minorHAnsi"/>
          <w:sz w:val="22"/>
          <w:szCs w:val="22"/>
        </w:rPr>
        <w:t xml:space="preserve"> naplate zaostalog poreskog duga</w:t>
      </w:r>
      <w:r w:rsidR="00D00F17">
        <w:rPr>
          <w:rStyle w:val="FootnoteReference"/>
          <w:rFonts w:asciiTheme="minorHAnsi" w:hAnsiTheme="minorHAnsi" w:cstheme="minorHAnsi"/>
          <w:sz w:val="22"/>
          <w:szCs w:val="22"/>
        </w:rPr>
        <w:footnoteReference w:id="25"/>
      </w:r>
      <w:r w:rsidR="0027063C" w:rsidRPr="000635E1">
        <w:rPr>
          <w:rFonts w:asciiTheme="minorHAnsi" w:hAnsiTheme="minorHAnsi" w:cstheme="minorHAnsi"/>
          <w:sz w:val="22"/>
          <w:szCs w:val="22"/>
        </w:rPr>
        <w:t xml:space="preserve">. </w:t>
      </w:r>
      <w:r w:rsidR="0090519E">
        <w:rPr>
          <w:rFonts w:asciiTheme="minorHAnsi" w:hAnsiTheme="minorHAnsi" w:cstheme="minorHAnsi"/>
          <w:sz w:val="22"/>
          <w:szCs w:val="22"/>
        </w:rPr>
        <w:t>Istovremeno</w:t>
      </w:r>
      <w:r w:rsidR="008F3E71" w:rsidRPr="000635E1">
        <w:rPr>
          <w:rFonts w:asciiTheme="minorHAnsi" w:hAnsiTheme="minorHAnsi" w:cstheme="minorHAnsi"/>
          <w:sz w:val="22"/>
          <w:szCs w:val="22"/>
        </w:rPr>
        <w:t xml:space="preserve">, </w:t>
      </w:r>
      <w:r w:rsidR="0090519E">
        <w:rPr>
          <w:rFonts w:asciiTheme="minorHAnsi" w:hAnsiTheme="minorHAnsi" w:cstheme="minorHAnsi"/>
          <w:sz w:val="22"/>
          <w:szCs w:val="22"/>
        </w:rPr>
        <w:t>povećaće se i prihodi po osnovu</w:t>
      </w:r>
      <w:r w:rsidR="00A60DAF">
        <w:rPr>
          <w:rFonts w:asciiTheme="minorHAnsi" w:hAnsiTheme="minorHAnsi" w:cstheme="minorHAnsi"/>
          <w:sz w:val="22"/>
          <w:szCs w:val="22"/>
        </w:rPr>
        <w:t xml:space="preserve"> akciza za 4,9 mil.€, 30,3 mil.€, 50,7 mil.€ i 58,7</w:t>
      </w:r>
      <w:r w:rsidR="008F3E71" w:rsidRPr="000635E1">
        <w:rPr>
          <w:rFonts w:asciiTheme="minorHAnsi" w:hAnsiTheme="minorHAnsi" w:cstheme="minorHAnsi"/>
          <w:sz w:val="22"/>
          <w:szCs w:val="22"/>
        </w:rPr>
        <w:t xml:space="preserve"> mil.€</w:t>
      </w:r>
      <w:r w:rsidR="0090519E">
        <w:rPr>
          <w:rFonts w:asciiTheme="minorHAnsi" w:hAnsiTheme="minorHAnsi" w:cstheme="minorHAnsi"/>
          <w:sz w:val="22"/>
          <w:szCs w:val="22"/>
        </w:rPr>
        <w:t>, respektivno, zbog promjene dinamike usaglašavanja akcizne politike sa standardima EU</w:t>
      </w:r>
      <w:r w:rsidR="008F3E71" w:rsidRPr="000635E1">
        <w:rPr>
          <w:rFonts w:asciiTheme="minorHAnsi" w:hAnsiTheme="minorHAnsi" w:cstheme="minorHAnsi"/>
          <w:sz w:val="22"/>
          <w:szCs w:val="22"/>
        </w:rPr>
        <w:t xml:space="preserve">. </w:t>
      </w:r>
      <w:r w:rsidR="0090519E">
        <w:rPr>
          <w:rFonts w:asciiTheme="minorHAnsi" w:hAnsiTheme="minorHAnsi" w:cstheme="minorHAnsi"/>
          <w:sz w:val="22"/>
          <w:szCs w:val="22"/>
        </w:rPr>
        <w:t xml:space="preserve">Takođe, doći će do povećanja prihoda po osnovu </w:t>
      </w:r>
      <w:r w:rsidR="008F3E71" w:rsidRPr="000635E1">
        <w:rPr>
          <w:rFonts w:asciiTheme="minorHAnsi" w:hAnsiTheme="minorHAnsi" w:cstheme="minorHAnsi"/>
          <w:sz w:val="22"/>
          <w:szCs w:val="22"/>
        </w:rPr>
        <w:t>poreza i doprinosa na zarade</w:t>
      </w:r>
      <w:r w:rsidR="0090519E">
        <w:rPr>
          <w:rFonts w:asciiTheme="minorHAnsi" w:hAnsiTheme="minorHAnsi" w:cstheme="minorHAnsi"/>
          <w:sz w:val="22"/>
          <w:szCs w:val="22"/>
        </w:rPr>
        <w:t>, kroz</w:t>
      </w:r>
      <w:r w:rsidR="008F3E71" w:rsidRPr="000635E1">
        <w:rPr>
          <w:rFonts w:asciiTheme="minorHAnsi" w:hAnsiTheme="minorHAnsi" w:cstheme="minorHAnsi"/>
          <w:sz w:val="22"/>
          <w:szCs w:val="22"/>
        </w:rPr>
        <w:t xml:space="preserve"> naplat</w:t>
      </w:r>
      <w:r w:rsidR="0090519E">
        <w:rPr>
          <w:rFonts w:asciiTheme="minorHAnsi" w:hAnsiTheme="minorHAnsi" w:cstheme="minorHAnsi"/>
          <w:sz w:val="22"/>
          <w:szCs w:val="22"/>
        </w:rPr>
        <w:t>u</w:t>
      </w:r>
      <w:r w:rsidR="008F3E71" w:rsidRPr="000635E1">
        <w:rPr>
          <w:rFonts w:asciiTheme="minorHAnsi" w:hAnsiTheme="minorHAnsi" w:cstheme="minorHAnsi"/>
          <w:sz w:val="22"/>
          <w:szCs w:val="22"/>
        </w:rPr>
        <w:t xml:space="preserve"> </w:t>
      </w:r>
      <w:r w:rsidR="0090519E">
        <w:rPr>
          <w:rFonts w:asciiTheme="minorHAnsi" w:hAnsiTheme="minorHAnsi" w:cstheme="minorHAnsi"/>
          <w:sz w:val="22"/>
          <w:szCs w:val="22"/>
        </w:rPr>
        <w:t xml:space="preserve">zaostalog </w:t>
      </w:r>
      <w:r w:rsidR="008F3E71" w:rsidRPr="000635E1">
        <w:rPr>
          <w:rFonts w:asciiTheme="minorHAnsi" w:hAnsiTheme="minorHAnsi" w:cstheme="minorHAnsi"/>
          <w:sz w:val="22"/>
          <w:szCs w:val="22"/>
        </w:rPr>
        <w:t>poreskog duga</w:t>
      </w:r>
      <w:r w:rsidR="003536C9">
        <w:rPr>
          <w:rFonts w:asciiTheme="minorHAnsi" w:hAnsiTheme="minorHAnsi" w:cstheme="minorHAnsi"/>
          <w:sz w:val="22"/>
          <w:szCs w:val="22"/>
        </w:rPr>
        <w:t xml:space="preserve"> i jačanje poreske discipline</w:t>
      </w:r>
      <w:r w:rsidR="008F3E71" w:rsidRPr="000635E1">
        <w:rPr>
          <w:rFonts w:asciiTheme="minorHAnsi" w:hAnsiTheme="minorHAnsi" w:cstheme="minorHAnsi"/>
          <w:sz w:val="22"/>
          <w:szCs w:val="22"/>
        </w:rPr>
        <w:t xml:space="preserve">. </w:t>
      </w:r>
    </w:p>
    <w:p w:rsidR="005A2D78" w:rsidRPr="00C06475" w:rsidRDefault="005A2D78" w:rsidP="005A2D78">
      <w:pPr>
        <w:spacing w:line="276" w:lineRule="auto"/>
        <w:rPr>
          <w:rFonts w:asciiTheme="minorHAnsi" w:hAnsiTheme="minorHAnsi" w:cstheme="minorHAnsi"/>
          <w:sz w:val="20"/>
          <w:szCs w:val="20"/>
        </w:rPr>
      </w:pPr>
    </w:p>
    <w:p w:rsidR="00C06475" w:rsidRPr="00071A61" w:rsidRDefault="00C06475" w:rsidP="00C06475">
      <w:pPr>
        <w:pStyle w:val="Caption"/>
        <w:keepNext/>
        <w:jc w:val="center"/>
        <w:rPr>
          <w:sz w:val="20"/>
          <w:szCs w:val="20"/>
          <w:lang w:val="de-DE"/>
        </w:rPr>
      </w:pPr>
      <w:r w:rsidRPr="00071A61">
        <w:rPr>
          <w:sz w:val="20"/>
          <w:szCs w:val="20"/>
          <w:lang w:val="de-DE"/>
        </w:rPr>
        <w:t xml:space="preserve">Grafik </w:t>
      </w:r>
      <w:r w:rsidR="000D71A3" w:rsidRPr="00C06475">
        <w:rPr>
          <w:sz w:val="20"/>
          <w:szCs w:val="20"/>
        </w:rPr>
        <w:fldChar w:fldCharType="begin"/>
      </w:r>
      <w:r w:rsidRPr="00071A61">
        <w:rPr>
          <w:sz w:val="20"/>
          <w:szCs w:val="20"/>
          <w:lang w:val="de-DE"/>
        </w:rPr>
        <w:instrText xml:space="preserve"> SEQ Grafik \* ARABIC </w:instrText>
      </w:r>
      <w:r w:rsidR="000D71A3" w:rsidRPr="00C06475">
        <w:rPr>
          <w:sz w:val="20"/>
          <w:szCs w:val="20"/>
        </w:rPr>
        <w:fldChar w:fldCharType="separate"/>
      </w:r>
      <w:r w:rsidR="002D5E45">
        <w:rPr>
          <w:noProof/>
          <w:sz w:val="20"/>
          <w:szCs w:val="20"/>
          <w:lang w:val="de-DE"/>
        </w:rPr>
        <w:t>1</w:t>
      </w:r>
      <w:r w:rsidR="000D71A3" w:rsidRPr="00C06475">
        <w:rPr>
          <w:sz w:val="20"/>
          <w:szCs w:val="20"/>
        </w:rPr>
        <w:fldChar w:fldCharType="end"/>
      </w:r>
      <w:r w:rsidRPr="00071A61">
        <w:rPr>
          <w:sz w:val="20"/>
          <w:szCs w:val="20"/>
          <w:lang w:val="de-DE"/>
        </w:rPr>
        <w:t xml:space="preserve"> Kretanje prihoda budžeta</w:t>
      </w:r>
      <w:r w:rsidR="00A10829">
        <w:rPr>
          <w:sz w:val="20"/>
          <w:szCs w:val="20"/>
          <w:lang w:val="de-DE"/>
        </w:rPr>
        <w:t xml:space="preserve"> </w:t>
      </w:r>
      <w:r w:rsidR="00E03388">
        <w:rPr>
          <w:sz w:val="20"/>
          <w:szCs w:val="20"/>
          <w:lang w:val="de-DE"/>
        </w:rPr>
        <w:t>prije i nakon uvoenja dodatnih mjera fisklane konsolidacije</w:t>
      </w:r>
      <w:r w:rsidRPr="00071A61">
        <w:rPr>
          <w:sz w:val="20"/>
          <w:szCs w:val="20"/>
          <w:lang w:val="de-DE"/>
        </w:rPr>
        <w:t xml:space="preserve"> (u mil.€)</w:t>
      </w:r>
    </w:p>
    <w:p w:rsidR="00DA5465" w:rsidRPr="000635E1" w:rsidRDefault="00DA5465" w:rsidP="00BC309B">
      <w:pPr>
        <w:spacing w:line="276" w:lineRule="auto"/>
        <w:jc w:val="center"/>
        <w:rPr>
          <w:rFonts w:asciiTheme="minorHAnsi" w:hAnsiTheme="minorHAnsi" w:cstheme="minorHAnsi"/>
          <w:sz w:val="22"/>
          <w:szCs w:val="22"/>
        </w:rPr>
      </w:pPr>
      <w:r w:rsidRPr="000635E1">
        <w:rPr>
          <w:rFonts w:asciiTheme="minorHAnsi" w:hAnsiTheme="minorHAnsi" w:cstheme="minorHAnsi"/>
          <w:noProof/>
          <w:sz w:val="22"/>
          <w:szCs w:val="22"/>
          <w:lang w:val="en-US"/>
        </w:rPr>
        <w:drawing>
          <wp:inline distT="0" distB="0" distL="0" distR="0">
            <wp:extent cx="4986780" cy="235648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71D58" w:rsidRPr="000635E1" w:rsidRDefault="00E71D58" w:rsidP="00E71D58">
      <w:pPr>
        <w:spacing w:line="276" w:lineRule="auto"/>
        <w:rPr>
          <w:rFonts w:asciiTheme="minorHAnsi" w:hAnsiTheme="minorHAnsi" w:cstheme="minorHAnsi"/>
          <w:sz w:val="22"/>
          <w:szCs w:val="22"/>
        </w:rPr>
      </w:pPr>
      <w:r w:rsidRPr="004E0409">
        <w:rPr>
          <w:rFonts w:asciiTheme="minorHAnsi" w:hAnsiTheme="minorHAnsi" w:cstheme="minorHAnsi"/>
          <w:sz w:val="22"/>
          <w:szCs w:val="22"/>
        </w:rPr>
        <w:t>Izdaci budžeta, u periodu 2017 – 2020. godine, najvećim dijelom su opredijeljeni planiranom dinamikom realizacije projekta izgradnje Autoputa Bar – Boljare, odnosno dinamikom izdvajanja sredstava za te namjene. U skladu sa tim, ukupni izdaci budžeta planirani Zakonom o budžetu za 2017. godinu, u iznosu od 1.785,37 mil. € ili 45,4%BDP, su manji i procjenjuju se na 1.775,40 mil.€, odnosno 44,</w:t>
      </w:r>
      <w:r w:rsidR="002B6D10" w:rsidRPr="004E0409">
        <w:rPr>
          <w:rFonts w:asciiTheme="minorHAnsi" w:hAnsiTheme="minorHAnsi" w:cstheme="minorHAnsi"/>
          <w:sz w:val="22"/>
          <w:szCs w:val="22"/>
        </w:rPr>
        <w:t>9</w:t>
      </w:r>
      <w:r w:rsidRPr="004E0409">
        <w:rPr>
          <w:rFonts w:asciiTheme="minorHAnsi" w:hAnsiTheme="minorHAnsi" w:cstheme="minorHAnsi"/>
          <w:sz w:val="22"/>
          <w:szCs w:val="22"/>
        </w:rPr>
        <w:t>% BDP-a. U periodu od 2018. do 2020. godine, ukupni izdaci se smanjuju, kao i njihovo učešće u BDP-u i kreću se od 1.811,23 mil. €, odnosno 43,2% BDP u 2018. do 1.602,47 mil. €, odnosno 35,</w:t>
      </w:r>
      <w:r w:rsidR="002B6D10" w:rsidRPr="004E0409">
        <w:rPr>
          <w:rFonts w:asciiTheme="minorHAnsi" w:hAnsiTheme="minorHAnsi" w:cstheme="minorHAnsi"/>
          <w:sz w:val="22"/>
          <w:szCs w:val="22"/>
        </w:rPr>
        <w:t>3</w:t>
      </w:r>
      <w:r w:rsidRPr="004E0409">
        <w:rPr>
          <w:rFonts w:asciiTheme="minorHAnsi" w:hAnsiTheme="minorHAnsi" w:cstheme="minorHAnsi"/>
          <w:sz w:val="22"/>
          <w:szCs w:val="22"/>
        </w:rPr>
        <w:t>%BDP-a u 2020. godini.</w:t>
      </w:r>
      <w:r w:rsidRPr="000635E1">
        <w:rPr>
          <w:rFonts w:asciiTheme="minorHAnsi" w:hAnsiTheme="minorHAnsi" w:cstheme="minorHAnsi"/>
          <w:sz w:val="22"/>
          <w:szCs w:val="22"/>
        </w:rPr>
        <w:t xml:space="preserve"> </w:t>
      </w:r>
    </w:p>
    <w:p w:rsidR="00BC309B" w:rsidRPr="000635E1" w:rsidRDefault="00BC309B" w:rsidP="00657105">
      <w:pPr>
        <w:spacing w:line="276" w:lineRule="auto"/>
        <w:rPr>
          <w:rFonts w:asciiTheme="minorHAnsi" w:hAnsiTheme="minorHAnsi" w:cstheme="minorHAnsi"/>
          <w:sz w:val="22"/>
          <w:szCs w:val="22"/>
        </w:rPr>
      </w:pPr>
    </w:p>
    <w:p w:rsidR="00C06475" w:rsidRPr="00071A61" w:rsidRDefault="00C06475" w:rsidP="00C06475">
      <w:pPr>
        <w:pStyle w:val="Caption"/>
        <w:keepNext/>
        <w:jc w:val="center"/>
        <w:rPr>
          <w:sz w:val="20"/>
          <w:szCs w:val="20"/>
          <w:lang w:val="sr-Latn-CS"/>
        </w:rPr>
      </w:pPr>
      <w:r w:rsidRPr="00C06475">
        <w:rPr>
          <w:sz w:val="20"/>
          <w:szCs w:val="20"/>
        </w:rPr>
        <w:t>Grafik</w:t>
      </w:r>
      <w:r w:rsidRPr="00071A61">
        <w:rPr>
          <w:sz w:val="20"/>
          <w:szCs w:val="20"/>
          <w:lang w:val="sr-Latn-CS"/>
        </w:rPr>
        <w:t xml:space="preserve"> </w:t>
      </w:r>
      <w:r w:rsidR="000D71A3" w:rsidRPr="00C06475">
        <w:rPr>
          <w:sz w:val="20"/>
          <w:szCs w:val="20"/>
        </w:rPr>
        <w:fldChar w:fldCharType="begin"/>
      </w:r>
      <w:r w:rsidRPr="00071A61">
        <w:rPr>
          <w:sz w:val="20"/>
          <w:szCs w:val="20"/>
          <w:lang w:val="sr-Latn-CS"/>
        </w:rPr>
        <w:instrText xml:space="preserve"> </w:instrText>
      </w:r>
      <w:r w:rsidRPr="00C06475">
        <w:rPr>
          <w:sz w:val="20"/>
          <w:szCs w:val="20"/>
        </w:rPr>
        <w:instrText>SEQ</w:instrText>
      </w:r>
      <w:r w:rsidRPr="00071A61">
        <w:rPr>
          <w:sz w:val="20"/>
          <w:szCs w:val="20"/>
          <w:lang w:val="sr-Latn-CS"/>
        </w:rPr>
        <w:instrText xml:space="preserve"> </w:instrText>
      </w:r>
      <w:r w:rsidRPr="00C06475">
        <w:rPr>
          <w:sz w:val="20"/>
          <w:szCs w:val="20"/>
        </w:rPr>
        <w:instrText>Grafik</w:instrText>
      </w:r>
      <w:r w:rsidRPr="00071A61">
        <w:rPr>
          <w:sz w:val="20"/>
          <w:szCs w:val="20"/>
          <w:lang w:val="sr-Latn-CS"/>
        </w:rPr>
        <w:instrText xml:space="preserve"> \* </w:instrText>
      </w:r>
      <w:r w:rsidRPr="00C06475">
        <w:rPr>
          <w:sz w:val="20"/>
          <w:szCs w:val="20"/>
        </w:rPr>
        <w:instrText>ARABIC</w:instrText>
      </w:r>
      <w:r w:rsidRPr="00071A61">
        <w:rPr>
          <w:sz w:val="20"/>
          <w:szCs w:val="20"/>
          <w:lang w:val="sr-Latn-CS"/>
        </w:rPr>
        <w:instrText xml:space="preserve"> </w:instrText>
      </w:r>
      <w:r w:rsidR="000D71A3" w:rsidRPr="00C06475">
        <w:rPr>
          <w:sz w:val="20"/>
          <w:szCs w:val="20"/>
        </w:rPr>
        <w:fldChar w:fldCharType="separate"/>
      </w:r>
      <w:r w:rsidR="002D5E45">
        <w:rPr>
          <w:noProof/>
          <w:sz w:val="20"/>
          <w:szCs w:val="20"/>
        </w:rPr>
        <w:t>2</w:t>
      </w:r>
      <w:r w:rsidR="000D71A3" w:rsidRPr="00C06475">
        <w:rPr>
          <w:sz w:val="20"/>
          <w:szCs w:val="20"/>
        </w:rPr>
        <w:fldChar w:fldCharType="end"/>
      </w:r>
      <w:r w:rsidRPr="00071A61">
        <w:rPr>
          <w:sz w:val="20"/>
          <w:szCs w:val="20"/>
          <w:lang w:val="sr-Latn-CS"/>
        </w:rPr>
        <w:t xml:space="preserve"> </w:t>
      </w:r>
      <w:r w:rsidRPr="00C06475">
        <w:rPr>
          <w:sz w:val="20"/>
          <w:szCs w:val="20"/>
        </w:rPr>
        <w:t>Kretanje</w:t>
      </w:r>
      <w:r w:rsidRPr="00071A61">
        <w:rPr>
          <w:sz w:val="20"/>
          <w:szCs w:val="20"/>
          <w:lang w:val="sr-Latn-CS"/>
        </w:rPr>
        <w:t xml:space="preserve"> </w:t>
      </w:r>
      <w:r w:rsidRPr="00C06475">
        <w:rPr>
          <w:sz w:val="20"/>
          <w:szCs w:val="20"/>
        </w:rPr>
        <w:t>izadataka</w:t>
      </w:r>
      <w:r w:rsidRPr="00071A61">
        <w:rPr>
          <w:sz w:val="20"/>
          <w:szCs w:val="20"/>
          <w:lang w:val="sr-Latn-CS"/>
        </w:rPr>
        <w:t xml:space="preserve"> </w:t>
      </w:r>
      <w:r w:rsidRPr="00C06475">
        <w:rPr>
          <w:sz w:val="20"/>
          <w:szCs w:val="20"/>
        </w:rPr>
        <w:t>bud</w:t>
      </w:r>
      <w:r w:rsidRPr="00071A61">
        <w:rPr>
          <w:sz w:val="20"/>
          <w:szCs w:val="20"/>
          <w:lang w:val="sr-Latn-CS"/>
        </w:rPr>
        <w:t>ž</w:t>
      </w:r>
      <w:r w:rsidRPr="00C06475">
        <w:rPr>
          <w:sz w:val="20"/>
          <w:szCs w:val="20"/>
        </w:rPr>
        <w:t>eta</w:t>
      </w:r>
      <w:r w:rsidR="00A10829">
        <w:rPr>
          <w:sz w:val="20"/>
          <w:szCs w:val="20"/>
        </w:rPr>
        <w:t xml:space="preserve"> </w:t>
      </w:r>
      <w:r w:rsidR="00E03388">
        <w:rPr>
          <w:sz w:val="20"/>
          <w:szCs w:val="20"/>
        </w:rPr>
        <w:t xml:space="preserve">prije </w:t>
      </w:r>
      <w:r w:rsidR="00A10829">
        <w:rPr>
          <w:sz w:val="20"/>
          <w:szCs w:val="20"/>
        </w:rPr>
        <w:t>i</w:t>
      </w:r>
      <w:r w:rsidR="00E03388">
        <w:rPr>
          <w:sz w:val="20"/>
          <w:szCs w:val="20"/>
        </w:rPr>
        <w:t xml:space="preserve"> nakon uvođenja mjera fiskalne konsolidacije</w:t>
      </w:r>
      <w:r w:rsidRPr="00071A61">
        <w:rPr>
          <w:sz w:val="20"/>
          <w:szCs w:val="20"/>
          <w:lang w:val="sr-Latn-CS"/>
        </w:rPr>
        <w:t xml:space="preserve"> (</w:t>
      </w:r>
      <w:r w:rsidRPr="00C06475">
        <w:rPr>
          <w:sz w:val="20"/>
          <w:szCs w:val="20"/>
        </w:rPr>
        <w:t>u</w:t>
      </w:r>
      <w:r w:rsidRPr="00071A61">
        <w:rPr>
          <w:sz w:val="20"/>
          <w:szCs w:val="20"/>
          <w:lang w:val="sr-Latn-CS"/>
        </w:rPr>
        <w:t xml:space="preserve"> </w:t>
      </w:r>
      <w:r w:rsidRPr="00C06475">
        <w:rPr>
          <w:sz w:val="20"/>
          <w:szCs w:val="20"/>
        </w:rPr>
        <w:t>mil</w:t>
      </w:r>
      <w:r w:rsidRPr="00071A61">
        <w:rPr>
          <w:sz w:val="20"/>
          <w:szCs w:val="20"/>
          <w:lang w:val="sr-Latn-CS"/>
        </w:rPr>
        <w:t>.€)</w:t>
      </w:r>
    </w:p>
    <w:p w:rsidR="00BC309B" w:rsidRPr="000635E1" w:rsidRDefault="00BC309B" w:rsidP="00BC309B">
      <w:pPr>
        <w:spacing w:line="276" w:lineRule="auto"/>
        <w:jc w:val="center"/>
        <w:rPr>
          <w:rFonts w:asciiTheme="minorHAnsi" w:hAnsiTheme="minorHAnsi" w:cstheme="minorHAnsi"/>
          <w:sz w:val="22"/>
          <w:szCs w:val="22"/>
        </w:rPr>
      </w:pPr>
      <w:r w:rsidRPr="000635E1">
        <w:rPr>
          <w:rFonts w:asciiTheme="minorHAnsi" w:hAnsiTheme="minorHAnsi" w:cstheme="minorHAnsi"/>
          <w:noProof/>
          <w:sz w:val="22"/>
          <w:szCs w:val="22"/>
          <w:lang w:val="en-US"/>
        </w:rPr>
        <w:drawing>
          <wp:inline distT="0" distB="0" distL="0" distR="0">
            <wp:extent cx="4057650" cy="21812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046E0" w:rsidRPr="000635E1" w:rsidRDefault="00B046E0" w:rsidP="00657105">
      <w:pPr>
        <w:spacing w:line="276" w:lineRule="auto"/>
        <w:rPr>
          <w:rFonts w:asciiTheme="minorHAnsi" w:hAnsiTheme="minorHAnsi" w:cstheme="minorHAnsi"/>
          <w:sz w:val="22"/>
          <w:szCs w:val="22"/>
        </w:rPr>
      </w:pPr>
    </w:p>
    <w:p w:rsidR="00E71D58" w:rsidRPr="004E0409" w:rsidRDefault="00E71D58" w:rsidP="00E71D58">
      <w:pPr>
        <w:spacing w:line="276" w:lineRule="auto"/>
        <w:rPr>
          <w:rFonts w:asciiTheme="minorHAnsi" w:hAnsiTheme="minorHAnsi" w:cstheme="minorHAnsi"/>
          <w:sz w:val="22"/>
          <w:szCs w:val="22"/>
        </w:rPr>
      </w:pPr>
      <w:r w:rsidRPr="004E0409">
        <w:rPr>
          <w:rFonts w:asciiTheme="minorHAnsi" w:hAnsiTheme="minorHAnsi" w:cstheme="minorHAnsi"/>
          <w:sz w:val="22"/>
          <w:szCs w:val="22"/>
        </w:rPr>
        <w:t>Pri tome, tekuća budžetska potrošnja će u posmatranom periodu rasti, imajući u vidu karakter ovih izdataka, kao i izdvajanja po osnovu zakonskih i ugovorenih obaveza, što umanjuje ukupni efekat mjera štednje. Naime, tekuća budžetska potrošnja, planirana Zakonom o budžetu za 2017. godinu, u iznosu od 1.502,3 mil. € ili 38,2%BDP će se smanjiti na 1.492,3 mil. € i iznosiće 37,7% BDP. U periodu od 2018. do 2020. godine, tekuća budžetska potrošnja će se nominalno povećavati i u 2020. godini će iznositi 1.519,4 mil. €, kada će se njeno učešće u BDP smanjiti na 33,</w:t>
      </w:r>
      <w:r w:rsidR="00E2723D" w:rsidRPr="004E0409">
        <w:rPr>
          <w:rFonts w:asciiTheme="minorHAnsi" w:hAnsiTheme="minorHAnsi" w:cstheme="minorHAnsi"/>
          <w:sz w:val="22"/>
          <w:szCs w:val="22"/>
        </w:rPr>
        <w:t>5</w:t>
      </w:r>
      <w:r w:rsidRPr="004E0409">
        <w:rPr>
          <w:rFonts w:asciiTheme="minorHAnsi" w:hAnsiTheme="minorHAnsi" w:cstheme="minorHAnsi"/>
          <w:sz w:val="22"/>
          <w:szCs w:val="22"/>
        </w:rPr>
        <w:t xml:space="preserve">% BDP-a. </w:t>
      </w:r>
    </w:p>
    <w:p w:rsidR="00E71D58" w:rsidRPr="004E0409" w:rsidRDefault="00E71D58" w:rsidP="00E71D58">
      <w:pPr>
        <w:spacing w:line="276" w:lineRule="auto"/>
        <w:rPr>
          <w:rFonts w:asciiTheme="minorHAnsi" w:hAnsiTheme="minorHAnsi" w:cstheme="minorHAnsi"/>
          <w:sz w:val="22"/>
          <w:szCs w:val="22"/>
        </w:rPr>
      </w:pPr>
    </w:p>
    <w:p w:rsidR="00E71D58" w:rsidRPr="006D1592" w:rsidRDefault="00E71D58" w:rsidP="00E71D58">
      <w:pPr>
        <w:spacing w:line="276" w:lineRule="auto"/>
        <w:rPr>
          <w:rFonts w:asciiTheme="minorHAnsi" w:hAnsiTheme="minorHAnsi" w:cstheme="minorHAnsi"/>
          <w:color w:val="auto"/>
          <w:sz w:val="22"/>
          <w:szCs w:val="22"/>
        </w:rPr>
      </w:pPr>
      <w:r w:rsidRPr="004E0409">
        <w:rPr>
          <w:rFonts w:asciiTheme="minorHAnsi" w:hAnsiTheme="minorHAnsi" w:cstheme="minorHAnsi"/>
          <w:color w:val="auto"/>
          <w:sz w:val="22"/>
          <w:szCs w:val="22"/>
        </w:rPr>
        <w:t>U odnosu na prethodnu, u 2017. godini najveće</w:t>
      </w:r>
      <w:r w:rsidR="00A10829">
        <w:rPr>
          <w:rFonts w:asciiTheme="minorHAnsi" w:hAnsiTheme="minorHAnsi" w:cstheme="minorHAnsi"/>
          <w:color w:val="auto"/>
          <w:sz w:val="22"/>
          <w:szCs w:val="22"/>
        </w:rPr>
        <w:t xml:space="preserve"> </w:t>
      </w:r>
      <w:r w:rsidR="00E03388">
        <w:rPr>
          <w:rFonts w:asciiTheme="minorHAnsi" w:hAnsiTheme="minorHAnsi" w:cstheme="minorHAnsi"/>
          <w:color w:val="auto"/>
          <w:sz w:val="22"/>
          <w:szCs w:val="22"/>
        </w:rPr>
        <w:t>neto</w:t>
      </w:r>
      <w:r w:rsidRPr="004E0409">
        <w:rPr>
          <w:rFonts w:asciiTheme="minorHAnsi" w:hAnsiTheme="minorHAnsi" w:cstheme="minorHAnsi"/>
          <w:color w:val="auto"/>
          <w:sz w:val="22"/>
          <w:szCs w:val="22"/>
        </w:rPr>
        <w:t xml:space="preserve"> smanjenje potrošnje ostvariće se u dijelu isplate po osnovu prava iz oblasti socijalne zaštite i iznosiće 12,7 mil. €, koje se, prije svega, odnosi na smanjenje izdvajanja za isplatu naknada majkama sa troje i više djece, odnosno redefinisanje prava na socijalna davanja</w:t>
      </w:r>
      <w:r w:rsidR="00A10829">
        <w:rPr>
          <w:rFonts w:asciiTheme="minorHAnsi" w:hAnsiTheme="minorHAnsi" w:cstheme="minorHAnsi"/>
          <w:color w:val="auto"/>
          <w:sz w:val="22"/>
          <w:szCs w:val="22"/>
        </w:rPr>
        <w:t xml:space="preserve">, </w:t>
      </w:r>
      <w:r w:rsidR="00E03388">
        <w:rPr>
          <w:rFonts w:asciiTheme="minorHAnsi" w:hAnsiTheme="minorHAnsi" w:cstheme="minorHAnsi"/>
          <w:color w:val="auto"/>
          <w:sz w:val="22"/>
          <w:szCs w:val="22"/>
        </w:rPr>
        <w:t>kroz povećanje dječjih dodataka i još nekoliko kategorija socijalnih davanja onima kojima su najpotrebnija</w:t>
      </w:r>
      <w:r w:rsidRPr="004E0409">
        <w:rPr>
          <w:rFonts w:asciiTheme="minorHAnsi" w:hAnsiTheme="minorHAnsi" w:cstheme="minorHAnsi"/>
          <w:color w:val="auto"/>
          <w:sz w:val="22"/>
          <w:szCs w:val="22"/>
        </w:rPr>
        <w:t>. Po ovom osnovu, u 2018. godini, predviđeno je smanjenje izdataka za dodatnih 25,9 mil. €, nakon čega se trošak za prava po ovom osnovu ostati na istom nivou. Smanjenjem izdataka za bruto zarade i doprinose na teret poslodavca, u periodu 2017-2020. godine, ostvariće se ušteda u budžetu za 3,5 mil. €, koji će na kraju perioda iznositi 432,9 mil. €, odnosno 9,</w:t>
      </w:r>
      <w:r w:rsidR="00E2723D" w:rsidRPr="004E0409">
        <w:rPr>
          <w:rFonts w:asciiTheme="minorHAnsi" w:hAnsiTheme="minorHAnsi" w:cstheme="minorHAnsi"/>
          <w:color w:val="auto"/>
          <w:sz w:val="22"/>
          <w:szCs w:val="22"/>
        </w:rPr>
        <w:t>5</w:t>
      </w:r>
      <w:r w:rsidRPr="004E0409">
        <w:rPr>
          <w:rFonts w:asciiTheme="minorHAnsi" w:hAnsiTheme="minorHAnsi" w:cstheme="minorHAnsi"/>
          <w:color w:val="auto"/>
          <w:sz w:val="22"/>
          <w:szCs w:val="22"/>
        </w:rPr>
        <w:t>% BDP-a.</w:t>
      </w:r>
    </w:p>
    <w:p w:rsidR="00D12992" w:rsidRPr="006D1592" w:rsidRDefault="00D12992" w:rsidP="00657105">
      <w:pPr>
        <w:spacing w:line="276" w:lineRule="auto"/>
        <w:rPr>
          <w:rFonts w:asciiTheme="minorHAnsi" w:hAnsiTheme="minorHAnsi" w:cstheme="minorHAnsi"/>
          <w:color w:val="auto"/>
          <w:sz w:val="22"/>
          <w:szCs w:val="22"/>
        </w:rPr>
      </w:pPr>
    </w:p>
    <w:p w:rsidR="00D66F8B" w:rsidRPr="000635E1" w:rsidRDefault="007C2342" w:rsidP="0043715E">
      <w:pPr>
        <w:spacing w:line="276" w:lineRule="auto"/>
        <w:rPr>
          <w:rFonts w:asciiTheme="minorHAnsi" w:hAnsiTheme="minorHAnsi" w:cstheme="minorHAnsi"/>
          <w:sz w:val="22"/>
          <w:szCs w:val="22"/>
        </w:rPr>
      </w:pPr>
      <w:r w:rsidRPr="006D1592">
        <w:rPr>
          <w:rFonts w:asciiTheme="minorHAnsi" w:hAnsiTheme="minorHAnsi" w:cstheme="minorHAnsi"/>
          <w:color w:val="auto"/>
          <w:sz w:val="22"/>
          <w:szCs w:val="22"/>
        </w:rPr>
        <w:t xml:space="preserve">Planirano </w:t>
      </w:r>
      <w:r w:rsidR="006D1592" w:rsidRPr="006D1592">
        <w:rPr>
          <w:rFonts w:asciiTheme="minorHAnsi" w:hAnsiTheme="minorHAnsi" w:cstheme="minorHAnsi"/>
          <w:color w:val="auto"/>
          <w:sz w:val="22"/>
          <w:szCs w:val="22"/>
        </w:rPr>
        <w:t xml:space="preserve">je </w:t>
      </w:r>
      <w:r w:rsidR="00D66F8B" w:rsidRPr="006D1592">
        <w:rPr>
          <w:rFonts w:asciiTheme="minorHAnsi" w:hAnsiTheme="minorHAnsi" w:cstheme="minorHAnsi"/>
          <w:color w:val="auto"/>
          <w:sz w:val="22"/>
          <w:szCs w:val="22"/>
        </w:rPr>
        <w:t>smanjenje ostalih rashoda u budžetu</w:t>
      </w:r>
      <w:r w:rsidR="006D1592" w:rsidRPr="006D1592">
        <w:rPr>
          <w:rFonts w:asciiTheme="minorHAnsi" w:hAnsiTheme="minorHAnsi" w:cstheme="minorHAnsi"/>
          <w:color w:val="auto"/>
          <w:sz w:val="22"/>
          <w:szCs w:val="22"/>
        </w:rPr>
        <w:t xml:space="preserve"> u dijelu</w:t>
      </w:r>
      <w:r w:rsidR="00D66F8B" w:rsidRPr="006D1592">
        <w:rPr>
          <w:rFonts w:asciiTheme="minorHAnsi" w:hAnsiTheme="minorHAnsi" w:cstheme="minorHAnsi"/>
          <w:color w:val="auto"/>
          <w:sz w:val="22"/>
          <w:szCs w:val="22"/>
        </w:rPr>
        <w:t xml:space="preserve"> diskrecione potrošnje, koja će </w:t>
      </w:r>
      <w:r w:rsidRPr="006D1592">
        <w:rPr>
          <w:rFonts w:asciiTheme="minorHAnsi" w:hAnsiTheme="minorHAnsi" w:cstheme="minorHAnsi"/>
          <w:color w:val="auto"/>
          <w:sz w:val="22"/>
          <w:szCs w:val="22"/>
        </w:rPr>
        <w:t xml:space="preserve">biti na </w:t>
      </w:r>
      <w:r w:rsidR="00D66F8B" w:rsidRPr="006D1592">
        <w:rPr>
          <w:rFonts w:asciiTheme="minorHAnsi" w:hAnsiTheme="minorHAnsi" w:cstheme="minorHAnsi"/>
          <w:color w:val="auto"/>
          <w:sz w:val="22"/>
          <w:szCs w:val="22"/>
        </w:rPr>
        <w:t>nivo</w:t>
      </w:r>
      <w:r w:rsidRPr="006D1592">
        <w:rPr>
          <w:rFonts w:asciiTheme="minorHAnsi" w:hAnsiTheme="minorHAnsi" w:cstheme="minorHAnsi"/>
          <w:color w:val="auto"/>
          <w:sz w:val="22"/>
          <w:szCs w:val="22"/>
        </w:rPr>
        <w:t>u</w:t>
      </w:r>
      <w:r w:rsidR="00D66F8B" w:rsidRPr="006D1592">
        <w:rPr>
          <w:rFonts w:asciiTheme="minorHAnsi" w:hAnsiTheme="minorHAnsi" w:cstheme="minorHAnsi"/>
          <w:color w:val="auto"/>
          <w:sz w:val="22"/>
          <w:szCs w:val="22"/>
        </w:rPr>
        <w:t xml:space="preserve"> koji neće </w:t>
      </w:r>
      <w:r w:rsidRPr="006D1592">
        <w:rPr>
          <w:rFonts w:asciiTheme="minorHAnsi" w:hAnsiTheme="minorHAnsi" w:cstheme="minorHAnsi"/>
          <w:color w:val="auto"/>
          <w:sz w:val="22"/>
          <w:szCs w:val="22"/>
        </w:rPr>
        <w:t>ugroziti</w:t>
      </w:r>
      <w:r w:rsidR="00D66F8B" w:rsidRPr="006D1592">
        <w:rPr>
          <w:rFonts w:asciiTheme="minorHAnsi" w:hAnsiTheme="minorHAnsi" w:cstheme="minorHAnsi"/>
          <w:color w:val="auto"/>
          <w:sz w:val="22"/>
          <w:szCs w:val="22"/>
        </w:rPr>
        <w:t xml:space="preserve"> efikasno funkcionisanje potrošačkih jedinica i ispunjenje zakonskih i ugovorenih obaveza. </w:t>
      </w:r>
      <w:r w:rsidRPr="006D1592">
        <w:rPr>
          <w:rFonts w:asciiTheme="minorHAnsi" w:hAnsiTheme="minorHAnsi" w:cstheme="minorHAnsi"/>
          <w:color w:val="auto"/>
          <w:sz w:val="22"/>
          <w:szCs w:val="22"/>
        </w:rPr>
        <w:t>Po ovom osnovu, u periodu 2017-2020. godine, planirana ušteda</w:t>
      </w:r>
      <w:r w:rsidR="00D66F8B" w:rsidRPr="006D1592">
        <w:rPr>
          <w:rFonts w:asciiTheme="minorHAnsi" w:hAnsiTheme="minorHAnsi" w:cstheme="minorHAnsi"/>
          <w:color w:val="auto"/>
          <w:sz w:val="22"/>
          <w:szCs w:val="22"/>
        </w:rPr>
        <w:t xml:space="preserve"> </w:t>
      </w:r>
      <w:r w:rsidRPr="006D1592">
        <w:rPr>
          <w:rFonts w:asciiTheme="minorHAnsi" w:hAnsiTheme="minorHAnsi" w:cstheme="minorHAnsi"/>
          <w:color w:val="auto"/>
          <w:sz w:val="22"/>
          <w:szCs w:val="22"/>
        </w:rPr>
        <w:t xml:space="preserve">u </w:t>
      </w:r>
      <w:r w:rsidR="00D66F8B" w:rsidRPr="006D1592">
        <w:rPr>
          <w:rFonts w:asciiTheme="minorHAnsi" w:hAnsiTheme="minorHAnsi" w:cstheme="minorHAnsi"/>
          <w:color w:val="auto"/>
          <w:sz w:val="22"/>
          <w:szCs w:val="22"/>
        </w:rPr>
        <w:t>tekuće</w:t>
      </w:r>
      <w:r w:rsidRPr="006D1592">
        <w:rPr>
          <w:rFonts w:asciiTheme="minorHAnsi" w:hAnsiTheme="minorHAnsi" w:cstheme="minorHAnsi"/>
          <w:color w:val="auto"/>
          <w:sz w:val="22"/>
          <w:szCs w:val="22"/>
        </w:rPr>
        <w:t>m</w:t>
      </w:r>
      <w:r w:rsidR="00D66F8B" w:rsidRPr="006D1592">
        <w:rPr>
          <w:rFonts w:asciiTheme="minorHAnsi" w:hAnsiTheme="minorHAnsi" w:cstheme="minorHAnsi"/>
          <w:color w:val="auto"/>
          <w:sz w:val="22"/>
          <w:szCs w:val="22"/>
        </w:rPr>
        <w:t xml:space="preserve"> i kapitalno</w:t>
      </w:r>
      <w:r w:rsidRPr="006D1592">
        <w:rPr>
          <w:rFonts w:asciiTheme="minorHAnsi" w:hAnsiTheme="minorHAnsi" w:cstheme="minorHAnsi"/>
          <w:color w:val="auto"/>
          <w:sz w:val="22"/>
          <w:szCs w:val="22"/>
        </w:rPr>
        <w:t>m</w:t>
      </w:r>
      <w:r w:rsidR="00D66F8B" w:rsidRPr="006D1592">
        <w:rPr>
          <w:rFonts w:asciiTheme="minorHAnsi" w:hAnsiTheme="minorHAnsi" w:cstheme="minorHAnsi"/>
          <w:color w:val="auto"/>
          <w:sz w:val="22"/>
          <w:szCs w:val="22"/>
        </w:rPr>
        <w:t xml:space="preserve"> budžet</w:t>
      </w:r>
      <w:r w:rsidRPr="006D1592">
        <w:rPr>
          <w:rFonts w:asciiTheme="minorHAnsi" w:hAnsiTheme="minorHAnsi" w:cstheme="minorHAnsi"/>
          <w:color w:val="auto"/>
          <w:sz w:val="22"/>
          <w:szCs w:val="22"/>
        </w:rPr>
        <w:t>u</w:t>
      </w:r>
      <w:r w:rsidR="00D66F8B" w:rsidRPr="006D1592">
        <w:rPr>
          <w:rFonts w:asciiTheme="minorHAnsi" w:hAnsiTheme="minorHAnsi" w:cstheme="minorHAnsi"/>
          <w:color w:val="auto"/>
          <w:sz w:val="22"/>
          <w:szCs w:val="22"/>
        </w:rPr>
        <w:t xml:space="preserve"> iznos</w:t>
      </w:r>
      <w:r w:rsidRPr="006D1592">
        <w:rPr>
          <w:rFonts w:asciiTheme="minorHAnsi" w:hAnsiTheme="minorHAnsi" w:cstheme="minorHAnsi"/>
          <w:color w:val="auto"/>
          <w:sz w:val="22"/>
          <w:szCs w:val="22"/>
        </w:rPr>
        <w:t>i</w:t>
      </w:r>
      <w:r w:rsidR="00D66F8B" w:rsidRPr="006D1592">
        <w:rPr>
          <w:rFonts w:asciiTheme="minorHAnsi" w:hAnsiTheme="minorHAnsi" w:cstheme="minorHAnsi"/>
          <w:color w:val="auto"/>
          <w:sz w:val="22"/>
          <w:szCs w:val="22"/>
        </w:rPr>
        <w:t xml:space="preserve"> 11</w:t>
      </w:r>
      <w:r w:rsidRPr="006D1592">
        <w:rPr>
          <w:rFonts w:asciiTheme="minorHAnsi" w:hAnsiTheme="minorHAnsi" w:cstheme="minorHAnsi"/>
          <w:color w:val="auto"/>
          <w:sz w:val="22"/>
          <w:szCs w:val="22"/>
        </w:rPr>
        <w:t>,0</w:t>
      </w:r>
      <w:r w:rsidR="00D66F8B" w:rsidRPr="006D1592">
        <w:rPr>
          <w:rFonts w:asciiTheme="minorHAnsi" w:hAnsiTheme="minorHAnsi" w:cstheme="minorHAnsi"/>
          <w:color w:val="auto"/>
          <w:sz w:val="22"/>
          <w:szCs w:val="22"/>
        </w:rPr>
        <w:t xml:space="preserve"> mil.</w:t>
      </w:r>
      <w:r w:rsidR="00D66F8B" w:rsidRPr="000635E1">
        <w:rPr>
          <w:rFonts w:asciiTheme="minorHAnsi" w:hAnsiTheme="minorHAnsi" w:cstheme="minorHAnsi"/>
          <w:sz w:val="22"/>
          <w:szCs w:val="22"/>
        </w:rPr>
        <w:t xml:space="preserve"> €. </w:t>
      </w:r>
    </w:p>
    <w:p w:rsidR="00B046E0" w:rsidRPr="000635E1" w:rsidRDefault="00B046E0" w:rsidP="00BC309B">
      <w:pPr>
        <w:spacing w:line="240" w:lineRule="auto"/>
        <w:rPr>
          <w:rFonts w:asciiTheme="minorHAnsi" w:hAnsiTheme="minorHAnsi" w:cstheme="minorHAnsi"/>
          <w:sz w:val="22"/>
          <w:szCs w:val="22"/>
        </w:rPr>
      </w:pPr>
    </w:p>
    <w:p w:rsidR="00E71D58" w:rsidRPr="006F7275" w:rsidRDefault="00E71D58" w:rsidP="00E71D58">
      <w:pPr>
        <w:spacing w:line="276" w:lineRule="auto"/>
        <w:rPr>
          <w:rFonts w:asciiTheme="minorHAnsi" w:hAnsiTheme="minorHAnsi" w:cstheme="minorHAnsi"/>
          <w:color w:val="auto"/>
          <w:sz w:val="22"/>
          <w:szCs w:val="22"/>
        </w:rPr>
      </w:pPr>
      <w:r w:rsidRPr="006F7275">
        <w:rPr>
          <w:rFonts w:asciiTheme="minorHAnsi" w:hAnsiTheme="minorHAnsi" w:cstheme="minorHAnsi"/>
          <w:color w:val="auto"/>
          <w:sz w:val="22"/>
          <w:szCs w:val="22"/>
        </w:rPr>
        <w:t>Međutim, obaveze servisiranja preuzetih obaveza, koje su utvrđene zakonom ili strateškim dokumentima, prevazilazi ukupan efekat preduzetih mjera na rashodnoj strani budžeta. Najveći povećanje tekuće potrošnje u narednom periodu proizilazi iz obaveze isplate prava iz oblasti penzijskog i invalidskog osiguranja, koja se, zbog obaveze redovnog usklađivanja penzija i isplate prava po osnovu penzijskog i invalidskog osiguranja za korisnice koje su u prethodnom periodu ostvarivale pravo na nankadu po osnovu rođenja troje i više djece, povećava sa 411,2 mil. € planiranih Zakonom o budžetu za  2017. godinu na 444,9 mil. € u 2020. godini. Pri tome, učešće ovih izdvajanja u BDP ima se smanjuje, sa 10,</w:t>
      </w:r>
      <w:r w:rsidR="00E2723D" w:rsidRPr="006F7275">
        <w:rPr>
          <w:rFonts w:asciiTheme="minorHAnsi" w:hAnsiTheme="minorHAnsi" w:cstheme="minorHAnsi"/>
          <w:color w:val="auto"/>
          <w:sz w:val="22"/>
          <w:szCs w:val="22"/>
        </w:rPr>
        <w:t>5</w:t>
      </w:r>
      <w:r w:rsidRPr="006F7275">
        <w:rPr>
          <w:rFonts w:asciiTheme="minorHAnsi" w:hAnsiTheme="minorHAnsi" w:cstheme="minorHAnsi"/>
          <w:color w:val="auto"/>
          <w:sz w:val="22"/>
          <w:szCs w:val="22"/>
        </w:rPr>
        <w:t xml:space="preserve">% u 2017. na 9,8%BDP-a u 2020. godini. </w:t>
      </w:r>
    </w:p>
    <w:p w:rsidR="00E71D58" w:rsidRPr="006F7275" w:rsidRDefault="00E71D58" w:rsidP="00E71D58">
      <w:pPr>
        <w:spacing w:line="240" w:lineRule="auto"/>
        <w:rPr>
          <w:rFonts w:asciiTheme="minorHAnsi" w:hAnsiTheme="minorHAnsi" w:cstheme="minorHAnsi"/>
          <w:color w:val="auto"/>
          <w:sz w:val="22"/>
          <w:szCs w:val="22"/>
        </w:rPr>
      </w:pPr>
    </w:p>
    <w:p w:rsidR="00E71D58" w:rsidRPr="006F7275" w:rsidRDefault="00E71D58" w:rsidP="00E71D58">
      <w:pPr>
        <w:spacing w:line="276" w:lineRule="auto"/>
        <w:rPr>
          <w:rFonts w:asciiTheme="minorHAnsi" w:hAnsiTheme="minorHAnsi" w:cstheme="minorHAnsi"/>
          <w:color w:val="auto"/>
          <w:sz w:val="22"/>
          <w:szCs w:val="22"/>
        </w:rPr>
      </w:pPr>
      <w:r w:rsidRPr="006F7275">
        <w:rPr>
          <w:rFonts w:asciiTheme="minorHAnsi" w:hAnsiTheme="minorHAnsi" w:cstheme="minorHAnsi"/>
          <w:color w:val="auto"/>
          <w:sz w:val="22"/>
          <w:szCs w:val="22"/>
        </w:rPr>
        <w:t xml:space="preserve">Povećanje rashoda uslovljeno je i potrebom izdvajanja dodatnih sredstava za finansiranja zdravstvenog sistema. Za ove potrebe, planirano je dodatno izdvajanje budžetskih sredstava u 2018. godini u iznosu od 7,0 mil. €, nakon čega će ostati na istom nivou do 2020. godine. Istovremeno, povećaće se i izdvajanje sredstava za oblast odbrane i, u periodu do 2020. godine, treba izdvojiti dodatna sredstva u iznosu od 12,53 mil. € i,time ispuniti NATO standarde. </w:t>
      </w:r>
    </w:p>
    <w:p w:rsidR="00E71D58" w:rsidRPr="006F7275" w:rsidRDefault="00E71D58" w:rsidP="00E71D58">
      <w:pPr>
        <w:spacing w:line="276" w:lineRule="auto"/>
        <w:rPr>
          <w:rFonts w:asciiTheme="minorHAnsi" w:hAnsiTheme="minorHAnsi" w:cstheme="minorHAnsi"/>
          <w:color w:val="auto"/>
          <w:sz w:val="22"/>
          <w:szCs w:val="22"/>
        </w:rPr>
      </w:pPr>
    </w:p>
    <w:p w:rsidR="00E71D58" w:rsidRPr="006D1592" w:rsidRDefault="00E71D58" w:rsidP="00E71D58">
      <w:pPr>
        <w:spacing w:line="276" w:lineRule="auto"/>
        <w:rPr>
          <w:rFonts w:asciiTheme="minorHAnsi" w:hAnsiTheme="minorHAnsi" w:cstheme="minorHAnsi"/>
          <w:color w:val="auto"/>
          <w:sz w:val="22"/>
          <w:szCs w:val="22"/>
        </w:rPr>
      </w:pPr>
      <w:r w:rsidRPr="006F7275">
        <w:rPr>
          <w:rFonts w:asciiTheme="minorHAnsi" w:hAnsiTheme="minorHAnsi" w:cstheme="minorHAnsi"/>
          <w:color w:val="auto"/>
          <w:sz w:val="22"/>
          <w:szCs w:val="22"/>
        </w:rPr>
        <w:t>Pored navedenog, potrošnja će se povećati za oko 15,6 mil. € po osnovu preuzetih obaveza u skladu sa zakonskim rješenjima i usvojenim strateškim dokumentima i ugovorenim obavezama.</w:t>
      </w:r>
      <w:r w:rsidRPr="006D1592">
        <w:rPr>
          <w:rFonts w:asciiTheme="minorHAnsi" w:hAnsiTheme="minorHAnsi" w:cstheme="minorHAnsi"/>
          <w:color w:val="auto"/>
          <w:sz w:val="22"/>
          <w:szCs w:val="22"/>
        </w:rPr>
        <w:t xml:space="preserve"> </w:t>
      </w:r>
    </w:p>
    <w:p w:rsidR="00336B1C" w:rsidRPr="000635E1" w:rsidRDefault="00336B1C" w:rsidP="00BC309B">
      <w:pPr>
        <w:spacing w:line="240" w:lineRule="auto"/>
        <w:rPr>
          <w:rFonts w:asciiTheme="minorHAnsi" w:hAnsiTheme="minorHAnsi" w:cstheme="minorHAnsi"/>
          <w:sz w:val="22"/>
          <w:szCs w:val="22"/>
        </w:rPr>
      </w:pPr>
    </w:p>
    <w:p w:rsidR="00484A74" w:rsidRPr="000635E1" w:rsidRDefault="003536C9" w:rsidP="00484A74">
      <w:pPr>
        <w:spacing w:line="276" w:lineRule="auto"/>
        <w:rPr>
          <w:rFonts w:asciiTheme="minorHAnsi" w:hAnsiTheme="minorHAnsi" w:cstheme="minorHAnsi"/>
          <w:sz w:val="22"/>
          <w:szCs w:val="22"/>
        </w:rPr>
      </w:pPr>
      <w:r>
        <w:rPr>
          <w:rFonts w:asciiTheme="minorHAnsi" w:hAnsiTheme="minorHAnsi" w:cstheme="minorHAnsi"/>
          <w:sz w:val="22"/>
          <w:szCs w:val="22"/>
        </w:rPr>
        <w:t>I</w:t>
      </w:r>
      <w:r w:rsidR="00484A74" w:rsidRPr="000635E1">
        <w:rPr>
          <w:rFonts w:asciiTheme="minorHAnsi" w:hAnsiTheme="minorHAnsi" w:cstheme="minorHAnsi"/>
          <w:sz w:val="22"/>
          <w:szCs w:val="22"/>
        </w:rPr>
        <w:t xml:space="preserve">zdaci za kapitalni budžet </w:t>
      </w:r>
      <w:r>
        <w:rPr>
          <w:rFonts w:asciiTheme="minorHAnsi" w:hAnsiTheme="minorHAnsi" w:cstheme="minorHAnsi"/>
          <w:sz w:val="22"/>
          <w:szCs w:val="22"/>
        </w:rPr>
        <w:t xml:space="preserve">će se povećati sa </w:t>
      </w:r>
      <w:r w:rsidRPr="000635E1">
        <w:rPr>
          <w:rFonts w:asciiTheme="minorHAnsi" w:hAnsiTheme="minorHAnsi" w:cstheme="minorHAnsi"/>
          <w:sz w:val="22"/>
          <w:szCs w:val="22"/>
        </w:rPr>
        <w:t>283,1 mil. € u 2017. na 315,8 mil. € u 2018</w:t>
      </w:r>
      <w:r>
        <w:rPr>
          <w:rFonts w:asciiTheme="minorHAnsi" w:hAnsiTheme="minorHAnsi" w:cstheme="minorHAnsi"/>
          <w:sz w:val="22"/>
          <w:szCs w:val="22"/>
        </w:rPr>
        <w:t>,</w:t>
      </w:r>
      <w:r w:rsidRPr="000635E1">
        <w:rPr>
          <w:rFonts w:asciiTheme="minorHAnsi" w:hAnsiTheme="minorHAnsi" w:cstheme="minorHAnsi"/>
          <w:sz w:val="22"/>
          <w:szCs w:val="22"/>
        </w:rPr>
        <w:t xml:space="preserve"> nakon čega </w:t>
      </w:r>
      <w:r>
        <w:rPr>
          <w:rFonts w:asciiTheme="minorHAnsi" w:hAnsiTheme="minorHAnsi" w:cstheme="minorHAnsi"/>
          <w:sz w:val="22"/>
          <w:szCs w:val="22"/>
        </w:rPr>
        <w:t>će se</w:t>
      </w:r>
      <w:r w:rsidRPr="000635E1">
        <w:rPr>
          <w:rFonts w:asciiTheme="minorHAnsi" w:hAnsiTheme="minorHAnsi" w:cstheme="minorHAnsi"/>
          <w:sz w:val="22"/>
          <w:szCs w:val="22"/>
        </w:rPr>
        <w:t xml:space="preserve"> smanj</w:t>
      </w:r>
      <w:r>
        <w:rPr>
          <w:rFonts w:asciiTheme="minorHAnsi" w:hAnsiTheme="minorHAnsi" w:cstheme="minorHAnsi"/>
          <w:sz w:val="22"/>
          <w:szCs w:val="22"/>
        </w:rPr>
        <w:t>iti</w:t>
      </w:r>
      <w:r w:rsidRPr="000635E1">
        <w:rPr>
          <w:rFonts w:asciiTheme="minorHAnsi" w:hAnsiTheme="minorHAnsi" w:cstheme="minorHAnsi"/>
          <w:sz w:val="22"/>
          <w:szCs w:val="22"/>
        </w:rPr>
        <w:t xml:space="preserve"> </w:t>
      </w:r>
      <w:r>
        <w:rPr>
          <w:rFonts w:asciiTheme="minorHAnsi" w:hAnsiTheme="minorHAnsi" w:cstheme="minorHAnsi"/>
          <w:sz w:val="22"/>
          <w:szCs w:val="22"/>
        </w:rPr>
        <w:t xml:space="preserve">i, </w:t>
      </w:r>
      <w:r w:rsidRPr="000635E1">
        <w:rPr>
          <w:rFonts w:asciiTheme="minorHAnsi" w:hAnsiTheme="minorHAnsi" w:cstheme="minorHAnsi"/>
          <w:sz w:val="22"/>
          <w:szCs w:val="22"/>
        </w:rPr>
        <w:t xml:space="preserve">u 2019. </w:t>
      </w:r>
      <w:r>
        <w:rPr>
          <w:rFonts w:asciiTheme="minorHAnsi" w:hAnsiTheme="minorHAnsi" w:cstheme="minorHAnsi"/>
          <w:sz w:val="22"/>
          <w:szCs w:val="22"/>
        </w:rPr>
        <w:t>g</w:t>
      </w:r>
      <w:r w:rsidRPr="000635E1">
        <w:rPr>
          <w:rFonts w:asciiTheme="minorHAnsi" w:hAnsiTheme="minorHAnsi" w:cstheme="minorHAnsi"/>
          <w:sz w:val="22"/>
          <w:szCs w:val="22"/>
        </w:rPr>
        <w:t>odini</w:t>
      </w:r>
      <w:r>
        <w:rPr>
          <w:rFonts w:asciiTheme="minorHAnsi" w:hAnsiTheme="minorHAnsi" w:cstheme="minorHAnsi"/>
          <w:sz w:val="22"/>
          <w:szCs w:val="22"/>
        </w:rPr>
        <w:t>,</w:t>
      </w:r>
      <w:r w:rsidRPr="000635E1">
        <w:rPr>
          <w:rFonts w:asciiTheme="minorHAnsi" w:hAnsiTheme="minorHAnsi" w:cstheme="minorHAnsi"/>
          <w:sz w:val="22"/>
          <w:szCs w:val="22"/>
        </w:rPr>
        <w:t xml:space="preserve"> </w:t>
      </w:r>
      <w:r>
        <w:rPr>
          <w:rFonts w:asciiTheme="minorHAnsi" w:hAnsiTheme="minorHAnsi" w:cstheme="minorHAnsi"/>
          <w:sz w:val="22"/>
          <w:szCs w:val="22"/>
        </w:rPr>
        <w:t>iznositi</w:t>
      </w:r>
      <w:r w:rsidRPr="000635E1">
        <w:rPr>
          <w:rFonts w:asciiTheme="minorHAnsi" w:hAnsiTheme="minorHAnsi" w:cstheme="minorHAnsi"/>
          <w:sz w:val="22"/>
          <w:szCs w:val="22"/>
        </w:rPr>
        <w:t xml:space="preserve"> 277,6 mil</w:t>
      </w:r>
      <w:r>
        <w:rPr>
          <w:rFonts w:asciiTheme="minorHAnsi" w:hAnsiTheme="minorHAnsi" w:cstheme="minorHAnsi"/>
          <w:sz w:val="22"/>
          <w:szCs w:val="22"/>
        </w:rPr>
        <w:t>.</w:t>
      </w:r>
      <w:r w:rsidRPr="000635E1">
        <w:rPr>
          <w:rFonts w:asciiTheme="minorHAnsi" w:hAnsiTheme="minorHAnsi" w:cstheme="minorHAnsi"/>
          <w:sz w:val="22"/>
          <w:szCs w:val="22"/>
        </w:rPr>
        <w:t>€</w:t>
      </w:r>
      <w:r>
        <w:rPr>
          <w:rFonts w:asciiTheme="minorHAnsi" w:hAnsiTheme="minorHAnsi" w:cstheme="minorHAnsi"/>
          <w:sz w:val="22"/>
          <w:szCs w:val="22"/>
        </w:rPr>
        <w:t xml:space="preserve">. Obim i dinamika trošenja sredstava uslovljeni su realizacijom projekta izgradnje Autoputa. Za te namjene će biti opredijeljena sredstva u iznosu od </w:t>
      </w:r>
      <w:r w:rsidRPr="000635E1">
        <w:rPr>
          <w:rFonts w:asciiTheme="minorHAnsi" w:hAnsiTheme="minorHAnsi" w:cstheme="minorHAnsi"/>
          <w:sz w:val="22"/>
          <w:szCs w:val="22"/>
        </w:rPr>
        <w:t>194,3 mil. €</w:t>
      </w:r>
      <w:r>
        <w:rPr>
          <w:rFonts w:asciiTheme="minorHAnsi" w:hAnsiTheme="minorHAnsi" w:cstheme="minorHAnsi"/>
          <w:sz w:val="22"/>
          <w:szCs w:val="22"/>
        </w:rPr>
        <w:t xml:space="preserve"> </w:t>
      </w:r>
      <w:r w:rsidR="00484A74" w:rsidRPr="000635E1">
        <w:rPr>
          <w:rFonts w:asciiTheme="minorHAnsi" w:hAnsiTheme="minorHAnsi" w:cstheme="minorHAnsi"/>
          <w:sz w:val="22"/>
          <w:szCs w:val="22"/>
        </w:rPr>
        <w:t>u 2017</w:t>
      </w:r>
      <w:r>
        <w:rPr>
          <w:rFonts w:asciiTheme="minorHAnsi" w:hAnsiTheme="minorHAnsi" w:cstheme="minorHAnsi"/>
          <w:sz w:val="22"/>
          <w:szCs w:val="22"/>
        </w:rPr>
        <w:t xml:space="preserve">, </w:t>
      </w:r>
      <w:r w:rsidR="00484A74" w:rsidRPr="000635E1">
        <w:rPr>
          <w:rFonts w:asciiTheme="minorHAnsi" w:hAnsiTheme="minorHAnsi" w:cstheme="minorHAnsi"/>
          <w:sz w:val="22"/>
          <w:szCs w:val="22"/>
        </w:rPr>
        <w:t xml:space="preserve">230,0 mil. € </w:t>
      </w:r>
      <w:r w:rsidRPr="000635E1">
        <w:rPr>
          <w:rFonts w:asciiTheme="minorHAnsi" w:hAnsiTheme="minorHAnsi" w:cstheme="minorHAnsi"/>
          <w:sz w:val="22"/>
          <w:szCs w:val="22"/>
        </w:rPr>
        <w:t xml:space="preserve">u 2018. </w:t>
      </w:r>
      <w:r w:rsidR="00484A74" w:rsidRPr="000635E1">
        <w:rPr>
          <w:rFonts w:asciiTheme="minorHAnsi" w:hAnsiTheme="minorHAnsi" w:cstheme="minorHAnsi"/>
          <w:sz w:val="22"/>
          <w:szCs w:val="22"/>
        </w:rPr>
        <w:t xml:space="preserve">i </w:t>
      </w:r>
      <w:r w:rsidRPr="000635E1">
        <w:rPr>
          <w:rFonts w:asciiTheme="minorHAnsi" w:hAnsiTheme="minorHAnsi" w:cstheme="minorHAnsi"/>
          <w:sz w:val="22"/>
          <w:szCs w:val="22"/>
        </w:rPr>
        <w:t>194,8 mil. €</w:t>
      </w:r>
      <w:r>
        <w:rPr>
          <w:rFonts w:asciiTheme="minorHAnsi" w:hAnsiTheme="minorHAnsi" w:cstheme="minorHAnsi"/>
          <w:sz w:val="22"/>
          <w:szCs w:val="22"/>
        </w:rPr>
        <w:t xml:space="preserve"> </w:t>
      </w:r>
      <w:r w:rsidR="00484A74" w:rsidRPr="000635E1">
        <w:rPr>
          <w:rFonts w:asciiTheme="minorHAnsi" w:hAnsiTheme="minorHAnsi" w:cstheme="minorHAnsi"/>
          <w:sz w:val="22"/>
          <w:szCs w:val="22"/>
        </w:rPr>
        <w:t>u 2019.</w:t>
      </w:r>
      <w:r>
        <w:rPr>
          <w:rFonts w:asciiTheme="minorHAnsi" w:hAnsiTheme="minorHAnsi" w:cstheme="minorHAnsi"/>
          <w:sz w:val="22"/>
          <w:szCs w:val="22"/>
        </w:rPr>
        <w:t xml:space="preserve"> g</w:t>
      </w:r>
      <w:r w:rsidR="00484A74" w:rsidRPr="000635E1">
        <w:rPr>
          <w:rFonts w:asciiTheme="minorHAnsi" w:hAnsiTheme="minorHAnsi" w:cstheme="minorHAnsi"/>
          <w:sz w:val="22"/>
          <w:szCs w:val="22"/>
        </w:rPr>
        <w:t>odini</w:t>
      </w:r>
      <w:r>
        <w:rPr>
          <w:rFonts w:asciiTheme="minorHAnsi" w:hAnsiTheme="minorHAnsi" w:cstheme="minorHAnsi"/>
          <w:sz w:val="22"/>
          <w:szCs w:val="22"/>
        </w:rPr>
        <w:t>, kada se planira završetak Projekta.</w:t>
      </w:r>
      <w:r w:rsidR="00484A74" w:rsidRPr="000635E1">
        <w:rPr>
          <w:rFonts w:asciiTheme="minorHAnsi" w:hAnsiTheme="minorHAnsi" w:cstheme="minorHAnsi"/>
          <w:sz w:val="22"/>
          <w:szCs w:val="22"/>
        </w:rPr>
        <w:t xml:space="preserve"> </w:t>
      </w:r>
      <w:r>
        <w:rPr>
          <w:rFonts w:asciiTheme="minorHAnsi" w:hAnsiTheme="minorHAnsi" w:cstheme="minorHAnsi"/>
          <w:sz w:val="22"/>
          <w:szCs w:val="22"/>
        </w:rPr>
        <w:t xml:space="preserve">Kapitalni izdaci za 2020. godinu </w:t>
      </w:r>
      <w:r w:rsidR="00484A74" w:rsidRPr="000635E1">
        <w:rPr>
          <w:rFonts w:asciiTheme="minorHAnsi" w:hAnsiTheme="minorHAnsi" w:cstheme="minorHAnsi"/>
          <w:sz w:val="22"/>
          <w:szCs w:val="22"/>
        </w:rPr>
        <w:t>iznos</w:t>
      </w:r>
      <w:r>
        <w:rPr>
          <w:rFonts w:asciiTheme="minorHAnsi" w:hAnsiTheme="minorHAnsi" w:cstheme="minorHAnsi"/>
          <w:sz w:val="22"/>
          <w:szCs w:val="22"/>
        </w:rPr>
        <w:t>iće</w:t>
      </w:r>
      <w:r w:rsidR="00484A74" w:rsidRPr="000635E1">
        <w:rPr>
          <w:rFonts w:asciiTheme="minorHAnsi" w:hAnsiTheme="minorHAnsi" w:cstheme="minorHAnsi"/>
          <w:sz w:val="22"/>
          <w:szCs w:val="22"/>
        </w:rPr>
        <w:t xml:space="preserve"> 83,1 mil. €, </w:t>
      </w:r>
      <w:r>
        <w:rPr>
          <w:rFonts w:asciiTheme="minorHAnsi" w:hAnsiTheme="minorHAnsi" w:cstheme="minorHAnsi"/>
          <w:sz w:val="22"/>
          <w:szCs w:val="22"/>
        </w:rPr>
        <w:t>kada je planirano i ostvarenje</w:t>
      </w:r>
      <w:r w:rsidR="00484A74">
        <w:rPr>
          <w:rFonts w:asciiTheme="minorHAnsi" w:hAnsiTheme="minorHAnsi" w:cstheme="minorHAnsi"/>
          <w:sz w:val="22"/>
          <w:szCs w:val="22"/>
        </w:rPr>
        <w:t xml:space="preserve"> </w:t>
      </w:r>
      <w:r w:rsidR="00484A74" w:rsidRPr="000635E1">
        <w:rPr>
          <w:rFonts w:asciiTheme="minorHAnsi" w:hAnsiTheme="minorHAnsi" w:cstheme="minorHAnsi"/>
          <w:sz w:val="22"/>
          <w:szCs w:val="22"/>
        </w:rPr>
        <w:t>suficit</w:t>
      </w:r>
      <w:r w:rsidR="00484A74">
        <w:rPr>
          <w:rFonts w:asciiTheme="minorHAnsi" w:hAnsiTheme="minorHAnsi" w:cstheme="minorHAnsi"/>
          <w:sz w:val="22"/>
          <w:szCs w:val="22"/>
        </w:rPr>
        <w:t>a</w:t>
      </w:r>
      <w:r>
        <w:rPr>
          <w:rFonts w:asciiTheme="minorHAnsi" w:hAnsiTheme="minorHAnsi" w:cstheme="minorHAnsi"/>
          <w:sz w:val="22"/>
          <w:szCs w:val="22"/>
        </w:rPr>
        <w:t xml:space="preserve"> budžeta u iznosu od</w:t>
      </w:r>
      <w:r w:rsidR="00484A74" w:rsidRPr="000635E1">
        <w:rPr>
          <w:rFonts w:asciiTheme="minorHAnsi" w:hAnsiTheme="minorHAnsi" w:cstheme="minorHAnsi"/>
          <w:sz w:val="22"/>
          <w:szCs w:val="22"/>
        </w:rPr>
        <w:t xml:space="preserve"> 4,</w:t>
      </w:r>
      <w:r w:rsidR="00E2723D">
        <w:rPr>
          <w:rFonts w:asciiTheme="minorHAnsi" w:hAnsiTheme="minorHAnsi" w:cstheme="minorHAnsi"/>
          <w:sz w:val="22"/>
          <w:szCs w:val="22"/>
        </w:rPr>
        <w:t>5</w:t>
      </w:r>
      <w:r w:rsidR="00484A74">
        <w:rPr>
          <w:rFonts w:asciiTheme="minorHAnsi" w:hAnsiTheme="minorHAnsi" w:cstheme="minorHAnsi"/>
          <w:sz w:val="22"/>
          <w:szCs w:val="22"/>
        </w:rPr>
        <w:t>% BDP-a</w:t>
      </w:r>
      <w:r>
        <w:rPr>
          <w:rFonts w:asciiTheme="minorHAnsi" w:hAnsiTheme="minorHAnsi" w:cstheme="minorHAnsi"/>
          <w:sz w:val="22"/>
          <w:szCs w:val="22"/>
        </w:rPr>
        <w:t>.</w:t>
      </w:r>
    </w:p>
    <w:p w:rsidR="00A10829" w:rsidRDefault="00A10829" w:rsidP="00336B1C">
      <w:pPr>
        <w:spacing w:line="240" w:lineRule="auto"/>
        <w:rPr>
          <w:rFonts w:asciiTheme="minorHAnsi" w:hAnsiTheme="minorHAnsi" w:cstheme="minorHAnsi"/>
          <w:sz w:val="22"/>
          <w:szCs w:val="22"/>
        </w:rPr>
      </w:pPr>
    </w:p>
    <w:p w:rsidR="00E71D58" w:rsidRPr="000635E1" w:rsidRDefault="00336B1C" w:rsidP="007C0116">
      <w:pPr>
        <w:spacing w:line="276" w:lineRule="auto"/>
        <w:rPr>
          <w:rFonts w:asciiTheme="minorHAnsi" w:hAnsiTheme="minorHAnsi" w:cstheme="minorHAnsi"/>
          <w:sz w:val="22"/>
          <w:szCs w:val="22"/>
        </w:rPr>
      </w:pPr>
      <w:r>
        <w:rPr>
          <w:rFonts w:asciiTheme="minorHAnsi" w:hAnsiTheme="minorHAnsi" w:cstheme="minorHAnsi"/>
          <w:sz w:val="22"/>
          <w:szCs w:val="22"/>
        </w:rPr>
        <w:t>Generalno, ukupna tekuća potrošnja će se u kontonuitetu finansirati iz izvornih prihoda budžeta, dok je u 2020.godini, planirano ost</w:t>
      </w:r>
      <w:r w:rsidR="00A10829">
        <w:rPr>
          <w:rFonts w:asciiTheme="minorHAnsi" w:hAnsiTheme="minorHAnsi" w:cstheme="minorHAnsi"/>
          <w:sz w:val="22"/>
          <w:szCs w:val="22"/>
        </w:rPr>
        <w:t>varenje</w:t>
      </w:r>
      <w:r>
        <w:rPr>
          <w:rFonts w:asciiTheme="minorHAnsi" w:hAnsiTheme="minorHAnsi" w:cstheme="minorHAnsi"/>
          <w:sz w:val="22"/>
          <w:szCs w:val="22"/>
        </w:rPr>
        <w:t xml:space="preserve"> većih prihda od ukupnih rashoda budžeta, odnosno suficit od 4,5% BDP.</w:t>
      </w:r>
      <w:r w:rsidR="00A10829">
        <w:rPr>
          <w:rFonts w:asciiTheme="minorHAnsi" w:hAnsiTheme="minorHAnsi" w:cstheme="minorHAnsi"/>
          <w:sz w:val="22"/>
          <w:szCs w:val="22"/>
        </w:rPr>
        <w:t xml:space="preserve"> </w:t>
      </w:r>
      <w:r>
        <w:rPr>
          <w:rFonts w:asciiTheme="minorHAnsi" w:hAnsiTheme="minorHAnsi" w:cstheme="minorHAnsi"/>
          <w:sz w:val="22"/>
          <w:szCs w:val="22"/>
        </w:rPr>
        <w:t>Drugim riječima</w:t>
      </w:r>
      <w:r w:rsidR="00E71D58" w:rsidRPr="006F7275">
        <w:rPr>
          <w:rFonts w:asciiTheme="minorHAnsi" w:hAnsiTheme="minorHAnsi" w:cstheme="minorHAnsi"/>
          <w:sz w:val="22"/>
          <w:szCs w:val="22"/>
        </w:rPr>
        <w:t>, deficit budžeta</w:t>
      </w:r>
      <w:r w:rsidR="00E71D58" w:rsidRPr="006F7275">
        <w:rPr>
          <w:rFonts w:asciiTheme="minorHAnsi" w:hAnsiTheme="minorHAnsi" w:cstheme="minorHAnsi"/>
          <w:b/>
          <w:sz w:val="22"/>
          <w:szCs w:val="22"/>
        </w:rPr>
        <w:t xml:space="preserve"> </w:t>
      </w:r>
      <w:r w:rsidR="00E71D58" w:rsidRPr="006F7275">
        <w:rPr>
          <w:rFonts w:asciiTheme="minorHAnsi" w:hAnsiTheme="minorHAnsi" w:cstheme="minorHAnsi"/>
          <w:sz w:val="22"/>
          <w:szCs w:val="22"/>
        </w:rPr>
        <w:t>u narednom periodu će se postepeno smanjivati, od 5,0% BDP-a u 2017. do 0,</w:t>
      </w:r>
      <w:r w:rsidR="00E2723D" w:rsidRPr="006F7275">
        <w:rPr>
          <w:rFonts w:asciiTheme="minorHAnsi" w:hAnsiTheme="minorHAnsi" w:cstheme="minorHAnsi"/>
          <w:sz w:val="22"/>
          <w:szCs w:val="22"/>
        </w:rPr>
        <w:t>7</w:t>
      </w:r>
      <w:r w:rsidR="00E71D58" w:rsidRPr="006F7275">
        <w:rPr>
          <w:rFonts w:asciiTheme="minorHAnsi" w:hAnsiTheme="minorHAnsi" w:cstheme="minorHAnsi"/>
          <w:sz w:val="22"/>
          <w:szCs w:val="22"/>
        </w:rPr>
        <w:t>% BDP-a u 2019, dok će u 2020. preći u zonu suficita (4,5% BDP-a). Primarni bilans preći će u zonu suficita u 2019. godini i iznosiće 1,4% BDP-a.</w:t>
      </w:r>
    </w:p>
    <w:p w:rsidR="00E71D58" w:rsidRPr="000635E1" w:rsidRDefault="00E71D58" w:rsidP="007C0116">
      <w:pPr>
        <w:spacing w:line="276" w:lineRule="auto"/>
        <w:rPr>
          <w:rFonts w:asciiTheme="minorHAnsi" w:hAnsiTheme="minorHAnsi" w:cstheme="minorHAnsi"/>
          <w:sz w:val="22"/>
          <w:szCs w:val="22"/>
        </w:rPr>
      </w:pPr>
    </w:p>
    <w:p w:rsidR="00C06475" w:rsidRPr="00C06475" w:rsidRDefault="00C06475" w:rsidP="00C06475">
      <w:pPr>
        <w:pStyle w:val="Caption"/>
        <w:keepNext/>
        <w:jc w:val="center"/>
        <w:rPr>
          <w:sz w:val="20"/>
          <w:szCs w:val="20"/>
        </w:rPr>
      </w:pPr>
      <w:r w:rsidRPr="00C06475">
        <w:rPr>
          <w:sz w:val="20"/>
          <w:szCs w:val="20"/>
        </w:rPr>
        <w:t xml:space="preserve">Grafik </w:t>
      </w:r>
      <w:r w:rsidR="000D71A3" w:rsidRPr="00C06475">
        <w:rPr>
          <w:sz w:val="20"/>
          <w:szCs w:val="20"/>
        </w:rPr>
        <w:fldChar w:fldCharType="begin"/>
      </w:r>
      <w:r w:rsidRPr="00C06475">
        <w:rPr>
          <w:sz w:val="20"/>
          <w:szCs w:val="20"/>
        </w:rPr>
        <w:instrText xml:space="preserve"> SEQ Grafik \* ARABIC </w:instrText>
      </w:r>
      <w:r w:rsidR="000D71A3" w:rsidRPr="00C06475">
        <w:rPr>
          <w:sz w:val="20"/>
          <w:szCs w:val="20"/>
        </w:rPr>
        <w:fldChar w:fldCharType="separate"/>
      </w:r>
      <w:r w:rsidR="002D5E45">
        <w:rPr>
          <w:noProof/>
          <w:sz w:val="20"/>
          <w:szCs w:val="20"/>
        </w:rPr>
        <w:t>3</w:t>
      </w:r>
      <w:r w:rsidR="000D71A3" w:rsidRPr="00C06475">
        <w:rPr>
          <w:sz w:val="20"/>
          <w:szCs w:val="20"/>
        </w:rPr>
        <w:fldChar w:fldCharType="end"/>
      </w:r>
      <w:r w:rsidRPr="00C06475">
        <w:rPr>
          <w:sz w:val="20"/>
          <w:szCs w:val="20"/>
        </w:rPr>
        <w:t xml:space="preserve"> Kretanje deficita budžeta </w:t>
      </w:r>
    </w:p>
    <w:p w:rsidR="00BC309B" w:rsidRPr="000635E1" w:rsidRDefault="00BC309B" w:rsidP="00BC309B">
      <w:pPr>
        <w:spacing w:line="240" w:lineRule="auto"/>
        <w:jc w:val="center"/>
        <w:rPr>
          <w:rFonts w:asciiTheme="minorHAnsi" w:hAnsiTheme="minorHAnsi" w:cstheme="minorHAnsi"/>
          <w:sz w:val="22"/>
          <w:szCs w:val="22"/>
        </w:rPr>
      </w:pPr>
      <w:r w:rsidRPr="000635E1">
        <w:rPr>
          <w:rFonts w:asciiTheme="minorHAnsi" w:hAnsiTheme="minorHAnsi" w:cstheme="minorHAnsi"/>
          <w:noProof/>
          <w:sz w:val="22"/>
          <w:szCs w:val="22"/>
          <w:lang w:val="en-US"/>
        </w:rPr>
        <w:drawing>
          <wp:inline distT="0" distB="0" distL="0" distR="0">
            <wp:extent cx="4200525" cy="2289976"/>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C309B" w:rsidRPr="000635E1" w:rsidRDefault="00BC309B" w:rsidP="00BC309B">
      <w:pPr>
        <w:spacing w:line="240" w:lineRule="auto"/>
        <w:rPr>
          <w:rFonts w:asciiTheme="minorHAnsi" w:hAnsiTheme="minorHAnsi" w:cstheme="minorHAnsi"/>
          <w:sz w:val="22"/>
          <w:szCs w:val="22"/>
        </w:rPr>
      </w:pPr>
    </w:p>
    <w:p w:rsidR="0090519E" w:rsidRDefault="0090519E" w:rsidP="00A11029">
      <w:pPr>
        <w:spacing w:line="240" w:lineRule="auto"/>
        <w:rPr>
          <w:rFonts w:asciiTheme="minorHAnsi" w:hAnsiTheme="minorHAnsi" w:cstheme="minorHAnsi"/>
          <w:b/>
          <w:sz w:val="22"/>
          <w:szCs w:val="22"/>
        </w:rPr>
      </w:pPr>
    </w:p>
    <w:p w:rsidR="0090519E" w:rsidRDefault="0090519E" w:rsidP="00A11029">
      <w:pPr>
        <w:spacing w:line="240" w:lineRule="auto"/>
        <w:rPr>
          <w:rFonts w:asciiTheme="minorHAnsi" w:hAnsiTheme="minorHAnsi" w:cstheme="minorHAnsi"/>
          <w:b/>
          <w:sz w:val="22"/>
          <w:szCs w:val="22"/>
        </w:rPr>
      </w:pPr>
    </w:p>
    <w:p w:rsidR="00A11029" w:rsidRPr="000635E1" w:rsidRDefault="0090519E" w:rsidP="002D1802">
      <w:pPr>
        <w:pStyle w:val="Heading2"/>
        <w:rPr>
          <w:sz w:val="22"/>
          <w:szCs w:val="22"/>
        </w:rPr>
      </w:pPr>
      <w:bookmarkStart w:id="24" w:name="_Toc484373028"/>
      <w:r>
        <w:t xml:space="preserve">4.3 </w:t>
      </w:r>
      <w:r w:rsidRPr="0090519E">
        <w:t>Upravljanje javnim dugom</w:t>
      </w:r>
      <w:r w:rsidR="00A11029" w:rsidRPr="0090519E">
        <w:t xml:space="preserve"> 2017-2020. godine</w:t>
      </w:r>
      <w:bookmarkEnd w:id="24"/>
    </w:p>
    <w:p w:rsidR="00A11029" w:rsidRPr="000635E1" w:rsidRDefault="00A11029" w:rsidP="00A11029">
      <w:pPr>
        <w:spacing w:line="240" w:lineRule="auto"/>
        <w:rPr>
          <w:rFonts w:asciiTheme="minorHAnsi" w:hAnsiTheme="minorHAnsi" w:cstheme="minorHAnsi"/>
          <w:b/>
          <w:sz w:val="22"/>
          <w:szCs w:val="22"/>
        </w:rPr>
      </w:pPr>
    </w:p>
    <w:p w:rsidR="00336B1C" w:rsidRDefault="006D1592" w:rsidP="00A11029">
      <w:pPr>
        <w:spacing w:line="240" w:lineRule="auto"/>
        <w:rPr>
          <w:rFonts w:asciiTheme="minorHAnsi" w:hAnsiTheme="minorHAnsi" w:cstheme="minorHAnsi"/>
          <w:sz w:val="22"/>
          <w:szCs w:val="22"/>
        </w:rPr>
      </w:pPr>
      <w:r>
        <w:rPr>
          <w:rFonts w:asciiTheme="minorHAnsi" w:hAnsiTheme="minorHAnsi" w:cstheme="minorHAnsi"/>
          <w:sz w:val="22"/>
          <w:szCs w:val="22"/>
        </w:rPr>
        <w:t>P</w:t>
      </w:r>
      <w:r w:rsidRPr="000635E1">
        <w:rPr>
          <w:rFonts w:asciiTheme="minorHAnsi" w:hAnsiTheme="minorHAnsi" w:cstheme="minorHAnsi"/>
          <w:sz w:val="22"/>
          <w:szCs w:val="22"/>
        </w:rPr>
        <w:t>lanirano zaduživanje</w:t>
      </w:r>
      <w:r>
        <w:rPr>
          <w:rFonts w:asciiTheme="minorHAnsi" w:hAnsiTheme="minorHAnsi" w:cstheme="minorHAnsi"/>
          <w:sz w:val="22"/>
          <w:szCs w:val="22"/>
        </w:rPr>
        <w:t>,</w:t>
      </w:r>
      <w:r w:rsidRPr="000635E1">
        <w:rPr>
          <w:rFonts w:asciiTheme="minorHAnsi" w:hAnsiTheme="minorHAnsi" w:cstheme="minorHAnsi"/>
          <w:sz w:val="22"/>
          <w:szCs w:val="22"/>
        </w:rPr>
        <w:t xml:space="preserve"> </w:t>
      </w:r>
      <w:r>
        <w:rPr>
          <w:rFonts w:asciiTheme="minorHAnsi" w:hAnsiTheme="minorHAnsi" w:cstheme="minorHAnsi"/>
          <w:sz w:val="22"/>
          <w:szCs w:val="22"/>
        </w:rPr>
        <w:t>u</w:t>
      </w:r>
      <w:r w:rsidR="00A11029" w:rsidRPr="000635E1">
        <w:rPr>
          <w:rFonts w:asciiTheme="minorHAnsi" w:hAnsiTheme="minorHAnsi" w:cstheme="minorHAnsi"/>
          <w:sz w:val="22"/>
          <w:szCs w:val="22"/>
        </w:rPr>
        <w:t xml:space="preserve"> skladu sa Zakonom o budžetu za 2017. godinu, iznos</w:t>
      </w:r>
      <w:r>
        <w:rPr>
          <w:rFonts w:asciiTheme="minorHAnsi" w:hAnsiTheme="minorHAnsi" w:cstheme="minorHAnsi"/>
          <w:sz w:val="22"/>
          <w:szCs w:val="22"/>
        </w:rPr>
        <w:t>i</w:t>
      </w:r>
      <w:r w:rsidR="00A11029" w:rsidRPr="000635E1">
        <w:rPr>
          <w:rFonts w:asciiTheme="minorHAnsi" w:hAnsiTheme="minorHAnsi" w:cstheme="minorHAnsi"/>
          <w:sz w:val="22"/>
          <w:szCs w:val="22"/>
        </w:rPr>
        <w:t xml:space="preserve"> 454,3 mil.€, od čega je za potrebe finansiranja otplate duga predviđeno 220,4 mil.€, za potrebe finansiranja troškova izgradnje </w:t>
      </w:r>
      <w:r>
        <w:rPr>
          <w:rFonts w:asciiTheme="minorHAnsi" w:hAnsiTheme="minorHAnsi" w:cstheme="minorHAnsi"/>
          <w:sz w:val="22"/>
          <w:szCs w:val="22"/>
        </w:rPr>
        <w:t>A</w:t>
      </w:r>
      <w:r w:rsidR="00A11029" w:rsidRPr="000635E1">
        <w:rPr>
          <w:rFonts w:asciiTheme="minorHAnsi" w:hAnsiTheme="minorHAnsi" w:cstheme="minorHAnsi"/>
          <w:sz w:val="22"/>
          <w:szCs w:val="22"/>
        </w:rPr>
        <w:t xml:space="preserve">utoputa oko 200,0 mil.€, dok je za potrebe finansiranja deficita i stvaranja fiskalnih rezervi </w:t>
      </w:r>
      <w:r w:rsidR="003536C9">
        <w:rPr>
          <w:rFonts w:asciiTheme="minorHAnsi" w:hAnsiTheme="minorHAnsi" w:cstheme="minorHAnsi"/>
          <w:sz w:val="22"/>
          <w:szCs w:val="22"/>
        </w:rPr>
        <w:t xml:space="preserve">predviđeno </w:t>
      </w:r>
      <w:r w:rsidR="00A11029" w:rsidRPr="000635E1">
        <w:rPr>
          <w:rFonts w:asciiTheme="minorHAnsi" w:hAnsiTheme="minorHAnsi" w:cstheme="minorHAnsi"/>
          <w:sz w:val="22"/>
          <w:szCs w:val="22"/>
        </w:rPr>
        <w:t xml:space="preserve">oko 33,9 mil.€. Za otplatu duga u 2018. godini biće potrebno obezbjediti znatno manji iznos, od oko 215,0 mil.€. Za 2019. i 2020. godinu obaveze za otplatu duga će značajno porasti, prvenstveno zbog otplate euroobveznica emitovanih u 2014. i 2015. godini, u iznosu od 280,0 mil.€ i 500,0 mil.€ i iznosiće oko 530,0 mil.€, odnosno oko 760,0 mil.€. </w:t>
      </w:r>
    </w:p>
    <w:p w:rsidR="002E333A" w:rsidRPr="00336B1C" w:rsidRDefault="002E333A" w:rsidP="00A11029">
      <w:pPr>
        <w:spacing w:line="240" w:lineRule="auto"/>
        <w:rPr>
          <w:rFonts w:asciiTheme="minorHAnsi" w:hAnsiTheme="minorHAnsi" w:cstheme="minorHAnsi"/>
          <w:sz w:val="22"/>
          <w:szCs w:val="22"/>
        </w:rPr>
      </w:pPr>
    </w:p>
    <w:p w:rsidR="00C06475" w:rsidRPr="00336B1C" w:rsidRDefault="005A4EA3" w:rsidP="00A11029">
      <w:pPr>
        <w:spacing w:line="240" w:lineRule="auto"/>
        <w:rPr>
          <w:rFonts w:asciiTheme="minorHAnsi" w:hAnsiTheme="minorHAnsi" w:cstheme="minorHAnsi"/>
          <w:sz w:val="22"/>
          <w:szCs w:val="22"/>
        </w:rPr>
      </w:pPr>
      <w:r w:rsidRPr="005A4EA3">
        <w:rPr>
          <w:rFonts w:asciiTheme="minorHAnsi" w:hAnsiTheme="minorHAnsi" w:cstheme="minorHAnsi"/>
          <w:sz w:val="22"/>
          <w:szCs w:val="22"/>
        </w:rPr>
        <w:t xml:space="preserve">Uzimajući u obzir ukupne mjere fiskalne konsolidacije zaključno sa 2020.godinom, u narednoj tabeli je prikazana projekcija kretanja državnog i javnog duga za period do 2020. </w:t>
      </w:r>
      <w:r w:rsidR="00F078A9">
        <w:rPr>
          <w:rFonts w:asciiTheme="minorHAnsi" w:hAnsiTheme="minorHAnsi" w:cstheme="minorHAnsi"/>
          <w:sz w:val="22"/>
          <w:szCs w:val="22"/>
        </w:rPr>
        <w:t>g</w:t>
      </w:r>
      <w:r w:rsidR="00F078A9" w:rsidRPr="005A4EA3">
        <w:rPr>
          <w:rFonts w:asciiTheme="minorHAnsi" w:hAnsiTheme="minorHAnsi" w:cstheme="minorHAnsi"/>
          <w:sz w:val="22"/>
          <w:szCs w:val="22"/>
        </w:rPr>
        <w:t>odine</w:t>
      </w:r>
      <w:r w:rsidR="00F078A9">
        <w:rPr>
          <w:rFonts w:asciiTheme="minorHAnsi" w:hAnsiTheme="minorHAnsi" w:cstheme="minorHAnsi"/>
          <w:sz w:val="22"/>
          <w:szCs w:val="22"/>
        </w:rPr>
        <w:t>:</w:t>
      </w:r>
    </w:p>
    <w:p w:rsidR="00336B1C" w:rsidRPr="00336B1C" w:rsidRDefault="00336B1C" w:rsidP="00A11029">
      <w:pPr>
        <w:spacing w:line="240" w:lineRule="auto"/>
        <w:rPr>
          <w:rFonts w:asciiTheme="minorHAnsi" w:hAnsiTheme="minorHAnsi" w:cstheme="minorHAnsi"/>
          <w:sz w:val="22"/>
          <w:szCs w:val="22"/>
        </w:rPr>
      </w:pPr>
    </w:p>
    <w:p w:rsidR="00C06475" w:rsidRPr="00C06475" w:rsidRDefault="00C06475" w:rsidP="00D00F17">
      <w:pPr>
        <w:pStyle w:val="Caption"/>
        <w:keepNext/>
        <w:jc w:val="center"/>
        <w:rPr>
          <w:sz w:val="20"/>
          <w:szCs w:val="20"/>
        </w:rPr>
      </w:pPr>
      <w:r w:rsidRPr="00C06475">
        <w:rPr>
          <w:sz w:val="20"/>
          <w:szCs w:val="20"/>
        </w:rPr>
        <w:t xml:space="preserve">Tabela </w:t>
      </w:r>
      <w:r w:rsidR="000D71A3" w:rsidRPr="00C06475">
        <w:rPr>
          <w:sz w:val="20"/>
          <w:szCs w:val="20"/>
        </w:rPr>
        <w:fldChar w:fldCharType="begin"/>
      </w:r>
      <w:r w:rsidRPr="00C06475">
        <w:rPr>
          <w:sz w:val="20"/>
          <w:szCs w:val="20"/>
        </w:rPr>
        <w:instrText xml:space="preserve"> SEQ Tabela \* ARABIC </w:instrText>
      </w:r>
      <w:r w:rsidR="000D71A3" w:rsidRPr="00C06475">
        <w:rPr>
          <w:sz w:val="20"/>
          <w:szCs w:val="20"/>
        </w:rPr>
        <w:fldChar w:fldCharType="separate"/>
      </w:r>
      <w:r w:rsidR="002D5E45">
        <w:rPr>
          <w:noProof/>
          <w:sz w:val="20"/>
          <w:szCs w:val="20"/>
        </w:rPr>
        <w:t>4</w:t>
      </w:r>
      <w:r w:rsidR="000D71A3" w:rsidRPr="00C06475">
        <w:rPr>
          <w:sz w:val="20"/>
          <w:szCs w:val="20"/>
        </w:rPr>
        <w:fldChar w:fldCharType="end"/>
      </w:r>
      <w:r w:rsidRPr="00C06475">
        <w:rPr>
          <w:sz w:val="20"/>
          <w:szCs w:val="20"/>
        </w:rPr>
        <w:t xml:space="preserve"> Kretanje državnog I javnog duga za period za period 2016-2020. godine</w:t>
      </w:r>
    </w:p>
    <w:tbl>
      <w:tblPr>
        <w:tblW w:w="5000" w:type="pct"/>
        <w:tblLook w:val="04A0"/>
      </w:tblPr>
      <w:tblGrid>
        <w:gridCol w:w="3946"/>
        <w:gridCol w:w="1125"/>
        <w:gridCol w:w="1125"/>
        <w:gridCol w:w="1125"/>
        <w:gridCol w:w="1125"/>
        <w:gridCol w:w="1124"/>
      </w:tblGrid>
      <w:tr w:rsidR="002C433A" w:rsidRPr="007C0116" w:rsidTr="00C06475">
        <w:trPr>
          <w:trHeight w:val="300"/>
        </w:trPr>
        <w:tc>
          <w:tcPr>
            <w:tcW w:w="2061" w:type="pct"/>
            <w:tcBorders>
              <w:top w:val="single" w:sz="4" w:space="0" w:color="C0504D"/>
              <w:left w:val="nil"/>
              <w:bottom w:val="single" w:sz="4" w:space="0" w:color="C0504D"/>
              <w:right w:val="nil"/>
            </w:tcBorders>
            <w:shd w:val="clear" w:color="auto" w:fill="auto"/>
            <w:noWrap/>
            <w:vAlign w:val="center"/>
            <w:hideMark/>
          </w:tcPr>
          <w:p w:rsidR="002C433A" w:rsidRPr="007C0116" w:rsidRDefault="002C433A" w:rsidP="00462D31">
            <w:pPr>
              <w:spacing w:line="240" w:lineRule="auto"/>
              <w:jc w:val="center"/>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godina</w:t>
            </w:r>
          </w:p>
        </w:tc>
        <w:tc>
          <w:tcPr>
            <w:tcW w:w="588" w:type="pct"/>
            <w:tcBorders>
              <w:top w:val="single" w:sz="4" w:space="0" w:color="C0504D"/>
              <w:left w:val="nil"/>
              <w:bottom w:val="single" w:sz="4" w:space="0" w:color="C0504D"/>
              <w:right w:val="nil"/>
            </w:tcBorders>
            <w:shd w:val="clear" w:color="auto" w:fill="auto"/>
            <w:noWrap/>
            <w:vAlign w:val="center"/>
            <w:hideMark/>
          </w:tcPr>
          <w:p w:rsidR="002C433A" w:rsidRPr="007C0116" w:rsidRDefault="002C433A" w:rsidP="00462D31">
            <w:pPr>
              <w:spacing w:line="240" w:lineRule="auto"/>
              <w:jc w:val="center"/>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2016</w:t>
            </w:r>
            <w:r w:rsidR="007C0116">
              <w:rPr>
                <w:rFonts w:asciiTheme="minorHAnsi" w:hAnsiTheme="minorHAnsi" w:cstheme="minorHAnsi"/>
                <w:b/>
                <w:bCs/>
                <w:color w:val="953735"/>
                <w:sz w:val="20"/>
                <w:szCs w:val="20"/>
                <w:lang w:val="en-GB" w:eastAsia="en-GB"/>
              </w:rPr>
              <w:t>.</w:t>
            </w:r>
          </w:p>
        </w:tc>
        <w:tc>
          <w:tcPr>
            <w:tcW w:w="588" w:type="pct"/>
            <w:tcBorders>
              <w:top w:val="single" w:sz="4" w:space="0" w:color="C0504D"/>
              <w:left w:val="nil"/>
              <w:bottom w:val="single" w:sz="4" w:space="0" w:color="C0504D"/>
              <w:right w:val="nil"/>
            </w:tcBorders>
            <w:shd w:val="clear" w:color="auto" w:fill="auto"/>
            <w:noWrap/>
            <w:vAlign w:val="center"/>
            <w:hideMark/>
          </w:tcPr>
          <w:p w:rsidR="002C433A" w:rsidRPr="007C0116" w:rsidRDefault="002C433A" w:rsidP="00462D31">
            <w:pPr>
              <w:spacing w:line="240" w:lineRule="auto"/>
              <w:jc w:val="center"/>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2017</w:t>
            </w:r>
            <w:r w:rsidR="007C0116">
              <w:rPr>
                <w:rFonts w:asciiTheme="minorHAnsi" w:hAnsiTheme="minorHAnsi" w:cstheme="minorHAnsi"/>
                <w:b/>
                <w:bCs/>
                <w:color w:val="953735"/>
                <w:sz w:val="20"/>
                <w:szCs w:val="20"/>
                <w:lang w:val="en-GB" w:eastAsia="en-GB"/>
              </w:rPr>
              <w:t>.</w:t>
            </w:r>
          </w:p>
        </w:tc>
        <w:tc>
          <w:tcPr>
            <w:tcW w:w="588" w:type="pct"/>
            <w:tcBorders>
              <w:top w:val="single" w:sz="4" w:space="0" w:color="C0504D"/>
              <w:left w:val="nil"/>
              <w:bottom w:val="single" w:sz="4" w:space="0" w:color="C0504D"/>
              <w:right w:val="nil"/>
            </w:tcBorders>
            <w:shd w:val="clear" w:color="auto" w:fill="auto"/>
            <w:noWrap/>
            <w:vAlign w:val="center"/>
            <w:hideMark/>
          </w:tcPr>
          <w:p w:rsidR="002C433A" w:rsidRPr="007C0116" w:rsidRDefault="002C433A" w:rsidP="00462D31">
            <w:pPr>
              <w:spacing w:line="240" w:lineRule="auto"/>
              <w:jc w:val="center"/>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2018</w:t>
            </w:r>
            <w:r w:rsidR="007C0116">
              <w:rPr>
                <w:rFonts w:asciiTheme="minorHAnsi" w:hAnsiTheme="minorHAnsi" w:cstheme="minorHAnsi"/>
                <w:b/>
                <w:bCs/>
                <w:color w:val="953735"/>
                <w:sz w:val="20"/>
                <w:szCs w:val="20"/>
                <w:lang w:val="en-GB" w:eastAsia="en-GB"/>
              </w:rPr>
              <w:t>.</w:t>
            </w:r>
          </w:p>
        </w:tc>
        <w:tc>
          <w:tcPr>
            <w:tcW w:w="588" w:type="pct"/>
            <w:tcBorders>
              <w:top w:val="single" w:sz="4" w:space="0" w:color="C0504D"/>
              <w:left w:val="nil"/>
              <w:bottom w:val="single" w:sz="4" w:space="0" w:color="C0504D"/>
              <w:right w:val="nil"/>
            </w:tcBorders>
            <w:shd w:val="clear" w:color="auto" w:fill="auto"/>
            <w:noWrap/>
            <w:vAlign w:val="center"/>
            <w:hideMark/>
          </w:tcPr>
          <w:p w:rsidR="002C433A" w:rsidRPr="007C0116" w:rsidRDefault="002C433A" w:rsidP="00462D31">
            <w:pPr>
              <w:spacing w:line="240" w:lineRule="auto"/>
              <w:jc w:val="center"/>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2019</w:t>
            </w:r>
            <w:r w:rsidR="007C0116">
              <w:rPr>
                <w:rFonts w:asciiTheme="minorHAnsi" w:hAnsiTheme="minorHAnsi" w:cstheme="minorHAnsi"/>
                <w:b/>
                <w:bCs/>
                <w:color w:val="953735"/>
                <w:sz w:val="20"/>
                <w:szCs w:val="20"/>
                <w:lang w:val="en-GB" w:eastAsia="en-GB"/>
              </w:rPr>
              <w:t>.</w:t>
            </w:r>
          </w:p>
        </w:tc>
        <w:tc>
          <w:tcPr>
            <w:tcW w:w="587" w:type="pct"/>
            <w:tcBorders>
              <w:top w:val="single" w:sz="4" w:space="0" w:color="C0504D"/>
              <w:left w:val="nil"/>
              <w:bottom w:val="single" w:sz="4" w:space="0" w:color="C0504D"/>
              <w:right w:val="nil"/>
            </w:tcBorders>
            <w:shd w:val="clear" w:color="auto" w:fill="auto"/>
            <w:noWrap/>
            <w:vAlign w:val="center"/>
            <w:hideMark/>
          </w:tcPr>
          <w:p w:rsidR="002C433A" w:rsidRPr="007C0116" w:rsidRDefault="002C433A" w:rsidP="00462D31">
            <w:pPr>
              <w:spacing w:line="240" w:lineRule="auto"/>
              <w:jc w:val="center"/>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2020</w:t>
            </w:r>
            <w:r w:rsidR="007C0116">
              <w:rPr>
                <w:rFonts w:asciiTheme="minorHAnsi" w:hAnsiTheme="minorHAnsi" w:cstheme="minorHAnsi"/>
                <w:b/>
                <w:bCs/>
                <w:color w:val="953735"/>
                <w:sz w:val="20"/>
                <w:szCs w:val="20"/>
                <w:lang w:val="en-GB" w:eastAsia="en-GB"/>
              </w:rPr>
              <w:t>.</w:t>
            </w:r>
          </w:p>
        </w:tc>
      </w:tr>
      <w:tr w:rsidR="002C433A" w:rsidRPr="007C0116" w:rsidTr="00C06475">
        <w:trPr>
          <w:trHeight w:val="300"/>
        </w:trPr>
        <w:tc>
          <w:tcPr>
            <w:tcW w:w="2061"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lef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BDP</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3.772,6</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3.957,2</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4.192,4</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4.372,2</w:t>
            </w:r>
          </w:p>
        </w:tc>
        <w:tc>
          <w:tcPr>
            <w:tcW w:w="587"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4.536,4</w:t>
            </w:r>
          </w:p>
        </w:tc>
      </w:tr>
      <w:tr w:rsidR="002C433A" w:rsidRPr="007C0116" w:rsidTr="00C06475">
        <w:trPr>
          <w:trHeight w:val="300"/>
        </w:trPr>
        <w:tc>
          <w:tcPr>
            <w:tcW w:w="2061"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lef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Unutrašnji dug</w:t>
            </w:r>
          </w:p>
        </w:tc>
        <w:tc>
          <w:tcPr>
            <w:tcW w:w="588"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400,2</w:t>
            </w:r>
          </w:p>
        </w:tc>
        <w:tc>
          <w:tcPr>
            <w:tcW w:w="588"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363,6</w:t>
            </w:r>
          </w:p>
        </w:tc>
        <w:tc>
          <w:tcPr>
            <w:tcW w:w="588"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327,1</w:t>
            </w:r>
          </w:p>
        </w:tc>
        <w:tc>
          <w:tcPr>
            <w:tcW w:w="588"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297,2</w:t>
            </w:r>
          </w:p>
        </w:tc>
        <w:tc>
          <w:tcPr>
            <w:tcW w:w="587"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187,2</w:t>
            </w:r>
          </w:p>
        </w:tc>
      </w:tr>
      <w:tr w:rsidR="002C433A" w:rsidRPr="007C0116" w:rsidTr="00C06475">
        <w:trPr>
          <w:trHeight w:val="300"/>
        </w:trPr>
        <w:tc>
          <w:tcPr>
            <w:tcW w:w="2061"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lef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Spoljni dug</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2.002,8</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2.381,5</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2.656,4</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2.795,7</w:t>
            </w:r>
          </w:p>
        </w:tc>
        <w:tc>
          <w:tcPr>
            <w:tcW w:w="587"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2.708,2</w:t>
            </w:r>
          </w:p>
        </w:tc>
      </w:tr>
      <w:tr w:rsidR="002C433A" w:rsidRPr="007C0116" w:rsidTr="00C06475">
        <w:trPr>
          <w:trHeight w:val="300"/>
        </w:trPr>
        <w:tc>
          <w:tcPr>
            <w:tcW w:w="2061"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lef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Ukupno državni dug</w:t>
            </w:r>
          </w:p>
        </w:tc>
        <w:tc>
          <w:tcPr>
            <w:tcW w:w="588"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2.403,0</w:t>
            </w:r>
          </w:p>
        </w:tc>
        <w:tc>
          <w:tcPr>
            <w:tcW w:w="588"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2.745,1</w:t>
            </w:r>
          </w:p>
        </w:tc>
        <w:tc>
          <w:tcPr>
            <w:tcW w:w="588"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2.983,5</w:t>
            </w:r>
          </w:p>
        </w:tc>
        <w:tc>
          <w:tcPr>
            <w:tcW w:w="588"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3.092,9</w:t>
            </w:r>
          </w:p>
        </w:tc>
        <w:tc>
          <w:tcPr>
            <w:tcW w:w="587"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2.895,4</w:t>
            </w:r>
          </w:p>
        </w:tc>
      </w:tr>
      <w:tr w:rsidR="002C433A" w:rsidRPr="007C0116" w:rsidTr="00C06475">
        <w:trPr>
          <w:trHeight w:val="300"/>
        </w:trPr>
        <w:tc>
          <w:tcPr>
            <w:tcW w:w="2061"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lef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Ukupno državni dug %BDP-a</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63,7%</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69,4%</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71,2%</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70,7%</w:t>
            </w:r>
          </w:p>
        </w:tc>
        <w:tc>
          <w:tcPr>
            <w:tcW w:w="587"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63,8%</w:t>
            </w:r>
          </w:p>
        </w:tc>
      </w:tr>
      <w:tr w:rsidR="002C433A" w:rsidRPr="007C0116" w:rsidTr="00C06475">
        <w:trPr>
          <w:trHeight w:val="300"/>
        </w:trPr>
        <w:tc>
          <w:tcPr>
            <w:tcW w:w="2061"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lef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Dug lokalne samouprave</w:t>
            </w:r>
          </w:p>
        </w:tc>
        <w:tc>
          <w:tcPr>
            <w:tcW w:w="588"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143,1</w:t>
            </w:r>
          </w:p>
        </w:tc>
        <w:tc>
          <w:tcPr>
            <w:tcW w:w="588"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143,1</w:t>
            </w:r>
          </w:p>
        </w:tc>
        <w:tc>
          <w:tcPr>
            <w:tcW w:w="588"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143,1</w:t>
            </w:r>
          </w:p>
        </w:tc>
        <w:tc>
          <w:tcPr>
            <w:tcW w:w="588"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143,1</w:t>
            </w:r>
          </w:p>
        </w:tc>
        <w:tc>
          <w:tcPr>
            <w:tcW w:w="587" w:type="pct"/>
            <w:tcBorders>
              <w:top w:val="nil"/>
              <w:left w:val="nil"/>
              <w:bottom w:val="nil"/>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color w:val="953735"/>
                <w:sz w:val="20"/>
                <w:szCs w:val="20"/>
                <w:lang w:val="en-GB" w:eastAsia="en-GB"/>
              </w:rPr>
            </w:pPr>
            <w:r w:rsidRPr="007C0116">
              <w:rPr>
                <w:rFonts w:asciiTheme="minorHAnsi" w:hAnsiTheme="minorHAnsi" w:cstheme="minorHAnsi"/>
                <w:color w:val="953735"/>
                <w:sz w:val="20"/>
                <w:szCs w:val="20"/>
                <w:lang w:val="en-GB" w:eastAsia="en-GB"/>
              </w:rPr>
              <w:t>143,1</w:t>
            </w:r>
          </w:p>
        </w:tc>
      </w:tr>
      <w:tr w:rsidR="002C433A" w:rsidRPr="007C0116" w:rsidTr="00C06475">
        <w:trPr>
          <w:trHeight w:val="300"/>
        </w:trPr>
        <w:tc>
          <w:tcPr>
            <w:tcW w:w="2061"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lef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Ukupno javni dug</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2.546,1</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2.888,2</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3.126,6</w:t>
            </w:r>
          </w:p>
        </w:tc>
        <w:tc>
          <w:tcPr>
            <w:tcW w:w="588"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3.236,0</w:t>
            </w:r>
          </w:p>
        </w:tc>
        <w:tc>
          <w:tcPr>
            <w:tcW w:w="587" w:type="pct"/>
            <w:tcBorders>
              <w:top w:val="nil"/>
              <w:left w:val="nil"/>
              <w:bottom w:val="nil"/>
              <w:right w:val="nil"/>
            </w:tcBorders>
            <w:shd w:val="clear" w:color="F2DDDC" w:fill="F2DDDC"/>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3.038,5</w:t>
            </w:r>
          </w:p>
        </w:tc>
      </w:tr>
      <w:tr w:rsidR="002C433A" w:rsidRPr="007C0116" w:rsidTr="00C06475">
        <w:trPr>
          <w:trHeight w:val="300"/>
        </w:trPr>
        <w:tc>
          <w:tcPr>
            <w:tcW w:w="2061" w:type="pct"/>
            <w:tcBorders>
              <w:top w:val="nil"/>
              <w:left w:val="nil"/>
              <w:bottom w:val="single" w:sz="4" w:space="0" w:color="C0504D"/>
              <w:right w:val="nil"/>
            </w:tcBorders>
            <w:shd w:val="clear" w:color="auto" w:fill="auto"/>
            <w:noWrap/>
            <w:vAlign w:val="bottom"/>
            <w:hideMark/>
          </w:tcPr>
          <w:p w:rsidR="002C433A" w:rsidRPr="007C0116" w:rsidRDefault="002C433A" w:rsidP="00462D31">
            <w:pPr>
              <w:spacing w:line="240" w:lineRule="auto"/>
              <w:jc w:val="lef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Ukupno javni dug % BDP-a</w:t>
            </w:r>
          </w:p>
        </w:tc>
        <w:tc>
          <w:tcPr>
            <w:tcW w:w="588" w:type="pct"/>
            <w:tcBorders>
              <w:top w:val="nil"/>
              <w:left w:val="nil"/>
              <w:bottom w:val="single" w:sz="4" w:space="0" w:color="C0504D"/>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67,5%</w:t>
            </w:r>
          </w:p>
        </w:tc>
        <w:tc>
          <w:tcPr>
            <w:tcW w:w="588" w:type="pct"/>
            <w:tcBorders>
              <w:top w:val="nil"/>
              <w:left w:val="nil"/>
              <w:bottom w:val="single" w:sz="4" w:space="0" w:color="C0504D"/>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73,0%</w:t>
            </w:r>
          </w:p>
        </w:tc>
        <w:tc>
          <w:tcPr>
            <w:tcW w:w="588" w:type="pct"/>
            <w:tcBorders>
              <w:top w:val="nil"/>
              <w:left w:val="nil"/>
              <w:bottom w:val="single" w:sz="4" w:space="0" w:color="C0504D"/>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74,6%</w:t>
            </w:r>
          </w:p>
        </w:tc>
        <w:tc>
          <w:tcPr>
            <w:tcW w:w="588" w:type="pct"/>
            <w:tcBorders>
              <w:top w:val="nil"/>
              <w:left w:val="nil"/>
              <w:bottom w:val="single" w:sz="4" w:space="0" w:color="C0504D"/>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74,0%</w:t>
            </w:r>
          </w:p>
        </w:tc>
        <w:tc>
          <w:tcPr>
            <w:tcW w:w="587" w:type="pct"/>
            <w:tcBorders>
              <w:top w:val="nil"/>
              <w:left w:val="nil"/>
              <w:bottom w:val="single" w:sz="4" w:space="0" w:color="C0504D"/>
              <w:right w:val="nil"/>
            </w:tcBorders>
            <w:shd w:val="clear" w:color="auto" w:fill="auto"/>
            <w:noWrap/>
            <w:vAlign w:val="bottom"/>
            <w:hideMark/>
          </w:tcPr>
          <w:p w:rsidR="002C433A" w:rsidRPr="007C0116" w:rsidRDefault="002C433A" w:rsidP="00462D31">
            <w:pPr>
              <w:spacing w:line="240" w:lineRule="auto"/>
              <w:jc w:val="right"/>
              <w:rPr>
                <w:rFonts w:asciiTheme="minorHAnsi" w:hAnsiTheme="minorHAnsi" w:cstheme="minorHAnsi"/>
                <w:b/>
                <w:bCs/>
                <w:color w:val="953735"/>
                <w:sz w:val="20"/>
                <w:szCs w:val="20"/>
                <w:lang w:val="en-GB" w:eastAsia="en-GB"/>
              </w:rPr>
            </w:pPr>
            <w:r w:rsidRPr="007C0116">
              <w:rPr>
                <w:rFonts w:asciiTheme="minorHAnsi" w:hAnsiTheme="minorHAnsi" w:cstheme="minorHAnsi"/>
                <w:b/>
                <w:bCs/>
                <w:color w:val="953735"/>
                <w:sz w:val="20"/>
                <w:szCs w:val="20"/>
                <w:lang w:val="en-GB" w:eastAsia="en-GB"/>
              </w:rPr>
              <w:t>67,0%</w:t>
            </w:r>
          </w:p>
        </w:tc>
      </w:tr>
    </w:tbl>
    <w:p w:rsidR="00A11029" w:rsidRPr="000635E1" w:rsidRDefault="00A11029" w:rsidP="00A11029">
      <w:pPr>
        <w:spacing w:line="240" w:lineRule="auto"/>
        <w:rPr>
          <w:rFonts w:asciiTheme="minorHAnsi" w:hAnsiTheme="minorHAnsi" w:cstheme="minorHAnsi"/>
          <w:sz w:val="22"/>
          <w:szCs w:val="22"/>
        </w:rPr>
      </w:pPr>
    </w:p>
    <w:p w:rsidR="00A11029" w:rsidRDefault="006D1592" w:rsidP="00A11029">
      <w:pPr>
        <w:spacing w:line="240" w:lineRule="auto"/>
        <w:rPr>
          <w:rFonts w:asciiTheme="minorHAnsi" w:hAnsiTheme="minorHAnsi" w:cstheme="minorHAnsi"/>
          <w:sz w:val="22"/>
          <w:szCs w:val="22"/>
        </w:rPr>
      </w:pPr>
      <w:r>
        <w:rPr>
          <w:rFonts w:asciiTheme="minorHAnsi" w:hAnsiTheme="minorHAnsi" w:cstheme="minorHAnsi"/>
          <w:sz w:val="22"/>
          <w:szCs w:val="22"/>
        </w:rPr>
        <w:t>Kao što se vidi iz tabele</w:t>
      </w:r>
      <w:r w:rsidR="00A11029" w:rsidRPr="000635E1">
        <w:rPr>
          <w:rFonts w:asciiTheme="minorHAnsi" w:hAnsiTheme="minorHAnsi" w:cstheme="minorHAnsi"/>
          <w:sz w:val="22"/>
          <w:szCs w:val="22"/>
        </w:rPr>
        <w:t>, očekuje se rast javnog duga do 2018. godine, kada će dostići maksimum od 74,</w:t>
      </w:r>
      <w:r w:rsidR="002C433A">
        <w:rPr>
          <w:rFonts w:asciiTheme="minorHAnsi" w:hAnsiTheme="minorHAnsi" w:cstheme="minorHAnsi"/>
          <w:sz w:val="22"/>
          <w:szCs w:val="22"/>
        </w:rPr>
        <w:t>6</w:t>
      </w:r>
      <w:r w:rsidR="00A11029" w:rsidRPr="000635E1">
        <w:rPr>
          <w:rFonts w:asciiTheme="minorHAnsi" w:hAnsiTheme="minorHAnsi" w:cstheme="minorHAnsi"/>
          <w:sz w:val="22"/>
          <w:szCs w:val="22"/>
        </w:rPr>
        <w:t xml:space="preserve"> % BDP-a, nakon čega se očekuje blagi pad u 2019. godini, a za</w:t>
      </w:r>
      <w:r w:rsidR="002C433A">
        <w:rPr>
          <w:rFonts w:asciiTheme="minorHAnsi" w:hAnsiTheme="minorHAnsi" w:cstheme="minorHAnsi"/>
          <w:sz w:val="22"/>
          <w:szCs w:val="22"/>
        </w:rPr>
        <w:t>tim i značajno smanjenje na 67,0</w:t>
      </w:r>
      <w:r w:rsidR="00A11029" w:rsidRPr="000635E1">
        <w:rPr>
          <w:rFonts w:asciiTheme="minorHAnsi" w:hAnsiTheme="minorHAnsi" w:cstheme="minorHAnsi"/>
          <w:sz w:val="22"/>
          <w:szCs w:val="22"/>
        </w:rPr>
        <w:t xml:space="preserve"> % BDP-a u 2020. godini. </w:t>
      </w:r>
      <w:r>
        <w:rPr>
          <w:rFonts w:asciiTheme="minorHAnsi" w:hAnsiTheme="minorHAnsi" w:cstheme="minorHAnsi"/>
          <w:sz w:val="22"/>
          <w:szCs w:val="22"/>
        </w:rPr>
        <w:t>R</w:t>
      </w:r>
      <w:r w:rsidR="00A11029" w:rsidRPr="000635E1">
        <w:rPr>
          <w:rFonts w:asciiTheme="minorHAnsi" w:hAnsiTheme="minorHAnsi" w:cstheme="minorHAnsi"/>
          <w:sz w:val="22"/>
          <w:szCs w:val="22"/>
        </w:rPr>
        <w:t>ast duga u naredne tri godine uzrokovan je najvećim dijelom potreb</w:t>
      </w:r>
      <w:r>
        <w:rPr>
          <w:rFonts w:asciiTheme="minorHAnsi" w:hAnsiTheme="minorHAnsi" w:cstheme="minorHAnsi"/>
          <w:sz w:val="22"/>
          <w:szCs w:val="22"/>
        </w:rPr>
        <w:t>om</w:t>
      </w:r>
      <w:r w:rsidR="00A11029" w:rsidRPr="000635E1">
        <w:rPr>
          <w:rFonts w:asciiTheme="minorHAnsi" w:hAnsiTheme="minorHAnsi" w:cstheme="minorHAnsi"/>
          <w:sz w:val="22"/>
          <w:szCs w:val="22"/>
        </w:rPr>
        <w:t xml:space="preserve"> finansiranja izgradnje prioritetne dionice autoputa Smokovac –Mateševo. </w:t>
      </w:r>
    </w:p>
    <w:p w:rsidR="002C433A" w:rsidRDefault="002C433A" w:rsidP="00A11029">
      <w:pPr>
        <w:spacing w:line="240" w:lineRule="auto"/>
        <w:rPr>
          <w:rFonts w:asciiTheme="minorHAnsi" w:hAnsiTheme="minorHAnsi" w:cstheme="minorHAnsi"/>
          <w:sz w:val="22"/>
          <w:szCs w:val="22"/>
        </w:rPr>
      </w:pPr>
    </w:p>
    <w:p w:rsidR="00C06475" w:rsidRPr="00C06475" w:rsidRDefault="00C06475" w:rsidP="00D00F17">
      <w:pPr>
        <w:pStyle w:val="Caption"/>
        <w:keepNext/>
        <w:jc w:val="center"/>
        <w:rPr>
          <w:sz w:val="20"/>
          <w:szCs w:val="20"/>
        </w:rPr>
      </w:pPr>
      <w:r w:rsidRPr="00C06475">
        <w:rPr>
          <w:sz w:val="20"/>
          <w:szCs w:val="20"/>
        </w:rPr>
        <w:t xml:space="preserve">Grafik </w:t>
      </w:r>
      <w:r w:rsidR="000D71A3" w:rsidRPr="00C06475">
        <w:rPr>
          <w:sz w:val="20"/>
          <w:szCs w:val="20"/>
        </w:rPr>
        <w:fldChar w:fldCharType="begin"/>
      </w:r>
      <w:r w:rsidRPr="00C06475">
        <w:rPr>
          <w:sz w:val="20"/>
          <w:szCs w:val="20"/>
        </w:rPr>
        <w:instrText xml:space="preserve"> SEQ Grafik \* ARABIC </w:instrText>
      </w:r>
      <w:r w:rsidR="000D71A3" w:rsidRPr="00C06475">
        <w:rPr>
          <w:sz w:val="20"/>
          <w:szCs w:val="20"/>
        </w:rPr>
        <w:fldChar w:fldCharType="separate"/>
      </w:r>
      <w:r w:rsidR="002D5E45">
        <w:rPr>
          <w:noProof/>
          <w:sz w:val="20"/>
          <w:szCs w:val="20"/>
        </w:rPr>
        <w:t>4</w:t>
      </w:r>
      <w:r w:rsidR="000D71A3" w:rsidRPr="00C06475">
        <w:rPr>
          <w:sz w:val="20"/>
          <w:szCs w:val="20"/>
        </w:rPr>
        <w:fldChar w:fldCharType="end"/>
      </w:r>
      <w:r w:rsidRPr="00C06475">
        <w:rPr>
          <w:sz w:val="20"/>
          <w:szCs w:val="20"/>
        </w:rPr>
        <w:t xml:space="preserve"> Komparacija javnog duga </w:t>
      </w:r>
      <w:r w:rsidR="00D00F17">
        <w:rPr>
          <w:sz w:val="20"/>
          <w:szCs w:val="20"/>
        </w:rPr>
        <w:t>sa i bez uključenih mjera konsolidacije</w:t>
      </w:r>
    </w:p>
    <w:p w:rsidR="002C433A" w:rsidRPr="000635E1" w:rsidRDefault="002C433A" w:rsidP="00A11029">
      <w:pPr>
        <w:spacing w:line="240" w:lineRule="auto"/>
        <w:rPr>
          <w:rFonts w:asciiTheme="minorHAnsi" w:hAnsiTheme="minorHAnsi" w:cstheme="minorHAnsi"/>
          <w:sz w:val="22"/>
          <w:szCs w:val="22"/>
        </w:rPr>
      </w:pPr>
      <w:r w:rsidRPr="002C433A">
        <w:rPr>
          <w:rFonts w:asciiTheme="minorHAnsi" w:hAnsiTheme="minorHAnsi" w:cstheme="minorHAnsi"/>
          <w:noProof/>
          <w:sz w:val="22"/>
          <w:szCs w:val="22"/>
          <w:lang w:val="en-US"/>
        </w:rPr>
        <w:drawing>
          <wp:inline distT="0" distB="0" distL="0" distR="0">
            <wp:extent cx="5847907" cy="2434856"/>
            <wp:effectExtent l="0" t="0" r="0" b="0"/>
            <wp:docPr id="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1029" w:rsidRPr="000635E1" w:rsidRDefault="00A11029" w:rsidP="00A11029">
      <w:pPr>
        <w:spacing w:line="240" w:lineRule="auto"/>
        <w:rPr>
          <w:rFonts w:asciiTheme="minorHAnsi" w:hAnsiTheme="minorHAnsi" w:cstheme="minorHAnsi"/>
          <w:sz w:val="22"/>
          <w:szCs w:val="22"/>
        </w:rPr>
      </w:pPr>
    </w:p>
    <w:p w:rsidR="00A11029" w:rsidRPr="000635E1" w:rsidRDefault="00A11029" w:rsidP="00A11029">
      <w:pPr>
        <w:spacing w:line="240" w:lineRule="auto"/>
        <w:rPr>
          <w:rFonts w:asciiTheme="minorHAnsi" w:hAnsiTheme="minorHAnsi" w:cstheme="minorHAnsi"/>
          <w:sz w:val="22"/>
          <w:szCs w:val="22"/>
        </w:rPr>
      </w:pPr>
      <w:r w:rsidRPr="000635E1">
        <w:rPr>
          <w:rFonts w:asciiTheme="minorHAnsi" w:hAnsiTheme="minorHAnsi" w:cstheme="minorHAnsi"/>
          <w:sz w:val="22"/>
          <w:szCs w:val="22"/>
        </w:rPr>
        <w:t xml:space="preserve">U 2017. godini, očekuje se da će državni dug iznositi 69,4 % BDP-a, dok će javni dug biti na nivou od 73,0 %. U 2018. i 2019. godini, predviđeno </w:t>
      </w:r>
      <w:r w:rsidR="002C433A">
        <w:rPr>
          <w:rFonts w:asciiTheme="minorHAnsi" w:hAnsiTheme="minorHAnsi" w:cstheme="minorHAnsi"/>
          <w:sz w:val="22"/>
          <w:szCs w:val="22"/>
        </w:rPr>
        <w:t xml:space="preserve">je da će javni dug iznositi 74,6 % BDP-a, odnosno 74,0 </w:t>
      </w:r>
      <w:r w:rsidRPr="000635E1">
        <w:rPr>
          <w:rFonts w:asciiTheme="minorHAnsi" w:hAnsiTheme="minorHAnsi" w:cstheme="minorHAnsi"/>
          <w:sz w:val="22"/>
          <w:szCs w:val="22"/>
        </w:rPr>
        <w:t>% BDP-a. U 2020. godini, očekuje se značajno smanjenje duga za oko 7 % BDP-a, kada će državn</w:t>
      </w:r>
      <w:r w:rsidR="002C433A">
        <w:rPr>
          <w:rFonts w:asciiTheme="minorHAnsi" w:hAnsiTheme="minorHAnsi" w:cstheme="minorHAnsi"/>
          <w:sz w:val="22"/>
          <w:szCs w:val="22"/>
        </w:rPr>
        <w:t xml:space="preserve">i dug iznositi 63,8% BDP-a, a javni 67,0 </w:t>
      </w:r>
      <w:r w:rsidRPr="000635E1">
        <w:rPr>
          <w:rFonts w:asciiTheme="minorHAnsi" w:hAnsiTheme="minorHAnsi" w:cstheme="minorHAnsi"/>
          <w:sz w:val="22"/>
          <w:szCs w:val="22"/>
        </w:rPr>
        <w:t xml:space="preserve">% BDP-a. </w:t>
      </w:r>
      <w:r w:rsidR="006D1592">
        <w:rPr>
          <w:rFonts w:asciiTheme="minorHAnsi" w:hAnsiTheme="minorHAnsi" w:cstheme="minorHAnsi"/>
          <w:sz w:val="22"/>
          <w:szCs w:val="22"/>
        </w:rPr>
        <w:t>Značajno smanjenje duga rezultat je</w:t>
      </w:r>
      <w:r w:rsidRPr="000635E1">
        <w:rPr>
          <w:rFonts w:asciiTheme="minorHAnsi" w:hAnsiTheme="minorHAnsi" w:cstheme="minorHAnsi"/>
          <w:sz w:val="22"/>
          <w:szCs w:val="22"/>
        </w:rPr>
        <w:t xml:space="preserve"> </w:t>
      </w:r>
      <w:r w:rsidR="006D1592">
        <w:rPr>
          <w:rFonts w:asciiTheme="minorHAnsi" w:hAnsiTheme="minorHAnsi" w:cstheme="minorHAnsi"/>
          <w:sz w:val="22"/>
          <w:szCs w:val="22"/>
        </w:rPr>
        <w:t xml:space="preserve">značajnih efekata mjera fiskalne konsolidacije, tako da će se iznos od </w:t>
      </w:r>
      <w:r w:rsidRPr="000635E1">
        <w:rPr>
          <w:rFonts w:asciiTheme="minorHAnsi" w:hAnsiTheme="minorHAnsi" w:cstheme="minorHAnsi"/>
          <w:sz w:val="22"/>
          <w:szCs w:val="22"/>
        </w:rPr>
        <w:t xml:space="preserve">oko 720,0 mil.€, predviđen </w:t>
      </w:r>
      <w:r w:rsidR="006D1592">
        <w:rPr>
          <w:rFonts w:asciiTheme="minorHAnsi" w:hAnsiTheme="minorHAnsi" w:cstheme="minorHAnsi"/>
          <w:sz w:val="22"/>
          <w:szCs w:val="22"/>
        </w:rPr>
        <w:t xml:space="preserve">jesenjim projekcijama, smanjiti </w:t>
      </w:r>
      <w:r w:rsidR="002C433A">
        <w:rPr>
          <w:rFonts w:asciiTheme="minorHAnsi" w:hAnsiTheme="minorHAnsi" w:cstheme="minorHAnsi"/>
          <w:sz w:val="22"/>
          <w:szCs w:val="22"/>
        </w:rPr>
        <w:t>na nivo od oko 560</w:t>
      </w:r>
      <w:r w:rsidRPr="000635E1">
        <w:rPr>
          <w:rFonts w:asciiTheme="minorHAnsi" w:hAnsiTheme="minorHAnsi" w:cstheme="minorHAnsi"/>
          <w:sz w:val="22"/>
          <w:szCs w:val="22"/>
        </w:rPr>
        <w:t xml:space="preserve">,0 mil.€ u 2019. </w:t>
      </w:r>
      <w:r w:rsidR="006D1592">
        <w:rPr>
          <w:rFonts w:asciiTheme="minorHAnsi" w:hAnsiTheme="minorHAnsi" w:cstheme="minorHAnsi"/>
          <w:sz w:val="22"/>
          <w:szCs w:val="22"/>
        </w:rPr>
        <w:t>g</w:t>
      </w:r>
      <w:r w:rsidRPr="000635E1">
        <w:rPr>
          <w:rFonts w:asciiTheme="minorHAnsi" w:hAnsiTheme="minorHAnsi" w:cstheme="minorHAnsi"/>
          <w:sz w:val="22"/>
          <w:szCs w:val="22"/>
        </w:rPr>
        <w:t>odini</w:t>
      </w:r>
      <w:r w:rsidR="006D1592">
        <w:rPr>
          <w:rFonts w:asciiTheme="minorHAnsi" w:hAnsiTheme="minorHAnsi" w:cstheme="minorHAnsi"/>
          <w:sz w:val="22"/>
          <w:szCs w:val="22"/>
        </w:rPr>
        <w:t>.</w:t>
      </w:r>
      <w:r w:rsidRPr="000635E1">
        <w:rPr>
          <w:rFonts w:asciiTheme="minorHAnsi" w:hAnsiTheme="minorHAnsi" w:cstheme="minorHAnsi"/>
          <w:sz w:val="22"/>
          <w:szCs w:val="22"/>
        </w:rPr>
        <w:t xml:space="preserve"> U 2020. godini planirano je ostvarenje suficita u iznosu od oko 20</w:t>
      </w:r>
      <w:r w:rsidR="002C433A">
        <w:rPr>
          <w:rFonts w:asciiTheme="minorHAnsi" w:hAnsiTheme="minorHAnsi" w:cstheme="minorHAnsi"/>
          <w:sz w:val="22"/>
          <w:szCs w:val="22"/>
        </w:rPr>
        <w:t>2</w:t>
      </w:r>
      <w:r w:rsidR="003536C9">
        <w:rPr>
          <w:rFonts w:asciiTheme="minorHAnsi" w:hAnsiTheme="minorHAnsi" w:cstheme="minorHAnsi"/>
          <w:sz w:val="22"/>
          <w:szCs w:val="22"/>
        </w:rPr>
        <w:t>,0 mil.€, koji će uticati na s</w:t>
      </w:r>
      <w:r w:rsidRPr="000635E1">
        <w:rPr>
          <w:rFonts w:asciiTheme="minorHAnsi" w:hAnsiTheme="minorHAnsi" w:cstheme="minorHAnsi"/>
          <w:sz w:val="22"/>
          <w:szCs w:val="22"/>
        </w:rPr>
        <w:t>m</w:t>
      </w:r>
      <w:r w:rsidR="003536C9">
        <w:rPr>
          <w:rFonts w:asciiTheme="minorHAnsi" w:hAnsiTheme="minorHAnsi" w:cstheme="minorHAnsi"/>
          <w:sz w:val="22"/>
          <w:szCs w:val="22"/>
        </w:rPr>
        <w:t>a</w:t>
      </w:r>
      <w:r w:rsidRPr="000635E1">
        <w:rPr>
          <w:rFonts w:asciiTheme="minorHAnsi" w:hAnsiTheme="minorHAnsi" w:cstheme="minorHAnsi"/>
          <w:sz w:val="22"/>
          <w:szCs w:val="22"/>
        </w:rPr>
        <w:t xml:space="preserve">njenje potrebe za zaduživanjem, a samim tim i na smanjenje duga. </w:t>
      </w:r>
    </w:p>
    <w:p w:rsidR="00A11029" w:rsidRDefault="00A11029" w:rsidP="00A11029">
      <w:pPr>
        <w:spacing w:line="240" w:lineRule="auto"/>
        <w:rPr>
          <w:rFonts w:asciiTheme="minorHAnsi" w:hAnsiTheme="minorHAnsi" w:cstheme="minorHAnsi"/>
          <w:sz w:val="22"/>
          <w:szCs w:val="22"/>
        </w:rPr>
      </w:pPr>
    </w:p>
    <w:p w:rsidR="002C433A" w:rsidRDefault="00C06475" w:rsidP="00D00F17">
      <w:pPr>
        <w:pStyle w:val="Caption"/>
        <w:keepNext/>
        <w:jc w:val="center"/>
        <w:rPr>
          <w:rFonts w:cstheme="minorHAnsi"/>
          <w:sz w:val="22"/>
          <w:szCs w:val="22"/>
        </w:rPr>
      </w:pPr>
      <w:r w:rsidRPr="00C06475">
        <w:rPr>
          <w:sz w:val="20"/>
          <w:szCs w:val="20"/>
        </w:rPr>
        <w:t xml:space="preserve">Grafik </w:t>
      </w:r>
      <w:r w:rsidR="000D71A3" w:rsidRPr="00C06475">
        <w:rPr>
          <w:sz w:val="20"/>
          <w:szCs w:val="20"/>
        </w:rPr>
        <w:fldChar w:fldCharType="begin"/>
      </w:r>
      <w:r w:rsidRPr="00C06475">
        <w:rPr>
          <w:sz w:val="20"/>
          <w:szCs w:val="20"/>
        </w:rPr>
        <w:instrText xml:space="preserve"> SEQ Grafik \* ARABIC </w:instrText>
      </w:r>
      <w:r w:rsidR="000D71A3" w:rsidRPr="00C06475">
        <w:rPr>
          <w:sz w:val="20"/>
          <w:szCs w:val="20"/>
        </w:rPr>
        <w:fldChar w:fldCharType="separate"/>
      </w:r>
      <w:r w:rsidR="002D5E45">
        <w:rPr>
          <w:noProof/>
          <w:sz w:val="20"/>
          <w:szCs w:val="20"/>
        </w:rPr>
        <w:t>5</w:t>
      </w:r>
      <w:r w:rsidR="000D71A3" w:rsidRPr="00C06475">
        <w:rPr>
          <w:sz w:val="20"/>
          <w:szCs w:val="20"/>
        </w:rPr>
        <w:fldChar w:fldCharType="end"/>
      </w:r>
      <w:r w:rsidRPr="00C06475">
        <w:rPr>
          <w:sz w:val="20"/>
          <w:szCs w:val="20"/>
        </w:rPr>
        <w:t xml:space="preserve"> Komparacija nedostajućih sredstava </w:t>
      </w:r>
      <w:r w:rsidR="00D00F17">
        <w:rPr>
          <w:sz w:val="20"/>
          <w:szCs w:val="20"/>
        </w:rPr>
        <w:t>sa i bez uključenih mjera konsolidacije</w:t>
      </w:r>
      <w:r w:rsidR="00D00F17" w:rsidRPr="002C433A">
        <w:rPr>
          <w:rFonts w:cstheme="minorHAnsi"/>
          <w:noProof/>
          <w:sz w:val="22"/>
          <w:szCs w:val="22"/>
        </w:rPr>
        <w:t xml:space="preserve"> </w:t>
      </w:r>
      <w:r w:rsidR="002C433A" w:rsidRPr="002C433A">
        <w:rPr>
          <w:rFonts w:cstheme="minorHAnsi"/>
          <w:noProof/>
          <w:sz w:val="22"/>
          <w:szCs w:val="22"/>
        </w:rPr>
        <w:drawing>
          <wp:inline distT="0" distB="0" distL="0" distR="0">
            <wp:extent cx="5901070" cy="2296633"/>
            <wp:effectExtent l="0" t="0" r="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C433A" w:rsidRPr="000635E1" w:rsidRDefault="002C433A" w:rsidP="00A11029">
      <w:pPr>
        <w:spacing w:line="240" w:lineRule="auto"/>
        <w:rPr>
          <w:rFonts w:asciiTheme="minorHAnsi" w:hAnsiTheme="minorHAnsi" w:cstheme="minorHAnsi"/>
          <w:sz w:val="22"/>
          <w:szCs w:val="22"/>
        </w:rPr>
      </w:pPr>
    </w:p>
    <w:p w:rsidR="00A11029" w:rsidRPr="000635E1" w:rsidRDefault="00A11029" w:rsidP="00A11029">
      <w:pPr>
        <w:spacing w:line="240" w:lineRule="auto"/>
        <w:rPr>
          <w:rFonts w:asciiTheme="minorHAnsi" w:hAnsiTheme="minorHAnsi" w:cstheme="minorHAnsi"/>
          <w:sz w:val="22"/>
          <w:szCs w:val="22"/>
        </w:rPr>
      </w:pPr>
      <w:r w:rsidRPr="000635E1">
        <w:rPr>
          <w:rFonts w:asciiTheme="minorHAnsi" w:hAnsiTheme="minorHAnsi" w:cstheme="minorHAnsi"/>
          <w:sz w:val="22"/>
          <w:szCs w:val="22"/>
        </w:rPr>
        <w:t xml:space="preserve">U slučaju sporijeg ekonomskog rasta, može doći do smanjenja planiranih prihoda i povećanja potreba za zaduživanjem, što bi rezultiralo povećanjem visine duga. </w:t>
      </w:r>
    </w:p>
    <w:p w:rsidR="00A11029" w:rsidRPr="000635E1" w:rsidRDefault="00A11029" w:rsidP="00A11029">
      <w:pPr>
        <w:spacing w:line="240" w:lineRule="auto"/>
        <w:rPr>
          <w:rFonts w:asciiTheme="minorHAnsi" w:hAnsiTheme="minorHAnsi" w:cstheme="minorHAnsi"/>
          <w:sz w:val="22"/>
          <w:szCs w:val="22"/>
        </w:rPr>
      </w:pPr>
    </w:p>
    <w:p w:rsidR="00A11029" w:rsidRPr="000635E1" w:rsidRDefault="00A11029" w:rsidP="00A11029">
      <w:pPr>
        <w:spacing w:line="240" w:lineRule="auto"/>
        <w:rPr>
          <w:rFonts w:asciiTheme="minorHAnsi" w:hAnsiTheme="minorHAnsi" w:cstheme="minorHAnsi"/>
          <w:sz w:val="22"/>
          <w:szCs w:val="22"/>
        </w:rPr>
      </w:pPr>
      <w:r w:rsidRPr="000635E1">
        <w:rPr>
          <w:rFonts w:asciiTheme="minorHAnsi" w:hAnsiTheme="minorHAnsi" w:cstheme="minorHAnsi"/>
          <w:sz w:val="22"/>
          <w:szCs w:val="22"/>
        </w:rPr>
        <w:t xml:space="preserve">U cilju postizanja otpornosti fiskalnog i finansijskog sektora, </w:t>
      </w:r>
      <w:r w:rsidR="006D1592">
        <w:rPr>
          <w:rFonts w:asciiTheme="minorHAnsi" w:hAnsiTheme="minorHAnsi" w:cstheme="minorHAnsi"/>
          <w:sz w:val="22"/>
          <w:szCs w:val="22"/>
        </w:rPr>
        <w:t>postoji int</w:t>
      </w:r>
      <w:r w:rsidRPr="000635E1">
        <w:rPr>
          <w:rFonts w:asciiTheme="minorHAnsi" w:hAnsiTheme="minorHAnsi" w:cstheme="minorHAnsi"/>
          <w:sz w:val="22"/>
          <w:szCs w:val="22"/>
        </w:rPr>
        <w:t>resovanje za dobijanje finansijske podrške Svjetske banke</w:t>
      </w:r>
      <w:r w:rsidR="003536C9">
        <w:rPr>
          <w:rFonts w:asciiTheme="minorHAnsi" w:hAnsiTheme="minorHAnsi" w:cstheme="minorHAnsi"/>
          <w:sz w:val="22"/>
          <w:szCs w:val="22"/>
        </w:rPr>
        <w:t xml:space="preserve"> u vidu</w:t>
      </w:r>
      <w:r w:rsidRPr="000635E1">
        <w:rPr>
          <w:rFonts w:asciiTheme="minorHAnsi" w:hAnsiTheme="minorHAnsi" w:cstheme="minorHAnsi"/>
          <w:sz w:val="22"/>
          <w:szCs w:val="22"/>
        </w:rPr>
        <w:t xml:space="preserve"> garancije (Development Policy </w:t>
      </w:r>
      <w:r w:rsidR="003536C9">
        <w:rPr>
          <w:rFonts w:asciiTheme="minorHAnsi" w:hAnsiTheme="minorHAnsi" w:cstheme="minorHAnsi"/>
          <w:sz w:val="22"/>
          <w:szCs w:val="22"/>
        </w:rPr>
        <w:t>Guarantee</w:t>
      </w:r>
      <w:r w:rsidRPr="000635E1">
        <w:rPr>
          <w:rFonts w:asciiTheme="minorHAnsi" w:hAnsiTheme="minorHAnsi" w:cstheme="minorHAnsi"/>
          <w:sz w:val="22"/>
          <w:szCs w:val="22"/>
        </w:rPr>
        <w:t>), koj</w:t>
      </w:r>
      <w:r w:rsidR="003536C9">
        <w:rPr>
          <w:rFonts w:asciiTheme="minorHAnsi" w:hAnsiTheme="minorHAnsi" w:cstheme="minorHAnsi"/>
          <w:sz w:val="22"/>
          <w:szCs w:val="22"/>
        </w:rPr>
        <w:t xml:space="preserve">a </w:t>
      </w:r>
      <w:r w:rsidRPr="000635E1">
        <w:rPr>
          <w:rFonts w:asciiTheme="minorHAnsi" w:hAnsiTheme="minorHAnsi" w:cstheme="minorHAnsi"/>
          <w:sz w:val="22"/>
          <w:szCs w:val="22"/>
        </w:rPr>
        <w:t xml:space="preserve">bi se </w:t>
      </w:r>
      <w:r w:rsidR="006D1592" w:rsidRPr="000635E1">
        <w:rPr>
          <w:rFonts w:asciiTheme="minorHAnsi" w:hAnsiTheme="minorHAnsi" w:cstheme="minorHAnsi"/>
          <w:sz w:val="22"/>
          <w:szCs w:val="22"/>
        </w:rPr>
        <w:t xml:space="preserve">isključivo </w:t>
      </w:r>
      <w:r w:rsidR="006D1592">
        <w:rPr>
          <w:rFonts w:asciiTheme="minorHAnsi" w:hAnsiTheme="minorHAnsi" w:cstheme="minorHAnsi"/>
          <w:sz w:val="22"/>
          <w:szCs w:val="22"/>
        </w:rPr>
        <w:t>koristil</w:t>
      </w:r>
      <w:r w:rsidR="003536C9">
        <w:rPr>
          <w:rFonts w:asciiTheme="minorHAnsi" w:hAnsiTheme="minorHAnsi" w:cstheme="minorHAnsi"/>
          <w:sz w:val="22"/>
          <w:szCs w:val="22"/>
        </w:rPr>
        <w:t>a</w:t>
      </w:r>
      <w:r w:rsidRPr="000635E1">
        <w:rPr>
          <w:rFonts w:asciiTheme="minorHAnsi" w:hAnsiTheme="minorHAnsi" w:cstheme="minorHAnsi"/>
          <w:sz w:val="22"/>
          <w:szCs w:val="22"/>
        </w:rPr>
        <w:t xml:space="preserve"> za otplatu duga, </w:t>
      </w:r>
      <w:r w:rsidR="003536C9">
        <w:rPr>
          <w:rFonts w:asciiTheme="minorHAnsi" w:hAnsiTheme="minorHAnsi" w:cstheme="minorHAnsi"/>
          <w:sz w:val="22"/>
          <w:szCs w:val="22"/>
        </w:rPr>
        <w:t xml:space="preserve">a </w:t>
      </w:r>
      <w:r w:rsidRPr="000635E1">
        <w:rPr>
          <w:rFonts w:asciiTheme="minorHAnsi" w:hAnsiTheme="minorHAnsi" w:cstheme="minorHAnsi"/>
          <w:sz w:val="22"/>
          <w:szCs w:val="22"/>
        </w:rPr>
        <w:t>čime bi se obezbijedila značaj</w:t>
      </w:r>
      <w:r w:rsidR="006D1592">
        <w:rPr>
          <w:rFonts w:asciiTheme="minorHAnsi" w:hAnsiTheme="minorHAnsi" w:cstheme="minorHAnsi"/>
          <w:sz w:val="22"/>
          <w:szCs w:val="22"/>
        </w:rPr>
        <w:t>na</w:t>
      </w:r>
      <w:r w:rsidRPr="000635E1">
        <w:rPr>
          <w:rFonts w:asciiTheme="minorHAnsi" w:hAnsiTheme="minorHAnsi" w:cstheme="minorHAnsi"/>
          <w:sz w:val="22"/>
          <w:szCs w:val="22"/>
        </w:rPr>
        <w:t xml:space="preserve"> podrška finansiranju budžeta države. </w:t>
      </w:r>
    </w:p>
    <w:p w:rsidR="00370346" w:rsidRPr="00061369" w:rsidRDefault="00370346" w:rsidP="00C06475">
      <w:pPr>
        <w:pStyle w:val="Heading1"/>
        <w:numPr>
          <w:ilvl w:val="0"/>
          <w:numId w:val="0"/>
        </w:numPr>
        <w:ind w:left="142"/>
        <w:jc w:val="center"/>
      </w:pPr>
      <w:bookmarkStart w:id="25" w:name="_Toc484373029"/>
      <w:r w:rsidRPr="00061369">
        <w:t>A</w:t>
      </w:r>
      <w:r w:rsidR="00D02206" w:rsidRPr="00061369">
        <w:t xml:space="preserve"> </w:t>
      </w:r>
      <w:r w:rsidRPr="00061369">
        <w:t>N</w:t>
      </w:r>
      <w:r w:rsidR="00D02206" w:rsidRPr="00061369">
        <w:t xml:space="preserve"> </w:t>
      </w:r>
      <w:r w:rsidRPr="00061369">
        <w:t>E</w:t>
      </w:r>
      <w:r w:rsidR="00D02206" w:rsidRPr="00061369">
        <w:t xml:space="preserve"> </w:t>
      </w:r>
      <w:r w:rsidRPr="00061369">
        <w:t>X</w:t>
      </w:r>
      <w:bookmarkEnd w:id="25"/>
    </w:p>
    <w:p w:rsidR="00D02206" w:rsidRDefault="00D02206" w:rsidP="007C406F">
      <w:pPr>
        <w:spacing w:line="276" w:lineRule="auto"/>
        <w:rPr>
          <w:rFonts w:asciiTheme="minorHAnsi" w:hAnsiTheme="minorHAnsi" w:cstheme="minorHAnsi"/>
          <w:b/>
          <w:color w:val="auto"/>
          <w:sz w:val="22"/>
          <w:szCs w:val="22"/>
          <w:lang w:val="pl-PL"/>
        </w:rPr>
      </w:pPr>
    </w:p>
    <w:tbl>
      <w:tblPr>
        <w:tblStyle w:val="MediumShading1-Accent4"/>
        <w:tblW w:w="5000" w:type="pct"/>
        <w:tblLook w:val="04A0"/>
      </w:tblPr>
      <w:tblGrid>
        <w:gridCol w:w="4791"/>
        <w:gridCol w:w="955"/>
        <w:gridCol w:w="955"/>
        <w:gridCol w:w="955"/>
        <w:gridCol w:w="955"/>
        <w:gridCol w:w="959"/>
      </w:tblGrid>
      <w:tr w:rsidR="00D17F02" w:rsidRPr="005A1E84" w:rsidTr="007509B2">
        <w:trPr>
          <w:cnfStyle w:val="100000000000"/>
          <w:trHeight w:val="293"/>
        </w:trPr>
        <w:tc>
          <w:tcPr>
            <w:cnfStyle w:val="001000000000"/>
            <w:tcW w:w="5000" w:type="pct"/>
            <w:gridSpan w:val="6"/>
            <w:vMerge w:val="restart"/>
            <w:noWrap/>
            <w:vAlign w:val="center"/>
            <w:hideMark/>
          </w:tcPr>
          <w:p w:rsidR="00D17F02" w:rsidRPr="005A1E84" w:rsidRDefault="00336B1C" w:rsidP="007509B2">
            <w:pPr>
              <w:spacing w:line="240" w:lineRule="auto"/>
              <w:jc w:val="center"/>
              <w:rPr>
                <w:rFonts w:ascii="Calibri" w:hAnsi="Calibri" w:cs="Times New Roman"/>
                <w:color w:val="FFFFFF" w:themeColor="background1"/>
                <w:szCs w:val="16"/>
                <w:lang w:val="en-US"/>
              </w:rPr>
            </w:pPr>
            <w:r>
              <w:rPr>
                <w:rFonts w:ascii="Calibri" w:hAnsi="Calibri" w:cs="Times New Roman"/>
                <w:color w:val="FFFFFF" w:themeColor="background1"/>
                <w:szCs w:val="16"/>
                <w:lang w:val="en-US"/>
              </w:rPr>
              <w:t>Tabela 1</w:t>
            </w:r>
            <w:r w:rsidR="007509B2">
              <w:rPr>
                <w:rFonts w:ascii="Calibri" w:hAnsi="Calibri" w:cs="Times New Roman"/>
                <w:color w:val="FFFFFF" w:themeColor="background1"/>
                <w:szCs w:val="16"/>
                <w:lang w:val="en-US"/>
              </w:rPr>
              <w:t>.</w:t>
            </w:r>
            <w:r w:rsidR="006F7275">
              <w:rPr>
                <w:rFonts w:ascii="Calibri" w:hAnsi="Calibri" w:cs="Times New Roman"/>
                <w:b w:val="0"/>
                <w:bCs w:val="0"/>
                <w:color w:val="FFFFFF" w:themeColor="background1"/>
                <w:szCs w:val="16"/>
                <w:lang w:val="en-US"/>
              </w:rPr>
              <w:t xml:space="preserve"> </w:t>
            </w:r>
            <w:r w:rsidR="006F7275" w:rsidRPr="007509B2">
              <w:rPr>
                <w:rFonts w:ascii="Calibri" w:hAnsi="Calibri" w:cs="Times New Roman"/>
                <w:bCs w:val="0"/>
                <w:color w:val="FFFFFF" w:themeColor="background1"/>
                <w:szCs w:val="16"/>
                <w:lang w:val="en-US"/>
              </w:rPr>
              <w:t>Makroekonomske p</w:t>
            </w:r>
            <w:r w:rsidR="00D17F02" w:rsidRPr="007509B2">
              <w:rPr>
                <w:rFonts w:ascii="Calibri" w:hAnsi="Calibri" w:cs="Times New Roman"/>
                <w:bCs w:val="0"/>
                <w:color w:val="FFFFFF" w:themeColor="background1"/>
                <w:szCs w:val="16"/>
                <w:lang w:val="en-US"/>
              </w:rPr>
              <w:t>rojekcije</w:t>
            </w:r>
            <w:r w:rsidRPr="007509B2">
              <w:rPr>
                <w:rFonts w:ascii="Calibri" w:hAnsi="Calibri" w:cs="Times New Roman"/>
                <w:bCs w:val="0"/>
                <w:color w:val="FFFFFF" w:themeColor="background1"/>
                <w:szCs w:val="16"/>
                <w:lang w:val="en-US"/>
              </w:rPr>
              <w:t xml:space="preserve"> za Crnu Goru</w:t>
            </w:r>
            <w:r w:rsidR="00D17F02" w:rsidRPr="007509B2">
              <w:rPr>
                <w:rFonts w:ascii="Calibri" w:hAnsi="Calibri" w:cs="Times New Roman"/>
                <w:bCs w:val="0"/>
                <w:color w:val="FFFFFF" w:themeColor="background1"/>
                <w:szCs w:val="16"/>
                <w:lang w:val="en-US"/>
              </w:rPr>
              <w:t>, 2017</w:t>
            </w:r>
            <w:r w:rsidR="00D17F02" w:rsidRPr="007509B2">
              <w:rPr>
                <w:rFonts w:ascii="Calibri" w:hAnsi="Calibri" w:cs="Times New Roman"/>
                <w:color w:val="FFFFFF" w:themeColor="background1"/>
                <w:szCs w:val="16"/>
                <w:lang w:val="en-US"/>
              </w:rPr>
              <w:t>-</w:t>
            </w:r>
            <w:r w:rsidR="00D17F02" w:rsidRPr="007509B2">
              <w:rPr>
                <w:rFonts w:ascii="Calibri" w:hAnsi="Calibri" w:cs="Times New Roman"/>
                <w:bCs w:val="0"/>
                <w:color w:val="FFFFFF" w:themeColor="background1"/>
                <w:szCs w:val="16"/>
                <w:lang w:val="en-US"/>
              </w:rPr>
              <w:t>2020</w:t>
            </w:r>
          </w:p>
        </w:tc>
      </w:tr>
      <w:tr w:rsidR="00D17F02" w:rsidRPr="005A1E84" w:rsidTr="00D17F02">
        <w:trPr>
          <w:cnfStyle w:val="000000100000"/>
          <w:trHeight w:val="288"/>
        </w:trPr>
        <w:tc>
          <w:tcPr>
            <w:cnfStyle w:val="001000000000"/>
            <w:tcW w:w="5000" w:type="pct"/>
            <w:gridSpan w:val="6"/>
            <w:vMerge/>
            <w:hideMark/>
          </w:tcPr>
          <w:p w:rsidR="00D17F02" w:rsidRPr="005A1E84" w:rsidRDefault="00D17F02" w:rsidP="00462D31">
            <w:pPr>
              <w:spacing w:line="240" w:lineRule="auto"/>
              <w:jc w:val="left"/>
              <w:rPr>
                <w:rFonts w:ascii="Calibri" w:hAnsi="Calibri" w:cs="Times New Roman"/>
                <w:color w:val="auto"/>
                <w:sz w:val="16"/>
                <w:szCs w:val="16"/>
                <w:lang w:val="en-US"/>
              </w:rPr>
            </w:pPr>
          </w:p>
        </w:tc>
      </w:tr>
      <w:tr w:rsidR="00D17F02" w:rsidRPr="005A1E84" w:rsidTr="00D17F02">
        <w:trPr>
          <w:cnfStyle w:val="000000010000"/>
          <w:trHeight w:val="300"/>
        </w:trPr>
        <w:tc>
          <w:tcPr>
            <w:cnfStyle w:val="001000000000"/>
            <w:tcW w:w="2503" w:type="pct"/>
            <w:noWrap/>
            <w:hideMark/>
          </w:tcPr>
          <w:p w:rsidR="00D17F02" w:rsidRPr="005A1E84" w:rsidRDefault="00D17F02" w:rsidP="00462D31">
            <w:pPr>
              <w:spacing w:line="240" w:lineRule="auto"/>
              <w:jc w:val="left"/>
              <w:rPr>
                <w:rFonts w:ascii="Calibri" w:hAnsi="Calibri" w:cs="Times New Roman"/>
                <w:color w:val="auto"/>
                <w:sz w:val="16"/>
                <w:szCs w:val="16"/>
                <w:lang w:val="en-US"/>
              </w:rPr>
            </w:pPr>
            <w:r w:rsidRPr="005A1E84">
              <w:rPr>
                <w:rFonts w:ascii="Calibri" w:hAnsi="Calibri" w:cs="Times New Roman"/>
                <w:color w:val="auto"/>
                <w:sz w:val="16"/>
                <w:szCs w:val="16"/>
                <w:lang w:val="en-US"/>
              </w:rPr>
              <w:t> </w:t>
            </w:r>
          </w:p>
        </w:tc>
        <w:tc>
          <w:tcPr>
            <w:tcW w:w="499" w:type="pct"/>
            <w:noWrap/>
            <w:hideMark/>
          </w:tcPr>
          <w:p w:rsidR="00D17F02" w:rsidRPr="005A1E84" w:rsidRDefault="00D17F02" w:rsidP="00462D31">
            <w:pPr>
              <w:spacing w:line="240" w:lineRule="auto"/>
              <w:jc w:val="right"/>
              <w:cnfStyle w:val="000000010000"/>
              <w:rPr>
                <w:rFonts w:ascii="Calibri" w:hAnsi="Calibri" w:cs="Times New Roman"/>
                <w:b/>
                <w:bCs/>
                <w:color w:val="auto"/>
                <w:sz w:val="20"/>
                <w:szCs w:val="20"/>
                <w:u w:val="single"/>
                <w:lang w:val="en-US"/>
              </w:rPr>
            </w:pPr>
            <w:r w:rsidRPr="005A1E84">
              <w:rPr>
                <w:rFonts w:ascii="Calibri" w:hAnsi="Calibri" w:cs="Times New Roman"/>
                <w:b/>
                <w:bCs/>
                <w:color w:val="auto"/>
                <w:sz w:val="20"/>
                <w:szCs w:val="20"/>
                <w:u w:val="single"/>
                <w:lang w:val="en-US"/>
              </w:rPr>
              <w:t>2016</w:t>
            </w:r>
            <w:r w:rsidR="007509B2">
              <w:rPr>
                <w:rFonts w:ascii="Calibri" w:hAnsi="Calibri" w:cs="Times New Roman"/>
                <w:b/>
                <w:bCs/>
                <w:color w:val="auto"/>
                <w:sz w:val="20"/>
                <w:szCs w:val="20"/>
                <w:u w:val="single"/>
                <w:lang w:val="en-US"/>
              </w:rPr>
              <w:t>.</w:t>
            </w:r>
          </w:p>
        </w:tc>
        <w:tc>
          <w:tcPr>
            <w:tcW w:w="499" w:type="pct"/>
            <w:noWrap/>
            <w:hideMark/>
          </w:tcPr>
          <w:p w:rsidR="00D17F02" w:rsidRPr="005A1E84" w:rsidRDefault="00D17F02" w:rsidP="00462D31">
            <w:pPr>
              <w:spacing w:line="240" w:lineRule="auto"/>
              <w:jc w:val="right"/>
              <w:cnfStyle w:val="000000010000"/>
              <w:rPr>
                <w:rFonts w:ascii="Calibri" w:hAnsi="Calibri" w:cs="Times New Roman"/>
                <w:b/>
                <w:bCs/>
                <w:color w:val="auto"/>
                <w:sz w:val="20"/>
                <w:szCs w:val="20"/>
                <w:u w:val="single"/>
                <w:lang w:val="en-US"/>
              </w:rPr>
            </w:pPr>
            <w:r w:rsidRPr="005A1E84">
              <w:rPr>
                <w:rFonts w:ascii="Calibri" w:hAnsi="Calibri" w:cs="Times New Roman"/>
                <w:b/>
                <w:bCs/>
                <w:color w:val="auto"/>
                <w:sz w:val="20"/>
                <w:szCs w:val="20"/>
                <w:u w:val="single"/>
                <w:lang w:val="en-US"/>
              </w:rPr>
              <w:t>2017</w:t>
            </w:r>
            <w:r w:rsidR="007509B2">
              <w:rPr>
                <w:rFonts w:ascii="Calibri" w:hAnsi="Calibri" w:cs="Times New Roman"/>
                <w:b/>
                <w:bCs/>
                <w:color w:val="auto"/>
                <w:sz w:val="20"/>
                <w:szCs w:val="20"/>
                <w:u w:val="single"/>
                <w:lang w:val="en-US"/>
              </w:rPr>
              <w:t>.</w:t>
            </w:r>
          </w:p>
        </w:tc>
        <w:tc>
          <w:tcPr>
            <w:tcW w:w="499" w:type="pct"/>
            <w:noWrap/>
            <w:hideMark/>
          </w:tcPr>
          <w:p w:rsidR="00D17F02" w:rsidRPr="005A1E84" w:rsidRDefault="00D17F02" w:rsidP="00462D31">
            <w:pPr>
              <w:spacing w:line="240" w:lineRule="auto"/>
              <w:jc w:val="right"/>
              <w:cnfStyle w:val="000000010000"/>
              <w:rPr>
                <w:rFonts w:ascii="Calibri" w:hAnsi="Calibri" w:cs="Times New Roman"/>
                <w:b/>
                <w:bCs/>
                <w:color w:val="auto"/>
                <w:sz w:val="20"/>
                <w:szCs w:val="20"/>
                <w:u w:val="single"/>
                <w:lang w:val="en-US"/>
              </w:rPr>
            </w:pPr>
            <w:r w:rsidRPr="005A1E84">
              <w:rPr>
                <w:rFonts w:ascii="Calibri" w:hAnsi="Calibri" w:cs="Times New Roman"/>
                <w:b/>
                <w:bCs/>
                <w:color w:val="auto"/>
                <w:sz w:val="20"/>
                <w:szCs w:val="20"/>
                <w:u w:val="single"/>
                <w:lang w:val="en-US"/>
              </w:rPr>
              <w:t>2018</w:t>
            </w:r>
            <w:r w:rsidR="007509B2">
              <w:rPr>
                <w:rFonts w:ascii="Calibri" w:hAnsi="Calibri" w:cs="Times New Roman"/>
                <w:b/>
                <w:bCs/>
                <w:color w:val="auto"/>
                <w:sz w:val="20"/>
                <w:szCs w:val="20"/>
                <w:u w:val="single"/>
                <w:lang w:val="en-US"/>
              </w:rPr>
              <w:t>.</w:t>
            </w:r>
          </w:p>
        </w:tc>
        <w:tc>
          <w:tcPr>
            <w:tcW w:w="499" w:type="pct"/>
            <w:noWrap/>
            <w:hideMark/>
          </w:tcPr>
          <w:p w:rsidR="00D17F02" w:rsidRPr="005A1E84" w:rsidRDefault="00D17F02" w:rsidP="00462D31">
            <w:pPr>
              <w:spacing w:line="240" w:lineRule="auto"/>
              <w:ind w:firstLineChars="100" w:firstLine="201"/>
              <w:jc w:val="right"/>
              <w:cnfStyle w:val="000000010000"/>
              <w:rPr>
                <w:rFonts w:ascii="Calibri" w:hAnsi="Calibri" w:cs="Times New Roman"/>
                <w:b/>
                <w:bCs/>
                <w:color w:val="auto"/>
                <w:sz w:val="20"/>
                <w:szCs w:val="20"/>
                <w:u w:val="single"/>
                <w:lang w:val="en-US"/>
              </w:rPr>
            </w:pPr>
            <w:r w:rsidRPr="005A1E84">
              <w:rPr>
                <w:rFonts w:ascii="Calibri" w:hAnsi="Calibri" w:cs="Times New Roman"/>
                <w:b/>
                <w:bCs/>
                <w:color w:val="auto"/>
                <w:sz w:val="20"/>
                <w:szCs w:val="20"/>
                <w:u w:val="single"/>
                <w:lang w:val="en-US"/>
              </w:rPr>
              <w:t>2019</w:t>
            </w:r>
            <w:r w:rsidR="007509B2">
              <w:rPr>
                <w:rFonts w:ascii="Calibri" w:hAnsi="Calibri" w:cs="Times New Roman"/>
                <w:b/>
                <w:bCs/>
                <w:color w:val="auto"/>
                <w:sz w:val="20"/>
                <w:szCs w:val="20"/>
                <w:u w:val="single"/>
                <w:lang w:val="en-US"/>
              </w:rPr>
              <w:t>.</w:t>
            </w:r>
          </w:p>
        </w:tc>
        <w:tc>
          <w:tcPr>
            <w:tcW w:w="501" w:type="pct"/>
            <w:noWrap/>
            <w:hideMark/>
          </w:tcPr>
          <w:p w:rsidR="00D17F02" w:rsidRPr="005A1E84" w:rsidRDefault="00D17F02" w:rsidP="00462D31">
            <w:pPr>
              <w:spacing w:line="240" w:lineRule="auto"/>
              <w:ind w:firstLineChars="100" w:firstLine="201"/>
              <w:jc w:val="right"/>
              <w:cnfStyle w:val="000000010000"/>
              <w:rPr>
                <w:rFonts w:ascii="Calibri" w:hAnsi="Calibri" w:cs="Times New Roman"/>
                <w:b/>
                <w:bCs/>
                <w:color w:val="auto"/>
                <w:sz w:val="20"/>
                <w:szCs w:val="20"/>
                <w:u w:val="single"/>
                <w:lang w:val="en-US"/>
              </w:rPr>
            </w:pPr>
            <w:r w:rsidRPr="005A1E84">
              <w:rPr>
                <w:rFonts w:ascii="Calibri" w:hAnsi="Calibri" w:cs="Times New Roman"/>
                <w:b/>
                <w:bCs/>
                <w:color w:val="auto"/>
                <w:sz w:val="20"/>
                <w:szCs w:val="20"/>
                <w:u w:val="single"/>
                <w:lang w:val="en-US"/>
              </w:rPr>
              <w:t>2020</w:t>
            </w:r>
            <w:r w:rsidR="007509B2">
              <w:rPr>
                <w:rFonts w:ascii="Calibri" w:hAnsi="Calibri" w:cs="Times New Roman"/>
                <w:b/>
                <w:bCs/>
                <w:color w:val="auto"/>
                <w:sz w:val="20"/>
                <w:szCs w:val="20"/>
                <w:u w:val="single"/>
                <w:lang w:val="en-US"/>
              </w:rPr>
              <w:t>.</w:t>
            </w:r>
          </w:p>
        </w:tc>
      </w:tr>
      <w:tr w:rsidR="00D17F02" w:rsidRPr="005A1E84" w:rsidTr="00D17F02">
        <w:trPr>
          <w:cnfStyle w:val="000000100000"/>
          <w:trHeight w:val="120"/>
        </w:trPr>
        <w:tc>
          <w:tcPr>
            <w:cnfStyle w:val="001000000000"/>
            <w:tcW w:w="2503" w:type="pct"/>
            <w:noWrap/>
            <w:hideMark/>
          </w:tcPr>
          <w:p w:rsidR="00D17F02" w:rsidRPr="005A1E84" w:rsidRDefault="00D17F02" w:rsidP="00462D31">
            <w:pPr>
              <w:spacing w:line="240" w:lineRule="auto"/>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c>
          <w:tcPr>
            <w:tcW w:w="499" w:type="pct"/>
            <w:noWrap/>
            <w:hideMark/>
          </w:tcPr>
          <w:p w:rsidR="00D17F02" w:rsidRPr="005A1E84" w:rsidRDefault="00D17F02" w:rsidP="00462D31">
            <w:pPr>
              <w:spacing w:line="240" w:lineRule="auto"/>
              <w:jc w:val="left"/>
              <w:cnfStyle w:val="000000100000"/>
              <w:rPr>
                <w:rFonts w:ascii="Calibri" w:hAnsi="Calibri" w:cs="Times New Roman"/>
                <w:b/>
                <w:bCs/>
                <w:color w:val="auto"/>
                <w:sz w:val="20"/>
                <w:szCs w:val="20"/>
                <w:u w:val="single"/>
                <w:lang w:val="en-US"/>
              </w:rPr>
            </w:pPr>
            <w:r w:rsidRPr="005A1E84">
              <w:rPr>
                <w:rFonts w:ascii="Calibri" w:hAnsi="Calibri" w:cs="Times New Roman"/>
                <w:b/>
                <w:bCs/>
                <w:color w:val="auto"/>
                <w:sz w:val="20"/>
                <w:szCs w:val="20"/>
                <w:u w:val="single"/>
                <w:lang w:val="en-US"/>
              </w:rPr>
              <w:t> </w:t>
            </w:r>
          </w:p>
        </w:tc>
        <w:tc>
          <w:tcPr>
            <w:tcW w:w="499" w:type="pct"/>
            <w:noWrap/>
            <w:hideMark/>
          </w:tcPr>
          <w:p w:rsidR="00D17F02" w:rsidRPr="005A1E84" w:rsidRDefault="00D17F02" w:rsidP="00462D31">
            <w:pPr>
              <w:spacing w:line="240" w:lineRule="auto"/>
              <w:jc w:val="left"/>
              <w:cnfStyle w:val="000000100000"/>
              <w:rPr>
                <w:rFonts w:ascii="Calibri" w:hAnsi="Calibri" w:cs="Times New Roman"/>
                <w:b/>
                <w:bCs/>
                <w:color w:val="auto"/>
                <w:sz w:val="20"/>
                <w:szCs w:val="20"/>
                <w:u w:val="single"/>
                <w:lang w:val="en-US"/>
              </w:rPr>
            </w:pPr>
            <w:r w:rsidRPr="005A1E84">
              <w:rPr>
                <w:rFonts w:ascii="Calibri" w:hAnsi="Calibri" w:cs="Times New Roman"/>
                <w:b/>
                <w:bCs/>
                <w:color w:val="auto"/>
                <w:sz w:val="20"/>
                <w:szCs w:val="20"/>
                <w:u w:val="single"/>
                <w:lang w:val="en-US"/>
              </w:rPr>
              <w:t> </w:t>
            </w:r>
          </w:p>
        </w:tc>
        <w:tc>
          <w:tcPr>
            <w:tcW w:w="499" w:type="pct"/>
            <w:noWrap/>
            <w:hideMark/>
          </w:tcPr>
          <w:p w:rsidR="00D17F02" w:rsidRPr="005A1E84" w:rsidRDefault="00D17F02" w:rsidP="00462D31">
            <w:pPr>
              <w:spacing w:line="240" w:lineRule="auto"/>
              <w:jc w:val="left"/>
              <w:cnfStyle w:val="000000100000"/>
              <w:rPr>
                <w:rFonts w:ascii="Calibri" w:hAnsi="Calibri" w:cs="Times New Roman"/>
                <w:b/>
                <w:bCs/>
                <w:color w:val="auto"/>
                <w:sz w:val="20"/>
                <w:szCs w:val="20"/>
                <w:u w:val="single"/>
                <w:lang w:val="en-US"/>
              </w:rPr>
            </w:pPr>
            <w:r w:rsidRPr="005A1E84">
              <w:rPr>
                <w:rFonts w:ascii="Calibri" w:hAnsi="Calibri" w:cs="Times New Roman"/>
                <w:b/>
                <w:bCs/>
                <w:color w:val="auto"/>
                <w:sz w:val="20"/>
                <w:szCs w:val="20"/>
                <w:u w:val="single"/>
                <w:lang w:val="en-US"/>
              </w:rPr>
              <w:t> </w:t>
            </w:r>
          </w:p>
        </w:tc>
        <w:tc>
          <w:tcPr>
            <w:tcW w:w="499" w:type="pct"/>
            <w:noWrap/>
            <w:hideMark/>
          </w:tcPr>
          <w:p w:rsidR="00D17F02" w:rsidRPr="005A1E84" w:rsidRDefault="00D17F02" w:rsidP="00462D31">
            <w:pPr>
              <w:spacing w:line="240" w:lineRule="auto"/>
              <w:ind w:firstLineChars="100" w:firstLine="201"/>
              <w:jc w:val="right"/>
              <w:cnfStyle w:val="000000100000"/>
              <w:rPr>
                <w:rFonts w:ascii="Calibri" w:hAnsi="Calibri" w:cs="Times New Roman"/>
                <w:b/>
                <w:bCs/>
                <w:color w:val="auto"/>
                <w:sz w:val="20"/>
                <w:szCs w:val="20"/>
                <w:u w:val="single"/>
                <w:lang w:val="en-US"/>
              </w:rPr>
            </w:pPr>
            <w:r w:rsidRPr="005A1E84">
              <w:rPr>
                <w:rFonts w:ascii="Calibri" w:hAnsi="Calibri" w:cs="Times New Roman"/>
                <w:b/>
                <w:bCs/>
                <w:color w:val="auto"/>
                <w:sz w:val="20"/>
                <w:szCs w:val="20"/>
                <w:u w:val="single"/>
                <w:lang w:val="en-US"/>
              </w:rPr>
              <w:t> </w:t>
            </w:r>
          </w:p>
        </w:tc>
        <w:tc>
          <w:tcPr>
            <w:tcW w:w="501" w:type="pct"/>
            <w:noWrap/>
            <w:hideMark/>
          </w:tcPr>
          <w:p w:rsidR="00D17F02" w:rsidRPr="005A1E84" w:rsidRDefault="00D17F02" w:rsidP="00462D31">
            <w:pPr>
              <w:spacing w:line="240" w:lineRule="auto"/>
              <w:ind w:firstLineChars="100" w:firstLine="201"/>
              <w:jc w:val="right"/>
              <w:cnfStyle w:val="000000100000"/>
              <w:rPr>
                <w:rFonts w:ascii="Calibri" w:hAnsi="Calibri" w:cs="Times New Roman"/>
                <w:b/>
                <w:bCs/>
                <w:color w:val="auto"/>
                <w:sz w:val="20"/>
                <w:szCs w:val="20"/>
                <w:u w:val="single"/>
                <w:lang w:val="en-US"/>
              </w:rPr>
            </w:pPr>
            <w:r w:rsidRPr="005A1E84">
              <w:rPr>
                <w:rFonts w:ascii="Calibri" w:hAnsi="Calibri" w:cs="Times New Roman"/>
                <w:b/>
                <w:bCs/>
                <w:color w:val="auto"/>
                <w:sz w:val="20"/>
                <w:szCs w:val="20"/>
                <w:u w:val="single"/>
                <w:lang w:val="en-US"/>
              </w:rPr>
              <w:t> </w:t>
            </w:r>
          </w:p>
        </w:tc>
      </w:tr>
      <w:tr w:rsidR="00D17F02" w:rsidRPr="005A1E84" w:rsidTr="00D17F02">
        <w:trPr>
          <w:cnfStyle w:val="000000010000"/>
          <w:trHeight w:val="288"/>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Nominalni BDP u mil.€</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color w:val="auto"/>
                <w:sz w:val="18"/>
                <w:szCs w:val="20"/>
                <w:lang w:val="en-US"/>
              </w:rPr>
            </w:pPr>
            <w:r w:rsidRPr="005A1E84">
              <w:rPr>
                <w:rFonts w:ascii="Calibri" w:hAnsi="Calibri" w:cs="Times New Roman"/>
                <w:color w:val="auto"/>
                <w:sz w:val="18"/>
                <w:szCs w:val="20"/>
                <w:lang w:val="en-US"/>
              </w:rPr>
              <w:t>3772.6</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color w:val="auto"/>
                <w:sz w:val="18"/>
                <w:szCs w:val="20"/>
                <w:lang w:val="en-US"/>
              </w:rPr>
            </w:pPr>
            <w:r w:rsidRPr="005A1E84">
              <w:rPr>
                <w:rFonts w:ascii="Calibri" w:hAnsi="Calibri" w:cs="Times New Roman"/>
                <w:color w:val="auto"/>
                <w:sz w:val="18"/>
                <w:szCs w:val="20"/>
                <w:lang w:val="en-US"/>
              </w:rPr>
              <w:t>3957.2</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color w:val="auto"/>
                <w:sz w:val="18"/>
                <w:szCs w:val="20"/>
                <w:lang w:val="en-US"/>
              </w:rPr>
            </w:pPr>
            <w:r w:rsidRPr="005A1E84">
              <w:rPr>
                <w:rFonts w:ascii="Calibri" w:hAnsi="Calibri" w:cs="Times New Roman"/>
                <w:color w:val="auto"/>
                <w:sz w:val="18"/>
                <w:szCs w:val="20"/>
                <w:lang w:val="en-US"/>
              </w:rPr>
              <w:t>4192.4</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color w:val="auto"/>
                <w:sz w:val="18"/>
                <w:szCs w:val="20"/>
                <w:lang w:val="en-US"/>
              </w:rPr>
            </w:pPr>
            <w:r w:rsidRPr="005A1E84">
              <w:rPr>
                <w:rFonts w:ascii="Calibri" w:hAnsi="Calibri" w:cs="Times New Roman"/>
                <w:color w:val="auto"/>
                <w:sz w:val="18"/>
                <w:szCs w:val="20"/>
                <w:lang w:val="en-US"/>
              </w:rPr>
              <w:t>4372.2</w:t>
            </w:r>
          </w:p>
        </w:tc>
        <w:tc>
          <w:tcPr>
            <w:tcW w:w="501"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color w:val="auto"/>
                <w:sz w:val="18"/>
                <w:szCs w:val="20"/>
                <w:lang w:val="en-US"/>
              </w:rPr>
            </w:pPr>
            <w:r w:rsidRPr="005A1E84">
              <w:rPr>
                <w:rFonts w:ascii="Calibri" w:hAnsi="Calibri" w:cs="Times New Roman"/>
                <w:color w:val="auto"/>
                <w:sz w:val="18"/>
                <w:szCs w:val="20"/>
                <w:lang w:val="en-US"/>
              </w:rPr>
              <w:t>4536.4</w:t>
            </w:r>
          </w:p>
        </w:tc>
      </w:tr>
      <w:tr w:rsidR="00D17F02" w:rsidRPr="005A1E84" w:rsidTr="00D17F02">
        <w:trPr>
          <w:cnfStyle w:val="000000100000"/>
          <w:trHeight w:val="315"/>
        </w:trPr>
        <w:tc>
          <w:tcPr>
            <w:cnfStyle w:val="001000000000"/>
            <w:tcW w:w="2503" w:type="pct"/>
            <w:noWrap/>
            <w:hideMark/>
          </w:tcPr>
          <w:p w:rsidR="00D17F02" w:rsidRPr="005A1E84" w:rsidRDefault="00D17F02" w:rsidP="00462D31">
            <w:pPr>
              <w:spacing w:line="240" w:lineRule="auto"/>
              <w:ind w:firstLineChars="200" w:firstLine="402"/>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Nominalni rast</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color w:val="auto"/>
                <w:sz w:val="18"/>
                <w:szCs w:val="18"/>
                <w:lang w:val="en-US"/>
              </w:rPr>
            </w:pPr>
            <w:r w:rsidRPr="005A1E84">
              <w:rPr>
                <w:rFonts w:ascii="Calibri" w:hAnsi="Calibri" w:cs="Times New Roman"/>
                <w:color w:val="auto"/>
                <w:sz w:val="18"/>
                <w:szCs w:val="18"/>
                <w:lang w:val="en-US"/>
              </w:rPr>
              <w:t>4.1</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color w:val="auto"/>
                <w:sz w:val="18"/>
                <w:szCs w:val="18"/>
                <w:lang w:val="en-US"/>
              </w:rPr>
            </w:pPr>
            <w:r w:rsidRPr="005A1E84">
              <w:rPr>
                <w:rFonts w:ascii="Calibri" w:hAnsi="Calibri" w:cs="Times New Roman"/>
                <w:color w:val="auto"/>
                <w:sz w:val="18"/>
                <w:szCs w:val="18"/>
                <w:lang w:val="en-US"/>
              </w:rPr>
              <w:t>4.9</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color w:val="auto"/>
                <w:sz w:val="18"/>
                <w:szCs w:val="18"/>
                <w:lang w:val="en-US"/>
              </w:rPr>
            </w:pPr>
            <w:r w:rsidRPr="005A1E84">
              <w:rPr>
                <w:rFonts w:ascii="Calibri" w:hAnsi="Calibri" w:cs="Times New Roman"/>
                <w:color w:val="auto"/>
                <w:sz w:val="18"/>
                <w:szCs w:val="18"/>
                <w:lang w:val="en-US"/>
              </w:rPr>
              <w:t>5.9</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color w:val="auto"/>
                <w:sz w:val="18"/>
                <w:szCs w:val="18"/>
                <w:lang w:val="en-US"/>
              </w:rPr>
            </w:pPr>
            <w:r w:rsidRPr="005A1E84">
              <w:rPr>
                <w:rFonts w:ascii="Calibri" w:hAnsi="Calibri" w:cs="Times New Roman"/>
                <w:color w:val="auto"/>
                <w:sz w:val="18"/>
                <w:szCs w:val="18"/>
                <w:lang w:val="en-US"/>
              </w:rPr>
              <w:t>4.3</w:t>
            </w:r>
          </w:p>
        </w:tc>
        <w:tc>
          <w:tcPr>
            <w:tcW w:w="501"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color w:val="auto"/>
                <w:sz w:val="18"/>
                <w:szCs w:val="18"/>
                <w:lang w:val="en-US"/>
              </w:rPr>
            </w:pPr>
            <w:r w:rsidRPr="005A1E84">
              <w:rPr>
                <w:rFonts w:ascii="Calibri" w:hAnsi="Calibri" w:cs="Times New Roman"/>
                <w:color w:val="auto"/>
                <w:sz w:val="18"/>
                <w:szCs w:val="18"/>
                <w:lang w:val="en-US"/>
              </w:rPr>
              <w:t>3.8</w:t>
            </w:r>
          </w:p>
        </w:tc>
      </w:tr>
      <w:tr w:rsidR="00D17F02" w:rsidRPr="005A1E84" w:rsidTr="00D17F02">
        <w:trPr>
          <w:cnfStyle w:val="000000010000"/>
          <w:trHeight w:val="288"/>
        </w:trPr>
        <w:tc>
          <w:tcPr>
            <w:cnfStyle w:val="001000000000"/>
            <w:tcW w:w="2503" w:type="pct"/>
            <w:noWrap/>
            <w:hideMark/>
          </w:tcPr>
          <w:p w:rsidR="00D17F02" w:rsidRPr="005A1E84" w:rsidRDefault="00D17F02" w:rsidP="00462D31">
            <w:pPr>
              <w:spacing w:line="240" w:lineRule="auto"/>
              <w:ind w:firstLineChars="200" w:firstLine="402"/>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Realni rast</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color w:val="auto"/>
                <w:sz w:val="18"/>
                <w:szCs w:val="18"/>
                <w:lang w:val="en-US"/>
              </w:rPr>
            </w:pPr>
            <w:r w:rsidRPr="005A1E84">
              <w:rPr>
                <w:rFonts w:ascii="Calibri" w:hAnsi="Calibri" w:cs="Times New Roman"/>
                <w:b/>
                <w:bCs/>
                <w:color w:val="auto"/>
                <w:sz w:val="18"/>
                <w:szCs w:val="18"/>
                <w:lang w:val="en-US"/>
              </w:rPr>
              <w:t>2.5</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color w:val="auto"/>
                <w:sz w:val="18"/>
                <w:szCs w:val="18"/>
                <w:lang w:val="en-US"/>
              </w:rPr>
            </w:pPr>
            <w:r w:rsidRPr="005A1E84">
              <w:rPr>
                <w:rFonts w:ascii="Calibri" w:hAnsi="Calibri" w:cs="Times New Roman"/>
                <w:b/>
                <w:bCs/>
                <w:color w:val="auto"/>
                <w:sz w:val="18"/>
                <w:szCs w:val="18"/>
                <w:lang w:val="en-US"/>
              </w:rPr>
              <w:t>2.7</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color w:val="auto"/>
                <w:sz w:val="18"/>
                <w:szCs w:val="18"/>
                <w:lang w:val="en-US"/>
              </w:rPr>
            </w:pPr>
            <w:r w:rsidRPr="005A1E84">
              <w:rPr>
                <w:rFonts w:ascii="Calibri" w:hAnsi="Calibri" w:cs="Times New Roman"/>
                <w:b/>
                <w:bCs/>
                <w:color w:val="auto"/>
                <w:sz w:val="18"/>
                <w:szCs w:val="18"/>
                <w:lang w:val="en-US"/>
              </w:rPr>
              <w:t>3.2</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color w:val="auto"/>
                <w:sz w:val="18"/>
                <w:szCs w:val="18"/>
                <w:lang w:val="en-US"/>
              </w:rPr>
            </w:pPr>
            <w:r w:rsidRPr="005A1E84">
              <w:rPr>
                <w:rFonts w:ascii="Calibri" w:hAnsi="Calibri" w:cs="Times New Roman"/>
                <w:b/>
                <w:bCs/>
                <w:color w:val="auto"/>
                <w:sz w:val="18"/>
                <w:szCs w:val="18"/>
                <w:lang w:val="en-US"/>
              </w:rPr>
              <w:t>2.3</w:t>
            </w:r>
          </w:p>
        </w:tc>
        <w:tc>
          <w:tcPr>
            <w:tcW w:w="501"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color w:val="auto"/>
                <w:sz w:val="18"/>
                <w:szCs w:val="18"/>
                <w:lang w:val="en-US"/>
              </w:rPr>
            </w:pPr>
            <w:r w:rsidRPr="005A1E84">
              <w:rPr>
                <w:rFonts w:ascii="Calibri" w:hAnsi="Calibri" w:cs="Times New Roman"/>
                <w:b/>
                <w:bCs/>
                <w:color w:val="auto"/>
                <w:sz w:val="18"/>
                <w:szCs w:val="18"/>
                <w:lang w:val="en-US"/>
              </w:rPr>
              <w:t>2.1</w:t>
            </w:r>
          </w:p>
        </w:tc>
      </w:tr>
      <w:tr w:rsidR="00D17F02" w:rsidRPr="005A1E84" w:rsidTr="00D17F02">
        <w:trPr>
          <w:cnfStyle w:val="000000100000"/>
          <w:trHeight w:val="288"/>
        </w:trPr>
        <w:tc>
          <w:tcPr>
            <w:cnfStyle w:val="001000000000"/>
            <w:tcW w:w="2503" w:type="pct"/>
            <w:noWrap/>
            <w:hideMark/>
          </w:tcPr>
          <w:p w:rsidR="00D17F02" w:rsidRPr="005A1E84" w:rsidRDefault="00D17F02" w:rsidP="00462D31">
            <w:pPr>
              <w:spacing w:line="240" w:lineRule="auto"/>
              <w:ind w:firstLineChars="200" w:firstLine="402"/>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Inflacija (prosjek)</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color w:val="auto"/>
                <w:sz w:val="18"/>
                <w:szCs w:val="18"/>
                <w:lang w:val="en-US"/>
              </w:rPr>
            </w:pPr>
            <w:r w:rsidRPr="005A1E84">
              <w:rPr>
                <w:rFonts w:ascii="Calibri" w:hAnsi="Calibri" w:cs="Times New Roman"/>
                <w:color w:val="auto"/>
                <w:sz w:val="18"/>
                <w:szCs w:val="18"/>
                <w:lang w:val="en-US"/>
              </w:rPr>
              <w:t>0.4</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color w:val="auto"/>
                <w:sz w:val="18"/>
                <w:szCs w:val="18"/>
                <w:lang w:val="en-US"/>
              </w:rPr>
            </w:pPr>
            <w:r w:rsidRPr="005A1E84">
              <w:rPr>
                <w:rFonts w:ascii="Calibri" w:hAnsi="Calibri" w:cs="Times New Roman"/>
                <w:color w:val="auto"/>
                <w:sz w:val="18"/>
                <w:szCs w:val="18"/>
                <w:lang w:val="en-US"/>
              </w:rPr>
              <w:t>2.3</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color w:val="auto"/>
                <w:sz w:val="18"/>
                <w:szCs w:val="18"/>
                <w:lang w:val="en-US"/>
              </w:rPr>
            </w:pPr>
            <w:r w:rsidRPr="005A1E84">
              <w:rPr>
                <w:rFonts w:ascii="Calibri" w:hAnsi="Calibri" w:cs="Times New Roman"/>
                <w:color w:val="auto"/>
                <w:sz w:val="18"/>
                <w:szCs w:val="18"/>
                <w:lang w:val="en-US"/>
              </w:rPr>
              <w:t>3.1</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color w:val="auto"/>
                <w:sz w:val="18"/>
                <w:szCs w:val="18"/>
                <w:lang w:val="en-US"/>
              </w:rPr>
            </w:pPr>
            <w:r w:rsidRPr="005A1E84">
              <w:rPr>
                <w:rFonts w:ascii="Calibri" w:hAnsi="Calibri" w:cs="Times New Roman"/>
                <w:color w:val="auto"/>
                <w:sz w:val="18"/>
                <w:szCs w:val="18"/>
                <w:lang w:val="en-US"/>
              </w:rPr>
              <w:t>2.1</w:t>
            </w:r>
          </w:p>
        </w:tc>
        <w:tc>
          <w:tcPr>
            <w:tcW w:w="501"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color w:val="auto"/>
                <w:sz w:val="18"/>
                <w:szCs w:val="18"/>
                <w:lang w:val="en-US"/>
              </w:rPr>
            </w:pPr>
            <w:r w:rsidRPr="005A1E84">
              <w:rPr>
                <w:rFonts w:ascii="Calibri" w:hAnsi="Calibri" w:cs="Times New Roman"/>
                <w:color w:val="auto"/>
                <w:sz w:val="18"/>
                <w:szCs w:val="18"/>
                <w:lang w:val="en-US"/>
              </w:rPr>
              <w:t>1.6</w:t>
            </w:r>
          </w:p>
        </w:tc>
      </w:tr>
      <w:tr w:rsidR="00D17F02" w:rsidRPr="005A1E84" w:rsidTr="00D17F02">
        <w:trPr>
          <w:cnfStyle w:val="000000010000"/>
          <w:trHeight w:val="75"/>
        </w:trPr>
        <w:tc>
          <w:tcPr>
            <w:cnfStyle w:val="001000000000"/>
            <w:tcW w:w="2503" w:type="pct"/>
            <w:noWrap/>
            <w:hideMark/>
          </w:tcPr>
          <w:p w:rsidR="00D17F02" w:rsidRPr="005A1E84" w:rsidRDefault="00D17F02" w:rsidP="00462D31">
            <w:pPr>
              <w:spacing w:line="240" w:lineRule="auto"/>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c>
          <w:tcPr>
            <w:tcW w:w="499" w:type="pct"/>
            <w:noWrap/>
            <w:hideMark/>
          </w:tcPr>
          <w:p w:rsidR="00D17F02" w:rsidRPr="005A1E84" w:rsidRDefault="00D17F02" w:rsidP="00462D31">
            <w:pPr>
              <w:spacing w:line="240" w:lineRule="auto"/>
              <w:jc w:val="lef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c>
          <w:tcPr>
            <w:tcW w:w="499" w:type="pct"/>
            <w:noWrap/>
            <w:hideMark/>
          </w:tcPr>
          <w:p w:rsidR="00D17F02" w:rsidRPr="005A1E84" w:rsidRDefault="00D17F02" w:rsidP="00462D31">
            <w:pPr>
              <w:spacing w:line="240" w:lineRule="auto"/>
              <w:jc w:val="lef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c>
          <w:tcPr>
            <w:tcW w:w="499" w:type="pct"/>
            <w:noWrap/>
            <w:hideMark/>
          </w:tcPr>
          <w:p w:rsidR="00D17F02" w:rsidRPr="005A1E84" w:rsidRDefault="00D17F02" w:rsidP="00462D31">
            <w:pPr>
              <w:spacing w:line="240" w:lineRule="auto"/>
              <w:jc w:val="lef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c>
          <w:tcPr>
            <w:tcW w:w="499" w:type="pct"/>
            <w:noWrap/>
            <w:hideMark/>
          </w:tcPr>
          <w:p w:rsidR="00D17F02" w:rsidRPr="005A1E84" w:rsidRDefault="00D17F02" w:rsidP="00462D31">
            <w:pPr>
              <w:spacing w:line="240" w:lineRule="auto"/>
              <w:jc w:val="lef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c>
          <w:tcPr>
            <w:tcW w:w="501"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color w:val="auto"/>
                <w:sz w:val="18"/>
                <w:szCs w:val="18"/>
                <w:lang w:val="en-US"/>
              </w:rPr>
            </w:pPr>
            <w:r w:rsidRPr="005A1E84">
              <w:rPr>
                <w:rFonts w:ascii="Calibri" w:hAnsi="Calibri" w:cs="Times New Roman"/>
                <w:color w:val="auto"/>
                <w:sz w:val="18"/>
                <w:szCs w:val="18"/>
                <w:lang w:val="en-US"/>
              </w:rPr>
              <w:t> </w:t>
            </w:r>
          </w:p>
        </w:tc>
      </w:tr>
      <w:tr w:rsidR="00D17F02" w:rsidRPr="005A1E84" w:rsidTr="00D17F02">
        <w:trPr>
          <w:cnfStyle w:val="000000100000"/>
          <w:trHeight w:val="90"/>
        </w:trPr>
        <w:tc>
          <w:tcPr>
            <w:cnfStyle w:val="001000000000"/>
            <w:tcW w:w="2503" w:type="pct"/>
            <w:noWrap/>
            <w:hideMark/>
          </w:tcPr>
          <w:p w:rsidR="00D17F02" w:rsidRPr="005A1E84" w:rsidRDefault="00D17F02" w:rsidP="00462D31">
            <w:pPr>
              <w:spacing w:line="240" w:lineRule="auto"/>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c>
          <w:tcPr>
            <w:tcW w:w="2497" w:type="pct"/>
            <w:gridSpan w:val="5"/>
            <w:noWrap/>
            <w:hideMark/>
          </w:tcPr>
          <w:p w:rsidR="00D17F02" w:rsidRPr="005A1E84" w:rsidRDefault="00D17F02" w:rsidP="00462D31">
            <w:pPr>
              <w:tabs>
                <w:tab w:val="left" w:pos="576"/>
                <w:tab w:val="center" w:pos="2281"/>
              </w:tabs>
              <w:spacing w:line="240" w:lineRule="auto"/>
              <w:jc w:val="left"/>
              <w:cnfStyle w:val="000000100000"/>
              <w:rPr>
                <w:rFonts w:ascii="Calibri" w:hAnsi="Calibri" w:cs="Times New Roman"/>
                <w:color w:val="auto"/>
                <w:sz w:val="20"/>
                <w:szCs w:val="20"/>
                <w:lang w:val="en-US"/>
              </w:rPr>
            </w:pPr>
            <w:r>
              <w:rPr>
                <w:rFonts w:ascii="Calibri" w:hAnsi="Calibri" w:cs="Times New Roman"/>
                <w:color w:val="auto"/>
                <w:sz w:val="20"/>
                <w:szCs w:val="20"/>
                <w:lang w:val="en-US"/>
              </w:rPr>
              <w:tab/>
            </w:r>
            <w:r>
              <w:rPr>
                <w:rFonts w:ascii="Calibri" w:hAnsi="Calibri" w:cs="Times New Roman"/>
                <w:color w:val="auto"/>
                <w:sz w:val="20"/>
                <w:szCs w:val="20"/>
                <w:lang w:val="en-US"/>
              </w:rPr>
              <w:tab/>
            </w:r>
            <w:r w:rsidRPr="005A1E84">
              <w:rPr>
                <w:rFonts w:ascii="Calibri" w:hAnsi="Calibri" w:cs="Times New Roman"/>
                <w:color w:val="auto"/>
                <w:sz w:val="20"/>
                <w:szCs w:val="20"/>
                <w:lang w:val="en-US"/>
              </w:rPr>
              <w:t>% BDP</w:t>
            </w:r>
          </w:p>
        </w:tc>
      </w:tr>
      <w:tr w:rsidR="00D17F02" w:rsidRPr="005A1E84" w:rsidTr="00D17F02">
        <w:trPr>
          <w:cnfStyle w:val="000000010000"/>
          <w:trHeight w:val="288"/>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Glavne karakteristike:</w:t>
            </w:r>
          </w:p>
        </w:tc>
        <w:tc>
          <w:tcPr>
            <w:tcW w:w="2497" w:type="pct"/>
            <w:gridSpan w:val="5"/>
            <w:hideMark/>
          </w:tcPr>
          <w:p w:rsidR="00D17F02" w:rsidRPr="005A1E84" w:rsidRDefault="00D17F02" w:rsidP="00462D31">
            <w:pPr>
              <w:spacing w:line="240" w:lineRule="auto"/>
              <w:jc w:val="left"/>
              <w:cnfStyle w:val="000000010000"/>
              <w:rPr>
                <w:rFonts w:ascii="Calibri" w:hAnsi="Calibri" w:cs="Times New Roman"/>
                <w:color w:val="auto"/>
                <w:sz w:val="20"/>
                <w:szCs w:val="20"/>
                <w:lang w:val="en-US"/>
              </w:rPr>
            </w:pPr>
          </w:p>
        </w:tc>
      </w:tr>
      <w:tr w:rsidR="00D17F02" w:rsidRPr="005A1E84" w:rsidTr="00D17F02">
        <w:trPr>
          <w:cnfStyle w:val="000000100000"/>
          <w:trHeight w:val="288"/>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Deficit tekućeg računa</w:t>
            </w:r>
          </w:p>
        </w:tc>
        <w:tc>
          <w:tcPr>
            <w:tcW w:w="499" w:type="pct"/>
            <w:noWrap/>
            <w:hideMark/>
          </w:tcPr>
          <w:p w:rsidR="00D17F02" w:rsidRPr="005A1E84" w:rsidRDefault="00D17F02" w:rsidP="00D17F02">
            <w:pPr>
              <w:spacing w:line="240" w:lineRule="auto"/>
              <w:ind w:firstLineChars="100" w:firstLine="200"/>
              <w:jc w:val="right"/>
              <w:cnfStyle w:val="000000100000"/>
              <w:rPr>
                <w:rFonts w:ascii="Calibri" w:hAnsi="Calibri" w:cs="Times New Roman"/>
                <w:color w:val="auto"/>
                <w:sz w:val="20"/>
                <w:szCs w:val="20"/>
                <w:lang w:val="en-US"/>
              </w:rPr>
            </w:pPr>
            <w:r w:rsidRPr="005A1E84">
              <w:rPr>
                <w:rFonts w:ascii="Calibri" w:hAnsi="Calibri" w:cs="Times New Roman"/>
                <w:color w:val="auto"/>
                <w:sz w:val="20"/>
                <w:szCs w:val="20"/>
                <w:lang w:val="en-US"/>
              </w:rPr>
              <w:t>-18.8</w:t>
            </w:r>
          </w:p>
        </w:tc>
        <w:tc>
          <w:tcPr>
            <w:tcW w:w="499" w:type="pct"/>
            <w:noWrap/>
            <w:hideMark/>
          </w:tcPr>
          <w:p w:rsidR="00D17F02" w:rsidRPr="005A1E84" w:rsidRDefault="00D17F02" w:rsidP="00D17F02">
            <w:pPr>
              <w:spacing w:line="240" w:lineRule="auto"/>
              <w:ind w:firstLineChars="100" w:firstLine="200"/>
              <w:jc w:val="right"/>
              <w:cnfStyle w:val="000000100000"/>
              <w:rPr>
                <w:rFonts w:ascii="Calibri" w:hAnsi="Calibri" w:cs="Times New Roman"/>
                <w:color w:val="auto"/>
                <w:sz w:val="20"/>
                <w:szCs w:val="20"/>
                <w:lang w:val="en-US"/>
              </w:rPr>
            </w:pPr>
            <w:r w:rsidRPr="005A1E84">
              <w:rPr>
                <w:rFonts w:ascii="Calibri" w:hAnsi="Calibri" w:cs="Times New Roman"/>
                <w:color w:val="auto"/>
                <w:sz w:val="20"/>
                <w:szCs w:val="20"/>
                <w:lang w:val="en-US"/>
              </w:rPr>
              <w:t>-19.1</w:t>
            </w:r>
          </w:p>
        </w:tc>
        <w:tc>
          <w:tcPr>
            <w:tcW w:w="499" w:type="pct"/>
            <w:noWrap/>
            <w:hideMark/>
          </w:tcPr>
          <w:p w:rsidR="00D17F02" w:rsidRPr="005A1E84" w:rsidRDefault="00D17F02" w:rsidP="00D17F02">
            <w:pPr>
              <w:spacing w:line="240" w:lineRule="auto"/>
              <w:ind w:firstLineChars="100" w:firstLine="200"/>
              <w:jc w:val="right"/>
              <w:cnfStyle w:val="000000100000"/>
              <w:rPr>
                <w:rFonts w:ascii="Calibri" w:hAnsi="Calibri" w:cs="Times New Roman"/>
                <w:color w:val="auto"/>
                <w:sz w:val="20"/>
                <w:szCs w:val="20"/>
                <w:lang w:val="en-US"/>
              </w:rPr>
            </w:pPr>
            <w:r w:rsidRPr="005A1E84">
              <w:rPr>
                <w:rFonts w:ascii="Calibri" w:hAnsi="Calibri" w:cs="Times New Roman"/>
                <w:color w:val="auto"/>
                <w:sz w:val="20"/>
                <w:szCs w:val="20"/>
                <w:lang w:val="en-US"/>
              </w:rPr>
              <w:t>-18.6</w:t>
            </w:r>
          </w:p>
        </w:tc>
        <w:tc>
          <w:tcPr>
            <w:tcW w:w="499" w:type="pct"/>
            <w:noWrap/>
            <w:hideMark/>
          </w:tcPr>
          <w:p w:rsidR="00D17F02" w:rsidRPr="005A1E84" w:rsidRDefault="00D17F02" w:rsidP="00D17F02">
            <w:pPr>
              <w:spacing w:line="240" w:lineRule="auto"/>
              <w:ind w:firstLineChars="100" w:firstLine="200"/>
              <w:jc w:val="right"/>
              <w:cnfStyle w:val="000000100000"/>
              <w:rPr>
                <w:rFonts w:ascii="Calibri" w:hAnsi="Calibri" w:cs="Times New Roman"/>
                <w:color w:val="auto"/>
                <w:sz w:val="20"/>
                <w:szCs w:val="20"/>
                <w:lang w:val="en-US"/>
              </w:rPr>
            </w:pPr>
            <w:r w:rsidRPr="005A1E84">
              <w:rPr>
                <w:rFonts w:ascii="Calibri" w:hAnsi="Calibri" w:cs="Times New Roman"/>
                <w:color w:val="auto"/>
                <w:sz w:val="20"/>
                <w:szCs w:val="20"/>
                <w:lang w:val="en-US"/>
              </w:rPr>
              <w:t>-16.8</w:t>
            </w:r>
          </w:p>
        </w:tc>
        <w:tc>
          <w:tcPr>
            <w:tcW w:w="501" w:type="pct"/>
            <w:noWrap/>
            <w:hideMark/>
          </w:tcPr>
          <w:p w:rsidR="00D17F02" w:rsidRPr="005A1E84" w:rsidRDefault="00D17F02" w:rsidP="00D17F02">
            <w:pPr>
              <w:spacing w:line="240" w:lineRule="auto"/>
              <w:ind w:firstLineChars="100" w:firstLine="200"/>
              <w:jc w:val="right"/>
              <w:cnfStyle w:val="000000100000"/>
              <w:rPr>
                <w:rFonts w:ascii="Calibri" w:hAnsi="Calibri" w:cs="Times New Roman"/>
                <w:color w:val="auto"/>
                <w:sz w:val="20"/>
                <w:szCs w:val="20"/>
                <w:lang w:val="en-US"/>
              </w:rPr>
            </w:pPr>
            <w:r w:rsidRPr="005A1E84">
              <w:rPr>
                <w:rFonts w:ascii="Calibri" w:hAnsi="Calibri" w:cs="Times New Roman"/>
                <w:color w:val="auto"/>
                <w:sz w:val="20"/>
                <w:szCs w:val="20"/>
                <w:lang w:val="en-US"/>
              </w:rPr>
              <w:t>-13.7</w:t>
            </w:r>
          </w:p>
        </w:tc>
      </w:tr>
      <w:tr w:rsidR="00D17F02" w:rsidRPr="005A1E84" w:rsidTr="00D17F02">
        <w:trPr>
          <w:cnfStyle w:val="000000010000"/>
          <w:trHeight w:val="288"/>
        </w:trPr>
        <w:tc>
          <w:tcPr>
            <w:cnfStyle w:val="001000000000"/>
            <w:tcW w:w="2503" w:type="pct"/>
            <w:noWrap/>
            <w:hideMark/>
          </w:tcPr>
          <w:p w:rsidR="00D17F02" w:rsidRPr="005A1E84" w:rsidRDefault="000D71A3" w:rsidP="005611A4">
            <w:pPr>
              <w:spacing w:line="240" w:lineRule="auto"/>
              <w:ind w:firstLineChars="200" w:firstLine="442"/>
              <w:jc w:val="left"/>
              <w:rPr>
                <w:rFonts w:ascii="Calibri" w:hAnsi="Calibri" w:cs="Times New Roman"/>
                <w:color w:val="auto"/>
                <w:sz w:val="20"/>
                <w:szCs w:val="20"/>
                <w:lang w:val="en-US"/>
              </w:rPr>
            </w:pPr>
            <w:hyperlink r:id="rId14" w:anchor="RANGE!G97" w:history="1">
              <w:r w:rsidR="00D17F02" w:rsidRPr="005A1E84">
                <w:rPr>
                  <w:rFonts w:ascii="Calibri" w:hAnsi="Calibri" w:cs="Times New Roman"/>
                  <w:color w:val="auto"/>
                  <w:sz w:val="20"/>
                  <w:lang w:val="en-US"/>
                </w:rPr>
                <w:t>Izvoz</w:t>
              </w:r>
            </w:hyperlink>
          </w:p>
        </w:tc>
        <w:tc>
          <w:tcPr>
            <w:tcW w:w="499"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42.2</w:t>
            </w:r>
          </w:p>
        </w:tc>
        <w:tc>
          <w:tcPr>
            <w:tcW w:w="499"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41.9</w:t>
            </w:r>
          </w:p>
        </w:tc>
        <w:tc>
          <w:tcPr>
            <w:tcW w:w="499"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40.8</w:t>
            </w:r>
          </w:p>
        </w:tc>
        <w:tc>
          <w:tcPr>
            <w:tcW w:w="499"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40.5</w:t>
            </w:r>
          </w:p>
        </w:tc>
        <w:tc>
          <w:tcPr>
            <w:tcW w:w="501"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40.5</w:t>
            </w:r>
          </w:p>
        </w:tc>
      </w:tr>
      <w:tr w:rsidR="00D17F02" w:rsidRPr="005A1E84" w:rsidTr="00D17F02">
        <w:trPr>
          <w:cnfStyle w:val="000000100000"/>
          <w:trHeight w:val="288"/>
        </w:trPr>
        <w:tc>
          <w:tcPr>
            <w:cnfStyle w:val="001000000000"/>
            <w:tcW w:w="2503" w:type="pct"/>
            <w:noWrap/>
            <w:hideMark/>
          </w:tcPr>
          <w:p w:rsidR="00D17F02" w:rsidRPr="005A1E84" w:rsidRDefault="00D17F02" w:rsidP="00462D31">
            <w:pPr>
              <w:spacing w:line="240" w:lineRule="auto"/>
              <w:ind w:firstLineChars="200" w:firstLine="402"/>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Uvoz</w:t>
            </w:r>
          </w:p>
        </w:tc>
        <w:tc>
          <w:tcPr>
            <w:tcW w:w="499" w:type="pct"/>
            <w:noWrap/>
            <w:hideMark/>
          </w:tcPr>
          <w:p w:rsidR="00D17F02" w:rsidRPr="005A1E84" w:rsidRDefault="00D17F02" w:rsidP="00D17F02">
            <w:pPr>
              <w:spacing w:line="240" w:lineRule="auto"/>
              <w:ind w:firstLineChars="100" w:firstLine="200"/>
              <w:jc w:val="right"/>
              <w:cnfStyle w:val="000000100000"/>
              <w:rPr>
                <w:rFonts w:ascii="Calibri" w:hAnsi="Calibri" w:cs="Times New Roman"/>
                <w:color w:val="auto"/>
                <w:sz w:val="20"/>
                <w:szCs w:val="20"/>
                <w:lang w:val="en-US"/>
              </w:rPr>
            </w:pPr>
            <w:r w:rsidRPr="005A1E84">
              <w:rPr>
                <w:rFonts w:ascii="Calibri" w:hAnsi="Calibri" w:cs="Times New Roman"/>
                <w:color w:val="auto"/>
                <w:sz w:val="20"/>
                <w:szCs w:val="20"/>
                <w:lang w:val="en-US"/>
              </w:rPr>
              <w:t>-65.7</w:t>
            </w:r>
          </w:p>
        </w:tc>
        <w:tc>
          <w:tcPr>
            <w:tcW w:w="499" w:type="pct"/>
            <w:noWrap/>
            <w:hideMark/>
          </w:tcPr>
          <w:p w:rsidR="00D17F02" w:rsidRPr="005A1E84" w:rsidRDefault="00D17F02" w:rsidP="00D17F02">
            <w:pPr>
              <w:spacing w:line="240" w:lineRule="auto"/>
              <w:ind w:firstLineChars="100" w:firstLine="200"/>
              <w:jc w:val="right"/>
              <w:cnfStyle w:val="000000100000"/>
              <w:rPr>
                <w:rFonts w:ascii="Calibri" w:hAnsi="Calibri" w:cs="Times New Roman"/>
                <w:color w:val="auto"/>
                <w:sz w:val="20"/>
                <w:szCs w:val="20"/>
                <w:lang w:val="en-US"/>
              </w:rPr>
            </w:pPr>
            <w:r w:rsidRPr="005A1E84">
              <w:rPr>
                <w:rFonts w:ascii="Calibri" w:hAnsi="Calibri" w:cs="Times New Roman"/>
                <w:color w:val="auto"/>
                <w:sz w:val="20"/>
                <w:szCs w:val="20"/>
                <w:lang w:val="en-US"/>
              </w:rPr>
              <w:t>-65.3</w:t>
            </w:r>
          </w:p>
        </w:tc>
        <w:tc>
          <w:tcPr>
            <w:tcW w:w="499" w:type="pct"/>
            <w:noWrap/>
            <w:hideMark/>
          </w:tcPr>
          <w:p w:rsidR="00D17F02" w:rsidRPr="005A1E84" w:rsidRDefault="00D17F02" w:rsidP="00D17F02">
            <w:pPr>
              <w:spacing w:line="240" w:lineRule="auto"/>
              <w:ind w:firstLineChars="100" w:firstLine="200"/>
              <w:jc w:val="right"/>
              <w:cnfStyle w:val="000000100000"/>
              <w:rPr>
                <w:rFonts w:ascii="Calibri" w:hAnsi="Calibri" w:cs="Times New Roman"/>
                <w:color w:val="auto"/>
                <w:sz w:val="20"/>
                <w:szCs w:val="20"/>
                <w:lang w:val="en-US"/>
              </w:rPr>
            </w:pPr>
            <w:r w:rsidRPr="005A1E84">
              <w:rPr>
                <w:rFonts w:ascii="Calibri" w:hAnsi="Calibri" w:cs="Times New Roman"/>
                <w:color w:val="auto"/>
                <w:sz w:val="20"/>
                <w:szCs w:val="20"/>
                <w:lang w:val="en-US"/>
              </w:rPr>
              <w:t>-63.6</w:t>
            </w:r>
          </w:p>
        </w:tc>
        <w:tc>
          <w:tcPr>
            <w:tcW w:w="499" w:type="pct"/>
            <w:noWrap/>
            <w:hideMark/>
          </w:tcPr>
          <w:p w:rsidR="00D17F02" w:rsidRPr="005A1E84" w:rsidRDefault="00D17F02" w:rsidP="00D17F02">
            <w:pPr>
              <w:spacing w:line="240" w:lineRule="auto"/>
              <w:ind w:firstLineChars="100" w:firstLine="200"/>
              <w:jc w:val="right"/>
              <w:cnfStyle w:val="000000100000"/>
              <w:rPr>
                <w:rFonts w:ascii="Calibri" w:hAnsi="Calibri" w:cs="Times New Roman"/>
                <w:color w:val="auto"/>
                <w:sz w:val="20"/>
                <w:szCs w:val="20"/>
                <w:lang w:val="en-US"/>
              </w:rPr>
            </w:pPr>
            <w:r w:rsidRPr="005A1E84">
              <w:rPr>
                <w:rFonts w:ascii="Calibri" w:hAnsi="Calibri" w:cs="Times New Roman"/>
                <w:color w:val="auto"/>
                <w:sz w:val="20"/>
                <w:szCs w:val="20"/>
                <w:lang w:val="en-US"/>
              </w:rPr>
              <w:t>-61.1</w:t>
            </w:r>
          </w:p>
        </w:tc>
        <w:tc>
          <w:tcPr>
            <w:tcW w:w="501" w:type="pct"/>
            <w:noWrap/>
            <w:hideMark/>
          </w:tcPr>
          <w:p w:rsidR="00D17F02" w:rsidRPr="005A1E84" w:rsidRDefault="00D17F02" w:rsidP="00D17F02">
            <w:pPr>
              <w:spacing w:line="240" w:lineRule="auto"/>
              <w:ind w:firstLineChars="100" w:firstLine="200"/>
              <w:jc w:val="right"/>
              <w:cnfStyle w:val="000000100000"/>
              <w:rPr>
                <w:rFonts w:ascii="Calibri" w:hAnsi="Calibri" w:cs="Times New Roman"/>
                <w:color w:val="auto"/>
                <w:sz w:val="20"/>
                <w:szCs w:val="20"/>
                <w:lang w:val="en-US"/>
              </w:rPr>
            </w:pPr>
            <w:r w:rsidRPr="005A1E84">
              <w:rPr>
                <w:rFonts w:ascii="Calibri" w:hAnsi="Calibri" w:cs="Times New Roman"/>
                <w:color w:val="auto"/>
                <w:sz w:val="20"/>
                <w:szCs w:val="20"/>
                <w:lang w:val="en-US"/>
              </w:rPr>
              <w:t>-57.7</w:t>
            </w:r>
          </w:p>
        </w:tc>
      </w:tr>
      <w:tr w:rsidR="00D17F02" w:rsidRPr="005A1E84" w:rsidTr="00D17F02">
        <w:trPr>
          <w:cnfStyle w:val="000000010000"/>
          <w:trHeight w:val="288"/>
        </w:trPr>
        <w:tc>
          <w:tcPr>
            <w:cnfStyle w:val="001000000000"/>
            <w:tcW w:w="2503" w:type="pct"/>
            <w:noWrap/>
            <w:hideMark/>
          </w:tcPr>
          <w:p w:rsidR="00D17F02" w:rsidRPr="005A1E84" w:rsidRDefault="00D17F02" w:rsidP="00462D31">
            <w:pPr>
              <w:spacing w:line="240" w:lineRule="auto"/>
              <w:ind w:firstLineChars="200" w:firstLine="402"/>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Ostalo</w:t>
            </w:r>
          </w:p>
        </w:tc>
        <w:tc>
          <w:tcPr>
            <w:tcW w:w="499"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4.6</w:t>
            </w:r>
          </w:p>
        </w:tc>
        <w:tc>
          <w:tcPr>
            <w:tcW w:w="499"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4.3</w:t>
            </w:r>
          </w:p>
        </w:tc>
        <w:tc>
          <w:tcPr>
            <w:tcW w:w="499"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4.1</w:t>
            </w:r>
          </w:p>
        </w:tc>
        <w:tc>
          <w:tcPr>
            <w:tcW w:w="499"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3.8</w:t>
            </w:r>
          </w:p>
        </w:tc>
        <w:tc>
          <w:tcPr>
            <w:tcW w:w="501"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3.5</w:t>
            </w:r>
          </w:p>
        </w:tc>
      </w:tr>
      <w:tr w:rsidR="00D17F02" w:rsidRPr="005A1E84" w:rsidTr="00D17F02">
        <w:trPr>
          <w:cnfStyle w:val="000000100000"/>
          <w:trHeight w:val="288"/>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Potrošnja domaćinstava</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78.1</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75.5</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73.2</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72.5</w:t>
            </w:r>
          </w:p>
        </w:tc>
        <w:tc>
          <w:tcPr>
            <w:tcW w:w="501"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72.2</w:t>
            </w:r>
          </w:p>
        </w:tc>
      </w:tr>
      <w:tr w:rsidR="00D17F02" w:rsidRPr="005A1E84" w:rsidTr="00D17F02">
        <w:trPr>
          <w:cnfStyle w:val="000000010000"/>
          <w:trHeight w:val="288"/>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Bruto investicije</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24.7</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28.5</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31.2</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30.4</w:t>
            </w:r>
          </w:p>
        </w:tc>
        <w:tc>
          <w:tcPr>
            <w:tcW w:w="501"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27.9</w:t>
            </w:r>
          </w:p>
        </w:tc>
      </w:tr>
      <w:tr w:rsidR="00D17F02" w:rsidRPr="005A1E84" w:rsidTr="00D17F02">
        <w:trPr>
          <w:cnfStyle w:val="000000100000"/>
          <w:trHeight w:val="288"/>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Potrošnja države</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20.4</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19.4</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18.3</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17.7</w:t>
            </w:r>
          </w:p>
        </w:tc>
        <w:tc>
          <w:tcPr>
            <w:tcW w:w="501"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17.2</w:t>
            </w:r>
          </w:p>
        </w:tc>
      </w:tr>
      <w:tr w:rsidR="00D17F02" w:rsidRPr="005A1E84" w:rsidTr="00D17F02">
        <w:trPr>
          <w:cnfStyle w:val="000000010000"/>
          <w:trHeight w:val="120"/>
        </w:trPr>
        <w:tc>
          <w:tcPr>
            <w:cnfStyle w:val="001000000000"/>
            <w:tcW w:w="2503" w:type="pct"/>
            <w:noWrap/>
            <w:hideMark/>
          </w:tcPr>
          <w:p w:rsidR="00D17F02" w:rsidRPr="005A1E84" w:rsidRDefault="00D17F02" w:rsidP="00462D31">
            <w:pPr>
              <w:spacing w:line="240" w:lineRule="auto"/>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c>
          <w:tcPr>
            <w:tcW w:w="499"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c>
          <w:tcPr>
            <w:tcW w:w="499"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c>
          <w:tcPr>
            <w:tcW w:w="499"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c>
          <w:tcPr>
            <w:tcW w:w="499"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c>
          <w:tcPr>
            <w:tcW w:w="501" w:type="pct"/>
            <w:noWrap/>
            <w:hideMark/>
          </w:tcPr>
          <w:p w:rsidR="00D17F02" w:rsidRPr="005A1E84" w:rsidRDefault="00D17F02" w:rsidP="00D17F02">
            <w:pPr>
              <w:spacing w:line="240" w:lineRule="auto"/>
              <w:ind w:firstLineChars="100" w:firstLine="200"/>
              <w:jc w:val="right"/>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r>
      <w:tr w:rsidR="00D17F02" w:rsidRPr="005A1E84" w:rsidTr="00D17F02">
        <w:trPr>
          <w:cnfStyle w:val="000000100000"/>
          <w:trHeight w:val="288"/>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BDP deflator</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1.6</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2.1</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2.7</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1.9</w:t>
            </w:r>
          </w:p>
        </w:tc>
        <w:tc>
          <w:tcPr>
            <w:tcW w:w="501"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1.6</w:t>
            </w:r>
          </w:p>
        </w:tc>
      </w:tr>
      <w:tr w:rsidR="00D17F02" w:rsidRPr="005A1E84" w:rsidTr="00D17F02">
        <w:trPr>
          <w:cnfStyle w:val="000000010000"/>
          <w:trHeight w:hRule="exact" w:val="255"/>
        </w:trPr>
        <w:tc>
          <w:tcPr>
            <w:cnfStyle w:val="001000000000"/>
            <w:tcW w:w="2503" w:type="pct"/>
            <w:noWrap/>
            <w:hideMark/>
          </w:tcPr>
          <w:p w:rsidR="00D17F02" w:rsidRPr="005A1E84" w:rsidRDefault="00D17F02" w:rsidP="00462D31">
            <w:pPr>
              <w:spacing w:line="240" w:lineRule="auto"/>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c>
          <w:tcPr>
            <w:tcW w:w="2497" w:type="pct"/>
            <w:gridSpan w:val="5"/>
            <w:noWrap/>
            <w:hideMark/>
          </w:tcPr>
          <w:p w:rsidR="00D17F02" w:rsidRPr="005A1E84" w:rsidRDefault="00D17F02" w:rsidP="00462D31">
            <w:pPr>
              <w:spacing w:line="240" w:lineRule="auto"/>
              <w:jc w:val="center"/>
              <w:cnfStyle w:val="000000010000"/>
              <w:rPr>
                <w:rFonts w:ascii="Calibri" w:hAnsi="Calibri" w:cs="Times New Roman"/>
                <w:color w:val="auto"/>
                <w:sz w:val="20"/>
                <w:szCs w:val="20"/>
                <w:lang w:val="en-US"/>
              </w:rPr>
            </w:pPr>
            <w:r w:rsidRPr="005A1E84">
              <w:rPr>
                <w:rFonts w:ascii="Calibri" w:hAnsi="Calibri" w:cs="Times New Roman"/>
                <w:color w:val="auto"/>
                <w:sz w:val="20"/>
                <w:szCs w:val="20"/>
                <w:lang w:val="en-US"/>
              </w:rPr>
              <w:t>realne stope rasta u procentima</w:t>
            </w:r>
          </w:p>
        </w:tc>
      </w:tr>
      <w:tr w:rsidR="00D17F02" w:rsidRPr="005A1E84" w:rsidTr="00D17F02">
        <w:trPr>
          <w:cnfStyle w:val="00000010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Realni rast BDP-a</w:t>
            </w:r>
          </w:p>
        </w:tc>
        <w:tc>
          <w:tcPr>
            <w:tcW w:w="499" w:type="pct"/>
            <w:noWrap/>
            <w:hideMark/>
          </w:tcPr>
          <w:p w:rsidR="00D17F02" w:rsidRPr="005A1E84" w:rsidRDefault="00D17F02" w:rsidP="00462D31">
            <w:pPr>
              <w:spacing w:line="240" w:lineRule="auto"/>
              <w:ind w:firstLineChars="100" w:firstLine="181"/>
              <w:jc w:val="right"/>
              <w:cnfStyle w:val="000000100000"/>
              <w:rPr>
                <w:rFonts w:ascii="Calibri" w:hAnsi="Calibri" w:cs="Times New Roman"/>
                <w:b/>
                <w:bCs/>
                <w:sz w:val="18"/>
                <w:szCs w:val="18"/>
                <w:lang w:val="en-US"/>
              </w:rPr>
            </w:pPr>
            <w:r w:rsidRPr="005A1E84">
              <w:rPr>
                <w:rFonts w:ascii="Calibri" w:hAnsi="Calibri" w:cs="Times New Roman"/>
                <w:b/>
                <w:bCs/>
                <w:sz w:val="18"/>
                <w:szCs w:val="18"/>
                <w:lang w:val="en-US"/>
              </w:rPr>
              <w:t>2.5</w:t>
            </w:r>
          </w:p>
        </w:tc>
        <w:tc>
          <w:tcPr>
            <w:tcW w:w="499" w:type="pct"/>
            <w:noWrap/>
            <w:hideMark/>
          </w:tcPr>
          <w:p w:rsidR="00D17F02" w:rsidRPr="005A1E84" w:rsidRDefault="00D17F02" w:rsidP="00462D31">
            <w:pPr>
              <w:spacing w:line="240" w:lineRule="auto"/>
              <w:ind w:firstLineChars="100" w:firstLine="181"/>
              <w:jc w:val="right"/>
              <w:cnfStyle w:val="000000100000"/>
              <w:rPr>
                <w:rFonts w:ascii="Calibri" w:hAnsi="Calibri" w:cs="Times New Roman"/>
                <w:b/>
                <w:bCs/>
                <w:sz w:val="18"/>
                <w:szCs w:val="18"/>
                <w:lang w:val="en-US"/>
              </w:rPr>
            </w:pPr>
            <w:r w:rsidRPr="005A1E84">
              <w:rPr>
                <w:rFonts w:ascii="Calibri" w:hAnsi="Calibri" w:cs="Times New Roman"/>
                <w:b/>
                <w:bCs/>
                <w:sz w:val="18"/>
                <w:szCs w:val="18"/>
                <w:lang w:val="en-US"/>
              </w:rPr>
              <w:t>2.7</w:t>
            </w:r>
          </w:p>
        </w:tc>
        <w:tc>
          <w:tcPr>
            <w:tcW w:w="499" w:type="pct"/>
            <w:noWrap/>
            <w:hideMark/>
          </w:tcPr>
          <w:p w:rsidR="00D17F02" w:rsidRPr="005A1E84" w:rsidRDefault="00D17F02" w:rsidP="00462D31">
            <w:pPr>
              <w:spacing w:line="240" w:lineRule="auto"/>
              <w:ind w:firstLineChars="100" w:firstLine="181"/>
              <w:jc w:val="right"/>
              <w:cnfStyle w:val="000000100000"/>
              <w:rPr>
                <w:rFonts w:ascii="Calibri" w:hAnsi="Calibri" w:cs="Times New Roman"/>
                <w:b/>
                <w:bCs/>
                <w:sz w:val="18"/>
                <w:szCs w:val="18"/>
                <w:lang w:val="en-US"/>
              </w:rPr>
            </w:pPr>
            <w:r w:rsidRPr="005A1E84">
              <w:rPr>
                <w:rFonts w:ascii="Calibri" w:hAnsi="Calibri" w:cs="Times New Roman"/>
                <w:b/>
                <w:bCs/>
                <w:sz w:val="18"/>
                <w:szCs w:val="18"/>
                <w:lang w:val="en-US"/>
              </w:rPr>
              <w:t>3.2</w:t>
            </w:r>
          </w:p>
        </w:tc>
        <w:tc>
          <w:tcPr>
            <w:tcW w:w="499" w:type="pct"/>
            <w:noWrap/>
            <w:hideMark/>
          </w:tcPr>
          <w:p w:rsidR="00D17F02" w:rsidRPr="005A1E84" w:rsidRDefault="00D17F02" w:rsidP="00462D31">
            <w:pPr>
              <w:spacing w:line="240" w:lineRule="auto"/>
              <w:ind w:firstLineChars="100" w:firstLine="181"/>
              <w:jc w:val="right"/>
              <w:cnfStyle w:val="000000100000"/>
              <w:rPr>
                <w:rFonts w:ascii="Calibri" w:hAnsi="Calibri" w:cs="Times New Roman"/>
                <w:b/>
                <w:bCs/>
                <w:sz w:val="18"/>
                <w:szCs w:val="18"/>
                <w:lang w:val="en-US"/>
              </w:rPr>
            </w:pPr>
            <w:r w:rsidRPr="005A1E84">
              <w:rPr>
                <w:rFonts w:ascii="Calibri" w:hAnsi="Calibri" w:cs="Times New Roman"/>
                <w:b/>
                <w:bCs/>
                <w:sz w:val="18"/>
                <w:szCs w:val="18"/>
                <w:lang w:val="en-US"/>
              </w:rPr>
              <w:t>2.3</w:t>
            </w:r>
          </w:p>
        </w:tc>
        <w:tc>
          <w:tcPr>
            <w:tcW w:w="501" w:type="pct"/>
            <w:noWrap/>
            <w:hideMark/>
          </w:tcPr>
          <w:p w:rsidR="00D17F02" w:rsidRPr="005A1E84" w:rsidRDefault="00D17F02" w:rsidP="00462D31">
            <w:pPr>
              <w:spacing w:line="240" w:lineRule="auto"/>
              <w:ind w:firstLineChars="100" w:firstLine="181"/>
              <w:jc w:val="right"/>
              <w:cnfStyle w:val="000000100000"/>
              <w:rPr>
                <w:rFonts w:ascii="Calibri" w:hAnsi="Calibri" w:cs="Times New Roman"/>
                <w:b/>
                <w:bCs/>
                <w:sz w:val="18"/>
                <w:szCs w:val="18"/>
                <w:lang w:val="en-US"/>
              </w:rPr>
            </w:pPr>
            <w:r w:rsidRPr="005A1E84">
              <w:rPr>
                <w:rFonts w:ascii="Calibri" w:hAnsi="Calibri" w:cs="Times New Roman"/>
                <w:b/>
                <w:bCs/>
                <w:sz w:val="18"/>
                <w:szCs w:val="18"/>
                <w:lang w:val="en-US"/>
              </w:rPr>
              <w:t>2.1</w:t>
            </w:r>
          </w:p>
        </w:tc>
      </w:tr>
      <w:tr w:rsidR="00D17F02" w:rsidRPr="005A1E84" w:rsidTr="00D17F02">
        <w:trPr>
          <w:cnfStyle w:val="00000001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Domaća tražnja</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7.5</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2.8</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2.8</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0.6</w:t>
            </w:r>
          </w:p>
        </w:tc>
        <w:tc>
          <w:tcPr>
            <w:tcW w:w="501"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-0.7</w:t>
            </w:r>
          </w:p>
        </w:tc>
      </w:tr>
      <w:tr w:rsidR="00D17F02" w:rsidRPr="005A1E84" w:rsidTr="00D17F02">
        <w:trPr>
          <w:cnfStyle w:val="00000010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Potrošnja domaćinstava</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2.6</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-0.9</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-0.3</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1.1</w:t>
            </w:r>
          </w:p>
        </w:tc>
        <w:tc>
          <w:tcPr>
            <w:tcW w:w="501"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1.7</w:t>
            </w:r>
          </w:p>
        </w:tc>
      </w:tr>
      <w:tr w:rsidR="00D17F02" w:rsidRPr="005A1E84" w:rsidTr="00D17F02">
        <w:trPr>
          <w:cnfStyle w:val="00000001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Bruto investicije</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29.6</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19.6</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14.2</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0.1</w:t>
            </w:r>
          </w:p>
        </w:tc>
        <w:tc>
          <w:tcPr>
            <w:tcW w:w="501"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-6.3</w:t>
            </w:r>
          </w:p>
        </w:tc>
      </w:tr>
      <w:tr w:rsidR="00D17F02" w:rsidRPr="005A1E84" w:rsidTr="00D17F02">
        <w:trPr>
          <w:cnfStyle w:val="00000010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Promjena zaliha</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0.0</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0.0</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0.0</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0.0</w:t>
            </w:r>
          </w:p>
        </w:tc>
        <w:tc>
          <w:tcPr>
            <w:tcW w:w="501"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0.0</w:t>
            </w:r>
          </w:p>
        </w:tc>
      </w:tr>
      <w:tr w:rsidR="00D17F02" w:rsidRPr="005A1E84" w:rsidTr="00D17F02">
        <w:trPr>
          <w:cnfStyle w:val="00000001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Potrošnja države</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1.0</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-1.7</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-1.5</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-0.6</w:t>
            </w:r>
          </w:p>
        </w:tc>
        <w:tc>
          <w:tcPr>
            <w:tcW w:w="501"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-0.7</w:t>
            </w:r>
          </w:p>
        </w:tc>
      </w:tr>
      <w:tr w:rsidR="00D17F02" w:rsidRPr="005A1E84" w:rsidTr="00D17F02">
        <w:trPr>
          <w:cnfStyle w:val="00000010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Izvoz roba i usluga</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5.1</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2.5</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1.8</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2.0</w:t>
            </w:r>
          </w:p>
        </w:tc>
        <w:tc>
          <w:tcPr>
            <w:tcW w:w="501"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2.0</w:t>
            </w:r>
          </w:p>
        </w:tc>
      </w:tr>
      <w:tr w:rsidR="00D17F02" w:rsidRPr="005A1E84" w:rsidTr="00D17F02">
        <w:trPr>
          <w:cnfStyle w:val="00000001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Uvoz roba i usluga</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14.1</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2.7</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1.6</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-1.2</w:t>
            </w:r>
          </w:p>
        </w:tc>
        <w:tc>
          <w:tcPr>
            <w:tcW w:w="501"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-3.5</w:t>
            </w:r>
          </w:p>
        </w:tc>
      </w:tr>
      <w:tr w:rsidR="00D17F02" w:rsidRPr="005A1E84" w:rsidTr="00D17F02">
        <w:trPr>
          <w:cnfStyle w:val="000000100000"/>
          <w:trHeight w:hRule="exact" w:val="255"/>
        </w:trPr>
        <w:tc>
          <w:tcPr>
            <w:cnfStyle w:val="001000000000"/>
            <w:tcW w:w="2503" w:type="pct"/>
            <w:noWrap/>
            <w:hideMark/>
          </w:tcPr>
          <w:p w:rsidR="00D17F02" w:rsidRPr="005A1E84" w:rsidRDefault="00D17F02" w:rsidP="00462D31">
            <w:pPr>
              <w:spacing w:line="240" w:lineRule="auto"/>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 </w:t>
            </w:r>
          </w:p>
        </w:tc>
        <w:tc>
          <w:tcPr>
            <w:tcW w:w="2497" w:type="pct"/>
            <w:gridSpan w:val="5"/>
            <w:noWrap/>
            <w:hideMark/>
          </w:tcPr>
          <w:p w:rsidR="00D17F02" w:rsidRPr="005A1E84" w:rsidRDefault="00D17F02" w:rsidP="00462D31">
            <w:pPr>
              <w:spacing w:line="240" w:lineRule="auto"/>
              <w:jc w:val="center"/>
              <w:cnfStyle w:val="000000100000"/>
              <w:rPr>
                <w:rFonts w:ascii="Calibri" w:hAnsi="Calibri" w:cs="Times New Roman"/>
                <w:color w:val="auto"/>
                <w:sz w:val="16"/>
                <w:szCs w:val="16"/>
                <w:lang w:val="en-US"/>
              </w:rPr>
            </w:pPr>
            <w:r w:rsidRPr="005A1E84">
              <w:rPr>
                <w:rFonts w:ascii="Calibri" w:hAnsi="Calibri" w:cs="Times New Roman"/>
                <w:color w:val="auto"/>
                <w:sz w:val="20"/>
                <w:szCs w:val="16"/>
                <w:lang w:val="en-US"/>
              </w:rPr>
              <w:t>Učešće u realnom rastu BDP-a u procentima</w:t>
            </w:r>
          </w:p>
        </w:tc>
      </w:tr>
      <w:tr w:rsidR="00D17F02" w:rsidRPr="005A1E84" w:rsidTr="00D17F02">
        <w:trPr>
          <w:cnfStyle w:val="00000001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Realni rast BDP-a</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2.5</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2.7</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3.2</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2.3</w:t>
            </w:r>
          </w:p>
        </w:tc>
        <w:tc>
          <w:tcPr>
            <w:tcW w:w="501"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2.1</w:t>
            </w:r>
          </w:p>
        </w:tc>
      </w:tr>
      <w:tr w:rsidR="00D17F02" w:rsidRPr="005A1E84" w:rsidTr="00D17F02">
        <w:trPr>
          <w:cnfStyle w:val="00000010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Domaća tražnja</w:t>
            </w:r>
          </w:p>
        </w:tc>
        <w:tc>
          <w:tcPr>
            <w:tcW w:w="499" w:type="pct"/>
            <w:noWrap/>
            <w:hideMark/>
          </w:tcPr>
          <w:p w:rsidR="00D17F02" w:rsidRPr="005A1E84" w:rsidRDefault="00D17F02" w:rsidP="00462D31">
            <w:pPr>
              <w:spacing w:line="240" w:lineRule="auto"/>
              <w:ind w:firstLineChars="100" w:firstLine="181"/>
              <w:jc w:val="right"/>
              <w:cnfStyle w:val="000000100000"/>
              <w:rPr>
                <w:rFonts w:ascii="Calibri" w:hAnsi="Calibri" w:cs="Times New Roman"/>
                <w:b/>
                <w:bCs/>
                <w:sz w:val="18"/>
                <w:szCs w:val="18"/>
                <w:lang w:val="en-US"/>
              </w:rPr>
            </w:pPr>
            <w:r w:rsidRPr="005A1E84">
              <w:rPr>
                <w:rFonts w:ascii="Calibri" w:hAnsi="Calibri" w:cs="Times New Roman"/>
                <w:b/>
                <w:bCs/>
                <w:sz w:val="18"/>
                <w:szCs w:val="18"/>
                <w:lang w:val="en-US"/>
              </w:rPr>
              <w:t>8.9</w:t>
            </w:r>
          </w:p>
        </w:tc>
        <w:tc>
          <w:tcPr>
            <w:tcW w:w="499" w:type="pct"/>
            <w:noWrap/>
            <w:hideMark/>
          </w:tcPr>
          <w:p w:rsidR="00D17F02" w:rsidRPr="005A1E84" w:rsidRDefault="00D17F02" w:rsidP="00462D31">
            <w:pPr>
              <w:spacing w:line="240" w:lineRule="auto"/>
              <w:ind w:firstLineChars="100" w:firstLine="181"/>
              <w:jc w:val="right"/>
              <w:cnfStyle w:val="000000100000"/>
              <w:rPr>
                <w:rFonts w:ascii="Calibri" w:hAnsi="Calibri" w:cs="Times New Roman"/>
                <w:b/>
                <w:bCs/>
                <w:sz w:val="18"/>
                <w:szCs w:val="18"/>
                <w:lang w:val="en-US"/>
              </w:rPr>
            </w:pPr>
            <w:r w:rsidRPr="005A1E84">
              <w:rPr>
                <w:rFonts w:ascii="Calibri" w:hAnsi="Calibri" w:cs="Times New Roman"/>
                <w:b/>
                <w:bCs/>
                <w:sz w:val="18"/>
                <w:szCs w:val="18"/>
                <w:lang w:val="en-US"/>
              </w:rPr>
              <w:t>3.5</w:t>
            </w:r>
          </w:p>
        </w:tc>
        <w:tc>
          <w:tcPr>
            <w:tcW w:w="499" w:type="pct"/>
            <w:noWrap/>
            <w:hideMark/>
          </w:tcPr>
          <w:p w:rsidR="00D17F02" w:rsidRPr="005A1E84" w:rsidRDefault="00D17F02" w:rsidP="00462D31">
            <w:pPr>
              <w:spacing w:line="240" w:lineRule="auto"/>
              <w:ind w:firstLineChars="100" w:firstLine="181"/>
              <w:jc w:val="right"/>
              <w:cnfStyle w:val="000000100000"/>
              <w:rPr>
                <w:rFonts w:ascii="Calibri" w:hAnsi="Calibri" w:cs="Times New Roman"/>
                <w:b/>
                <w:bCs/>
                <w:sz w:val="18"/>
                <w:szCs w:val="18"/>
                <w:lang w:val="en-US"/>
              </w:rPr>
            </w:pPr>
            <w:r w:rsidRPr="005A1E84">
              <w:rPr>
                <w:rFonts w:ascii="Calibri" w:hAnsi="Calibri" w:cs="Times New Roman"/>
                <w:b/>
                <w:bCs/>
                <w:sz w:val="18"/>
                <w:szCs w:val="18"/>
                <w:lang w:val="en-US"/>
              </w:rPr>
              <w:t>3.5</w:t>
            </w:r>
          </w:p>
        </w:tc>
        <w:tc>
          <w:tcPr>
            <w:tcW w:w="499" w:type="pct"/>
            <w:noWrap/>
            <w:hideMark/>
          </w:tcPr>
          <w:p w:rsidR="00D17F02" w:rsidRPr="005A1E84" w:rsidRDefault="00D17F02" w:rsidP="00462D31">
            <w:pPr>
              <w:spacing w:line="240" w:lineRule="auto"/>
              <w:ind w:firstLineChars="100" w:firstLine="181"/>
              <w:jc w:val="right"/>
              <w:cnfStyle w:val="000000100000"/>
              <w:rPr>
                <w:rFonts w:ascii="Calibri" w:hAnsi="Calibri" w:cs="Times New Roman"/>
                <w:b/>
                <w:bCs/>
                <w:sz w:val="18"/>
                <w:szCs w:val="18"/>
                <w:lang w:val="en-US"/>
              </w:rPr>
            </w:pPr>
            <w:r w:rsidRPr="005A1E84">
              <w:rPr>
                <w:rFonts w:ascii="Calibri" w:hAnsi="Calibri" w:cs="Times New Roman"/>
                <w:b/>
                <w:bCs/>
                <w:sz w:val="18"/>
                <w:szCs w:val="18"/>
                <w:lang w:val="en-US"/>
              </w:rPr>
              <w:t>0.7</w:t>
            </w:r>
          </w:p>
        </w:tc>
        <w:tc>
          <w:tcPr>
            <w:tcW w:w="501" w:type="pct"/>
            <w:noWrap/>
            <w:hideMark/>
          </w:tcPr>
          <w:p w:rsidR="00D17F02" w:rsidRPr="005A1E84" w:rsidRDefault="00D17F02" w:rsidP="00462D31">
            <w:pPr>
              <w:spacing w:line="240" w:lineRule="auto"/>
              <w:ind w:firstLineChars="100" w:firstLine="181"/>
              <w:jc w:val="right"/>
              <w:cnfStyle w:val="000000100000"/>
              <w:rPr>
                <w:rFonts w:ascii="Calibri" w:hAnsi="Calibri" w:cs="Times New Roman"/>
                <w:b/>
                <w:bCs/>
                <w:sz w:val="18"/>
                <w:szCs w:val="18"/>
                <w:lang w:val="en-US"/>
              </w:rPr>
            </w:pPr>
            <w:r w:rsidRPr="005A1E84">
              <w:rPr>
                <w:rFonts w:ascii="Calibri" w:hAnsi="Calibri" w:cs="Times New Roman"/>
                <w:b/>
                <w:bCs/>
                <w:sz w:val="18"/>
                <w:szCs w:val="18"/>
                <w:lang w:val="en-US"/>
              </w:rPr>
              <w:t>-0.8</w:t>
            </w:r>
          </w:p>
        </w:tc>
      </w:tr>
      <w:tr w:rsidR="00D17F02" w:rsidRPr="005A1E84" w:rsidTr="00D17F02">
        <w:trPr>
          <w:cnfStyle w:val="000000010000"/>
          <w:trHeight w:hRule="exact" w:val="255"/>
        </w:trPr>
        <w:tc>
          <w:tcPr>
            <w:cnfStyle w:val="001000000000"/>
            <w:tcW w:w="2503" w:type="pct"/>
            <w:noWrap/>
            <w:hideMark/>
          </w:tcPr>
          <w:p w:rsidR="00D17F02" w:rsidRPr="005A1E84" w:rsidRDefault="00D17F02" w:rsidP="00462D31">
            <w:pPr>
              <w:spacing w:line="240" w:lineRule="auto"/>
              <w:ind w:firstLineChars="200" w:firstLine="402"/>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Potrošnja domaćinstava</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2.1</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-0.7</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-0.3</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0.8</w:t>
            </w:r>
          </w:p>
        </w:tc>
        <w:tc>
          <w:tcPr>
            <w:tcW w:w="501"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1.2</w:t>
            </w:r>
          </w:p>
        </w:tc>
      </w:tr>
      <w:tr w:rsidR="00D17F02" w:rsidRPr="005A1E84" w:rsidTr="00D17F02">
        <w:trPr>
          <w:cnfStyle w:val="000000100000"/>
          <w:trHeight w:hRule="exact" w:val="255"/>
        </w:trPr>
        <w:tc>
          <w:tcPr>
            <w:cnfStyle w:val="001000000000"/>
            <w:tcW w:w="2503" w:type="pct"/>
            <w:noWrap/>
            <w:hideMark/>
          </w:tcPr>
          <w:p w:rsidR="00D17F02" w:rsidRPr="005A1E84" w:rsidRDefault="00D17F02" w:rsidP="00462D31">
            <w:pPr>
              <w:spacing w:line="240" w:lineRule="auto"/>
              <w:ind w:firstLineChars="200" w:firstLine="402"/>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Bruto investicije</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6.0</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4.8</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4.0</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0.0</w:t>
            </w:r>
          </w:p>
        </w:tc>
        <w:tc>
          <w:tcPr>
            <w:tcW w:w="501"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-1.9</w:t>
            </w:r>
          </w:p>
        </w:tc>
      </w:tr>
      <w:tr w:rsidR="00D17F02" w:rsidRPr="005A1E84" w:rsidTr="00D17F02">
        <w:trPr>
          <w:cnfStyle w:val="000000010000"/>
          <w:trHeight w:hRule="exact" w:val="255"/>
        </w:trPr>
        <w:tc>
          <w:tcPr>
            <w:cnfStyle w:val="001000000000"/>
            <w:tcW w:w="2503" w:type="pct"/>
            <w:noWrap/>
            <w:hideMark/>
          </w:tcPr>
          <w:p w:rsidR="00D17F02" w:rsidRPr="005A1E84" w:rsidRDefault="00D17F02" w:rsidP="00462D31">
            <w:pPr>
              <w:spacing w:line="240" w:lineRule="auto"/>
              <w:ind w:firstLineChars="200" w:firstLine="402"/>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Promjena zaliha</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0.6</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-0.3</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0.0</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0.0</w:t>
            </w:r>
          </w:p>
        </w:tc>
        <w:tc>
          <w:tcPr>
            <w:tcW w:w="501"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0.0</w:t>
            </w:r>
          </w:p>
        </w:tc>
      </w:tr>
      <w:tr w:rsidR="00D17F02" w:rsidRPr="005A1E84" w:rsidTr="00D17F02">
        <w:trPr>
          <w:cnfStyle w:val="000000100000"/>
          <w:trHeight w:hRule="exact" w:val="255"/>
        </w:trPr>
        <w:tc>
          <w:tcPr>
            <w:cnfStyle w:val="001000000000"/>
            <w:tcW w:w="2503" w:type="pct"/>
            <w:noWrap/>
            <w:hideMark/>
          </w:tcPr>
          <w:p w:rsidR="00D17F02" w:rsidRPr="005A1E84" w:rsidRDefault="00D17F02" w:rsidP="00462D31">
            <w:pPr>
              <w:spacing w:line="240" w:lineRule="auto"/>
              <w:ind w:firstLineChars="200" w:firstLine="402"/>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Potrošnja države</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0.2</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-0.3</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-0.3</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-0.1</w:t>
            </w:r>
          </w:p>
        </w:tc>
        <w:tc>
          <w:tcPr>
            <w:tcW w:w="501"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-0.1</w:t>
            </w:r>
          </w:p>
        </w:tc>
      </w:tr>
      <w:tr w:rsidR="00D17F02" w:rsidRPr="005A1E84" w:rsidTr="00D17F02">
        <w:trPr>
          <w:cnfStyle w:val="00000001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Neto izvoz</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-6.4</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-0.8</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-0.3</w:t>
            </w:r>
          </w:p>
        </w:tc>
        <w:tc>
          <w:tcPr>
            <w:tcW w:w="499"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1.6</w:t>
            </w:r>
          </w:p>
        </w:tc>
        <w:tc>
          <w:tcPr>
            <w:tcW w:w="501" w:type="pct"/>
            <w:noWrap/>
            <w:hideMark/>
          </w:tcPr>
          <w:p w:rsidR="00D17F02" w:rsidRPr="005A1E84" w:rsidRDefault="00D17F02" w:rsidP="00462D31">
            <w:pPr>
              <w:spacing w:line="240" w:lineRule="auto"/>
              <w:ind w:firstLineChars="100" w:firstLine="181"/>
              <w:jc w:val="right"/>
              <w:cnfStyle w:val="000000010000"/>
              <w:rPr>
                <w:rFonts w:ascii="Calibri" w:hAnsi="Calibri" w:cs="Times New Roman"/>
                <w:b/>
                <w:bCs/>
                <w:sz w:val="18"/>
                <w:szCs w:val="18"/>
                <w:lang w:val="en-US"/>
              </w:rPr>
            </w:pPr>
            <w:r w:rsidRPr="005A1E84">
              <w:rPr>
                <w:rFonts w:ascii="Calibri" w:hAnsi="Calibri" w:cs="Times New Roman"/>
                <w:b/>
                <w:bCs/>
                <w:sz w:val="18"/>
                <w:szCs w:val="18"/>
                <w:lang w:val="en-US"/>
              </w:rPr>
              <w:t>3.0</w:t>
            </w:r>
          </w:p>
        </w:tc>
      </w:tr>
      <w:tr w:rsidR="00D17F02" w:rsidRPr="005A1E84" w:rsidTr="00D17F02">
        <w:trPr>
          <w:cnfStyle w:val="000000100000"/>
          <w:trHeight w:hRule="exact" w:val="255"/>
        </w:trPr>
        <w:tc>
          <w:tcPr>
            <w:cnfStyle w:val="001000000000"/>
            <w:tcW w:w="2503" w:type="pct"/>
            <w:noWrap/>
            <w:hideMark/>
          </w:tcPr>
          <w:p w:rsidR="00D17F02" w:rsidRPr="005A1E84" w:rsidRDefault="00D17F02" w:rsidP="00462D31">
            <w:pPr>
              <w:spacing w:line="240" w:lineRule="auto"/>
              <w:ind w:firstLineChars="200" w:firstLine="402"/>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Izvoz roba I usluga</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2.2</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1.0</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0.8</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0.8</w:t>
            </w:r>
          </w:p>
        </w:tc>
        <w:tc>
          <w:tcPr>
            <w:tcW w:w="501"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0.8</w:t>
            </w:r>
          </w:p>
        </w:tc>
      </w:tr>
      <w:tr w:rsidR="00D17F02" w:rsidRPr="005A1E84" w:rsidTr="00D17F02">
        <w:trPr>
          <w:cnfStyle w:val="000000010000"/>
          <w:trHeight w:hRule="exact" w:val="255"/>
        </w:trPr>
        <w:tc>
          <w:tcPr>
            <w:cnfStyle w:val="001000000000"/>
            <w:tcW w:w="2503" w:type="pct"/>
            <w:noWrap/>
            <w:hideMark/>
          </w:tcPr>
          <w:p w:rsidR="00D17F02" w:rsidRPr="005A1E84" w:rsidRDefault="00D17F02" w:rsidP="00462D31">
            <w:pPr>
              <w:spacing w:line="240" w:lineRule="auto"/>
              <w:ind w:firstLineChars="200" w:firstLine="402"/>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Uvoz roba I usluga</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-8.6</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-1.8</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-1.1</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0.8</w:t>
            </w:r>
          </w:p>
        </w:tc>
        <w:tc>
          <w:tcPr>
            <w:tcW w:w="501"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sz w:val="18"/>
                <w:szCs w:val="18"/>
                <w:lang w:val="en-US"/>
              </w:rPr>
            </w:pPr>
            <w:r w:rsidRPr="005A1E84">
              <w:rPr>
                <w:rFonts w:ascii="Calibri" w:hAnsi="Calibri" w:cs="Times New Roman"/>
                <w:sz w:val="18"/>
                <w:szCs w:val="18"/>
                <w:lang w:val="en-US"/>
              </w:rPr>
              <w:t>2.1</w:t>
            </w:r>
          </w:p>
        </w:tc>
      </w:tr>
      <w:tr w:rsidR="00D17F02" w:rsidRPr="005A1E84" w:rsidTr="00D17F02">
        <w:trPr>
          <w:cnfStyle w:val="00000010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Glavne pretpostavke:</w:t>
            </w:r>
          </w:p>
        </w:tc>
        <w:tc>
          <w:tcPr>
            <w:tcW w:w="2497" w:type="pct"/>
            <w:gridSpan w:val="5"/>
            <w:hideMark/>
          </w:tcPr>
          <w:p w:rsidR="00D17F02" w:rsidRPr="00071A61" w:rsidRDefault="00D17F02" w:rsidP="00462D31">
            <w:pPr>
              <w:spacing w:line="240" w:lineRule="auto"/>
              <w:jc w:val="center"/>
              <w:cnfStyle w:val="000000100000"/>
              <w:rPr>
                <w:rFonts w:ascii="Calibri" w:hAnsi="Calibri" w:cs="Times New Roman"/>
                <w:color w:val="auto"/>
                <w:sz w:val="16"/>
                <w:szCs w:val="16"/>
                <w:lang w:val="de-DE"/>
              </w:rPr>
            </w:pPr>
            <w:r w:rsidRPr="00071A61">
              <w:rPr>
                <w:rFonts w:ascii="Calibri" w:hAnsi="Calibri" w:cs="Times New Roman"/>
                <w:color w:val="auto"/>
                <w:sz w:val="20"/>
                <w:szCs w:val="16"/>
                <w:lang w:val="de-DE"/>
              </w:rPr>
              <w:t>rast u procentima ako nije naznačeno drugačije</w:t>
            </w:r>
          </w:p>
        </w:tc>
      </w:tr>
      <w:tr w:rsidR="00D17F02" w:rsidRPr="005A1E84" w:rsidTr="00D17F02">
        <w:trPr>
          <w:cnfStyle w:val="00000001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outlineLvl w:val="0"/>
              <w:rPr>
                <w:rFonts w:ascii="Calibri" w:hAnsi="Calibri" w:cs="Times New Roman"/>
                <w:color w:val="auto"/>
                <w:sz w:val="20"/>
                <w:szCs w:val="20"/>
                <w:lang w:val="en-US"/>
              </w:rPr>
            </w:pPr>
            <w:bookmarkStart w:id="26" w:name="_Toc484178325"/>
            <w:bookmarkStart w:id="27" w:name="_Toc484373030"/>
            <w:r w:rsidRPr="005A1E84">
              <w:rPr>
                <w:rFonts w:ascii="Calibri" w:hAnsi="Calibri" w:cs="Times New Roman"/>
                <w:color w:val="auto"/>
                <w:sz w:val="20"/>
                <w:szCs w:val="20"/>
                <w:lang w:val="en-US"/>
              </w:rPr>
              <w:t>Rast zaposlenosti</w:t>
            </w:r>
            <w:bookmarkEnd w:id="26"/>
            <w:bookmarkEnd w:id="27"/>
          </w:p>
        </w:tc>
        <w:tc>
          <w:tcPr>
            <w:tcW w:w="499" w:type="pct"/>
            <w:noWrap/>
            <w:hideMark/>
          </w:tcPr>
          <w:p w:rsidR="00D17F02" w:rsidRPr="005A1E84" w:rsidRDefault="00D17F02" w:rsidP="00D17F02">
            <w:pPr>
              <w:spacing w:line="240" w:lineRule="auto"/>
              <w:ind w:firstLineChars="100" w:firstLine="180"/>
              <w:jc w:val="right"/>
              <w:outlineLvl w:val="0"/>
              <w:cnfStyle w:val="000000010000"/>
              <w:rPr>
                <w:rFonts w:ascii="Calibri" w:hAnsi="Calibri" w:cs="Times New Roman"/>
                <w:sz w:val="18"/>
                <w:szCs w:val="18"/>
                <w:lang w:val="en-US"/>
              </w:rPr>
            </w:pPr>
            <w:bookmarkStart w:id="28" w:name="_Toc484178326"/>
            <w:bookmarkStart w:id="29" w:name="_Toc484373031"/>
            <w:r w:rsidRPr="005A1E84">
              <w:rPr>
                <w:rFonts w:ascii="Calibri" w:hAnsi="Calibri" w:cs="Times New Roman"/>
                <w:sz w:val="18"/>
                <w:szCs w:val="18"/>
                <w:lang w:val="en-US"/>
              </w:rPr>
              <w:t>1.0</w:t>
            </w:r>
            <w:bookmarkEnd w:id="28"/>
            <w:bookmarkEnd w:id="29"/>
          </w:p>
        </w:tc>
        <w:tc>
          <w:tcPr>
            <w:tcW w:w="499" w:type="pct"/>
            <w:noWrap/>
            <w:hideMark/>
          </w:tcPr>
          <w:p w:rsidR="00D17F02" w:rsidRPr="005A1E84" w:rsidRDefault="00D17F02" w:rsidP="00D17F02">
            <w:pPr>
              <w:spacing w:line="240" w:lineRule="auto"/>
              <w:ind w:firstLineChars="100" w:firstLine="180"/>
              <w:jc w:val="right"/>
              <w:outlineLvl w:val="0"/>
              <w:cnfStyle w:val="000000010000"/>
              <w:rPr>
                <w:rFonts w:ascii="Calibri" w:hAnsi="Calibri" w:cs="Times New Roman"/>
                <w:sz w:val="18"/>
                <w:szCs w:val="18"/>
                <w:lang w:val="en-US"/>
              </w:rPr>
            </w:pPr>
            <w:bookmarkStart w:id="30" w:name="_Toc484178327"/>
            <w:bookmarkStart w:id="31" w:name="_Toc484373032"/>
            <w:r w:rsidRPr="005A1E84">
              <w:rPr>
                <w:rFonts w:ascii="Calibri" w:hAnsi="Calibri" w:cs="Times New Roman"/>
                <w:sz w:val="18"/>
                <w:szCs w:val="18"/>
                <w:lang w:val="en-US"/>
              </w:rPr>
              <w:t>2.0</w:t>
            </w:r>
            <w:bookmarkEnd w:id="30"/>
            <w:bookmarkEnd w:id="31"/>
          </w:p>
        </w:tc>
        <w:tc>
          <w:tcPr>
            <w:tcW w:w="499" w:type="pct"/>
            <w:noWrap/>
            <w:hideMark/>
          </w:tcPr>
          <w:p w:rsidR="00D17F02" w:rsidRPr="005A1E84" w:rsidRDefault="00D17F02" w:rsidP="00D17F02">
            <w:pPr>
              <w:spacing w:line="240" w:lineRule="auto"/>
              <w:ind w:firstLineChars="100" w:firstLine="180"/>
              <w:jc w:val="right"/>
              <w:outlineLvl w:val="0"/>
              <w:cnfStyle w:val="000000010000"/>
              <w:rPr>
                <w:rFonts w:ascii="Calibri" w:hAnsi="Calibri" w:cs="Times New Roman"/>
                <w:sz w:val="18"/>
                <w:szCs w:val="18"/>
                <w:lang w:val="en-US"/>
              </w:rPr>
            </w:pPr>
            <w:bookmarkStart w:id="32" w:name="_Toc484178328"/>
            <w:bookmarkStart w:id="33" w:name="_Toc484373033"/>
            <w:r w:rsidRPr="005A1E84">
              <w:rPr>
                <w:rFonts w:ascii="Calibri" w:hAnsi="Calibri" w:cs="Times New Roman"/>
                <w:sz w:val="18"/>
                <w:szCs w:val="18"/>
                <w:lang w:val="en-US"/>
              </w:rPr>
              <w:t>0.5</w:t>
            </w:r>
            <w:bookmarkEnd w:id="32"/>
            <w:bookmarkEnd w:id="33"/>
          </w:p>
        </w:tc>
        <w:tc>
          <w:tcPr>
            <w:tcW w:w="499" w:type="pct"/>
            <w:noWrap/>
            <w:hideMark/>
          </w:tcPr>
          <w:p w:rsidR="00D17F02" w:rsidRPr="005A1E84" w:rsidRDefault="00D17F02" w:rsidP="00D17F02">
            <w:pPr>
              <w:spacing w:line="240" w:lineRule="auto"/>
              <w:ind w:firstLineChars="100" w:firstLine="180"/>
              <w:jc w:val="right"/>
              <w:outlineLvl w:val="0"/>
              <w:cnfStyle w:val="000000010000"/>
              <w:rPr>
                <w:rFonts w:ascii="Calibri" w:hAnsi="Calibri" w:cs="Times New Roman"/>
                <w:sz w:val="18"/>
                <w:szCs w:val="18"/>
                <w:lang w:val="en-US"/>
              </w:rPr>
            </w:pPr>
            <w:bookmarkStart w:id="34" w:name="_Toc484178329"/>
            <w:bookmarkStart w:id="35" w:name="_Toc484373034"/>
            <w:r w:rsidRPr="005A1E84">
              <w:rPr>
                <w:rFonts w:ascii="Calibri" w:hAnsi="Calibri" w:cs="Times New Roman"/>
                <w:sz w:val="18"/>
                <w:szCs w:val="18"/>
                <w:lang w:val="en-US"/>
              </w:rPr>
              <w:t>0.5</w:t>
            </w:r>
            <w:bookmarkEnd w:id="34"/>
            <w:bookmarkEnd w:id="35"/>
          </w:p>
        </w:tc>
        <w:tc>
          <w:tcPr>
            <w:tcW w:w="501" w:type="pct"/>
            <w:noWrap/>
            <w:hideMark/>
          </w:tcPr>
          <w:p w:rsidR="00D17F02" w:rsidRPr="005A1E84" w:rsidRDefault="00D17F02" w:rsidP="00D17F02">
            <w:pPr>
              <w:spacing w:line="240" w:lineRule="auto"/>
              <w:ind w:firstLineChars="100" w:firstLine="180"/>
              <w:jc w:val="right"/>
              <w:outlineLvl w:val="0"/>
              <w:cnfStyle w:val="000000010000"/>
              <w:rPr>
                <w:rFonts w:ascii="Calibri" w:hAnsi="Calibri" w:cs="Times New Roman"/>
                <w:color w:val="auto"/>
                <w:sz w:val="18"/>
                <w:szCs w:val="18"/>
                <w:lang w:val="en-US"/>
              </w:rPr>
            </w:pPr>
            <w:bookmarkStart w:id="36" w:name="_Toc484178330"/>
            <w:bookmarkStart w:id="37" w:name="_Toc484373035"/>
            <w:r w:rsidRPr="005A1E84">
              <w:rPr>
                <w:rFonts w:ascii="Calibri" w:hAnsi="Calibri" w:cs="Times New Roman"/>
                <w:color w:val="auto"/>
                <w:sz w:val="18"/>
                <w:szCs w:val="18"/>
                <w:lang w:val="en-US"/>
              </w:rPr>
              <w:t>0.5</w:t>
            </w:r>
            <w:bookmarkEnd w:id="36"/>
            <w:bookmarkEnd w:id="37"/>
          </w:p>
        </w:tc>
      </w:tr>
      <w:tr w:rsidR="00D17F02" w:rsidRPr="005A1E84" w:rsidTr="00D17F02">
        <w:trPr>
          <w:cnfStyle w:val="00000010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outlineLvl w:val="0"/>
              <w:rPr>
                <w:rFonts w:ascii="Calibri" w:hAnsi="Calibri" w:cs="Times New Roman"/>
                <w:color w:val="auto"/>
                <w:sz w:val="20"/>
                <w:szCs w:val="20"/>
                <w:lang w:val="en-US"/>
              </w:rPr>
            </w:pPr>
            <w:bookmarkStart w:id="38" w:name="_Toc484178331"/>
            <w:bookmarkStart w:id="39" w:name="_Toc484373036"/>
            <w:r w:rsidRPr="005A1E84">
              <w:rPr>
                <w:rFonts w:ascii="Calibri" w:hAnsi="Calibri" w:cs="Times New Roman"/>
                <w:color w:val="auto"/>
                <w:sz w:val="20"/>
                <w:szCs w:val="20"/>
                <w:lang w:val="en-US"/>
              </w:rPr>
              <w:t>Rast zarada</w:t>
            </w:r>
            <w:bookmarkEnd w:id="38"/>
            <w:bookmarkEnd w:id="39"/>
          </w:p>
        </w:tc>
        <w:tc>
          <w:tcPr>
            <w:tcW w:w="499" w:type="pct"/>
            <w:noWrap/>
            <w:hideMark/>
          </w:tcPr>
          <w:p w:rsidR="00D17F02" w:rsidRPr="005A1E84" w:rsidRDefault="00D17F02" w:rsidP="00D17F02">
            <w:pPr>
              <w:spacing w:line="240" w:lineRule="auto"/>
              <w:ind w:firstLineChars="100" w:firstLine="180"/>
              <w:jc w:val="right"/>
              <w:outlineLvl w:val="0"/>
              <w:cnfStyle w:val="000000100000"/>
              <w:rPr>
                <w:rFonts w:ascii="Calibri" w:hAnsi="Calibri" w:cs="Times New Roman"/>
                <w:sz w:val="18"/>
                <w:szCs w:val="18"/>
                <w:lang w:val="en-US"/>
              </w:rPr>
            </w:pPr>
            <w:bookmarkStart w:id="40" w:name="_Toc484178332"/>
            <w:bookmarkStart w:id="41" w:name="_Toc484373037"/>
            <w:r w:rsidRPr="005A1E84">
              <w:rPr>
                <w:rFonts w:ascii="Calibri" w:hAnsi="Calibri" w:cs="Times New Roman"/>
                <w:sz w:val="18"/>
                <w:szCs w:val="18"/>
                <w:lang w:val="en-US"/>
              </w:rPr>
              <w:t>4.0</w:t>
            </w:r>
            <w:bookmarkEnd w:id="40"/>
            <w:bookmarkEnd w:id="41"/>
          </w:p>
        </w:tc>
        <w:tc>
          <w:tcPr>
            <w:tcW w:w="499" w:type="pct"/>
            <w:noWrap/>
            <w:hideMark/>
          </w:tcPr>
          <w:p w:rsidR="00D17F02" w:rsidRPr="005A1E84" w:rsidRDefault="00D17F02" w:rsidP="00D17F02">
            <w:pPr>
              <w:spacing w:line="240" w:lineRule="auto"/>
              <w:ind w:firstLineChars="100" w:firstLine="180"/>
              <w:jc w:val="right"/>
              <w:outlineLvl w:val="0"/>
              <w:cnfStyle w:val="000000100000"/>
              <w:rPr>
                <w:rFonts w:ascii="Calibri" w:hAnsi="Calibri" w:cs="Times New Roman"/>
                <w:sz w:val="18"/>
                <w:szCs w:val="18"/>
                <w:lang w:val="en-US"/>
              </w:rPr>
            </w:pPr>
            <w:bookmarkStart w:id="42" w:name="_Toc484178333"/>
            <w:bookmarkStart w:id="43" w:name="_Toc484373038"/>
            <w:r w:rsidRPr="005A1E84">
              <w:rPr>
                <w:rFonts w:ascii="Calibri" w:hAnsi="Calibri" w:cs="Times New Roman"/>
                <w:sz w:val="18"/>
                <w:szCs w:val="18"/>
                <w:lang w:val="en-US"/>
              </w:rPr>
              <w:t>0.5</w:t>
            </w:r>
            <w:bookmarkEnd w:id="42"/>
            <w:bookmarkEnd w:id="43"/>
          </w:p>
        </w:tc>
        <w:tc>
          <w:tcPr>
            <w:tcW w:w="499" w:type="pct"/>
            <w:noWrap/>
            <w:hideMark/>
          </w:tcPr>
          <w:p w:rsidR="00D17F02" w:rsidRPr="005A1E84" w:rsidRDefault="00D17F02" w:rsidP="00D17F02">
            <w:pPr>
              <w:spacing w:line="240" w:lineRule="auto"/>
              <w:ind w:firstLineChars="100" w:firstLine="180"/>
              <w:jc w:val="right"/>
              <w:outlineLvl w:val="0"/>
              <w:cnfStyle w:val="000000100000"/>
              <w:rPr>
                <w:rFonts w:ascii="Calibri" w:hAnsi="Calibri" w:cs="Times New Roman"/>
                <w:color w:val="auto"/>
                <w:sz w:val="18"/>
                <w:szCs w:val="18"/>
                <w:lang w:val="en-US"/>
              </w:rPr>
            </w:pPr>
            <w:bookmarkStart w:id="44" w:name="_Toc484178334"/>
            <w:bookmarkStart w:id="45" w:name="_Toc484373039"/>
            <w:r w:rsidRPr="005A1E84">
              <w:rPr>
                <w:rFonts w:ascii="Calibri" w:hAnsi="Calibri" w:cs="Times New Roman"/>
                <w:color w:val="auto"/>
                <w:sz w:val="18"/>
                <w:szCs w:val="18"/>
                <w:lang w:val="en-US"/>
              </w:rPr>
              <w:t>1.5</w:t>
            </w:r>
            <w:bookmarkEnd w:id="44"/>
            <w:bookmarkEnd w:id="45"/>
          </w:p>
        </w:tc>
        <w:tc>
          <w:tcPr>
            <w:tcW w:w="499" w:type="pct"/>
            <w:noWrap/>
            <w:hideMark/>
          </w:tcPr>
          <w:p w:rsidR="00D17F02" w:rsidRPr="005A1E84" w:rsidRDefault="00D17F02" w:rsidP="00D17F02">
            <w:pPr>
              <w:spacing w:line="240" w:lineRule="auto"/>
              <w:ind w:firstLineChars="100" w:firstLine="180"/>
              <w:jc w:val="right"/>
              <w:outlineLvl w:val="0"/>
              <w:cnfStyle w:val="000000100000"/>
              <w:rPr>
                <w:rFonts w:ascii="Calibri" w:hAnsi="Calibri" w:cs="Times New Roman"/>
                <w:color w:val="auto"/>
                <w:sz w:val="18"/>
                <w:szCs w:val="18"/>
                <w:lang w:val="en-US"/>
              </w:rPr>
            </w:pPr>
            <w:bookmarkStart w:id="46" w:name="_Toc484178335"/>
            <w:bookmarkStart w:id="47" w:name="_Toc484373040"/>
            <w:r w:rsidRPr="005A1E84">
              <w:rPr>
                <w:rFonts w:ascii="Calibri" w:hAnsi="Calibri" w:cs="Times New Roman"/>
                <w:color w:val="auto"/>
                <w:sz w:val="18"/>
                <w:szCs w:val="18"/>
                <w:lang w:val="en-US"/>
              </w:rPr>
              <w:t>1.5</w:t>
            </w:r>
            <w:bookmarkEnd w:id="46"/>
            <w:bookmarkEnd w:id="47"/>
          </w:p>
        </w:tc>
        <w:tc>
          <w:tcPr>
            <w:tcW w:w="501" w:type="pct"/>
            <w:noWrap/>
            <w:hideMark/>
          </w:tcPr>
          <w:p w:rsidR="00D17F02" w:rsidRPr="005A1E84" w:rsidRDefault="00D17F02" w:rsidP="00D17F02">
            <w:pPr>
              <w:spacing w:line="240" w:lineRule="auto"/>
              <w:ind w:firstLineChars="100" w:firstLine="180"/>
              <w:jc w:val="right"/>
              <w:outlineLvl w:val="0"/>
              <w:cnfStyle w:val="000000100000"/>
              <w:rPr>
                <w:rFonts w:ascii="Calibri" w:hAnsi="Calibri" w:cs="Times New Roman"/>
                <w:color w:val="auto"/>
                <w:sz w:val="18"/>
                <w:szCs w:val="18"/>
                <w:lang w:val="en-US"/>
              </w:rPr>
            </w:pPr>
            <w:bookmarkStart w:id="48" w:name="_Toc484178336"/>
            <w:bookmarkStart w:id="49" w:name="_Toc484373041"/>
            <w:r w:rsidRPr="005A1E84">
              <w:rPr>
                <w:rFonts w:ascii="Calibri" w:hAnsi="Calibri" w:cs="Times New Roman"/>
                <w:color w:val="auto"/>
                <w:sz w:val="18"/>
                <w:szCs w:val="18"/>
                <w:lang w:val="en-US"/>
              </w:rPr>
              <w:t>2.0</w:t>
            </w:r>
            <w:bookmarkEnd w:id="48"/>
            <w:bookmarkEnd w:id="49"/>
          </w:p>
        </w:tc>
      </w:tr>
      <w:tr w:rsidR="00D17F02" w:rsidRPr="005A1E84" w:rsidTr="00D17F02">
        <w:trPr>
          <w:cnfStyle w:val="00000001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outlineLvl w:val="0"/>
              <w:rPr>
                <w:rFonts w:ascii="Calibri" w:hAnsi="Calibri" w:cs="Times New Roman"/>
                <w:color w:val="auto"/>
                <w:sz w:val="20"/>
                <w:szCs w:val="20"/>
                <w:lang w:val="en-US"/>
              </w:rPr>
            </w:pPr>
            <w:bookmarkStart w:id="50" w:name="_Toc484178337"/>
            <w:bookmarkStart w:id="51" w:name="_Toc484373042"/>
            <w:r w:rsidRPr="005A1E84">
              <w:rPr>
                <w:rFonts w:ascii="Calibri" w:hAnsi="Calibri" w:cs="Times New Roman"/>
                <w:color w:val="auto"/>
                <w:sz w:val="20"/>
                <w:szCs w:val="20"/>
                <w:lang w:val="en-US"/>
              </w:rPr>
              <w:t>Nezaposlenost (ARS)</w:t>
            </w:r>
            <w:bookmarkEnd w:id="50"/>
            <w:bookmarkEnd w:id="51"/>
          </w:p>
        </w:tc>
        <w:tc>
          <w:tcPr>
            <w:tcW w:w="499" w:type="pct"/>
            <w:noWrap/>
            <w:hideMark/>
          </w:tcPr>
          <w:p w:rsidR="00D17F02" w:rsidRPr="005A1E84" w:rsidRDefault="00D17F02" w:rsidP="00D17F02">
            <w:pPr>
              <w:spacing w:line="240" w:lineRule="auto"/>
              <w:ind w:firstLineChars="100" w:firstLine="180"/>
              <w:jc w:val="right"/>
              <w:outlineLvl w:val="0"/>
              <w:cnfStyle w:val="000000010000"/>
              <w:rPr>
                <w:rFonts w:ascii="Calibri" w:hAnsi="Calibri" w:cs="Times New Roman"/>
                <w:sz w:val="18"/>
                <w:szCs w:val="18"/>
                <w:lang w:val="en-US"/>
              </w:rPr>
            </w:pPr>
            <w:bookmarkStart w:id="52" w:name="_Toc484178338"/>
            <w:bookmarkStart w:id="53" w:name="_Toc484373043"/>
            <w:r w:rsidRPr="005A1E84">
              <w:rPr>
                <w:rFonts w:ascii="Calibri" w:hAnsi="Calibri" w:cs="Times New Roman"/>
                <w:sz w:val="18"/>
                <w:szCs w:val="18"/>
                <w:lang w:val="en-US"/>
              </w:rPr>
              <w:t>19.4</w:t>
            </w:r>
            <w:bookmarkEnd w:id="52"/>
            <w:bookmarkEnd w:id="53"/>
          </w:p>
        </w:tc>
        <w:tc>
          <w:tcPr>
            <w:tcW w:w="499" w:type="pct"/>
            <w:noWrap/>
            <w:hideMark/>
          </w:tcPr>
          <w:p w:rsidR="00D17F02" w:rsidRPr="005A1E84" w:rsidRDefault="00D17F02" w:rsidP="00D17F02">
            <w:pPr>
              <w:spacing w:line="240" w:lineRule="auto"/>
              <w:ind w:firstLineChars="100" w:firstLine="180"/>
              <w:jc w:val="right"/>
              <w:outlineLvl w:val="0"/>
              <w:cnfStyle w:val="000000010000"/>
              <w:rPr>
                <w:rFonts w:ascii="Calibri" w:hAnsi="Calibri" w:cs="Times New Roman"/>
                <w:sz w:val="18"/>
                <w:szCs w:val="18"/>
                <w:lang w:val="en-US"/>
              </w:rPr>
            </w:pPr>
            <w:bookmarkStart w:id="54" w:name="_Toc484178339"/>
            <w:bookmarkStart w:id="55" w:name="_Toc484373044"/>
            <w:r w:rsidRPr="005A1E84">
              <w:rPr>
                <w:rFonts w:ascii="Calibri" w:hAnsi="Calibri" w:cs="Times New Roman"/>
                <w:sz w:val="18"/>
                <w:szCs w:val="18"/>
                <w:lang w:val="en-US"/>
              </w:rPr>
              <w:t>17.8</w:t>
            </w:r>
            <w:bookmarkEnd w:id="54"/>
            <w:bookmarkEnd w:id="55"/>
          </w:p>
        </w:tc>
        <w:tc>
          <w:tcPr>
            <w:tcW w:w="499" w:type="pct"/>
            <w:noWrap/>
            <w:hideMark/>
          </w:tcPr>
          <w:p w:rsidR="00D17F02" w:rsidRPr="005A1E84" w:rsidRDefault="00D17F02" w:rsidP="00D17F02">
            <w:pPr>
              <w:spacing w:line="240" w:lineRule="auto"/>
              <w:ind w:firstLineChars="100" w:firstLine="180"/>
              <w:jc w:val="right"/>
              <w:outlineLvl w:val="0"/>
              <w:cnfStyle w:val="000000010000"/>
              <w:rPr>
                <w:rFonts w:ascii="Calibri" w:hAnsi="Calibri" w:cs="Times New Roman"/>
                <w:sz w:val="18"/>
                <w:szCs w:val="18"/>
                <w:lang w:val="en-US"/>
              </w:rPr>
            </w:pPr>
            <w:bookmarkStart w:id="56" w:name="_Toc484178340"/>
            <w:bookmarkStart w:id="57" w:name="_Toc484373045"/>
            <w:r w:rsidRPr="005A1E84">
              <w:rPr>
                <w:rFonts w:ascii="Calibri" w:hAnsi="Calibri" w:cs="Times New Roman"/>
                <w:sz w:val="18"/>
                <w:szCs w:val="18"/>
                <w:lang w:val="en-US"/>
              </w:rPr>
              <w:t>17.0</w:t>
            </w:r>
            <w:bookmarkEnd w:id="56"/>
            <w:bookmarkEnd w:id="57"/>
          </w:p>
        </w:tc>
        <w:tc>
          <w:tcPr>
            <w:tcW w:w="499" w:type="pct"/>
            <w:noWrap/>
            <w:hideMark/>
          </w:tcPr>
          <w:p w:rsidR="00D17F02" w:rsidRPr="005A1E84" w:rsidRDefault="00D17F02" w:rsidP="00D17F02">
            <w:pPr>
              <w:spacing w:line="240" w:lineRule="auto"/>
              <w:ind w:firstLineChars="100" w:firstLine="180"/>
              <w:jc w:val="right"/>
              <w:outlineLvl w:val="0"/>
              <w:cnfStyle w:val="000000010000"/>
              <w:rPr>
                <w:rFonts w:ascii="Calibri" w:hAnsi="Calibri" w:cs="Times New Roman"/>
                <w:sz w:val="18"/>
                <w:szCs w:val="18"/>
                <w:lang w:val="en-US"/>
              </w:rPr>
            </w:pPr>
            <w:bookmarkStart w:id="58" w:name="_Toc484178341"/>
            <w:bookmarkStart w:id="59" w:name="_Toc484373046"/>
            <w:r w:rsidRPr="005A1E84">
              <w:rPr>
                <w:rFonts w:ascii="Calibri" w:hAnsi="Calibri" w:cs="Times New Roman"/>
                <w:sz w:val="18"/>
                <w:szCs w:val="18"/>
                <w:lang w:val="en-US"/>
              </w:rPr>
              <w:t>16.6</w:t>
            </w:r>
            <w:bookmarkEnd w:id="58"/>
            <w:bookmarkEnd w:id="59"/>
          </w:p>
        </w:tc>
        <w:tc>
          <w:tcPr>
            <w:tcW w:w="501" w:type="pct"/>
            <w:noWrap/>
            <w:hideMark/>
          </w:tcPr>
          <w:p w:rsidR="00D17F02" w:rsidRPr="005A1E84" w:rsidRDefault="00D17F02" w:rsidP="00D17F02">
            <w:pPr>
              <w:spacing w:line="240" w:lineRule="auto"/>
              <w:ind w:firstLineChars="100" w:firstLine="180"/>
              <w:jc w:val="right"/>
              <w:outlineLvl w:val="0"/>
              <w:cnfStyle w:val="000000010000"/>
              <w:rPr>
                <w:rFonts w:ascii="Calibri" w:hAnsi="Calibri" w:cs="Times New Roman"/>
                <w:sz w:val="18"/>
                <w:szCs w:val="18"/>
                <w:lang w:val="en-US"/>
              </w:rPr>
            </w:pPr>
            <w:bookmarkStart w:id="60" w:name="_Toc484178342"/>
            <w:bookmarkStart w:id="61" w:name="_Toc484373047"/>
            <w:r w:rsidRPr="005A1E84">
              <w:rPr>
                <w:rFonts w:ascii="Calibri" w:hAnsi="Calibri" w:cs="Times New Roman"/>
                <w:sz w:val="18"/>
                <w:szCs w:val="18"/>
                <w:lang w:val="en-US"/>
              </w:rPr>
              <w:t>16.1</w:t>
            </w:r>
            <w:bookmarkEnd w:id="60"/>
            <w:bookmarkEnd w:id="61"/>
          </w:p>
        </w:tc>
      </w:tr>
      <w:tr w:rsidR="00D17F02" w:rsidRPr="005A1E84" w:rsidTr="00D17F02">
        <w:trPr>
          <w:cnfStyle w:val="000000100000"/>
          <w:trHeight w:hRule="exact" w:val="255"/>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SDI  % BDP-a</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9.9</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10.6</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10.7</w:t>
            </w:r>
          </w:p>
        </w:tc>
        <w:tc>
          <w:tcPr>
            <w:tcW w:w="499"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10.3</w:t>
            </w:r>
          </w:p>
        </w:tc>
        <w:tc>
          <w:tcPr>
            <w:tcW w:w="501" w:type="pct"/>
            <w:noWrap/>
            <w:hideMark/>
          </w:tcPr>
          <w:p w:rsidR="00D17F02" w:rsidRPr="005A1E84" w:rsidRDefault="00D17F02" w:rsidP="00D17F02">
            <w:pPr>
              <w:spacing w:line="240" w:lineRule="auto"/>
              <w:ind w:firstLineChars="100" w:firstLine="180"/>
              <w:jc w:val="right"/>
              <w:cnfStyle w:val="000000100000"/>
              <w:rPr>
                <w:rFonts w:ascii="Calibri" w:hAnsi="Calibri" w:cs="Times New Roman"/>
                <w:sz w:val="18"/>
                <w:szCs w:val="18"/>
                <w:lang w:val="en-US"/>
              </w:rPr>
            </w:pPr>
            <w:r w:rsidRPr="005A1E84">
              <w:rPr>
                <w:rFonts w:ascii="Calibri" w:hAnsi="Calibri" w:cs="Times New Roman"/>
                <w:sz w:val="18"/>
                <w:szCs w:val="18"/>
                <w:lang w:val="en-US"/>
              </w:rPr>
              <w:t>8.8</w:t>
            </w:r>
          </w:p>
        </w:tc>
      </w:tr>
      <w:tr w:rsidR="00D17F02" w:rsidRPr="005A1E84" w:rsidTr="00D17F02">
        <w:trPr>
          <w:cnfStyle w:val="000000010000"/>
          <w:trHeight w:val="288"/>
        </w:trPr>
        <w:tc>
          <w:tcPr>
            <w:cnfStyle w:val="001000000000"/>
            <w:tcW w:w="2503" w:type="pct"/>
            <w:noWrap/>
            <w:hideMark/>
          </w:tcPr>
          <w:p w:rsidR="00D17F02" w:rsidRPr="005A1E84" w:rsidRDefault="00D17F02" w:rsidP="00462D31">
            <w:pPr>
              <w:spacing w:line="240" w:lineRule="auto"/>
              <w:ind w:firstLineChars="100" w:firstLine="201"/>
              <w:jc w:val="left"/>
              <w:rPr>
                <w:rFonts w:ascii="Calibri" w:hAnsi="Calibri" w:cs="Times New Roman"/>
                <w:color w:val="auto"/>
                <w:sz w:val="20"/>
                <w:szCs w:val="20"/>
                <w:lang w:val="en-US"/>
              </w:rPr>
            </w:pPr>
            <w:r w:rsidRPr="005A1E84">
              <w:rPr>
                <w:rFonts w:ascii="Calibri" w:hAnsi="Calibri" w:cs="Times New Roman"/>
                <w:color w:val="auto"/>
                <w:sz w:val="20"/>
                <w:szCs w:val="20"/>
                <w:lang w:val="en-US"/>
              </w:rPr>
              <w:t>Domaći krediti (kompanije i stanovništvo)</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color w:val="auto"/>
                <w:sz w:val="18"/>
                <w:szCs w:val="18"/>
                <w:lang w:val="en-US"/>
              </w:rPr>
            </w:pPr>
            <w:r w:rsidRPr="005A1E84">
              <w:rPr>
                <w:rFonts w:ascii="Calibri" w:hAnsi="Calibri" w:cs="Times New Roman"/>
                <w:color w:val="auto"/>
                <w:sz w:val="18"/>
                <w:szCs w:val="18"/>
                <w:lang w:val="en-US"/>
              </w:rPr>
              <w:t>6.0</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color w:val="auto"/>
                <w:sz w:val="18"/>
                <w:szCs w:val="18"/>
                <w:lang w:val="en-US"/>
              </w:rPr>
            </w:pPr>
            <w:r w:rsidRPr="005A1E84">
              <w:rPr>
                <w:rFonts w:ascii="Calibri" w:hAnsi="Calibri" w:cs="Times New Roman"/>
                <w:color w:val="auto"/>
                <w:sz w:val="18"/>
                <w:szCs w:val="18"/>
                <w:lang w:val="en-US"/>
              </w:rPr>
              <w:t>3.4</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color w:val="auto"/>
                <w:sz w:val="18"/>
                <w:szCs w:val="18"/>
                <w:lang w:val="en-US"/>
              </w:rPr>
            </w:pPr>
            <w:r w:rsidRPr="005A1E84">
              <w:rPr>
                <w:rFonts w:ascii="Calibri" w:hAnsi="Calibri" w:cs="Times New Roman"/>
                <w:color w:val="auto"/>
                <w:sz w:val="18"/>
                <w:szCs w:val="18"/>
                <w:lang w:val="en-US"/>
              </w:rPr>
              <w:t>4.2</w:t>
            </w:r>
          </w:p>
        </w:tc>
        <w:tc>
          <w:tcPr>
            <w:tcW w:w="499"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color w:val="auto"/>
                <w:sz w:val="18"/>
                <w:szCs w:val="18"/>
                <w:lang w:val="en-US"/>
              </w:rPr>
            </w:pPr>
            <w:r w:rsidRPr="005A1E84">
              <w:rPr>
                <w:rFonts w:ascii="Calibri" w:hAnsi="Calibri" w:cs="Times New Roman"/>
                <w:color w:val="auto"/>
                <w:sz w:val="18"/>
                <w:szCs w:val="18"/>
                <w:lang w:val="en-US"/>
              </w:rPr>
              <w:t>3.0</w:t>
            </w:r>
          </w:p>
        </w:tc>
        <w:tc>
          <w:tcPr>
            <w:tcW w:w="501" w:type="pct"/>
            <w:noWrap/>
            <w:hideMark/>
          </w:tcPr>
          <w:p w:rsidR="00D17F02" w:rsidRPr="005A1E84" w:rsidRDefault="00D17F02" w:rsidP="00D17F02">
            <w:pPr>
              <w:spacing w:line="240" w:lineRule="auto"/>
              <w:ind w:firstLineChars="100" w:firstLine="180"/>
              <w:jc w:val="right"/>
              <w:cnfStyle w:val="000000010000"/>
              <w:rPr>
                <w:rFonts w:ascii="Calibri" w:hAnsi="Calibri" w:cs="Times New Roman"/>
                <w:color w:val="auto"/>
                <w:sz w:val="18"/>
                <w:szCs w:val="18"/>
                <w:lang w:val="en-US"/>
              </w:rPr>
            </w:pPr>
            <w:r w:rsidRPr="005A1E84">
              <w:rPr>
                <w:rFonts w:ascii="Calibri" w:hAnsi="Calibri" w:cs="Times New Roman"/>
                <w:color w:val="auto"/>
                <w:sz w:val="18"/>
                <w:szCs w:val="18"/>
                <w:lang w:val="en-US"/>
              </w:rPr>
              <w:t>2.6</w:t>
            </w:r>
          </w:p>
        </w:tc>
      </w:tr>
    </w:tbl>
    <w:p w:rsidR="00370346" w:rsidRPr="007509B2" w:rsidRDefault="002E333A" w:rsidP="008C791B">
      <w:pPr>
        <w:spacing w:line="276" w:lineRule="auto"/>
        <w:rPr>
          <w:rFonts w:asciiTheme="minorHAnsi" w:hAnsiTheme="minorHAnsi" w:cstheme="minorHAnsi"/>
          <w:b/>
          <w:color w:val="auto"/>
          <w:sz w:val="22"/>
          <w:szCs w:val="22"/>
          <w:lang w:val="pl-PL"/>
        </w:rPr>
      </w:pPr>
      <w:r w:rsidRPr="007509B2">
        <w:rPr>
          <w:rFonts w:asciiTheme="minorHAnsi" w:hAnsiTheme="minorHAnsi" w:cstheme="minorHAnsi"/>
          <w:b/>
          <w:color w:val="auto"/>
          <w:sz w:val="22"/>
          <w:szCs w:val="22"/>
          <w:lang w:val="pl-PL"/>
        </w:rPr>
        <w:t>Tabela 2.</w:t>
      </w:r>
    </w:p>
    <w:tbl>
      <w:tblPr>
        <w:tblW w:w="5000" w:type="pct"/>
        <w:tblLook w:val="04A0"/>
      </w:tblPr>
      <w:tblGrid>
        <w:gridCol w:w="4397"/>
        <w:gridCol w:w="746"/>
        <w:gridCol w:w="551"/>
        <w:gridCol w:w="746"/>
        <w:gridCol w:w="536"/>
        <w:gridCol w:w="746"/>
        <w:gridCol w:w="551"/>
        <w:gridCol w:w="746"/>
        <w:gridCol w:w="551"/>
      </w:tblGrid>
      <w:tr w:rsidR="00296016" w:rsidRPr="00296016" w:rsidTr="00296016">
        <w:trPr>
          <w:trHeight w:val="375"/>
        </w:trPr>
        <w:tc>
          <w:tcPr>
            <w:tcW w:w="2297" w:type="pct"/>
            <w:tcBorders>
              <w:top w:val="double" w:sz="6" w:space="0" w:color="auto"/>
              <w:left w:val="double" w:sz="6" w:space="0" w:color="auto"/>
              <w:bottom w:val="double" w:sz="6" w:space="0" w:color="auto"/>
              <w:right w:val="double" w:sz="6" w:space="0" w:color="auto"/>
            </w:tcBorders>
            <w:shd w:val="clear" w:color="000000" w:fill="0F253F"/>
            <w:noWrap/>
            <w:vAlign w:val="center"/>
            <w:hideMark/>
          </w:tcPr>
          <w:p w:rsidR="00296016" w:rsidRPr="00296016" w:rsidRDefault="00296016" w:rsidP="00296016">
            <w:pPr>
              <w:spacing w:line="240" w:lineRule="auto"/>
              <w:jc w:val="left"/>
              <w:rPr>
                <w:color w:val="FFFFFF"/>
                <w:sz w:val="16"/>
                <w:szCs w:val="16"/>
                <w:lang w:val="en-US"/>
              </w:rPr>
            </w:pPr>
            <w:r w:rsidRPr="00296016">
              <w:rPr>
                <w:color w:val="FFFFFF"/>
                <w:sz w:val="16"/>
                <w:szCs w:val="16"/>
                <w:lang w:val="en-US"/>
              </w:rPr>
              <w:t>BDP (u mil. €)</w:t>
            </w:r>
          </w:p>
        </w:tc>
        <w:tc>
          <w:tcPr>
            <w:tcW w:w="678" w:type="pct"/>
            <w:gridSpan w:val="2"/>
            <w:tcBorders>
              <w:top w:val="double" w:sz="6" w:space="0" w:color="auto"/>
              <w:left w:val="double" w:sz="6" w:space="0" w:color="auto"/>
              <w:bottom w:val="double" w:sz="6" w:space="0" w:color="auto"/>
              <w:right w:val="double" w:sz="6" w:space="0" w:color="000000"/>
            </w:tcBorders>
            <w:shd w:val="clear" w:color="000000" w:fill="B8CCE4"/>
            <w:noWrap/>
            <w:vAlign w:val="center"/>
            <w:hideMark/>
          </w:tcPr>
          <w:p w:rsidR="00296016" w:rsidRPr="00296016" w:rsidRDefault="00296016" w:rsidP="00296016">
            <w:pPr>
              <w:spacing w:line="240" w:lineRule="auto"/>
              <w:jc w:val="center"/>
              <w:rPr>
                <w:rFonts w:ascii="Calibri" w:hAnsi="Calibri" w:cs="Calibri"/>
                <w:color w:val="17375D"/>
                <w:sz w:val="16"/>
                <w:szCs w:val="16"/>
                <w:lang w:val="en-US"/>
              </w:rPr>
            </w:pPr>
            <w:r w:rsidRPr="00296016">
              <w:rPr>
                <w:rFonts w:ascii="Calibri" w:hAnsi="Calibri" w:cs="Calibri"/>
                <w:color w:val="17375D"/>
                <w:sz w:val="16"/>
                <w:szCs w:val="16"/>
                <w:lang w:val="en-US"/>
              </w:rPr>
              <w:t>3957.2</w:t>
            </w:r>
          </w:p>
        </w:tc>
        <w:tc>
          <w:tcPr>
            <w:tcW w:w="670" w:type="pct"/>
            <w:gridSpan w:val="2"/>
            <w:tcBorders>
              <w:top w:val="double" w:sz="6" w:space="0" w:color="auto"/>
              <w:left w:val="nil"/>
              <w:bottom w:val="double" w:sz="6" w:space="0" w:color="auto"/>
              <w:right w:val="double" w:sz="6" w:space="0" w:color="000000"/>
            </w:tcBorders>
            <w:shd w:val="clear" w:color="000000" w:fill="B8CCE4"/>
            <w:noWrap/>
            <w:vAlign w:val="center"/>
            <w:hideMark/>
          </w:tcPr>
          <w:p w:rsidR="00296016" w:rsidRPr="00296016" w:rsidRDefault="00296016" w:rsidP="00296016">
            <w:pPr>
              <w:spacing w:line="240" w:lineRule="auto"/>
              <w:jc w:val="center"/>
              <w:rPr>
                <w:rFonts w:ascii="Calibri" w:hAnsi="Calibri" w:cs="Calibri"/>
                <w:color w:val="17375D"/>
                <w:sz w:val="16"/>
                <w:szCs w:val="16"/>
                <w:lang w:val="en-US"/>
              </w:rPr>
            </w:pPr>
            <w:r w:rsidRPr="00296016">
              <w:rPr>
                <w:rFonts w:ascii="Calibri" w:hAnsi="Calibri" w:cs="Calibri"/>
                <w:color w:val="17375D"/>
                <w:sz w:val="16"/>
                <w:szCs w:val="16"/>
                <w:lang w:val="en-US"/>
              </w:rPr>
              <w:t>4192.4</w:t>
            </w:r>
          </w:p>
        </w:tc>
        <w:tc>
          <w:tcPr>
            <w:tcW w:w="678" w:type="pct"/>
            <w:gridSpan w:val="2"/>
            <w:tcBorders>
              <w:top w:val="double" w:sz="6" w:space="0" w:color="auto"/>
              <w:left w:val="nil"/>
              <w:bottom w:val="double" w:sz="6" w:space="0" w:color="auto"/>
              <w:right w:val="double" w:sz="6" w:space="0" w:color="000000"/>
            </w:tcBorders>
            <w:shd w:val="clear" w:color="000000" w:fill="B8CCE4"/>
            <w:noWrap/>
            <w:vAlign w:val="center"/>
            <w:hideMark/>
          </w:tcPr>
          <w:p w:rsidR="00296016" w:rsidRPr="00296016" w:rsidRDefault="00296016" w:rsidP="00296016">
            <w:pPr>
              <w:spacing w:line="240" w:lineRule="auto"/>
              <w:jc w:val="center"/>
              <w:rPr>
                <w:rFonts w:ascii="Calibri" w:hAnsi="Calibri" w:cs="Calibri"/>
                <w:color w:val="17375D"/>
                <w:sz w:val="16"/>
                <w:szCs w:val="16"/>
                <w:lang w:val="en-US"/>
              </w:rPr>
            </w:pPr>
            <w:r w:rsidRPr="00296016">
              <w:rPr>
                <w:rFonts w:ascii="Calibri" w:hAnsi="Calibri" w:cs="Calibri"/>
                <w:color w:val="17375D"/>
                <w:sz w:val="16"/>
                <w:szCs w:val="16"/>
                <w:lang w:val="en-US"/>
              </w:rPr>
              <w:t>4372.2</w:t>
            </w:r>
          </w:p>
        </w:tc>
        <w:tc>
          <w:tcPr>
            <w:tcW w:w="678" w:type="pct"/>
            <w:gridSpan w:val="2"/>
            <w:tcBorders>
              <w:top w:val="double" w:sz="6" w:space="0" w:color="auto"/>
              <w:left w:val="nil"/>
              <w:bottom w:val="double" w:sz="6" w:space="0" w:color="auto"/>
              <w:right w:val="double" w:sz="6" w:space="0" w:color="000000"/>
            </w:tcBorders>
            <w:shd w:val="clear" w:color="000000" w:fill="B8CCE4"/>
            <w:noWrap/>
            <w:vAlign w:val="center"/>
            <w:hideMark/>
          </w:tcPr>
          <w:p w:rsidR="00296016" w:rsidRPr="00296016" w:rsidRDefault="00296016" w:rsidP="00296016">
            <w:pPr>
              <w:spacing w:line="240" w:lineRule="auto"/>
              <w:jc w:val="center"/>
              <w:rPr>
                <w:rFonts w:ascii="Calibri" w:hAnsi="Calibri" w:cs="Calibri"/>
                <w:color w:val="17375D"/>
                <w:sz w:val="16"/>
                <w:szCs w:val="16"/>
                <w:lang w:val="en-US"/>
              </w:rPr>
            </w:pPr>
            <w:r w:rsidRPr="00296016">
              <w:rPr>
                <w:rFonts w:ascii="Calibri" w:hAnsi="Calibri" w:cs="Calibri"/>
                <w:color w:val="17375D"/>
                <w:sz w:val="16"/>
                <w:szCs w:val="16"/>
                <w:lang w:val="en-US"/>
              </w:rPr>
              <w:t>4536.4</w:t>
            </w:r>
          </w:p>
        </w:tc>
      </w:tr>
      <w:tr w:rsidR="00296016" w:rsidRPr="00296016" w:rsidTr="00296016">
        <w:trPr>
          <w:trHeight w:val="315"/>
        </w:trPr>
        <w:tc>
          <w:tcPr>
            <w:tcW w:w="2297" w:type="pct"/>
            <w:vMerge w:val="restart"/>
            <w:tcBorders>
              <w:top w:val="double" w:sz="6" w:space="0" w:color="auto"/>
              <w:left w:val="double" w:sz="6" w:space="0" w:color="auto"/>
              <w:bottom w:val="double" w:sz="6" w:space="0" w:color="000000"/>
              <w:right w:val="double" w:sz="6" w:space="0" w:color="auto"/>
            </w:tcBorders>
            <w:shd w:val="clear" w:color="000000" w:fill="0F253F"/>
            <w:noWrap/>
            <w:vAlign w:val="center"/>
            <w:hideMark/>
          </w:tcPr>
          <w:p w:rsidR="00296016" w:rsidRPr="00296016" w:rsidRDefault="00296016" w:rsidP="003B7168">
            <w:pPr>
              <w:spacing w:line="276" w:lineRule="auto"/>
              <w:jc w:val="center"/>
              <w:rPr>
                <w:rFonts w:ascii="Calibri" w:hAnsi="Calibri" w:cs="Calibri"/>
                <w:b/>
                <w:bCs/>
                <w:color w:val="FFFFFF"/>
                <w:sz w:val="16"/>
                <w:szCs w:val="16"/>
                <w:lang w:val="en-US"/>
              </w:rPr>
            </w:pPr>
            <w:r w:rsidRPr="00296016">
              <w:rPr>
                <w:rFonts w:ascii="Calibri" w:hAnsi="Calibri" w:cs="Calibri"/>
                <w:b/>
                <w:bCs/>
                <w:color w:val="FFFFFF"/>
                <w:sz w:val="16"/>
                <w:szCs w:val="16"/>
                <w:lang w:val="en-US"/>
              </w:rPr>
              <w:t>Budžet Crne Gore</w:t>
            </w:r>
          </w:p>
        </w:tc>
        <w:tc>
          <w:tcPr>
            <w:tcW w:w="678" w:type="pct"/>
            <w:gridSpan w:val="2"/>
            <w:tcBorders>
              <w:top w:val="double" w:sz="6" w:space="0" w:color="auto"/>
              <w:left w:val="double" w:sz="6" w:space="0" w:color="auto"/>
              <w:bottom w:val="single" w:sz="4" w:space="0" w:color="auto"/>
              <w:right w:val="double" w:sz="6" w:space="0" w:color="000000"/>
            </w:tcBorders>
            <w:shd w:val="clear" w:color="000000" w:fill="B8CCE4"/>
            <w:noWrap/>
            <w:vAlign w:val="center"/>
            <w:hideMark/>
          </w:tcPr>
          <w:p w:rsidR="00296016" w:rsidRPr="00296016" w:rsidRDefault="00296016" w:rsidP="003B7168">
            <w:pPr>
              <w:spacing w:line="276" w:lineRule="auto"/>
              <w:jc w:val="center"/>
              <w:rPr>
                <w:rFonts w:ascii="Calibri" w:hAnsi="Calibri" w:cs="Calibri"/>
                <w:b/>
                <w:bCs/>
                <w:color w:val="auto"/>
                <w:sz w:val="16"/>
                <w:szCs w:val="16"/>
                <w:lang w:val="en-US"/>
              </w:rPr>
            </w:pPr>
            <w:r w:rsidRPr="00296016">
              <w:rPr>
                <w:rFonts w:ascii="Calibri" w:hAnsi="Calibri" w:cs="Calibri"/>
                <w:b/>
                <w:bCs/>
                <w:color w:val="auto"/>
                <w:sz w:val="16"/>
                <w:szCs w:val="16"/>
                <w:lang w:val="en-US"/>
              </w:rPr>
              <w:t>Procjena 2017</w:t>
            </w:r>
          </w:p>
        </w:tc>
        <w:tc>
          <w:tcPr>
            <w:tcW w:w="670" w:type="pct"/>
            <w:gridSpan w:val="2"/>
            <w:tcBorders>
              <w:top w:val="double" w:sz="6" w:space="0" w:color="auto"/>
              <w:left w:val="nil"/>
              <w:bottom w:val="single" w:sz="4" w:space="0" w:color="auto"/>
              <w:right w:val="double" w:sz="6" w:space="0" w:color="000000"/>
            </w:tcBorders>
            <w:shd w:val="clear" w:color="000000" w:fill="B8CCE4"/>
            <w:noWrap/>
            <w:vAlign w:val="center"/>
            <w:hideMark/>
          </w:tcPr>
          <w:p w:rsidR="00296016" w:rsidRPr="00296016" w:rsidRDefault="00296016" w:rsidP="003B7168">
            <w:pPr>
              <w:spacing w:line="276" w:lineRule="auto"/>
              <w:jc w:val="center"/>
              <w:rPr>
                <w:rFonts w:ascii="Calibri" w:hAnsi="Calibri" w:cs="Calibri"/>
                <w:b/>
                <w:bCs/>
                <w:color w:val="auto"/>
                <w:sz w:val="16"/>
                <w:szCs w:val="16"/>
                <w:lang w:val="en-US"/>
              </w:rPr>
            </w:pPr>
            <w:r w:rsidRPr="00296016">
              <w:rPr>
                <w:rFonts w:ascii="Calibri" w:hAnsi="Calibri" w:cs="Calibri"/>
                <w:b/>
                <w:bCs/>
                <w:color w:val="auto"/>
                <w:sz w:val="16"/>
                <w:szCs w:val="16"/>
                <w:lang w:val="en-US"/>
              </w:rPr>
              <w:t>Procjena 2018</w:t>
            </w:r>
          </w:p>
        </w:tc>
        <w:tc>
          <w:tcPr>
            <w:tcW w:w="678" w:type="pct"/>
            <w:gridSpan w:val="2"/>
            <w:tcBorders>
              <w:top w:val="double" w:sz="6" w:space="0" w:color="auto"/>
              <w:left w:val="nil"/>
              <w:bottom w:val="single" w:sz="4" w:space="0" w:color="auto"/>
              <w:right w:val="double" w:sz="6" w:space="0" w:color="000000"/>
            </w:tcBorders>
            <w:shd w:val="clear" w:color="000000" w:fill="B8CCE4"/>
            <w:noWrap/>
            <w:vAlign w:val="center"/>
            <w:hideMark/>
          </w:tcPr>
          <w:p w:rsidR="00296016" w:rsidRPr="00296016" w:rsidRDefault="00296016" w:rsidP="003B7168">
            <w:pPr>
              <w:spacing w:line="276" w:lineRule="auto"/>
              <w:jc w:val="center"/>
              <w:rPr>
                <w:rFonts w:ascii="Calibri" w:hAnsi="Calibri" w:cs="Calibri"/>
                <w:b/>
                <w:bCs/>
                <w:color w:val="auto"/>
                <w:sz w:val="16"/>
                <w:szCs w:val="16"/>
                <w:lang w:val="en-US"/>
              </w:rPr>
            </w:pPr>
            <w:r w:rsidRPr="00296016">
              <w:rPr>
                <w:rFonts w:ascii="Calibri" w:hAnsi="Calibri" w:cs="Calibri"/>
                <w:b/>
                <w:bCs/>
                <w:color w:val="auto"/>
                <w:sz w:val="16"/>
                <w:szCs w:val="16"/>
                <w:lang w:val="en-US"/>
              </w:rPr>
              <w:t>Procjena 2019</w:t>
            </w:r>
          </w:p>
        </w:tc>
        <w:tc>
          <w:tcPr>
            <w:tcW w:w="678" w:type="pct"/>
            <w:gridSpan w:val="2"/>
            <w:tcBorders>
              <w:top w:val="double" w:sz="6" w:space="0" w:color="auto"/>
              <w:left w:val="nil"/>
              <w:bottom w:val="single" w:sz="4" w:space="0" w:color="auto"/>
              <w:right w:val="double" w:sz="6" w:space="0" w:color="000000"/>
            </w:tcBorders>
            <w:shd w:val="clear" w:color="000000" w:fill="B8CCE4"/>
            <w:noWrap/>
            <w:vAlign w:val="center"/>
            <w:hideMark/>
          </w:tcPr>
          <w:p w:rsidR="00296016" w:rsidRPr="00296016" w:rsidRDefault="00296016" w:rsidP="003B7168">
            <w:pPr>
              <w:spacing w:line="276" w:lineRule="auto"/>
              <w:jc w:val="center"/>
              <w:rPr>
                <w:rFonts w:ascii="Calibri" w:hAnsi="Calibri" w:cs="Calibri"/>
                <w:b/>
                <w:bCs/>
                <w:color w:val="auto"/>
                <w:sz w:val="16"/>
                <w:szCs w:val="16"/>
                <w:lang w:val="en-US"/>
              </w:rPr>
            </w:pPr>
            <w:r w:rsidRPr="00296016">
              <w:rPr>
                <w:rFonts w:ascii="Calibri" w:hAnsi="Calibri" w:cs="Calibri"/>
                <w:b/>
                <w:bCs/>
                <w:color w:val="auto"/>
                <w:sz w:val="16"/>
                <w:szCs w:val="16"/>
                <w:lang w:val="en-US"/>
              </w:rPr>
              <w:t>Procjena 2020</w:t>
            </w:r>
          </w:p>
        </w:tc>
      </w:tr>
      <w:tr w:rsidR="00296016" w:rsidRPr="00296016" w:rsidTr="00296016">
        <w:trPr>
          <w:trHeight w:val="198"/>
        </w:trPr>
        <w:tc>
          <w:tcPr>
            <w:tcW w:w="2297" w:type="pct"/>
            <w:vMerge/>
            <w:tcBorders>
              <w:top w:val="double" w:sz="6" w:space="0" w:color="auto"/>
              <w:left w:val="double" w:sz="6" w:space="0" w:color="auto"/>
              <w:bottom w:val="double" w:sz="6" w:space="0" w:color="000000"/>
              <w:right w:val="double" w:sz="6" w:space="0" w:color="auto"/>
            </w:tcBorders>
            <w:vAlign w:val="center"/>
            <w:hideMark/>
          </w:tcPr>
          <w:p w:rsidR="00296016" w:rsidRPr="00296016" w:rsidRDefault="00296016" w:rsidP="003B7168">
            <w:pPr>
              <w:spacing w:line="276" w:lineRule="auto"/>
              <w:jc w:val="left"/>
              <w:rPr>
                <w:rFonts w:ascii="Calibri" w:hAnsi="Calibri" w:cs="Calibri"/>
                <w:b/>
                <w:bCs/>
                <w:color w:val="FFFFFF"/>
                <w:sz w:val="16"/>
                <w:szCs w:val="16"/>
                <w:lang w:val="en-US"/>
              </w:rPr>
            </w:pPr>
          </w:p>
        </w:tc>
        <w:tc>
          <w:tcPr>
            <w:tcW w:w="390" w:type="pct"/>
            <w:tcBorders>
              <w:top w:val="nil"/>
              <w:left w:val="double" w:sz="6" w:space="0" w:color="auto"/>
              <w:bottom w:val="double" w:sz="6" w:space="0" w:color="auto"/>
              <w:right w:val="single" w:sz="4" w:space="0" w:color="auto"/>
            </w:tcBorders>
            <w:shd w:val="clear" w:color="000000" w:fill="B8CCE4"/>
            <w:vAlign w:val="center"/>
            <w:hideMark/>
          </w:tcPr>
          <w:p w:rsidR="00296016" w:rsidRPr="00296016" w:rsidRDefault="00296016" w:rsidP="003B7168">
            <w:pPr>
              <w:spacing w:line="276" w:lineRule="auto"/>
              <w:jc w:val="center"/>
              <w:rPr>
                <w:rFonts w:ascii="Calibri" w:hAnsi="Calibri" w:cs="Calibri"/>
                <w:b/>
                <w:bCs/>
                <w:color w:val="auto"/>
                <w:sz w:val="16"/>
                <w:szCs w:val="16"/>
                <w:lang w:val="en-US"/>
              </w:rPr>
            </w:pPr>
            <w:r w:rsidRPr="00296016">
              <w:rPr>
                <w:rFonts w:ascii="Calibri" w:hAnsi="Calibri" w:cs="Calibri"/>
                <w:b/>
                <w:bCs/>
                <w:color w:val="auto"/>
                <w:sz w:val="16"/>
                <w:szCs w:val="16"/>
                <w:lang w:val="en-US"/>
              </w:rPr>
              <w:t>mil. €</w:t>
            </w:r>
          </w:p>
        </w:tc>
        <w:tc>
          <w:tcPr>
            <w:tcW w:w="288" w:type="pct"/>
            <w:tcBorders>
              <w:top w:val="nil"/>
              <w:left w:val="nil"/>
              <w:bottom w:val="double" w:sz="6" w:space="0" w:color="auto"/>
              <w:right w:val="double" w:sz="6" w:space="0" w:color="auto"/>
            </w:tcBorders>
            <w:shd w:val="clear" w:color="000000" w:fill="B8CCE4"/>
            <w:vAlign w:val="center"/>
            <w:hideMark/>
          </w:tcPr>
          <w:p w:rsidR="00296016" w:rsidRPr="00296016" w:rsidRDefault="00296016" w:rsidP="003B7168">
            <w:pPr>
              <w:spacing w:line="276" w:lineRule="auto"/>
              <w:jc w:val="center"/>
              <w:rPr>
                <w:rFonts w:ascii="Calibri" w:hAnsi="Calibri" w:cs="Calibri"/>
                <w:b/>
                <w:bCs/>
                <w:color w:val="auto"/>
                <w:sz w:val="16"/>
                <w:szCs w:val="16"/>
                <w:lang w:val="en-US"/>
              </w:rPr>
            </w:pPr>
            <w:r w:rsidRPr="00296016">
              <w:rPr>
                <w:rFonts w:ascii="Calibri" w:hAnsi="Calibri" w:cs="Calibri"/>
                <w:b/>
                <w:bCs/>
                <w:color w:val="auto"/>
                <w:sz w:val="16"/>
                <w:szCs w:val="16"/>
                <w:lang w:val="en-US"/>
              </w:rPr>
              <w:t>% BDP</w:t>
            </w:r>
          </w:p>
        </w:tc>
        <w:tc>
          <w:tcPr>
            <w:tcW w:w="390" w:type="pct"/>
            <w:tcBorders>
              <w:top w:val="nil"/>
              <w:left w:val="nil"/>
              <w:bottom w:val="double" w:sz="6" w:space="0" w:color="auto"/>
              <w:right w:val="single" w:sz="4" w:space="0" w:color="auto"/>
            </w:tcBorders>
            <w:shd w:val="clear" w:color="000000" w:fill="B8CCE4"/>
            <w:vAlign w:val="center"/>
            <w:hideMark/>
          </w:tcPr>
          <w:p w:rsidR="00296016" w:rsidRPr="00296016" w:rsidRDefault="00296016" w:rsidP="003B7168">
            <w:pPr>
              <w:spacing w:line="276" w:lineRule="auto"/>
              <w:jc w:val="center"/>
              <w:rPr>
                <w:rFonts w:ascii="Calibri" w:hAnsi="Calibri" w:cs="Calibri"/>
                <w:b/>
                <w:bCs/>
                <w:color w:val="auto"/>
                <w:sz w:val="16"/>
                <w:szCs w:val="16"/>
                <w:lang w:val="en-US"/>
              </w:rPr>
            </w:pPr>
            <w:r w:rsidRPr="00296016">
              <w:rPr>
                <w:rFonts w:ascii="Calibri" w:hAnsi="Calibri" w:cs="Calibri"/>
                <w:b/>
                <w:bCs/>
                <w:color w:val="auto"/>
                <w:sz w:val="16"/>
                <w:szCs w:val="16"/>
                <w:lang w:val="en-US"/>
              </w:rPr>
              <w:t>mil. €</w:t>
            </w:r>
          </w:p>
        </w:tc>
        <w:tc>
          <w:tcPr>
            <w:tcW w:w="280" w:type="pct"/>
            <w:tcBorders>
              <w:top w:val="nil"/>
              <w:left w:val="nil"/>
              <w:bottom w:val="double" w:sz="6" w:space="0" w:color="auto"/>
              <w:right w:val="double" w:sz="6" w:space="0" w:color="auto"/>
            </w:tcBorders>
            <w:shd w:val="clear" w:color="000000" w:fill="B8CCE4"/>
            <w:vAlign w:val="center"/>
            <w:hideMark/>
          </w:tcPr>
          <w:p w:rsidR="00296016" w:rsidRPr="00296016" w:rsidRDefault="00296016" w:rsidP="003B7168">
            <w:pPr>
              <w:spacing w:line="276" w:lineRule="auto"/>
              <w:jc w:val="center"/>
              <w:rPr>
                <w:rFonts w:ascii="Calibri" w:hAnsi="Calibri" w:cs="Calibri"/>
                <w:b/>
                <w:bCs/>
                <w:color w:val="auto"/>
                <w:sz w:val="16"/>
                <w:szCs w:val="16"/>
                <w:lang w:val="en-US"/>
              </w:rPr>
            </w:pPr>
            <w:r w:rsidRPr="00296016">
              <w:rPr>
                <w:rFonts w:ascii="Calibri" w:hAnsi="Calibri" w:cs="Calibri"/>
                <w:b/>
                <w:bCs/>
                <w:color w:val="auto"/>
                <w:sz w:val="16"/>
                <w:szCs w:val="16"/>
                <w:lang w:val="en-US"/>
              </w:rPr>
              <w:t>% BDP</w:t>
            </w:r>
          </w:p>
        </w:tc>
        <w:tc>
          <w:tcPr>
            <w:tcW w:w="390" w:type="pct"/>
            <w:tcBorders>
              <w:top w:val="nil"/>
              <w:left w:val="nil"/>
              <w:bottom w:val="double" w:sz="6" w:space="0" w:color="auto"/>
              <w:right w:val="single" w:sz="4" w:space="0" w:color="auto"/>
            </w:tcBorders>
            <w:shd w:val="clear" w:color="000000" w:fill="B8CCE4"/>
            <w:vAlign w:val="center"/>
            <w:hideMark/>
          </w:tcPr>
          <w:p w:rsidR="00296016" w:rsidRPr="00296016" w:rsidRDefault="00296016" w:rsidP="003B7168">
            <w:pPr>
              <w:spacing w:line="276" w:lineRule="auto"/>
              <w:jc w:val="center"/>
              <w:rPr>
                <w:rFonts w:ascii="Calibri" w:hAnsi="Calibri" w:cs="Calibri"/>
                <w:b/>
                <w:bCs/>
                <w:color w:val="auto"/>
                <w:sz w:val="16"/>
                <w:szCs w:val="16"/>
                <w:lang w:val="en-US"/>
              </w:rPr>
            </w:pPr>
            <w:r w:rsidRPr="00296016">
              <w:rPr>
                <w:rFonts w:ascii="Calibri" w:hAnsi="Calibri" w:cs="Calibri"/>
                <w:b/>
                <w:bCs/>
                <w:color w:val="auto"/>
                <w:sz w:val="16"/>
                <w:szCs w:val="16"/>
                <w:lang w:val="en-US"/>
              </w:rPr>
              <w:t>mil. €</w:t>
            </w:r>
          </w:p>
        </w:tc>
        <w:tc>
          <w:tcPr>
            <w:tcW w:w="288" w:type="pct"/>
            <w:tcBorders>
              <w:top w:val="nil"/>
              <w:left w:val="nil"/>
              <w:bottom w:val="double" w:sz="6" w:space="0" w:color="auto"/>
              <w:right w:val="double" w:sz="6" w:space="0" w:color="auto"/>
            </w:tcBorders>
            <w:shd w:val="clear" w:color="000000" w:fill="B8CCE4"/>
            <w:vAlign w:val="center"/>
            <w:hideMark/>
          </w:tcPr>
          <w:p w:rsidR="00296016" w:rsidRPr="00296016" w:rsidRDefault="00296016" w:rsidP="003B7168">
            <w:pPr>
              <w:spacing w:line="276" w:lineRule="auto"/>
              <w:jc w:val="center"/>
              <w:rPr>
                <w:rFonts w:ascii="Calibri" w:hAnsi="Calibri" w:cs="Calibri"/>
                <w:b/>
                <w:bCs/>
                <w:color w:val="auto"/>
                <w:sz w:val="16"/>
                <w:szCs w:val="16"/>
                <w:lang w:val="en-US"/>
              </w:rPr>
            </w:pPr>
            <w:r w:rsidRPr="00296016">
              <w:rPr>
                <w:rFonts w:ascii="Calibri" w:hAnsi="Calibri" w:cs="Calibri"/>
                <w:b/>
                <w:bCs/>
                <w:color w:val="auto"/>
                <w:sz w:val="16"/>
                <w:szCs w:val="16"/>
                <w:lang w:val="en-US"/>
              </w:rPr>
              <w:t>% BDP</w:t>
            </w:r>
          </w:p>
        </w:tc>
        <w:tc>
          <w:tcPr>
            <w:tcW w:w="390" w:type="pct"/>
            <w:tcBorders>
              <w:top w:val="nil"/>
              <w:left w:val="nil"/>
              <w:bottom w:val="double" w:sz="6" w:space="0" w:color="auto"/>
              <w:right w:val="single" w:sz="4" w:space="0" w:color="auto"/>
            </w:tcBorders>
            <w:shd w:val="clear" w:color="000000" w:fill="B8CCE4"/>
            <w:vAlign w:val="center"/>
            <w:hideMark/>
          </w:tcPr>
          <w:p w:rsidR="00296016" w:rsidRPr="00296016" w:rsidRDefault="00296016" w:rsidP="003B7168">
            <w:pPr>
              <w:spacing w:line="276" w:lineRule="auto"/>
              <w:jc w:val="center"/>
              <w:rPr>
                <w:rFonts w:ascii="Calibri" w:hAnsi="Calibri" w:cs="Calibri"/>
                <w:b/>
                <w:bCs/>
                <w:color w:val="auto"/>
                <w:sz w:val="16"/>
                <w:szCs w:val="16"/>
                <w:lang w:val="en-US"/>
              </w:rPr>
            </w:pPr>
            <w:r w:rsidRPr="00296016">
              <w:rPr>
                <w:rFonts w:ascii="Calibri" w:hAnsi="Calibri" w:cs="Calibri"/>
                <w:b/>
                <w:bCs/>
                <w:color w:val="auto"/>
                <w:sz w:val="16"/>
                <w:szCs w:val="16"/>
                <w:lang w:val="en-US"/>
              </w:rPr>
              <w:t>mil. €</w:t>
            </w:r>
          </w:p>
        </w:tc>
        <w:tc>
          <w:tcPr>
            <w:tcW w:w="288" w:type="pct"/>
            <w:tcBorders>
              <w:top w:val="nil"/>
              <w:left w:val="nil"/>
              <w:bottom w:val="double" w:sz="6" w:space="0" w:color="auto"/>
              <w:right w:val="double" w:sz="6" w:space="0" w:color="auto"/>
            </w:tcBorders>
            <w:shd w:val="clear" w:color="000000" w:fill="B8CCE4"/>
            <w:vAlign w:val="center"/>
            <w:hideMark/>
          </w:tcPr>
          <w:p w:rsidR="00296016" w:rsidRPr="00296016" w:rsidRDefault="00296016" w:rsidP="003B7168">
            <w:pPr>
              <w:spacing w:line="276" w:lineRule="auto"/>
              <w:jc w:val="center"/>
              <w:rPr>
                <w:rFonts w:ascii="Calibri" w:hAnsi="Calibri" w:cs="Calibri"/>
                <w:b/>
                <w:bCs/>
                <w:color w:val="auto"/>
                <w:sz w:val="16"/>
                <w:szCs w:val="16"/>
                <w:lang w:val="en-US"/>
              </w:rPr>
            </w:pPr>
            <w:r w:rsidRPr="00296016">
              <w:rPr>
                <w:rFonts w:ascii="Calibri" w:hAnsi="Calibri" w:cs="Calibri"/>
                <w:b/>
                <w:bCs/>
                <w:color w:val="auto"/>
                <w:sz w:val="16"/>
                <w:szCs w:val="16"/>
                <w:lang w:val="en-US"/>
              </w:rPr>
              <w:t>% BDP</w:t>
            </w:r>
          </w:p>
        </w:tc>
      </w:tr>
      <w:tr w:rsidR="00296016" w:rsidRPr="00296016" w:rsidTr="00296016">
        <w:trPr>
          <w:trHeight w:val="198"/>
        </w:trPr>
        <w:tc>
          <w:tcPr>
            <w:tcW w:w="2297" w:type="pct"/>
            <w:tcBorders>
              <w:top w:val="nil"/>
              <w:left w:val="double" w:sz="6" w:space="0" w:color="auto"/>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Izvorni prihodi</w:t>
            </w:r>
          </w:p>
        </w:tc>
        <w:tc>
          <w:tcPr>
            <w:tcW w:w="390" w:type="pct"/>
            <w:tcBorders>
              <w:top w:val="nil"/>
              <w:left w:val="double" w:sz="6" w:space="0" w:color="auto"/>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1578.27</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39.9</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1699.71</w:t>
            </w:r>
          </w:p>
        </w:tc>
        <w:tc>
          <w:tcPr>
            <w:tcW w:w="280"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40.5</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1751.85</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40.1</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1805.18</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39.8</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Porezi</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968.0</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24.5</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1082.3</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25.8</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1134.6</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26.0</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1173.7</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25.9</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071A61" w:rsidRDefault="00296016" w:rsidP="003B7168">
            <w:pPr>
              <w:spacing w:line="276" w:lineRule="auto"/>
              <w:jc w:val="left"/>
              <w:rPr>
                <w:rFonts w:ascii="Calibri" w:hAnsi="Calibri" w:cs="Calibri"/>
                <w:color w:val="auto"/>
                <w:sz w:val="16"/>
                <w:szCs w:val="16"/>
                <w:lang w:val="de-DE"/>
              </w:rPr>
            </w:pPr>
            <w:r w:rsidRPr="00071A61">
              <w:rPr>
                <w:rFonts w:ascii="Calibri" w:hAnsi="Calibri" w:cs="Calibri"/>
                <w:color w:val="auto"/>
                <w:sz w:val="16"/>
                <w:szCs w:val="16"/>
                <w:lang w:val="de-DE"/>
              </w:rPr>
              <w:t>Porez na dohodak fizičkih lica</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131.8</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3.3</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133.8</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136.1</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139.5</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3.1</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Porez na dobit pravnih lica</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48.0</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49.7</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51.8</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53.4</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1.2</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Porez na promet nepokretnosti</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3.8</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3.9</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4.0</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4.1</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0.1</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Porez na dodatu vrijednost</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534.7</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13.5</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614.4</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14.7</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638.5</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14.6</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661.7</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14.6</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Akcize</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215.3</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5.4</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245.4</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5.9</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268.6</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6.1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278.9</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6.1</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Porez na međunarodnu trgovinu i transakcije</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24.6</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0.6</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25.0</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0.6</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25.3</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0.6</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25.6</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0.6</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Ostali državni prihodi</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9.8</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10.1</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10.3</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10.5</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Doprinosi</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499.7</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12.6</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511.2</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12.2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517.7</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11.8</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530.7</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11.7</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Takse</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13.2</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0.3</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13.6</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0.3</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13.9</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0.3</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14.1</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0.3</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Naknade</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25.3</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0.6</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25.7</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0.6</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26.0</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0.6</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26.3</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0.6</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Ostali prihodi</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32.5</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0.8</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33.0</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0.8</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33.4</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0.8</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33.7</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0.7</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Primici od otplate kredita</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4.3</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4.4</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4.5</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4.5</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0.1</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Donacije</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35.2</w:t>
            </w:r>
          </w:p>
        </w:tc>
        <w:tc>
          <w:tcPr>
            <w:tcW w:w="288" w:type="pct"/>
            <w:tcBorders>
              <w:top w:val="nil"/>
              <w:left w:val="nil"/>
              <w:bottom w:val="double" w:sz="6" w:space="0" w:color="auto"/>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0.9</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29.5</w:t>
            </w:r>
          </w:p>
        </w:tc>
        <w:tc>
          <w:tcPr>
            <w:tcW w:w="280" w:type="pct"/>
            <w:tcBorders>
              <w:top w:val="nil"/>
              <w:left w:val="nil"/>
              <w:bottom w:val="double" w:sz="6" w:space="0" w:color="auto"/>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0.7</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21.8</w:t>
            </w:r>
          </w:p>
        </w:tc>
        <w:tc>
          <w:tcPr>
            <w:tcW w:w="288" w:type="pct"/>
            <w:tcBorders>
              <w:top w:val="nil"/>
              <w:left w:val="nil"/>
              <w:bottom w:val="double" w:sz="6" w:space="0" w:color="auto"/>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0.5</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22.2</w:t>
            </w:r>
          </w:p>
        </w:tc>
        <w:tc>
          <w:tcPr>
            <w:tcW w:w="288" w:type="pct"/>
            <w:tcBorders>
              <w:top w:val="nil"/>
              <w:left w:val="nil"/>
              <w:bottom w:val="double" w:sz="6" w:space="0" w:color="auto"/>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0.5</w:t>
            </w:r>
          </w:p>
        </w:tc>
      </w:tr>
      <w:tr w:rsidR="00296016" w:rsidRPr="00296016" w:rsidTr="00296016">
        <w:trPr>
          <w:trHeight w:val="198"/>
        </w:trPr>
        <w:tc>
          <w:tcPr>
            <w:tcW w:w="2297" w:type="pct"/>
            <w:tcBorders>
              <w:top w:val="double" w:sz="6" w:space="0" w:color="auto"/>
              <w:left w:val="double" w:sz="6" w:space="0" w:color="auto"/>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Izdaci</w:t>
            </w:r>
          </w:p>
        </w:tc>
        <w:tc>
          <w:tcPr>
            <w:tcW w:w="390" w:type="pct"/>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1775.40</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44.9</w:t>
            </w:r>
          </w:p>
        </w:tc>
        <w:tc>
          <w:tcPr>
            <w:tcW w:w="390" w:type="pct"/>
            <w:tcBorders>
              <w:top w:val="double" w:sz="6" w:space="0" w:color="auto"/>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1811.23</w:t>
            </w:r>
          </w:p>
        </w:tc>
        <w:tc>
          <w:tcPr>
            <w:tcW w:w="280"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43.2</w:t>
            </w:r>
          </w:p>
        </w:tc>
        <w:tc>
          <w:tcPr>
            <w:tcW w:w="390" w:type="pct"/>
            <w:tcBorders>
              <w:top w:val="double" w:sz="6" w:space="0" w:color="auto"/>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1782.87</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40.8</w:t>
            </w:r>
          </w:p>
        </w:tc>
        <w:tc>
          <w:tcPr>
            <w:tcW w:w="390" w:type="pct"/>
            <w:tcBorders>
              <w:top w:val="double" w:sz="6" w:space="0" w:color="auto"/>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1602.47</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35.3</w:t>
            </w:r>
          </w:p>
        </w:tc>
      </w:tr>
      <w:tr w:rsidR="00296016" w:rsidRPr="00296016" w:rsidTr="00296016">
        <w:trPr>
          <w:trHeight w:val="198"/>
        </w:trPr>
        <w:tc>
          <w:tcPr>
            <w:tcW w:w="2297" w:type="pct"/>
            <w:tcBorders>
              <w:top w:val="nil"/>
              <w:left w:val="double" w:sz="6" w:space="0" w:color="auto"/>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Tekuća budžetska potrošnja</w:t>
            </w:r>
          </w:p>
        </w:tc>
        <w:tc>
          <w:tcPr>
            <w:tcW w:w="390" w:type="pct"/>
            <w:tcBorders>
              <w:top w:val="nil"/>
              <w:left w:val="double" w:sz="6" w:space="0" w:color="auto"/>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1492.3</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37.7</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1495.4</w:t>
            </w:r>
          </w:p>
        </w:tc>
        <w:tc>
          <w:tcPr>
            <w:tcW w:w="280"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35.7</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1505.3</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34.4</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1519.4</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33.5</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Tekući izdaci</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747.0</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18.9</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744.1</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17.7</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754.1</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17.2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763.4</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16.8</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Bruto zarade i doprinosi na teret poslodavca</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434.2</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11.0</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429.0</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10.2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430.1</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9.8</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432.9</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9.5</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Ostala lična primanja</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10.2</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0.3</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10.2</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10.2</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10.2</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Rashodi za materijal i usluge</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82.6</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90.1</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92.2</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92.8</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2.0</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Tekuće održavanje</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21.2</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0.5</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20.2</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0.5</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20.2</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0.5</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20.2</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0.4</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Kamate</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95.4</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2.4</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88.6</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91.4</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91.4</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2.0</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Renta</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9.3</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9.3</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9.3</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9.3</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Subvencije</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24.9</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0.6</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24.9</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0.6</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24.9</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0.6</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24.9</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0.5</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Ostali izdaci</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33.0</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0.8</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33.0</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0.8</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33.0</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0.8</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33.0</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0.7</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157330" w:rsidRDefault="00296016" w:rsidP="003B7168">
            <w:pPr>
              <w:spacing w:line="276" w:lineRule="auto"/>
              <w:jc w:val="left"/>
              <w:rPr>
                <w:rFonts w:ascii="Calibri" w:hAnsi="Calibri" w:cs="Calibri"/>
                <w:b/>
                <w:bCs/>
                <w:color w:val="auto"/>
                <w:sz w:val="16"/>
                <w:szCs w:val="16"/>
              </w:rPr>
            </w:pPr>
            <w:r w:rsidRPr="00296016">
              <w:rPr>
                <w:rFonts w:ascii="Calibri" w:hAnsi="Calibri" w:cs="Calibri"/>
                <w:b/>
                <w:bCs/>
                <w:color w:val="auto"/>
                <w:sz w:val="16"/>
                <w:szCs w:val="16"/>
                <w:lang w:val="en-US"/>
              </w:rPr>
              <w:t>Kapitalni</w:t>
            </w:r>
            <w:r w:rsidRPr="00157330">
              <w:rPr>
                <w:rFonts w:ascii="Calibri" w:hAnsi="Calibri" w:cs="Calibri"/>
                <w:b/>
                <w:bCs/>
                <w:color w:val="auto"/>
                <w:sz w:val="16"/>
                <w:szCs w:val="16"/>
              </w:rPr>
              <w:t xml:space="preserve"> </w:t>
            </w:r>
            <w:r w:rsidRPr="00296016">
              <w:rPr>
                <w:rFonts w:ascii="Calibri" w:hAnsi="Calibri" w:cs="Calibri"/>
                <w:b/>
                <w:bCs/>
                <w:color w:val="auto"/>
                <w:sz w:val="16"/>
                <w:szCs w:val="16"/>
                <w:lang w:val="en-US"/>
              </w:rPr>
              <w:t>izdaci</w:t>
            </w:r>
            <w:r w:rsidRPr="00157330">
              <w:rPr>
                <w:rFonts w:ascii="Calibri" w:hAnsi="Calibri" w:cs="Calibri"/>
                <w:b/>
                <w:bCs/>
                <w:color w:val="auto"/>
                <w:sz w:val="16"/>
                <w:szCs w:val="16"/>
              </w:rPr>
              <w:t xml:space="preserve"> </w:t>
            </w:r>
            <w:r w:rsidRPr="00296016">
              <w:rPr>
                <w:rFonts w:ascii="Calibri" w:hAnsi="Calibri" w:cs="Calibri"/>
                <w:b/>
                <w:bCs/>
                <w:color w:val="auto"/>
                <w:sz w:val="16"/>
                <w:szCs w:val="16"/>
                <w:lang w:val="en-US"/>
              </w:rPr>
              <w:t>u</w:t>
            </w:r>
            <w:r w:rsidRPr="00157330">
              <w:rPr>
                <w:rFonts w:ascii="Calibri" w:hAnsi="Calibri" w:cs="Calibri"/>
                <w:b/>
                <w:bCs/>
                <w:color w:val="auto"/>
                <w:sz w:val="16"/>
                <w:szCs w:val="16"/>
              </w:rPr>
              <w:t xml:space="preserve"> </w:t>
            </w:r>
            <w:r w:rsidRPr="00296016">
              <w:rPr>
                <w:rFonts w:ascii="Calibri" w:hAnsi="Calibri" w:cs="Calibri"/>
                <w:b/>
                <w:bCs/>
                <w:color w:val="auto"/>
                <w:sz w:val="16"/>
                <w:szCs w:val="16"/>
                <w:lang w:val="en-US"/>
              </w:rPr>
              <w:t>teku</w:t>
            </w:r>
            <w:r w:rsidRPr="00157330">
              <w:rPr>
                <w:rFonts w:ascii="Calibri" w:hAnsi="Calibri" w:cs="Calibri"/>
                <w:b/>
                <w:bCs/>
                <w:color w:val="auto"/>
                <w:sz w:val="16"/>
                <w:szCs w:val="16"/>
              </w:rPr>
              <w:t>ć</w:t>
            </w:r>
            <w:r w:rsidRPr="00296016">
              <w:rPr>
                <w:rFonts w:ascii="Calibri" w:hAnsi="Calibri" w:cs="Calibri"/>
                <w:b/>
                <w:bCs/>
                <w:color w:val="auto"/>
                <w:sz w:val="16"/>
                <w:szCs w:val="16"/>
                <w:lang w:val="en-US"/>
              </w:rPr>
              <w:t>em</w:t>
            </w:r>
            <w:r w:rsidRPr="00157330">
              <w:rPr>
                <w:rFonts w:ascii="Calibri" w:hAnsi="Calibri" w:cs="Calibri"/>
                <w:b/>
                <w:bCs/>
                <w:color w:val="auto"/>
                <w:sz w:val="16"/>
                <w:szCs w:val="16"/>
              </w:rPr>
              <w:t xml:space="preserve"> </w:t>
            </w:r>
            <w:r w:rsidRPr="00296016">
              <w:rPr>
                <w:rFonts w:ascii="Calibri" w:hAnsi="Calibri" w:cs="Calibri"/>
                <w:b/>
                <w:bCs/>
                <w:color w:val="auto"/>
                <w:sz w:val="16"/>
                <w:szCs w:val="16"/>
                <w:lang w:val="en-US"/>
              </w:rPr>
              <w:t>bud</w:t>
            </w:r>
            <w:r w:rsidRPr="00157330">
              <w:rPr>
                <w:rFonts w:ascii="Calibri" w:hAnsi="Calibri" w:cs="Calibri"/>
                <w:b/>
                <w:bCs/>
                <w:color w:val="auto"/>
                <w:sz w:val="16"/>
                <w:szCs w:val="16"/>
              </w:rPr>
              <w:t>ž</w:t>
            </w:r>
            <w:r w:rsidRPr="00296016">
              <w:rPr>
                <w:rFonts w:ascii="Calibri" w:hAnsi="Calibri" w:cs="Calibri"/>
                <w:b/>
                <w:bCs/>
                <w:color w:val="auto"/>
                <w:sz w:val="16"/>
                <w:szCs w:val="16"/>
                <w:lang w:val="en-US"/>
              </w:rPr>
              <w:t>etu</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36.1</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0.9</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38.7</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0.9</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42.7</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1.0</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48.6</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1.1</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Transferi za socijalnu zaštitu</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562.4</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14.2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550.2</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13.1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556.7</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12.7</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561.5</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12.4</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157330" w:rsidRDefault="00296016" w:rsidP="003B7168">
            <w:pPr>
              <w:spacing w:line="276" w:lineRule="auto"/>
              <w:jc w:val="left"/>
              <w:rPr>
                <w:rFonts w:ascii="Calibri" w:hAnsi="Calibri" w:cs="Calibri"/>
                <w:color w:val="auto"/>
                <w:sz w:val="16"/>
                <w:szCs w:val="16"/>
              </w:rPr>
            </w:pPr>
            <w:r w:rsidRPr="00296016">
              <w:rPr>
                <w:rFonts w:ascii="Calibri" w:hAnsi="Calibri" w:cs="Calibri"/>
                <w:color w:val="auto"/>
                <w:sz w:val="16"/>
                <w:szCs w:val="16"/>
                <w:lang w:val="en-US"/>
              </w:rPr>
              <w:t>Prava</w:t>
            </w:r>
            <w:r w:rsidRPr="00157330">
              <w:rPr>
                <w:rFonts w:ascii="Calibri" w:hAnsi="Calibri" w:cs="Calibri"/>
                <w:color w:val="auto"/>
                <w:sz w:val="16"/>
                <w:szCs w:val="16"/>
              </w:rPr>
              <w:t xml:space="preserve"> </w:t>
            </w:r>
            <w:r w:rsidRPr="00296016">
              <w:rPr>
                <w:rFonts w:ascii="Calibri" w:hAnsi="Calibri" w:cs="Calibri"/>
                <w:color w:val="auto"/>
                <w:sz w:val="16"/>
                <w:szCs w:val="16"/>
                <w:lang w:val="en-US"/>
              </w:rPr>
              <w:t>iz</w:t>
            </w:r>
            <w:r w:rsidRPr="00157330">
              <w:rPr>
                <w:rFonts w:ascii="Calibri" w:hAnsi="Calibri" w:cs="Calibri"/>
                <w:color w:val="auto"/>
                <w:sz w:val="16"/>
                <w:szCs w:val="16"/>
              </w:rPr>
              <w:t xml:space="preserve"> </w:t>
            </w:r>
            <w:r w:rsidRPr="00296016">
              <w:rPr>
                <w:rFonts w:ascii="Calibri" w:hAnsi="Calibri" w:cs="Calibri"/>
                <w:color w:val="auto"/>
                <w:sz w:val="16"/>
                <w:szCs w:val="16"/>
                <w:lang w:val="en-US"/>
              </w:rPr>
              <w:t>oblasti</w:t>
            </w:r>
            <w:r w:rsidRPr="00157330">
              <w:rPr>
                <w:rFonts w:ascii="Calibri" w:hAnsi="Calibri" w:cs="Calibri"/>
                <w:color w:val="auto"/>
                <w:sz w:val="16"/>
                <w:szCs w:val="16"/>
              </w:rPr>
              <w:t xml:space="preserve"> </w:t>
            </w:r>
            <w:r w:rsidRPr="00296016">
              <w:rPr>
                <w:rFonts w:ascii="Calibri" w:hAnsi="Calibri" w:cs="Calibri"/>
                <w:color w:val="auto"/>
                <w:sz w:val="16"/>
                <w:szCs w:val="16"/>
                <w:lang w:val="en-US"/>
              </w:rPr>
              <w:t>socijalne</w:t>
            </w:r>
            <w:r w:rsidRPr="00157330">
              <w:rPr>
                <w:rFonts w:ascii="Calibri" w:hAnsi="Calibri" w:cs="Calibri"/>
                <w:color w:val="auto"/>
                <w:sz w:val="16"/>
                <w:szCs w:val="16"/>
              </w:rPr>
              <w:t xml:space="preserve"> </w:t>
            </w:r>
            <w:r w:rsidRPr="00296016">
              <w:rPr>
                <w:rFonts w:ascii="Calibri" w:hAnsi="Calibri" w:cs="Calibri"/>
                <w:color w:val="auto"/>
                <w:sz w:val="16"/>
                <w:szCs w:val="16"/>
                <w:lang w:val="en-US"/>
              </w:rPr>
              <w:t>za</w:t>
            </w:r>
            <w:r w:rsidRPr="00157330">
              <w:rPr>
                <w:rFonts w:ascii="Calibri" w:hAnsi="Calibri" w:cs="Calibri"/>
                <w:color w:val="auto"/>
                <w:sz w:val="16"/>
                <w:szCs w:val="16"/>
              </w:rPr>
              <w:t>š</w:t>
            </w:r>
            <w:r w:rsidRPr="00296016">
              <w:rPr>
                <w:rFonts w:ascii="Calibri" w:hAnsi="Calibri" w:cs="Calibri"/>
                <w:color w:val="auto"/>
                <w:sz w:val="16"/>
                <w:szCs w:val="16"/>
                <w:lang w:val="en-US"/>
              </w:rPr>
              <w:t>tite</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101.4</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2.6</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75.5</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1.8</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75.5</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1.7</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75.5</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1.7</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Sredstva za tehnološke viškove</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20.6</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0.5</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20.6</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0.5</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19.6</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0.4</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16.6</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0.4</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Prava iz oblasti penzijskog i invalidskog osiguranja</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415.9</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10.5</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429.6</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10.2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437.1</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10.0</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444.9</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9.8</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157330" w:rsidRDefault="00296016" w:rsidP="003B7168">
            <w:pPr>
              <w:spacing w:line="276" w:lineRule="auto"/>
              <w:jc w:val="left"/>
              <w:rPr>
                <w:rFonts w:ascii="Calibri" w:hAnsi="Calibri" w:cs="Calibri"/>
                <w:color w:val="auto"/>
                <w:sz w:val="16"/>
                <w:szCs w:val="16"/>
              </w:rPr>
            </w:pPr>
            <w:r w:rsidRPr="00296016">
              <w:rPr>
                <w:rFonts w:ascii="Calibri" w:hAnsi="Calibri" w:cs="Calibri"/>
                <w:color w:val="auto"/>
                <w:sz w:val="16"/>
                <w:szCs w:val="16"/>
                <w:lang w:val="en-US"/>
              </w:rPr>
              <w:t>Ostala</w:t>
            </w:r>
            <w:r w:rsidRPr="00157330">
              <w:rPr>
                <w:rFonts w:ascii="Calibri" w:hAnsi="Calibri" w:cs="Calibri"/>
                <w:color w:val="auto"/>
                <w:sz w:val="16"/>
                <w:szCs w:val="16"/>
              </w:rPr>
              <w:t xml:space="preserve"> </w:t>
            </w:r>
            <w:r w:rsidRPr="00296016">
              <w:rPr>
                <w:rFonts w:ascii="Calibri" w:hAnsi="Calibri" w:cs="Calibri"/>
                <w:color w:val="auto"/>
                <w:sz w:val="16"/>
                <w:szCs w:val="16"/>
                <w:lang w:val="en-US"/>
              </w:rPr>
              <w:t>prava</w:t>
            </w:r>
            <w:r w:rsidRPr="00157330">
              <w:rPr>
                <w:rFonts w:ascii="Calibri" w:hAnsi="Calibri" w:cs="Calibri"/>
                <w:color w:val="auto"/>
                <w:sz w:val="16"/>
                <w:szCs w:val="16"/>
              </w:rPr>
              <w:t xml:space="preserve"> </w:t>
            </w:r>
            <w:r w:rsidRPr="00296016">
              <w:rPr>
                <w:rFonts w:ascii="Calibri" w:hAnsi="Calibri" w:cs="Calibri"/>
                <w:color w:val="auto"/>
                <w:sz w:val="16"/>
                <w:szCs w:val="16"/>
                <w:lang w:val="en-US"/>
              </w:rPr>
              <w:t>iz</w:t>
            </w:r>
            <w:r w:rsidRPr="00157330">
              <w:rPr>
                <w:rFonts w:ascii="Calibri" w:hAnsi="Calibri" w:cs="Calibri"/>
                <w:color w:val="auto"/>
                <w:sz w:val="16"/>
                <w:szCs w:val="16"/>
              </w:rPr>
              <w:t xml:space="preserve"> </w:t>
            </w:r>
            <w:r w:rsidRPr="00296016">
              <w:rPr>
                <w:rFonts w:ascii="Calibri" w:hAnsi="Calibri" w:cs="Calibri"/>
                <w:color w:val="auto"/>
                <w:sz w:val="16"/>
                <w:szCs w:val="16"/>
                <w:lang w:val="en-US"/>
              </w:rPr>
              <w:t>oblasti</w:t>
            </w:r>
            <w:r w:rsidRPr="00157330">
              <w:rPr>
                <w:rFonts w:ascii="Calibri" w:hAnsi="Calibri" w:cs="Calibri"/>
                <w:color w:val="auto"/>
                <w:sz w:val="16"/>
                <w:szCs w:val="16"/>
              </w:rPr>
              <w:t xml:space="preserve"> </w:t>
            </w:r>
            <w:r w:rsidRPr="00296016">
              <w:rPr>
                <w:rFonts w:ascii="Calibri" w:hAnsi="Calibri" w:cs="Calibri"/>
                <w:color w:val="auto"/>
                <w:sz w:val="16"/>
                <w:szCs w:val="16"/>
                <w:lang w:val="en-US"/>
              </w:rPr>
              <w:t>zdravstvene</w:t>
            </w:r>
            <w:r w:rsidRPr="00157330">
              <w:rPr>
                <w:rFonts w:ascii="Calibri" w:hAnsi="Calibri" w:cs="Calibri"/>
                <w:color w:val="auto"/>
                <w:sz w:val="16"/>
                <w:szCs w:val="16"/>
              </w:rPr>
              <w:t xml:space="preserve"> </w:t>
            </w:r>
            <w:r w:rsidRPr="00296016">
              <w:rPr>
                <w:rFonts w:ascii="Calibri" w:hAnsi="Calibri" w:cs="Calibri"/>
                <w:color w:val="auto"/>
                <w:sz w:val="16"/>
                <w:szCs w:val="16"/>
                <w:lang w:val="en-US"/>
              </w:rPr>
              <w:t>za</w:t>
            </w:r>
            <w:r w:rsidRPr="00157330">
              <w:rPr>
                <w:rFonts w:ascii="Calibri" w:hAnsi="Calibri" w:cs="Calibri"/>
                <w:color w:val="auto"/>
                <w:sz w:val="16"/>
                <w:szCs w:val="16"/>
              </w:rPr>
              <w:t>š</w:t>
            </w:r>
            <w:r w:rsidRPr="00296016">
              <w:rPr>
                <w:rFonts w:ascii="Calibri" w:hAnsi="Calibri" w:cs="Calibri"/>
                <w:color w:val="auto"/>
                <w:sz w:val="16"/>
                <w:szCs w:val="16"/>
                <w:lang w:val="en-US"/>
              </w:rPr>
              <w:t>tite</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15.9</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0.4</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15.9</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0.4</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15.9</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0.4</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15.9</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0.4</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Ostala prava iz oblasti zdravstvenog osiguranja</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8.5</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8.5</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8.5</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8.5</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Transferi institucijama pojedinicima nevladinom i javnom sektoru</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166.2</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183.6</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4.4</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177.7</w:t>
            </w:r>
          </w:p>
        </w:tc>
        <w:tc>
          <w:tcPr>
            <w:tcW w:w="288" w:type="pct"/>
            <w:tcBorders>
              <w:top w:val="nil"/>
              <w:left w:val="nil"/>
              <w:bottom w:val="double" w:sz="6" w:space="0" w:color="auto"/>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177.7</w:t>
            </w:r>
          </w:p>
        </w:tc>
        <w:tc>
          <w:tcPr>
            <w:tcW w:w="288" w:type="pct"/>
            <w:tcBorders>
              <w:top w:val="nil"/>
              <w:left w:val="nil"/>
              <w:bottom w:val="double" w:sz="6" w:space="0" w:color="auto"/>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3.9</w:t>
            </w:r>
          </w:p>
        </w:tc>
      </w:tr>
      <w:tr w:rsidR="00296016" w:rsidRPr="00296016" w:rsidTr="00296016">
        <w:trPr>
          <w:trHeight w:val="198"/>
        </w:trPr>
        <w:tc>
          <w:tcPr>
            <w:tcW w:w="2297" w:type="pct"/>
            <w:tcBorders>
              <w:top w:val="double" w:sz="6" w:space="0" w:color="auto"/>
              <w:left w:val="double" w:sz="6" w:space="0" w:color="auto"/>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Kapitalni budžet</w:t>
            </w:r>
          </w:p>
        </w:tc>
        <w:tc>
          <w:tcPr>
            <w:tcW w:w="390" w:type="pct"/>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283.1</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7.2</w:t>
            </w:r>
          </w:p>
        </w:tc>
        <w:tc>
          <w:tcPr>
            <w:tcW w:w="390" w:type="pct"/>
            <w:tcBorders>
              <w:top w:val="double" w:sz="6" w:space="0" w:color="auto"/>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315.8</w:t>
            </w:r>
          </w:p>
        </w:tc>
        <w:tc>
          <w:tcPr>
            <w:tcW w:w="280"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7.5</w:t>
            </w:r>
          </w:p>
        </w:tc>
        <w:tc>
          <w:tcPr>
            <w:tcW w:w="390" w:type="pct"/>
            <w:tcBorders>
              <w:top w:val="double" w:sz="6" w:space="0" w:color="auto"/>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277.6</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6.3</w:t>
            </w:r>
          </w:p>
        </w:tc>
        <w:tc>
          <w:tcPr>
            <w:tcW w:w="390" w:type="pct"/>
            <w:tcBorders>
              <w:top w:val="double" w:sz="6" w:space="0" w:color="auto"/>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83.1</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1.8</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Pozajmice i krediti</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2.4</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2.4</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2.4</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0.1</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2.4</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0.1</w:t>
            </w:r>
          </w:p>
        </w:tc>
      </w:tr>
      <w:tr w:rsidR="00296016" w:rsidRPr="00296016" w:rsidTr="00296016">
        <w:trPr>
          <w:trHeight w:val="198"/>
        </w:trPr>
        <w:tc>
          <w:tcPr>
            <w:tcW w:w="2297" w:type="pct"/>
            <w:tcBorders>
              <w:top w:val="nil"/>
              <w:left w:val="double" w:sz="6" w:space="0" w:color="auto"/>
              <w:bottom w:val="double" w:sz="6" w:space="0" w:color="auto"/>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Rezerve</w:t>
            </w:r>
          </w:p>
        </w:tc>
        <w:tc>
          <w:tcPr>
            <w:tcW w:w="390" w:type="pct"/>
            <w:tcBorders>
              <w:top w:val="nil"/>
              <w:left w:val="nil"/>
              <w:bottom w:val="double" w:sz="6" w:space="0" w:color="auto"/>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14.3</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0.4</w:t>
            </w:r>
          </w:p>
        </w:tc>
        <w:tc>
          <w:tcPr>
            <w:tcW w:w="390" w:type="pct"/>
            <w:tcBorders>
              <w:top w:val="nil"/>
              <w:left w:val="nil"/>
              <w:bottom w:val="double" w:sz="6" w:space="0" w:color="auto"/>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15.1</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0.4</w:t>
            </w:r>
          </w:p>
        </w:tc>
        <w:tc>
          <w:tcPr>
            <w:tcW w:w="390" w:type="pct"/>
            <w:tcBorders>
              <w:top w:val="nil"/>
              <w:left w:val="nil"/>
              <w:bottom w:val="double" w:sz="6" w:space="0" w:color="auto"/>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14.3</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0.3</w:t>
            </w:r>
          </w:p>
        </w:tc>
        <w:tc>
          <w:tcPr>
            <w:tcW w:w="390" w:type="pct"/>
            <w:tcBorders>
              <w:top w:val="nil"/>
              <w:left w:val="nil"/>
              <w:bottom w:val="double" w:sz="6" w:space="0" w:color="auto"/>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14.3</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0.3</w:t>
            </w:r>
          </w:p>
        </w:tc>
      </w:tr>
      <w:tr w:rsidR="00296016" w:rsidRPr="00296016" w:rsidTr="00296016">
        <w:trPr>
          <w:trHeight w:val="198"/>
        </w:trPr>
        <w:tc>
          <w:tcPr>
            <w:tcW w:w="2297" w:type="pct"/>
            <w:tcBorders>
              <w:top w:val="double" w:sz="6" w:space="0" w:color="auto"/>
              <w:left w:val="double" w:sz="6" w:space="0" w:color="auto"/>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Suficit/ Deficit</w:t>
            </w:r>
          </w:p>
        </w:tc>
        <w:tc>
          <w:tcPr>
            <w:tcW w:w="390" w:type="pct"/>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-197.1</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-5.0</w:t>
            </w:r>
          </w:p>
        </w:tc>
        <w:tc>
          <w:tcPr>
            <w:tcW w:w="390" w:type="pct"/>
            <w:tcBorders>
              <w:top w:val="double" w:sz="6" w:space="0" w:color="auto"/>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-111.5</w:t>
            </w:r>
          </w:p>
        </w:tc>
        <w:tc>
          <w:tcPr>
            <w:tcW w:w="280"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-2.7</w:t>
            </w:r>
          </w:p>
        </w:tc>
        <w:tc>
          <w:tcPr>
            <w:tcW w:w="390" w:type="pct"/>
            <w:tcBorders>
              <w:top w:val="double" w:sz="6" w:space="0" w:color="auto"/>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-31.0</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-0.7</w:t>
            </w:r>
          </w:p>
        </w:tc>
        <w:tc>
          <w:tcPr>
            <w:tcW w:w="390" w:type="pct"/>
            <w:tcBorders>
              <w:top w:val="double" w:sz="6" w:space="0" w:color="auto"/>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202.7</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4.5</w:t>
            </w:r>
          </w:p>
        </w:tc>
      </w:tr>
      <w:tr w:rsidR="00296016" w:rsidRPr="00296016" w:rsidTr="00296016">
        <w:trPr>
          <w:trHeight w:val="198"/>
        </w:trPr>
        <w:tc>
          <w:tcPr>
            <w:tcW w:w="2297" w:type="pct"/>
            <w:tcBorders>
              <w:top w:val="nil"/>
              <w:left w:val="double" w:sz="6" w:space="0" w:color="auto"/>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Korigovani suficit/deficit</w:t>
            </w:r>
          </w:p>
        </w:tc>
        <w:tc>
          <w:tcPr>
            <w:tcW w:w="390" w:type="pct"/>
            <w:tcBorders>
              <w:top w:val="nil"/>
              <w:left w:val="double" w:sz="6" w:space="0" w:color="auto"/>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-197.1</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-5.0</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-111.5</w:t>
            </w:r>
          </w:p>
        </w:tc>
        <w:tc>
          <w:tcPr>
            <w:tcW w:w="280"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-2.7</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-31.0</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-0.7</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202.7</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4.5</w:t>
            </w:r>
          </w:p>
        </w:tc>
      </w:tr>
      <w:tr w:rsidR="00296016" w:rsidRPr="00296016" w:rsidTr="00296016">
        <w:trPr>
          <w:trHeight w:val="198"/>
        </w:trPr>
        <w:tc>
          <w:tcPr>
            <w:tcW w:w="2297" w:type="pct"/>
            <w:tcBorders>
              <w:top w:val="nil"/>
              <w:left w:val="double" w:sz="6" w:space="0" w:color="auto"/>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Primarni deficit</w:t>
            </w:r>
          </w:p>
        </w:tc>
        <w:tc>
          <w:tcPr>
            <w:tcW w:w="390" w:type="pct"/>
            <w:tcBorders>
              <w:top w:val="nil"/>
              <w:left w:val="double" w:sz="6" w:space="0" w:color="auto"/>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-101.8</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-2.6</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-22.9</w:t>
            </w:r>
          </w:p>
        </w:tc>
        <w:tc>
          <w:tcPr>
            <w:tcW w:w="280"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-0.5</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60.4</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1.4</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294.1</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6.5</w:t>
            </w:r>
          </w:p>
        </w:tc>
      </w:tr>
      <w:tr w:rsidR="00296016" w:rsidRPr="00296016" w:rsidTr="00296016">
        <w:trPr>
          <w:trHeight w:val="198"/>
        </w:trPr>
        <w:tc>
          <w:tcPr>
            <w:tcW w:w="2297" w:type="pct"/>
            <w:tcBorders>
              <w:top w:val="nil"/>
              <w:left w:val="double" w:sz="6" w:space="0" w:color="auto"/>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Otplata duga</w:t>
            </w:r>
          </w:p>
        </w:tc>
        <w:tc>
          <w:tcPr>
            <w:tcW w:w="390" w:type="pct"/>
            <w:tcBorders>
              <w:top w:val="nil"/>
              <w:left w:val="double" w:sz="6" w:space="0" w:color="auto"/>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220.4</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5.6</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215.3</w:t>
            </w:r>
          </w:p>
        </w:tc>
        <w:tc>
          <w:tcPr>
            <w:tcW w:w="280"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5.1</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529.3</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12.1</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759.5</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16.7</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Otplata duga rezidentima</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51.9</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1.3</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100.2</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2.4</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77.6</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1.8</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147.6</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3.3</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Otplata duga nerezidentima</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134.8</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3.4</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100.1</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2.4</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436.7</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10.0</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596.9</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13.2</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Otplata obaveza iz prethodnog perioda</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33.7</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0.9</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15.0</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0.4</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15.0</w:t>
            </w:r>
          </w:p>
        </w:tc>
        <w:tc>
          <w:tcPr>
            <w:tcW w:w="288" w:type="pct"/>
            <w:tcBorders>
              <w:top w:val="nil"/>
              <w:left w:val="nil"/>
              <w:bottom w:val="double" w:sz="6" w:space="0" w:color="auto"/>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0.3</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15.0</w:t>
            </w:r>
          </w:p>
        </w:tc>
        <w:tc>
          <w:tcPr>
            <w:tcW w:w="288" w:type="pct"/>
            <w:tcBorders>
              <w:top w:val="nil"/>
              <w:left w:val="nil"/>
              <w:bottom w:val="double" w:sz="6" w:space="0" w:color="auto"/>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0.3</w:t>
            </w:r>
          </w:p>
        </w:tc>
      </w:tr>
      <w:tr w:rsidR="00296016" w:rsidRPr="00296016" w:rsidTr="00296016">
        <w:trPr>
          <w:trHeight w:val="198"/>
        </w:trPr>
        <w:tc>
          <w:tcPr>
            <w:tcW w:w="2297" w:type="pct"/>
            <w:tcBorders>
              <w:top w:val="double" w:sz="6" w:space="0" w:color="auto"/>
              <w:left w:val="double" w:sz="6" w:space="0" w:color="auto"/>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Nedostajuća sredstva</w:t>
            </w:r>
          </w:p>
        </w:tc>
        <w:tc>
          <w:tcPr>
            <w:tcW w:w="390" w:type="pct"/>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-417.5</w:t>
            </w:r>
          </w:p>
        </w:tc>
        <w:tc>
          <w:tcPr>
            <w:tcW w:w="288" w:type="pct"/>
            <w:tcBorders>
              <w:top w:val="double" w:sz="6" w:space="0" w:color="auto"/>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-10.6</w:t>
            </w:r>
          </w:p>
        </w:tc>
        <w:tc>
          <w:tcPr>
            <w:tcW w:w="390" w:type="pct"/>
            <w:tcBorders>
              <w:top w:val="double" w:sz="6" w:space="0" w:color="auto"/>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-326.8</w:t>
            </w:r>
          </w:p>
        </w:tc>
        <w:tc>
          <w:tcPr>
            <w:tcW w:w="280" w:type="pct"/>
            <w:tcBorders>
              <w:top w:val="double" w:sz="6" w:space="0" w:color="auto"/>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-7.8</w:t>
            </w:r>
          </w:p>
        </w:tc>
        <w:tc>
          <w:tcPr>
            <w:tcW w:w="390" w:type="pct"/>
            <w:tcBorders>
              <w:top w:val="double" w:sz="6" w:space="0" w:color="auto"/>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-560.3</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-12.8</w:t>
            </w:r>
          </w:p>
        </w:tc>
        <w:tc>
          <w:tcPr>
            <w:tcW w:w="390" w:type="pct"/>
            <w:tcBorders>
              <w:top w:val="double" w:sz="6" w:space="0" w:color="auto"/>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-556.8</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-12.3</w:t>
            </w:r>
          </w:p>
        </w:tc>
      </w:tr>
      <w:tr w:rsidR="00296016" w:rsidRPr="00296016" w:rsidTr="00296016">
        <w:trPr>
          <w:trHeight w:val="198"/>
        </w:trPr>
        <w:tc>
          <w:tcPr>
            <w:tcW w:w="2297" w:type="pct"/>
            <w:tcBorders>
              <w:top w:val="nil"/>
              <w:left w:val="double" w:sz="6" w:space="0" w:color="auto"/>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Finansiranje</w:t>
            </w:r>
          </w:p>
        </w:tc>
        <w:tc>
          <w:tcPr>
            <w:tcW w:w="390" w:type="pct"/>
            <w:tcBorders>
              <w:top w:val="nil"/>
              <w:left w:val="double" w:sz="6" w:space="0" w:color="auto"/>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417.5</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10.6</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326.8</w:t>
            </w:r>
          </w:p>
        </w:tc>
        <w:tc>
          <w:tcPr>
            <w:tcW w:w="280"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7.8</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560.3</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12.8</w:t>
            </w:r>
          </w:p>
        </w:tc>
        <w:tc>
          <w:tcPr>
            <w:tcW w:w="390" w:type="pct"/>
            <w:tcBorders>
              <w:top w:val="nil"/>
              <w:left w:val="nil"/>
              <w:bottom w:val="double" w:sz="6" w:space="0" w:color="auto"/>
              <w:right w:val="single" w:sz="4"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556.8</w:t>
            </w:r>
          </w:p>
        </w:tc>
        <w:tc>
          <w:tcPr>
            <w:tcW w:w="288" w:type="pct"/>
            <w:tcBorders>
              <w:top w:val="nil"/>
              <w:left w:val="nil"/>
              <w:bottom w:val="double" w:sz="6" w:space="0" w:color="auto"/>
              <w:right w:val="double" w:sz="6" w:space="0" w:color="auto"/>
            </w:tcBorders>
            <w:shd w:val="clear" w:color="000000" w:fill="B8CCE4"/>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12.3</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Pozajmice i krediti iz domaćih izvora</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70.0</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1.8</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50.0</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1.2</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100.0</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2.3</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100.0</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2.2</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Pozajmice i krediti iz inostranih izvora</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354.2</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9.0</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276.8</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6.6</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460.3</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10.5</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456.8</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10.1</w:t>
            </w:r>
          </w:p>
        </w:tc>
      </w:tr>
      <w:tr w:rsidR="00296016" w:rsidRPr="00296016" w:rsidTr="00296016">
        <w:trPr>
          <w:trHeight w:val="198"/>
        </w:trPr>
        <w:tc>
          <w:tcPr>
            <w:tcW w:w="2297" w:type="pct"/>
            <w:tcBorders>
              <w:top w:val="nil"/>
              <w:left w:val="double" w:sz="6" w:space="0" w:color="auto"/>
              <w:bottom w:val="nil"/>
              <w:right w:val="double" w:sz="6" w:space="0" w:color="auto"/>
            </w:tcBorders>
            <w:shd w:val="clear" w:color="auto" w:fill="auto"/>
            <w:noWrap/>
            <w:vAlign w:val="center"/>
            <w:hideMark/>
          </w:tcPr>
          <w:p w:rsidR="00296016" w:rsidRPr="00296016" w:rsidRDefault="00296016" w:rsidP="003B7168">
            <w:pPr>
              <w:spacing w:line="276" w:lineRule="auto"/>
              <w:jc w:val="left"/>
              <w:rPr>
                <w:rFonts w:ascii="Calibri" w:hAnsi="Calibri" w:cs="Calibri"/>
                <w:color w:val="auto"/>
                <w:sz w:val="16"/>
                <w:szCs w:val="16"/>
                <w:lang w:val="en-US"/>
              </w:rPr>
            </w:pPr>
            <w:r w:rsidRPr="00296016">
              <w:rPr>
                <w:rFonts w:ascii="Calibri" w:hAnsi="Calibri" w:cs="Calibri"/>
                <w:color w:val="auto"/>
                <w:sz w:val="16"/>
                <w:szCs w:val="16"/>
                <w:lang w:val="en-US"/>
              </w:rPr>
              <w:t>Prihodi od privatizacije</w:t>
            </w:r>
          </w:p>
        </w:tc>
        <w:tc>
          <w:tcPr>
            <w:tcW w:w="390" w:type="pct"/>
            <w:tcBorders>
              <w:top w:val="nil"/>
              <w:left w:val="double" w:sz="6" w:space="0" w:color="auto"/>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0.0</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0.0</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0.0</w:t>
            </w:r>
          </w:p>
        </w:tc>
        <w:tc>
          <w:tcPr>
            <w:tcW w:w="280"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0.0</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0.0</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0.0</w:t>
            </w:r>
          </w:p>
        </w:tc>
        <w:tc>
          <w:tcPr>
            <w:tcW w:w="390" w:type="pct"/>
            <w:tcBorders>
              <w:top w:val="nil"/>
              <w:left w:val="nil"/>
              <w:bottom w:val="nil"/>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0.0</w:t>
            </w:r>
          </w:p>
        </w:tc>
        <w:tc>
          <w:tcPr>
            <w:tcW w:w="288" w:type="pct"/>
            <w:tcBorders>
              <w:top w:val="nil"/>
              <w:left w:val="nil"/>
              <w:bottom w:val="nil"/>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color w:val="auto"/>
                <w:sz w:val="16"/>
                <w:szCs w:val="16"/>
                <w:lang w:val="en-US"/>
              </w:rPr>
            </w:pPr>
            <w:r w:rsidRPr="00296016">
              <w:rPr>
                <w:rFonts w:ascii="Calibri" w:hAnsi="Calibri" w:cs="Calibri"/>
                <w:color w:val="auto"/>
                <w:sz w:val="16"/>
                <w:szCs w:val="16"/>
                <w:lang w:val="en-US"/>
              </w:rPr>
              <w:t>0.0</w:t>
            </w:r>
          </w:p>
        </w:tc>
      </w:tr>
      <w:tr w:rsidR="00296016" w:rsidRPr="00296016" w:rsidTr="00296016">
        <w:trPr>
          <w:trHeight w:val="198"/>
        </w:trPr>
        <w:tc>
          <w:tcPr>
            <w:tcW w:w="2297" w:type="pct"/>
            <w:tcBorders>
              <w:top w:val="nil"/>
              <w:left w:val="double" w:sz="6" w:space="0" w:color="auto"/>
              <w:bottom w:val="double" w:sz="6" w:space="0" w:color="auto"/>
              <w:right w:val="double" w:sz="6" w:space="0" w:color="auto"/>
            </w:tcBorders>
            <w:shd w:val="clear" w:color="000000" w:fill="FFFFFF"/>
            <w:noWrap/>
            <w:vAlign w:val="center"/>
            <w:hideMark/>
          </w:tcPr>
          <w:p w:rsidR="00296016" w:rsidRPr="00296016" w:rsidRDefault="00296016" w:rsidP="003B7168">
            <w:pPr>
              <w:spacing w:line="276" w:lineRule="auto"/>
              <w:jc w:val="left"/>
              <w:rPr>
                <w:rFonts w:ascii="Calibri" w:hAnsi="Calibri" w:cs="Calibri"/>
                <w:b/>
                <w:bCs/>
                <w:color w:val="auto"/>
                <w:sz w:val="16"/>
                <w:szCs w:val="16"/>
                <w:lang w:val="en-US"/>
              </w:rPr>
            </w:pPr>
            <w:r w:rsidRPr="00296016">
              <w:rPr>
                <w:rFonts w:ascii="Calibri" w:hAnsi="Calibri" w:cs="Calibri"/>
                <w:b/>
                <w:bCs/>
                <w:color w:val="auto"/>
                <w:sz w:val="16"/>
                <w:szCs w:val="16"/>
                <w:lang w:val="en-US"/>
              </w:rPr>
              <w:t>Povećanje/smanjenje depozita</w:t>
            </w:r>
          </w:p>
        </w:tc>
        <w:tc>
          <w:tcPr>
            <w:tcW w:w="390" w:type="pct"/>
            <w:tcBorders>
              <w:top w:val="nil"/>
              <w:left w:val="double" w:sz="6" w:space="0" w:color="auto"/>
              <w:bottom w:val="double" w:sz="6" w:space="0" w:color="auto"/>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-6.6</w:t>
            </w:r>
          </w:p>
        </w:tc>
        <w:tc>
          <w:tcPr>
            <w:tcW w:w="288" w:type="pct"/>
            <w:tcBorders>
              <w:top w:val="nil"/>
              <w:left w:val="nil"/>
              <w:bottom w:val="double" w:sz="6" w:space="0" w:color="auto"/>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-0.2</w:t>
            </w:r>
          </w:p>
        </w:tc>
        <w:tc>
          <w:tcPr>
            <w:tcW w:w="390" w:type="pct"/>
            <w:tcBorders>
              <w:top w:val="nil"/>
              <w:left w:val="nil"/>
              <w:bottom w:val="double" w:sz="6" w:space="0" w:color="auto"/>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0.0</w:t>
            </w:r>
          </w:p>
        </w:tc>
        <w:tc>
          <w:tcPr>
            <w:tcW w:w="280" w:type="pct"/>
            <w:tcBorders>
              <w:top w:val="nil"/>
              <w:left w:val="nil"/>
              <w:bottom w:val="double" w:sz="6" w:space="0" w:color="auto"/>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0.0</w:t>
            </w:r>
          </w:p>
        </w:tc>
        <w:tc>
          <w:tcPr>
            <w:tcW w:w="390" w:type="pct"/>
            <w:tcBorders>
              <w:top w:val="nil"/>
              <w:left w:val="nil"/>
              <w:bottom w:val="double" w:sz="6" w:space="0" w:color="auto"/>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0.0</w:t>
            </w:r>
          </w:p>
        </w:tc>
        <w:tc>
          <w:tcPr>
            <w:tcW w:w="288" w:type="pct"/>
            <w:tcBorders>
              <w:top w:val="nil"/>
              <w:left w:val="nil"/>
              <w:bottom w:val="double" w:sz="6" w:space="0" w:color="auto"/>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0.0</w:t>
            </w:r>
          </w:p>
        </w:tc>
        <w:tc>
          <w:tcPr>
            <w:tcW w:w="390" w:type="pct"/>
            <w:tcBorders>
              <w:top w:val="nil"/>
              <w:left w:val="nil"/>
              <w:bottom w:val="double" w:sz="6" w:space="0" w:color="auto"/>
              <w:right w:val="single" w:sz="4"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0.0</w:t>
            </w:r>
          </w:p>
        </w:tc>
        <w:tc>
          <w:tcPr>
            <w:tcW w:w="288" w:type="pct"/>
            <w:tcBorders>
              <w:top w:val="nil"/>
              <w:left w:val="nil"/>
              <w:bottom w:val="double" w:sz="6" w:space="0" w:color="auto"/>
              <w:right w:val="double" w:sz="6" w:space="0" w:color="auto"/>
            </w:tcBorders>
            <w:shd w:val="clear" w:color="000000" w:fill="FFFFFF"/>
            <w:noWrap/>
            <w:vAlign w:val="center"/>
            <w:hideMark/>
          </w:tcPr>
          <w:p w:rsidR="00296016" w:rsidRPr="00296016" w:rsidRDefault="00296016" w:rsidP="003B7168">
            <w:pPr>
              <w:spacing w:line="276" w:lineRule="auto"/>
              <w:jc w:val="right"/>
              <w:rPr>
                <w:rFonts w:ascii="Calibri" w:hAnsi="Calibri" w:cs="Calibri"/>
                <w:b/>
                <w:bCs/>
                <w:color w:val="auto"/>
                <w:sz w:val="16"/>
                <w:szCs w:val="16"/>
                <w:lang w:val="en-US"/>
              </w:rPr>
            </w:pPr>
            <w:r w:rsidRPr="00296016">
              <w:rPr>
                <w:rFonts w:ascii="Calibri" w:hAnsi="Calibri" w:cs="Calibri"/>
                <w:b/>
                <w:bCs/>
                <w:color w:val="auto"/>
                <w:sz w:val="16"/>
                <w:szCs w:val="16"/>
                <w:lang w:val="en-US"/>
              </w:rPr>
              <w:t>0.0</w:t>
            </w:r>
          </w:p>
        </w:tc>
      </w:tr>
      <w:tr w:rsidR="00296016" w:rsidRPr="00296016" w:rsidTr="00296016">
        <w:trPr>
          <w:trHeight w:val="270"/>
        </w:trPr>
        <w:tc>
          <w:tcPr>
            <w:tcW w:w="2297" w:type="pct"/>
            <w:tcBorders>
              <w:top w:val="nil"/>
              <w:left w:val="nil"/>
              <w:bottom w:val="nil"/>
              <w:right w:val="nil"/>
            </w:tcBorders>
            <w:shd w:val="clear" w:color="000000" w:fill="FFFFFF"/>
            <w:noWrap/>
            <w:vAlign w:val="center"/>
            <w:hideMark/>
          </w:tcPr>
          <w:p w:rsidR="00296016" w:rsidRPr="00296016" w:rsidRDefault="00296016" w:rsidP="00296016">
            <w:pPr>
              <w:spacing w:line="240" w:lineRule="auto"/>
              <w:jc w:val="left"/>
              <w:rPr>
                <w:rFonts w:ascii="Calibri" w:hAnsi="Calibri" w:cs="Calibri"/>
                <w:b/>
                <w:bCs/>
                <w:i/>
                <w:iCs/>
                <w:color w:val="auto"/>
                <w:sz w:val="16"/>
                <w:szCs w:val="16"/>
                <w:lang w:val="en-US"/>
              </w:rPr>
            </w:pPr>
          </w:p>
        </w:tc>
        <w:tc>
          <w:tcPr>
            <w:tcW w:w="390" w:type="pct"/>
            <w:tcBorders>
              <w:top w:val="nil"/>
              <w:left w:val="nil"/>
              <w:bottom w:val="nil"/>
              <w:right w:val="nil"/>
            </w:tcBorders>
            <w:shd w:val="clear" w:color="000000" w:fill="FFFFFF"/>
            <w:noWrap/>
            <w:vAlign w:val="bottom"/>
            <w:hideMark/>
          </w:tcPr>
          <w:p w:rsidR="00296016" w:rsidRPr="00296016" w:rsidRDefault="00296016" w:rsidP="00296016">
            <w:pPr>
              <w:spacing w:line="240" w:lineRule="auto"/>
              <w:jc w:val="left"/>
              <w:rPr>
                <w:color w:val="auto"/>
                <w:sz w:val="16"/>
                <w:szCs w:val="16"/>
                <w:lang w:val="en-US"/>
              </w:rPr>
            </w:pPr>
            <w:r w:rsidRPr="00296016">
              <w:rPr>
                <w:color w:val="auto"/>
                <w:sz w:val="16"/>
                <w:szCs w:val="16"/>
                <w:lang w:val="en-US"/>
              </w:rPr>
              <w:t> </w:t>
            </w:r>
          </w:p>
        </w:tc>
        <w:tc>
          <w:tcPr>
            <w:tcW w:w="288" w:type="pct"/>
            <w:tcBorders>
              <w:top w:val="nil"/>
              <w:left w:val="nil"/>
              <w:bottom w:val="nil"/>
              <w:right w:val="nil"/>
            </w:tcBorders>
            <w:shd w:val="clear" w:color="000000" w:fill="FFFFFF"/>
            <w:noWrap/>
            <w:vAlign w:val="bottom"/>
            <w:hideMark/>
          </w:tcPr>
          <w:p w:rsidR="00296016" w:rsidRPr="00296016" w:rsidRDefault="00296016" w:rsidP="00296016">
            <w:pPr>
              <w:spacing w:line="240" w:lineRule="auto"/>
              <w:jc w:val="left"/>
              <w:rPr>
                <w:color w:val="auto"/>
                <w:sz w:val="16"/>
                <w:szCs w:val="16"/>
                <w:lang w:val="en-US"/>
              </w:rPr>
            </w:pPr>
            <w:r w:rsidRPr="00296016">
              <w:rPr>
                <w:color w:val="auto"/>
                <w:sz w:val="16"/>
                <w:szCs w:val="16"/>
                <w:lang w:val="en-US"/>
              </w:rPr>
              <w:t> </w:t>
            </w:r>
          </w:p>
        </w:tc>
        <w:tc>
          <w:tcPr>
            <w:tcW w:w="390" w:type="pct"/>
            <w:tcBorders>
              <w:top w:val="nil"/>
              <w:left w:val="nil"/>
              <w:bottom w:val="nil"/>
              <w:right w:val="nil"/>
            </w:tcBorders>
            <w:shd w:val="clear" w:color="000000" w:fill="FFFFFF"/>
            <w:noWrap/>
            <w:vAlign w:val="bottom"/>
            <w:hideMark/>
          </w:tcPr>
          <w:p w:rsidR="00296016" w:rsidRPr="00296016" w:rsidRDefault="00296016" w:rsidP="00296016">
            <w:pPr>
              <w:spacing w:line="240" w:lineRule="auto"/>
              <w:jc w:val="left"/>
              <w:rPr>
                <w:color w:val="auto"/>
                <w:sz w:val="16"/>
                <w:szCs w:val="16"/>
                <w:lang w:val="en-US"/>
              </w:rPr>
            </w:pPr>
            <w:r w:rsidRPr="00296016">
              <w:rPr>
                <w:color w:val="auto"/>
                <w:sz w:val="16"/>
                <w:szCs w:val="16"/>
                <w:lang w:val="en-US"/>
              </w:rPr>
              <w:t> </w:t>
            </w:r>
          </w:p>
        </w:tc>
        <w:tc>
          <w:tcPr>
            <w:tcW w:w="280" w:type="pct"/>
            <w:tcBorders>
              <w:top w:val="nil"/>
              <w:left w:val="nil"/>
              <w:bottom w:val="nil"/>
              <w:right w:val="nil"/>
            </w:tcBorders>
            <w:shd w:val="clear" w:color="000000" w:fill="FFFFFF"/>
            <w:noWrap/>
            <w:vAlign w:val="bottom"/>
            <w:hideMark/>
          </w:tcPr>
          <w:p w:rsidR="00296016" w:rsidRPr="00296016" w:rsidRDefault="00296016" w:rsidP="00296016">
            <w:pPr>
              <w:spacing w:line="240" w:lineRule="auto"/>
              <w:jc w:val="left"/>
              <w:rPr>
                <w:color w:val="auto"/>
                <w:sz w:val="16"/>
                <w:szCs w:val="16"/>
                <w:lang w:val="en-US"/>
              </w:rPr>
            </w:pPr>
            <w:r w:rsidRPr="00296016">
              <w:rPr>
                <w:color w:val="auto"/>
                <w:sz w:val="16"/>
                <w:szCs w:val="16"/>
                <w:lang w:val="en-US"/>
              </w:rPr>
              <w:t> </w:t>
            </w:r>
          </w:p>
        </w:tc>
        <w:tc>
          <w:tcPr>
            <w:tcW w:w="390" w:type="pct"/>
            <w:tcBorders>
              <w:top w:val="nil"/>
              <w:left w:val="nil"/>
              <w:bottom w:val="nil"/>
              <w:right w:val="nil"/>
            </w:tcBorders>
            <w:shd w:val="clear" w:color="000000" w:fill="FFFFFF"/>
            <w:noWrap/>
            <w:vAlign w:val="bottom"/>
            <w:hideMark/>
          </w:tcPr>
          <w:p w:rsidR="00296016" w:rsidRPr="00296016" w:rsidRDefault="00296016" w:rsidP="00296016">
            <w:pPr>
              <w:spacing w:line="240" w:lineRule="auto"/>
              <w:jc w:val="left"/>
              <w:rPr>
                <w:color w:val="auto"/>
                <w:sz w:val="16"/>
                <w:szCs w:val="16"/>
                <w:lang w:val="en-US"/>
              </w:rPr>
            </w:pPr>
            <w:r w:rsidRPr="00296016">
              <w:rPr>
                <w:color w:val="auto"/>
                <w:sz w:val="16"/>
                <w:szCs w:val="16"/>
                <w:lang w:val="en-US"/>
              </w:rPr>
              <w:t> </w:t>
            </w:r>
          </w:p>
        </w:tc>
        <w:tc>
          <w:tcPr>
            <w:tcW w:w="288" w:type="pct"/>
            <w:tcBorders>
              <w:top w:val="nil"/>
              <w:left w:val="nil"/>
              <w:bottom w:val="nil"/>
              <w:right w:val="nil"/>
            </w:tcBorders>
            <w:shd w:val="clear" w:color="000000" w:fill="FFFFFF"/>
            <w:noWrap/>
            <w:vAlign w:val="bottom"/>
            <w:hideMark/>
          </w:tcPr>
          <w:p w:rsidR="00296016" w:rsidRPr="00296016" w:rsidRDefault="00296016" w:rsidP="00296016">
            <w:pPr>
              <w:spacing w:line="240" w:lineRule="auto"/>
              <w:jc w:val="left"/>
              <w:rPr>
                <w:color w:val="auto"/>
                <w:sz w:val="16"/>
                <w:szCs w:val="16"/>
                <w:lang w:val="en-US"/>
              </w:rPr>
            </w:pPr>
            <w:r w:rsidRPr="00296016">
              <w:rPr>
                <w:color w:val="auto"/>
                <w:sz w:val="16"/>
                <w:szCs w:val="16"/>
                <w:lang w:val="en-US"/>
              </w:rPr>
              <w:t> </w:t>
            </w:r>
          </w:p>
        </w:tc>
        <w:tc>
          <w:tcPr>
            <w:tcW w:w="390" w:type="pct"/>
            <w:tcBorders>
              <w:top w:val="nil"/>
              <w:left w:val="nil"/>
              <w:bottom w:val="nil"/>
              <w:right w:val="nil"/>
            </w:tcBorders>
            <w:shd w:val="clear" w:color="000000" w:fill="FFFFFF"/>
            <w:noWrap/>
            <w:vAlign w:val="bottom"/>
            <w:hideMark/>
          </w:tcPr>
          <w:p w:rsidR="00296016" w:rsidRPr="00296016" w:rsidRDefault="00296016" w:rsidP="00296016">
            <w:pPr>
              <w:spacing w:line="240" w:lineRule="auto"/>
              <w:jc w:val="left"/>
              <w:rPr>
                <w:color w:val="auto"/>
                <w:sz w:val="16"/>
                <w:szCs w:val="16"/>
                <w:lang w:val="en-US"/>
              </w:rPr>
            </w:pPr>
            <w:r w:rsidRPr="00296016">
              <w:rPr>
                <w:color w:val="auto"/>
                <w:sz w:val="16"/>
                <w:szCs w:val="16"/>
                <w:lang w:val="en-US"/>
              </w:rPr>
              <w:t> </w:t>
            </w:r>
          </w:p>
        </w:tc>
        <w:tc>
          <w:tcPr>
            <w:tcW w:w="288" w:type="pct"/>
            <w:tcBorders>
              <w:top w:val="nil"/>
              <w:left w:val="nil"/>
              <w:bottom w:val="nil"/>
              <w:right w:val="nil"/>
            </w:tcBorders>
            <w:shd w:val="clear" w:color="000000" w:fill="FFFFFF"/>
            <w:noWrap/>
            <w:vAlign w:val="bottom"/>
            <w:hideMark/>
          </w:tcPr>
          <w:p w:rsidR="00296016" w:rsidRPr="00296016" w:rsidRDefault="00296016" w:rsidP="00296016">
            <w:pPr>
              <w:spacing w:line="240" w:lineRule="auto"/>
              <w:jc w:val="left"/>
              <w:rPr>
                <w:color w:val="auto"/>
                <w:sz w:val="16"/>
                <w:szCs w:val="16"/>
                <w:lang w:val="en-US"/>
              </w:rPr>
            </w:pPr>
            <w:r w:rsidRPr="00296016">
              <w:rPr>
                <w:color w:val="auto"/>
                <w:sz w:val="16"/>
                <w:szCs w:val="16"/>
                <w:lang w:val="en-US"/>
              </w:rPr>
              <w:t> </w:t>
            </w:r>
          </w:p>
        </w:tc>
      </w:tr>
    </w:tbl>
    <w:p w:rsidR="00881391" w:rsidRDefault="00881391" w:rsidP="002A5250">
      <w:pPr>
        <w:spacing w:line="276" w:lineRule="auto"/>
        <w:rPr>
          <w:rFonts w:asciiTheme="minorHAnsi" w:hAnsiTheme="minorHAnsi" w:cstheme="minorHAnsi"/>
          <w:color w:val="auto"/>
          <w:sz w:val="22"/>
          <w:szCs w:val="22"/>
          <w:lang w:val="pl-PL"/>
        </w:rPr>
      </w:pPr>
    </w:p>
    <w:p w:rsidR="00881391" w:rsidRPr="00301EAE" w:rsidRDefault="00336B1C" w:rsidP="002A5250">
      <w:pPr>
        <w:spacing w:line="276" w:lineRule="auto"/>
        <w:rPr>
          <w:rFonts w:asciiTheme="minorHAnsi" w:hAnsiTheme="minorHAnsi" w:cstheme="minorHAnsi"/>
          <w:b/>
          <w:color w:val="auto"/>
          <w:sz w:val="22"/>
          <w:szCs w:val="22"/>
          <w:lang w:val="pl-PL"/>
        </w:rPr>
      </w:pPr>
      <w:r w:rsidRPr="00301EAE">
        <w:rPr>
          <w:rFonts w:asciiTheme="minorHAnsi" w:hAnsiTheme="minorHAnsi" w:cstheme="minorHAnsi"/>
          <w:b/>
          <w:color w:val="auto"/>
          <w:sz w:val="22"/>
          <w:szCs w:val="22"/>
          <w:lang w:val="pl-PL"/>
        </w:rPr>
        <w:t>Tabela 3:</w:t>
      </w:r>
    </w:p>
    <w:tbl>
      <w:tblPr>
        <w:tblW w:w="5000" w:type="pct"/>
        <w:tblLook w:val="04A0"/>
      </w:tblPr>
      <w:tblGrid>
        <w:gridCol w:w="2887"/>
        <w:gridCol w:w="746"/>
        <w:gridCol w:w="633"/>
        <w:gridCol w:w="746"/>
        <w:gridCol w:w="634"/>
        <w:gridCol w:w="746"/>
        <w:gridCol w:w="584"/>
        <w:gridCol w:w="746"/>
        <w:gridCol w:w="551"/>
        <w:gridCol w:w="746"/>
        <w:gridCol w:w="551"/>
      </w:tblGrid>
      <w:tr w:rsidR="00881391" w:rsidRPr="006553E0" w:rsidTr="003B7168">
        <w:trPr>
          <w:trHeight w:hRule="exact" w:val="284"/>
        </w:trPr>
        <w:tc>
          <w:tcPr>
            <w:tcW w:w="1509" w:type="pct"/>
            <w:tcBorders>
              <w:top w:val="double" w:sz="6" w:space="0" w:color="auto"/>
              <w:left w:val="double" w:sz="6" w:space="0" w:color="auto"/>
              <w:bottom w:val="double" w:sz="6" w:space="0" w:color="auto"/>
              <w:right w:val="double" w:sz="6" w:space="0" w:color="auto"/>
            </w:tcBorders>
            <w:shd w:val="clear" w:color="000000" w:fill="632523"/>
            <w:noWrap/>
            <w:vAlign w:val="center"/>
            <w:hideMark/>
          </w:tcPr>
          <w:p w:rsidR="00881391" w:rsidRPr="006553E0" w:rsidRDefault="00881391" w:rsidP="003B7168">
            <w:pPr>
              <w:spacing w:line="276" w:lineRule="auto"/>
              <w:rPr>
                <w:rFonts w:asciiTheme="minorHAnsi" w:hAnsiTheme="minorHAnsi" w:cstheme="minorHAnsi"/>
                <w:color w:val="FFFFFF"/>
                <w:sz w:val="16"/>
                <w:szCs w:val="16"/>
              </w:rPr>
            </w:pPr>
            <w:r w:rsidRPr="006553E0">
              <w:rPr>
                <w:rFonts w:asciiTheme="minorHAnsi" w:hAnsiTheme="minorHAnsi" w:cstheme="minorHAnsi"/>
                <w:color w:val="FFFFFF"/>
                <w:sz w:val="16"/>
                <w:szCs w:val="16"/>
              </w:rPr>
              <w:t>BDP (u mil. €)</w:t>
            </w:r>
          </w:p>
        </w:tc>
        <w:tc>
          <w:tcPr>
            <w:tcW w:w="720" w:type="pct"/>
            <w:gridSpan w:val="2"/>
            <w:tcBorders>
              <w:top w:val="double" w:sz="6" w:space="0" w:color="auto"/>
              <w:left w:val="double" w:sz="6" w:space="0" w:color="auto"/>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3773.0</w:t>
            </w:r>
          </w:p>
        </w:tc>
        <w:tc>
          <w:tcPr>
            <w:tcW w:w="720" w:type="pct"/>
            <w:gridSpan w:val="2"/>
            <w:tcBorders>
              <w:top w:val="double" w:sz="6" w:space="0" w:color="auto"/>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3957.2</w:t>
            </w:r>
          </w:p>
        </w:tc>
        <w:tc>
          <w:tcPr>
            <w:tcW w:w="695" w:type="pct"/>
            <w:gridSpan w:val="2"/>
            <w:tcBorders>
              <w:top w:val="double" w:sz="6" w:space="0" w:color="auto"/>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4192.4</w:t>
            </w:r>
          </w:p>
        </w:tc>
        <w:tc>
          <w:tcPr>
            <w:tcW w:w="678" w:type="pct"/>
            <w:gridSpan w:val="2"/>
            <w:tcBorders>
              <w:top w:val="double" w:sz="6" w:space="0" w:color="auto"/>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4372.2</w:t>
            </w:r>
          </w:p>
        </w:tc>
        <w:tc>
          <w:tcPr>
            <w:tcW w:w="678" w:type="pct"/>
            <w:gridSpan w:val="2"/>
            <w:tcBorders>
              <w:top w:val="double" w:sz="6" w:space="0" w:color="auto"/>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4536.4</w:t>
            </w:r>
          </w:p>
        </w:tc>
      </w:tr>
      <w:tr w:rsidR="00881391" w:rsidRPr="006553E0" w:rsidTr="003B7168">
        <w:trPr>
          <w:trHeight w:hRule="exact" w:val="284"/>
        </w:trPr>
        <w:tc>
          <w:tcPr>
            <w:tcW w:w="1509"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 </w:t>
            </w:r>
          </w:p>
        </w:tc>
        <w:tc>
          <w:tcPr>
            <w:tcW w:w="390" w:type="pct"/>
            <w:tcBorders>
              <w:top w:val="nil"/>
              <w:left w:val="double" w:sz="6" w:space="0" w:color="auto"/>
              <w:bottom w:val="nil"/>
              <w:right w:val="nil"/>
            </w:tcBorders>
            <w:shd w:val="clear" w:color="000000" w:fill="FFFFFF"/>
            <w:noWrap/>
            <w:vAlign w:val="bottom"/>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 </w:t>
            </w:r>
          </w:p>
        </w:tc>
        <w:tc>
          <w:tcPr>
            <w:tcW w:w="331"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 </w:t>
            </w:r>
          </w:p>
        </w:tc>
        <w:tc>
          <w:tcPr>
            <w:tcW w:w="390"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 </w:t>
            </w:r>
          </w:p>
        </w:tc>
        <w:tc>
          <w:tcPr>
            <w:tcW w:w="331"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 </w:t>
            </w:r>
          </w:p>
        </w:tc>
        <w:tc>
          <w:tcPr>
            <w:tcW w:w="390"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 </w:t>
            </w:r>
          </w:p>
        </w:tc>
        <w:tc>
          <w:tcPr>
            <w:tcW w:w="305"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 </w:t>
            </w:r>
          </w:p>
        </w:tc>
        <w:tc>
          <w:tcPr>
            <w:tcW w:w="390"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 </w:t>
            </w:r>
          </w:p>
        </w:tc>
        <w:tc>
          <w:tcPr>
            <w:tcW w:w="288"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 </w:t>
            </w:r>
          </w:p>
        </w:tc>
        <w:tc>
          <w:tcPr>
            <w:tcW w:w="390"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 </w:t>
            </w:r>
          </w:p>
        </w:tc>
        <w:tc>
          <w:tcPr>
            <w:tcW w:w="288"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jc w:val="center"/>
              <w:rPr>
                <w:rFonts w:asciiTheme="minorHAnsi" w:hAnsiTheme="minorHAnsi" w:cstheme="minorHAnsi"/>
                <w:sz w:val="16"/>
                <w:szCs w:val="16"/>
              </w:rPr>
            </w:pPr>
            <w:r w:rsidRPr="006553E0">
              <w:rPr>
                <w:rFonts w:asciiTheme="minorHAnsi" w:hAnsiTheme="minorHAnsi" w:cstheme="minorHAnsi"/>
                <w:sz w:val="16"/>
                <w:szCs w:val="16"/>
              </w:rPr>
              <w:t> </w:t>
            </w:r>
          </w:p>
        </w:tc>
      </w:tr>
      <w:tr w:rsidR="00881391" w:rsidRPr="006553E0" w:rsidTr="003B7168">
        <w:trPr>
          <w:trHeight w:hRule="exact" w:val="284"/>
        </w:trPr>
        <w:tc>
          <w:tcPr>
            <w:tcW w:w="1509" w:type="pct"/>
            <w:vMerge w:val="restart"/>
            <w:tcBorders>
              <w:top w:val="double" w:sz="6" w:space="0" w:color="auto"/>
              <w:left w:val="double" w:sz="6" w:space="0" w:color="auto"/>
              <w:bottom w:val="double" w:sz="6" w:space="0" w:color="000000"/>
              <w:right w:val="double" w:sz="6" w:space="0" w:color="auto"/>
            </w:tcBorders>
            <w:shd w:val="clear" w:color="000000" w:fill="632523"/>
            <w:noWrap/>
            <w:vAlign w:val="center"/>
            <w:hideMark/>
          </w:tcPr>
          <w:p w:rsidR="00881391" w:rsidRPr="006553E0" w:rsidRDefault="00881391" w:rsidP="003B7168">
            <w:pPr>
              <w:spacing w:line="276" w:lineRule="auto"/>
              <w:jc w:val="center"/>
              <w:rPr>
                <w:rFonts w:asciiTheme="minorHAnsi" w:hAnsiTheme="minorHAnsi" w:cstheme="minorHAnsi"/>
                <w:b/>
                <w:bCs/>
                <w:color w:val="FFFFFF"/>
                <w:sz w:val="16"/>
                <w:szCs w:val="16"/>
              </w:rPr>
            </w:pPr>
            <w:r w:rsidRPr="006553E0">
              <w:rPr>
                <w:rFonts w:asciiTheme="minorHAnsi" w:hAnsiTheme="minorHAnsi" w:cstheme="minorHAnsi"/>
                <w:b/>
                <w:bCs/>
                <w:color w:val="FFFFFF"/>
                <w:sz w:val="16"/>
                <w:szCs w:val="16"/>
              </w:rPr>
              <w:t>Javna potrošnja</w:t>
            </w:r>
          </w:p>
        </w:tc>
        <w:tc>
          <w:tcPr>
            <w:tcW w:w="720" w:type="pct"/>
            <w:gridSpan w:val="2"/>
            <w:tcBorders>
              <w:top w:val="double" w:sz="6" w:space="0" w:color="auto"/>
              <w:left w:val="double" w:sz="6" w:space="0" w:color="auto"/>
              <w:bottom w:val="dotted" w:sz="4" w:space="0" w:color="auto"/>
              <w:right w:val="double" w:sz="6" w:space="0" w:color="auto"/>
            </w:tcBorders>
            <w:shd w:val="clear" w:color="000000" w:fill="E6B9B8"/>
            <w:noWrap/>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2016</w:t>
            </w:r>
          </w:p>
        </w:tc>
        <w:tc>
          <w:tcPr>
            <w:tcW w:w="720" w:type="pct"/>
            <w:gridSpan w:val="2"/>
            <w:tcBorders>
              <w:top w:val="double" w:sz="6" w:space="0" w:color="auto"/>
              <w:left w:val="nil"/>
              <w:bottom w:val="dotted" w:sz="4" w:space="0" w:color="auto"/>
              <w:right w:val="double" w:sz="6" w:space="0" w:color="auto"/>
            </w:tcBorders>
            <w:shd w:val="clear" w:color="000000" w:fill="E6B9B8"/>
            <w:noWrap/>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2017</w:t>
            </w:r>
          </w:p>
        </w:tc>
        <w:tc>
          <w:tcPr>
            <w:tcW w:w="695" w:type="pct"/>
            <w:gridSpan w:val="2"/>
            <w:tcBorders>
              <w:top w:val="double" w:sz="6" w:space="0" w:color="auto"/>
              <w:left w:val="nil"/>
              <w:bottom w:val="dotted" w:sz="4" w:space="0" w:color="auto"/>
              <w:right w:val="double" w:sz="6" w:space="0" w:color="auto"/>
            </w:tcBorders>
            <w:shd w:val="clear" w:color="000000" w:fill="E6B9B8"/>
            <w:noWrap/>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2018</w:t>
            </w:r>
          </w:p>
        </w:tc>
        <w:tc>
          <w:tcPr>
            <w:tcW w:w="678" w:type="pct"/>
            <w:gridSpan w:val="2"/>
            <w:tcBorders>
              <w:top w:val="double" w:sz="6" w:space="0" w:color="auto"/>
              <w:left w:val="nil"/>
              <w:bottom w:val="dotted" w:sz="4" w:space="0" w:color="auto"/>
              <w:right w:val="double" w:sz="6" w:space="0" w:color="auto"/>
            </w:tcBorders>
            <w:shd w:val="clear" w:color="000000" w:fill="E6B9B8"/>
            <w:noWrap/>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2019</w:t>
            </w:r>
          </w:p>
        </w:tc>
        <w:tc>
          <w:tcPr>
            <w:tcW w:w="678" w:type="pct"/>
            <w:gridSpan w:val="2"/>
            <w:tcBorders>
              <w:top w:val="double" w:sz="6" w:space="0" w:color="auto"/>
              <w:left w:val="nil"/>
              <w:bottom w:val="dotted" w:sz="4" w:space="0" w:color="auto"/>
              <w:right w:val="double" w:sz="6" w:space="0" w:color="auto"/>
            </w:tcBorders>
            <w:shd w:val="clear" w:color="000000" w:fill="E6B9B8"/>
            <w:noWrap/>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2020</w:t>
            </w:r>
          </w:p>
        </w:tc>
      </w:tr>
      <w:tr w:rsidR="00881391" w:rsidRPr="006553E0" w:rsidTr="003B7168">
        <w:trPr>
          <w:trHeight w:hRule="exact" w:val="284"/>
        </w:trPr>
        <w:tc>
          <w:tcPr>
            <w:tcW w:w="1509" w:type="pct"/>
            <w:vMerge/>
            <w:tcBorders>
              <w:top w:val="double" w:sz="6" w:space="0" w:color="auto"/>
              <w:left w:val="double" w:sz="6" w:space="0" w:color="auto"/>
              <w:bottom w:val="double" w:sz="6" w:space="0" w:color="000000"/>
              <w:right w:val="double" w:sz="6" w:space="0" w:color="auto"/>
            </w:tcBorders>
            <w:vAlign w:val="center"/>
            <w:hideMark/>
          </w:tcPr>
          <w:p w:rsidR="00881391" w:rsidRPr="006553E0" w:rsidRDefault="00881391" w:rsidP="003B7168">
            <w:pPr>
              <w:spacing w:line="276" w:lineRule="auto"/>
              <w:rPr>
                <w:rFonts w:asciiTheme="minorHAnsi" w:hAnsiTheme="minorHAnsi" w:cstheme="minorHAnsi"/>
                <w:b/>
                <w:bCs/>
                <w:color w:val="FFFFFF"/>
                <w:sz w:val="16"/>
                <w:szCs w:val="16"/>
              </w:rPr>
            </w:pPr>
          </w:p>
        </w:tc>
        <w:tc>
          <w:tcPr>
            <w:tcW w:w="390" w:type="pct"/>
            <w:tcBorders>
              <w:top w:val="nil"/>
              <w:left w:val="double" w:sz="6" w:space="0" w:color="auto"/>
              <w:bottom w:val="double" w:sz="6" w:space="0" w:color="auto"/>
              <w:right w:val="single" w:sz="4" w:space="0" w:color="auto"/>
            </w:tcBorders>
            <w:shd w:val="clear" w:color="000000" w:fill="E6B9B8"/>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mil.€</w:t>
            </w:r>
          </w:p>
        </w:tc>
        <w:tc>
          <w:tcPr>
            <w:tcW w:w="331" w:type="pct"/>
            <w:tcBorders>
              <w:top w:val="nil"/>
              <w:left w:val="nil"/>
              <w:bottom w:val="double" w:sz="6" w:space="0" w:color="auto"/>
              <w:right w:val="double" w:sz="6" w:space="0" w:color="auto"/>
            </w:tcBorders>
            <w:shd w:val="clear" w:color="000000" w:fill="E6B9B8"/>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 BDP</w:t>
            </w:r>
          </w:p>
        </w:tc>
        <w:tc>
          <w:tcPr>
            <w:tcW w:w="390" w:type="pct"/>
            <w:tcBorders>
              <w:top w:val="nil"/>
              <w:left w:val="nil"/>
              <w:bottom w:val="double" w:sz="6" w:space="0" w:color="auto"/>
              <w:right w:val="single" w:sz="4" w:space="0" w:color="auto"/>
            </w:tcBorders>
            <w:shd w:val="clear" w:color="000000" w:fill="E6B9B8"/>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mil.€</w:t>
            </w:r>
          </w:p>
        </w:tc>
        <w:tc>
          <w:tcPr>
            <w:tcW w:w="331" w:type="pct"/>
            <w:tcBorders>
              <w:top w:val="nil"/>
              <w:left w:val="nil"/>
              <w:bottom w:val="double" w:sz="6" w:space="0" w:color="auto"/>
              <w:right w:val="double" w:sz="6" w:space="0" w:color="auto"/>
            </w:tcBorders>
            <w:shd w:val="clear" w:color="000000" w:fill="E6B9B8"/>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 BDP</w:t>
            </w:r>
          </w:p>
        </w:tc>
        <w:tc>
          <w:tcPr>
            <w:tcW w:w="390" w:type="pct"/>
            <w:tcBorders>
              <w:top w:val="nil"/>
              <w:left w:val="nil"/>
              <w:bottom w:val="double" w:sz="6" w:space="0" w:color="auto"/>
              <w:right w:val="single" w:sz="4" w:space="0" w:color="auto"/>
            </w:tcBorders>
            <w:shd w:val="clear" w:color="000000" w:fill="E6B9B8"/>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mil.€</w:t>
            </w:r>
          </w:p>
        </w:tc>
        <w:tc>
          <w:tcPr>
            <w:tcW w:w="305" w:type="pct"/>
            <w:tcBorders>
              <w:top w:val="nil"/>
              <w:left w:val="nil"/>
              <w:bottom w:val="double" w:sz="6" w:space="0" w:color="auto"/>
              <w:right w:val="double" w:sz="6" w:space="0" w:color="auto"/>
            </w:tcBorders>
            <w:shd w:val="clear" w:color="000000" w:fill="E6B9B8"/>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 BDP</w:t>
            </w:r>
          </w:p>
        </w:tc>
        <w:tc>
          <w:tcPr>
            <w:tcW w:w="390" w:type="pct"/>
            <w:tcBorders>
              <w:top w:val="nil"/>
              <w:left w:val="nil"/>
              <w:bottom w:val="double" w:sz="6" w:space="0" w:color="auto"/>
              <w:right w:val="single" w:sz="4" w:space="0" w:color="auto"/>
            </w:tcBorders>
            <w:shd w:val="clear" w:color="000000" w:fill="E6B9B8"/>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mil.€</w:t>
            </w:r>
          </w:p>
        </w:tc>
        <w:tc>
          <w:tcPr>
            <w:tcW w:w="288" w:type="pct"/>
            <w:tcBorders>
              <w:top w:val="nil"/>
              <w:left w:val="nil"/>
              <w:bottom w:val="double" w:sz="6" w:space="0" w:color="auto"/>
              <w:right w:val="double" w:sz="6" w:space="0" w:color="auto"/>
            </w:tcBorders>
            <w:shd w:val="clear" w:color="000000" w:fill="E6B9B8"/>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 BDP</w:t>
            </w:r>
          </w:p>
        </w:tc>
        <w:tc>
          <w:tcPr>
            <w:tcW w:w="390" w:type="pct"/>
            <w:tcBorders>
              <w:top w:val="nil"/>
              <w:left w:val="nil"/>
              <w:bottom w:val="double" w:sz="6" w:space="0" w:color="auto"/>
              <w:right w:val="single" w:sz="4" w:space="0" w:color="auto"/>
            </w:tcBorders>
            <w:shd w:val="clear" w:color="000000" w:fill="E6B9B8"/>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mil.€</w:t>
            </w:r>
          </w:p>
        </w:tc>
        <w:tc>
          <w:tcPr>
            <w:tcW w:w="288" w:type="pct"/>
            <w:tcBorders>
              <w:top w:val="nil"/>
              <w:left w:val="nil"/>
              <w:bottom w:val="double" w:sz="6" w:space="0" w:color="auto"/>
              <w:right w:val="double" w:sz="6" w:space="0" w:color="auto"/>
            </w:tcBorders>
            <w:shd w:val="clear" w:color="000000" w:fill="E6B9B8"/>
            <w:vAlign w:val="center"/>
            <w:hideMark/>
          </w:tcPr>
          <w:p w:rsidR="00881391" w:rsidRPr="006553E0" w:rsidRDefault="00881391" w:rsidP="003B7168">
            <w:pPr>
              <w:spacing w:line="276" w:lineRule="auto"/>
              <w:jc w:val="center"/>
              <w:rPr>
                <w:rFonts w:asciiTheme="minorHAnsi" w:hAnsiTheme="minorHAnsi" w:cstheme="minorHAnsi"/>
                <w:b/>
                <w:bCs/>
                <w:sz w:val="16"/>
                <w:szCs w:val="16"/>
              </w:rPr>
            </w:pPr>
            <w:r w:rsidRPr="006553E0">
              <w:rPr>
                <w:rFonts w:asciiTheme="minorHAnsi" w:hAnsiTheme="minorHAnsi" w:cstheme="minorHAnsi"/>
                <w:b/>
                <w:bCs/>
                <w:sz w:val="16"/>
                <w:szCs w:val="16"/>
              </w:rPr>
              <w:t>% BDP</w:t>
            </w:r>
          </w:p>
        </w:tc>
      </w:tr>
      <w:tr w:rsidR="00881391" w:rsidRPr="006553E0" w:rsidTr="003B7168">
        <w:trPr>
          <w:trHeight w:hRule="exact" w:val="284"/>
        </w:trPr>
        <w:tc>
          <w:tcPr>
            <w:tcW w:w="1509" w:type="pct"/>
            <w:tcBorders>
              <w:top w:val="nil"/>
              <w:left w:val="double" w:sz="6" w:space="0" w:color="auto"/>
              <w:bottom w:val="double" w:sz="6" w:space="0" w:color="auto"/>
              <w:right w:val="double" w:sz="6" w:space="0" w:color="auto"/>
            </w:tcBorders>
            <w:shd w:val="clear" w:color="000000" w:fill="E6B9B8"/>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Izvorni prihodi</w:t>
            </w:r>
          </w:p>
        </w:tc>
        <w:tc>
          <w:tcPr>
            <w:tcW w:w="390" w:type="pct"/>
            <w:tcBorders>
              <w:top w:val="nil"/>
              <w:left w:val="double" w:sz="6" w:space="0" w:color="auto"/>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1683.67</w:t>
            </w:r>
          </w:p>
        </w:tc>
        <w:tc>
          <w:tcPr>
            <w:tcW w:w="331"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44.62</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1778.43</w:t>
            </w:r>
          </w:p>
        </w:tc>
        <w:tc>
          <w:tcPr>
            <w:tcW w:w="331"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44.94</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1928.47</w:t>
            </w:r>
          </w:p>
        </w:tc>
        <w:tc>
          <w:tcPr>
            <w:tcW w:w="305"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46.00</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1985.18</w:t>
            </w:r>
          </w:p>
        </w:tc>
        <w:tc>
          <w:tcPr>
            <w:tcW w:w="288"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45.4</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2043.18</w:t>
            </w:r>
          </w:p>
        </w:tc>
        <w:tc>
          <w:tcPr>
            <w:tcW w:w="288"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45.0</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Porezi</w:t>
            </w:r>
          </w:p>
        </w:tc>
        <w:tc>
          <w:tcPr>
            <w:tcW w:w="390" w:type="pct"/>
            <w:tcBorders>
              <w:top w:val="nil"/>
              <w:left w:val="double" w:sz="6" w:space="0" w:color="auto"/>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1012.75</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26.84</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1096.16</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27.70</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1217.59</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29.04</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1272.60</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29.1</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1314.40</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29.0</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Doprinosi</w:t>
            </w:r>
          </w:p>
        </w:tc>
        <w:tc>
          <w:tcPr>
            <w:tcW w:w="390" w:type="pct"/>
            <w:tcBorders>
              <w:top w:val="nil"/>
              <w:left w:val="double" w:sz="6" w:space="0" w:color="auto"/>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462.89</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12.27</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499.66</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12.63</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511.16</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12.19</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517.72</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11.8</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530.71</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11.7</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Takse</w:t>
            </w:r>
          </w:p>
        </w:tc>
        <w:tc>
          <w:tcPr>
            <w:tcW w:w="390" w:type="pct"/>
            <w:tcBorders>
              <w:top w:val="nil"/>
              <w:left w:val="double" w:sz="6" w:space="0" w:color="auto"/>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18.90</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0.50</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19.27</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0.49</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19.75</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0.47</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20.14</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0.5</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20.50</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0.5</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Naknade</w:t>
            </w:r>
          </w:p>
        </w:tc>
        <w:tc>
          <w:tcPr>
            <w:tcW w:w="390" w:type="pct"/>
            <w:tcBorders>
              <w:top w:val="nil"/>
              <w:left w:val="double" w:sz="6" w:space="0" w:color="auto"/>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120.21</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3.19</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72.25</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1.83</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93.60</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2.23</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95.25</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2.2</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96.91</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2.1</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Ostali prihodi</w:t>
            </w:r>
          </w:p>
        </w:tc>
        <w:tc>
          <w:tcPr>
            <w:tcW w:w="390" w:type="pct"/>
            <w:tcBorders>
              <w:top w:val="nil"/>
              <w:left w:val="double" w:sz="6" w:space="0" w:color="auto"/>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47.30</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1.25</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45.72</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1.16</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46.50</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1.11</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47.15</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1.1</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47.78</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1.1</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Primici od otplate kredita</w:t>
            </w:r>
          </w:p>
        </w:tc>
        <w:tc>
          <w:tcPr>
            <w:tcW w:w="390" w:type="pct"/>
            <w:tcBorders>
              <w:top w:val="nil"/>
              <w:left w:val="double" w:sz="6" w:space="0" w:color="auto"/>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4.28</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0.11</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4.34</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0.11</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4.41</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0.11</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4.46</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0.1</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4.51</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0.1</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Donacije</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color w:val="323E1A"/>
                <w:sz w:val="16"/>
                <w:szCs w:val="16"/>
              </w:rPr>
            </w:pPr>
            <w:r w:rsidRPr="006553E0">
              <w:rPr>
                <w:rFonts w:asciiTheme="minorHAnsi" w:hAnsiTheme="minorHAnsi" w:cstheme="minorHAnsi"/>
                <w:b/>
                <w:bCs/>
                <w:color w:val="323E1A"/>
                <w:sz w:val="16"/>
                <w:szCs w:val="16"/>
              </w:rPr>
              <w:t>17.33</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0.46</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color w:val="323E1A"/>
                <w:sz w:val="16"/>
                <w:szCs w:val="16"/>
              </w:rPr>
            </w:pPr>
            <w:r w:rsidRPr="006553E0">
              <w:rPr>
                <w:rFonts w:asciiTheme="minorHAnsi" w:hAnsiTheme="minorHAnsi" w:cstheme="minorHAnsi"/>
                <w:b/>
                <w:bCs/>
                <w:color w:val="323E1A"/>
                <w:sz w:val="16"/>
                <w:szCs w:val="16"/>
              </w:rPr>
              <w:t>41.03</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1.04</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color w:val="323E1A"/>
                <w:sz w:val="16"/>
                <w:szCs w:val="16"/>
              </w:rPr>
            </w:pPr>
            <w:r w:rsidRPr="006553E0">
              <w:rPr>
                <w:rFonts w:asciiTheme="minorHAnsi" w:hAnsiTheme="minorHAnsi" w:cstheme="minorHAnsi"/>
                <w:b/>
                <w:bCs/>
                <w:color w:val="323E1A"/>
                <w:sz w:val="16"/>
                <w:szCs w:val="16"/>
              </w:rPr>
              <w:t>35.46</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color w:val="323E1A"/>
                <w:sz w:val="16"/>
                <w:szCs w:val="16"/>
              </w:rPr>
            </w:pPr>
            <w:r w:rsidRPr="006553E0">
              <w:rPr>
                <w:rFonts w:asciiTheme="minorHAnsi" w:hAnsiTheme="minorHAnsi" w:cstheme="minorHAnsi"/>
                <w:b/>
                <w:bCs/>
                <w:color w:val="323E1A"/>
                <w:sz w:val="16"/>
                <w:szCs w:val="16"/>
              </w:rPr>
              <w:t>0.85</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color w:val="323E1A"/>
                <w:sz w:val="16"/>
                <w:szCs w:val="16"/>
              </w:rPr>
            </w:pPr>
            <w:r w:rsidRPr="006553E0">
              <w:rPr>
                <w:rFonts w:asciiTheme="minorHAnsi" w:hAnsiTheme="minorHAnsi" w:cstheme="minorHAnsi"/>
                <w:b/>
                <w:bCs/>
                <w:color w:val="323E1A"/>
                <w:sz w:val="16"/>
                <w:szCs w:val="16"/>
              </w:rPr>
              <w:t>27.86</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color w:val="323E1A"/>
                <w:sz w:val="16"/>
                <w:szCs w:val="16"/>
              </w:rPr>
            </w:pPr>
            <w:r w:rsidRPr="006553E0">
              <w:rPr>
                <w:rFonts w:asciiTheme="minorHAnsi" w:hAnsiTheme="minorHAnsi" w:cstheme="minorHAnsi"/>
                <w:b/>
                <w:bCs/>
                <w:color w:val="323E1A"/>
                <w:sz w:val="16"/>
                <w:szCs w:val="16"/>
              </w:rPr>
              <w:t>0.6</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color w:val="323E1A"/>
                <w:sz w:val="16"/>
                <w:szCs w:val="16"/>
              </w:rPr>
            </w:pPr>
            <w:r w:rsidRPr="006553E0">
              <w:rPr>
                <w:rFonts w:asciiTheme="minorHAnsi" w:hAnsiTheme="minorHAnsi" w:cstheme="minorHAnsi"/>
                <w:b/>
                <w:bCs/>
                <w:color w:val="323E1A"/>
                <w:sz w:val="16"/>
                <w:szCs w:val="16"/>
              </w:rPr>
              <w:t>28.39</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color w:val="323E1A"/>
                <w:sz w:val="16"/>
                <w:szCs w:val="16"/>
              </w:rPr>
            </w:pPr>
            <w:r w:rsidRPr="006553E0">
              <w:rPr>
                <w:rFonts w:asciiTheme="minorHAnsi" w:hAnsiTheme="minorHAnsi" w:cstheme="minorHAnsi"/>
                <w:b/>
                <w:bCs/>
                <w:color w:val="323E1A"/>
                <w:sz w:val="16"/>
                <w:szCs w:val="16"/>
              </w:rPr>
              <w:t>0.6</w:t>
            </w:r>
          </w:p>
        </w:tc>
      </w:tr>
      <w:tr w:rsidR="00881391" w:rsidRPr="006553E0" w:rsidTr="003B7168">
        <w:trPr>
          <w:trHeight w:hRule="exact" w:val="284"/>
        </w:trPr>
        <w:tc>
          <w:tcPr>
            <w:tcW w:w="1509" w:type="pct"/>
            <w:tcBorders>
              <w:top w:val="double" w:sz="6" w:space="0" w:color="auto"/>
              <w:left w:val="double" w:sz="6" w:space="0" w:color="auto"/>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Javna potrošnja</w:t>
            </w:r>
          </w:p>
        </w:tc>
        <w:tc>
          <w:tcPr>
            <w:tcW w:w="390" w:type="pct"/>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1820.32</w:t>
            </w:r>
          </w:p>
        </w:tc>
        <w:tc>
          <w:tcPr>
            <w:tcW w:w="331" w:type="pct"/>
            <w:tcBorders>
              <w:top w:val="double" w:sz="6" w:space="0" w:color="auto"/>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48.25</w:t>
            </w:r>
          </w:p>
        </w:tc>
        <w:tc>
          <w:tcPr>
            <w:tcW w:w="390" w:type="pct"/>
            <w:tcBorders>
              <w:top w:val="double" w:sz="6" w:space="0" w:color="auto"/>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1942.95</w:t>
            </w:r>
          </w:p>
        </w:tc>
        <w:tc>
          <w:tcPr>
            <w:tcW w:w="331" w:type="pct"/>
            <w:tcBorders>
              <w:top w:val="double" w:sz="6" w:space="0" w:color="auto"/>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49.10</w:t>
            </w:r>
          </w:p>
        </w:tc>
        <w:tc>
          <w:tcPr>
            <w:tcW w:w="390" w:type="pct"/>
            <w:tcBorders>
              <w:top w:val="double" w:sz="6" w:space="0" w:color="auto"/>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2002.14</w:t>
            </w:r>
          </w:p>
        </w:tc>
        <w:tc>
          <w:tcPr>
            <w:tcW w:w="305" w:type="pct"/>
            <w:tcBorders>
              <w:top w:val="double" w:sz="6" w:space="0" w:color="auto"/>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47.76</w:t>
            </w:r>
          </w:p>
        </w:tc>
        <w:tc>
          <w:tcPr>
            <w:tcW w:w="390" w:type="pct"/>
            <w:tcBorders>
              <w:top w:val="double" w:sz="6" w:space="0" w:color="auto"/>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1977.59</w:t>
            </w:r>
          </w:p>
        </w:tc>
        <w:tc>
          <w:tcPr>
            <w:tcW w:w="288" w:type="pct"/>
            <w:tcBorders>
              <w:top w:val="double" w:sz="6" w:space="0" w:color="auto"/>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45.2</w:t>
            </w:r>
          </w:p>
        </w:tc>
        <w:tc>
          <w:tcPr>
            <w:tcW w:w="390" w:type="pct"/>
            <w:tcBorders>
              <w:top w:val="double" w:sz="6" w:space="0" w:color="auto"/>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1801.09</w:t>
            </w:r>
          </w:p>
        </w:tc>
        <w:tc>
          <w:tcPr>
            <w:tcW w:w="288" w:type="pct"/>
            <w:tcBorders>
              <w:top w:val="double" w:sz="6" w:space="0" w:color="auto"/>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39.7</w:t>
            </w:r>
          </w:p>
        </w:tc>
      </w:tr>
      <w:tr w:rsidR="00881391" w:rsidRPr="006553E0" w:rsidTr="003B7168">
        <w:trPr>
          <w:trHeight w:hRule="exact" w:val="284"/>
        </w:trPr>
        <w:tc>
          <w:tcPr>
            <w:tcW w:w="1509" w:type="pct"/>
            <w:tcBorders>
              <w:top w:val="nil"/>
              <w:left w:val="double" w:sz="6" w:space="0" w:color="auto"/>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Tekuća javna potrošnja</w:t>
            </w:r>
          </w:p>
        </w:tc>
        <w:tc>
          <w:tcPr>
            <w:tcW w:w="390" w:type="pct"/>
            <w:tcBorders>
              <w:top w:val="nil"/>
              <w:left w:val="double" w:sz="6" w:space="0" w:color="auto"/>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1714.47</w:t>
            </w:r>
          </w:p>
        </w:tc>
        <w:tc>
          <w:tcPr>
            <w:tcW w:w="331"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45.44</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1618.20</w:t>
            </w:r>
          </w:p>
        </w:tc>
        <w:tc>
          <w:tcPr>
            <w:tcW w:w="331"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40.89</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1623.85</w:t>
            </w:r>
          </w:p>
        </w:tc>
        <w:tc>
          <w:tcPr>
            <w:tcW w:w="305"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38.73</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1636.26</w:t>
            </w:r>
          </w:p>
        </w:tc>
        <w:tc>
          <w:tcPr>
            <w:tcW w:w="288"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37.4</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1652.98</w:t>
            </w:r>
          </w:p>
        </w:tc>
        <w:tc>
          <w:tcPr>
            <w:tcW w:w="288"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36.4</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Tekući izdaci</w:t>
            </w:r>
          </w:p>
        </w:tc>
        <w:tc>
          <w:tcPr>
            <w:tcW w:w="390" w:type="pct"/>
            <w:tcBorders>
              <w:top w:val="nil"/>
              <w:left w:val="double" w:sz="6" w:space="0" w:color="auto"/>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812.20</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21.53</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827.12</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20.90</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787.12</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18.77</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794.79</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18.2</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799.89</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17.6</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Transferi za socijalnu zaštitu</w:t>
            </w:r>
          </w:p>
        </w:tc>
        <w:tc>
          <w:tcPr>
            <w:tcW w:w="390" w:type="pct"/>
            <w:tcBorders>
              <w:top w:val="nil"/>
              <w:left w:val="double" w:sz="6" w:space="0" w:color="auto"/>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556.08</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14.74</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563.53</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14.24</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551.35</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13.15</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557.87</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12.8</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562.69</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12.4</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Transferi instit. pojed. NVO i javnom sektoru</w:t>
            </w:r>
          </w:p>
        </w:tc>
        <w:tc>
          <w:tcPr>
            <w:tcW w:w="390" w:type="pct"/>
            <w:tcBorders>
              <w:top w:val="nil"/>
              <w:left w:val="double" w:sz="6" w:space="0" w:color="auto"/>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213.17</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5.65</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208.17</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5.26</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226.41</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5.40</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221.37</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5.1</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222.24</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4.9</w:t>
            </w:r>
          </w:p>
        </w:tc>
      </w:tr>
      <w:tr w:rsidR="00881391" w:rsidRPr="006553E0" w:rsidTr="003B7168">
        <w:trPr>
          <w:trHeight w:hRule="exact" w:val="284"/>
        </w:trPr>
        <w:tc>
          <w:tcPr>
            <w:tcW w:w="1509"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Kapitalni budžet</w:t>
            </w:r>
          </w:p>
        </w:tc>
        <w:tc>
          <w:tcPr>
            <w:tcW w:w="390" w:type="pct"/>
            <w:tcBorders>
              <w:top w:val="double" w:sz="6" w:space="0" w:color="auto"/>
              <w:left w:val="nil"/>
              <w:bottom w:val="double" w:sz="6" w:space="0" w:color="auto"/>
              <w:right w:val="single" w:sz="4"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105.86</w:t>
            </w:r>
          </w:p>
        </w:tc>
        <w:tc>
          <w:tcPr>
            <w:tcW w:w="331" w:type="pct"/>
            <w:tcBorders>
              <w:top w:val="double" w:sz="6" w:space="0" w:color="auto"/>
              <w:left w:val="nil"/>
              <w:bottom w:val="double" w:sz="6" w:space="0" w:color="auto"/>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2.81</w:t>
            </w:r>
          </w:p>
        </w:tc>
        <w:tc>
          <w:tcPr>
            <w:tcW w:w="390" w:type="pct"/>
            <w:tcBorders>
              <w:top w:val="double" w:sz="6" w:space="0" w:color="auto"/>
              <w:left w:val="nil"/>
              <w:bottom w:val="double" w:sz="6" w:space="0" w:color="auto"/>
              <w:right w:val="single" w:sz="4"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324.75</w:t>
            </w:r>
          </w:p>
        </w:tc>
        <w:tc>
          <w:tcPr>
            <w:tcW w:w="331" w:type="pct"/>
            <w:tcBorders>
              <w:top w:val="double" w:sz="6" w:space="0" w:color="auto"/>
              <w:left w:val="nil"/>
              <w:bottom w:val="double" w:sz="6" w:space="0" w:color="auto"/>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8.21</w:t>
            </w:r>
          </w:p>
        </w:tc>
        <w:tc>
          <w:tcPr>
            <w:tcW w:w="390" w:type="pct"/>
            <w:tcBorders>
              <w:top w:val="double" w:sz="6" w:space="0" w:color="auto"/>
              <w:left w:val="nil"/>
              <w:bottom w:val="double" w:sz="6" w:space="0" w:color="auto"/>
              <w:right w:val="single" w:sz="4"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378.28</w:t>
            </w:r>
          </w:p>
        </w:tc>
        <w:tc>
          <w:tcPr>
            <w:tcW w:w="305" w:type="pct"/>
            <w:tcBorders>
              <w:top w:val="double" w:sz="6" w:space="0" w:color="auto"/>
              <w:left w:val="nil"/>
              <w:bottom w:val="double" w:sz="6" w:space="0" w:color="auto"/>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9.02</w:t>
            </w:r>
          </w:p>
        </w:tc>
        <w:tc>
          <w:tcPr>
            <w:tcW w:w="390" w:type="pct"/>
            <w:tcBorders>
              <w:top w:val="double" w:sz="6" w:space="0" w:color="auto"/>
              <w:left w:val="nil"/>
              <w:bottom w:val="double" w:sz="6" w:space="0" w:color="auto"/>
              <w:right w:val="single" w:sz="4"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341.33</w:t>
            </w:r>
          </w:p>
        </w:tc>
        <w:tc>
          <w:tcPr>
            <w:tcW w:w="288" w:type="pct"/>
            <w:tcBorders>
              <w:top w:val="double" w:sz="6" w:space="0" w:color="auto"/>
              <w:left w:val="nil"/>
              <w:bottom w:val="double" w:sz="6" w:space="0" w:color="auto"/>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7.8</w:t>
            </w:r>
          </w:p>
        </w:tc>
        <w:tc>
          <w:tcPr>
            <w:tcW w:w="390" w:type="pct"/>
            <w:tcBorders>
              <w:top w:val="double" w:sz="6" w:space="0" w:color="auto"/>
              <w:left w:val="nil"/>
              <w:bottom w:val="double" w:sz="6" w:space="0" w:color="auto"/>
              <w:right w:val="single" w:sz="4"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148.11</w:t>
            </w:r>
          </w:p>
        </w:tc>
        <w:tc>
          <w:tcPr>
            <w:tcW w:w="288" w:type="pct"/>
            <w:tcBorders>
              <w:top w:val="double" w:sz="6" w:space="0" w:color="auto"/>
              <w:left w:val="nil"/>
              <w:bottom w:val="double" w:sz="6" w:space="0" w:color="auto"/>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3.3</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Pozajmice i krediti</w:t>
            </w:r>
          </w:p>
        </w:tc>
        <w:tc>
          <w:tcPr>
            <w:tcW w:w="390" w:type="pct"/>
            <w:tcBorders>
              <w:top w:val="nil"/>
              <w:left w:val="double" w:sz="6" w:space="0" w:color="auto"/>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3.54</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0.09</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3.11</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0.08</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3.12</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0.07</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3.14</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0.1</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3.15</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0.1</w:t>
            </w:r>
          </w:p>
        </w:tc>
      </w:tr>
      <w:tr w:rsidR="00881391" w:rsidRPr="006553E0" w:rsidTr="003B7168">
        <w:trPr>
          <w:trHeight w:hRule="exact" w:val="284"/>
        </w:trPr>
        <w:tc>
          <w:tcPr>
            <w:tcW w:w="1509" w:type="pct"/>
            <w:tcBorders>
              <w:top w:val="nil"/>
              <w:left w:val="double" w:sz="6" w:space="0" w:color="auto"/>
              <w:bottom w:val="double" w:sz="6" w:space="0" w:color="auto"/>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Rezerve</w:t>
            </w:r>
          </w:p>
        </w:tc>
        <w:tc>
          <w:tcPr>
            <w:tcW w:w="390" w:type="pct"/>
            <w:tcBorders>
              <w:top w:val="nil"/>
              <w:left w:val="double" w:sz="6" w:space="0" w:color="auto"/>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20.84</w:t>
            </w:r>
          </w:p>
        </w:tc>
        <w:tc>
          <w:tcPr>
            <w:tcW w:w="331"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0.55</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16.27</w:t>
            </w:r>
          </w:p>
        </w:tc>
        <w:tc>
          <w:tcPr>
            <w:tcW w:w="331"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0.41</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17.11</w:t>
            </w:r>
          </w:p>
        </w:tc>
        <w:tc>
          <w:tcPr>
            <w:tcW w:w="305"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0.41</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16.35</w:t>
            </w:r>
          </w:p>
        </w:tc>
        <w:tc>
          <w:tcPr>
            <w:tcW w:w="288"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0.4</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16.39</w:t>
            </w:r>
          </w:p>
        </w:tc>
        <w:tc>
          <w:tcPr>
            <w:tcW w:w="288"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0.4</w:t>
            </w:r>
          </w:p>
        </w:tc>
      </w:tr>
      <w:tr w:rsidR="00881391" w:rsidRPr="006553E0" w:rsidTr="003B7168">
        <w:trPr>
          <w:trHeight w:hRule="exact" w:val="284"/>
        </w:trPr>
        <w:tc>
          <w:tcPr>
            <w:tcW w:w="1509" w:type="pct"/>
            <w:tcBorders>
              <w:top w:val="nil"/>
              <w:left w:val="double" w:sz="6" w:space="0" w:color="auto"/>
              <w:bottom w:val="double" w:sz="6" w:space="0" w:color="auto"/>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Otplata obaveza iz prethodnog perioda</w:t>
            </w:r>
          </w:p>
        </w:tc>
        <w:tc>
          <w:tcPr>
            <w:tcW w:w="390" w:type="pct"/>
            <w:tcBorders>
              <w:top w:val="nil"/>
              <w:left w:val="double" w:sz="6" w:space="0" w:color="auto"/>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108.63</w:t>
            </w:r>
          </w:p>
        </w:tc>
        <w:tc>
          <w:tcPr>
            <w:tcW w:w="331"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2.88</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0.00</w:t>
            </w:r>
          </w:p>
        </w:tc>
        <w:tc>
          <w:tcPr>
            <w:tcW w:w="331"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0.00</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0.00</w:t>
            </w:r>
          </w:p>
        </w:tc>
        <w:tc>
          <w:tcPr>
            <w:tcW w:w="305"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0.00</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0.00</w:t>
            </w:r>
          </w:p>
        </w:tc>
        <w:tc>
          <w:tcPr>
            <w:tcW w:w="288"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0.0</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0.00</w:t>
            </w:r>
          </w:p>
        </w:tc>
        <w:tc>
          <w:tcPr>
            <w:tcW w:w="288"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0.0</w:t>
            </w:r>
          </w:p>
        </w:tc>
      </w:tr>
      <w:tr w:rsidR="00881391" w:rsidRPr="006553E0" w:rsidTr="003B7168">
        <w:trPr>
          <w:trHeight w:hRule="exact" w:val="284"/>
        </w:trPr>
        <w:tc>
          <w:tcPr>
            <w:tcW w:w="1509" w:type="pct"/>
            <w:tcBorders>
              <w:top w:val="nil"/>
              <w:left w:val="double" w:sz="6" w:space="0" w:color="auto"/>
              <w:bottom w:val="double" w:sz="6" w:space="0" w:color="auto"/>
              <w:right w:val="double" w:sz="6" w:space="0" w:color="auto"/>
            </w:tcBorders>
            <w:shd w:val="clear" w:color="000000" w:fill="E6B9B8"/>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Suficit/deficit</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-136.66</w:t>
            </w:r>
          </w:p>
        </w:tc>
        <w:tc>
          <w:tcPr>
            <w:tcW w:w="331"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-3.62</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-164.52</w:t>
            </w:r>
          </w:p>
        </w:tc>
        <w:tc>
          <w:tcPr>
            <w:tcW w:w="331"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-4.16</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-73.67</w:t>
            </w:r>
          </w:p>
        </w:tc>
        <w:tc>
          <w:tcPr>
            <w:tcW w:w="305"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-1.76</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7.59</w:t>
            </w:r>
          </w:p>
        </w:tc>
        <w:tc>
          <w:tcPr>
            <w:tcW w:w="288"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0.2</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242.09</w:t>
            </w:r>
          </w:p>
        </w:tc>
        <w:tc>
          <w:tcPr>
            <w:tcW w:w="288"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5.3</w:t>
            </w:r>
          </w:p>
        </w:tc>
      </w:tr>
      <w:tr w:rsidR="00881391" w:rsidRPr="006553E0" w:rsidTr="003B7168">
        <w:trPr>
          <w:trHeight w:hRule="exact" w:val="284"/>
        </w:trPr>
        <w:tc>
          <w:tcPr>
            <w:tcW w:w="1509" w:type="pct"/>
            <w:tcBorders>
              <w:top w:val="nil"/>
              <w:left w:val="double" w:sz="6" w:space="0" w:color="auto"/>
              <w:bottom w:val="double" w:sz="6" w:space="0" w:color="auto"/>
              <w:right w:val="double" w:sz="6" w:space="0" w:color="auto"/>
            </w:tcBorders>
            <w:shd w:val="clear" w:color="000000" w:fill="E6B9B8"/>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Korigovani suficit/deficit</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-136.66</w:t>
            </w:r>
          </w:p>
        </w:tc>
        <w:tc>
          <w:tcPr>
            <w:tcW w:w="331"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-3.62</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-164.52</w:t>
            </w:r>
          </w:p>
        </w:tc>
        <w:tc>
          <w:tcPr>
            <w:tcW w:w="331"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-4.16</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-73.67</w:t>
            </w:r>
          </w:p>
        </w:tc>
        <w:tc>
          <w:tcPr>
            <w:tcW w:w="305"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-1.76</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7.59</w:t>
            </w:r>
          </w:p>
        </w:tc>
        <w:tc>
          <w:tcPr>
            <w:tcW w:w="288"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0.2</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242.09</w:t>
            </w:r>
          </w:p>
        </w:tc>
        <w:tc>
          <w:tcPr>
            <w:tcW w:w="288"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5.3</w:t>
            </w:r>
          </w:p>
        </w:tc>
      </w:tr>
      <w:tr w:rsidR="00881391" w:rsidRPr="006553E0" w:rsidTr="003B7168">
        <w:trPr>
          <w:trHeight w:hRule="exact" w:val="284"/>
        </w:trPr>
        <w:tc>
          <w:tcPr>
            <w:tcW w:w="1509" w:type="pct"/>
            <w:tcBorders>
              <w:top w:val="nil"/>
              <w:left w:val="double" w:sz="6" w:space="0" w:color="auto"/>
              <w:bottom w:val="double" w:sz="6" w:space="0" w:color="auto"/>
              <w:right w:val="double" w:sz="6" w:space="0" w:color="auto"/>
            </w:tcBorders>
            <w:shd w:val="clear" w:color="000000" w:fill="E6B9B8"/>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Primarni deficit</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-51.23</w:t>
            </w:r>
          </w:p>
        </w:tc>
        <w:tc>
          <w:tcPr>
            <w:tcW w:w="331"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-1.36</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-65.00</w:t>
            </w:r>
          </w:p>
        </w:tc>
        <w:tc>
          <w:tcPr>
            <w:tcW w:w="331"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-1.64</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19.18</w:t>
            </w:r>
          </w:p>
        </w:tc>
        <w:tc>
          <w:tcPr>
            <w:tcW w:w="305"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0.46</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103.35</w:t>
            </w:r>
          </w:p>
        </w:tc>
        <w:tc>
          <w:tcPr>
            <w:tcW w:w="288"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2.4</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337.94</w:t>
            </w:r>
          </w:p>
        </w:tc>
        <w:tc>
          <w:tcPr>
            <w:tcW w:w="288"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7.4</w:t>
            </w:r>
          </w:p>
        </w:tc>
      </w:tr>
      <w:tr w:rsidR="00881391" w:rsidRPr="006553E0" w:rsidTr="003B7168">
        <w:trPr>
          <w:trHeight w:hRule="exact" w:val="284"/>
        </w:trPr>
        <w:tc>
          <w:tcPr>
            <w:tcW w:w="1509" w:type="pct"/>
            <w:tcBorders>
              <w:top w:val="nil"/>
              <w:left w:val="double" w:sz="6" w:space="0" w:color="auto"/>
              <w:bottom w:val="double" w:sz="6" w:space="0" w:color="auto"/>
              <w:right w:val="double" w:sz="6" w:space="0" w:color="auto"/>
            </w:tcBorders>
            <w:shd w:val="clear" w:color="000000" w:fill="E6B9B8"/>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Otplata duga</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550.41</w:t>
            </w:r>
          </w:p>
        </w:tc>
        <w:tc>
          <w:tcPr>
            <w:tcW w:w="331"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14.59</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280.42</w:t>
            </w:r>
          </w:p>
        </w:tc>
        <w:tc>
          <w:tcPr>
            <w:tcW w:w="331"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7.09</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276.25</w:t>
            </w:r>
          </w:p>
        </w:tc>
        <w:tc>
          <w:tcPr>
            <w:tcW w:w="305"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6.59</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593.31</w:t>
            </w:r>
          </w:p>
        </w:tc>
        <w:tc>
          <w:tcPr>
            <w:tcW w:w="288"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13.6</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823.51</w:t>
            </w:r>
          </w:p>
        </w:tc>
        <w:tc>
          <w:tcPr>
            <w:tcW w:w="288"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18.2</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Otplata glavnice rezidentima</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240.52</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6.37</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78.91</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1.99</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127.16</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3.03</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107.62</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2.5</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177.64</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3.9</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Otplata glavnice nerezidentima</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309.89</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8.21</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137.79</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3.48</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104.09</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2.48</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440.69</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10.1</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600.87</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13.2</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Otplata obaveza iz prethodnog perioda</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0.00</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0.00</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63.72</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1.61</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45.00</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1.07</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45.00</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1.0</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45.00</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1.0</w:t>
            </w:r>
          </w:p>
        </w:tc>
      </w:tr>
      <w:tr w:rsidR="00881391" w:rsidRPr="006553E0" w:rsidTr="003B7168">
        <w:trPr>
          <w:trHeight w:hRule="exact" w:val="284"/>
        </w:trPr>
        <w:tc>
          <w:tcPr>
            <w:tcW w:w="1509" w:type="pct"/>
            <w:tcBorders>
              <w:top w:val="double" w:sz="6" w:space="0" w:color="auto"/>
              <w:left w:val="double" w:sz="6" w:space="0" w:color="auto"/>
              <w:bottom w:val="double" w:sz="6" w:space="0" w:color="auto"/>
              <w:right w:val="double" w:sz="6" w:space="0" w:color="auto"/>
            </w:tcBorders>
            <w:shd w:val="clear" w:color="000000" w:fill="E6B9B8"/>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Nedostajuća sredstva</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-687.07</w:t>
            </w:r>
          </w:p>
        </w:tc>
        <w:tc>
          <w:tcPr>
            <w:tcW w:w="331" w:type="pct"/>
            <w:tcBorders>
              <w:top w:val="double" w:sz="6" w:space="0" w:color="auto"/>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-18.21</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-444.94</w:t>
            </w:r>
          </w:p>
        </w:tc>
        <w:tc>
          <w:tcPr>
            <w:tcW w:w="331" w:type="pct"/>
            <w:tcBorders>
              <w:top w:val="double" w:sz="6" w:space="0" w:color="auto"/>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-11.24</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-349.92</w:t>
            </w:r>
          </w:p>
        </w:tc>
        <w:tc>
          <w:tcPr>
            <w:tcW w:w="305" w:type="pct"/>
            <w:tcBorders>
              <w:top w:val="double" w:sz="6" w:space="0" w:color="auto"/>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-8.35</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-585.72</w:t>
            </w:r>
          </w:p>
        </w:tc>
        <w:tc>
          <w:tcPr>
            <w:tcW w:w="288" w:type="pct"/>
            <w:tcBorders>
              <w:top w:val="double" w:sz="6" w:space="0" w:color="auto"/>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-13.4</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-581.42</w:t>
            </w:r>
          </w:p>
        </w:tc>
        <w:tc>
          <w:tcPr>
            <w:tcW w:w="288" w:type="pct"/>
            <w:tcBorders>
              <w:top w:val="double" w:sz="6" w:space="0" w:color="auto"/>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-12.8</w:t>
            </w:r>
          </w:p>
        </w:tc>
      </w:tr>
      <w:tr w:rsidR="00881391" w:rsidRPr="006553E0" w:rsidTr="003B7168">
        <w:trPr>
          <w:trHeight w:hRule="exact" w:val="284"/>
        </w:trPr>
        <w:tc>
          <w:tcPr>
            <w:tcW w:w="1509" w:type="pct"/>
            <w:tcBorders>
              <w:top w:val="nil"/>
              <w:left w:val="double" w:sz="6" w:space="0" w:color="auto"/>
              <w:bottom w:val="double" w:sz="6" w:space="0" w:color="auto"/>
              <w:right w:val="double" w:sz="6" w:space="0" w:color="auto"/>
            </w:tcBorders>
            <w:shd w:val="clear" w:color="000000" w:fill="E6B9B8"/>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Finansiranje</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687.07</w:t>
            </w:r>
          </w:p>
        </w:tc>
        <w:tc>
          <w:tcPr>
            <w:tcW w:w="331"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18.21</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444.94</w:t>
            </w:r>
          </w:p>
        </w:tc>
        <w:tc>
          <w:tcPr>
            <w:tcW w:w="331"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11.24</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349.92</w:t>
            </w:r>
          </w:p>
        </w:tc>
        <w:tc>
          <w:tcPr>
            <w:tcW w:w="305"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8.35</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585.72</w:t>
            </w:r>
          </w:p>
        </w:tc>
        <w:tc>
          <w:tcPr>
            <w:tcW w:w="288"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13.4</w:t>
            </w:r>
          </w:p>
        </w:tc>
        <w:tc>
          <w:tcPr>
            <w:tcW w:w="390" w:type="pct"/>
            <w:tcBorders>
              <w:top w:val="nil"/>
              <w:left w:val="nil"/>
              <w:bottom w:val="double" w:sz="6" w:space="0" w:color="auto"/>
              <w:right w:val="single" w:sz="4"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581.42</w:t>
            </w:r>
          </w:p>
        </w:tc>
        <w:tc>
          <w:tcPr>
            <w:tcW w:w="288" w:type="pct"/>
            <w:tcBorders>
              <w:top w:val="nil"/>
              <w:left w:val="nil"/>
              <w:bottom w:val="double" w:sz="6" w:space="0" w:color="auto"/>
              <w:right w:val="double" w:sz="6" w:space="0" w:color="auto"/>
            </w:tcBorders>
            <w:shd w:val="clear" w:color="000000" w:fill="E6B9B8"/>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12.8</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Pozajmice i krediti iz domaćih izvora</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329.21</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8.73</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80.00</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2.02</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60.00</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1.43</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110.00</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2.5</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110.00</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2.4</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Pozajmice i krediti iz inostranih izvora</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325.41</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8.62</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358.17</w:t>
            </w:r>
          </w:p>
        </w:tc>
        <w:tc>
          <w:tcPr>
            <w:tcW w:w="331"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9.05</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280.77</w:t>
            </w:r>
          </w:p>
        </w:tc>
        <w:tc>
          <w:tcPr>
            <w:tcW w:w="305"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6.70</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464.34</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10.6</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460.80</w:t>
            </w:r>
          </w:p>
        </w:tc>
        <w:tc>
          <w:tcPr>
            <w:tcW w:w="288" w:type="pct"/>
            <w:tcBorders>
              <w:top w:val="nil"/>
              <w:left w:val="nil"/>
              <w:bottom w:val="nil"/>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10.2</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auto" w:fill="auto"/>
            <w:vAlign w:val="center"/>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Prihodi od privatizacije i prodaje imovine</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11.13</w:t>
            </w:r>
          </w:p>
        </w:tc>
        <w:tc>
          <w:tcPr>
            <w:tcW w:w="331" w:type="pct"/>
            <w:tcBorders>
              <w:top w:val="nil"/>
              <w:left w:val="nil"/>
              <w:bottom w:val="nil"/>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0.30</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5.00</w:t>
            </w:r>
          </w:p>
        </w:tc>
        <w:tc>
          <w:tcPr>
            <w:tcW w:w="331" w:type="pct"/>
            <w:tcBorders>
              <w:top w:val="nil"/>
              <w:left w:val="nil"/>
              <w:bottom w:val="nil"/>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0.13</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5.00</w:t>
            </w:r>
          </w:p>
        </w:tc>
        <w:tc>
          <w:tcPr>
            <w:tcW w:w="305" w:type="pct"/>
            <w:tcBorders>
              <w:top w:val="nil"/>
              <w:left w:val="nil"/>
              <w:bottom w:val="nil"/>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color w:val="323E1A"/>
                <w:sz w:val="16"/>
                <w:szCs w:val="16"/>
              </w:rPr>
            </w:pPr>
            <w:r w:rsidRPr="006553E0">
              <w:rPr>
                <w:rFonts w:asciiTheme="minorHAnsi" w:hAnsiTheme="minorHAnsi" w:cstheme="minorHAnsi"/>
                <w:color w:val="323E1A"/>
                <w:sz w:val="16"/>
                <w:szCs w:val="16"/>
              </w:rPr>
              <w:t>0.12</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5.00</w:t>
            </w:r>
          </w:p>
        </w:tc>
        <w:tc>
          <w:tcPr>
            <w:tcW w:w="288" w:type="pct"/>
            <w:tcBorders>
              <w:top w:val="nil"/>
              <w:left w:val="nil"/>
              <w:bottom w:val="nil"/>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color w:val="323E1A"/>
                <w:sz w:val="16"/>
                <w:szCs w:val="16"/>
              </w:rPr>
            </w:pPr>
            <w:r w:rsidRPr="006553E0">
              <w:rPr>
                <w:rFonts w:asciiTheme="minorHAnsi" w:hAnsiTheme="minorHAnsi" w:cstheme="minorHAnsi"/>
                <w:color w:val="323E1A"/>
                <w:sz w:val="16"/>
                <w:szCs w:val="16"/>
              </w:rPr>
              <w:t>0.1</w:t>
            </w:r>
          </w:p>
        </w:tc>
        <w:tc>
          <w:tcPr>
            <w:tcW w:w="390" w:type="pct"/>
            <w:tcBorders>
              <w:top w:val="nil"/>
              <w:left w:val="nil"/>
              <w:bottom w:val="nil"/>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5.00</w:t>
            </w:r>
          </w:p>
        </w:tc>
        <w:tc>
          <w:tcPr>
            <w:tcW w:w="288" w:type="pct"/>
            <w:tcBorders>
              <w:top w:val="nil"/>
              <w:left w:val="nil"/>
              <w:bottom w:val="nil"/>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color w:val="323E1A"/>
                <w:sz w:val="16"/>
                <w:szCs w:val="16"/>
              </w:rPr>
            </w:pPr>
            <w:r w:rsidRPr="006553E0">
              <w:rPr>
                <w:rFonts w:asciiTheme="minorHAnsi" w:hAnsiTheme="minorHAnsi" w:cstheme="minorHAnsi"/>
                <w:color w:val="323E1A"/>
                <w:sz w:val="16"/>
                <w:szCs w:val="16"/>
              </w:rPr>
              <w:t>0.1</w:t>
            </w:r>
          </w:p>
        </w:tc>
      </w:tr>
      <w:tr w:rsidR="00881391" w:rsidRPr="006553E0" w:rsidTr="003B7168">
        <w:trPr>
          <w:trHeight w:hRule="exact" w:val="284"/>
        </w:trPr>
        <w:tc>
          <w:tcPr>
            <w:tcW w:w="1509" w:type="pct"/>
            <w:tcBorders>
              <w:top w:val="nil"/>
              <w:left w:val="double" w:sz="6" w:space="0" w:color="auto"/>
              <w:bottom w:val="nil"/>
              <w:right w:val="double" w:sz="6" w:space="0" w:color="auto"/>
            </w:tcBorders>
            <w:shd w:val="clear" w:color="auto" w:fill="auto"/>
            <w:vAlign w:val="center"/>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Transferi iz budžeta CG</w:t>
            </w:r>
          </w:p>
        </w:tc>
        <w:tc>
          <w:tcPr>
            <w:tcW w:w="390" w:type="pct"/>
            <w:tcBorders>
              <w:top w:val="nil"/>
              <w:left w:val="nil"/>
              <w:bottom w:val="nil"/>
              <w:right w:val="single" w:sz="4"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color w:val="323E1A"/>
                <w:sz w:val="16"/>
                <w:szCs w:val="16"/>
              </w:rPr>
            </w:pPr>
            <w:r w:rsidRPr="006553E0">
              <w:rPr>
                <w:rFonts w:asciiTheme="minorHAnsi" w:hAnsiTheme="minorHAnsi" w:cstheme="minorHAnsi"/>
                <w:color w:val="323E1A"/>
                <w:sz w:val="16"/>
                <w:szCs w:val="16"/>
              </w:rPr>
              <w:t>1.75</w:t>
            </w:r>
          </w:p>
        </w:tc>
        <w:tc>
          <w:tcPr>
            <w:tcW w:w="331" w:type="pct"/>
            <w:tcBorders>
              <w:top w:val="nil"/>
              <w:left w:val="nil"/>
              <w:bottom w:val="nil"/>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0.05</w:t>
            </w:r>
          </w:p>
        </w:tc>
        <w:tc>
          <w:tcPr>
            <w:tcW w:w="390" w:type="pct"/>
            <w:tcBorders>
              <w:top w:val="nil"/>
              <w:left w:val="nil"/>
              <w:bottom w:val="nil"/>
              <w:right w:val="single" w:sz="4"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color w:val="323E1A"/>
                <w:sz w:val="16"/>
                <w:szCs w:val="16"/>
              </w:rPr>
            </w:pPr>
            <w:r w:rsidRPr="006553E0">
              <w:rPr>
                <w:rFonts w:asciiTheme="minorHAnsi" w:hAnsiTheme="minorHAnsi" w:cstheme="minorHAnsi"/>
                <w:color w:val="323E1A"/>
                <w:sz w:val="16"/>
                <w:szCs w:val="16"/>
              </w:rPr>
              <w:t>3.00</w:t>
            </w:r>
          </w:p>
        </w:tc>
        <w:tc>
          <w:tcPr>
            <w:tcW w:w="331" w:type="pct"/>
            <w:tcBorders>
              <w:top w:val="nil"/>
              <w:left w:val="nil"/>
              <w:bottom w:val="nil"/>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sz w:val="16"/>
                <w:szCs w:val="16"/>
              </w:rPr>
            </w:pPr>
            <w:r w:rsidRPr="006553E0">
              <w:rPr>
                <w:rFonts w:asciiTheme="minorHAnsi" w:hAnsiTheme="minorHAnsi" w:cstheme="minorHAnsi"/>
                <w:sz w:val="16"/>
                <w:szCs w:val="16"/>
              </w:rPr>
              <w:t>0.08</w:t>
            </w:r>
          </w:p>
        </w:tc>
        <w:tc>
          <w:tcPr>
            <w:tcW w:w="390" w:type="pct"/>
            <w:tcBorders>
              <w:top w:val="nil"/>
              <w:left w:val="nil"/>
              <w:bottom w:val="nil"/>
              <w:right w:val="single" w:sz="4"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color w:val="323E1A"/>
                <w:sz w:val="16"/>
                <w:szCs w:val="16"/>
              </w:rPr>
            </w:pPr>
            <w:r w:rsidRPr="006553E0">
              <w:rPr>
                <w:rFonts w:asciiTheme="minorHAnsi" w:hAnsiTheme="minorHAnsi" w:cstheme="minorHAnsi"/>
                <w:color w:val="323E1A"/>
                <w:sz w:val="16"/>
                <w:szCs w:val="16"/>
              </w:rPr>
              <w:t>3.00</w:t>
            </w:r>
          </w:p>
        </w:tc>
        <w:tc>
          <w:tcPr>
            <w:tcW w:w="305" w:type="pct"/>
            <w:tcBorders>
              <w:top w:val="nil"/>
              <w:left w:val="nil"/>
              <w:bottom w:val="nil"/>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color w:val="323E1A"/>
                <w:sz w:val="16"/>
                <w:szCs w:val="16"/>
              </w:rPr>
            </w:pPr>
            <w:r w:rsidRPr="006553E0">
              <w:rPr>
                <w:rFonts w:asciiTheme="minorHAnsi" w:hAnsiTheme="minorHAnsi" w:cstheme="minorHAnsi"/>
                <w:color w:val="323E1A"/>
                <w:sz w:val="16"/>
                <w:szCs w:val="16"/>
              </w:rPr>
              <w:t>0.07</w:t>
            </w:r>
          </w:p>
        </w:tc>
        <w:tc>
          <w:tcPr>
            <w:tcW w:w="390" w:type="pct"/>
            <w:tcBorders>
              <w:top w:val="nil"/>
              <w:left w:val="nil"/>
              <w:bottom w:val="nil"/>
              <w:right w:val="single" w:sz="4"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color w:val="323E1A"/>
                <w:sz w:val="16"/>
                <w:szCs w:val="16"/>
              </w:rPr>
            </w:pPr>
            <w:r w:rsidRPr="006553E0">
              <w:rPr>
                <w:rFonts w:asciiTheme="minorHAnsi" w:hAnsiTheme="minorHAnsi" w:cstheme="minorHAnsi"/>
                <w:color w:val="323E1A"/>
                <w:sz w:val="16"/>
                <w:szCs w:val="16"/>
              </w:rPr>
              <w:t>4.00</w:t>
            </w:r>
          </w:p>
        </w:tc>
        <w:tc>
          <w:tcPr>
            <w:tcW w:w="288" w:type="pct"/>
            <w:tcBorders>
              <w:top w:val="nil"/>
              <w:left w:val="nil"/>
              <w:bottom w:val="nil"/>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color w:val="323E1A"/>
                <w:sz w:val="16"/>
                <w:szCs w:val="16"/>
              </w:rPr>
            </w:pPr>
            <w:r w:rsidRPr="006553E0">
              <w:rPr>
                <w:rFonts w:asciiTheme="minorHAnsi" w:hAnsiTheme="minorHAnsi" w:cstheme="minorHAnsi"/>
                <w:color w:val="323E1A"/>
                <w:sz w:val="16"/>
                <w:szCs w:val="16"/>
              </w:rPr>
              <w:t>0.1</w:t>
            </w:r>
          </w:p>
        </w:tc>
        <w:tc>
          <w:tcPr>
            <w:tcW w:w="390" w:type="pct"/>
            <w:tcBorders>
              <w:top w:val="nil"/>
              <w:left w:val="nil"/>
              <w:bottom w:val="nil"/>
              <w:right w:val="single" w:sz="4"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color w:val="323E1A"/>
                <w:sz w:val="16"/>
                <w:szCs w:val="16"/>
              </w:rPr>
            </w:pPr>
            <w:r w:rsidRPr="006553E0">
              <w:rPr>
                <w:rFonts w:asciiTheme="minorHAnsi" w:hAnsiTheme="minorHAnsi" w:cstheme="minorHAnsi"/>
                <w:color w:val="323E1A"/>
                <w:sz w:val="16"/>
                <w:szCs w:val="16"/>
              </w:rPr>
              <w:t>4.00</w:t>
            </w:r>
          </w:p>
        </w:tc>
        <w:tc>
          <w:tcPr>
            <w:tcW w:w="288" w:type="pct"/>
            <w:tcBorders>
              <w:top w:val="nil"/>
              <w:left w:val="nil"/>
              <w:bottom w:val="nil"/>
              <w:right w:val="double" w:sz="6" w:space="0" w:color="auto"/>
            </w:tcBorders>
            <w:shd w:val="clear" w:color="auto" w:fill="auto"/>
            <w:noWrap/>
            <w:vAlign w:val="center"/>
            <w:hideMark/>
          </w:tcPr>
          <w:p w:rsidR="00881391" w:rsidRPr="006553E0" w:rsidRDefault="00881391" w:rsidP="003B7168">
            <w:pPr>
              <w:spacing w:line="276" w:lineRule="auto"/>
              <w:jc w:val="right"/>
              <w:rPr>
                <w:rFonts w:asciiTheme="minorHAnsi" w:hAnsiTheme="minorHAnsi" w:cstheme="minorHAnsi"/>
                <w:color w:val="323E1A"/>
                <w:sz w:val="16"/>
                <w:szCs w:val="16"/>
              </w:rPr>
            </w:pPr>
            <w:r w:rsidRPr="006553E0">
              <w:rPr>
                <w:rFonts w:asciiTheme="minorHAnsi" w:hAnsiTheme="minorHAnsi" w:cstheme="minorHAnsi"/>
                <w:color w:val="323E1A"/>
                <w:sz w:val="16"/>
                <w:szCs w:val="16"/>
              </w:rPr>
              <w:t>0.1</w:t>
            </w:r>
          </w:p>
        </w:tc>
      </w:tr>
      <w:tr w:rsidR="00881391" w:rsidRPr="006553E0" w:rsidTr="003B7168">
        <w:trPr>
          <w:trHeight w:hRule="exact" w:val="284"/>
        </w:trPr>
        <w:tc>
          <w:tcPr>
            <w:tcW w:w="1509" w:type="pct"/>
            <w:tcBorders>
              <w:top w:val="nil"/>
              <w:left w:val="double" w:sz="6" w:space="0" w:color="auto"/>
              <w:bottom w:val="double" w:sz="6" w:space="0" w:color="auto"/>
              <w:right w:val="double" w:sz="6" w:space="0" w:color="auto"/>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sz w:val="16"/>
                <w:szCs w:val="16"/>
              </w:rPr>
            </w:pPr>
            <w:r w:rsidRPr="006553E0">
              <w:rPr>
                <w:rFonts w:asciiTheme="minorHAnsi" w:hAnsiTheme="minorHAnsi" w:cstheme="minorHAnsi"/>
                <w:b/>
                <w:bCs/>
                <w:sz w:val="16"/>
                <w:szCs w:val="16"/>
              </w:rPr>
              <w:t>Korišćenje depozita države</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19.56</w:t>
            </w:r>
          </w:p>
        </w:tc>
        <w:tc>
          <w:tcPr>
            <w:tcW w:w="331"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0.52</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-1.23</w:t>
            </w:r>
          </w:p>
        </w:tc>
        <w:tc>
          <w:tcPr>
            <w:tcW w:w="331"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-0.03</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1.15</w:t>
            </w:r>
          </w:p>
        </w:tc>
        <w:tc>
          <w:tcPr>
            <w:tcW w:w="305"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0.03</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2.39</w:t>
            </w:r>
          </w:p>
        </w:tc>
        <w:tc>
          <w:tcPr>
            <w:tcW w:w="288"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0.1</w:t>
            </w:r>
          </w:p>
        </w:tc>
        <w:tc>
          <w:tcPr>
            <w:tcW w:w="390" w:type="pct"/>
            <w:tcBorders>
              <w:top w:val="nil"/>
              <w:left w:val="nil"/>
              <w:bottom w:val="double" w:sz="6" w:space="0" w:color="auto"/>
              <w:right w:val="single" w:sz="4"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1.62</w:t>
            </w:r>
          </w:p>
        </w:tc>
        <w:tc>
          <w:tcPr>
            <w:tcW w:w="288" w:type="pct"/>
            <w:tcBorders>
              <w:top w:val="nil"/>
              <w:left w:val="nil"/>
              <w:bottom w:val="double" w:sz="6" w:space="0" w:color="auto"/>
              <w:right w:val="double" w:sz="6" w:space="0" w:color="auto"/>
            </w:tcBorders>
            <w:shd w:val="clear" w:color="000000" w:fill="FFFFFF"/>
            <w:noWrap/>
            <w:vAlign w:val="center"/>
            <w:hideMark/>
          </w:tcPr>
          <w:p w:rsidR="00881391" w:rsidRPr="006553E0" w:rsidRDefault="00881391" w:rsidP="003B7168">
            <w:pPr>
              <w:spacing w:line="276" w:lineRule="auto"/>
              <w:jc w:val="right"/>
              <w:rPr>
                <w:rFonts w:asciiTheme="minorHAnsi" w:hAnsiTheme="minorHAnsi" w:cstheme="minorHAnsi"/>
                <w:b/>
                <w:bCs/>
                <w:sz w:val="16"/>
                <w:szCs w:val="16"/>
              </w:rPr>
            </w:pPr>
            <w:r w:rsidRPr="006553E0">
              <w:rPr>
                <w:rFonts w:asciiTheme="minorHAnsi" w:hAnsiTheme="minorHAnsi" w:cstheme="minorHAnsi"/>
                <w:b/>
                <w:bCs/>
                <w:sz w:val="16"/>
                <w:szCs w:val="16"/>
              </w:rPr>
              <w:t>0.0</w:t>
            </w:r>
          </w:p>
        </w:tc>
      </w:tr>
      <w:tr w:rsidR="00881391" w:rsidRPr="006553E0" w:rsidTr="003B7168">
        <w:trPr>
          <w:trHeight w:hRule="exact" w:val="284"/>
        </w:trPr>
        <w:tc>
          <w:tcPr>
            <w:tcW w:w="1509" w:type="pct"/>
            <w:tcBorders>
              <w:top w:val="nil"/>
              <w:left w:val="nil"/>
              <w:bottom w:val="nil"/>
              <w:right w:val="nil"/>
            </w:tcBorders>
            <w:shd w:val="clear" w:color="000000" w:fill="FFFFFF"/>
            <w:vAlign w:val="center"/>
            <w:hideMark/>
          </w:tcPr>
          <w:p w:rsidR="00881391" w:rsidRPr="006553E0" w:rsidRDefault="00881391" w:rsidP="003B7168">
            <w:pPr>
              <w:spacing w:line="276" w:lineRule="auto"/>
              <w:rPr>
                <w:rFonts w:asciiTheme="minorHAnsi" w:hAnsiTheme="minorHAnsi" w:cstheme="minorHAnsi"/>
                <w:b/>
                <w:bCs/>
                <w:i/>
                <w:iCs/>
                <w:sz w:val="16"/>
                <w:szCs w:val="16"/>
              </w:rPr>
            </w:pPr>
            <w:r w:rsidRPr="006553E0">
              <w:rPr>
                <w:rFonts w:asciiTheme="minorHAnsi" w:hAnsiTheme="minorHAnsi" w:cstheme="minorHAnsi"/>
                <w:b/>
                <w:bCs/>
                <w:i/>
                <w:iCs/>
                <w:sz w:val="16"/>
                <w:szCs w:val="16"/>
              </w:rPr>
              <w:t>Izvor: Ministarstvo finansija Crne Gore</w:t>
            </w:r>
          </w:p>
        </w:tc>
        <w:tc>
          <w:tcPr>
            <w:tcW w:w="390"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 </w:t>
            </w:r>
          </w:p>
        </w:tc>
        <w:tc>
          <w:tcPr>
            <w:tcW w:w="331"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 </w:t>
            </w:r>
          </w:p>
        </w:tc>
        <w:tc>
          <w:tcPr>
            <w:tcW w:w="390"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rPr>
                <w:rFonts w:asciiTheme="minorHAnsi" w:hAnsiTheme="minorHAnsi" w:cstheme="minorHAnsi"/>
                <w:color w:val="FF0000"/>
                <w:sz w:val="16"/>
                <w:szCs w:val="16"/>
              </w:rPr>
            </w:pPr>
            <w:r w:rsidRPr="006553E0">
              <w:rPr>
                <w:rFonts w:asciiTheme="minorHAnsi" w:hAnsiTheme="minorHAnsi" w:cstheme="minorHAnsi"/>
                <w:color w:val="FF0000"/>
                <w:sz w:val="16"/>
                <w:szCs w:val="16"/>
              </w:rPr>
              <w:t> </w:t>
            </w:r>
          </w:p>
        </w:tc>
        <w:tc>
          <w:tcPr>
            <w:tcW w:w="331"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 </w:t>
            </w:r>
          </w:p>
        </w:tc>
        <w:tc>
          <w:tcPr>
            <w:tcW w:w="390"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 </w:t>
            </w:r>
          </w:p>
        </w:tc>
        <w:tc>
          <w:tcPr>
            <w:tcW w:w="305"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 </w:t>
            </w:r>
          </w:p>
        </w:tc>
        <w:tc>
          <w:tcPr>
            <w:tcW w:w="390"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 </w:t>
            </w:r>
          </w:p>
        </w:tc>
        <w:tc>
          <w:tcPr>
            <w:tcW w:w="288"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 </w:t>
            </w:r>
          </w:p>
        </w:tc>
        <w:tc>
          <w:tcPr>
            <w:tcW w:w="390"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 </w:t>
            </w:r>
          </w:p>
        </w:tc>
        <w:tc>
          <w:tcPr>
            <w:tcW w:w="288" w:type="pct"/>
            <w:tcBorders>
              <w:top w:val="nil"/>
              <w:left w:val="nil"/>
              <w:bottom w:val="nil"/>
              <w:right w:val="nil"/>
            </w:tcBorders>
            <w:shd w:val="clear" w:color="000000" w:fill="FFFFFF"/>
            <w:noWrap/>
            <w:vAlign w:val="bottom"/>
            <w:hideMark/>
          </w:tcPr>
          <w:p w:rsidR="00881391" w:rsidRPr="006553E0" w:rsidRDefault="00881391" w:rsidP="003B7168">
            <w:pPr>
              <w:spacing w:line="276" w:lineRule="auto"/>
              <w:rPr>
                <w:rFonts w:asciiTheme="minorHAnsi" w:hAnsiTheme="minorHAnsi" w:cstheme="minorHAnsi"/>
                <w:sz w:val="16"/>
                <w:szCs w:val="16"/>
              </w:rPr>
            </w:pPr>
            <w:r w:rsidRPr="006553E0">
              <w:rPr>
                <w:rFonts w:asciiTheme="minorHAnsi" w:hAnsiTheme="minorHAnsi" w:cstheme="minorHAnsi"/>
                <w:sz w:val="16"/>
                <w:szCs w:val="16"/>
              </w:rPr>
              <w:t> </w:t>
            </w:r>
          </w:p>
        </w:tc>
      </w:tr>
    </w:tbl>
    <w:p w:rsidR="00881391" w:rsidRDefault="00881391" w:rsidP="002A5250">
      <w:pPr>
        <w:spacing w:line="276" w:lineRule="auto"/>
        <w:rPr>
          <w:rFonts w:asciiTheme="minorHAnsi" w:hAnsiTheme="minorHAnsi" w:cstheme="minorHAnsi"/>
          <w:color w:val="auto"/>
          <w:sz w:val="22"/>
          <w:szCs w:val="22"/>
          <w:lang w:val="pl-PL"/>
        </w:rPr>
        <w:sectPr w:rsidR="00881391" w:rsidSect="004A3780">
          <w:footerReference w:type="default" r:id="rId15"/>
          <w:footerReference w:type="first" r:id="rId16"/>
          <w:pgSz w:w="11906" w:h="16838" w:code="9"/>
          <w:pgMar w:top="1418" w:right="1134" w:bottom="1418" w:left="1418" w:header="709" w:footer="709"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853"/>
        <w:gridCol w:w="850"/>
        <w:gridCol w:w="850"/>
        <w:gridCol w:w="708"/>
        <w:gridCol w:w="848"/>
        <w:gridCol w:w="705"/>
        <w:gridCol w:w="606"/>
        <w:gridCol w:w="811"/>
        <w:gridCol w:w="711"/>
        <w:gridCol w:w="850"/>
        <w:gridCol w:w="848"/>
        <w:gridCol w:w="990"/>
        <w:gridCol w:w="973"/>
        <w:gridCol w:w="74"/>
        <w:gridCol w:w="853"/>
        <w:gridCol w:w="882"/>
      </w:tblGrid>
      <w:tr w:rsidR="006D529F" w:rsidRPr="007509B2" w:rsidTr="00B70C85">
        <w:trPr>
          <w:trHeight w:val="375"/>
          <w:tblHeader/>
        </w:trPr>
        <w:tc>
          <w:tcPr>
            <w:tcW w:w="5000" w:type="pct"/>
            <w:gridSpan w:val="17"/>
            <w:shd w:val="clear" w:color="auto" w:fill="00B050"/>
            <w:vAlign w:val="center"/>
            <w:hideMark/>
          </w:tcPr>
          <w:p w:rsidR="00662FC2" w:rsidRPr="007509B2" w:rsidRDefault="00301EAE" w:rsidP="00915581">
            <w:pPr>
              <w:spacing w:line="240" w:lineRule="auto"/>
              <w:jc w:val="center"/>
              <w:rPr>
                <w:rFonts w:asciiTheme="minorHAnsi" w:hAnsiTheme="minorHAnsi" w:cstheme="minorHAnsi"/>
                <w:b/>
                <w:bCs/>
                <w:sz w:val="16"/>
                <w:szCs w:val="16"/>
              </w:rPr>
            </w:pPr>
            <w:r>
              <w:rPr>
                <w:rFonts w:asciiTheme="minorHAnsi" w:hAnsiTheme="minorHAnsi" w:cstheme="minorHAnsi"/>
                <w:b/>
                <w:bCs/>
                <w:sz w:val="16"/>
                <w:szCs w:val="16"/>
              </w:rPr>
              <w:t xml:space="preserve">Tabela 4. </w:t>
            </w:r>
            <w:r w:rsidR="00915581" w:rsidRPr="007509B2">
              <w:rPr>
                <w:rFonts w:asciiTheme="minorHAnsi" w:hAnsiTheme="minorHAnsi" w:cstheme="minorHAnsi"/>
                <w:b/>
                <w:bCs/>
                <w:sz w:val="16"/>
                <w:szCs w:val="16"/>
              </w:rPr>
              <w:t>I</w:t>
            </w:r>
            <w:r w:rsidR="006D529F" w:rsidRPr="007509B2">
              <w:rPr>
                <w:rFonts w:asciiTheme="minorHAnsi" w:hAnsiTheme="minorHAnsi" w:cstheme="minorHAnsi"/>
                <w:b/>
                <w:bCs/>
                <w:sz w:val="16"/>
                <w:szCs w:val="16"/>
              </w:rPr>
              <w:t>NVESTICIJE 2017-2020</w:t>
            </w:r>
          </w:p>
        </w:tc>
      </w:tr>
      <w:tr w:rsidR="00B70C85" w:rsidRPr="007509B2" w:rsidTr="00B70C85">
        <w:trPr>
          <w:trHeight w:val="300"/>
          <w:tblHeader/>
        </w:trPr>
        <w:tc>
          <w:tcPr>
            <w:tcW w:w="636" w:type="pct"/>
            <w:vMerge w:val="restart"/>
            <w:shd w:val="clear" w:color="auto" w:fill="99FF66"/>
            <w:vAlign w:val="center"/>
            <w:hideMark/>
          </w:tcPr>
          <w:p w:rsidR="006D529F" w:rsidRPr="007509B2" w:rsidRDefault="006D529F" w:rsidP="007509B2">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SEKTOR</w:t>
            </w:r>
          </w:p>
        </w:tc>
        <w:tc>
          <w:tcPr>
            <w:tcW w:w="300"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99"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99"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49"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98" w:type="pct"/>
            <w:shd w:val="clear" w:color="auto" w:fill="99FF66"/>
            <w:noWrap/>
            <w:vAlign w:val="center"/>
            <w:hideMark/>
          </w:tcPr>
          <w:p w:rsidR="006D529F" w:rsidRPr="007509B2" w:rsidRDefault="006D529F" w:rsidP="00A763C3">
            <w:pPr>
              <w:spacing w:line="240" w:lineRule="auto"/>
              <w:rPr>
                <w:rFonts w:asciiTheme="minorHAnsi" w:hAnsiTheme="minorHAnsi" w:cstheme="minorHAnsi"/>
                <w:sz w:val="16"/>
                <w:szCs w:val="16"/>
              </w:rPr>
            </w:pPr>
            <w:r w:rsidRPr="007509B2">
              <w:rPr>
                <w:rFonts w:asciiTheme="minorHAnsi" w:hAnsiTheme="minorHAnsi" w:cstheme="minorHAnsi"/>
                <w:sz w:val="16"/>
                <w:szCs w:val="16"/>
              </w:rPr>
              <w:t> </w:t>
            </w:r>
          </w:p>
        </w:tc>
        <w:tc>
          <w:tcPr>
            <w:tcW w:w="2919" w:type="pct"/>
            <w:gridSpan w:val="11"/>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Izvori sredstava</w:t>
            </w:r>
          </w:p>
        </w:tc>
      </w:tr>
      <w:tr w:rsidR="00B70C85" w:rsidRPr="007509B2" w:rsidTr="00B70C85">
        <w:trPr>
          <w:trHeight w:val="300"/>
          <w:tblHeader/>
        </w:trPr>
        <w:tc>
          <w:tcPr>
            <w:tcW w:w="636" w:type="pct"/>
            <w:vMerge/>
            <w:shd w:val="clear" w:color="auto" w:fill="99FF66"/>
            <w:vAlign w:val="center"/>
            <w:hideMark/>
          </w:tcPr>
          <w:p w:rsidR="006D529F" w:rsidRPr="007509B2" w:rsidRDefault="006D529F" w:rsidP="00A763C3">
            <w:pPr>
              <w:spacing w:line="240" w:lineRule="auto"/>
              <w:rPr>
                <w:rFonts w:asciiTheme="minorHAnsi" w:hAnsiTheme="minorHAnsi" w:cstheme="minorHAnsi"/>
                <w:b/>
                <w:bCs/>
                <w:sz w:val="16"/>
                <w:szCs w:val="16"/>
              </w:rPr>
            </w:pPr>
          </w:p>
        </w:tc>
        <w:tc>
          <w:tcPr>
            <w:tcW w:w="300"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99"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99"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49"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98" w:type="pct"/>
            <w:shd w:val="clear" w:color="auto" w:fill="99FF66"/>
            <w:noWrap/>
            <w:vAlign w:val="center"/>
            <w:hideMark/>
          </w:tcPr>
          <w:p w:rsidR="006D529F" w:rsidRPr="007509B2" w:rsidRDefault="006D529F" w:rsidP="00A763C3">
            <w:pPr>
              <w:spacing w:line="240" w:lineRule="auto"/>
              <w:rPr>
                <w:rFonts w:asciiTheme="minorHAnsi" w:hAnsiTheme="minorHAnsi" w:cstheme="minorHAnsi"/>
                <w:sz w:val="16"/>
                <w:szCs w:val="16"/>
              </w:rPr>
            </w:pPr>
            <w:r w:rsidRPr="007509B2">
              <w:rPr>
                <w:rFonts w:asciiTheme="minorHAnsi" w:hAnsiTheme="minorHAnsi" w:cstheme="minorHAnsi"/>
                <w:sz w:val="16"/>
                <w:szCs w:val="16"/>
              </w:rPr>
              <w:t> </w:t>
            </w:r>
          </w:p>
        </w:tc>
        <w:tc>
          <w:tcPr>
            <w:tcW w:w="1295" w:type="pct"/>
            <w:gridSpan w:val="5"/>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 xml:space="preserve">Sredstva iz javnih izvora </w:t>
            </w:r>
          </w:p>
        </w:tc>
        <w:tc>
          <w:tcPr>
            <w:tcW w:w="1314" w:type="pct"/>
            <w:gridSpan w:val="5"/>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 xml:space="preserve">Ostali izvori </w:t>
            </w:r>
          </w:p>
        </w:tc>
        <w:tc>
          <w:tcPr>
            <w:tcW w:w="310" w:type="pct"/>
            <w:vMerge w:val="restar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Ukupno 2017-2020 (1+2)</w:t>
            </w:r>
          </w:p>
        </w:tc>
      </w:tr>
      <w:tr w:rsidR="00B70C85" w:rsidRPr="007509B2" w:rsidTr="00B70C85">
        <w:trPr>
          <w:trHeight w:val="720"/>
          <w:tblHeader/>
        </w:trPr>
        <w:tc>
          <w:tcPr>
            <w:tcW w:w="636" w:type="pct"/>
            <w:vMerge/>
            <w:shd w:val="clear" w:color="auto" w:fill="99FF66"/>
            <w:vAlign w:val="center"/>
            <w:hideMark/>
          </w:tcPr>
          <w:p w:rsidR="006D529F" w:rsidRPr="007509B2" w:rsidRDefault="006D529F" w:rsidP="00A763C3">
            <w:pPr>
              <w:spacing w:line="240" w:lineRule="auto"/>
              <w:rPr>
                <w:rFonts w:asciiTheme="minorHAnsi" w:hAnsiTheme="minorHAnsi" w:cstheme="minorHAnsi"/>
                <w:b/>
                <w:bCs/>
                <w:sz w:val="16"/>
                <w:szCs w:val="16"/>
              </w:rPr>
            </w:pPr>
          </w:p>
        </w:tc>
        <w:tc>
          <w:tcPr>
            <w:tcW w:w="300"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Plan u 2017.</w:t>
            </w:r>
          </w:p>
        </w:tc>
        <w:tc>
          <w:tcPr>
            <w:tcW w:w="299"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Plan u 2018.</w:t>
            </w:r>
          </w:p>
        </w:tc>
        <w:tc>
          <w:tcPr>
            <w:tcW w:w="299"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Plan u 2019</w:t>
            </w:r>
            <w:r w:rsidR="00B70C85">
              <w:rPr>
                <w:rFonts w:asciiTheme="minorHAnsi" w:hAnsiTheme="minorHAnsi" w:cstheme="minorHAnsi"/>
                <w:b/>
                <w:bCs/>
                <w:sz w:val="16"/>
                <w:szCs w:val="16"/>
              </w:rPr>
              <w:t>.</w:t>
            </w:r>
          </w:p>
        </w:tc>
        <w:tc>
          <w:tcPr>
            <w:tcW w:w="249"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Plan u 2020</w:t>
            </w:r>
          </w:p>
        </w:tc>
        <w:tc>
          <w:tcPr>
            <w:tcW w:w="298"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Ukupno 2017-2020</w:t>
            </w:r>
          </w:p>
        </w:tc>
        <w:tc>
          <w:tcPr>
            <w:tcW w:w="248"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Budžet CG</w:t>
            </w:r>
          </w:p>
        </w:tc>
        <w:tc>
          <w:tcPr>
            <w:tcW w:w="213" w:type="pct"/>
            <w:shd w:val="clear" w:color="auto" w:fill="99FF66"/>
            <w:vAlign w:val="center"/>
            <w:hideMark/>
          </w:tcPr>
          <w:p w:rsidR="006D529F" w:rsidRPr="007509B2" w:rsidRDefault="006D529F" w:rsidP="00B70C85">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Budž</w:t>
            </w:r>
            <w:r w:rsidR="00B70C85">
              <w:rPr>
                <w:rFonts w:asciiTheme="minorHAnsi" w:hAnsiTheme="minorHAnsi" w:cstheme="minorHAnsi"/>
                <w:b/>
                <w:bCs/>
                <w:sz w:val="16"/>
                <w:szCs w:val="16"/>
              </w:rPr>
              <w:t>.</w:t>
            </w:r>
            <w:r w:rsidRPr="007509B2">
              <w:rPr>
                <w:rFonts w:asciiTheme="minorHAnsi" w:hAnsiTheme="minorHAnsi" w:cstheme="minorHAnsi"/>
                <w:b/>
                <w:bCs/>
                <w:sz w:val="16"/>
                <w:szCs w:val="16"/>
              </w:rPr>
              <w:t xml:space="preserve"> LS</w:t>
            </w:r>
          </w:p>
        </w:tc>
        <w:tc>
          <w:tcPr>
            <w:tcW w:w="285"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Krediti</w:t>
            </w:r>
          </w:p>
        </w:tc>
        <w:tc>
          <w:tcPr>
            <w:tcW w:w="250" w:type="pct"/>
            <w:shd w:val="clear" w:color="auto" w:fill="99FF66"/>
            <w:vAlign w:val="center"/>
            <w:hideMark/>
          </w:tcPr>
          <w:p w:rsidR="006D529F" w:rsidRPr="007509B2" w:rsidRDefault="006D529F" w:rsidP="00B70C85">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EU sreds</w:t>
            </w:r>
            <w:r w:rsidR="00B70C85">
              <w:rPr>
                <w:rFonts w:asciiTheme="minorHAnsi" w:hAnsiTheme="minorHAnsi" w:cstheme="minorHAnsi"/>
                <w:b/>
                <w:bCs/>
                <w:sz w:val="16"/>
                <w:szCs w:val="16"/>
              </w:rPr>
              <w:t>.</w:t>
            </w:r>
          </w:p>
        </w:tc>
        <w:tc>
          <w:tcPr>
            <w:tcW w:w="299"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Ukupno</w:t>
            </w:r>
          </w:p>
        </w:tc>
        <w:tc>
          <w:tcPr>
            <w:tcW w:w="298"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Privatna sredstva</w:t>
            </w:r>
          </w:p>
        </w:tc>
        <w:tc>
          <w:tcPr>
            <w:tcW w:w="348"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Donacije</w:t>
            </w:r>
          </w:p>
        </w:tc>
        <w:tc>
          <w:tcPr>
            <w:tcW w:w="368" w:type="pct"/>
            <w:gridSpan w:val="2"/>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Sr. komp.u vec.drž.vlasništvu</w:t>
            </w:r>
          </w:p>
        </w:tc>
        <w:tc>
          <w:tcPr>
            <w:tcW w:w="300" w:type="pct"/>
            <w:shd w:val="clear" w:color="auto" w:fill="99FF66"/>
            <w:vAlign w:val="center"/>
            <w:hideMark/>
          </w:tcPr>
          <w:p w:rsidR="006D529F" w:rsidRPr="007509B2" w:rsidRDefault="006D529F" w:rsidP="00A763C3">
            <w:pPr>
              <w:spacing w:line="240" w:lineRule="auto"/>
              <w:jc w:val="center"/>
              <w:rPr>
                <w:rFonts w:asciiTheme="minorHAnsi" w:hAnsiTheme="minorHAnsi" w:cstheme="minorHAnsi"/>
                <w:b/>
                <w:bCs/>
                <w:sz w:val="16"/>
                <w:szCs w:val="16"/>
              </w:rPr>
            </w:pPr>
            <w:r w:rsidRPr="007509B2">
              <w:rPr>
                <w:rFonts w:asciiTheme="minorHAnsi" w:hAnsiTheme="minorHAnsi" w:cstheme="minorHAnsi"/>
                <w:b/>
                <w:bCs/>
                <w:sz w:val="16"/>
                <w:szCs w:val="16"/>
              </w:rPr>
              <w:t>Ukupno</w:t>
            </w:r>
          </w:p>
        </w:tc>
        <w:tc>
          <w:tcPr>
            <w:tcW w:w="310" w:type="pct"/>
            <w:vMerge/>
            <w:shd w:val="clear" w:color="auto" w:fill="99FF66"/>
            <w:vAlign w:val="center"/>
            <w:hideMark/>
          </w:tcPr>
          <w:p w:rsidR="006D529F" w:rsidRPr="007509B2" w:rsidRDefault="006D529F" w:rsidP="00A763C3">
            <w:pPr>
              <w:spacing w:line="240" w:lineRule="auto"/>
              <w:rPr>
                <w:rFonts w:asciiTheme="minorHAnsi" w:hAnsiTheme="minorHAnsi" w:cstheme="minorHAnsi"/>
                <w:b/>
                <w:bCs/>
                <w:sz w:val="16"/>
                <w:szCs w:val="16"/>
              </w:rPr>
            </w:pPr>
          </w:p>
        </w:tc>
      </w:tr>
      <w:tr w:rsidR="00B70C85" w:rsidRPr="007509B2" w:rsidTr="00B70C85">
        <w:trPr>
          <w:trHeight w:val="315"/>
        </w:trPr>
        <w:tc>
          <w:tcPr>
            <w:tcW w:w="636" w:type="pct"/>
            <w:shd w:val="clear" w:color="auto" w:fill="auto"/>
            <w:vAlign w:val="center"/>
            <w:hideMark/>
          </w:tcPr>
          <w:p w:rsidR="006D529F" w:rsidRPr="007509B2" w:rsidRDefault="006D529F" w:rsidP="00915581">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SAOBRAĆAJ</w:t>
            </w:r>
          </w:p>
        </w:tc>
        <w:tc>
          <w:tcPr>
            <w:tcW w:w="30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278,9</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422,9</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150,7</w:t>
            </w:r>
          </w:p>
        </w:tc>
        <w:tc>
          <w:tcPr>
            <w:tcW w:w="24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1,4</w:t>
            </w:r>
          </w:p>
        </w:tc>
        <w:tc>
          <w:tcPr>
            <w:tcW w:w="29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853,9</w:t>
            </w:r>
          </w:p>
        </w:tc>
        <w:tc>
          <w:tcPr>
            <w:tcW w:w="248" w:type="pct"/>
            <w:shd w:val="clear" w:color="auto" w:fill="auto"/>
            <w:vAlign w:val="center"/>
            <w:hideMark/>
          </w:tcPr>
          <w:p w:rsidR="006D529F" w:rsidRPr="007509B2" w:rsidRDefault="006D529F" w:rsidP="007509B2">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188,</w:t>
            </w:r>
            <w:r w:rsidR="007509B2">
              <w:rPr>
                <w:rFonts w:asciiTheme="minorHAnsi" w:hAnsiTheme="minorHAnsi" w:cstheme="minorHAnsi"/>
                <w:b/>
                <w:bCs/>
                <w:sz w:val="16"/>
                <w:szCs w:val="16"/>
              </w:rPr>
              <w:t>2</w:t>
            </w:r>
          </w:p>
        </w:tc>
        <w:tc>
          <w:tcPr>
            <w:tcW w:w="213"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85"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661,4</w:t>
            </w:r>
          </w:p>
        </w:tc>
        <w:tc>
          <w:tcPr>
            <w:tcW w:w="25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4,0</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853,6</w:t>
            </w:r>
          </w:p>
        </w:tc>
        <w:tc>
          <w:tcPr>
            <w:tcW w:w="298"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48"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68" w:type="pct"/>
            <w:gridSpan w:val="2"/>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0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31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853,6</w:t>
            </w:r>
          </w:p>
        </w:tc>
      </w:tr>
      <w:tr w:rsidR="00B70C85" w:rsidRPr="007509B2" w:rsidTr="00B70C85">
        <w:trPr>
          <w:trHeight w:val="630"/>
        </w:trPr>
        <w:tc>
          <w:tcPr>
            <w:tcW w:w="636"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I Autoput Bar-Boljare (dionica Smokovac-Uvač-Mateševo)</w:t>
            </w:r>
          </w:p>
        </w:tc>
        <w:tc>
          <w:tcPr>
            <w:tcW w:w="30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180,5</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280,0</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74,6</w:t>
            </w:r>
          </w:p>
        </w:tc>
        <w:tc>
          <w:tcPr>
            <w:tcW w:w="249"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9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535,1</w:t>
            </w:r>
          </w:p>
        </w:tc>
        <w:tc>
          <w:tcPr>
            <w:tcW w:w="248" w:type="pct"/>
            <w:shd w:val="clear" w:color="auto" w:fill="auto"/>
            <w:vAlign w:val="center"/>
            <w:hideMark/>
          </w:tcPr>
          <w:p w:rsidR="006D529F" w:rsidRPr="007509B2" w:rsidRDefault="006D529F" w:rsidP="007509B2">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80,</w:t>
            </w:r>
            <w:r w:rsidR="007509B2">
              <w:rPr>
                <w:rFonts w:asciiTheme="minorHAnsi" w:hAnsiTheme="minorHAnsi" w:cstheme="minorHAnsi"/>
                <w:b/>
                <w:bCs/>
                <w:sz w:val="16"/>
                <w:szCs w:val="16"/>
              </w:rPr>
              <w:t>3</w:t>
            </w:r>
          </w:p>
        </w:tc>
        <w:tc>
          <w:tcPr>
            <w:tcW w:w="213"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85"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454,8</w:t>
            </w:r>
          </w:p>
        </w:tc>
        <w:tc>
          <w:tcPr>
            <w:tcW w:w="250"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535,1</w:t>
            </w:r>
          </w:p>
        </w:tc>
        <w:tc>
          <w:tcPr>
            <w:tcW w:w="298"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48"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68" w:type="pct"/>
            <w:gridSpan w:val="2"/>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0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31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535,1</w:t>
            </w:r>
          </w:p>
        </w:tc>
      </w:tr>
      <w:tr w:rsidR="00B70C85" w:rsidRPr="007509B2" w:rsidTr="00B70C85">
        <w:trPr>
          <w:trHeight w:val="315"/>
        </w:trPr>
        <w:tc>
          <w:tcPr>
            <w:tcW w:w="636"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II Regionalni i magistralni putevi</w:t>
            </w:r>
          </w:p>
        </w:tc>
        <w:tc>
          <w:tcPr>
            <w:tcW w:w="30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79,5</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105,0</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66,7</w:t>
            </w:r>
          </w:p>
        </w:tc>
        <w:tc>
          <w:tcPr>
            <w:tcW w:w="24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9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251,2</w:t>
            </w:r>
          </w:p>
        </w:tc>
        <w:tc>
          <w:tcPr>
            <w:tcW w:w="24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74,1</w:t>
            </w:r>
          </w:p>
        </w:tc>
        <w:tc>
          <w:tcPr>
            <w:tcW w:w="213"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85"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177,1</w:t>
            </w:r>
          </w:p>
        </w:tc>
        <w:tc>
          <w:tcPr>
            <w:tcW w:w="250"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251,2</w:t>
            </w:r>
          </w:p>
        </w:tc>
        <w:tc>
          <w:tcPr>
            <w:tcW w:w="298"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48"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68" w:type="pct"/>
            <w:gridSpan w:val="2"/>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0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31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251,2</w:t>
            </w:r>
          </w:p>
        </w:tc>
      </w:tr>
      <w:tr w:rsidR="00B70C85" w:rsidRPr="007509B2" w:rsidTr="00B70C85">
        <w:trPr>
          <w:trHeight w:val="315"/>
        </w:trPr>
        <w:tc>
          <w:tcPr>
            <w:tcW w:w="636"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xml:space="preserve">III  Vazdušni saobraćaj </w:t>
            </w:r>
          </w:p>
        </w:tc>
        <w:tc>
          <w:tcPr>
            <w:tcW w:w="30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0,2</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29,5</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4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9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29,7</w:t>
            </w:r>
          </w:p>
        </w:tc>
        <w:tc>
          <w:tcPr>
            <w:tcW w:w="24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13"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85"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29,5</w:t>
            </w:r>
          </w:p>
        </w:tc>
        <w:tc>
          <w:tcPr>
            <w:tcW w:w="25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99"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2</w:t>
            </w:r>
            <w:r w:rsidR="007509B2">
              <w:rPr>
                <w:rFonts w:asciiTheme="minorHAnsi" w:hAnsiTheme="minorHAnsi" w:cstheme="minorHAnsi"/>
                <w:b/>
                <w:bCs/>
                <w:sz w:val="16"/>
                <w:szCs w:val="16"/>
              </w:rPr>
              <w:t>9,5</w:t>
            </w:r>
          </w:p>
        </w:tc>
        <w:tc>
          <w:tcPr>
            <w:tcW w:w="298"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48"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42"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26" w:type="pct"/>
            <w:gridSpan w:val="2"/>
            <w:shd w:val="clear" w:color="auto" w:fill="auto"/>
            <w:vAlign w:val="center"/>
            <w:hideMark/>
          </w:tcPr>
          <w:p w:rsidR="006D529F" w:rsidRPr="007509B2" w:rsidRDefault="00B70C85" w:rsidP="001D76E3">
            <w:pPr>
              <w:spacing w:line="240" w:lineRule="auto"/>
              <w:ind w:left="-250"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31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29,5</w:t>
            </w:r>
          </w:p>
        </w:tc>
      </w:tr>
      <w:tr w:rsidR="00B70C85" w:rsidRPr="007509B2" w:rsidTr="00B70C85">
        <w:trPr>
          <w:trHeight w:val="315"/>
        </w:trPr>
        <w:tc>
          <w:tcPr>
            <w:tcW w:w="636"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IV  Željeznički saobraćaj</w:t>
            </w:r>
          </w:p>
        </w:tc>
        <w:tc>
          <w:tcPr>
            <w:tcW w:w="30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17,5</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8,1</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6,8</w:t>
            </w:r>
          </w:p>
        </w:tc>
        <w:tc>
          <w:tcPr>
            <w:tcW w:w="249"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1,4</w:t>
            </w:r>
          </w:p>
        </w:tc>
        <w:tc>
          <w:tcPr>
            <w:tcW w:w="29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33,8</w:t>
            </w:r>
          </w:p>
        </w:tc>
        <w:tc>
          <w:tcPr>
            <w:tcW w:w="24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33,8</w:t>
            </w:r>
          </w:p>
        </w:tc>
        <w:tc>
          <w:tcPr>
            <w:tcW w:w="213"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85"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5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33,8</w:t>
            </w:r>
          </w:p>
        </w:tc>
        <w:tc>
          <w:tcPr>
            <w:tcW w:w="298"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48"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68" w:type="pct"/>
            <w:gridSpan w:val="2"/>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0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31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33,8</w:t>
            </w:r>
          </w:p>
        </w:tc>
      </w:tr>
      <w:tr w:rsidR="00B70C85" w:rsidRPr="007509B2" w:rsidTr="00B70C85">
        <w:trPr>
          <w:trHeight w:val="315"/>
        </w:trPr>
        <w:tc>
          <w:tcPr>
            <w:tcW w:w="636"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V Pomorski saobaćaj</w:t>
            </w:r>
          </w:p>
        </w:tc>
        <w:tc>
          <w:tcPr>
            <w:tcW w:w="30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1,2</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0,3</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2,6</w:t>
            </w:r>
          </w:p>
        </w:tc>
        <w:tc>
          <w:tcPr>
            <w:tcW w:w="24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9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4,0</w:t>
            </w:r>
          </w:p>
        </w:tc>
        <w:tc>
          <w:tcPr>
            <w:tcW w:w="248"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13"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85"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5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4,0</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4,0</w:t>
            </w:r>
          </w:p>
        </w:tc>
        <w:tc>
          <w:tcPr>
            <w:tcW w:w="298"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48"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68" w:type="pct"/>
            <w:gridSpan w:val="2"/>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0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31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4,0</w:t>
            </w:r>
          </w:p>
        </w:tc>
      </w:tr>
      <w:tr w:rsidR="00B70C85" w:rsidRPr="007509B2" w:rsidTr="00B70C85">
        <w:trPr>
          <w:trHeight w:val="315"/>
        </w:trPr>
        <w:tc>
          <w:tcPr>
            <w:tcW w:w="636"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TELEKOMUNIKACIJE</w:t>
            </w:r>
          </w:p>
        </w:tc>
        <w:tc>
          <w:tcPr>
            <w:tcW w:w="300"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41,5</w:t>
            </w:r>
          </w:p>
        </w:tc>
        <w:tc>
          <w:tcPr>
            <w:tcW w:w="299"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32,2</w:t>
            </w:r>
          </w:p>
        </w:tc>
        <w:tc>
          <w:tcPr>
            <w:tcW w:w="299"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25,7</w:t>
            </w:r>
          </w:p>
        </w:tc>
        <w:tc>
          <w:tcPr>
            <w:tcW w:w="249"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17,9</w:t>
            </w:r>
          </w:p>
        </w:tc>
        <w:tc>
          <w:tcPr>
            <w:tcW w:w="298"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117,3</w:t>
            </w:r>
          </w:p>
        </w:tc>
        <w:tc>
          <w:tcPr>
            <w:tcW w:w="248"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13"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85"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50"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99"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7,7</w:t>
            </w:r>
          </w:p>
        </w:tc>
        <w:tc>
          <w:tcPr>
            <w:tcW w:w="298"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48"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68" w:type="pct"/>
            <w:gridSpan w:val="2"/>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00" w:type="pct"/>
            <w:shd w:val="clear" w:color="auto" w:fill="auto"/>
            <w:vAlign w:val="center"/>
            <w:hideMark/>
          </w:tcPr>
          <w:p w:rsidR="006D529F" w:rsidRPr="007509B2" w:rsidRDefault="00B70C85"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109,6</w:t>
            </w:r>
          </w:p>
        </w:tc>
        <w:tc>
          <w:tcPr>
            <w:tcW w:w="310" w:type="pct"/>
            <w:shd w:val="clear" w:color="auto" w:fill="auto"/>
            <w:vAlign w:val="center"/>
            <w:hideMark/>
          </w:tcPr>
          <w:p w:rsidR="006D529F" w:rsidRPr="007509B2" w:rsidRDefault="006D529F" w:rsidP="00A763C3">
            <w:pPr>
              <w:spacing w:line="240" w:lineRule="auto"/>
              <w:jc w:val="right"/>
              <w:rPr>
                <w:rFonts w:asciiTheme="minorHAnsi" w:hAnsiTheme="minorHAnsi" w:cstheme="minorHAnsi"/>
                <w:b/>
                <w:bCs/>
                <w:sz w:val="16"/>
                <w:szCs w:val="16"/>
              </w:rPr>
            </w:pPr>
            <w:r w:rsidRPr="007509B2">
              <w:rPr>
                <w:rFonts w:asciiTheme="minorHAnsi" w:hAnsiTheme="minorHAnsi" w:cstheme="minorHAnsi"/>
                <w:b/>
                <w:bCs/>
                <w:sz w:val="16"/>
                <w:szCs w:val="16"/>
              </w:rPr>
              <w:t>117,3</w:t>
            </w:r>
          </w:p>
        </w:tc>
      </w:tr>
      <w:tr w:rsidR="00B70C85" w:rsidRPr="007509B2" w:rsidTr="00B70C85">
        <w:trPr>
          <w:trHeight w:val="315"/>
        </w:trPr>
        <w:tc>
          <w:tcPr>
            <w:tcW w:w="636"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xml:space="preserve">ENERGETIKA </w:t>
            </w:r>
          </w:p>
        </w:tc>
        <w:tc>
          <w:tcPr>
            <w:tcW w:w="30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205,9</w:t>
            </w:r>
          </w:p>
        </w:tc>
        <w:tc>
          <w:tcPr>
            <w:tcW w:w="299" w:type="pct"/>
            <w:shd w:val="clear" w:color="auto" w:fill="auto"/>
            <w:vAlign w:val="center"/>
            <w:hideMark/>
          </w:tcPr>
          <w:p w:rsidR="006D529F" w:rsidRPr="007509B2" w:rsidRDefault="006D529F" w:rsidP="007509B2">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199,0</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242,2</w:t>
            </w:r>
          </w:p>
        </w:tc>
        <w:tc>
          <w:tcPr>
            <w:tcW w:w="24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228,7</w:t>
            </w:r>
          </w:p>
        </w:tc>
        <w:tc>
          <w:tcPr>
            <w:tcW w:w="29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875,8</w:t>
            </w:r>
          </w:p>
        </w:tc>
        <w:tc>
          <w:tcPr>
            <w:tcW w:w="248"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0</w:t>
            </w:r>
            <w:r w:rsidR="007509B2">
              <w:rPr>
                <w:rFonts w:asciiTheme="minorHAnsi" w:hAnsiTheme="minorHAnsi" w:cstheme="minorHAnsi"/>
                <w:b/>
                <w:bCs/>
                <w:sz w:val="16"/>
                <w:szCs w:val="16"/>
              </w:rPr>
              <w:t>,0</w:t>
            </w:r>
          </w:p>
        </w:tc>
        <w:tc>
          <w:tcPr>
            <w:tcW w:w="213"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85"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14,9</w:t>
            </w:r>
          </w:p>
        </w:tc>
        <w:tc>
          <w:tcPr>
            <w:tcW w:w="25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14,9</w:t>
            </w:r>
          </w:p>
        </w:tc>
        <w:tc>
          <w:tcPr>
            <w:tcW w:w="29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799,2</w:t>
            </w:r>
          </w:p>
        </w:tc>
        <w:tc>
          <w:tcPr>
            <w:tcW w:w="348"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2,3</w:t>
            </w:r>
          </w:p>
        </w:tc>
        <w:tc>
          <w:tcPr>
            <w:tcW w:w="368" w:type="pct"/>
            <w:gridSpan w:val="2"/>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59,4</w:t>
            </w:r>
          </w:p>
        </w:tc>
        <w:tc>
          <w:tcPr>
            <w:tcW w:w="30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860,9</w:t>
            </w:r>
          </w:p>
        </w:tc>
        <w:tc>
          <w:tcPr>
            <w:tcW w:w="310" w:type="pct"/>
            <w:shd w:val="clear" w:color="auto" w:fill="auto"/>
            <w:vAlign w:val="center"/>
            <w:hideMark/>
          </w:tcPr>
          <w:p w:rsidR="006D529F" w:rsidRPr="007509B2" w:rsidRDefault="006D529F" w:rsidP="00A763C3">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8</w:t>
            </w:r>
            <w:r w:rsidR="00B70C85">
              <w:rPr>
                <w:rFonts w:asciiTheme="minorHAnsi" w:hAnsiTheme="minorHAnsi" w:cstheme="minorHAnsi"/>
                <w:b/>
                <w:bCs/>
                <w:sz w:val="16"/>
                <w:szCs w:val="16"/>
              </w:rPr>
              <w:t>75,8</w:t>
            </w:r>
          </w:p>
        </w:tc>
      </w:tr>
      <w:tr w:rsidR="00B70C85" w:rsidRPr="007509B2" w:rsidTr="00B70C85">
        <w:trPr>
          <w:trHeight w:val="315"/>
        </w:trPr>
        <w:tc>
          <w:tcPr>
            <w:tcW w:w="636"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VAĐENJE RUDE I KAMENA</w:t>
            </w:r>
          </w:p>
        </w:tc>
        <w:tc>
          <w:tcPr>
            <w:tcW w:w="300"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6,1</w:t>
            </w:r>
          </w:p>
        </w:tc>
        <w:tc>
          <w:tcPr>
            <w:tcW w:w="299"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5,2</w:t>
            </w:r>
          </w:p>
        </w:tc>
        <w:tc>
          <w:tcPr>
            <w:tcW w:w="299"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3,4</w:t>
            </w:r>
          </w:p>
        </w:tc>
        <w:tc>
          <w:tcPr>
            <w:tcW w:w="249"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3,0</w:t>
            </w:r>
          </w:p>
        </w:tc>
        <w:tc>
          <w:tcPr>
            <w:tcW w:w="298"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17,7</w:t>
            </w:r>
          </w:p>
        </w:tc>
        <w:tc>
          <w:tcPr>
            <w:tcW w:w="248"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13"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85"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50"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99"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298"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17,7</w:t>
            </w:r>
          </w:p>
        </w:tc>
        <w:tc>
          <w:tcPr>
            <w:tcW w:w="348"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68" w:type="pct"/>
            <w:gridSpan w:val="2"/>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 </w:t>
            </w:r>
          </w:p>
        </w:tc>
        <w:tc>
          <w:tcPr>
            <w:tcW w:w="300" w:type="pct"/>
            <w:shd w:val="clear" w:color="auto" w:fill="auto"/>
            <w:vAlign w:val="center"/>
            <w:hideMark/>
          </w:tcPr>
          <w:p w:rsidR="006D529F" w:rsidRPr="007509B2" w:rsidRDefault="00B70C85"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17,7</w:t>
            </w:r>
          </w:p>
        </w:tc>
        <w:tc>
          <w:tcPr>
            <w:tcW w:w="310" w:type="pct"/>
            <w:shd w:val="clear" w:color="auto" w:fill="auto"/>
            <w:vAlign w:val="center"/>
            <w:hideMark/>
          </w:tcPr>
          <w:p w:rsidR="006D529F" w:rsidRPr="007509B2" w:rsidRDefault="00B70C85"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17,7</w:t>
            </w:r>
          </w:p>
        </w:tc>
      </w:tr>
      <w:tr w:rsidR="00B70C85" w:rsidRPr="007509B2" w:rsidTr="00B70C85">
        <w:trPr>
          <w:trHeight w:val="315"/>
        </w:trPr>
        <w:tc>
          <w:tcPr>
            <w:tcW w:w="636"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INDUSTRIJA</w:t>
            </w:r>
          </w:p>
        </w:tc>
        <w:tc>
          <w:tcPr>
            <w:tcW w:w="300"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29,4</w:t>
            </w:r>
          </w:p>
        </w:tc>
        <w:tc>
          <w:tcPr>
            <w:tcW w:w="299"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17,6</w:t>
            </w:r>
          </w:p>
        </w:tc>
        <w:tc>
          <w:tcPr>
            <w:tcW w:w="299"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19,2</w:t>
            </w:r>
          </w:p>
        </w:tc>
        <w:tc>
          <w:tcPr>
            <w:tcW w:w="249"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9,3</w:t>
            </w:r>
          </w:p>
        </w:tc>
        <w:tc>
          <w:tcPr>
            <w:tcW w:w="298" w:type="pct"/>
            <w:shd w:val="clear" w:color="auto" w:fill="auto"/>
            <w:vAlign w:val="center"/>
            <w:hideMark/>
          </w:tcPr>
          <w:p w:rsidR="006D529F" w:rsidRPr="007509B2" w:rsidRDefault="006D529F" w:rsidP="00A763C3">
            <w:pPr>
              <w:spacing w:line="240" w:lineRule="auto"/>
              <w:jc w:val="right"/>
              <w:rPr>
                <w:rFonts w:asciiTheme="minorHAnsi" w:hAnsiTheme="minorHAnsi" w:cstheme="minorHAnsi"/>
                <w:b/>
                <w:bCs/>
                <w:sz w:val="16"/>
                <w:szCs w:val="16"/>
              </w:rPr>
            </w:pPr>
            <w:r w:rsidRPr="007509B2">
              <w:rPr>
                <w:rFonts w:asciiTheme="minorHAnsi" w:hAnsiTheme="minorHAnsi" w:cstheme="minorHAnsi"/>
                <w:b/>
                <w:bCs/>
                <w:sz w:val="16"/>
                <w:szCs w:val="16"/>
              </w:rPr>
              <w:t>75,</w:t>
            </w:r>
            <w:r w:rsidR="007509B2">
              <w:rPr>
                <w:rFonts w:asciiTheme="minorHAnsi" w:hAnsiTheme="minorHAnsi" w:cstheme="minorHAnsi"/>
                <w:b/>
                <w:bCs/>
                <w:sz w:val="16"/>
                <w:szCs w:val="16"/>
              </w:rPr>
              <w:t>6</w:t>
            </w:r>
          </w:p>
        </w:tc>
        <w:tc>
          <w:tcPr>
            <w:tcW w:w="248"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8,2</w:t>
            </w:r>
          </w:p>
        </w:tc>
        <w:tc>
          <w:tcPr>
            <w:tcW w:w="213"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85"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50"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99"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8,3</w:t>
            </w:r>
          </w:p>
        </w:tc>
        <w:tc>
          <w:tcPr>
            <w:tcW w:w="298" w:type="pct"/>
            <w:shd w:val="clear" w:color="auto" w:fill="auto"/>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67,2</w:t>
            </w:r>
          </w:p>
        </w:tc>
        <w:tc>
          <w:tcPr>
            <w:tcW w:w="348" w:type="pct"/>
            <w:shd w:val="clear" w:color="auto" w:fill="auto"/>
            <w:vAlign w:val="center"/>
            <w:hideMark/>
          </w:tcPr>
          <w:p w:rsidR="006D529F" w:rsidRPr="007509B2" w:rsidRDefault="00B70C85"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368" w:type="pct"/>
            <w:gridSpan w:val="2"/>
            <w:shd w:val="clear" w:color="auto" w:fill="auto"/>
            <w:vAlign w:val="center"/>
            <w:hideMark/>
          </w:tcPr>
          <w:p w:rsidR="006D529F" w:rsidRPr="007509B2" w:rsidRDefault="00B70C85"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300" w:type="pct"/>
            <w:shd w:val="clear" w:color="auto" w:fill="auto"/>
            <w:vAlign w:val="center"/>
            <w:hideMark/>
          </w:tcPr>
          <w:p w:rsidR="006D529F" w:rsidRPr="007509B2" w:rsidRDefault="00B70C85"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67,2</w:t>
            </w:r>
          </w:p>
        </w:tc>
        <w:tc>
          <w:tcPr>
            <w:tcW w:w="310" w:type="pct"/>
            <w:shd w:val="clear" w:color="auto" w:fill="auto"/>
            <w:vAlign w:val="center"/>
            <w:hideMark/>
          </w:tcPr>
          <w:p w:rsidR="006D529F" w:rsidRPr="007509B2" w:rsidRDefault="00B70C85"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75,5</w:t>
            </w:r>
          </w:p>
        </w:tc>
      </w:tr>
      <w:tr w:rsidR="00B70C85" w:rsidRPr="007509B2" w:rsidTr="00B70C85">
        <w:trPr>
          <w:trHeight w:val="315"/>
        </w:trPr>
        <w:tc>
          <w:tcPr>
            <w:tcW w:w="636"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TURIZAM</w:t>
            </w:r>
          </w:p>
        </w:tc>
        <w:tc>
          <w:tcPr>
            <w:tcW w:w="30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242,7</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354,3</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317,8</w:t>
            </w:r>
          </w:p>
        </w:tc>
        <w:tc>
          <w:tcPr>
            <w:tcW w:w="24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29,3</w:t>
            </w:r>
          </w:p>
        </w:tc>
        <w:tc>
          <w:tcPr>
            <w:tcW w:w="29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944,1</w:t>
            </w:r>
          </w:p>
        </w:tc>
        <w:tc>
          <w:tcPr>
            <w:tcW w:w="24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85,5</w:t>
            </w:r>
          </w:p>
        </w:tc>
        <w:tc>
          <w:tcPr>
            <w:tcW w:w="213"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85"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5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85,5</w:t>
            </w:r>
          </w:p>
        </w:tc>
        <w:tc>
          <w:tcPr>
            <w:tcW w:w="29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858,6</w:t>
            </w:r>
          </w:p>
        </w:tc>
        <w:tc>
          <w:tcPr>
            <w:tcW w:w="348"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368" w:type="pct"/>
            <w:gridSpan w:val="2"/>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30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858,6</w:t>
            </w:r>
          </w:p>
        </w:tc>
        <w:tc>
          <w:tcPr>
            <w:tcW w:w="31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944,1</w:t>
            </w:r>
          </w:p>
        </w:tc>
      </w:tr>
      <w:tr w:rsidR="00B70C85" w:rsidRPr="007509B2" w:rsidTr="00B70C85">
        <w:trPr>
          <w:trHeight w:val="315"/>
        </w:trPr>
        <w:tc>
          <w:tcPr>
            <w:tcW w:w="636"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POLJOPRIVREDA</w:t>
            </w:r>
          </w:p>
        </w:tc>
        <w:tc>
          <w:tcPr>
            <w:tcW w:w="300" w:type="pct"/>
            <w:shd w:val="clear" w:color="auto" w:fill="auto"/>
            <w:vAlign w:val="center"/>
            <w:hideMark/>
          </w:tcPr>
          <w:p w:rsidR="006D529F" w:rsidRPr="007509B2" w:rsidRDefault="006D529F" w:rsidP="007509B2">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25,</w:t>
            </w:r>
            <w:r w:rsidR="007509B2">
              <w:rPr>
                <w:rFonts w:asciiTheme="minorHAnsi" w:hAnsiTheme="minorHAnsi" w:cstheme="minorHAnsi"/>
                <w:b/>
                <w:bCs/>
                <w:sz w:val="16"/>
                <w:szCs w:val="16"/>
              </w:rPr>
              <w:t>7</w:t>
            </w:r>
          </w:p>
        </w:tc>
        <w:tc>
          <w:tcPr>
            <w:tcW w:w="299" w:type="pct"/>
            <w:shd w:val="clear" w:color="auto" w:fill="auto"/>
            <w:vAlign w:val="center"/>
            <w:hideMark/>
          </w:tcPr>
          <w:p w:rsidR="006D529F" w:rsidRPr="007509B2" w:rsidRDefault="006D529F" w:rsidP="007509B2">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25,</w:t>
            </w:r>
            <w:r w:rsidR="007509B2">
              <w:rPr>
                <w:rFonts w:asciiTheme="minorHAnsi" w:hAnsiTheme="minorHAnsi" w:cstheme="minorHAnsi"/>
                <w:b/>
                <w:bCs/>
                <w:sz w:val="16"/>
                <w:szCs w:val="16"/>
              </w:rPr>
              <w:t>3</w:t>
            </w:r>
          </w:p>
        </w:tc>
        <w:tc>
          <w:tcPr>
            <w:tcW w:w="299" w:type="pct"/>
            <w:shd w:val="clear" w:color="auto" w:fill="auto"/>
            <w:vAlign w:val="center"/>
            <w:hideMark/>
          </w:tcPr>
          <w:p w:rsidR="006D529F" w:rsidRPr="007509B2" w:rsidRDefault="006D529F" w:rsidP="007509B2">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1</w:t>
            </w:r>
            <w:r w:rsidR="007509B2">
              <w:rPr>
                <w:rFonts w:asciiTheme="minorHAnsi" w:hAnsiTheme="minorHAnsi" w:cstheme="minorHAnsi"/>
                <w:b/>
                <w:bCs/>
                <w:sz w:val="16"/>
                <w:szCs w:val="16"/>
              </w:rPr>
              <w:t>4</w:t>
            </w:r>
            <w:r w:rsidRPr="007509B2">
              <w:rPr>
                <w:rFonts w:asciiTheme="minorHAnsi" w:hAnsiTheme="minorHAnsi" w:cstheme="minorHAnsi"/>
                <w:b/>
                <w:bCs/>
                <w:sz w:val="16"/>
                <w:szCs w:val="16"/>
              </w:rPr>
              <w:t>,</w:t>
            </w:r>
            <w:r w:rsidR="007509B2">
              <w:rPr>
                <w:rFonts w:asciiTheme="minorHAnsi" w:hAnsiTheme="minorHAnsi" w:cstheme="minorHAnsi"/>
                <w:b/>
                <w:bCs/>
                <w:sz w:val="16"/>
                <w:szCs w:val="16"/>
              </w:rPr>
              <w:t>0</w:t>
            </w:r>
          </w:p>
        </w:tc>
        <w:tc>
          <w:tcPr>
            <w:tcW w:w="24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13,9</w:t>
            </w:r>
          </w:p>
        </w:tc>
        <w:tc>
          <w:tcPr>
            <w:tcW w:w="29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79,3</w:t>
            </w:r>
          </w:p>
        </w:tc>
        <w:tc>
          <w:tcPr>
            <w:tcW w:w="24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10,0</w:t>
            </w:r>
          </w:p>
        </w:tc>
        <w:tc>
          <w:tcPr>
            <w:tcW w:w="213"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85"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40,3</w:t>
            </w:r>
          </w:p>
        </w:tc>
        <w:tc>
          <w:tcPr>
            <w:tcW w:w="250"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50,3</w:t>
            </w:r>
          </w:p>
        </w:tc>
        <w:tc>
          <w:tcPr>
            <w:tcW w:w="29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348"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29,5</w:t>
            </w:r>
          </w:p>
        </w:tc>
        <w:tc>
          <w:tcPr>
            <w:tcW w:w="368" w:type="pct"/>
            <w:gridSpan w:val="2"/>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30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29,5</w:t>
            </w:r>
          </w:p>
        </w:tc>
        <w:tc>
          <w:tcPr>
            <w:tcW w:w="31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79,8</w:t>
            </w:r>
          </w:p>
        </w:tc>
      </w:tr>
      <w:tr w:rsidR="00B70C85" w:rsidRPr="007509B2" w:rsidTr="00B70C85">
        <w:trPr>
          <w:trHeight w:val="315"/>
        </w:trPr>
        <w:tc>
          <w:tcPr>
            <w:tcW w:w="636" w:type="pct"/>
            <w:shd w:val="clear" w:color="auto" w:fill="auto"/>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KOMUNALNA INFRASTRUKTURA</w:t>
            </w:r>
          </w:p>
        </w:tc>
        <w:tc>
          <w:tcPr>
            <w:tcW w:w="300" w:type="pct"/>
            <w:shd w:val="clear" w:color="auto" w:fill="auto"/>
            <w:vAlign w:val="center"/>
            <w:hideMark/>
          </w:tcPr>
          <w:p w:rsidR="006D529F" w:rsidRPr="007509B2" w:rsidRDefault="007509B2" w:rsidP="00A763C3">
            <w:pPr>
              <w:spacing w:line="240" w:lineRule="auto"/>
              <w:ind w:firstLineChars="100" w:firstLine="160"/>
              <w:jc w:val="right"/>
              <w:rPr>
                <w:rFonts w:asciiTheme="minorHAnsi" w:hAnsiTheme="minorHAnsi" w:cstheme="minorHAnsi"/>
                <w:sz w:val="16"/>
                <w:szCs w:val="16"/>
              </w:rPr>
            </w:pPr>
            <w:r>
              <w:rPr>
                <w:rFonts w:asciiTheme="minorHAnsi" w:hAnsiTheme="minorHAnsi" w:cstheme="minorHAnsi"/>
                <w:sz w:val="16"/>
                <w:szCs w:val="16"/>
              </w:rPr>
              <w:t>42,3</w:t>
            </w:r>
          </w:p>
        </w:tc>
        <w:tc>
          <w:tcPr>
            <w:tcW w:w="299" w:type="pct"/>
            <w:shd w:val="clear" w:color="auto" w:fill="auto"/>
            <w:vAlign w:val="center"/>
            <w:hideMark/>
          </w:tcPr>
          <w:p w:rsidR="006D529F" w:rsidRPr="007509B2" w:rsidRDefault="007509B2" w:rsidP="00A763C3">
            <w:pPr>
              <w:spacing w:line="240" w:lineRule="auto"/>
              <w:ind w:firstLineChars="100" w:firstLine="160"/>
              <w:jc w:val="right"/>
              <w:rPr>
                <w:rFonts w:asciiTheme="minorHAnsi" w:hAnsiTheme="minorHAnsi" w:cstheme="minorHAnsi"/>
                <w:sz w:val="16"/>
                <w:szCs w:val="16"/>
              </w:rPr>
            </w:pPr>
            <w:r>
              <w:rPr>
                <w:rFonts w:asciiTheme="minorHAnsi" w:hAnsiTheme="minorHAnsi" w:cstheme="minorHAnsi"/>
                <w:sz w:val="16"/>
                <w:szCs w:val="16"/>
              </w:rPr>
              <w:t>17,9</w:t>
            </w:r>
          </w:p>
        </w:tc>
        <w:tc>
          <w:tcPr>
            <w:tcW w:w="299" w:type="pct"/>
            <w:shd w:val="clear" w:color="auto" w:fill="auto"/>
            <w:vAlign w:val="center"/>
            <w:hideMark/>
          </w:tcPr>
          <w:p w:rsidR="006D529F" w:rsidRPr="007509B2" w:rsidRDefault="006D529F" w:rsidP="007509B2">
            <w:pPr>
              <w:spacing w:line="240" w:lineRule="auto"/>
              <w:ind w:firstLineChars="100" w:firstLine="160"/>
              <w:jc w:val="right"/>
              <w:rPr>
                <w:rFonts w:asciiTheme="minorHAnsi" w:hAnsiTheme="minorHAnsi" w:cstheme="minorHAnsi"/>
                <w:sz w:val="16"/>
                <w:szCs w:val="16"/>
              </w:rPr>
            </w:pPr>
            <w:r w:rsidRPr="007509B2">
              <w:rPr>
                <w:rFonts w:asciiTheme="minorHAnsi" w:hAnsiTheme="minorHAnsi" w:cstheme="minorHAnsi"/>
                <w:sz w:val="16"/>
                <w:szCs w:val="16"/>
              </w:rPr>
              <w:t>9,6</w:t>
            </w:r>
          </w:p>
        </w:tc>
        <w:tc>
          <w:tcPr>
            <w:tcW w:w="249" w:type="pct"/>
            <w:shd w:val="clear" w:color="auto" w:fill="auto"/>
            <w:vAlign w:val="center"/>
            <w:hideMark/>
          </w:tcPr>
          <w:p w:rsidR="006D529F" w:rsidRPr="007509B2" w:rsidRDefault="007509B2" w:rsidP="00A763C3">
            <w:pPr>
              <w:spacing w:line="240" w:lineRule="auto"/>
              <w:ind w:firstLineChars="100" w:firstLine="160"/>
              <w:jc w:val="right"/>
              <w:rPr>
                <w:rFonts w:asciiTheme="minorHAnsi" w:hAnsiTheme="minorHAnsi" w:cstheme="minorHAnsi"/>
                <w:sz w:val="16"/>
                <w:szCs w:val="16"/>
              </w:rPr>
            </w:pPr>
            <w:r>
              <w:rPr>
                <w:rFonts w:asciiTheme="minorHAnsi" w:hAnsiTheme="minorHAnsi" w:cstheme="minorHAnsi"/>
                <w:sz w:val="16"/>
                <w:szCs w:val="16"/>
              </w:rPr>
              <w:t>8,4</w:t>
            </w:r>
          </w:p>
        </w:tc>
        <w:tc>
          <w:tcPr>
            <w:tcW w:w="298" w:type="pct"/>
            <w:shd w:val="clear" w:color="auto" w:fill="auto"/>
            <w:vAlign w:val="center"/>
            <w:hideMark/>
          </w:tcPr>
          <w:p w:rsidR="006D529F" w:rsidRPr="007509B2" w:rsidRDefault="007509B2" w:rsidP="00A763C3">
            <w:pPr>
              <w:spacing w:line="240" w:lineRule="auto"/>
              <w:ind w:firstLineChars="100" w:firstLine="160"/>
              <w:jc w:val="right"/>
              <w:rPr>
                <w:rFonts w:asciiTheme="minorHAnsi" w:hAnsiTheme="minorHAnsi" w:cstheme="minorHAnsi"/>
                <w:sz w:val="16"/>
                <w:szCs w:val="16"/>
              </w:rPr>
            </w:pPr>
            <w:r>
              <w:rPr>
                <w:rFonts w:asciiTheme="minorHAnsi" w:hAnsiTheme="minorHAnsi" w:cstheme="minorHAnsi"/>
                <w:sz w:val="16"/>
                <w:szCs w:val="16"/>
              </w:rPr>
              <w:t>78,2</w:t>
            </w:r>
          </w:p>
        </w:tc>
        <w:tc>
          <w:tcPr>
            <w:tcW w:w="248" w:type="pct"/>
            <w:shd w:val="clear" w:color="auto" w:fill="auto"/>
            <w:vAlign w:val="center"/>
            <w:hideMark/>
          </w:tcPr>
          <w:p w:rsidR="006D529F" w:rsidRPr="007509B2" w:rsidRDefault="007509B2" w:rsidP="00A763C3">
            <w:pPr>
              <w:spacing w:line="240" w:lineRule="auto"/>
              <w:ind w:firstLineChars="100" w:firstLine="160"/>
              <w:jc w:val="right"/>
              <w:rPr>
                <w:rFonts w:asciiTheme="minorHAnsi" w:hAnsiTheme="minorHAnsi" w:cstheme="minorHAnsi"/>
                <w:sz w:val="16"/>
                <w:szCs w:val="16"/>
              </w:rPr>
            </w:pPr>
            <w:r>
              <w:rPr>
                <w:rFonts w:asciiTheme="minorHAnsi" w:hAnsiTheme="minorHAnsi" w:cstheme="minorHAnsi"/>
                <w:sz w:val="16"/>
                <w:szCs w:val="16"/>
              </w:rPr>
              <w:t>1,8</w:t>
            </w:r>
          </w:p>
        </w:tc>
        <w:tc>
          <w:tcPr>
            <w:tcW w:w="213" w:type="pct"/>
            <w:shd w:val="clear" w:color="auto" w:fill="auto"/>
            <w:vAlign w:val="center"/>
            <w:hideMark/>
          </w:tcPr>
          <w:p w:rsidR="006D529F" w:rsidRPr="007509B2" w:rsidRDefault="007509B2" w:rsidP="00A763C3">
            <w:pPr>
              <w:spacing w:line="240" w:lineRule="auto"/>
              <w:ind w:firstLineChars="100" w:firstLine="160"/>
              <w:jc w:val="right"/>
              <w:rPr>
                <w:rFonts w:asciiTheme="minorHAnsi" w:hAnsiTheme="minorHAnsi" w:cstheme="minorHAnsi"/>
                <w:sz w:val="16"/>
                <w:szCs w:val="16"/>
              </w:rPr>
            </w:pPr>
            <w:r>
              <w:rPr>
                <w:rFonts w:asciiTheme="minorHAnsi" w:hAnsiTheme="minorHAnsi" w:cstheme="minorHAnsi"/>
                <w:sz w:val="16"/>
                <w:szCs w:val="16"/>
              </w:rPr>
              <w:t>6,8</w:t>
            </w:r>
          </w:p>
        </w:tc>
        <w:tc>
          <w:tcPr>
            <w:tcW w:w="285" w:type="pct"/>
            <w:shd w:val="clear" w:color="auto" w:fill="auto"/>
            <w:vAlign w:val="center"/>
            <w:hideMark/>
          </w:tcPr>
          <w:p w:rsidR="006D529F" w:rsidRPr="007509B2" w:rsidRDefault="006D529F" w:rsidP="007509B2">
            <w:pPr>
              <w:spacing w:line="240" w:lineRule="auto"/>
              <w:ind w:firstLineChars="100" w:firstLine="160"/>
              <w:jc w:val="right"/>
              <w:rPr>
                <w:rFonts w:asciiTheme="minorHAnsi" w:hAnsiTheme="minorHAnsi" w:cstheme="minorHAnsi"/>
                <w:sz w:val="16"/>
                <w:szCs w:val="16"/>
              </w:rPr>
            </w:pPr>
            <w:r w:rsidRPr="007509B2">
              <w:rPr>
                <w:rFonts w:asciiTheme="minorHAnsi" w:hAnsiTheme="minorHAnsi" w:cstheme="minorHAnsi"/>
                <w:sz w:val="16"/>
                <w:szCs w:val="16"/>
              </w:rPr>
              <w:t>53,</w:t>
            </w:r>
            <w:r w:rsidR="007509B2">
              <w:rPr>
                <w:rFonts w:asciiTheme="minorHAnsi" w:hAnsiTheme="minorHAnsi" w:cstheme="minorHAnsi"/>
                <w:sz w:val="16"/>
                <w:szCs w:val="16"/>
              </w:rPr>
              <w:t>3</w:t>
            </w:r>
          </w:p>
        </w:tc>
        <w:tc>
          <w:tcPr>
            <w:tcW w:w="250" w:type="pct"/>
            <w:shd w:val="clear" w:color="auto" w:fill="auto"/>
            <w:vAlign w:val="center"/>
            <w:hideMark/>
          </w:tcPr>
          <w:p w:rsidR="006D529F" w:rsidRPr="007509B2" w:rsidRDefault="007509B2" w:rsidP="00A763C3">
            <w:pPr>
              <w:spacing w:line="240" w:lineRule="auto"/>
              <w:ind w:firstLineChars="100" w:firstLine="160"/>
              <w:jc w:val="right"/>
              <w:rPr>
                <w:rFonts w:asciiTheme="minorHAnsi" w:hAnsiTheme="minorHAnsi" w:cstheme="minorHAnsi"/>
                <w:sz w:val="16"/>
                <w:szCs w:val="16"/>
              </w:rPr>
            </w:pPr>
            <w:r>
              <w:rPr>
                <w:rFonts w:asciiTheme="minorHAnsi" w:hAnsiTheme="minorHAnsi" w:cstheme="minorHAnsi"/>
                <w:sz w:val="16"/>
                <w:szCs w:val="16"/>
              </w:rPr>
              <w:t>15,</w:t>
            </w:r>
            <w:r w:rsidR="006D529F" w:rsidRPr="007509B2">
              <w:rPr>
                <w:rFonts w:asciiTheme="minorHAnsi" w:hAnsiTheme="minorHAnsi" w:cstheme="minorHAnsi"/>
                <w:sz w:val="16"/>
                <w:szCs w:val="16"/>
              </w:rPr>
              <w:t>1</w:t>
            </w:r>
          </w:p>
        </w:tc>
        <w:tc>
          <w:tcPr>
            <w:tcW w:w="299"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77,0</w:t>
            </w:r>
          </w:p>
        </w:tc>
        <w:tc>
          <w:tcPr>
            <w:tcW w:w="298" w:type="pct"/>
            <w:shd w:val="clear" w:color="auto" w:fill="auto"/>
            <w:vAlign w:val="center"/>
            <w:hideMark/>
          </w:tcPr>
          <w:p w:rsidR="006D529F" w:rsidRPr="007509B2" w:rsidRDefault="007509B2"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348" w:type="pct"/>
            <w:shd w:val="clear" w:color="auto" w:fill="auto"/>
            <w:vAlign w:val="center"/>
            <w:hideMark/>
          </w:tcPr>
          <w:p w:rsidR="006D529F" w:rsidRPr="007509B2" w:rsidRDefault="006D529F" w:rsidP="00B70C85">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1,2</w:t>
            </w:r>
          </w:p>
        </w:tc>
        <w:tc>
          <w:tcPr>
            <w:tcW w:w="368" w:type="pct"/>
            <w:gridSpan w:val="2"/>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0,0</w:t>
            </w:r>
          </w:p>
        </w:tc>
        <w:tc>
          <w:tcPr>
            <w:tcW w:w="300" w:type="pct"/>
            <w:shd w:val="clear" w:color="auto" w:fill="auto"/>
            <w:vAlign w:val="center"/>
            <w:hideMark/>
          </w:tcPr>
          <w:p w:rsidR="006D529F" w:rsidRPr="007509B2" w:rsidRDefault="00B70C85" w:rsidP="00A763C3">
            <w:pPr>
              <w:spacing w:line="240" w:lineRule="auto"/>
              <w:ind w:firstLineChars="100" w:firstLine="161"/>
              <w:jc w:val="right"/>
              <w:rPr>
                <w:rFonts w:asciiTheme="minorHAnsi" w:hAnsiTheme="minorHAnsi" w:cstheme="minorHAnsi"/>
                <w:b/>
                <w:bCs/>
                <w:sz w:val="16"/>
                <w:szCs w:val="16"/>
              </w:rPr>
            </w:pPr>
            <w:r>
              <w:rPr>
                <w:rFonts w:asciiTheme="minorHAnsi" w:hAnsiTheme="minorHAnsi" w:cstheme="minorHAnsi"/>
                <w:b/>
                <w:bCs/>
                <w:sz w:val="16"/>
                <w:szCs w:val="16"/>
              </w:rPr>
              <w:t>1,2</w:t>
            </w:r>
          </w:p>
        </w:tc>
        <w:tc>
          <w:tcPr>
            <w:tcW w:w="310" w:type="pct"/>
            <w:shd w:val="clear" w:color="auto" w:fill="auto"/>
            <w:vAlign w:val="center"/>
            <w:hideMark/>
          </w:tcPr>
          <w:p w:rsidR="006D529F" w:rsidRPr="007509B2" w:rsidRDefault="006D529F" w:rsidP="00B70C85">
            <w:pPr>
              <w:spacing w:line="240" w:lineRule="auto"/>
              <w:ind w:firstLineChars="100" w:firstLine="161"/>
              <w:jc w:val="right"/>
              <w:rPr>
                <w:rFonts w:asciiTheme="minorHAnsi" w:hAnsiTheme="minorHAnsi" w:cstheme="minorHAnsi"/>
                <w:b/>
                <w:bCs/>
                <w:sz w:val="16"/>
                <w:szCs w:val="16"/>
              </w:rPr>
            </w:pPr>
            <w:r w:rsidRPr="007509B2">
              <w:rPr>
                <w:rFonts w:asciiTheme="minorHAnsi" w:hAnsiTheme="minorHAnsi" w:cstheme="minorHAnsi"/>
                <w:b/>
                <w:bCs/>
                <w:sz w:val="16"/>
                <w:szCs w:val="16"/>
              </w:rPr>
              <w:t>78,</w:t>
            </w:r>
            <w:r w:rsidR="00B70C85">
              <w:rPr>
                <w:rFonts w:asciiTheme="minorHAnsi" w:hAnsiTheme="minorHAnsi" w:cstheme="minorHAnsi"/>
                <w:b/>
                <w:bCs/>
                <w:sz w:val="16"/>
                <w:szCs w:val="16"/>
              </w:rPr>
              <w:t>3</w:t>
            </w:r>
          </w:p>
        </w:tc>
      </w:tr>
      <w:tr w:rsidR="00B70C85" w:rsidRPr="007509B2" w:rsidTr="00B70C85">
        <w:trPr>
          <w:trHeight w:val="375"/>
        </w:trPr>
        <w:tc>
          <w:tcPr>
            <w:tcW w:w="636" w:type="pct"/>
            <w:shd w:val="clear" w:color="auto" w:fill="00B050"/>
            <w:vAlign w:val="center"/>
            <w:hideMark/>
          </w:tcPr>
          <w:p w:rsidR="006D529F" w:rsidRPr="007509B2" w:rsidRDefault="006D529F" w:rsidP="00A763C3">
            <w:pPr>
              <w:spacing w:line="240" w:lineRule="auto"/>
              <w:rPr>
                <w:rFonts w:asciiTheme="minorHAnsi" w:hAnsiTheme="minorHAnsi" w:cstheme="minorHAnsi"/>
                <w:b/>
                <w:bCs/>
                <w:sz w:val="16"/>
                <w:szCs w:val="16"/>
              </w:rPr>
            </w:pPr>
            <w:r w:rsidRPr="007509B2">
              <w:rPr>
                <w:rFonts w:asciiTheme="minorHAnsi" w:hAnsiTheme="minorHAnsi" w:cstheme="minorHAnsi"/>
                <w:b/>
                <w:bCs/>
                <w:sz w:val="16"/>
                <w:szCs w:val="16"/>
              </w:rPr>
              <w:t>UKUPNO</w:t>
            </w:r>
          </w:p>
        </w:tc>
        <w:tc>
          <w:tcPr>
            <w:tcW w:w="300" w:type="pct"/>
            <w:shd w:val="clear" w:color="auto" w:fill="00B050"/>
            <w:vAlign w:val="center"/>
            <w:hideMark/>
          </w:tcPr>
          <w:p w:rsidR="006D529F" w:rsidRPr="007509B2" w:rsidRDefault="006D529F" w:rsidP="007509B2">
            <w:pPr>
              <w:spacing w:line="240" w:lineRule="auto"/>
              <w:jc w:val="right"/>
              <w:rPr>
                <w:rFonts w:asciiTheme="minorHAnsi" w:hAnsiTheme="minorHAnsi" w:cstheme="minorHAnsi"/>
                <w:b/>
                <w:bCs/>
                <w:sz w:val="16"/>
                <w:szCs w:val="16"/>
              </w:rPr>
            </w:pPr>
            <w:r w:rsidRPr="007509B2">
              <w:rPr>
                <w:rFonts w:asciiTheme="minorHAnsi" w:hAnsiTheme="minorHAnsi" w:cstheme="minorHAnsi"/>
                <w:b/>
                <w:bCs/>
                <w:sz w:val="16"/>
                <w:szCs w:val="16"/>
              </w:rPr>
              <w:t>872,</w:t>
            </w:r>
            <w:r w:rsidR="007509B2">
              <w:rPr>
                <w:rFonts w:asciiTheme="minorHAnsi" w:hAnsiTheme="minorHAnsi" w:cstheme="minorHAnsi"/>
                <w:b/>
                <w:bCs/>
                <w:sz w:val="16"/>
                <w:szCs w:val="16"/>
              </w:rPr>
              <w:t>5</w:t>
            </w:r>
          </w:p>
        </w:tc>
        <w:tc>
          <w:tcPr>
            <w:tcW w:w="299" w:type="pct"/>
            <w:shd w:val="clear" w:color="auto" w:fill="00B050"/>
            <w:vAlign w:val="center"/>
            <w:hideMark/>
          </w:tcPr>
          <w:p w:rsidR="006D529F" w:rsidRPr="007509B2" w:rsidRDefault="006D529F" w:rsidP="007509B2">
            <w:pPr>
              <w:spacing w:line="240" w:lineRule="auto"/>
              <w:jc w:val="right"/>
              <w:rPr>
                <w:rFonts w:asciiTheme="minorHAnsi" w:hAnsiTheme="minorHAnsi" w:cstheme="minorHAnsi"/>
                <w:b/>
                <w:bCs/>
                <w:sz w:val="16"/>
                <w:szCs w:val="16"/>
              </w:rPr>
            </w:pPr>
            <w:r w:rsidRPr="007509B2">
              <w:rPr>
                <w:rFonts w:asciiTheme="minorHAnsi" w:hAnsiTheme="minorHAnsi" w:cstheme="minorHAnsi"/>
                <w:b/>
                <w:bCs/>
                <w:sz w:val="16"/>
                <w:szCs w:val="16"/>
              </w:rPr>
              <w:t>1074,</w:t>
            </w:r>
            <w:r w:rsidR="007509B2">
              <w:rPr>
                <w:rFonts w:asciiTheme="minorHAnsi" w:hAnsiTheme="minorHAnsi" w:cstheme="minorHAnsi"/>
                <w:b/>
                <w:bCs/>
                <w:sz w:val="16"/>
                <w:szCs w:val="16"/>
              </w:rPr>
              <w:t>5</w:t>
            </w:r>
          </w:p>
        </w:tc>
        <w:tc>
          <w:tcPr>
            <w:tcW w:w="299" w:type="pct"/>
            <w:shd w:val="clear" w:color="auto" w:fill="00B050"/>
            <w:vAlign w:val="center"/>
            <w:hideMark/>
          </w:tcPr>
          <w:p w:rsidR="006D529F" w:rsidRPr="007509B2" w:rsidRDefault="006D529F" w:rsidP="007509B2">
            <w:pPr>
              <w:spacing w:line="240" w:lineRule="auto"/>
              <w:jc w:val="right"/>
              <w:rPr>
                <w:rFonts w:asciiTheme="minorHAnsi" w:hAnsiTheme="minorHAnsi" w:cstheme="minorHAnsi"/>
                <w:b/>
                <w:bCs/>
                <w:sz w:val="16"/>
                <w:szCs w:val="16"/>
              </w:rPr>
            </w:pPr>
            <w:r w:rsidRPr="007509B2">
              <w:rPr>
                <w:rFonts w:asciiTheme="minorHAnsi" w:hAnsiTheme="minorHAnsi" w:cstheme="minorHAnsi"/>
                <w:b/>
                <w:bCs/>
                <w:sz w:val="16"/>
                <w:szCs w:val="16"/>
              </w:rPr>
              <w:t>782,</w:t>
            </w:r>
            <w:r w:rsidR="007509B2">
              <w:rPr>
                <w:rFonts w:asciiTheme="minorHAnsi" w:hAnsiTheme="minorHAnsi" w:cstheme="minorHAnsi"/>
                <w:b/>
                <w:bCs/>
                <w:sz w:val="16"/>
                <w:szCs w:val="16"/>
              </w:rPr>
              <w:t>6</w:t>
            </w:r>
          </w:p>
        </w:tc>
        <w:tc>
          <w:tcPr>
            <w:tcW w:w="249" w:type="pct"/>
            <w:shd w:val="clear" w:color="auto" w:fill="00B050"/>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311,9</w:t>
            </w:r>
          </w:p>
        </w:tc>
        <w:tc>
          <w:tcPr>
            <w:tcW w:w="298" w:type="pct"/>
            <w:shd w:val="clear" w:color="auto" w:fill="00B050"/>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3041,9</w:t>
            </w:r>
          </w:p>
        </w:tc>
        <w:tc>
          <w:tcPr>
            <w:tcW w:w="248" w:type="pct"/>
            <w:shd w:val="clear" w:color="auto" w:fill="00B050"/>
            <w:vAlign w:val="center"/>
            <w:hideMark/>
          </w:tcPr>
          <w:p w:rsidR="006D529F" w:rsidRPr="007509B2" w:rsidRDefault="006D529F" w:rsidP="007509B2">
            <w:pPr>
              <w:spacing w:line="240" w:lineRule="auto"/>
              <w:jc w:val="right"/>
              <w:rPr>
                <w:rFonts w:asciiTheme="minorHAnsi" w:hAnsiTheme="minorHAnsi" w:cstheme="minorHAnsi"/>
                <w:b/>
                <w:bCs/>
                <w:sz w:val="16"/>
                <w:szCs w:val="16"/>
              </w:rPr>
            </w:pPr>
            <w:r w:rsidRPr="007509B2">
              <w:rPr>
                <w:rFonts w:asciiTheme="minorHAnsi" w:hAnsiTheme="minorHAnsi" w:cstheme="minorHAnsi"/>
                <w:b/>
                <w:bCs/>
                <w:sz w:val="16"/>
                <w:szCs w:val="16"/>
              </w:rPr>
              <w:t>293,</w:t>
            </w:r>
            <w:r w:rsidR="007509B2">
              <w:rPr>
                <w:rFonts w:asciiTheme="minorHAnsi" w:hAnsiTheme="minorHAnsi" w:cstheme="minorHAnsi"/>
                <w:b/>
                <w:bCs/>
                <w:sz w:val="16"/>
                <w:szCs w:val="16"/>
              </w:rPr>
              <w:t>7</w:t>
            </w:r>
          </w:p>
        </w:tc>
        <w:tc>
          <w:tcPr>
            <w:tcW w:w="213" w:type="pct"/>
            <w:shd w:val="clear" w:color="auto" w:fill="00B050"/>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6,8</w:t>
            </w:r>
          </w:p>
        </w:tc>
        <w:tc>
          <w:tcPr>
            <w:tcW w:w="285" w:type="pct"/>
            <w:shd w:val="clear" w:color="auto" w:fill="00B050"/>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769,9</w:t>
            </w:r>
          </w:p>
        </w:tc>
        <w:tc>
          <w:tcPr>
            <w:tcW w:w="250" w:type="pct"/>
            <w:shd w:val="clear" w:color="auto" w:fill="00B050"/>
            <w:vAlign w:val="center"/>
            <w:hideMark/>
          </w:tcPr>
          <w:p w:rsidR="006D529F" w:rsidRPr="007509B2" w:rsidRDefault="006D529F" w:rsidP="00A763C3">
            <w:pPr>
              <w:spacing w:line="240" w:lineRule="auto"/>
              <w:jc w:val="right"/>
              <w:rPr>
                <w:rFonts w:asciiTheme="minorHAnsi" w:hAnsiTheme="minorHAnsi" w:cstheme="minorHAnsi"/>
                <w:b/>
                <w:bCs/>
                <w:sz w:val="16"/>
                <w:szCs w:val="16"/>
              </w:rPr>
            </w:pPr>
            <w:r w:rsidRPr="007509B2">
              <w:rPr>
                <w:rFonts w:asciiTheme="minorHAnsi" w:hAnsiTheme="minorHAnsi" w:cstheme="minorHAnsi"/>
                <w:b/>
                <w:bCs/>
                <w:sz w:val="16"/>
                <w:szCs w:val="16"/>
              </w:rPr>
              <w:t>19,17</w:t>
            </w:r>
          </w:p>
        </w:tc>
        <w:tc>
          <w:tcPr>
            <w:tcW w:w="299" w:type="pct"/>
            <w:shd w:val="clear" w:color="auto" w:fill="00B050"/>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1097,3</w:t>
            </w:r>
          </w:p>
        </w:tc>
        <w:tc>
          <w:tcPr>
            <w:tcW w:w="298" w:type="pct"/>
            <w:shd w:val="clear" w:color="auto" w:fill="00B050"/>
            <w:vAlign w:val="center"/>
            <w:hideMark/>
          </w:tcPr>
          <w:p w:rsidR="006D529F" w:rsidRPr="007509B2" w:rsidRDefault="007509B2"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1742,7</w:t>
            </w:r>
          </w:p>
        </w:tc>
        <w:tc>
          <w:tcPr>
            <w:tcW w:w="348" w:type="pct"/>
            <w:shd w:val="clear" w:color="auto" w:fill="00B050"/>
            <w:vAlign w:val="center"/>
            <w:hideMark/>
          </w:tcPr>
          <w:p w:rsidR="006D529F" w:rsidRPr="007509B2" w:rsidRDefault="00B70C85"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33,0</w:t>
            </w:r>
          </w:p>
        </w:tc>
        <w:tc>
          <w:tcPr>
            <w:tcW w:w="368" w:type="pct"/>
            <w:gridSpan w:val="2"/>
            <w:shd w:val="clear" w:color="auto" w:fill="00B050"/>
            <w:vAlign w:val="center"/>
            <w:hideMark/>
          </w:tcPr>
          <w:p w:rsidR="006D529F" w:rsidRPr="007509B2" w:rsidRDefault="00B70C85"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59,4</w:t>
            </w:r>
          </w:p>
        </w:tc>
        <w:tc>
          <w:tcPr>
            <w:tcW w:w="300" w:type="pct"/>
            <w:shd w:val="clear" w:color="auto" w:fill="00B050"/>
            <w:vAlign w:val="center"/>
            <w:hideMark/>
          </w:tcPr>
          <w:p w:rsidR="006D529F" w:rsidRPr="007509B2" w:rsidRDefault="00B70C85" w:rsidP="00A763C3">
            <w:pPr>
              <w:spacing w:line="240" w:lineRule="auto"/>
              <w:jc w:val="right"/>
              <w:rPr>
                <w:rFonts w:asciiTheme="minorHAnsi" w:hAnsiTheme="minorHAnsi" w:cstheme="minorHAnsi"/>
                <w:b/>
                <w:bCs/>
                <w:sz w:val="16"/>
                <w:szCs w:val="16"/>
              </w:rPr>
            </w:pPr>
            <w:r>
              <w:rPr>
                <w:rFonts w:asciiTheme="minorHAnsi" w:hAnsiTheme="minorHAnsi" w:cstheme="minorHAnsi"/>
                <w:b/>
                <w:bCs/>
                <w:sz w:val="16"/>
                <w:szCs w:val="16"/>
              </w:rPr>
              <w:t>1944,7</w:t>
            </w:r>
          </w:p>
        </w:tc>
        <w:tc>
          <w:tcPr>
            <w:tcW w:w="310" w:type="pct"/>
            <w:shd w:val="clear" w:color="auto" w:fill="00B050"/>
            <w:vAlign w:val="center"/>
            <w:hideMark/>
          </w:tcPr>
          <w:p w:rsidR="006D529F" w:rsidRPr="007509B2" w:rsidRDefault="006D529F" w:rsidP="00B70C85">
            <w:pPr>
              <w:spacing w:line="240" w:lineRule="auto"/>
              <w:jc w:val="right"/>
              <w:rPr>
                <w:rFonts w:asciiTheme="minorHAnsi" w:hAnsiTheme="minorHAnsi" w:cstheme="minorHAnsi"/>
                <w:b/>
                <w:bCs/>
                <w:sz w:val="16"/>
                <w:szCs w:val="16"/>
              </w:rPr>
            </w:pPr>
            <w:r w:rsidRPr="007509B2">
              <w:rPr>
                <w:rFonts w:asciiTheme="minorHAnsi" w:hAnsiTheme="minorHAnsi" w:cstheme="minorHAnsi"/>
                <w:b/>
                <w:bCs/>
                <w:sz w:val="16"/>
                <w:szCs w:val="16"/>
              </w:rPr>
              <w:t>3042,</w:t>
            </w:r>
            <w:r w:rsidR="00B70C85">
              <w:rPr>
                <w:rFonts w:asciiTheme="minorHAnsi" w:hAnsiTheme="minorHAnsi" w:cstheme="minorHAnsi"/>
                <w:b/>
                <w:bCs/>
                <w:sz w:val="16"/>
                <w:szCs w:val="16"/>
              </w:rPr>
              <w:t>1</w:t>
            </w:r>
          </w:p>
        </w:tc>
      </w:tr>
    </w:tbl>
    <w:p w:rsidR="00157330" w:rsidRDefault="00157330" w:rsidP="00B40FB2">
      <w:pPr>
        <w:sectPr w:rsidR="00157330" w:rsidSect="00A763C3">
          <w:pgSz w:w="16838" w:h="11906" w:orient="landscape"/>
          <w:pgMar w:top="1417" w:right="1417" w:bottom="1417" w:left="1417" w:header="708" w:footer="708" w:gutter="0"/>
          <w:cols w:space="708"/>
          <w:docGrid w:linePitch="360"/>
        </w:sectPr>
      </w:pPr>
    </w:p>
    <w:p w:rsidR="00157330" w:rsidRPr="00157330" w:rsidRDefault="00157330" w:rsidP="00627F39">
      <w:pPr>
        <w:rPr>
          <w:rFonts w:asciiTheme="minorHAnsi" w:hAnsiTheme="minorHAnsi" w:cstheme="minorHAnsi"/>
          <w:noProof/>
          <w:color w:val="auto"/>
          <w:sz w:val="4"/>
          <w:szCs w:val="4"/>
          <w:lang w:val="en-US"/>
        </w:rPr>
      </w:pPr>
    </w:p>
    <w:sectPr w:rsidR="00157330" w:rsidRPr="00157330" w:rsidSect="0015733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BA9" w:rsidRDefault="005F2BA9" w:rsidP="004E4670">
      <w:pPr>
        <w:spacing w:line="240" w:lineRule="auto"/>
      </w:pPr>
      <w:r>
        <w:separator/>
      </w:r>
    </w:p>
  </w:endnote>
  <w:endnote w:type="continuationSeparator" w:id="0">
    <w:p w:rsidR="005F2BA9" w:rsidRDefault="005F2BA9" w:rsidP="004E46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altName w:val="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Ligh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972452"/>
      <w:docPartObj>
        <w:docPartGallery w:val="Page Numbers (Bottom of Page)"/>
        <w:docPartUnique/>
      </w:docPartObj>
    </w:sdtPr>
    <w:sdtContent>
      <w:p w:rsidR="00801715" w:rsidRDefault="000D71A3">
        <w:pPr>
          <w:pStyle w:val="Footer"/>
        </w:pPr>
        <w:r w:rsidRPr="000D71A3">
          <w:rPr>
            <w:rFonts w:asciiTheme="majorHAnsi" w:eastAsiaTheme="majorEastAsia" w:hAnsiTheme="majorHAnsi" w:cstheme="majorBidi"/>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2049" type="#_x0000_t176" style="position:absolute;left:0;text-align:left;margin-left:0;margin-top:0;width:40.35pt;height:34.75pt;z-index:251661312;visibility:visible;mso-position-horizontal:center;mso-position-horizontal-relative:right-margin-area;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" filled="f" fillcolor="#5c83b4" stroked="f" strokecolor="#737373">
              <v:textbox>
                <w:txbxContent>
                  <w:p w:rsidR="00801715" w:rsidRDefault="000D71A3">
                    <w:pPr>
                      <w:pStyle w:val="Footer"/>
                      <w:pBdr>
                        <w:top w:val="single" w:sz="12" w:space="1" w:color="9BBB59" w:themeColor="accent3"/>
                        <w:bottom w:val="single" w:sz="48" w:space="1" w:color="9BBB59" w:themeColor="accent3"/>
                      </w:pBdr>
                      <w:jc w:val="center"/>
                      <w:rPr>
                        <w:sz w:val="28"/>
                        <w:szCs w:val="28"/>
                      </w:rPr>
                    </w:pPr>
                    <w:r w:rsidRPr="000D71A3">
                      <w:rPr>
                        <w:sz w:val="22"/>
                        <w:szCs w:val="22"/>
                      </w:rPr>
                      <w:fldChar w:fldCharType="begin"/>
                    </w:r>
                    <w:r w:rsidR="00801715">
                      <w:instrText xml:space="preserve"> PAGE    \* MERGEFORMAT </w:instrText>
                    </w:r>
                    <w:r w:rsidRPr="000D71A3">
                      <w:rPr>
                        <w:sz w:val="22"/>
                        <w:szCs w:val="22"/>
                      </w:rPr>
                      <w:fldChar w:fldCharType="separate"/>
                    </w:r>
                    <w:r w:rsidR="00356DFE" w:rsidRPr="00356DFE">
                      <w:rPr>
                        <w:noProof/>
                        <w:sz w:val="28"/>
                        <w:szCs w:val="28"/>
                      </w:rPr>
                      <w:t>2</w:t>
                    </w:r>
                    <w:r>
                      <w:rPr>
                        <w:noProof/>
                        <w:sz w:val="28"/>
                        <w:szCs w:val="28"/>
                      </w:rPr>
                      <w:fldChar w:fldCharType="end"/>
                    </w:r>
                  </w:p>
                </w:txbxContent>
              </v:textbox>
              <w10:wrap anchorx="margin" anchory="margin"/>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715" w:rsidRPr="001515E0" w:rsidRDefault="000D71A3" w:rsidP="001515E0">
    <w:pPr>
      <w:pStyle w:val="Footer"/>
      <w:jc w:val="right"/>
    </w:pPr>
    <w:r w:rsidRPr="000D71A3">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2050" type="#_x0000_t176" style="position:absolute;left:0;text-align:left;margin-left:20.1pt;margin-top:30.05pt;width:40.35pt;height:34.75pt;z-index:251662336;visibility:visible;mso-position-horizontal-relative:right-margin-area;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" filled="f" fillcolor="#5c83b4" stroked="f" strokecolor="#737373">
          <v:textbox>
            <w:txbxContent>
              <w:p w:rsidR="00801715" w:rsidRDefault="000D71A3" w:rsidP="001515E0">
                <w:pPr>
                  <w:pStyle w:val="Footer"/>
                  <w:pBdr>
                    <w:top w:val="single" w:sz="12" w:space="1" w:color="9BBB59" w:themeColor="accent3"/>
                    <w:bottom w:val="single" w:sz="48" w:space="1" w:color="9BBB59" w:themeColor="accent3"/>
                  </w:pBdr>
                  <w:jc w:val="center"/>
                  <w:rPr>
                    <w:sz w:val="28"/>
                    <w:szCs w:val="28"/>
                  </w:rPr>
                </w:pPr>
                <w:r w:rsidRPr="000D71A3">
                  <w:rPr>
                    <w:sz w:val="22"/>
                    <w:szCs w:val="22"/>
                  </w:rPr>
                  <w:fldChar w:fldCharType="begin"/>
                </w:r>
                <w:r w:rsidR="00801715">
                  <w:instrText xml:space="preserve"> PAGE    \* MERGEFORMAT </w:instrText>
                </w:r>
                <w:r w:rsidRPr="000D71A3">
                  <w:rPr>
                    <w:sz w:val="22"/>
                    <w:szCs w:val="22"/>
                  </w:rPr>
                  <w:fldChar w:fldCharType="separate"/>
                </w:r>
                <w:r w:rsidR="00356DFE" w:rsidRPr="00356DFE">
                  <w:rPr>
                    <w:noProof/>
                    <w:sz w:val="28"/>
                    <w:szCs w:val="28"/>
                  </w:rPr>
                  <w:t>1</w:t>
                </w:r>
                <w:r>
                  <w:rPr>
                    <w:noProof/>
                    <w:sz w:val="28"/>
                    <w:szCs w:val="28"/>
                  </w:rPr>
                  <w:fldChar w:fldCharType="end"/>
                </w:r>
              </w:p>
            </w:txbxContent>
          </v:textbox>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BA9" w:rsidRDefault="005F2BA9" w:rsidP="004E4670">
      <w:pPr>
        <w:spacing w:line="240" w:lineRule="auto"/>
      </w:pPr>
      <w:r>
        <w:separator/>
      </w:r>
    </w:p>
  </w:footnote>
  <w:footnote w:type="continuationSeparator" w:id="0">
    <w:p w:rsidR="005F2BA9" w:rsidRDefault="005F2BA9" w:rsidP="004E4670">
      <w:pPr>
        <w:spacing w:line="240" w:lineRule="auto"/>
      </w:pPr>
      <w:r>
        <w:continuationSeparator/>
      </w:r>
    </w:p>
  </w:footnote>
  <w:footnote w:id="1">
    <w:p w:rsidR="00801715" w:rsidRPr="00786EB0" w:rsidRDefault="00801715" w:rsidP="00561734">
      <w:pPr>
        <w:pStyle w:val="FootnoteText"/>
        <w:spacing w:line="276" w:lineRule="auto"/>
        <w:ind w:left="142" w:hanging="142"/>
        <w:rPr>
          <w:rFonts w:cstheme="minorHAnsi"/>
          <w:sz w:val="18"/>
          <w:szCs w:val="18"/>
        </w:rPr>
      </w:pPr>
      <w:r w:rsidRPr="0048511B">
        <w:rPr>
          <w:rStyle w:val="FootnoteReference"/>
          <w:sz w:val="16"/>
          <w:szCs w:val="16"/>
        </w:rPr>
        <w:footnoteRef/>
      </w:r>
      <w:r w:rsidRPr="0048511B">
        <w:rPr>
          <w:sz w:val="16"/>
          <w:szCs w:val="16"/>
        </w:rPr>
        <w:t xml:space="preserve"> </w:t>
      </w:r>
      <w:r w:rsidRPr="00786EB0">
        <w:rPr>
          <w:rFonts w:cstheme="minorHAnsi"/>
          <w:sz w:val="18"/>
          <w:szCs w:val="18"/>
        </w:rPr>
        <w:t>Crna Gora je svoje strateške ciljeve u oblasti ekonomskog razvoja za srednjoročni period definisala Pravcima razvoja Crne Gore za period 2015-2018. (PRCG), kao i Programom ekonomskih reformi za period 2017-2019.</w:t>
      </w:r>
    </w:p>
  </w:footnote>
  <w:footnote w:id="2">
    <w:p w:rsidR="00801715" w:rsidRPr="00786EB0" w:rsidRDefault="00801715" w:rsidP="00561734">
      <w:pPr>
        <w:pStyle w:val="Tekst-"/>
        <w:spacing w:before="0" w:after="0" w:line="276" w:lineRule="auto"/>
        <w:rPr>
          <w:rFonts w:asciiTheme="minorHAnsi" w:hAnsiTheme="minorHAnsi" w:cstheme="minorHAnsi"/>
          <w:sz w:val="18"/>
          <w:szCs w:val="18"/>
        </w:rPr>
      </w:pPr>
      <w:r w:rsidRPr="00786EB0">
        <w:rPr>
          <w:rStyle w:val="FootnoteReference"/>
          <w:rFonts w:asciiTheme="minorHAnsi" w:hAnsiTheme="minorHAnsi" w:cstheme="minorHAnsi"/>
          <w:sz w:val="18"/>
          <w:szCs w:val="18"/>
        </w:rPr>
        <w:footnoteRef/>
      </w:r>
      <w:r w:rsidRPr="00786EB0">
        <w:rPr>
          <w:rFonts w:asciiTheme="minorHAnsi" w:hAnsiTheme="minorHAnsi" w:cstheme="minorHAnsi"/>
          <w:sz w:val="18"/>
          <w:szCs w:val="18"/>
        </w:rPr>
        <w:t xml:space="preserve"> Prema BDP per capita po paritetu kupovne moći, Crna Gora se nalazi na 42% prosjeka EU.</w:t>
      </w:r>
    </w:p>
    <w:p w:rsidR="00801715" w:rsidRPr="00786EB0" w:rsidRDefault="00801715" w:rsidP="00561734">
      <w:pPr>
        <w:pStyle w:val="FootnoteText"/>
        <w:spacing w:line="276" w:lineRule="auto"/>
        <w:rPr>
          <w:sz w:val="18"/>
          <w:szCs w:val="18"/>
        </w:rPr>
      </w:pPr>
    </w:p>
  </w:footnote>
  <w:footnote w:id="3">
    <w:p w:rsidR="00801715" w:rsidRPr="00786EB0" w:rsidRDefault="00801715" w:rsidP="006D1592">
      <w:pPr>
        <w:pStyle w:val="FootnoteText"/>
        <w:rPr>
          <w:sz w:val="18"/>
          <w:szCs w:val="18"/>
        </w:rPr>
      </w:pPr>
      <w:r w:rsidRPr="00786EB0">
        <w:rPr>
          <w:rStyle w:val="FootnoteReference"/>
          <w:sz w:val="18"/>
          <w:szCs w:val="18"/>
        </w:rPr>
        <w:footnoteRef/>
      </w:r>
      <w:r w:rsidRPr="00786EB0">
        <w:rPr>
          <w:sz w:val="18"/>
          <w:szCs w:val="18"/>
        </w:rPr>
        <w:t xml:space="preserve"> Uključena otplata za refinansiranje državnih zapisa u iznosu od 184,48 mil.€.</w:t>
      </w:r>
    </w:p>
  </w:footnote>
  <w:footnote w:id="4">
    <w:p w:rsidR="00801715" w:rsidRPr="003B7168" w:rsidRDefault="00801715">
      <w:pPr>
        <w:pStyle w:val="FootnoteText"/>
      </w:pPr>
      <w:r>
        <w:rPr>
          <w:rStyle w:val="FootnoteReference"/>
        </w:rPr>
        <w:footnoteRef/>
      </w:r>
      <w:r>
        <w:t xml:space="preserve"> </w:t>
      </w:r>
      <w:r w:rsidRPr="003B7168">
        <w:rPr>
          <w:sz w:val="18"/>
        </w:rPr>
        <w:t>U okviru tehničke podrške iz sredstava IPA, obezbijeđena je ekspertska podrška za procjenu uticaja strukturnih reformi na ekonomski rast i konkurentnost</w:t>
      </w:r>
      <w:r>
        <w:t>.</w:t>
      </w:r>
    </w:p>
  </w:footnote>
  <w:footnote w:id="5">
    <w:p w:rsidR="00801715" w:rsidRPr="00C2305B" w:rsidRDefault="00801715" w:rsidP="00406AA1">
      <w:pPr>
        <w:ind w:left="142" w:hanging="142"/>
        <w:rPr>
          <w:rFonts w:asciiTheme="minorHAnsi" w:hAnsiTheme="minorHAnsi" w:cstheme="minorHAnsi"/>
          <w:b/>
          <w:sz w:val="18"/>
          <w:szCs w:val="18"/>
        </w:rPr>
      </w:pPr>
      <w:r w:rsidRPr="00C2305B">
        <w:rPr>
          <w:rStyle w:val="FootnoteReference"/>
          <w:rFonts w:asciiTheme="minorHAnsi" w:hAnsiTheme="minorHAnsi" w:cstheme="minorHAnsi"/>
          <w:sz w:val="18"/>
          <w:szCs w:val="18"/>
        </w:rPr>
        <w:footnoteRef/>
      </w:r>
      <w:r w:rsidRPr="00C2305B">
        <w:rPr>
          <w:rFonts w:asciiTheme="minorHAnsi" w:hAnsiTheme="minorHAnsi" w:cstheme="minorHAnsi"/>
          <w:sz w:val="18"/>
          <w:szCs w:val="18"/>
        </w:rPr>
        <w:t xml:space="preserve"> Direktivom 2011/64/EU. </w:t>
      </w:r>
    </w:p>
  </w:footnote>
  <w:footnote w:id="6">
    <w:p w:rsidR="00801715" w:rsidRPr="00C2305B" w:rsidRDefault="00801715" w:rsidP="00406AA1">
      <w:pPr>
        <w:spacing w:line="276" w:lineRule="auto"/>
        <w:rPr>
          <w:rFonts w:ascii="Calibri" w:hAnsi="Calibri" w:cstheme="minorHAnsi"/>
          <w:sz w:val="18"/>
          <w:szCs w:val="18"/>
        </w:rPr>
      </w:pPr>
      <w:r w:rsidRPr="00C2305B">
        <w:rPr>
          <w:rStyle w:val="FootnoteReference"/>
          <w:rFonts w:ascii="Calibri" w:hAnsi="Calibri" w:cstheme="minorHAnsi"/>
          <w:color w:val="auto"/>
          <w:sz w:val="18"/>
          <w:szCs w:val="18"/>
        </w:rPr>
        <w:footnoteRef/>
      </w:r>
      <w:r w:rsidRPr="00C2305B">
        <w:rPr>
          <w:rFonts w:ascii="Calibri" w:hAnsi="Calibri" w:cstheme="minorHAnsi"/>
          <w:color w:val="auto"/>
          <w:sz w:val="18"/>
          <w:szCs w:val="18"/>
        </w:rPr>
        <w:t xml:space="preserve"> Minimalna visina akcize u EU iznosi za sve cigarete 90 eura za 1000 komada, odnosno 60% od prosječne ponderisane cijene cigereta (PPCC). </w:t>
      </w:r>
    </w:p>
  </w:footnote>
  <w:footnote w:id="7">
    <w:p w:rsidR="00801715" w:rsidRPr="00C2305B" w:rsidRDefault="00801715" w:rsidP="00406AA1">
      <w:pPr>
        <w:pStyle w:val="FootnoteText"/>
        <w:spacing w:line="276" w:lineRule="auto"/>
        <w:rPr>
          <w:rFonts w:ascii="Calibri" w:hAnsi="Calibri" w:cstheme="minorHAnsi"/>
          <w:sz w:val="18"/>
          <w:szCs w:val="18"/>
          <w:lang w:val="sr-Latn-CS"/>
        </w:rPr>
      </w:pPr>
      <w:r w:rsidRPr="00C2305B">
        <w:rPr>
          <w:rStyle w:val="FootnoteReference"/>
          <w:rFonts w:ascii="Calibri" w:hAnsi="Calibri" w:cstheme="minorHAnsi"/>
          <w:sz w:val="18"/>
          <w:szCs w:val="18"/>
        </w:rPr>
        <w:footnoteRef/>
      </w:r>
      <w:r w:rsidRPr="00C2305B">
        <w:rPr>
          <w:rFonts w:ascii="Calibri" w:hAnsi="Calibri" w:cstheme="minorHAnsi"/>
          <w:sz w:val="18"/>
          <w:szCs w:val="18"/>
          <w:lang w:val="sr-Latn-CS"/>
        </w:rPr>
        <w:t xml:space="preserve"> </w:t>
      </w:r>
      <w:r w:rsidRPr="00C2305B">
        <w:rPr>
          <w:rFonts w:ascii="Calibri" w:hAnsi="Calibri" w:cstheme="minorHAnsi"/>
          <w:sz w:val="18"/>
          <w:szCs w:val="18"/>
        </w:rPr>
        <w:t>Postoje</w:t>
      </w:r>
      <w:r w:rsidRPr="00C2305B">
        <w:rPr>
          <w:rFonts w:ascii="Calibri" w:hAnsi="Calibri" w:cstheme="minorHAnsi"/>
          <w:sz w:val="18"/>
          <w:szCs w:val="18"/>
          <w:lang w:val="sr-Latn-CS"/>
        </w:rPr>
        <w:t>ć</w:t>
      </w:r>
      <w:r w:rsidRPr="00C2305B">
        <w:rPr>
          <w:rFonts w:ascii="Calibri" w:hAnsi="Calibri" w:cstheme="minorHAnsi"/>
          <w:sz w:val="18"/>
          <w:szCs w:val="18"/>
        </w:rPr>
        <w:t>a</w:t>
      </w:r>
      <w:r w:rsidRPr="00C2305B">
        <w:rPr>
          <w:rFonts w:ascii="Calibri" w:hAnsi="Calibri" w:cstheme="minorHAnsi"/>
          <w:sz w:val="18"/>
          <w:szCs w:val="18"/>
          <w:lang w:val="sr-Latn-CS"/>
        </w:rPr>
        <w:t xml:space="preserve"> </w:t>
      </w:r>
      <w:r w:rsidRPr="00C2305B">
        <w:rPr>
          <w:rFonts w:ascii="Calibri" w:hAnsi="Calibri" w:cstheme="minorHAnsi"/>
          <w:sz w:val="18"/>
          <w:szCs w:val="18"/>
        </w:rPr>
        <w:t>visina</w:t>
      </w:r>
      <w:r w:rsidRPr="00C2305B">
        <w:rPr>
          <w:rFonts w:ascii="Calibri" w:hAnsi="Calibri" w:cstheme="minorHAnsi"/>
          <w:sz w:val="18"/>
          <w:szCs w:val="18"/>
          <w:lang w:val="sr-Latn-CS"/>
        </w:rPr>
        <w:t xml:space="preserve"> </w:t>
      </w:r>
      <w:r w:rsidRPr="00C2305B">
        <w:rPr>
          <w:rFonts w:ascii="Calibri" w:hAnsi="Calibri" w:cstheme="minorHAnsi"/>
          <w:sz w:val="18"/>
          <w:szCs w:val="18"/>
        </w:rPr>
        <w:t>akcize</w:t>
      </w:r>
      <w:r w:rsidRPr="00C2305B">
        <w:rPr>
          <w:rFonts w:ascii="Calibri" w:hAnsi="Calibri" w:cstheme="minorHAnsi"/>
          <w:sz w:val="18"/>
          <w:szCs w:val="18"/>
          <w:lang w:val="sr-Latn-CS"/>
        </w:rPr>
        <w:t xml:space="preserve"> </w:t>
      </w:r>
      <w:r w:rsidRPr="00C2305B">
        <w:rPr>
          <w:rFonts w:ascii="Calibri" w:hAnsi="Calibri" w:cstheme="minorHAnsi"/>
          <w:sz w:val="18"/>
          <w:szCs w:val="18"/>
        </w:rPr>
        <w:t>na</w:t>
      </w:r>
      <w:r w:rsidRPr="00C2305B">
        <w:rPr>
          <w:rFonts w:ascii="Calibri" w:hAnsi="Calibri" w:cstheme="minorHAnsi"/>
          <w:sz w:val="18"/>
          <w:szCs w:val="18"/>
          <w:lang w:val="sr-Latn-CS"/>
        </w:rPr>
        <w:t xml:space="preserve"> </w:t>
      </w:r>
      <w:r w:rsidRPr="00C2305B">
        <w:rPr>
          <w:rFonts w:ascii="Calibri" w:hAnsi="Calibri" w:cstheme="minorHAnsi"/>
          <w:sz w:val="18"/>
          <w:szCs w:val="18"/>
        </w:rPr>
        <w:t>cigarete</w:t>
      </w:r>
      <w:r w:rsidRPr="00C2305B">
        <w:rPr>
          <w:rFonts w:ascii="Calibri" w:hAnsi="Calibri" w:cstheme="minorHAnsi"/>
          <w:sz w:val="18"/>
          <w:szCs w:val="18"/>
          <w:lang w:val="sr-Latn-CS"/>
        </w:rPr>
        <w:t xml:space="preserve"> </w:t>
      </w:r>
      <w:r w:rsidRPr="00C2305B">
        <w:rPr>
          <w:rFonts w:ascii="Calibri" w:hAnsi="Calibri" w:cstheme="minorHAnsi"/>
          <w:sz w:val="18"/>
          <w:szCs w:val="18"/>
        </w:rPr>
        <w:t>u</w:t>
      </w:r>
      <w:r w:rsidRPr="00C2305B">
        <w:rPr>
          <w:rFonts w:ascii="Calibri" w:hAnsi="Calibri" w:cstheme="minorHAnsi"/>
          <w:sz w:val="18"/>
          <w:szCs w:val="18"/>
          <w:lang w:val="sr-Latn-CS"/>
        </w:rPr>
        <w:t xml:space="preserve"> </w:t>
      </w:r>
      <w:r w:rsidRPr="00C2305B">
        <w:rPr>
          <w:rFonts w:ascii="Calibri" w:hAnsi="Calibri" w:cstheme="minorHAnsi"/>
          <w:sz w:val="18"/>
          <w:szCs w:val="18"/>
        </w:rPr>
        <w:t>Crnoj</w:t>
      </w:r>
      <w:r w:rsidRPr="00C2305B">
        <w:rPr>
          <w:rFonts w:ascii="Calibri" w:hAnsi="Calibri" w:cstheme="minorHAnsi"/>
          <w:sz w:val="18"/>
          <w:szCs w:val="18"/>
          <w:lang w:val="sr-Latn-CS"/>
        </w:rPr>
        <w:t xml:space="preserve"> </w:t>
      </w:r>
      <w:r w:rsidRPr="00C2305B">
        <w:rPr>
          <w:rFonts w:ascii="Calibri" w:hAnsi="Calibri" w:cstheme="minorHAnsi"/>
          <w:sz w:val="18"/>
          <w:szCs w:val="18"/>
        </w:rPr>
        <w:t>Gori</w:t>
      </w:r>
      <w:r w:rsidRPr="00C2305B">
        <w:rPr>
          <w:rFonts w:ascii="Calibri" w:hAnsi="Calibri" w:cstheme="minorHAnsi"/>
          <w:sz w:val="18"/>
          <w:szCs w:val="18"/>
          <w:lang w:val="sr-Latn-CS"/>
        </w:rPr>
        <w:t xml:space="preserve"> </w:t>
      </w:r>
      <w:r w:rsidRPr="00C2305B">
        <w:rPr>
          <w:rFonts w:ascii="Calibri" w:hAnsi="Calibri" w:cstheme="minorHAnsi"/>
          <w:sz w:val="18"/>
          <w:szCs w:val="18"/>
        </w:rPr>
        <w:t>iznosi</w:t>
      </w:r>
      <w:r w:rsidRPr="00C2305B">
        <w:rPr>
          <w:rFonts w:ascii="Calibri" w:hAnsi="Calibri" w:cstheme="minorHAnsi"/>
          <w:sz w:val="18"/>
          <w:szCs w:val="18"/>
          <w:lang w:val="sr-Latn-CS"/>
        </w:rPr>
        <w:t xml:space="preserve"> 53,3 </w:t>
      </w:r>
      <w:r w:rsidRPr="00C2305B">
        <w:rPr>
          <w:rFonts w:ascii="Calibri" w:hAnsi="Calibri" w:cstheme="minorHAnsi"/>
          <w:sz w:val="18"/>
          <w:szCs w:val="18"/>
        </w:rPr>
        <w:t>eura</w:t>
      </w:r>
      <w:r w:rsidRPr="00C2305B">
        <w:rPr>
          <w:rFonts w:ascii="Calibri" w:hAnsi="Calibri" w:cstheme="minorHAnsi"/>
          <w:sz w:val="18"/>
          <w:szCs w:val="18"/>
          <w:lang w:val="sr-Latn-CS"/>
        </w:rPr>
        <w:t xml:space="preserve"> </w:t>
      </w:r>
      <w:r w:rsidRPr="00C2305B">
        <w:rPr>
          <w:rFonts w:ascii="Calibri" w:hAnsi="Calibri" w:cstheme="minorHAnsi"/>
          <w:sz w:val="18"/>
          <w:szCs w:val="18"/>
        </w:rPr>
        <w:t>na</w:t>
      </w:r>
      <w:r w:rsidRPr="00C2305B">
        <w:rPr>
          <w:rFonts w:ascii="Calibri" w:hAnsi="Calibri" w:cstheme="minorHAnsi"/>
          <w:sz w:val="18"/>
          <w:szCs w:val="18"/>
          <w:lang w:val="sr-Latn-CS"/>
        </w:rPr>
        <w:t xml:space="preserve"> 1000 </w:t>
      </w:r>
      <w:r w:rsidRPr="00C2305B">
        <w:rPr>
          <w:rFonts w:ascii="Calibri" w:hAnsi="Calibri" w:cstheme="minorHAnsi"/>
          <w:sz w:val="18"/>
          <w:szCs w:val="18"/>
        </w:rPr>
        <w:t>komada</w:t>
      </w:r>
      <w:r w:rsidRPr="00C2305B">
        <w:rPr>
          <w:rFonts w:ascii="Calibri" w:hAnsi="Calibri" w:cstheme="minorHAnsi"/>
          <w:sz w:val="18"/>
          <w:szCs w:val="18"/>
          <w:lang w:val="sr-Latn-CS"/>
        </w:rPr>
        <w:t xml:space="preserve">, </w:t>
      </w:r>
      <w:r w:rsidRPr="00C2305B">
        <w:rPr>
          <w:rFonts w:ascii="Calibri" w:hAnsi="Calibri" w:cstheme="minorHAnsi"/>
          <w:sz w:val="18"/>
          <w:szCs w:val="18"/>
        </w:rPr>
        <w:t>odnosno</w:t>
      </w:r>
      <w:r w:rsidRPr="00C2305B">
        <w:rPr>
          <w:rFonts w:ascii="Calibri" w:hAnsi="Calibri" w:cstheme="minorHAnsi"/>
          <w:sz w:val="18"/>
          <w:szCs w:val="18"/>
          <w:lang w:val="sr-Latn-CS"/>
        </w:rPr>
        <w:t xml:space="preserve"> 56,1% </w:t>
      </w:r>
      <w:r w:rsidRPr="00C2305B">
        <w:rPr>
          <w:rFonts w:ascii="Calibri" w:hAnsi="Calibri" w:cstheme="minorHAnsi"/>
          <w:sz w:val="18"/>
          <w:szCs w:val="18"/>
        </w:rPr>
        <w:t>od</w:t>
      </w:r>
      <w:r w:rsidRPr="00C2305B">
        <w:rPr>
          <w:rFonts w:ascii="Calibri" w:hAnsi="Calibri" w:cstheme="minorHAnsi"/>
          <w:sz w:val="18"/>
          <w:szCs w:val="18"/>
          <w:lang w:val="sr-Latn-CS"/>
        </w:rPr>
        <w:t xml:space="preserve"> </w:t>
      </w:r>
      <w:r w:rsidRPr="00C2305B">
        <w:rPr>
          <w:rFonts w:ascii="Calibri" w:hAnsi="Calibri" w:cstheme="minorHAnsi"/>
          <w:sz w:val="18"/>
          <w:szCs w:val="18"/>
        </w:rPr>
        <w:t>prosje</w:t>
      </w:r>
      <w:r w:rsidRPr="00C2305B">
        <w:rPr>
          <w:rFonts w:ascii="Calibri" w:hAnsi="Calibri" w:cstheme="minorHAnsi"/>
          <w:sz w:val="18"/>
          <w:szCs w:val="18"/>
          <w:lang w:val="sr-Latn-CS"/>
        </w:rPr>
        <w:t>č</w:t>
      </w:r>
      <w:r w:rsidRPr="00C2305B">
        <w:rPr>
          <w:rFonts w:ascii="Calibri" w:hAnsi="Calibri" w:cstheme="minorHAnsi"/>
          <w:sz w:val="18"/>
          <w:szCs w:val="18"/>
        </w:rPr>
        <w:t>ne</w:t>
      </w:r>
      <w:r w:rsidRPr="00C2305B">
        <w:rPr>
          <w:rFonts w:ascii="Calibri" w:hAnsi="Calibri" w:cstheme="minorHAnsi"/>
          <w:sz w:val="18"/>
          <w:szCs w:val="18"/>
          <w:lang w:val="sr-Latn-CS"/>
        </w:rPr>
        <w:t xml:space="preserve"> </w:t>
      </w:r>
      <w:r w:rsidRPr="00C2305B">
        <w:rPr>
          <w:rFonts w:ascii="Calibri" w:hAnsi="Calibri" w:cstheme="minorHAnsi"/>
          <w:sz w:val="18"/>
          <w:szCs w:val="18"/>
        </w:rPr>
        <w:t>ponderisane</w:t>
      </w:r>
      <w:r w:rsidRPr="00C2305B">
        <w:rPr>
          <w:rFonts w:ascii="Calibri" w:hAnsi="Calibri" w:cstheme="minorHAnsi"/>
          <w:sz w:val="18"/>
          <w:szCs w:val="18"/>
          <w:lang w:val="sr-Latn-CS"/>
        </w:rPr>
        <w:t xml:space="preserve"> </w:t>
      </w:r>
      <w:r w:rsidRPr="00C2305B">
        <w:rPr>
          <w:rFonts w:ascii="Calibri" w:hAnsi="Calibri" w:cstheme="minorHAnsi"/>
          <w:sz w:val="18"/>
          <w:szCs w:val="18"/>
        </w:rPr>
        <w:t>cijene</w:t>
      </w:r>
      <w:r w:rsidRPr="00C2305B">
        <w:rPr>
          <w:rFonts w:ascii="Calibri" w:hAnsi="Calibri" w:cstheme="minorHAnsi"/>
          <w:sz w:val="18"/>
          <w:szCs w:val="18"/>
          <w:lang w:val="sr-Latn-CS"/>
        </w:rPr>
        <w:t xml:space="preserve"> </w:t>
      </w:r>
      <w:r w:rsidRPr="00C2305B">
        <w:rPr>
          <w:rFonts w:ascii="Calibri" w:hAnsi="Calibri" w:cstheme="minorHAnsi"/>
          <w:sz w:val="18"/>
          <w:szCs w:val="18"/>
        </w:rPr>
        <w:t>cigareta</w:t>
      </w:r>
      <w:r>
        <w:rPr>
          <w:rFonts w:ascii="Calibri" w:hAnsi="Calibri" w:cstheme="minorHAnsi"/>
          <w:sz w:val="18"/>
          <w:szCs w:val="18"/>
        </w:rPr>
        <w:t>.</w:t>
      </w:r>
    </w:p>
  </w:footnote>
  <w:footnote w:id="8">
    <w:p w:rsidR="00801715" w:rsidRPr="00C2305B" w:rsidRDefault="00801715" w:rsidP="00406AA1">
      <w:pPr>
        <w:pStyle w:val="FootnoteText"/>
        <w:ind w:left="142" w:hanging="142"/>
        <w:rPr>
          <w:sz w:val="18"/>
          <w:szCs w:val="18"/>
        </w:rPr>
      </w:pPr>
      <w:r w:rsidRPr="00C2305B">
        <w:rPr>
          <w:rStyle w:val="FootnoteReference"/>
          <w:sz w:val="18"/>
          <w:szCs w:val="18"/>
        </w:rPr>
        <w:footnoteRef/>
      </w:r>
      <w:r w:rsidRPr="00C2305B">
        <w:rPr>
          <w:sz w:val="18"/>
          <w:szCs w:val="18"/>
        </w:rPr>
        <w:t xml:space="preserve"> </w:t>
      </w:r>
      <w:r w:rsidRPr="00C2305B">
        <w:rPr>
          <w:rFonts w:cstheme="minorHAnsi"/>
          <w:sz w:val="18"/>
          <w:szCs w:val="18"/>
        </w:rPr>
        <w:t xml:space="preserve">Empirijska istraživanja su pokazala da je cjenovna elastičnost tražnje za cigaretama u Crnoj Gori veoma niska i da na tražnju </w:t>
      </w:r>
      <w:r w:rsidRPr="00C2305B">
        <w:rPr>
          <w:rStyle w:val="Strong"/>
          <w:rFonts w:cstheme="minorHAnsi"/>
          <w:b w:val="0"/>
          <w:sz w:val="18"/>
          <w:szCs w:val="18"/>
        </w:rPr>
        <w:t>cijene supstituta</w:t>
      </w:r>
      <w:r w:rsidRPr="00C2305B">
        <w:rPr>
          <w:rFonts w:cstheme="minorHAnsi"/>
          <w:sz w:val="18"/>
          <w:szCs w:val="18"/>
        </w:rPr>
        <w:t xml:space="preserve"> imaju veoma mali uticaj.</w:t>
      </w:r>
    </w:p>
  </w:footnote>
  <w:footnote w:id="9">
    <w:p w:rsidR="00801715" w:rsidRPr="00C2305B" w:rsidRDefault="00801715" w:rsidP="0088145C">
      <w:pPr>
        <w:pStyle w:val="FootnoteText"/>
        <w:ind w:left="142" w:hanging="142"/>
        <w:rPr>
          <w:sz w:val="18"/>
          <w:szCs w:val="18"/>
        </w:rPr>
      </w:pPr>
      <w:r w:rsidRPr="00C2305B">
        <w:rPr>
          <w:rStyle w:val="FootnoteReference"/>
          <w:sz w:val="18"/>
          <w:szCs w:val="18"/>
        </w:rPr>
        <w:footnoteRef/>
      </w:r>
      <w:r w:rsidRPr="00C2305B">
        <w:rPr>
          <w:sz w:val="18"/>
          <w:szCs w:val="18"/>
        </w:rPr>
        <w:t xml:space="preserve"> O</w:t>
      </w:r>
      <w:r w:rsidRPr="00C2305B">
        <w:rPr>
          <w:rFonts w:cstheme="minorHAnsi"/>
          <w:sz w:val="18"/>
          <w:szCs w:val="18"/>
        </w:rPr>
        <w:t>baveza plaćanja akciza po novim stopama utvrdiće se, ne samo na cigarete koje će se proizvoditi ili uvoziti nakon stupanja na snagu istih, već i za sve cigarete koje će se naći u trgovačkoj distribuciji na domaćem tržištu na dan stupanja na snagu novih stopa.</w:t>
      </w:r>
    </w:p>
  </w:footnote>
  <w:footnote w:id="10">
    <w:p w:rsidR="00801715" w:rsidRPr="00C2305B" w:rsidRDefault="00801715" w:rsidP="00F03744">
      <w:pPr>
        <w:rPr>
          <w:rFonts w:ascii="Calibri" w:hAnsi="Calibri" w:cstheme="minorHAnsi"/>
          <w:sz w:val="18"/>
          <w:szCs w:val="18"/>
        </w:rPr>
      </w:pPr>
      <w:r w:rsidRPr="00C2305B">
        <w:rPr>
          <w:rStyle w:val="FootnoteReference"/>
          <w:rFonts w:asciiTheme="minorHAnsi" w:hAnsiTheme="minorHAnsi" w:cstheme="minorHAnsi"/>
          <w:sz w:val="18"/>
          <w:szCs w:val="18"/>
        </w:rPr>
        <w:footnoteRef/>
      </w:r>
      <w:r w:rsidRPr="00C2305B">
        <w:rPr>
          <w:rFonts w:asciiTheme="minorHAnsi" w:hAnsiTheme="minorHAnsi" w:cstheme="minorHAnsi"/>
          <w:sz w:val="18"/>
          <w:szCs w:val="18"/>
        </w:rPr>
        <w:t xml:space="preserve"> </w:t>
      </w:r>
      <w:r w:rsidRPr="00C2305B">
        <w:rPr>
          <w:rFonts w:ascii="Calibri" w:hAnsi="Calibri" w:cstheme="minorHAnsi"/>
          <w:bCs/>
          <w:iCs/>
          <w:sz w:val="18"/>
          <w:szCs w:val="18"/>
        </w:rPr>
        <w:t>Za navedeni proizvod obračunava se i plaća akciza u iznosu od 10 eura po hektolitru gazirane vode (0,10€/l)</w:t>
      </w:r>
    </w:p>
  </w:footnote>
  <w:footnote w:id="11">
    <w:p w:rsidR="00801715" w:rsidRPr="00047057" w:rsidRDefault="00801715" w:rsidP="00C2305B">
      <w:pPr>
        <w:pStyle w:val="FootnoteText"/>
        <w:ind w:left="142" w:hanging="142"/>
        <w:rPr>
          <w:sz w:val="18"/>
          <w:szCs w:val="18"/>
        </w:rPr>
      </w:pPr>
      <w:r>
        <w:rPr>
          <w:rStyle w:val="FootnoteReference"/>
        </w:rPr>
        <w:footnoteRef/>
      </w:r>
      <w:r>
        <w:t xml:space="preserve"> </w:t>
      </w:r>
      <w:r w:rsidRPr="00047057">
        <w:rPr>
          <w:sz w:val="18"/>
          <w:szCs w:val="18"/>
        </w:rPr>
        <w:t>O</w:t>
      </w:r>
      <w:r w:rsidRPr="00047057">
        <w:rPr>
          <w:rFonts w:cstheme="minorHAnsi"/>
          <w:sz w:val="18"/>
          <w:szCs w:val="18"/>
        </w:rPr>
        <w:t>baveza plaćanja akciza po novim stopama utvrdiće se, ne samo na proizvode koji će se proizvoditi ili uvoziti nakon stupanja na snagu istih, već i za sve proizvode koji će se naći u trgovačkoj distribuciji na domaćem tržištu na dan stupanja na snagu novih stopa.</w:t>
      </w:r>
    </w:p>
  </w:footnote>
  <w:footnote w:id="12">
    <w:p w:rsidR="00801715" w:rsidRPr="00047057" w:rsidRDefault="00801715" w:rsidP="00F03744">
      <w:pPr>
        <w:pStyle w:val="FootnoteText"/>
        <w:rPr>
          <w:rFonts w:ascii="Calibri" w:hAnsi="Calibri" w:cstheme="minorHAnsi"/>
          <w:sz w:val="18"/>
          <w:szCs w:val="18"/>
          <w:lang w:val="de-DE"/>
        </w:rPr>
      </w:pPr>
      <w:r w:rsidRPr="00047057">
        <w:rPr>
          <w:rStyle w:val="FootnoteReference"/>
          <w:rFonts w:cstheme="minorHAnsi"/>
          <w:sz w:val="18"/>
          <w:szCs w:val="18"/>
        </w:rPr>
        <w:footnoteRef/>
      </w:r>
      <w:r w:rsidRPr="00047057">
        <w:rPr>
          <w:rFonts w:cstheme="minorHAnsi"/>
          <w:sz w:val="18"/>
          <w:szCs w:val="18"/>
          <w:lang w:val="de-DE"/>
        </w:rPr>
        <w:t xml:space="preserve"> </w:t>
      </w:r>
      <w:r w:rsidRPr="00047057">
        <w:rPr>
          <w:rFonts w:ascii="Calibri" w:hAnsi="Calibri" w:cstheme="minorHAnsi"/>
          <w:color w:val="000000"/>
          <w:sz w:val="18"/>
          <w:szCs w:val="18"/>
          <w:lang w:val="de-DE"/>
        </w:rPr>
        <w:t>Direktiva EU 2003/96/EEZ od 27. oktobra 2003. godine o oporezivanju energenata i električne energije.</w:t>
      </w:r>
    </w:p>
  </w:footnote>
  <w:footnote w:id="13">
    <w:p w:rsidR="00801715" w:rsidRPr="00047057" w:rsidRDefault="00801715" w:rsidP="00047057">
      <w:pPr>
        <w:pStyle w:val="FootnoteText"/>
        <w:spacing w:line="276" w:lineRule="auto"/>
        <w:ind w:left="142" w:hanging="142"/>
        <w:rPr>
          <w:rFonts w:cstheme="minorHAnsi"/>
          <w:sz w:val="18"/>
          <w:szCs w:val="18"/>
          <w:lang w:val="sr-Latn-CS"/>
        </w:rPr>
      </w:pPr>
      <w:r w:rsidRPr="00047057">
        <w:rPr>
          <w:rStyle w:val="FootnoteReference"/>
          <w:rFonts w:cstheme="minorHAnsi"/>
          <w:sz w:val="18"/>
          <w:szCs w:val="18"/>
        </w:rPr>
        <w:footnoteRef/>
      </w:r>
      <w:r w:rsidRPr="00047057">
        <w:rPr>
          <w:rFonts w:cstheme="minorHAnsi"/>
          <w:sz w:val="18"/>
          <w:szCs w:val="18"/>
        </w:rPr>
        <w:t>Prema</w:t>
      </w:r>
      <w:r w:rsidRPr="00047057">
        <w:rPr>
          <w:rFonts w:cstheme="minorHAnsi"/>
          <w:sz w:val="18"/>
          <w:szCs w:val="18"/>
          <w:lang w:val="sr-Latn-CS"/>
        </w:rPr>
        <w:t xml:space="preserve"> </w:t>
      </w:r>
      <w:r w:rsidRPr="00047057">
        <w:rPr>
          <w:rFonts w:cstheme="minorHAnsi"/>
          <w:sz w:val="18"/>
          <w:szCs w:val="18"/>
        </w:rPr>
        <w:t>va</w:t>
      </w:r>
      <w:r w:rsidRPr="00047057">
        <w:rPr>
          <w:rFonts w:cstheme="minorHAnsi"/>
          <w:sz w:val="18"/>
          <w:szCs w:val="18"/>
          <w:lang w:val="sr-Latn-CS"/>
        </w:rPr>
        <w:t>ž</w:t>
      </w:r>
      <w:r w:rsidRPr="00047057">
        <w:rPr>
          <w:rFonts w:cstheme="minorHAnsi"/>
          <w:sz w:val="18"/>
          <w:szCs w:val="18"/>
        </w:rPr>
        <w:t>e</w:t>
      </w:r>
      <w:r w:rsidRPr="00047057">
        <w:rPr>
          <w:rFonts w:cstheme="minorHAnsi"/>
          <w:sz w:val="18"/>
          <w:szCs w:val="18"/>
          <w:lang w:val="sr-Latn-CS"/>
        </w:rPr>
        <w:t>ć</w:t>
      </w:r>
      <w:r w:rsidRPr="00047057">
        <w:rPr>
          <w:rFonts w:cstheme="minorHAnsi"/>
          <w:sz w:val="18"/>
          <w:szCs w:val="18"/>
        </w:rPr>
        <w:t>em</w:t>
      </w:r>
      <w:r w:rsidRPr="00047057">
        <w:rPr>
          <w:rFonts w:cstheme="minorHAnsi"/>
          <w:sz w:val="18"/>
          <w:szCs w:val="18"/>
          <w:lang w:val="sr-Latn-CS"/>
        </w:rPr>
        <w:t xml:space="preserve"> </w:t>
      </w:r>
      <w:r w:rsidRPr="00047057">
        <w:rPr>
          <w:rFonts w:cstheme="minorHAnsi"/>
          <w:sz w:val="18"/>
          <w:szCs w:val="18"/>
        </w:rPr>
        <w:t>zakonskom</w:t>
      </w:r>
      <w:r w:rsidRPr="00047057">
        <w:rPr>
          <w:rFonts w:cstheme="minorHAnsi"/>
          <w:sz w:val="18"/>
          <w:szCs w:val="18"/>
          <w:lang w:val="sr-Latn-CS"/>
        </w:rPr>
        <w:t xml:space="preserve"> </w:t>
      </w:r>
      <w:r w:rsidRPr="00047057">
        <w:rPr>
          <w:rFonts w:cstheme="minorHAnsi"/>
          <w:sz w:val="18"/>
          <w:szCs w:val="18"/>
        </w:rPr>
        <w:t>rje</w:t>
      </w:r>
      <w:r w:rsidRPr="00047057">
        <w:rPr>
          <w:rFonts w:cstheme="minorHAnsi"/>
          <w:sz w:val="18"/>
          <w:szCs w:val="18"/>
          <w:lang w:val="sr-Latn-CS"/>
        </w:rPr>
        <w:t>š</w:t>
      </w:r>
      <w:r w:rsidRPr="00047057">
        <w:rPr>
          <w:rFonts w:cstheme="minorHAnsi"/>
          <w:sz w:val="18"/>
          <w:szCs w:val="18"/>
        </w:rPr>
        <w:t>enju</w:t>
      </w:r>
      <w:r w:rsidRPr="00047057">
        <w:rPr>
          <w:rFonts w:cstheme="minorHAnsi"/>
          <w:sz w:val="18"/>
          <w:szCs w:val="18"/>
          <w:lang w:val="sr-Latn-CS"/>
        </w:rPr>
        <w:t xml:space="preserve">, </w:t>
      </w:r>
      <w:r w:rsidRPr="00047057">
        <w:rPr>
          <w:rFonts w:cstheme="minorHAnsi"/>
          <w:sz w:val="18"/>
          <w:szCs w:val="18"/>
        </w:rPr>
        <w:t>alkohol</w:t>
      </w:r>
      <w:r w:rsidRPr="00047057">
        <w:rPr>
          <w:rFonts w:cstheme="minorHAnsi"/>
          <w:sz w:val="18"/>
          <w:szCs w:val="18"/>
          <w:lang w:val="sr-Latn-CS"/>
        </w:rPr>
        <w:t xml:space="preserve"> </w:t>
      </w:r>
      <w:r w:rsidRPr="00047057">
        <w:rPr>
          <w:rFonts w:cstheme="minorHAnsi"/>
          <w:sz w:val="18"/>
          <w:szCs w:val="18"/>
        </w:rPr>
        <w:t>i</w:t>
      </w:r>
      <w:r w:rsidRPr="00047057">
        <w:rPr>
          <w:rFonts w:cstheme="minorHAnsi"/>
          <w:sz w:val="18"/>
          <w:szCs w:val="18"/>
          <w:lang w:val="sr-Latn-CS"/>
        </w:rPr>
        <w:t xml:space="preserve"> </w:t>
      </w:r>
      <w:r w:rsidRPr="00047057">
        <w:rPr>
          <w:rFonts w:cstheme="minorHAnsi"/>
          <w:sz w:val="18"/>
          <w:szCs w:val="18"/>
        </w:rPr>
        <w:t>alkoholna</w:t>
      </w:r>
      <w:r w:rsidRPr="00047057">
        <w:rPr>
          <w:rFonts w:cstheme="minorHAnsi"/>
          <w:sz w:val="18"/>
          <w:szCs w:val="18"/>
          <w:lang w:val="sr-Latn-CS"/>
        </w:rPr>
        <w:t xml:space="preserve"> </w:t>
      </w:r>
      <w:r w:rsidRPr="00047057">
        <w:rPr>
          <w:rFonts w:cstheme="minorHAnsi"/>
          <w:sz w:val="18"/>
          <w:szCs w:val="18"/>
        </w:rPr>
        <w:t>pi</w:t>
      </w:r>
      <w:r w:rsidRPr="00047057">
        <w:rPr>
          <w:rFonts w:cstheme="minorHAnsi"/>
          <w:sz w:val="18"/>
          <w:szCs w:val="18"/>
          <w:lang w:val="sr-Latn-CS"/>
        </w:rPr>
        <w:t>ć</w:t>
      </w:r>
      <w:r w:rsidRPr="00047057">
        <w:rPr>
          <w:rFonts w:cstheme="minorHAnsi"/>
          <w:sz w:val="18"/>
          <w:szCs w:val="18"/>
        </w:rPr>
        <w:t>a</w:t>
      </w:r>
      <w:r w:rsidRPr="00047057">
        <w:rPr>
          <w:rFonts w:cstheme="minorHAnsi"/>
          <w:sz w:val="18"/>
          <w:szCs w:val="18"/>
          <w:lang w:val="sr-Latn-CS"/>
        </w:rPr>
        <w:t xml:space="preserve"> </w:t>
      </w:r>
      <w:r w:rsidRPr="00047057">
        <w:rPr>
          <w:rFonts w:cstheme="minorHAnsi"/>
          <w:sz w:val="18"/>
          <w:szCs w:val="18"/>
        </w:rPr>
        <w:t>na</w:t>
      </w:r>
      <w:r w:rsidRPr="00047057">
        <w:rPr>
          <w:rFonts w:cstheme="minorHAnsi"/>
          <w:sz w:val="18"/>
          <w:szCs w:val="18"/>
          <w:lang w:val="sr-Latn-CS"/>
        </w:rPr>
        <w:t xml:space="preserve"> </w:t>
      </w:r>
      <w:r w:rsidRPr="00047057">
        <w:rPr>
          <w:rFonts w:cstheme="minorHAnsi"/>
          <w:sz w:val="18"/>
          <w:szCs w:val="18"/>
        </w:rPr>
        <w:t>koja</w:t>
      </w:r>
      <w:r w:rsidRPr="00047057">
        <w:rPr>
          <w:rFonts w:cstheme="minorHAnsi"/>
          <w:sz w:val="18"/>
          <w:szCs w:val="18"/>
          <w:lang w:val="sr-Latn-CS"/>
        </w:rPr>
        <w:t xml:space="preserve"> </w:t>
      </w:r>
      <w:r w:rsidRPr="00047057">
        <w:rPr>
          <w:rFonts w:cstheme="minorHAnsi"/>
          <w:sz w:val="18"/>
          <w:szCs w:val="18"/>
        </w:rPr>
        <w:t>se</w:t>
      </w:r>
      <w:r w:rsidRPr="00047057">
        <w:rPr>
          <w:rFonts w:cstheme="minorHAnsi"/>
          <w:sz w:val="18"/>
          <w:szCs w:val="18"/>
          <w:lang w:val="sr-Latn-CS"/>
        </w:rPr>
        <w:t xml:space="preserve"> </w:t>
      </w:r>
      <w:r w:rsidRPr="00047057">
        <w:rPr>
          <w:rFonts w:cstheme="minorHAnsi"/>
          <w:sz w:val="18"/>
          <w:szCs w:val="18"/>
        </w:rPr>
        <w:t>pla</w:t>
      </w:r>
      <w:r w:rsidRPr="00047057">
        <w:rPr>
          <w:rFonts w:cstheme="minorHAnsi"/>
          <w:sz w:val="18"/>
          <w:szCs w:val="18"/>
          <w:lang w:val="sr-Latn-CS"/>
        </w:rPr>
        <w:t>ć</w:t>
      </w:r>
      <w:r w:rsidRPr="00047057">
        <w:rPr>
          <w:rFonts w:cstheme="minorHAnsi"/>
          <w:sz w:val="18"/>
          <w:szCs w:val="18"/>
        </w:rPr>
        <w:t>a</w:t>
      </w:r>
      <w:r w:rsidRPr="00047057">
        <w:rPr>
          <w:rFonts w:cstheme="minorHAnsi"/>
          <w:sz w:val="18"/>
          <w:szCs w:val="18"/>
          <w:lang w:val="sr-Latn-CS"/>
        </w:rPr>
        <w:t xml:space="preserve"> </w:t>
      </w:r>
      <w:r w:rsidRPr="00047057">
        <w:rPr>
          <w:rFonts w:cstheme="minorHAnsi"/>
          <w:sz w:val="18"/>
          <w:szCs w:val="18"/>
        </w:rPr>
        <w:t>akciza</w:t>
      </w:r>
      <w:r w:rsidRPr="00047057">
        <w:rPr>
          <w:rFonts w:cstheme="minorHAnsi"/>
          <w:sz w:val="18"/>
          <w:szCs w:val="18"/>
          <w:lang w:val="sr-Latn-CS"/>
        </w:rPr>
        <w:t xml:space="preserve"> </w:t>
      </w:r>
      <w:r w:rsidRPr="00047057">
        <w:rPr>
          <w:rFonts w:cstheme="minorHAnsi"/>
          <w:sz w:val="18"/>
          <w:szCs w:val="18"/>
        </w:rPr>
        <w:t>su</w:t>
      </w:r>
      <w:r w:rsidRPr="00047057">
        <w:rPr>
          <w:rFonts w:cstheme="minorHAnsi"/>
          <w:sz w:val="18"/>
          <w:szCs w:val="18"/>
          <w:lang w:val="sr-Latn-CS"/>
        </w:rPr>
        <w:t xml:space="preserve">: </w:t>
      </w:r>
      <w:r w:rsidRPr="00047057">
        <w:rPr>
          <w:rFonts w:cstheme="minorHAnsi"/>
          <w:sz w:val="18"/>
          <w:szCs w:val="18"/>
        </w:rPr>
        <w:t>pivo</w:t>
      </w:r>
      <w:r w:rsidRPr="00047057">
        <w:rPr>
          <w:rFonts w:cstheme="minorHAnsi"/>
          <w:sz w:val="18"/>
          <w:szCs w:val="18"/>
          <w:lang w:val="sr-Latn-CS"/>
        </w:rPr>
        <w:t xml:space="preserve">, </w:t>
      </w:r>
      <w:r w:rsidRPr="00047057">
        <w:rPr>
          <w:rFonts w:cstheme="minorHAnsi"/>
          <w:sz w:val="18"/>
          <w:szCs w:val="18"/>
        </w:rPr>
        <w:t>vino</w:t>
      </w:r>
      <w:r w:rsidRPr="00047057">
        <w:rPr>
          <w:rFonts w:cstheme="minorHAnsi"/>
          <w:sz w:val="18"/>
          <w:szCs w:val="18"/>
          <w:lang w:val="sr-Latn-CS"/>
        </w:rPr>
        <w:t xml:space="preserve">, </w:t>
      </w:r>
      <w:r w:rsidRPr="00047057">
        <w:rPr>
          <w:rFonts w:cstheme="minorHAnsi"/>
          <w:sz w:val="18"/>
          <w:szCs w:val="18"/>
        </w:rPr>
        <w:t>ostala</w:t>
      </w:r>
      <w:r w:rsidRPr="00047057">
        <w:rPr>
          <w:rFonts w:cstheme="minorHAnsi"/>
          <w:sz w:val="18"/>
          <w:szCs w:val="18"/>
          <w:lang w:val="sr-Latn-CS"/>
        </w:rPr>
        <w:t xml:space="preserve"> </w:t>
      </w:r>
      <w:r w:rsidRPr="00047057">
        <w:rPr>
          <w:rFonts w:cstheme="minorHAnsi"/>
          <w:sz w:val="18"/>
          <w:szCs w:val="18"/>
        </w:rPr>
        <w:t>fermentisana</w:t>
      </w:r>
      <w:r w:rsidRPr="00047057">
        <w:rPr>
          <w:rFonts w:cstheme="minorHAnsi"/>
          <w:sz w:val="18"/>
          <w:szCs w:val="18"/>
          <w:lang w:val="sr-Latn-CS"/>
        </w:rPr>
        <w:t xml:space="preserve"> </w:t>
      </w:r>
      <w:r w:rsidRPr="00047057">
        <w:rPr>
          <w:rFonts w:cstheme="minorHAnsi"/>
          <w:sz w:val="18"/>
          <w:szCs w:val="18"/>
        </w:rPr>
        <w:t>pi</w:t>
      </w:r>
      <w:r w:rsidRPr="00047057">
        <w:rPr>
          <w:rFonts w:cstheme="minorHAnsi"/>
          <w:sz w:val="18"/>
          <w:szCs w:val="18"/>
          <w:lang w:val="sr-Latn-CS"/>
        </w:rPr>
        <w:t>ć</w:t>
      </w:r>
      <w:r w:rsidRPr="00047057">
        <w:rPr>
          <w:rFonts w:cstheme="minorHAnsi"/>
          <w:sz w:val="18"/>
          <w:szCs w:val="18"/>
        </w:rPr>
        <w:t>a</w:t>
      </w:r>
      <w:r w:rsidRPr="00047057">
        <w:rPr>
          <w:rFonts w:cstheme="minorHAnsi"/>
          <w:sz w:val="18"/>
          <w:szCs w:val="18"/>
          <w:lang w:val="sr-Latn-CS"/>
        </w:rPr>
        <w:t xml:space="preserve">, </w:t>
      </w:r>
      <w:r w:rsidRPr="00047057">
        <w:rPr>
          <w:rFonts w:cstheme="minorHAnsi"/>
          <w:sz w:val="18"/>
          <w:szCs w:val="18"/>
        </w:rPr>
        <w:t>srednja</w:t>
      </w:r>
      <w:r w:rsidRPr="00047057">
        <w:rPr>
          <w:rFonts w:cstheme="minorHAnsi"/>
          <w:sz w:val="18"/>
          <w:szCs w:val="18"/>
          <w:lang w:val="sr-Latn-CS"/>
        </w:rPr>
        <w:t xml:space="preserve"> </w:t>
      </w:r>
      <w:r w:rsidRPr="00047057">
        <w:rPr>
          <w:rFonts w:cstheme="minorHAnsi"/>
          <w:sz w:val="18"/>
          <w:szCs w:val="18"/>
        </w:rPr>
        <w:t>alkoholna</w:t>
      </w:r>
      <w:r w:rsidRPr="00047057">
        <w:rPr>
          <w:rFonts w:cstheme="minorHAnsi"/>
          <w:sz w:val="18"/>
          <w:szCs w:val="18"/>
          <w:lang w:val="sr-Latn-CS"/>
        </w:rPr>
        <w:t xml:space="preserve"> </w:t>
      </w:r>
      <w:r w:rsidRPr="00047057">
        <w:rPr>
          <w:rFonts w:cstheme="minorHAnsi"/>
          <w:sz w:val="18"/>
          <w:szCs w:val="18"/>
        </w:rPr>
        <w:t>pi</w:t>
      </w:r>
      <w:r w:rsidRPr="00047057">
        <w:rPr>
          <w:rFonts w:cstheme="minorHAnsi"/>
          <w:sz w:val="18"/>
          <w:szCs w:val="18"/>
          <w:lang w:val="sr-Latn-CS"/>
        </w:rPr>
        <w:t>ć</w:t>
      </w:r>
      <w:r w:rsidRPr="00047057">
        <w:rPr>
          <w:rFonts w:cstheme="minorHAnsi"/>
          <w:sz w:val="18"/>
          <w:szCs w:val="18"/>
        </w:rPr>
        <w:t>a</w:t>
      </w:r>
      <w:r w:rsidRPr="00047057">
        <w:rPr>
          <w:rFonts w:cstheme="minorHAnsi"/>
          <w:sz w:val="18"/>
          <w:szCs w:val="18"/>
          <w:lang w:val="sr-Latn-CS"/>
        </w:rPr>
        <w:t xml:space="preserve"> </w:t>
      </w:r>
      <w:r w:rsidRPr="00047057">
        <w:rPr>
          <w:rFonts w:cstheme="minorHAnsi"/>
          <w:sz w:val="18"/>
          <w:szCs w:val="18"/>
        </w:rPr>
        <w:t>i</w:t>
      </w:r>
      <w:r w:rsidRPr="00047057">
        <w:rPr>
          <w:rFonts w:cstheme="minorHAnsi"/>
          <w:sz w:val="18"/>
          <w:szCs w:val="18"/>
          <w:lang w:val="sr-Latn-CS"/>
        </w:rPr>
        <w:t xml:space="preserve"> </w:t>
      </w:r>
      <w:r w:rsidRPr="00047057">
        <w:rPr>
          <w:rFonts w:cstheme="minorHAnsi"/>
          <w:sz w:val="18"/>
          <w:szCs w:val="18"/>
        </w:rPr>
        <w:t>etil</w:t>
      </w:r>
      <w:r w:rsidRPr="00047057">
        <w:rPr>
          <w:rFonts w:cstheme="minorHAnsi"/>
          <w:sz w:val="18"/>
          <w:szCs w:val="18"/>
          <w:lang w:val="sr-Latn-CS"/>
        </w:rPr>
        <w:t xml:space="preserve"> </w:t>
      </w:r>
      <w:r w:rsidRPr="00047057">
        <w:rPr>
          <w:rFonts w:cstheme="minorHAnsi"/>
          <w:sz w:val="18"/>
          <w:szCs w:val="18"/>
        </w:rPr>
        <w:t>al</w:t>
      </w:r>
      <w:r>
        <w:rPr>
          <w:rFonts w:cstheme="minorHAnsi"/>
          <w:sz w:val="18"/>
          <w:szCs w:val="18"/>
        </w:rPr>
        <w:t>k</w:t>
      </w:r>
      <w:r w:rsidRPr="00047057">
        <w:rPr>
          <w:rFonts w:cstheme="minorHAnsi"/>
          <w:sz w:val="18"/>
          <w:szCs w:val="18"/>
        </w:rPr>
        <w:t>ohol</w:t>
      </w:r>
      <w:r w:rsidRPr="00047057">
        <w:rPr>
          <w:rFonts w:cstheme="minorHAnsi"/>
          <w:sz w:val="18"/>
          <w:szCs w:val="18"/>
          <w:lang w:val="sr-Latn-CS"/>
        </w:rPr>
        <w:t>.</w:t>
      </w:r>
    </w:p>
  </w:footnote>
  <w:footnote w:id="14">
    <w:p w:rsidR="00801715" w:rsidRPr="00047057" w:rsidRDefault="00801715" w:rsidP="00047057">
      <w:pPr>
        <w:spacing w:line="276" w:lineRule="auto"/>
        <w:ind w:left="142" w:hanging="142"/>
        <w:contextualSpacing/>
        <w:rPr>
          <w:rFonts w:asciiTheme="minorHAnsi" w:hAnsiTheme="minorHAnsi" w:cstheme="minorHAnsi"/>
          <w:sz w:val="18"/>
          <w:szCs w:val="18"/>
        </w:rPr>
      </w:pPr>
      <w:r w:rsidRPr="00047057">
        <w:rPr>
          <w:rStyle w:val="FootnoteReference"/>
          <w:rFonts w:asciiTheme="minorHAnsi" w:hAnsiTheme="minorHAnsi" w:cstheme="minorHAnsi"/>
          <w:sz w:val="18"/>
          <w:szCs w:val="18"/>
        </w:rPr>
        <w:footnoteRef/>
      </w:r>
      <w:r w:rsidRPr="00047057">
        <w:rPr>
          <w:rFonts w:asciiTheme="minorHAnsi" w:hAnsiTheme="minorHAnsi" w:cstheme="minorHAnsi"/>
          <w:sz w:val="18"/>
          <w:szCs w:val="18"/>
        </w:rPr>
        <w:t xml:space="preserve"> Akciza na etil - alkohol iznosi 650 € po hektolitru čistog alkohola, a minimalna visina akcize koja je propisana Direktivom za ovu vrstu akciznog proizvoda iznosi 550 € po hl čistog alkohola.</w:t>
      </w:r>
    </w:p>
  </w:footnote>
  <w:footnote w:id="15">
    <w:p w:rsidR="00801715" w:rsidRPr="00047057" w:rsidRDefault="00801715" w:rsidP="00C2305B">
      <w:pPr>
        <w:pStyle w:val="FootnoteText"/>
        <w:ind w:left="142" w:hanging="142"/>
        <w:rPr>
          <w:sz w:val="18"/>
          <w:szCs w:val="18"/>
        </w:rPr>
      </w:pPr>
      <w:r w:rsidRPr="00047057">
        <w:rPr>
          <w:rStyle w:val="FootnoteReference"/>
          <w:sz w:val="18"/>
          <w:szCs w:val="18"/>
        </w:rPr>
        <w:footnoteRef/>
      </w:r>
      <w:r w:rsidRPr="00047057">
        <w:rPr>
          <w:sz w:val="18"/>
          <w:szCs w:val="18"/>
        </w:rPr>
        <w:t xml:space="preserve"> O</w:t>
      </w:r>
      <w:r w:rsidRPr="00047057">
        <w:rPr>
          <w:rFonts w:cstheme="minorHAnsi"/>
          <w:sz w:val="18"/>
          <w:szCs w:val="18"/>
        </w:rPr>
        <w:t>baveza plaćanja akciza po novim stopama utvrdiće se, ne samo na proizvode koji će se proizvoditi ili uvoziti nakon stupanja na snagu istih, već i za sve proizvode koji će se naći u trgovačkoj distribuciji na domaćem tržištu na dan stupanja na snagu novih stopa.</w:t>
      </w:r>
    </w:p>
  </w:footnote>
  <w:footnote w:id="16">
    <w:p w:rsidR="00801715" w:rsidRPr="00786EB0" w:rsidRDefault="00801715" w:rsidP="00657AD1">
      <w:pPr>
        <w:rPr>
          <w:rFonts w:cstheme="minorHAnsi"/>
          <w:sz w:val="18"/>
          <w:szCs w:val="18"/>
        </w:rPr>
      </w:pPr>
      <w:r w:rsidRPr="00484A74">
        <w:rPr>
          <w:rStyle w:val="FootnoteReference"/>
          <w:rFonts w:asciiTheme="minorHAnsi" w:hAnsiTheme="minorHAnsi" w:cstheme="minorHAnsi"/>
          <w:sz w:val="16"/>
          <w:szCs w:val="16"/>
        </w:rPr>
        <w:footnoteRef/>
      </w:r>
      <w:r w:rsidRPr="00484A74">
        <w:rPr>
          <w:rFonts w:asciiTheme="minorHAnsi" w:hAnsiTheme="minorHAnsi" w:cstheme="minorHAnsi"/>
          <w:sz w:val="16"/>
          <w:szCs w:val="16"/>
        </w:rPr>
        <w:t xml:space="preserve"> </w:t>
      </w:r>
      <w:r w:rsidRPr="00786EB0">
        <w:rPr>
          <w:rFonts w:asciiTheme="minorHAnsi" w:hAnsiTheme="minorHAnsi" w:cstheme="minorHAnsi"/>
          <w:sz w:val="18"/>
          <w:szCs w:val="18"/>
          <w:lang w:val="hr-HR"/>
        </w:rPr>
        <w:t>Analiza</w:t>
      </w:r>
      <w:r w:rsidRPr="00786EB0">
        <w:rPr>
          <w:rFonts w:asciiTheme="minorHAnsi" w:hAnsiTheme="minorHAnsi" w:cstheme="minorHAnsi"/>
          <w:sz w:val="18"/>
          <w:szCs w:val="18"/>
        </w:rPr>
        <w:t xml:space="preserve"> Svjetske banke je pokazala da je povećanje PDV-a sa 17 na 19 % dovelo do </w:t>
      </w:r>
      <w:r w:rsidRPr="00786EB0">
        <w:rPr>
          <w:rFonts w:asciiTheme="minorHAnsi" w:hAnsiTheme="minorHAnsi" w:cstheme="minorHAnsi"/>
          <w:sz w:val="18"/>
          <w:szCs w:val="18"/>
          <w:lang w:val="hr-HR"/>
        </w:rPr>
        <w:t xml:space="preserve">povećanja prihoda budžeta za 8 do 9%, </w:t>
      </w:r>
      <w:r w:rsidRPr="00786EB0">
        <w:rPr>
          <w:rFonts w:asciiTheme="minorHAnsi" w:eastAsia="Calibri" w:hAnsiTheme="minorHAnsi" w:cstheme="minorHAnsi"/>
          <w:sz w:val="18"/>
          <w:szCs w:val="18"/>
          <w:lang w:val="hr-HR"/>
        </w:rPr>
        <w:t>povećanja cijena od 0,67 do 0,85 procentnih poena u prvoj godini, uz ravnomjernu raspodjelu poreskog opterećenja.</w:t>
      </w:r>
    </w:p>
  </w:footnote>
  <w:footnote w:id="17">
    <w:p w:rsidR="0018241D" w:rsidRPr="0018241D" w:rsidRDefault="0018241D">
      <w:pPr>
        <w:pStyle w:val="FootnoteText"/>
      </w:pPr>
      <w:r>
        <w:rPr>
          <w:rStyle w:val="FootnoteReference"/>
        </w:rPr>
        <w:footnoteRef/>
      </w:r>
      <w:r>
        <w:t xml:space="preserve"> </w:t>
      </w:r>
      <w:r w:rsidRPr="0018241D">
        <w:rPr>
          <w:rFonts w:eastAsia="Calibri" w:cstheme="minorHAnsi"/>
          <w:sz w:val="18"/>
          <w:szCs w:val="18"/>
        </w:rPr>
        <w:t>Strategija</w:t>
      </w:r>
      <w:r w:rsidRPr="0018241D">
        <w:rPr>
          <w:rFonts w:eastAsia="Calibri" w:cstheme="minorHAnsi"/>
          <w:bCs/>
          <w:sz w:val="18"/>
          <w:szCs w:val="18"/>
        </w:rPr>
        <w:t xml:space="preserve"> reforme javne uprave u Crnoj Gori 2016-2020</w:t>
      </w:r>
      <w:r>
        <w:rPr>
          <w:rFonts w:eastAsia="Calibri" w:cstheme="minorHAnsi"/>
          <w:bCs/>
          <w:sz w:val="18"/>
          <w:szCs w:val="18"/>
        </w:rPr>
        <w:t>.</w:t>
      </w:r>
    </w:p>
  </w:footnote>
  <w:footnote w:id="18">
    <w:p w:rsidR="00801715" w:rsidRPr="00786EB0" w:rsidRDefault="00801715" w:rsidP="008E5B78">
      <w:pPr>
        <w:spacing w:line="276" w:lineRule="auto"/>
        <w:rPr>
          <w:rFonts w:asciiTheme="minorHAnsi" w:hAnsiTheme="minorHAnsi" w:cstheme="minorHAnsi"/>
          <w:sz w:val="18"/>
          <w:szCs w:val="18"/>
        </w:rPr>
      </w:pPr>
      <w:r w:rsidRPr="00786EB0">
        <w:rPr>
          <w:rStyle w:val="FootnoteReference"/>
          <w:rFonts w:asciiTheme="minorHAnsi" w:hAnsiTheme="minorHAnsi" w:cstheme="minorHAnsi"/>
          <w:sz w:val="18"/>
          <w:szCs w:val="18"/>
        </w:rPr>
        <w:footnoteRef/>
      </w:r>
      <w:r w:rsidRPr="00786EB0">
        <w:rPr>
          <w:rFonts w:asciiTheme="minorHAnsi" w:hAnsiTheme="minorHAnsi" w:cstheme="minorHAnsi"/>
          <w:sz w:val="18"/>
          <w:szCs w:val="18"/>
        </w:rPr>
        <w:t xml:space="preserve"> Donošenjem ove mjere ukinuće se mjera utvrđena Planom sanacije, a koja se odnosi na smanjenje izdataka po osnovu dodataka na osnovnu zaradu, u dijelu koji se odnosi na dodatak po osnovu godina radnog staža (minuli rad), na način što se zarada po navedenom osnovu ne bi uvećavala u periodu od 01.04.2017 do 01.01.2019. godine.</w:t>
      </w:r>
    </w:p>
  </w:footnote>
  <w:footnote w:id="19">
    <w:p w:rsidR="00801715" w:rsidRPr="00786EB0" w:rsidRDefault="00801715" w:rsidP="008E5B78">
      <w:pPr>
        <w:pStyle w:val="FootnoteText"/>
        <w:rPr>
          <w:sz w:val="18"/>
          <w:szCs w:val="18"/>
          <w:lang w:val="sr-Latn-CS"/>
        </w:rPr>
      </w:pPr>
      <w:r w:rsidRPr="00786EB0">
        <w:rPr>
          <w:rStyle w:val="FootnoteReference"/>
          <w:sz w:val="18"/>
          <w:szCs w:val="18"/>
        </w:rPr>
        <w:footnoteRef/>
      </w:r>
      <w:r w:rsidRPr="00786EB0">
        <w:rPr>
          <w:sz w:val="18"/>
          <w:szCs w:val="18"/>
          <w:lang w:val="sr-Latn-CS"/>
        </w:rPr>
        <w:t xml:space="preserve"> </w:t>
      </w:r>
      <w:r w:rsidRPr="00786EB0">
        <w:rPr>
          <w:rFonts w:cstheme="minorHAnsi"/>
          <w:sz w:val="18"/>
          <w:szCs w:val="18"/>
        </w:rPr>
        <w:t>Sanacionim</w:t>
      </w:r>
      <w:r w:rsidRPr="00786EB0">
        <w:rPr>
          <w:rFonts w:cstheme="minorHAnsi"/>
          <w:sz w:val="18"/>
          <w:szCs w:val="18"/>
          <w:lang w:val="sr-Latn-CS"/>
        </w:rPr>
        <w:t xml:space="preserve"> </w:t>
      </w:r>
      <w:r w:rsidRPr="00786EB0">
        <w:rPr>
          <w:rFonts w:cstheme="minorHAnsi"/>
          <w:sz w:val="18"/>
          <w:szCs w:val="18"/>
        </w:rPr>
        <w:t>planom</w:t>
      </w:r>
      <w:r w:rsidRPr="00786EB0">
        <w:rPr>
          <w:rFonts w:cstheme="minorHAnsi"/>
          <w:sz w:val="18"/>
          <w:szCs w:val="18"/>
          <w:lang w:val="sr-Latn-CS"/>
        </w:rPr>
        <w:t xml:space="preserve"> </w:t>
      </w:r>
      <w:r w:rsidRPr="00786EB0">
        <w:rPr>
          <w:rFonts w:cstheme="minorHAnsi"/>
          <w:sz w:val="18"/>
          <w:szCs w:val="18"/>
        </w:rPr>
        <w:t>je</w:t>
      </w:r>
      <w:r w:rsidRPr="00786EB0">
        <w:rPr>
          <w:rFonts w:cstheme="minorHAnsi"/>
          <w:sz w:val="18"/>
          <w:szCs w:val="18"/>
          <w:lang w:val="sr-Latn-CS"/>
        </w:rPr>
        <w:t xml:space="preserve"> </w:t>
      </w:r>
      <w:r w:rsidRPr="00786EB0">
        <w:rPr>
          <w:rFonts w:cstheme="minorHAnsi"/>
          <w:sz w:val="18"/>
          <w:szCs w:val="18"/>
        </w:rPr>
        <w:t>uvedena</w:t>
      </w:r>
      <w:r w:rsidRPr="00786EB0">
        <w:rPr>
          <w:rFonts w:cstheme="minorHAnsi"/>
          <w:sz w:val="18"/>
          <w:szCs w:val="18"/>
          <w:lang w:val="sr-Latn-CS"/>
        </w:rPr>
        <w:t xml:space="preserve"> </w:t>
      </w:r>
      <w:r w:rsidRPr="00786EB0">
        <w:rPr>
          <w:rFonts w:cstheme="minorHAnsi"/>
          <w:sz w:val="18"/>
          <w:szCs w:val="18"/>
        </w:rPr>
        <w:t>mjera</w:t>
      </w:r>
      <w:r w:rsidRPr="00786EB0">
        <w:rPr>
          <w:rFonts w:cstheme="minorHAnsi"/>
          <w:sz w:val="18"/>
          <w:szCs w:val="18"/>
          <w:lang w:val="sr-Latn-CS"/>
        </w:rPr>
        <w:t xml:space="preserve"> </w:t>
      </w:r>
      <w:r w:rsidRPr="00786EB0">
        <w:rPr>
          <w:rFonts w:cstheme="minorHAnsi"/>
          <w:sz w:val="18"/>
          <w:szCs w:val="18"/>
        </w:rPr>
        <w:t>linearnog</w:t>
      </w:r>
      <w:r w:rsidRPr="00786EB0">
        <w:rPr>
          <w:rFonts w:cstheme="minorHAnsi"/>
          <w:sz w:val="18"/>
          <w:szCs w:val="18"/>
          <w:lang w:val="sr-Latn-CS"/>
        </w:rPr>
        <w:t xml:space="preserve"> </w:t>
      </w:r>
      <w:r w:rsidRPr="00786EB0">
        <w:rPr>
          <w:rFonts w:cstheme="minorHAnsi"/>
          <w:sz w:val="18"/>
          <w:szCs w:val="18"/>
        </w:rPr>
        <w:t>smanjenja</w:t>
      </w:r>
      <w:r w:rsidRPr="00786EB0">
        <w:rPr>
          <w:rFonts w:cstheme="minorHAnsi"/>
          <w:sz w:val="18"/>
          <w:szCs w:val="18"/>
          <w:lang w:val="sr-Latn-CS"/>
        </w:rPr>
        <w:t xml:space="preserve"> </w:t>
      </w:r>
      <w:r w:rsidRPr="00786EB0">
        <w:rPr>
          <w:rFonts w:cstheme="minorHAnsi"/>
          <w:sz w:val="18"/>
          <w:szCs w:val="18"/>
        </w:rPr>
        <w:t>koeficijenata</w:t>
      </w:r>
      <w:r w:rsidRPr="00786EB0">
        <w:rPr>
          <w:rFonts w:cstheme="minorHAnsi"/>
          <w:sz w:val="18"/>
          <w:szCs w:val="18"/>
          <w:lang w:val="sr-Latn-CS"/>
        </w:rPr>
        <w:t xml:space="preserve"> </w:t>
      </w:r>
      <w:r w:rsidRPr="00786EB0">
        <w:rPr>
          <w:rFonts w:cstheme="minorHAnsi"/>
          <w:sz w:val="18"/>
          <w:szCs w:val="18"/>
        </w:rPr>
        <w:t>za</w:t>
      </w:r>
      <w:r w:rsidRPr="00786EB0">
        <w:rPr>
          <w:rFonts w:cstheme="minorHAnsi"/>
          <w:sz w:val="18"/>
          <w:szCs w:val="18"/>
          <w:lang w:val="sr-Latn-CS"/>
        </w:rPr>
        <w:t xml:space="preserve"> </w:t>
      </w:r>
      <w:r w:rsidRPr="00786EB0">
        <w:rPr>
          <w:rFonts w:cstheme="minorHAnsi"/>
          <w:sz w:val="18"/>
          <w:szCs w:val="18"/>
        </w:rPr>
        <w:t>grupe</w:t>
      </w:r>
      <w:r w:rsidRPr="00786EB0">
        <w:rPr>
          <w:rFonts w:cstheme="minorHAnsi"/>
          <w:sz w:val="18"/>
          <w:szCs w:val="18"/>
          <w:lang w:val="sr-Latn-CS"/>
        </w:rPr>
        <w:t xml:space="preserve"> </w:t>
      </w:r>
      <w:r w:rsidRPr="00786EB0">
        <w:rPr>
          <w:rFonts w:cstheme="minorHAnsi"/>
          <w:sz w:val="18"/>
          <w:szCs w:val="18"/>
        </w:rPr>
        <w:t>poslova</w:t>
      </w:r>
      <w:r w:rsidRPr="00786EB0">
        <w:rPr>
          <w:rFonts w:cstheme="minorHAnsi"/>
          <w:sz w:val="18"/>
          <w:szCs w:val="18"/>
          <w:lang w:val="sr-Latn-CS"/>
        </w:rPr>
        <w:t xml:space="preserve"> </w:t>
      </w:r>
      <w:r w:rsidRPr="00786EB0">
        <w:rPr>
          <w:rFonts w:cstheme="minorHAnsi"/>
          <w:sz w:val="18"/>
          <w:szCs w:val="18"/>
        </w:rPr>
        <w:t>A</w:t>
      </w:r>
      <w:r w:rsidRPr="00786EB0">
        <w:rPr>
          <w:rFonts w:cstheme="minorHAnsi"/>
          <w:sz w:val="18"/>
          <w:szCs w:val="18"/>
          <w:lang w:val="sr-Latn-CS"/>
        </w:rPr>
        <w:t xml:space="preserve">, </w:t>
      </w:r>
      <w:r w:rsidRPr="00786EB0">
        <w:rPr>
          <w:rFonts w:cstheme="minorHAnsi"/>
          <w:sz w:val="18"/>
          <w:szCs w:val="18"/>
        </w:rPr>
        <w:t>B</w:t>
      </w:r>
      <w:r w:rsidRPr="00786EB0">
        <w:rPr>
          <w:rFonts w:cstheme="minorHAnsi"/>
          <w:sz w:val="18"/>
          <w:szCs w:val="18"/>
          <w:lang w:val="sr-Latn-CS"/>
        </w:rPr>
        <w:t xml:space="preserve">, </w:t>
      </w:r>
      <w:r w:rsidRPr="00786EB0">
        <w:rPr>
          <w:rFonts w:cstheme="minorHAnsi"/>
          <w:sz w:val="18"/>
          <w:szCs w:val="18"/>
        </w:rPr>
        <w:t>i</w:t>
      </w:r>
      <w:r w:rsidRPr="00786EB0">
        <w:rPr>
          <w:rFonts w:cstheme="minorHAnsi"/>
          <w:sz w:val="18"/>
          <w:szCs w:val="18"/>
          <w:lang w:val="sr-Latn-CS"/>
        </w:rPr>
        <w:t xml:space="preserve"> </w:t>
      </w:r>
      <w:r w:rsidRPr="00786EB0">
        <w:rPr>
          <w:rFonts w:cstheme="minorHAnsi"/>
          <w:sz w:val="18"/>
          <w:szCs w:val="18"/>
        </w:rPr>
        <w:t>C</w:t>
      </w:r>
      <w:r w:rsidRPr="00786EB0">
        <w:rPr>
          <w:rFonts w:cstheme="minorHAnsi"/>
          <w:sz w:val="18"/>
          <w:szCs w:val="18"/>
          <w:lang w:val="sr-Latn-CS"/>
        </w:rPr>
        <w:t xml:space="preserve"> </w:t>
      </w:r>
      <w:r w:rsidRPr="00786EB0">
        <w:rPr>
          <w:rFonts w:cstheme="minorHAnsi"/>
          <w:sz w:val="18"/>
          <w:szCs w:val="18"/>
        </w:rPr>
        <w:t>za</w:t>
      </w:r>
      <w:r w:rsidRPr="00786EB0">
        <w:rPr>
          <w:rFonts w:cstheme="minorHAnsi"/>
          <w:sz w:val="18"/>
          <w:szCs w:val="18"/>
          <w:lang w:val="sr-Latn-CS"/>
        </w:rPr>
        <w:t xml:space="preserve"> 8%, </w:t>
      </w:r>
      <w:r w:rsidRPr="00786EB0">
        <w:rPr>
          <w:rFonts w:cstheme="minorHAnsi"/>
          <w:sz w:val="18"/>
          <w:szCs w:val="18"/>
        </w:rPr>
        <w:t>pri</w:t>
      </w:r>
      <w:r w:rsidRPr="00786EB0">
        <w:rPr>
          <w:rFonts w:cstheme="minorHAnsi"/>
          <w:sz w:val="18"/>
          <w:szCs w:val="18"/>
          <w:lang w:val="sr-Latn-CS"/>
        </w:rPr>
        <w:t xml:space="preserve"> č</w:t>
      </w:r>
      <w:r w:rsidRPr="00786EB0">
        <w:rPr>
          <w:rFonts w:cstheme="minorHAnsi"/>
          <w:sz w:val="18"/>
          <w:szCs w:val="18"/>
        </w:rPr>
        <w:t>emu</w:t>
      </w:r>
      <w:r w:rsidRPr="00786EB0">
        <w:rPr>
          <w:rFonts w:cstheme="minorHAnsi"/>
          <w:sz w:val="18"/>
          <w:szCs w:val="18"/>
          <w:lang w:val="sr-Latn-CS"/>
        </w:rPr>
        <w:t xml:space="preserve"> </w:t>
      </w:r>
      <w:r w:rsidRPr="00786EB0">
        <w:rPr>
          <w:rFonts w:cstheme="minorHAnsi"/>
          <w:sz w:val="18"/>
          <w:szCs w:val="18"/>
        </w:rPr>
        <w:t>je</w:t>
      </w:r>
      <w:r w:rsidRPr="00786EB0">
        <w:rPr>
          <w:rFonts w:cstheme="minorHAnsi"/>
          <w:sz w:val="18"/>
          <w:szCs w:val="18"/>
          <w:lang w:val="sr-Latn-CS"/>
        </w:rPr>
        <w:t xml:space="preserve"> </w:t>
      </w:r>
      <w:r w:rsidRPr="00786EB0">
        <w:rPr>
          <w:rFonts w:cstheme="minorHAnsi"/>
          <w:sz w:val="18"/>
          <w:szCs w:val="18"/>
        </w:rPr>
        <w:t>fiskalna</w:t>
      </w:r>
      <w:r w:rsidRPr="00786EB0">
        <w:rPr>
          <w:rFonts w:cstheme="minorHAnsi"/>
          <w:sz w:val="18"/>
          <w:szCs w:val="18"/>
          <w:lang w:val="sr-Latn-CS"/>
        </w:rPr>
        <w:t xml:space="preserve"> </w:t>
      </w:r>
      <w:r w:rsidRPr="00786EB0">
        <w:rPr>
          <w:rFonts w:cstheme="minorHAnsi"/>
          <w:sz w:val="18"/>
          <w:szCs w:val="18"/>
        </w:rPr>
        <w:t>u</w:t>
      </w:r>
      <w:r w:rsidRPr="00786EB0">
        <w:rPr>
          <w:rFonts w:cstheme="minorHAnsi"/>
          <w:sz w:val="18"/>
          <w:szCs w:val="18"/>
          <w:lang w:val="sr-Latn-CS"/>
        </w:rPr>
        <w:t>š</w:t>
      </w:r>
      <w:r w:rsidRPr="00786EB0">
        <w:rPr>
          <w:rFonts w:cstheme="minorHAnsi"/>
          <w:sz w:val="18"/>
          <w:szCs w:val="18"/>
        </w:rPr>
        <w:t>teda</w:t>
      </w:r>
      <w:r w:rsidRPr="00786EB0">
        <w:rPr>
          <w:rFonts w:cstheme="minorHAnsi"/>
          <w:sz w:val="18"/>
          <w:szCs w:val="18"/>
          <w:lang w:val="sr-Latn-CS"/>
        </w:rPr>
        <w:t xml:space="preserve"> 2,8 </w:t>
      </w:r>
      <w:r w:rsidRPr="00786EB0">
        <w:rPr>
          <w:rFonts w:cstheme="minorHAnsi"/>
          <w:sz w:val="18"/>
          <w:szCs w:val="18"/>
        </w:rPr>
        <w:t>mil</w:t>
      </w:r>
      <w:r w:rsidRPr="00786EB0">
        <w:rPr>
          <w:rFonts w:cstheme="minorHAnsi"/>
          <w:sz w:val="18"/>
          <w:szCs w:val="18"/>
          <w:lang w:val="sr-Latn-CS"/>
        </w:rPr>
        <w:t>.€</w:t>
      </w:r>
    </w:p>
  </w:footnote>
  <w:footnote w:id="20">
    <w:p w:rsidR="00801715" w:rsidRPr="00786EB0" w:rsidRDefault="00801715" w:rsidP="00786EB0">
      <w:pPr>
        <w:spacing w:line="276" w:lineRule="auto"/>
        <w:rPr>
          <w:rFonts w:asciiTheme="minorHAnsi" w:hAnsiTheme="minorHAnsi" w:cstheme="minorHAnsi"/>
          <w:sz w:val="18"/>
          <w:szCs w:val="18"/>
        </w:rPr>
      </w:pPr>
      <w:r w:rsidRPr="00786EB0">
        <w:rPr>
          <w:rStyle w:val="FootnoteReference"/>
          <w:rFonts w:asciiTheme="minorHAnsi" w:hAnsiTheme="minorHAnsi" w:cstheme="minorHAnsi"/>
          <w:sz w:val="18"/>
          <w:szCs w:val="18"/>
        </w:rPr>
        <w:footnoteRef/>
      </w:r>
      <w:r w:rsidRPr="00786EB0">
        <w:rPr>
          <w:rFonts w:asciiTheme="minorHAnsi" w:hAnsiTheme="minorHAnsi" w:cstheme="minorHAnsi"/>
          <w:sz w:val="18"/>
          <w:szCs w:val="18"/>
        </w:rPr>
        <w:t xml:space="preserve"> Odlukom Ustavnom suda odredbe Zakona o izmjenama i dopunama Zakona o socijalnoj i dječijoj zaštiti u dijelu koji se odnosi na naknade majkama sa troje ili više djece ocijenjene su neustavnim. Istovremeno, Vladi Crne Gore je naloženo da, u roku od tri</w:t>
      </w:r>
      <w:r w:rsidRPr="00782BC6">
        <w:rPr>
          <w:rFonts w:asciiTheme="minorHAnsi" w:hAnsiTheme="minorHAnsi" w:cstheme="minorHAnsi"/>
          <w:sz w:val="18"/>
          <w:szCs w:val="18"/>
        </w:rPr>
        <w:t xml:space="preserve"> mjeseca, predloži novo rješenje. S tim u vezi, u toku je priprema Zakona o sprovođenju Odluke Ustavnog suda i Zakona o izmjenama i dopunama Zakona o socijalnoj i dječijoj zaštiti (Javna rasprava</w:t>
      </w:r>
      <w:r>
        <w:rPr>
          <w:rFonts w:asciiTheme="minorHAnsi" w:hAnsiTheme="minorHAnsi" w:cstheme="minorHAnsi"/>
          <w:sz w:val="18"/>
          <w:szCs w:val="18"/>
        </w:rPr>
        <w:t xml:space="preserve"> u toku).</w:t>
      </w:r>
    </w:p>
  </w:footnote>
  <w:footnote w:id="21">
    <w:p w:rsidR="00801715" w:rsidRPr="00786EB0" w:rsidRDefault="00801715" w:rsidP="0048511B">
      <w:pPr>
        <w:pStyle w:val="FootnoteText"/>
        <w:ind w:left="142" w:hanging="142"/>
        <w:rPr>
          <w:sz w:val="18"/>
          <w:szCs w:val="18"/>
          <w:lang w:val="sr-Latn-CS"/>
        </w:rPr>
      </w:pPr>
      <w:r w:rsidRPr="002D1802">
        <w:rPr>
          <w:rStyle w:val="FootnoteReference"/>
          <w:sz w:val="16"/>
          <w:szCs w:val="16"/>
        </w:rPr>
        <w:footnoteRef/>
      </w:r>
      <w:r w:rsidRPr="00157330">
        <w:rPr>
          <w:sz w:val="16"/>
          <w:szCs w:val="16"/>
          <w:lang w:val="sr-Latn-CS"/>
        </w:rPr>
        <w:t xml:space="preserve"> </w:t>
      </w:r>
      <w:r w:rsidRPr="00786EB0">
        <w:rPr>
          <w:sz w:val="18"/>
          <w:szCs w:val="18"/>
        </w:rPr>
        <w:t>Vlada</w:t>
      </w:r>
      <w:r w:rsidRPr="00786EB0">
        <w:rPr>
          <w:sz w:val="18"/>
          <w:szCs w:val="18"/>
          <w:lang w:val="sr-Latn-CS"/>
        </w:rPr>
        <w:t xml:space="preserve"> </w:t>
      </w:r>
      <w:r w:rsidRPr="00786EB0">
        <w:rPr>
          <w:sz w:val="18"/>
          <w:szCs w:val="18"/>
        </w:rPr>
        <w:t>Crne</w:t>
      </w:r>
      <w:r w:rsidRPr="00786EB0">
        <w:rPr>
          <w:sz w:val="18"/>
          <w:szCs w:val="18"/>
          <w:lang w:val="sr-Latn-CS"/>
        </w:rPr>
        <w:t xml:space="preserve"> </w:t>
      </w:r>
      <w:r w:rsidRPr="00786EB0">
        <w:rPr>
          <w:sz w:val="18"/>
          <w:szCs w:val="18"/>
        </w:rPr>
        <w:t>Gore</w:t>
      </w:r>
      <w:r w:rsidRPr="00786EB0">
        <w:rPr>
          <w:sz w:val="18"/>
          <w:szCs w:val="18"/>
          <w:lang w:val="sr-Latn-CS"/>
        </w:rPr>
        <w:t xml:space="preserve"> </w:t>
      </w:r>
      <w:r w:rsidRPr="00786EB0">
        <w:rPr>
          <w:sz w:val="18"/>
          <w:szCs w:val="18"/>
        </w:rPr>
        <w:t>je</w:t>
      </w:r>
      <w:r w:rsidRPr="00786EB0">
        <w:rPr>
          <w:sz w:val="18"/>
          <w:szCs w:val="18"/>
          <w:lang w:val="sr-Latn-CS"/>
        </w:rPr>
        <w:t xml:space="preserve"> </w:t>
      </w:r>
      <w:r w:rsidRPr="00786EB0">
        <w:rPr>
          <w:sz w:val="18"/>
          <w:szCs w:val="18"/>
        </w:rPr>
        <w:t>izdala</w:t>
      </w:r>
      <w:r w:rsidRPr="00786EB0">
        <w:rPr>
          <w:sz w:val="18"/>
          <w:szCs w:val="18"/>
          <w:lang w:val="sr-Latn-CS"/>
        </w:rPr>
        <w:t xml:space="preserve"> </w:t>
      </w:r>
      <w:r w:rsidRPr="00786EB0">
        <w:rPr>
          <w:sz w:val="18"/>
          <w:szCs w:val="18"/>
        </w:rPr>
        <w:t>garanciju</w:t>
      </w:r>
      <w:r w:rsidRPr="00786EB0">
        <w:rPr>
          <w:sz w:val="18"/>
          <w:szCs w:val="18"/>
          <w:lang w:val="sr-Latn-CS"/>
        </w:rPr>
        <w:t xml:space="preserve"> </w:t>
      </w:r>
      <w:r w:rsidRPr="00786EB0">
        <w:rPr>
          <w:sz w:val="18"/>
          <w:szCs w:val="18"/>
        </w:rPr>
        <w:t>na</w:t>
      </w:r>
      <w:r w:rsidRPr="00786EB0">
        <w:rPr>
          <w:sz w:val="18"/>
          <w:szCs w:val="18"/>
          <w:lang w:val="sr-Latn-CS"/>
        </w:rPr>
        <w:t xml:space="preserve"> </w:t>
      </w:r>
      <w:r w:rsidRPr="00786EB0">
        <w:rPr>
          <w:sz w:val="18"/>
          <w:szCs w:val="18"/>
        </w:rPr>
        <w:t>Ugovor</w:t>
      </w:r>
      <w:r w:rsidRPr="00786EB0">
        <w:rPr>
          <w:sz w:val="18"/>
          <w:szCs w:val="18"/>
          <w:lang w:val="sr-Latn-CS"/>
        </w:rPr>
        <w:t xml:space="preserve"> </w:t>
      </w:r>
      <w:r w:rsidRPr="00786EB0">
        <w:rPr>
          <w:sz w:val="18"/>
          <w:szCs w:val="18"/>
        </w:rPr>
        <w:t>o</w:t>
      </w:r>
      <w:r w:rsidRPr="00786EB0">
        <w:rPr>
          <w:sz w:val="18"/>
          <w:szCs w:val="18"/>
          <w:lang w:val="sr-Latn-CS"/>
        </w:rPr>
        <w:t xml:space="preserve"> </w:t>
      </w:r>
      <w:r w:rsidRPr="00786EB0">
        <w:rPr>
          <w:sz w:val="18"/>
          <w:szCs w:val="18"/>
        </w:rPr>
        <w:t>kreditu</w:t>
      </w:r>
      <w:r w:rsidRPr="00786EB0">
        <w:rPr>
          <w:sz w:val="18"/>
          <w:szCs w:val="18"/>
          <w:lang w:val="sr-Latn-CS"/>
        </w:rPr>
        <w:t xml:space="preserve"> </w:t>
      </w:r>
      <w:r w:rsidRPr="00786EB0">
        <w:rPr>
          <w:sz w:val="18"/>
          <w:szCs w:val="18"/>
        </w:rPr>
        <w:t>izme</w:t>
      </w:r>
      <w:r w:rsidRPr="00786EB0">
        <w:rPr>
          <w:sz w:val="18"/>
          <w:szCs w:val="18"/>
          <w:lang w:val="sr-Latn-CS"/>
        </w:rPr>
        <w:t>đ</w:t>
      </w:r>
      <w:r w:rsidRPr="00786EB0">
        <w:rPr>
          <w:sz w:val="18"/>
          <w:szCs w:val="18"/>
        </w:rPr>
        <w:t>u</w:t>
      </w:r>
      <w:r w:rsidRPr="00786EB0">
        <w:rPr>
          <w:sz w:val="18"/>
          <w:szCs w:val="18"/>
          <w:lang w:val="sr-Latn-CS"/>
        </w:rPr>
        <w:t xml:space="preserve"> </w:t>
      </w:r>
      <w:r w:rsidRPr="00786EB0">
        <w:rPr>
          <w:sz w:val="18"/>
          <w:szCs w:val="18"/>
        </w:rPr>
        <w:t>Erste</w:t>
      </w:r>
      <w:r w:rsidRPr="00786EB0">
        <w:rPr>
          <w:sz w:val="18"/>
          <w:szCs w:val="18"/>
          <w:lang w:val="sr-Latn-CS"/>
        </w:rPr>
        <w:t xml:space="preserve"> </w:t>
      </w:r>
      <w:r w:rsidRPr="00786EB0">
        <w:rPr>
          <w:sz w:val="18"/>
          <w:szCs w:val="18"/>
        </w:rPr>
        <w:t>Banke</w:t>
      </w:r>
      <w:r w:rsidRPr="00786EB0">
        <w:rPr>
          <w:sz w:val="18"/>
          <w:szCs w:val="18"/>
          <w:lang w:val="sr-Latn-CS"/>
        </w:rPr>
        <w:t xml:space="preserve"> </w:t>
      </w:r>
      <w:r w:rsidRPr="00786EB0">
        <w:rPr>
          <w:sz w:val="18"/>
          <w:szCs w:val="18"/>
        </w:rPr>
        <w:t>AD</w:t>
      </w:r>
      <w:r w:rsidRPr="00786EB0">
        <w:rPr>
          <w:sz w:val="18"/>
          <w:szCs w:val="18"/>
          <w:lang w:val="sr-Latn-CS"/>
        </w:rPr>
        <w:t xml:space="preserve"> </w:t>
      </w:r>
      <w:r w:rsidRPr="00786EB0">
        <w:rPr>
          <w:sz w:val="18"/>
          <w:szCs w:val="18"/>
        </w:rPr>
        <w:t>Podgorica</w:t>
      </w:r>
      <w:r w:rsidRPr="00786EB0">
        <w:rPr>
          <w:sz w:val="18"/>
          <w:szCs w:val="18"/>
          <w:lang w:val="sr-Latn-CS"/>
        </w:rPr>
        <w:t xml:space="preserve"> </w:t>
      </w:r>
      <w:r w:rsidRPr="00786EB0">
        <w:rPr>
          <w:sz w:val="18"/>
          <w:szCs w:val="18"/>
        </w:rPr>
        <w:t>i</w:t>
      </w:r>
      <w:r w:rsidRPr="00786EB0">
        <w:rPr>
          <w:sz w:val="18"/>
          <w:szCs w:val="18"/>
          <w:lang w:val="sr-Latn-CS"/>
        </w:rPr>
        <w:t xml:space="preserve"> </w:t>
      </w:r>
      <w:r w:rsidRPr="00786EB0">
        <w:rPr>
          <w:sz w:val="18"/>
          <w:szCs w:val="18"/>
        </w:rPr>
        <w:t>Javnog</w:t>
      </w:r>
      <w:r w:rsidRPr="00786EB0">
        <w:rPr>
          <w:sz w:val="18"/>
          <w:szCs w:val="18"/>
          <w:lang w:val="sr-Latn-CS"/>
        </w:rPr>
        <w:t xml:space="preserve"> </w:t>
      </w:r>
      <w:r w:rsidRPr="00786EB0">
        <w:rPr>
          <w:sz w:val="18"/>
          <w:szCs w:val="18"/>
        </w:rPr>
        <w:t>preduze</w:t>
      </w:r>
      <w:r w:rsidRPr="00786EB0">
        <w:rPr>
          <w:sz w:val="18"/>
          <w:szCs w:val="18"/>
          <w:lang w:val="sr-Latn-CS"/>
        </w:rPr>
        <w:t>ć</w:t>
      </w:r>
      <w:r w:rsidRPr="00786EB0">
        <w:rPr>
          <w:sz w:val="18"/>
          <w:szCs w:val="18"/>
        </w:rPr>
        <w:t>a</w:t>
      </w:r>
      <w:r w:rsidRPr="00786EB0">
        <w:rPr>
          <w:sz w:val="18"/>
          <w:szCs w:val="18"/>
          <w:lang w:val="sr-Latn-CS"/>
        </w:rPr>
        <w:t xml:space="preserve"> „</w:t>
      </w:r>
      <w:r w:rsidRPr="00786EB0">
        <w:rPr>
          <w:sz w:val="18"/>
          <w:szCs w:val="18"/>
        </w:rPr>
        <w:t>Regionalni</w:t>
      </w:r>
      <w:r w:rsidRPr="00786EB0">
        <w:rPr>
          <w:sz w:val="18"/>
          <w:szCs w:val="18"/>
          <w:lang w:val="sr-Latn-CS"/>
        </w:rPr>
        <w:t xml:space="preserve"> </w:t>
      </w:r>
      <w:r w:rsidRPr="00786EB0">
        <w:rPr>
          <w:sz w:val="18"/>
          <w:szCs w:val="18"/>
        </w:rPr>
        <w:t>vodovod</w:t>
      </w:r>
      <w:r w:rsidRPr="00786EB0">
        <w:rPr>
          <w:sz w:val="18"/>
          <w:szCs w:val="18"/>
          <w:lang w:val="sr-Latn-CS"/>
        </w:rPr>
        <w:t xml:space="preserve"> </w:t>
      </w:r>
      <w:r w:rsidRPr="00786EB0">
        <w:rPr>
          <w:sz w:val="18"/>
          <w:szCs w:val="18"/>
        </w:rPr>
        <w:t>Crnogorsko</w:t>
      </w:r>
      <w:r w:rsidRPr="00786EB0">
        <w:rPr>
          <w:sz w:val="18"/>
          <w:szCs w:val="18"/>
          <w:lang w:val="sr-Latn-CS"/>
        </w:rPr>
        <w:t xml:space="preserve"> </w:t>
      </w:r>
      <w:r w:rsidRPr="00786EB0">
        <w:rPr>
          <w:sz w:val="18"/>
          <w:szCs w:val="18"/>
        </w:rPr>
        <w:t>primorje</w:t>
      </w:r>
      <w:r w:rsidRPr="00786EB0">
        <w:rPr>
          <w:sz w:val="18"/>
          <w:szCs w:val="18"/>
          <w:lang w:val="sr-Latn-CS"/>
        </w:rPr>
        <w:t xml:space="preserve">“, </w:t>
      </w:r>
      <w:r w:rsidRPr="00786EB0">
        <w:rPr>
          <w:sz w:val="18"/>
          <w:szCs w:val="18"/>
        </w:rPr>
        <w:t>koji</w:t>
      </w:r>
      <w:r w:rsidRPr="00786EB0">
        <w:rPr>
          <w:sz w:val="18"/>
          <w:szCs w:val="18"/>
          <w:lang w:val="sr-Latn-CS"/>
        </w:rPr>
        <w:t xml:space="preserve"> </w:t>
      </w:r>
      <w:r w:rsidRPr="00786EB0">
        <w:rPr>
          <w:sz w:val="18"/>
          <w:szCs w:val="18"/>
        </w:rPr>
        <w:t>je</w:t>
      </w:r>
      <w:r w:rsidRPr="00786EB0">
        <w:rPr>
          <w:sz w:val="18"/>
          <w:szCs w:val="18"/>
          <w:lang w:val="sr-Latn-CS"/>
        </w:rPr>
        <w:t xml:space="preserve"> </w:t>
      </w:r>
      <w:r w:rsidRPr="00786EB0">
        <w:rPr>
          <w:sz w:val="18"/>
          <w:szCs w:val="18"/>
        </w:rPr>
        <w:t>zaklju</w:t>
      </w:r>
      <w:r w:rsidRPr="00786EB0">
        <w:rPr>
          <w:sz w:val="18"/>
          <w:szCs w:val="18"/>
          <w:lang w:val="sr-Latn-CS"/>
        </w:rPr>
        <w:t>č</w:t>
      </w:r>
      <w:r w:rsidRPr="00786EB0">
        <w:rPr>
          <w:sz w:val="18"/>
          <w:szCs w:val="18"/>
        </w:rPr>
        <w:t>en</w:t>
      </w:r>
      <w:r w:rsidRPr="00786EB0">
        <w:rPr>
          <w:sz w:val="18"/>
          <w:szCs w:val="18"/>
          <w:lang w:val="sr-Latn-CS"/>
        </w:rPr>
        <w:t xml:space="preserve"> 25. </w:t>
      </w:r>
      <w:r w:rsidRPr="00786EB0">
        <w:rPr>
          <w:sz w:val="18"/>
          <w:szCs w:val="18"/>
        </w:rPr>
        <w:t>aprila</w:t>
      </w:r>
      <w:r w:rsidRPr="00786EB0">
        <w:rPr>
          <w:sz w:val="18"/>
          <w:szCs w:val="18"/>
          <w:lang w:val="sr-Latn-CS"/>
        </w:rPr>
        <w:t xml:space="preserve"> 2017. </w:t>
      </w:r>
      <w:r w:rsidRPr="00786EB0">
        <w:rPr>
          <w:sz w:val="18"/>
          <w:szCs w:val="18"/>
        </w:rPr>
        <w:t>godine</w:t>
      </w:r>
      <w:r w:rsidRPr="00786EB0">
        <w:rPr>
          <w:sz w:val="18"/>
          <w:szCs w:val="18"/>
          <w:lang w:val="sr-Latn-CS"/>
        </w:rPr>
        <w:t xml:space="preserve">, </w:t>
      </w:r>
      <w:r w:rsidRPr="00786EB0">
        <w:rPr>
          <w:sz w:val="18"/>
          <w:szCs w:val="18"/>
        </w:rPr>
        <w:t>u</w:t>
      </w:r>
      <w:r w:rsidRPr="00786EB0">
        <w:rPr>
          <w:sz w:val="18"/>
          <w:szCs w:val="18"/>
          <w:lang w:val="sr-Latn-CS"/>
        </w:rPr>
        <w:t xml:space="preserve"> </w:t>
      </w:r>
      <w:r w:rsidRPr="00786EB0">
        <w:rPr>
          <w:sz w:val="18"/>
          <w:szCs w:val="18"/>
        </w:rPr>
        <w:t>iznosu</w:t>
      </w:r>
      <w:r w:rsidRPr="00786EB0">
        <w:rPr>
          <w:sz w:val="18"/>
          <w:szCs w:val="18"/>
          <w:lang w:val="sr-Latn-CS"/>
        </w:rPr>
        <w:t xml:space="preserve"> </w:t>
      </w:r>
      <w:r w:rsidRPr="00786EB0">
        <w:rPr>
          <w:sz w:val="18"/>
          <w:szCs w:val="18"/>
        </w:rPr>
        <w:t>od</w:t>
      </w:r>
      <w:r w:rsidRPr="00786EB0">
        <w:rPr>
          <w:sz w:val="18"/>
          <w:szCs w:val="18"/>
          <w:lang w:val="sr-Latn-CS"/>
        </w:rPr>
        <w:t xml:space="preserve"> 7,0 </w:t>
      </w:r>
      <w:r w:rsidRPr="00786EB0">
        <w:rPr>
          <w:sz w:val="18"/>
          <w:szCs w:val="18"/>
        </w:rPr>
        <w:t>mil</w:t>
      </w:r>
      <w:r w:rsidRPr="00786EB0">
        <w:rPr>
          <w:sz w:val="18"/>
          <w:szCs w:val="18"/>
          <w:lang w:val="sr-Latn-CS"/>
        </w:rPr>
        <w:t>.€.</w:t>
      </w:r>
    </w:p>
  </w:footnote>
  <w:footnote w:id="22">
    <w:p w:rsidR="00801715" w:rsidRPr="00786EB0" w:rsidRDefault="00801715" w:rsidP="008E5B78">
      <w:pPr>
        <w:pStyle w:val="FootnoteText"/>
        <w:rPr>
          <w:rFonts w:ascii="Calibri" w:hAnsi="Calibri"/>
          <w:sz w:val="18"/>
          <w:szCs w:val="18"/>
          <w:lang w:val="sr-Latn-CS"/>
        </w:rPr>
      </w:pPr>
      <w:r w:rsidRPr="00786EB0">
        <w:rPr>
          <w:rStyle w:val="FootnoteReference"/>
          <w:sz w:val="18"/>
          <w:szCs w:val="18"/>
        </w:rPr>
        <w:footnoteRef/>
      </w:r>
      <w:r w:rsidRPr="00786EB0">
        <w:rPr>
          <w:sz w:val="18"/>
          <w:szCs w:val="18"/>
          <w:lang w:val="sr-Latn-CS"/>
        </w:rPr>
        <w:t xml:space="preserve"> </w:t>
      </w:r>
      <w:r w:rsidRPr="00786EB0">
        <w:rPr>
          <w:rFonts w:ascii="Calibri" w:hAnsi="Calibri" w:cstheme="minorHAnsi"/>
          <w:sz w:val="18"/>
          <w:szCs w:val="18"/>
        </w:rPr>
        <w:t>Prema</w:t>
      </w:r>
      <w:r w:rsidRPr="00786EB0">
        <w:rPr>
          <w:rFonts w:ascii="Calibri" w:hAnsi="Calibri" w:cs="Calibri"/>
          <w:sz w:val="18"/>
          <w:szCs w:val="18"/>
          <w:lang w:val="sr-Latn-CS"/>
        </w:rPr>
        <w:t xml:space="preserve"> </w:t>
      </w:r>
      <w:r w:rsidRPr="00786EB0">
        <w:rPr>
          <w:rFonts w:ascii="Calibri" w:hAnsi="Calibri" w:cs="Calibri"/>
          <w:sz w:val="18"/>
          <w:szCs w:val="18"/>
        </w:rPr>
        <w:t>Izvje</w:t>
      </w:r>
      <w:r w:rsidRPr="00786EB0">
        <w:rPr>
          <w:rFonts w:ascii="Calibri" w:hAnsi="Calibri" w:cs="Calibri"/>
          <w:sz w:val="18"/>
          <w:szCs w:val="18"/>
          <w:lang w:val="sr-Latn-CS"/>
        </w:rPr>
        <w:t>š</w:t>
      </w:r>
      <w:r w:rsidRPr="00786EB0">
        <w:rPr>
          <w:rFonts w:ascii="Calibri" w:hAnsi="Calibri" w:cs="Calibri"/>
          <w:sz w:val="18"/>
          <w:szCs w:val="18"/>
        </w:rPr>
        <w:t>taju</w:t>
      </w:r>
      <w:r w:rsidRPr="00786EB0">
        <w:rPr>
          <w:rFonts w:ascii="Calibri" w:hAnsi="Calibri" w:cs="Calibri"/>
          <w:sz w:val="18"/>
          <w:szCs w:val="18"/>
          <w:lang w:val="sr-Latn-CS"/>
        </w:rPr>
        <w:t xml:space="preserve"> </w:t>
      </w:r>
      <w:r w:rsidRPr="00786EB0">
        <w:rPr>
          <w:rFonts w:ascii="Calibri" w:hAnsi="Calibri" w:cs="Calibri"/>
          <w:sz w:val="18"/>
          <w:szCs w:val="18"/>
        </w:rPr>
        <w:t>o</w:t>
      </w:r>
      <w:r w:rsidRPr="00786EB0">
        <w:rPr>
          <w:rFonts w:ascii="Calibri" w:hAnsi="Calibri" w:cs="Calibri"/>
          <w:sz w:val="18"/>
          <w:szCs w:val="18"/>
          <w:lang w:val="sr-Latn-CS"/>
        </w:rPr>
        <w:t xml:space="preserve"> </w:t>
      </w:r>
      <w:r w:rsidRPr="00786EB0">
        <w:rPr>
          <w:rFonts w:ascii="Calibri" w:hAnsi="Calibri" w:cs="Calibri"/>
          <w:sz w:val="18"/>
          <w:szCs w:val="18"/>
        </w:rPr>
        <w:t>lako</w:t>
      </w:r>
      <w:r w:rsidRPr="00786EB0">
        <w:rPr>
          <w:rFonts w:ascii="Calibri" w:hAnsi="Calibri" w:cs="Calibri"/>
          <w:sz w:val="18"/>
          <w:szCs w:val="18"/>
          <w:lang w:val="sr-Latn-CS"/>
        </w:rPr>
        <w:t>ć</w:t>
      </w:r>
      <w:r w:rsidRPr="00786EB0">
        <w:rPr>
          <w:rFonts w:ascii="Calibri" w:hAnsi="Calibri" w:cs="Calibri"/>
          <w:sz w:val="18"/>
          <w:szCs w:val="18"/>
        </w:rPr>
        <w:t>i</w:t>
      </w:r>
      <w:r w:rsidRPr="00786EB0">
        <w:rPr>
          <w:rFonts w:ascii="Calibri" w:hAnsi="Calibri" w:cs="Calibri"/>
          <w:sz w:val="18"/>
          <w:szCs w:val="18"/>
          <w:lang w:val="sr-Latn-CS"/>
        </w:rPr>
        <w:t xml:space="preserve"> </w:t>
      </w:r>
      <w:r w:rsidRPr="00786EB0">
        <w:rPr>
          <w:rFonts w:ascii="Calibri" w:hAnsi="Calibri" w:cs="Calibri"/>
          <w:sz w:val="18"/>
          <w:szCs w:val="18"/>
        </w:rPr>
        <w:t>poslovanja</w:t>
      </w:r>
      <w:r w:rsidRPr="00786EB0">
        <w:rPr>
          <w:rFonts w:ascii="Calibri" w:hAnsi="Calibri" w:cs="Calibri"/>
          <w:sz w:val="18"/>
          <w:szCs w:val="18"/>
          <w:lang w:val="sr-Latn-CS"/>
        </w:rPr>
        <w:t xml:space="preserve"> </w:t>
      </w:r>
      <w:r w:rsidRPr="00786EB0">
        <w:rPr>
          <w:rFonts w:ascii="Calibri" w:hAnsi="Calibri" w:cs="Calibri"/>
          <w:sz w:val="18"/>
          <w:szCs w:val="18"/>
        </w:rPr>
        <w:t>za</w:t>
      </w:r>
      <w:r w:rsidRPr="00786EB0">
        <w:rPr>
          <w:rFonts w:ascii="Calibri" w:hAnsi="Calibri" w:cs="Calibri"/>
          <w:sz w:val="18"/>
          <w:szCs w:val="18"/>
          <w:lang w:val="sr-Latn-CS"/>
        </w:rPr>
        <w:t xml:space="preserve"> 2016-2017. </w:t>
      </w:r>
      <w:r w:rsidRPr="00786EB0">
        <w:rPr>
          <w:rFonts w:ascii="Calibri" w:hAnsi="Calibri" w:cs="Calibri"/>
          <w:sz w:val="18"/>
          <w:szCs w:val="18"/>
        </w:rPr>
        <w:t>godina</w:t>
      </w:r>
      <w:r w:rsidRPr="00786EB0">
        <w:rPr>
          <w:rFonts w:ascii="Calibri" w:hAnsi="Calibri" w:cs="Calibri"/>
          <w:sz w:val="18"/>
          <w:szCs w:val="18"/>
          <w:lang w:val="sr-Latn-CS"/>
        </w:rPr>
        <w:t xml:space="preserve"> (</w:t>
      </w:r>
      <w:r w:rsidRPr="00786EB0">
        <w:rPr>
          <w:rFonts w:ascii="Calibri" w:hAnsi="Calibri" w:cs="Calibri"/>
          <w:sz w:val="18"/>
          <w:szCs w:val="18"/>
        </w:rPr>
        <w:t>Doing</w:t>
      </w:r>
      <w:r w:rsidRPr="00786EB0">
        <w:rPr>
          <w:rFonts w:ascii="Calibri" w:hAnsi="Calibri" w:cs="Calibri"/>
          <w:sz w:val="18"/>
          <w:szCs w:val="18"/>
          <w:lang w:val="sr-Latn-CS"/>
        </w:rPr>
        <w:t xml:space="preserve"> </w:t>
      </w:r>
      <w:r w:rsidRPr="00786EB0">
        <w:rPr>
          <w:rFonts w:ascii="Calibri" w:hAnsi="Calibri" w:cs="Calibri"/>
          <w:sz w:val="18"/>
          <w:szCs w:val="18"/>
        </w:rPr>
        <w:t>Biznis</w:t>
      </w:r>
      <w:r w:rsidRPr="00786EB0">
        <w:rPr>
          <w:rFonts w:ascii="Calibri" w:hAnsi="Calibri" w:cs="Calibri"/>
          <w:sz w:val="18"/>
          <w:szCs w:val="18"/>
          <w:lang w:val="sr-Latn-CS"/>
        </w:rPr>
        <w:t xml:space="preserve"> 2017), </w:t>
      </w:r>
      <w:r w:rsidRPr="00786EB0">
        <w:rPr>
          <w:rFonts w:ascii="Calibri" w:hAnsi="Calibri" w:cs="Calibri"/>
          <w:sz w:val="18"/>
          <w:szCs w:val="18"/>
        </w:rPr>
        <w:t>Crna</w:t>
      </w:r>
      <w:r w:rsidRPr="00786EB0">
        <w:rPr>
          <w:rFonts w:ascii="Calibri" w:hAnsi="Calibri" w:cs="Calibri"/>
          <w:sz w:val="18"/>
          <w:szCs w:val="18"/>
          <w:lang w:val="sr-Latn-CS"/>
        </w:rPr>
        <w:t xml:space="preserve"> </w:t>
      </w:r>
      <w:r w:rsidRPr="00786EB0">
        <w:rPr>
          <w:rFonts w:ascii="Calibri" w:hAnsi="Calibri" w:cs="Calibri"/>
          <w:sz w:val="18"/>
          <w:szCs w:val="18"/>
        </w:rPr>
        <w:t>Gora</w:t>
      </w:r>
      <w:r w:rsidRPr="00786EB0">
        <w:rPr>
          <w:rFonts w:ascii="Calibri" w:hAnsi="Calibri" w:cs="Calibri"/>
          <w:sz w:val="18"/>
          <w:szCs w:val="18"/>
          <w:lang w:val="sr-Latn-CS"/>
        </w:rPr>
        <w:t xml:space="preserve"> </w:t>
      </w:r>
      <w:r w:rsidRPr="00786EB0">
        <w:rPr>
          <w:rFonts w:ascii="Calibri" w:hAnsi="Calibri" w:cs="Calibri"/>
          <w:sz w:val="18"/>
          <w:szCs w:val="18"/>
        </w:rPr>
        <w:t>je</w:t>
      </w:r>
      <w:r w:rsidRPr="00786EB0">
        <w:rPr>
          <w:rFonts w:ascii="Calibri" w:hAnsi="Calibri" w:cs="Calibri"/>
          <w:sz w:val="18"/>
          <w:szCs w:val="18"/>
          <w:lang w:val="sr-Latn-CS"/>
        </w:rPr>
        <w:t xml:space="preserve"> </w:t>
      </w:r>
      <w:r w:rsidRPr="00786EB0">
        <w:rPr>
          <w:rFonts w:ascii="Calibri" w:hAnsi="Calibri" w:cs="Calibri"/>
          <w:sz w:val="18"/>
          <w:szCs w:val="18"/>
        </w:rPr>
        <w:t>pozicionirana</w:t>
      </w:r>
      <w:r w:rsidRPr="00786EB0">
        <w:rPr>
          <w:rFonts w:ascii="Calibri" w:hAnsi="Calibri" w:cs="Calibri"/>
          <w:sz w:val="18"/>
          <w:szCs w:val="18"/>
          <w:lang w:val="sr-Latn-CS"/>
        </w:rPr>
        <w:t xml:space="preserve"> </w:t>
      </w:r>
      <w:r w:rsidRPr="00786EB0">
        <w:rPr>
          <w:rFonts w:ascii="Calibri" w:hAnsi="Calibri" w:cs="Calibri"/>
          <w:sz w:val="18"/>
          <w:szCs w:val="18"/>
        </w:rPr>
        <w:t>na</w:t>
      </w:r>
      <w:r w:rsidRPr="00786EB0">
        <w:rPr>
          <w:rFonts w:ascii="Calibri" w:hAnsi="Calibri" w:cs="Calibri"/>
          <w:sz w:val="18"/>
          <w:szCs w:val="18"/>
          <w:lang w:val="sr-Latn-CS"/>
        </w:rPr>
        <w:t xml:space="preserve"> 51. </w:t>
      </w:r>
      <w:r w:rsidRPr="00786EB0">
        <w:rPr>
          <w:rFonts w:ascii="Calibri" w:hAnsi="Calibri" w:cs="Calibri"/>
          <w:sz w:val="18"/>
          <w:szCs w:val="18"/>
        </w:rPr>
        <w:t>mjesto</w:t>
      </w:r>
      <w:r w:rsidRPr="00786EB0">
        <w:rPr>
          <w:rFonts w:ascii="Calibri" w:hAnsi="Calibri" w:cs="Calibri"/>
          <w:sz w:val="18"/>
          <w:szCs w:val="18"/>
          <w:lang w:val="sr-Latn-CS"/>
        </w:rPr>
        <w:t xml:space="preserve"> </w:t>
      </w:r>
      <w:r w:rsidRPr="00786EB0">
        <w:rPr>
          <w:rFonts w:ascii="Calibri" w:hAnsi="Calibri" w:cs="Calibri"/>
          <w:sz w:val="18"/>
          <w:szCs w:val="18"/>
        </w:rPr>
        <w:t>od</w:t>
      </w:r>
      <w:r w:rsidRPr="00786EB0">
        <w:rPr>
          <w:rFonts w:ascii="Calibri" w:hAnsi="Calibri" w:cs="Calibri"/>
          <w:sz w:val="18"/>
          <w:szCs w:val="18"/>
          <w:lang w:val="sr-Latn-CS"/>
        </w:rPr>
        <w:t xml:space="preserve"> 190 </w:t>
      </w:r>
      <w:r w:rsidRPr="00786EB0">
        <w:rPr>
          <w:rFonts w:ascii="Calibri" w:hAnsi="Calibri" w:cs="Calibri"/>
          <w:sz w:val="18"/>
          <w:szCs w:val="18"/>
        </w:rPr>
        <w:t>rangiranih</w:t>
      </w:r>
      <w:r w:rsidRPr="00786EB0">
        <w:rPr>
          <w:rFonts w:ascii="Calibri" w:hAnsi="Calibri" w:cs="Calibri"/>
          <w:sz w:val="18"/>
          <w:szCs w:val="18"/>
          <w:lang w:val="sr-Latn-CS"/>
        </w:rPr>
        <w:t xml:space="preserve"> </w:t>
      </w:r>
      <w:r w:rsidRPr="00786EB0">
        <w:rPr>
          <w:rFonts w:ascii="Calibri" w:hAnsi="Calibri" w:cs="Calibri"/>
          <w:sz w:val="18"/>
          <w:szCs w:val="18"/>
        </w:rPr>
        <w:t>zemalja</w:t>
      </w:r>
      <w:r w:rsidRPr="00786EB0">
        <w:rPr>
          <w:rFonts w:ascii="Calibri" w:hAnsi="Calibri" w:cs="Calibri"/>
          <w:sz w:val="18"/>
          <w:szCs w:val="18"/>
          <w:lang w:val="sr-Latn-CS"/>
        </w:rPr>
        <w:t>.</w:t>
      </w:r>
    </w:p>
  </w:footnote>
  <w:footnote w:id="23">
    <w:p w:rsidR="00801715" w:rsidRPr="007509B2" w:rsidRDefault="00801715" w:rsidP="0048511B">
      <w:pPr>
        <w:pStyle w:val="FootnoteText"/>
        <w:rPr>
          <w:sz w:val="18"/>
          <w:szCs w:val="18"/>
          <w:lang w:val="sr-Latn-CS"/>
        </w:rPr>
      </w:pPr>
      <w:r w:rsidRPr="007509B2">
        <w:rPr>
          <w:rStyle w:val="FootnoteReference"/>
          <w:sz w:val="18"/>
          <w:szCs w:val="18"/>
        </w:rPr>
        <w:footnoteRef/>
      </w:r>
      <w:r w:rsidRPr="007509B2">
        <w:rPr>
          <w:sz w:val="18"/>
          <w:szCs w:val="18"/>
          <w:lang w:val="sr-Latn-CS"/>
        </w:rPr>
        <w:t xml:space="preserve"> </w:t>
      </w:r>
      <w:r w:rsidRPr="007509B2">
        <w:rPr>
          <w:sz w:val="18"/>
          <w:szCs w:val="18"/>
        </w:rPr>
        <w:t>Zavod</w:t>
      </w:r>
      <w:r w:rsidRPr="007509B2">
        <w:rPr>
          <w:sz w:val="18"/>
          <w:szCs w:val="18"/>
          <w:lang w:val="sr-Latn-CS"/>
        </w:rPr>
        <w:t xml:space="preserve"> </w:t>
      </w:r>
      <w:r w:rsidRPr="007509B2">
        <w:rPr>
          <w:sz w:val="18"/>
          <w:szCs w:val="18"/>
        </w:rPr>
        <w:t>za</w:t>
      </w:r>
      <w:r w:rsidRPr="007509B2">
        <w:rPr>
          <w:sz w:val="18"/>
          <w:szCs w:val="18"/>
          <w:lang w:val="sr-Latn-CS"/>
        </w:rPr>
        <w:t xml:space="preserve"> </w:t>
      </w:r>
      <w:r w:rsidRPr="007509B2">
        <w:rPr>
          <w:sz w:val="18"/>
          <w:szCs w:val="18"/>
        </w:rPr>
        <w:t>statistiku</w:t>
      </w:r>
      <w:r w:rsidRPr="007509B2">
        <w:rPr>
          <w:sz w:val="18"/>
          <w:szCs w:val="18"/>
          <w:lang w:val="sr-Latn-CS"/>
        </w:rPr>
        <w:t xml:space="preserve"> </w:t>
      </w:r>
      <w:r w:rsidRPr="007509B2">
        <w:rPr>
          <w:sz w:val="18"/>
          <w:szCs w:val="18"/>
        </w:rPr>
        <w:t>je</w:t>
      </w:r>
      <w:r w:rsidRPr="007509B2">
        <w:rPr>
          <w:sz w:val="18"/>
          <w:szCs w:val="18"/>
          <w:lang w:val="sr-Latn-CS"/>
        </w:rPr>
        <w:t xml:space="preserve"> </w:t>
      </w:r>
      <w:r w:rsidRPr="007509B2">
        <w:rPr>
          <w:sz w:val="18"/>
          <w:szCs w:val="18"/>
        </w:rPr>
        <w:t>krajem</w:t>
      </w:r>
      <w:r w:rsidRPr="007509B2">
        <w:rPr>
          <w:sz w:val="18"/>
          <w:szCs w:val="18"/>
          <w:lang w:val="sr-Latn-CS"/>
        </w:rPr>
        <w:t xml:space="preserve"> </w:t>
      </w:r>
      <w:r w:rsidRPr="007509B2">
        <w:rPr>
          <w:sz w:val="18"/>
          <w:szCs w:val="18"/>
        </w:rPr>
        <w:t>marta</w:t>
      </w:r>
      <w:r w:rsidRPr="007509B2">
        <w:rPr>
          <w:sz w:val="18"/>
          <w:szCs w:val="18"/>
          <w:lang w:val="sr-Latn-CS"/>
        </w:rPr>
        <w:t xml:space="preserve"> </w:t>
      </w:r>
      <w:r w:rsidRPr="007509B2">
        <w:rPr>
          <w:sz w:val="18"/>
          <w:szCs w:val="18"/>
        </w:rPr>
        <w:t>objavio</w:t>
      </w:r>
      <w:r w:rsidRPr="007509B2">
        <w:rPr>
          <w:sz w:val="18"/>
          <w:szCs w:val="18"/>
          <w:lang w:val="sr-Latn-CS"/>
        </w:rPr>
        <w:t xml:space="preserve"> </w:t>
      </w:r>
      <w:r w:rsidRPr="007509B2">
        <w:rPr>
          <w:sz w:val="18"/>
          <w:szCs w:val="18"/>
        </w:rPr>
        <w:t>preliminarne</w:t>
      </w:r>
      <w:r w:rsidRPr="007509B2">
        <w:rPr>
          <w:sz w:val="18"/>
          <w:szCs w:val="18"/>
          <w:lang w:val="sr-Latn-CS"/>
        </w:rPr>
        <w:t xml:space="preserve"> </w:t>
      </w:r>
      <w:r w:rsidRPr="007509B2">
        <w:rPr>
          <w:sz w:val="18"/>
          <w:szCs w:val="18"/>
        </w:rPr>
        <w:t>podatke</w:t>
      </w:r>
      <w:r w:rsidRPr="007509B2">
        <w:rPr>
          <w:sz w:val="18"/>
          <w:szCs w:val="18"/>
          <w:lang w:val="sr-Latn-CS"/>
        </w:rPr>
        <w:t xml:space="preserve"> </w:t>
      </w:r>
      <w:r w:rsidRPr="007509B2">
        <w:rPr>
          <w:sz w:val="18"/>
          <w:szCs w:val="18"/>
        </w:rPr>
        <w:t>o</w:t>
      </w:r>
      <w:r w:rsidRPr="007509B2">
        <w:rPr>
          <w:sz w:val="18"/>
          <w:szCs w:val="18"/>
          <w:lang w:val="sr-Latn-CS"/>
        </w:rPr>
        <w:t xml:space="preserve"> </w:t>
      </w:r>
      <w:r w:rsidRPr="007509B2">
        <w:rPr>
          <w:sz w:val="18"/>
          <w:szCs w:val="18"/>
        </w:rPr>
        <w:t>visini</w:t>
      </w:r>
      <w:r w:rsidRPr="007509B2">
        <w:rPr>
          <w:sz w:val="18"/>
          <w:szCs w:val="18"/>
          <w:lang w:val="sr-Latn-CS"/>
        </w:rPr>
        <w:t xml:space="preserve"> </w:t>
      </w:r>
      <w:r w:rsidRPr="007509B2">
        <w:rPr>
          <w:sz w:val="18"/>
          <w:szCs w:val="18"/>
        </w:rPr>
        <w:t>BDP</w:t>
      </w:r>
      <w:r w:rsidRPr="007509B2">
        <w:rPr>
          <w:sz w:val="18"/>
          <w:szCs w:val="18"/>
          <w:lang w:val="sr-Latn-CS"/>
        </w:rPr>
        <w:t>-</w:t>
      </w:r>
      <w:r w:rsidRPr="007509B2">
        <w:rPr>
          <w:sz w:val="18"/>
          <w:szCs w:val="18"/>
        </w:rPr>
        <w:t>a</w:t>
      </w:r>
      <w:r w:rsidRPr="007509B2">
        <w:rPr>
          <w:sz w:val="18"/>
          <w:szCs w:val="18"/>
          <w:lang w:val="sr-Latn-CS"/>
        </w:rPr>
        <w:t xml:space="preserve"> </w:t>
      </w:r>
      <w:r w:rsidRPr="007509B2">
        <w:rPr>
          <w:sz w:val="18"/>
          <w:szCs w:val="18"/>
        </w:rPr>
        <w:t>za</w:t>
      </w:r>
      <w:r w:rsidRPr="007509B2">
        <w:rPr>
          <w:sz w:val="18"/>
          <w:szCs w:val="18"/>
          <w:lang w:val="sr-Latn-CS"/>
        </w:rPr>
        <w:t xml:space="preserve"> 2016, </w:t>
      </w:r>
      <w:r w:rsidRPr="007509B2">
        <w:rPr>
          <w:sz w:val="18"/>
          <w:szCs w:val="18"/>
        </w:rPr>
        <w:t>na</w:t>
      </w:r>
      <w:r w:rsidRPr="007509B2">
        <w:rPr>
          <w:sz w:val="18"/>
          <w:szCs w:val="18"/>
          <w:lang w:val="sr-Latn-CS"/>
        </w:rPr>
        <w:t xml:space="preserve"> </w:t>
      </w:r>
      <w:r w:rsidRPr="007509B2">
        <w:rPr>
          <w:sz w:val="18"/>
          <w:szCs w:val="18"/>
        </w:rPr>
        <w:t>osnovu</w:t>
      </w:r>
      <w:r w:rsidRPr="007509B2">
        <w:rPr>
          <w:sz w:val="18"/>
          <w:szCs w:val="18"/>
          <w:lang w:val="sr-Latn-CS"/>
        </w:rPr>
        <w:t xml:space="preserve"> </w:t>
      </w:r>
      <w:r w:rsidRPr="007509B2">
        <w:rPr>
          <w:sz w:val="18"/>
          <w:szCs w:val="18"/>
        </w:rPr>
        <w:t>kojih</w:t>
      </w:r>
      <w:r w:rsidRPr="007509B2">
        <w:rPr>
          <w:sz w:val="18"/>
          <w:szCs w:val="18"/>
          <w:lang w:val="sr-Latn-CS"/>
        </w:rPr>
        <w:t xml:space="preserve"> </w:t>
      </w:r>
      <w:r w:rsidRPr="007509B2">
        <w:rPr>
          <w:sz w:val="18"/>
          <w:szCs w:val="18"/>
        </w:rPr>
        <w:t>su</w:t>
      </w:r>
      <w:r w:rsidRPr="007509B2">
        <w:rPr>
          <w:sz w:val="18"/>
          <w:szCs w:val="18"/>
          <w:lang w:val="sr-Latn-CS"/>
        </w:rPr>
        <w:t xml:space="preserve"> </w:t>
      </w:r>
      <w:r w:rsidRPr="007509B2">
        <w:rPr>
          <w:sz w:val="18"/>
          <w:szCs w:val="18"/>
        </w:rPr>
        <w:t>a</w:t>
      </w:r>
      <w:r w:rsidRPr="007509B2">
        <w:rPr>
          <w:sz w:val="18"/>
          <w:szCs w:val="18"/>
          <w:lang w:val="sr-Latn-CS"/>
        </w:rPr>
        <w:t>ž</w:t>
      </w:r>
      <w:r w:rsidRPr="007509B2">
        <w:rPr>
          <w:sz w:val="18"/>
          <w:szCs w:val="18"/>
        </w:rPr>
        <w:t>urirane</w:t>
      </w:r>
      <w:r w:rsidRPr="007509B2">
        <w:rPr>
          <w:sz w:val="18"/>
          <w:szCs w:val="18"/>
          <w:lang w:val="sr-Latn-CS"/>
        </w:rPr>
        <w:t xml:space="preserve"> </w:t>
      </w:r>
      <w:r w:rsidRPr="007509B2">
        <w:rPr>
          <w:sz w:val="18"/>
          <w:szCs w:val="18"/>
        </w:rPr>
        <w:t>jesenje</w:t>
      </w:r>
      <w:r w:rsidRPr="007509B2">
        <w:rPr>
          <w:sz w:val="18"/>
          <w:szCs w:val="18"/>
          <w:lang w:val="sr-Latn-CS"/>
        </w:rPr>
        <w:t xml:space="preserve"> </w:t>
      </w:r>
      <w:r w:rsidRPr="007509B2">
        <w:rPr>
          <w:sz w:val="18"/>
          <w:szCs w:val="18"/>
        </w:rPr>
        <w:t>projekcije</w:t>
      </w:r>
      <w:r w:rsidRPr="007509B2">
        <w:rPr>
          <w:sz w:val="18"/>
          <w:szCs w:val="18"/>
          <w:lang w:val="sr-Latn-CS"/>
        </w:rPr>
        <w:t xml:space="preserve"> </w:t>
      </w:r>
      <w:r w:rsidRPr="007509B2">
        <w:rPr>
          <w:sz w:val="18"/>
          <w:szCs w:val="18"/>
        </w:rPr>
        <w:t>date</w:t>
      </w:r>
      <w:r w:rsidRPr="007509B2">
        <w:rPr>
          <w:sz w:val="18"/>
          <w:szCs w:val="18"/>
          <w:lang w:val="sr-Latn-CS"/>
        </w:rPr>
        <w:t xml:space="preserve"> </w:t>
      </w:r>
      <w:r w:rsidRPr="007509B2">
        <w:rPr>
          <w:sz w:val="18"/>
          <w:szCs w:val="18"/>
        </w:rPr>
        <w:t>u</w:t>
      </w:r>
      <w:r w:rsidRPr="007509B2">
        <w:rPr>
          <w:sz w:val="18"/>
          <w:szCs w:val="18"/>
          <w:lang w:val="sr-Latn-CS"/>
        </w:rPr>
        <w:t xml:space="preserve"> </w:t>
      </w:r>
      <w:r w:rsidRPr="007509B2">
        <w:rPr>
          <w:sz w:val="18"/>
          <w:szCs w:val="18"/>
        </w:rPr>
        <w:t>PER</w:t>
      </w:r>
      <w:r w:rsidRPr="007509B2">
        <w:rPr>
          <w:sz w:val="18"/>
          <w:szCs w:val="18"/>
          <w:lang w:val="sr-Latn-CS"/>
        </w:rPr>
        <w:t>-</w:t>
      </w:r>
      <w:r w:rsidRPr="007509B2">
        <w:rPr>
          <w:sz w:val="18"/>
          <w:szCs w:val="18"/>
        </w:rPr>
        <w:t>u</w:t>
      </w:r>
      <w:r w:rsidR="00302897">
        <w:rPr>
          <w:sz w:val="18"/>
          <w:szCs w:val="18"/>
        </w:rPr>
        <w:t>.</w:t>
      </w:r>
    </w:p>
  </w:footnote>
  <w:footnote w:id="24">
    <w:p w:rsidR="00801715" w:rsidRPr="007C0116" w:rsidRDefault="00801715" w:rsidP="003536C9">
      <w:pPr>
        <w:pStyle w:val="FootnoteText"/>
        <w:ind w:left="142" w:hanging="142"/>
        <w:rPr>
          <w:sz w:val="18"/>
          <w:szCs w:val="18"/>
          <w:lang w:val="sr-Latn-CS"/>
        </w:rPr>
      </w:pPr>
      <w:r>
        <w:rPr>
          <w:rStyle w:val="FootnoteReference"/>
        </w:rPr>
        <w:footnoteRef/>
      </w:r>
      <w:r w:rsidRPr="00157330">
        <w:rPr>
          <w:lang w:val="sr-Latn-CS"/>
        </w:rPr>
        <w:t xml:space="preserve"> </w:t>
      </w:r>
      <w:r w:rsidRPr="007C0116">
        <w:rPr>
          <w:sz w:val="18"/>
          <w:szCs w:val="18"/>
        </w:rPr>
        <w:t>U</w:t>
      </w:r>
      <w:r w:rsidRPr="007C0116">
        <w:rPr>
          <w:rFonts w:cstheme="minorHAnsi"/>
          <w:sz w:val="18"/>
          <w:szCs w:val="18"/>
          <w:lang w:val="sr-Latn-CS"/>
        </w:rPr>
        <w:t xml:space="preserve"> </w:t>
      </w:r>
      <w:r w:rsidRPr="007C0116">
        <w:rPr>
          <w:rFonts w:cstheme="minorHAnsi"/>
          <w:sz w:val="18"/>
          <w:szCs w:val="18"/>
        </w:rPr>
        <w:t>periodu</w:t>
      </w:r>
      <w:r w:rsidRPr="007C0116">
        <w:rPr>
          <w:rFonts w:cstheme="minorHAnsi"/>
          <w:sz w:val="18"/>
          <w:szCs w:val="18"/>
          <w:lang w:val="sr-Latn-CS"/>
        </w:rPr>
        <w:t xml:space="preserve"> </w:t>
      </w:r>
      <w:r w:rsidRPr="007C0116">
        <w:rPr>
          <w:rFonts w:cstheme="minorHAnsi"/>
          <w:sz w:val="18"/>
          <w:szCs w:val="18"/>
        </w:rPr>
        <w:t>od</w:t>
      </w:r>
      <w:r w:rsidRPr="007C0116">
        <w:rPr>
          <w:rFonts w:cstheme="minorHAnsi"/>
          <w:sz w:val="18"/>
          <w:szCs w:val="18"/>
          <w:lang w:val="sr-Latn-CS"/>
        </w:rPr>
        <w:t xml:space="preserve"> 2010-2016. </w:t>
      </w:r>
      <w:r w:rsidRPr="007C0116">
        <w:rPr>
          <w:rFonts w:cstheme="minorHAnsi"/>
          <w:sz w:val="18"/>
          <w:szCs w:val="18"/>
        </w:rPr>
        <w:t>godine</w:t>
      </w:r>
      <w:r w:rsidRPr="007C0116">
        <w:rPr>
          <w:rFonts w:cstheme="minorHAnsi"/>
          <w:sz w:val="18"/>
          <w:szCs w:val="18"/>
          <w:lang w:val="sr-Latn-CS"/>
        </w:rPr>
        <w:t xml:space="preserve">, </w:t>
      </w:r>
      <w:r w:rsidRPr="007C0116">
        <w:rPr>
          <w:rFonts w:cstheme="minorHAnsi"/>
          <w:sz w:val="18"/>
          <w:szCs w:val="18"/>
        </w:rPr>
        <w:t>u</w:t>
      </w:r>
      <w:r w:rsidRPr="007C0116">
        <w:rPr>
          <w:rFonts w:cstheme="minorHAnsi"/>
          <w:sz w:val="18"/>
          <w:szCs w:val="18"/>
          <w:lang w:val="sr-Latn-CS"/>
        </w:rPr>
        <w:t>č</w:t>
      </w:r>
      <w:r w:rsidRPr="007C0116">
        <w:rPr>
          <w:rFonts w:cstheme="minorHAnsi"/>
          <w:sz w:val="18"/>
          <w:szCs w:val="18"/>
        </w:rPr>
        <w:t>e</w:t>
      </w:r>
      <w:r w:rsidRPr="007C0116">
        <w:rPr>
          <w:rFonts w:cstheme="minorHAnsi"/>
          <w:sz w:val="18"/>
          <w:szCs w:val="18"/>
          <w:lang w:val="sr-Latn-CS"/>
        </w:rPr>
        <w:t>šć</w:t>
      </w:r>
      <w:r w:rsidRPr="007C0116">
        <w:rPr>
          <w:rFonts w:cstheme="minorHAnsi"/>
          <w:sz w:val="18"/>
          <w:szCs w:val="18"/>
        </w:rPr>
        <w:t>e</w:t>
      </w:r>
      <w:r w:rsidRPr="007C0116">
        <w:rPr>
          <w:rFonts w:cstheme="minorHAnsi"/>
          <w:sz w:val="18"/>
          <w:szCs w:val="18"/>
          <w:lang w:val="sr-Latn-CS"/>
        </w:rPr>
        <w:t xml:space="preserve"> </w:t>
      </w:r>
      <w:r w:rsidRPr="007C0116">
        <w:rPr>
          <w:rFonts w:cstheme="minorHAnsi"/>
          <w:sz w:val="18"/>
          <w:szCs w:val="18"/>
        </w:rPr>
        <w:t>bruto</w:t>
      </w:r>
      <w:r w:rsidRPr="007C0116">
        <w:rPr>
          <w:rFonts w:cstheme="minorHAnsi"/>
          <w:sz w:val="18"/>
          <w:szCs w:val="18"/>
          <w:lang w:val="sr-Latn-CS"/>
        </w:rPr>
        <w:t xml:space="preserve"> </w:t>
      </w:r>
      <w:r w:rsidRPr="007C0116">
        <w:rPr>
          <w:rFonts w:cstheme="minorHAnsi"/>
          <w:sz w:val="18"/>
          <w:szCs w:val="18"/>
        </w:rPr>
        <w:t>investicija</w:t>
      </w:r>
      <w:r w:rsidRPr="007C0116">
        <w:rPr>
          <w:rFonts w:cstheme="minorHAnsi"/>
          <w:sz w:val="18"/>
          <w:szCs w:val="18"/>
          <w:lang w:val="sr-Latn-CS"/>
        </w:rPr>
        <w:t xml:space="preserve"> </w:t>
      </w:r>
      <w:r w:rsidRPr="007C0116">
        <w:rPr>
          <w:rFonts w:cstheme="minorHAnsi"/>
          <w:sz w:val="18"/>
          <w:szCs w:val="18"/>
        </w:rPr>
        <w:t>u</w:t>
      </w:r>
      <w:r w:rsidRPr="007C0116">
        <w:rPr>
          <w:rFonts w:cstheme="minorHAnsi"/>
          <w:sz w:val="18"/>
          <w:szCs w:val="18"/>
          <w:lang w:val="sr-Latn-CS"/>
        </w:rPr>
        <w:t xml:space="preserve"> </w:t>
      </w:r>
      <w:r w:rsidRPr="007C0116">
        <w:rPr>
          <w:rFonts w:cstheme="minorHAnsi"/>
          <w:sz w:val="18"/>
          <w:szCs w:val="18"/>
        </w:rPr>
        <w:t>BDP</w:t>
      </w:r>
      <w:r w:rsidRPr="007C0116">
        <w:rPr>
          <w:rFonts w:cstheme="minorHAnsi"/>
          <w:sz w:val="18"/>
          <w:szCs w:val="18"/>
          <w:lang w:val="sr-Latn-CS"/>
        </w:rPr>
        <w:t>-</w:t>
      </w:r>
      <w:r w:rsidRPr="007C0116">
        <w:rPr>
          <w:rFonts w:cstheme="minorHAnsi"/>
          <w:sz w:val="18"/>
          <w:szCs w:val="18"/>
        </w:rPr>
        <w:t>u</w:t>
      </w:r>
      <w:r w:rsidRPr="007C0116">
        <w:rPr>
          <w:rFonts w:cstheme="minorHAnsi"/>
          <w:sz w:val="18"/>
          <w:szCs w:val="18"/>
          <w:lang w:val="sr-Latn-CS"/>
        </w:rPr>
        <w:t xml:space="preserve"> </w:t>
      </w:r>
      <w:r w:rsidRPr="007C0116">
        <w:rPr>
          <w:rFonts w:cstheme="minorHAnsi"/>
          <w:sz w:val="18"/>
          <w:szCs w:val="18"/>
        </w:rPr>
        <w:t>je</w:t>
      </w:r>
      <w:r w:rsidRPr="007C0116">
        <w:rPr>
          <w:rFonts w:cstheme="minorHAnsi"/>
          <w:sz w:val="18"/>
          <w:szCs w:val="18"/>
          <w:lang w:val="sr-Latn-CS"/>
        </w:rPr>
        <w:t xml:space="preserve"> </w:t>
      </w:r>
      <w:r w:rsidRPr="007C0116">
        <w:rPr>
          <w:rFonts w:cstheme="minorHAnsi"/>
          <w:sz w:val="18"/>
          <w:szCs w:val="18"/>
        </w:rPr>
        <w:t>prosje</w:t>
      </w:r>
      <w:r w:rsidRPr="007C0116">
        <w:rPr>
          <w:rFonts w:cstheme="minorHAnsi"/>
          <w:sz w:val="18"/>
          <w:szCs w:val="18"/>
          <w:lang w:val="sr-Latn-CS"/>
        </w:rPr>
        <w:t>č</w:t>
      </w:r>
      <w:r w:rsidRPr="007C0116">
        <w:rPr>
          <w:rFonts w:cstheme="minorHAnsi"/>
          <w:sz w:val="18"/>
          <w:szCs w:val="18"/>
        </w:rPr>
        <w:t>no</w:t>
      </w:r>
      <w:r w:rsidRPr="007C0116">
        <w:rPr>
          <w:rFonts w:cstheme="minorHAnsi"/>
          <w:sz w:val="18"/>
          <w:szCs w:val="18"/>
          <w:lang w:val="sr-Latn-CS"/>
        </w:rPr>
        <w:t xml:space="preserve"> </w:t>
      </w:r>
      <w:r w:rsidRPr="007C0116">
        <w:rPr>
          <w:rFonts w:cstheme="minorHAnsi"/>
          <w:sz w:val="18"/>
          <w:szCs w:val="18"/>
        </w:rPr>
        <w:t>iznosilo</w:t>
      </w:r>
      <w:r w:rsidRPr="007C0116">
        <w:rPr>
          <w:rFonts w:cstheme="minorHAnsi"/>
          <w:sz w:val="18"/>
          <w:szCs w:val="18"/>
          <w:lang w:val="sr-Latn-CS"/>
        </w:rPr>
        <w:t xml:space="preserve"> </w:t>
      </w:r>
      <w:r w:rsidRPr="007C0116">
        <w:rPr>
          <w:rFonts w:cstheme="minorHAnsi"/>
          <w:sz w:val="18"/>
          <w:szCs w:val="18"/>
        </w:rPr>
        <w:t>oko</w:t>
      </w:r>
      <w:r w:rsidRPr="007C0116">
        <w:rPr>
          <w:rFonts w:cstheme="minorHAnsi"/>
          <w:sz w:val="18"/>
          <w:szCs w:val="18"/>
          <w:lang w:val="sr-Latn-CS"/>
        </w:rPr>
        <w:t xml:space="preserve"> 20%, š</w:t>
      </w:r>
      <w:r w:rsidRPr="007C0116">
        <w:rPr>
          <w:rFonts w:cstheme="minorHAnsi"/>
          <w:sz w:val="18"/>
          <w:szCs w:val="18"/>
        </w:rPr>
        <w:t>to</w:t>
      </w:r>
      <w:r w:rsidRPr="007C0116">
        <w:rPr>
          <w:rFonts w:cstheme="minorHAnsi"/>
          <w:sz w:val="18"/>
          <w:szCs w:val="18"/>
          <w:lang w:val="sr-Latn-CS"/>
        </w:rPr>
        <w:t xml:space="preserve"> </w:t>
      </w:r>
      <w:r w:rsidRPr="007C0116">
        <w:rPr>
          <w:rFonts w:cstheme="minorHAnsi"/>
          <w:sz w:val="18"/>
          <w:szCs w:val="18"/>
        </w:rPr>
        <w:t>je</w:t>
      </w:r>
      <w:r w:rsidRPr="007C0116">
        <w:rPr>
          <w:rFonts w:cstheme="minorHAnsi"/>
          <w:sz w:val="18"/>
          <w:szCs w:val="18"/>
          <w:lang w:val="sr-Latn-CS"/>
        </w:rPr>
        <w:t xml:space="preserve"> </w:t>
      </w:r>
      <w:r w:rsidRPr="007C0116">
        <w:rPr>
          <w:rFonts w:cstheme="minorHAnsi"/>
          <w:sz w:val="18"/>
          <w:szCs w:val="18"/>
        </w:rPr>
        <w:t>iznad</w:t>
      </w:r>
      <w:r w:rsidRPr="007C0116">
        <w:rPr>
          <w:rFonts w:cstheme="minorHAnsi"/>
          <w:sz w:val="18"/>
          <w:szCs w:val="18"/>
          <w:lang w:val="sr-Latn-CS"/>
        </w:rPr>
        <w:t xml:space="preserve"> </w:t>
      </w:r>
      <w:r w:rsidRPr="007C0116">
        <w:rPr>
          <w:rFonts w:cstheme="minorHAnsi"/>
          <w:sz w:val="18"/>
          <w:szCs w:val="18"/>
        </w:rPr>
        <w:t>prosjeka</w:t>
      </w:r>
      <w:r w:rsidRPr="007C0116">
        <w:rPr>
          <w:rFonts w:cstheme="minorHAnsi"/>
          <w:sz w:val="18"/>
          <w:szCs w:val="18"/>
          <w:lang w:val="sr-Latn-CS"/>
        </w:rPr>
        <w:t xml:space="preserve"> </w:t>
      </w:r>
      <w:r w:rsidRPr="007C0116">
        <w:rPr>
          <w:rFonts w:cstheme="minorHAnsi"/>
          <w:sz w:val="18"/>
          <w:szCs w:val="18"/>
        </w:rPr>
        <w:t>za</w:t>
      </w:r>
      <w:r w:rsidRPr="007C0116">
        <w:rPr>
          <w:rFonts w:cstheme="minorHAnsi"/>
          <w:sz w:val="18"/>
          <w:szCs w:val="18"/>
          <w:lang w:val="sr-Latn-CS"/>
        </w:rPr>
        <w:t xml:space="preserve"> </w:t>
      </w:r>
      <w:r w:rsidRPr="007C0116">
        <w:rPr>
          <w:rFonts w:cstheme="minorHAnsi"/>
          <w:sz w:val="18"/>
          <w:szCs w:val="18"/>
        </w:rPr>
        <w:t>svjetsku</w:t>
      </w:r>
      <w:r w:rsidRPr="007C0116">
        <w:rPr>
          <w:rFonts w:cstheme="minorHAnsi"/>
          <w:sz w:val="18"/>
          <w:szCs w:val="18"/>
          <w:lang w:val="sr-Latn-CS"/>
        </w:rPr>
        <w:t xml:space="preserve"> </w:t>
      </w:r>
      <w:r w:rsidRPr="007C0116">
        <w:rPr>
          <w:rFonts w:cstheme="minorHAnsi"/>
          <w:sz w:val="18"/>
          <w:szCs w:val="18"/>
        </w:rPr>
        <w:t>ekonomiju</w:t>
      </w:r>
      <w:r w:rsidRPr="007C0116">
        <w:rPr>
          <w:rFonts w:cstheme="minorHAnsi"/>
          <w:sz w:val="18"/>
          <w:szCs w:val="18"/>
          <w:lang w:val="sr-Latn-CS"/>
        </w:rPr>
        <w:t xml:space="preserve"> (18%).</w:t>
      </w:r>
    </w:p>
  </w:footnote>
  <w:footnote w:id="25">
    <w:p w:rsidR="00801715" w:rsidRPr="00D00F17" w:rsidRDefault="00801715" w:rsidP="00D00F17">
      <w:pPr>
        <w:pStyle w:val="FootnoteText"/>
        <w:ind w:left="142" w:hanging="142"/>
        <w:rPr>
          <w:sz w:val="18"/>
          <w:szCs w:val="18"/>
        </w:rPr>
      </w:pPr>
      <w:r>
        <w:rPr>
          <w:rStyle w:val="FootnoteReference"/>
        </w:rPr>
        <w:footnoteRef/>
      </w:r>
      <w:r>
        <w:t xml:space="preserve"> </w:t>
      </w:r>
      <w:r w:rsidRPr="00D00F17">
        <w:rPr>
          <w:rFonts w:cstheme="minorHAnsi"/>
          <w:sz w:val="18"/>
          <w:szCs w:val="18"/>
        </w:rPr>
        <w:t>Planom sanacije predviđeno je da će se, po ovom osnovu, ostvariti prihodi u iznosu od 60,0 mil. € za periodu 2017-2021. godine. Na Javni poziv za prijavu poreskih dužnika, koji je zaključen 03. aprila 2017. godine prispjelo je 5.435 zahtjeva, sa ukupnom vrijednošću duga od 184,8 mil.€. Pri tome, otpis kamata će iznositi 20,0 mil.€. Imajući u vidu navedeno, prihodi po ovom osnovu biće značajno iznad prethodno planiranih i uključeni su u ukupne efekte konsolidacije</w:t>
      </w:r>
      <w:r>
        <w:rPr>
          <w:rFonts w:cstheme="minorHAnsi"/>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5E6"/>
    <w:multiLevelType w:val="hybridMultilevel"/>
    <w:tmpl w:val="3D4C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777D6"/>
    <w:multiLevelType w:val="hybridMultilevel"/>
    <w:tmpl w:val="60E0ED44"/>
    <w:lvl w:ilvl="0" w:tplc="12ACD060">
      <w:start w:val="1"/>
      <w:numFmt w:val="bullet"/>
      <w:lvlText w:val=""/>
      <w:lvlJc w:val="left"/>
      <w:pPr>
        <w:ind w:left="720" w:hanging="360"/>
      </w:pPr>
      <w:rPr>
        <w:rFonts w:ascii="Symbol" w:hAnsi="Symbol" w:hint="default"/>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0582797C"/>
    <w:multiLevelType w:val="hybridMultilevel"/>
    <w:tmpl w:val="DF72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F7DA8"/>
    <w:multiLevelType w:val="hybridMultilevel"/>
    <w:tmpl w:val="B49C59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76E66"/>
    <w:multiLevelType w:val="hybridMultilevel"/>
    <w:tmpl w:val="1FEE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57D37"/>
    <w:multiLevelType w:val="multilevel"/>
    <w:tmpl w:val="2C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C92301"/>
    <w:multiLevelType w:val="multilevel"/>
    <w:tmpl w:val="AFF4D9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D4E6762"/>
    <w:multiLevelType w:val="hybridMultilevel"/>
    <w:tmpl w:val="DC1A58E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AB7EE3"/>
    <w:multiLevelType w:val="hybridMultilevel"/>
    <w:tmpl w:val="2820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F7E35"/>
    <w:multiLevelType w:val="hybridMultilevel"/>
    <w:tmpl w:val="2E5E129C"/>
    <w:lvl w:ilvl="0" w:tplc="A9C4628A">
      <w:numFmt w:val="bullet"/>
      <w:lvlText w:val="•"/>
      <w:lvlJc w:val="left"/>
      <w:pPr>
        <w:ind w:left="1065" w:hanging="705"/>
      </w:pPr>
      <w:rPr>
        <w:rFonts w:ascii="Calibri Light" w:eastAsia="Calibri" w:hAnsi="Calibri Light"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nsid w:val="231F066D"/>
    <w:multiLevelType w:val="hybridMultilevel"/>
    <w:tmpl w:val="4AFC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5E2A4A"/>
    <w:multiLevelType w:val="hybridMultilevel"/>
    <w:tmpl w:val="4D1457F4"/>
    <w:lvl w:ilvl="0" w:tplc="12ACD06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742AA"/>
    <w:multiLevelType w:val="hybridMultilevel"/>
    <w:tmpl w:val="8432ED4A"/>
    <w:lvl w:ilvl="0" w:tplc="0809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30625D2E"/>
    <w:multiLevelType w:val="hybridMultilevel"/>
    <w:tmpl w:val="D2FE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A44D4A"/>
    <w:multiLevelType w:val="hybridMultilevel"/>
    <w:tmpl w:val="DB063998"/>
    <w:lvl w:ilvl="0" w:tplc="55AAE324">
      <w:start w:val="1"/>
      <w:numFmt w:val="upperRoman"/>
      <w:lvlText w:val="%1."/>
      <w:lvlJc w:val="righ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BD68E8"/>
    <w:multiLevelType w:val="hybridMultilevel"/>
    <w:tmpl w:val="BE985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F238F6"/>
    <w:multiLevelType w:val="hybridMultilevel"/>
    <w:tmpl w:val="D2BE5FCE"/>
    <w:lvl w:ilvl="0" w:tplc="12ACD06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9422B9"/>
    <w:multiLevelType w:val="hybridMultilevel"/>
    <w:tmpl w:val="A0207C54"/>
    <w:lvl w:ilvl="0" w:tplc="F634BCD4">
      <w:numFmt w:val="bullet"/>
      <w:lvlText w:val=""/>
      <w:lvlJc w:val="left"/>
      <w:pPr>
        <w:ind w:left="1080" w:hanging="360"/>
      </w:pPr>
      <w:rPr>
        <w:rFonts w:ascii="Symbol" w:eastAsia="Times New Roman" w:hAnsi="Symbol"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8">
    <w:nsid w:val="42AD1ED8"/>
    <w:multiLevelType w:val="hybridMultilevel"/>
    <w:tmpl w:val="1660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2F2CAF"/>
    <w:multiLevelType w:val="multilevel"/>
    <w:tmpl w:val="5BCE792E"/>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7BC40A1"/>
    <w:multiLevelType w:val="hybridMultilevel"/>
    <w:tmpl w:val="EACC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4A7920"/>
    <w:multiLevelType w:val="hybridMultilevel"/>
    <w:tmpl w:val="4274EC18"/>
    <w:lvl w:ilvl="0" w:tplc="12ACD060">
      <w:start w:val="1"/>
      <w:numFmt w:val="bullet"/>
      <w:lvlText w:val=""/>
      <w:lvlJc w:val="left"/>
      <w:pPr>
        <w:ind w:left="720" w:hanging="360"/>
      </w:pPr>
      <w:rPr>
        <w:rFonts w:ascii="Symbol" w:hAnsi="Symbol" w:hint="default"/>
        <w:sz w:val="22"/>
      </w:rPr>
    </w:lvl>
    <w:lvl w:ilvl="1" w:tplc="D6EC935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F17DDB"/>
    <w:multiLevelType w:val="hybridMultilevel"/>
    <w:tmpl w:val="6420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F0301B"/>
    <w:multiLevelType w:val="hybridMultilevel"/>
    <w:tmpl w:val="792C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144A2B"/>
    <w:multiLevelType w:val="hybridMultilevel"/>
    <w:tmpl w:val="431291B0"/>
    <w:lvl w:ilvl="0" w:tplc="90D4A326">
      <w:start w:val="1"/>
      <w:numFmt w:val="decimal"/>
      <w:lvlText w:val="%1."/>
      <w:lvlJc w:val="left"/>
      <w:pPr>
        <w:tabs>
          <w:tab w:val="num" w:pos="360"/>
        </w:tabs>
        <w:ind w:left="360" w:hanging="360"/>
      </w:pPr>
      <w:rPr>
        <w:rFonts w:ascii="Calibri" w:hAnsi="Calibri" w:hint="default"/>
        <w:b/>
        <w:sz w:val="18"/>
        <w:szCs w:val="18"/>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5">
    <w:nsid w:val="54503C2B"/>
    <w:multiLevelType w:val="hybridMultilevel"/>
    <w:tmpl w:val="B2D4E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5B07D11"/>
    <w:multiLevelType w:val="hybridMultilevel"/>
    <w:tmpl w:val="00B45BCC"/>
    <w:lvl w:ilvl="0" w:tplc="F8E0695A">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1F5766"/>
    <w:multiLevelType w:val="hybridMultilevel"/>
    <w:tmpl w:val="7036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744816"/>
    <w:multiLevelType w:val="hybridMultilevel"/>
    <w:tmpl w:val="4FF2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C16B77"/>
    <w:multiLevelType w:val="hybridMultilevel"/>
    <w:tmpl w:val="16C4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8A7174"/>
    <w:multiLevelType w:val="hybridMultilevel"/>
    <w:tmpl w:val="5CA8303A"/>
    <w:lvl w:ilvl="0" w:tplc="2C1A000F">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1">
    <w:nsid w:val="61594D1F"/>
    <w:multiLevelType w:val="hybridMultilevel"/>
    <w:tmpl w:val="22C437B2"/>
    <w:lvl w:ilvl="0" w:tplc="F8E0695A">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494BC6"/>
    <w:multiLevelType w:val="multilevel"/>
    <w:tmpl w:val="3C7253F6"/>
    <w:lvl w:ilvl="0">
      <w:start w:val="4"/>
      <w:numFmt w:val="decimal"/>
      <w:lvlText w:val="%1"/>
      <w:lvlJc w:val="left"/>
      <w:pPr>
        <w:ind w:left="435" w:hanging="435"/>
      </w:pPr>
      <w:rPr>
        <w:b/>
      </w:rPr>
    </w:lvl>
    <w:lvl w:ilvl="1">
      <w:start w:val="2"/>
      <w:numFmt w:val="decimal"/>
      <w:lvlText w:val="%1.%2"/>
      <w:lvlJc w:val="left"/>
      <w:pPr>
        <w:ind w:left="435" w:hanging="43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3">
    <w:nsid w:val="635507AC"/>
    <w:multiLevelType w:val="hybridMultilevel"/>
    <w:tmpl w:val="0002A3B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0D2E83"/>
    <w:multiLevelType w:val="hybridMultilevel"/>
    <w:tmpl w:val="BE985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9261515"/>
    <w:multiLevelType w:val="multilevel"/>
    <w:tmpl w:val="3CC6EF1E"/>
    <w:lvl w:ilvl="0">
      <w:start w:val="1"/>
      <w:numFmt w:val="decimal"/>
      <w:pStyle w:val="Heading1"/>
      <w:lvlText w:val="%1"/>
      <w:lvlJc w:val="left"/>
      <w:pPr>
        <w:ind w:left="574" w:hanging="432"/>
      </w:pPr>
      <w:rPr>
        <w:sz w:val="48"/>
        <w:szCs w:val="4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nsid w:val="6B3360CA"/>
    <w:multiLevelType w:val="hybridMultilevel"/>
    <w:tmpl w:val="FE000FF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D37653"/>
    <w:multiLevelType w:val="hybridMultilevel"/>
    <w:tmpl w:val="155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9431A2"/>
    <w:multiLevelType w:val="hybridMultilevel"/>
    <w:tmpl w:val="ADB0D5C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9">
    <w:nsid w:val="727D015C"/>
    <w:multiLevelType w:val="hybridMultilevel"/>
    <w:tmpl w:val="3382666E"/>
    <w:lvl w:ilvl="0" w:tplc="2C1A0001">
      <w:start w:val="1"/>
      <w:numFmt w:val="bullet"/>
      <w:lvlText w:val=""/>
      <w:lvlJc w:val="left"/>
      <w:pPr>
        <w:ind w:left="2062"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nsid w:val="759C2E95"/>
    <w:multiLevelType w:val="hybridMultilevel"/>
    <w:tmpl w:val="7904FAF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7025A92"/>
    <w:multiLevelType w:val="hybridMultilevel"/>
    <w:tmpl w:val="771CCA1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2">
    <w:nsid w:val="7B8E50C2"/>
    <w:multiLevelType w:val="hybridMultilevel"/>
    <w:tmpl w:val="E6447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6"/>
  </w:num>
  <w:num w:numId="4">
    <w:abstractNumId w:val="35"/>
  </w:num>
  <w:num w:numId="5">
    <w:abstractNumId w:val="22"/>
  </w:num>
  <w:num w:numId="6">
    <w:abstractNumId w:val="20"/>
  </w:num>
  <w:num w:numId="7">
    <w:abstractNumId w:val="0"/>
  </w:num>
  <w:num w:numId="8">
    <w:abstractNumId w:val="9"/>
  </w:num>
  <w:num w:numId="9">
    <w:abstractNumId w:val="5"/>
  </w:num>
  <w:num w:numId="10">
    <w:abstractNumId w:val="6"/>
  </w:num>
  <w:num w:numId="11">
    <w:abstractNumId w:val="41"/>
  </w:num>
  <w:num w:numId="12">
    <w:abstractNumId w:val="17"/>
  </w:num>
  <w:num w:numId="13">
    <w:abstractNumId w:val="15"/>
  </w:num>
  <w:num w:numId="14">
    <w:abstractNumId w:val="2"/>
  </w:num>
  <w:num w:numId="15">
    <w:abstractNumId w:val="40"/>
  </w:num>
  <w:num w:numId="16">
    <w:abstractNumId w:val="29"/>
  </w:num>
  <w:num w:numId="17">
    <w:abstractNumId w:val="18"/>
  </w:num>
  <w:num w:numId="18">
    <w:abstractNumId w:val="39"/>
  </w:num>
  <w:num w:numId="19">
    <w:abstractNumId w:val="27"/>
  </w:num>
  <w:num w:numId="20">
    <w:abstractNumId w:val="10"/>
  </w:num>
  <w:num w:numId="21">
    <w:abstractNumId w:val="8"/>
  </w:num>
  <w:num w:numId="22">
    <w:abstractNumId w:val="30"/>
  </w:num>
  <w:num w:numId="23">
    <w:abstractNumId w:val="42"/>
  </w:num>
  <w:num w:numId="24">
    <w:abstractNumId w:val="12"/>
  </w:num>
  <w:num w:numId="25">
    <w:abstractNumId w:val="37"/>
  </w:num>
  <w:num w:numId="26">
    <w:abstractNumId w:val="7"/>
  </w:num>
  <w:num w:numId="27">
    <w:abstractNumId w:val="33"/>
  </w:num>
  <w:num w:numId="28">
    <w:abstractNumId w:val="36"/>
  </w:num>
  <w:num w:numId="29">
    <w:abstractNumId w:val="13"/>
  </w:num>
  <w:num w:numId="30">
    <w:abstractNumId w:val="34"/>
  </w:num>
  <w:num w:numId="31">
    <w:abstractNumId w:val="14"/>
  </w:num>
  <w:num w:numId="32">
    <w:abstractNumId w:val="3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
  </w:num>
  <w:num w:numId="36">
    <w:abstractNumId w:val="25"/>
  </w:num>
  <w:num w:numId="37">
    <w:abstractNumId w:val="24"/>
  </w:num>
  <w:num w:numId="38">
    <w:abstractNumId w:val="4"/>
  </w:num>
  <w:num w:numId="39">
    <w:abstractNumId w:val="21"/>
  </w:num>
  <w:num w:numId="40">
    <w:abstractNumId w:val="16"/>
  </w:num>
  <w:num w:numId="41">
    <w:abstractNumId w:val="11"/>
  </w:num>
  <w:num w:numId="42">
    <w:abstractNumId w:val="31"/>
  </w:num>
  <w:num w:numId="43">
    <w:abstractNumId w:val="23"/>
  </w:num>
  <w:num w:numId="44">
    <w:abstractNumId w:val="38"/>
  </w:num>
  <w:num w:numId="45">
    <w:abstractNumId w:val="35"/>
  </w:num>
  <w:num w:numId="46">
    <w:abstractNumId w:val="35"/>
  </w:num>
  <w:num w:numId="47">
    <w:abstractNumId w:val="35"/>
  </w:num>
  <w:num w:numId="48">
    <w:abstractNumId w:val="35"/>
  </w:num>
  <w:num w:numId="49">
    <w:abstractNumId w:val="35"/>
  </w:num>
  <w:num w:numId="50">
    <w:abstractNumId w:val="3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4E4670"/>
    <w:rsid w:val="00007028"/>
    <w:rsid w:val="000134E4"/>
    <w:rsid w:val="00020EC2"/>
    <w:rsid w:val="00025D3A"/>
    <w:rsid w:val="00031D92"/>
    <w:rsid w:val="0003258D"/>
    <w:rsid w:val="00032ADC"/>
    <w:rsid w:val="00032B3E"/>
    <w:rsid w:val="000332C5"/>
    <w:rsid w:val="00033F9B"/>
    <w:rsid w:val="00043D15"/>
    <w:rsid w:val="00047057"/>
    <w:rsid w:val="00047296"/>
    <w:rsid w:val="000475E5"/>
    <w:rsid w:val="00051E70"/>
    <w:rsid w:val="000520B0"/>
    <w:rsid w:val="000548F0"/>
    <w:rsid w:val="0005660E"/>
    <w:rsid w:val="0006070B"/>
    <w:rsid w:val="00061369"/>
    <w:rsid w:val="000635E1"/>
    <w:rsid w:val="000643A5"/>
    <w:rsid w:val="00067FF7"/>
    <w:rsid w:val="00071A61"/>
    <w:rsid w:val="00073580"/>
    <w:rsid w:val="0008352A"/>
    <w:rsid w:val="000852C0"/>
    <w:rsid w:val="00086496"/>
    <w:rsid w:val="00095043"/>
    <w:rsid w:val="000A1D74"/>
    <w:rsid w:val="000A210E"/>
    <w:rsid w:val="000A70F4"/>
    <w:rsid w:val="000B05B1"/>
    <w:rsid w:val="000C03C5"/>
    <w:rsid w:val="000C10EB"/>
    <w:rsid w:val="000C1F11"/>
    <w:rsid w:val="000C2809"/>
    <w:rsid w:val="000C7142"/>
    <w:rsid w:val="000C7149"/>
    <w:rsid w:val="000D344F"/>
    <w:rsid w:val="000D71A3"/>
    <w:rsid w:val="000D7E6B"/>
    <w:rsid w:val="000E03F8"/>
    <w:rsid w:val="000E58C3"/>
    <w:rsid w:val="000F0B4E"/>
    <w:rsid w:val="000F158D"/>
    <w:rsid w:val="000F1D01"/>
    <w:rsid w:val="000F2ECB"/>
    <w:rsid w:val="000F30DB"/>
    <w:rsid w:val="000F5586"/>
    <w:rsid w:val="00100962"/>
    <w:rsid w:val="00102F17"/>
    <w:rsid w:val="00110713"/>
    <w:rsid w:val="0011153F"/>
    <w:rsid w:val="00111AC3"/>
    <w:rsid w:val="00111FCA"/>
    <w:rsid w:val="00112F18"/>
    <w:rsid w:val="00116956"/>
    <w:rsid w:val="00121A50"/>
    <w:rsid w:val="00124377"/>
    <w:rsid w:val="00135221"/>
    <w:rsid w:val="00135258"/>
    <w:rsid w:val="0014080E"/>
    <w:rsid w:val="00146722"/>
    <w:rsid w:val="001515E0"/>
    <w:rsid w:val="00157330"/>
    <w:rsid w:val="001575D2"/>
    <w:rsid w:val="0016488D"/>
    <w:rsid w:val="0016753B"/>
    <w:rsid w:val="00180A94"/>
    <w:rsid w:val="0018241D"/>
    <w:rsid w:val="001845BF"/>
    <w:rsid w:val="00185A72"/>
    <w:rsid w:val="0019084D"/>
    <w:rsid w:val="00193ACF"/>
    <w:rsid w:val="00195D2A"/>
    <w:rsid w:val="001B3F30"/>
    <w:rsid w:val="001B6B9C"/>
    <w:rsid w:val="001C1265"/>
    <w:rsid w:val="001C1C2D"/>
    <w:rsid w:val="001C46C5"/>
    <w:rsid w:val="001D2E2F"/>
    <w:rsid w:val="001D4D3B"/>
    <w:rsid w:val="001D761E"/>
    <w:rsid w:val="001D76E3"/>
    <w:rsid w:val="001E30B6"/>
    <w:rsid w:val="001E3F93"/>
    <w:rsid w:val="001F3FE1"/>
    <w:rsid w:val="002000AA"/>
    <w:rsid w:val="00211CD0"/>
    <w:rsid w:val="00212B25"/>
    <w:rsid w:val="002148B6"/>
    <w:rsid w:val="00215716"/>
    <w:rsid w:val="002158AA"/>
    <w:rsid w:val="002204CD"/>
    <w:rsid w:val="00222975"/>
    <w:rsid w:val="00223D4A"/>
    <w:rsid w:val="00223E42"/>
    <w:rsid w:val="0022636C"/>
    <w:rsid w:val="0023147E"/>
    <w:rsid w:val="002360F2"/>
    <w:rsid w:val="0023730A"/>
    <w:rsid w:val="00240D8A"/>
    <w:rsid w:val="0024718F"/>
    <w:rsid w:val="00253456"/>
    <w:rsid w:val="00255E73"/>
    <w:rsid w:val="00267EEE"/>
    <w:rsid w:val="0027063C"/>
    <w:rsid w:val="0027386A"/>
    <w:rsid w:val="002755DE"/>
    <w:rsid w:val="00286A0C"/>
    <w:rsid w:val="0029485F"/>
    <w:rsid w:val="00296016"/>
    <w:rsid w:val="002A5250"/>
    <w:rsid w:val="002A62C3"/>
    <w:rsid w:val="002B1C8B"/>
    <w:rsid w:val="002B6D10"/>
    <w:rsid w:val="002C29A7"/>
    <w:rsid w:val="002C3C13"/>
    <w:rsid w:val="002C433A"/>
    <w:rsid w:val="002C5CDE"/>
    <w:rsid w:val="002D1802"/>
    <w:rsid w:val="002D2A82"/>
    <w:rsid w:val="002D5E45"/>
    <w:rsid w:val="002D7B53"/>
    <w:rsid w:val="002E2258"/>
    <w:rsid w:val="002E333A"/>
    <w:rsid w:val="002F3C77"/>
    <w:rsid w:val="002F7295"/>
    <w:rsid w:val="002F7D28"/>
    <w:rsid w:val="00301EAE"/>
    <w:rsid w:val="00302897"/>
    <w:rsid w:val="00302A4E"/>
    <w:rsid w:val="00302A6C"/>
    <w:rsid w:val="003067F3"/>
    <w:rsid w:val="00306E53"/>
    <w:rsid w:val="00336B1C"/>
    <w:rsid w:val="003409F5"/>
    <w:rsid w:val="00346254"/>
    <w:rsid w:val="003536C9"/>
    <w:rsid w:val="00356DFE"/>
    <w:rsid w:val="00357888"/>
    <w:rsid w:val="003607CD"/>
    <w:rsid w:val="00361D22"/>
    <w:rsid w:val="003658B7"/>
    <w:rsid w:val="00370346"/>
    <w:rsid w:val="0037116F"/>
    <w:rsid w:val="0037307B"/>
    <w:rsid w:val="003775DE"/>
    <w:rsid w:val="00383309"/>
    <w:rsid w:val="00383C95"/>
    <w:rsid w:val="003849E6"/>
    <w:rsid w:val="00385C56"/>
    <w:rsid w:val="00386318"/>
    <w:rsid w:val="0039031A"/>
    <w:rsid w:val="003B1A0F"/>
    <w:rsid w:val="003B2C4E"/>
    <w:rsid w:val="003B3A05"/>
    <w:rsid w:val="003B7168"/>
    <w:rsid w:val="003C10E1"/>
    <w:rsid w:val="003C15A9"/>
    <w:rsid w:val="003C1F94"/>
    <w:rsid w:val="003C4AC5"/>
    <w:rsid w:val="003C67DD"/>
    <w:rsid w:val="003D0007"/>
    <w:rsid w:val="003D22FA"/>
    <w:rsid w:val="003D2DB3"/>
    <w:rsid w:val="003D4828"/>
    <w:rsid w:val="003E1F49"/>
    <w:rsid w:val="003E2846"/>
    <w:rsid w:val="003E3927"/>
    <w:rsid w:val="003E7C30"/>
    <w:rsid w:val="003F1AA0"/>
    <w:rsid w:val="003F396D"/>
    <w:rsid w:val="003F4B00"/>
    <w:rsid w:val="00400184"/>
    <w:rsid w:val="004022DF"/>
    <w:rsid w:val="00406AA1"/>
    <w:rsid w:val="004132A9"/>
    <w:rsid w:val="00415015"/>
    <w:rsid w:val="004260C0"/>
    <w:rsid w:val="00426444"/>
    <w:rsid w:val="00426BB7"/>
    <w:rsid w:val="0042778C"/>
    <w:rsid w:val="00432032"/>
    <w:rsid w:val="004321F7"/>
    <w:rsid w:val="00432588"/>
    <w:rsid w:val="0043715E"/>
    <w:rsid w:val="0044348C"/>
    <w:rsid w:val="00445F36"/>
    <w:rsid w:val="00446D7A"/>
    <w:rsid w:val="00450A4B"/>
    <w:rsid w:val="00462D31"/>
    <w:rsid w:val="00464A59"/>
    <w:rsid w:val="004702C1"/>
    <w:rsid w:val="00477B4C"/>
    <w:rsid w:val="00480203"/>
    <w:rsid w:val="00483253"/>
    <w:rsid w:val="00484A74"/>
    <w:rsid w:val="0048511B"/>
    <w:rsid w:val="004855FD"/>
    <w:rsid w:val="004933A4"/>
    <w:rsid w:val="0049615F"/>
    <w:rsid w:val="00497219"/>
    <w:rsid w:val="00497CD7"/>
    <w:rsid w:val="004A1228"/>
    <w:rsid w:val="004A1BA4"/>
    <w:rsid w:val="004A2487"/>
    <w:rsid w:val="004A3780"/>
    <w:rsid w:val="004A75F1"/>
    <w:rsid w:val="004A7669"/>
    <w:rsid w:val="004B6EDD"/>
    <w:rsid w:val="004D1799"/>
    <w:rsid w:val="004D415C"/>
    <w:rsid w:val="004E0409"/>
    <w:rsid w:val="004E4670"/>
    <w:rsid w:val="004E57A7"/>
    <w:rsid w:val="004E7537"/>
    <w:rsid w:val="004F3E9C"/>
    <w:rsid w:val="004F762E"/>
    <w:rsid w:val="00504ABA"/>
    <w:rsid w:val="0051021C"/>
    <w:rsid w:val="0051642F"/>
    <w:rsid w:val="00526D32"/>
    <w:rsid w:val="005315F1"/>
    <w:rsid w:val="00540777"/>
    <w:rsid w:val="00542183"/>
    <w:rsid w:val="0054407E"/>
    <w:rsid w:val="005459C0"/>
    <w:rsid w:val="00546B0C"/>
    <w:rsid w:val="0055000F"/>
    <w:rsid w:val="00552FA3"/>
    <w:rsid w:val="0055492A"/>
    <w:rsid w:val="0055701F"/>
    <w:rsid w:val="00557A4B"/>
    <w:rsid w:val="005611A4"/>
    <w:rsid w:val="00561734"/>
    <w:rsid w:val="00566FCB"/>
    <w:rsid w:val="00572C6E"/>
    <w:rsid w:val="00572D40"/>
    <w:rsid w:val="00572EFA"/>
    <w:rsid w:val="00573EF1"/>
    <w:rsid w:val="00576496"/>
    <w:rsid w:val="00583052"/>
    <w:rsid w:val="00584919"/>
    <w:rsid w:val="00596A18"/>
    <w:rsid w:val="005A2D78"/>
    <w:rsid w:val="005A4EA3"/>
    <w:rsid w:val="005A710F"/>
    <w:rsid w:val="005B24E1"/>
    <w:rsid w:val="005B71D4"/>
    <w:rsid w:val="005B7AEE"/>
    <w:rsid w:val="005C1ED6"/>
    <w:rsid w:val="005C6FE4"/>
    <w:rsid w:val="005C7D9F"/>
    <w:rsid w:val="005D2616"/>
    <w:rsid w:val="005E653B"/>
    <w:rsid w:val="005F12D5"/>
    <w:rsid w:val="005F2BA9"/>
    <w:rsid w:val="005F2F8A"/>
    <w:rsid w:val="005F7DD6"/>
    <w:rsid w:val="006101C1"/>
    <w:rsid w:val="00627F39"/>
    <w:rsid w:val="00633FB9"/>
    <w:rsid w:val="006416C5"/>
    <w:rsid w:val="006435A6"/>
    <w:rsid w:val="0064634E"/>
    <w:rsid w:val="00650890"/>
    <w:rsid w:val="00650B6E"/>
    <w:rsid w:val="00652532"/>
    <w:rsid w:val="00653C11"/>
    <w:rsid w:val="00657105"/>
    <w:rsid w:val="00657AD1"/>
    <w:rsid w:val="0066194B"/>
    <w:rsid w:val="00662FC2"/>
    <w:rsid w:val="0066384E"/>
    <w:rsid w:val="0066418E"/>
    <w:rsid w:val="006703B7"/>
    <w:rsid w:val="00670412"/>
    <w:rsid w:val="00676EA3"/>
    <w:rsid w:val="006773B5"/>
    <w:rsid w:val="00684632"/>
    <w:rsid w:val="006937A8"/>
    <w:rsid w:val="00696F7B"/>
    <w:rsid w:val="006B10E6"/>
    <w:rsid w:val="006B581A"/>
    <w:rsid w:val="006C178F"/>
    <w:rsid w:val="006C70F8"/>
    <w:rsid w:val="006C74AB"/>
    <w:rsid w:val="006D1592"/>
    <w:rsid w:val="006D529F"/>
    <w:rsid w:val="006D7F78"/>
    <w:rsid w:val="006E419B"/>
    <w:rsid w:val="006F06FA"/>
    <w:rsid w:val="006F0B00"/>
    <w:rsid w:val="006F7275"/>
    <w:rsid w:val="0070788E"/>
    <w:rsid w:val="00735BFC"/>
    <w:rsid w:val="00746343"/>
    <w:rsid w:val="007509B2"/>
    <w:rsid w:val="00764B04"/>
    <w:rsid w:val="00764CCA"/>
    <w:rsid w:val="00766CEE"/>
    <w:rsid w:val="007679AE"/>
    <w:rsid w:val="007709EE"/>
    <w:rsid w:val="007724F9"/>
    <w:rsid w:val="00773C47"/>
    <w:rsid w:val="0077695E"/>
    <w:rsid w:val="00782BC6"/>
    <w:rsid w:val="00786B5F"/>
    <w:rsid w:val="00786EB0"/>
    <w:rsid w:val="0078765E"/>
    <w:rsid w:val="0078782D"/>
    <w:rsid w:val="00790814"/>
    <w:rsid w:val="00790F76"/>
    <w:rsid w:val="007948E0"/>
    <w:rsid w:val="00795762"/>
    <w:rsid w:val="007A08CD"/>
    <w:rsid w:val="007A2AA7"/>
    <w:rsid w:val="007A3362"/>
    <w:rsid w:val="007A3832"/>
    <w:rsid w:val="007A5E3B"/>
    <w:rsid w:val="007B1DCD"/>
    <w:rsid w:val="007B266B"/>
    <w:rsid w:val="007B3CA9"/>
    <w:rsid w:val="007B57CF"/>
    <w:rsid w:val="007B6DBA"/>
    <w:rsid w:val="007C0116"/>
    <w:rsid w:val="007C07AE"/>
    <w:rsid w:val="007C2342"/>
    <w:rsid w:val="007C406F"/>
    <w:rsid w:val="007C5993"/>
    <w:rsid w:val="007C708E"/>
    <w:rsid w:val="007D5B00"/>
    <w:rsid w:val="007D675E"/>
    <w:rsid w:val="007E0702"/>
    <w:rsid w:val="007E23CF"/>
    <w:rsid w:val="007E68C5"/>
    <w:rsid w:val="007E69B1"/>
    <w:rsid w:val="007F0022"/>
    <w:rsid w:val="007F1A6C"/>
    <w:rsid w:val="007F2410"/>
    <w:rsid w:val="007F2826"/>
    <w:rsid w:val="007F49A4"/>
    <w:rsid w:val="00801715"/>
    <w:rsid w:val="008031F6"/>
    <w:rsid w:val="0080368E"/>
    <w:rsid w:val="008041EF"/>
    <w:rsid w:val="00804C12"/>
    <w:rsid w:val="00806DF7"/>
    <w:rsid w:val="0080745D"/>
    <w:rsid w:val="0081611C"/>
    <w:rsid w:val="00816CC5"/>
    <w:rsid w:val="008261CE"/>
    <w:rsid w:val="00832727"/>
    <w:rsid w:val="008366A0"/>
    <w:rsid w:val="008436BF"/>
    <w:rsid w:val="008475F1"/>
    <w:rsid w:val="008515DC"/>
    <w:rsid w:val="00855AD2"/>
    <w:rsid w:val="008625E7"/>
    <w:rsid w:val="008707E9"/>
    <w:rsid w:val="00870D84"/>
    <w:rsid w:val="0087543C"/>
    <w:rsid w:val="00876299"/>
    <w:rsid w:val="0087715F"/>
    <w:rsid w:val="00877DE0"/>
    <w:rsid w:val="008802E8"/>
    <w:rsid w:val="00881391"/>
    <w:rsid w:val="0088145C"/>
    <w:rsid w:val="008847D7"/>
    <w:rsid w:val="00884C8F"/>
    <w:rsid w:val="00886428"/>
    <w:rsid w:val="00890D6D"/>
    <w:rsid w:val="00892D2C"/>
    <w:rsid w:val="008B3A00"/>
    <w:rsid w:val="008C016F"/>
    <w:rsid w:val="008C2BC8"/>
    <w:rsid w:val="008C5F84"/>
    <w:rsid w:val="008C791B"/>
    <w:rsid w:val="008D3CD7"/>
    <w:rsid w:val="008D52D6"/>
    <w:rsid w:val="008D5464"/>
    <w:rsid w:val="008E2476"/>
    <w:rsid w:val="008E5B78"/>
    <w:rsid w:val="008E5E7E"/>
    <w:rsid w:val="008E69A4"/>
    <w:rsid w:val="008F3DBA"/>
    <w:rsid w:val="008F3E71"/>
    <w:rsid w:val="008F53C3"/>
    <w:rsid w:val="008F5999"/>
    <w:rsid w:val="00901EEA"/>
    <w:rsid w:val="0090519E"/>
    <w:rsid w:val="009125D7"/>
    <w:rsid w:val="00915581"/>
    <w:rsid w:val="00923AFC"/>
    <w:rsid w:val="00930001"/>
    <w:rsid w:val="0093686E"/>
    <w:rsid w:val="00941B34"/>
    <w:rsid w:val="00943135"/>
    <w:rsid w:val="00945AD9"/>
    <w:rsid w:val="00950354"/>
    <w:rsid w:val="00954C16"/>
    <w:rsid w:val="00956896"/>
    <w:rsid w:val="00957AE9"/>
    <w:rsid w:val="00961763"/>
    <w:rsid w:val="0096418B"/>
    <w:rsid w:val="0096538B"/>
    <w:rsid w:val="009665F4"/>
    <w:rsid w:val="00966DBC"/>
    <w:rsid w:val="00967A77"/>
    <w:rsid w:val="00967D7B"/>
    <w:rsid w:val="00972AE4"/>
    <w:rsid w:val="0097309A"/>
    <w:rsid w:val="00973F8F"/>
    <w:rsid w:val="009745AA"/>
    <w:rsid w:val="00975E52"/>
    <w:rsid w:val="009819DD"/>
    <w:rsid w:val="009857DF"/>
    <w:rsid w:val="00990FD5"/>
    <w:rsid w:val="009927B9"/>
    <w:rsid w:val="009932FB"/>
    <w:rsid w:val="009A1C62"/>
    <w:rsid w:val="009A2D34"/>
    <w:rsid w:val="009A7B7B"/>
    <w:rsid w:val="009B3A23"/>
    <w:rsid w:val="009C26D7"/>
    <w:rsid w:val="009D1494"/>
    <w:rsid w:val="009D1DBC"/>
    <w:rsid w:val="009D38CA"/>
    <w:rsid w:val="009D46BC"/>
    <w:rsid w:val="009D5023"/>
    <w:rsid w:val="009D51C3"/>
    <w:rsid w:val="009D6E0E"/>
    <w:rsid w:val="009E5BBE"/>
    <w:rsid w:val="009F19C4"/>
    <w:rsid w:val="009F6A5F"/>
    <w:rsid w:val="009F6BDD"/>
    <w:rsid w:val="009F77BF"/>
    <w:rsid w:val="00A04FF9"/>
    <w:rsid w:val="00A10829"/>
    <w:rsid w:val="00A11029"/>
    <w:rsid w:val="00A22DA0"/>
    <w:rsid w:val="00A24299"/>
    <w:rsid w:val="00A25425"/>
    <w:rsid w:val="00A30282"/>
    <w:rsid w:val="00A406D6"/>
    <w:rsid w:val="00A4166D"/>
    <w:rsid w:val="00A4660D"/>
    <w:rsid w:val="00A531D4"/>
    <w:rsid w:val="00A54F79"/>
    <w:rsid w:val="00A550EB"/>
    <w:rsid w:val="00A557F9"/>
    <w:rsid w:val="00A609FA"/>
    <w:rsid w:val="00A60DAF"/>
    <w:rsid w:val="00A62DF4"/>
    <w:rsid w:val="00A65898"/>
    <w:rsid w:val="00A70314"/>
    <w:rsid w:val="00A70F3D"/>
    <w:rsid w:val="00A73803"/>
    <w:rsid w:val="00A763C3"/>
    <w:rsid w:val="00A76C55"/>
    <w:rsid w:val="00A77CDA"/>
    <w:rsid w:val="00A80978"/>
    <w:rsid w:val="00A973D8"/>
    <w:rsid w:val="00A97E6F"/>
    <w:rsid w:val="00AA0670"/>
    <w:rsid w:val="00AA1951"/>
    <w:rsid w:val="00AA6C34"/>
    <w:rsid w:val="00AB2ADE"/>
    <w:rsid w:val="00AB2E67"/>
    <w:rsid w:val="00AB3857"/>
    <w:rsid w:val="00AC011B"/>
    <w:rsid w:val="00AC35BC"/>
    <w:rsid w:val="00AC4C1A"/>
    <w:rsid w:val="00AE4C2F"/>
    <w:rsid w:val="00AF0D7B"/>
    <w:rsid w:val="00AF652C"/>
    <w:rsid w:val="00AF7AE4"/>
    <w:rsid w:val="00B00BC1"/>
    <w:rsid w:val="00B0270C"/>
    <w:rsid w:val="00B046E0"/>
    <w:rsid w:val="00B07277"/>
    <w:rsid w:val="00B124CE"/>
    <w:rsid w:val="00B13BCC"/>
    <w:rsid w:val="00B14F9A"/>
    <w:rsid w:val="00B16CD6"/>
    <w:rsid w:val="00B24C7B"/>
    <w:rsid w:val="00B32922"/>
    <w:rsid w:val="00B33D18"/>
    <w:rsid w:val="00B40FB2"/>
    <w:rsid w:val="00B44D79"/>
    <w:rsid w:val="00B50B0D"/>
    <w:rsid w:val="00B52AD1"/>
    <w:rsid w:val="00B52B6B"/>
    <w:rsid w:val="00B56597"/>
    <w:rsid w:val="00B60CE2"/>
    <w:rsid w:val="00B62178"/>
    <w:rsid w:val="00B63B94"/>
    <w:rsid w:val="00B67825"/>
    <w:rsid w:val="00B70C85"/>
    <w:rsid w:val="00B714F5"/>
    <w:rsid w:val="00B71F13"/>
    <w:rsid w:val="00B74B95"/>
    <w:rsid w:val="00B81541"/>
    <w:rsid w:val="00B85E7C"/>
    <w:rsid w:val="00B86BF8"/>
    <w:rsid w:val="00BA07D5"/>
    <w:rsid w:val="00BA0FFE"/>
    <w:rsid w:val="00BB08FC"/>
    <w:rsid w:val="00BC25EE"/>
    <w:rsid w:val="00BC309B"/>
    <w:rsid w:val="00BC4879"/>
    <w:rsid w:val="00BC581A"/>
    <w:rsid w:val="00BD0772"/>
    <w:rsid w:val="00BD4D6D"/>
    <w:rsid w:val="00BD7032"/>
    <w:rsid w:val="00BE15E7"/>
    <w:rsid w:val="00BE4092"/>
    <w:rsid w:val="00BF07C3"/>
    <w:rsid w:val="00BF52D7"/>
    <w:rsid w:val="00BF6CA7"/>
    <w:rsid w:val="00BF6F23"/>
    <w:rsid w:val="00C01AF6"/>
    <w:rsid w:val="00C04A02"/>
    <w:rsid w:val="00C04C28"/>
    <w:rsid w:val="00C06475"/>
    <w:rsid w:val="00C13AE5"/>
    <w:rsid w:val="00C13F1E"/>
    <w:rsid w:val="00C178A7"/>
    <w:rsid w:val="00C22518"/>
    <w:rsid w:val="00C2291D"/>
    <w:rsid w:val="00C2305B"/>
    <w:rsid w:val="00C26E8C"/>
    <w:rsid w:val="00C34082"/>
    <w:rsid w:val="00C40729"/>
    <w:rsid w:val="00C4201E"/>
    <w:rsid w:val="00C43003"/>
    <w:rsid w:val="00C521FC"/>
    <w:rsid w:val="00C5245A"/>
    <w:rsid w:val="00C538D1"/>
    <w:rsid w:val="00C53E08"/>
    <w:rsid w:val="00C56E91"/>
    <w:rsid w:val="00C6323C"/>
    <w:rsid w:val="00C72598"/>
    <w:rsid w:val="00C733BE"/>
    <w:rsid w:val="00C7698D"/>
    <w:rsid w:val="00C80EC1"/>
    <w:rsid w:val="00C83A07"/>
    <w:rsid w:val="00C85332"/>
    <w:rsid w:val="00C946F9"/>
    <w:rsid w:val="00C954B8"/>
    <w:rsid w:val="00C976D1"/>
    <w:rsid w:val="00CB059A"/>
    <w:rsid w:val="00CC2417"/>
    <w:rsid w:val="00CC5069"/>
    <w:rsid w:val="00CD2ACC"/>
    <w:rsid w:val="00CD4B61"/>
    <w:rsid w:val="00CE6919"/>
    <w:rsid w:val="00CF06AA"/>
    <w:rsid w:val="00CF1AD8"/>
    <w:rsid w:val="00CF5C80"/>
    <w:rsid w:val="00D00F17"/>
    <w:rsid w:val="00D02206"/>
    <w:rsid w:val="00D04D7B"/>
    <w:rsid w:val="00D06D99"/>
    <w:rsid w:val="00D10B8C"/>
    <w:rsid w:val="00D1123F"/>
    <w:rsid w:val="00D12992"/>
    <w:rsid w:val="00D170BC"/>
    <w:rsid w:val="00D17F02"/>
    <w:rsid w:val="00D21F88"/>
    <w:rsid w:val="00D244BA"/>
    <w:rsid w:val="00D31C88"/>
    <w:rsid w:val="00D32D08"/>
    <w:rsid w:val="00D362F1"/>
    <w:rsid w:val="00D36723"/>
    <w:rsid w:val="00D377AF"/>
    <w:rsid w:val="00D4280B"/>
    <w:rsid w:val="00D43A9A"/>
    <w:rsid w:val="00D45E76"/>
    <w:rsid w:val="00D50D10"/>
    <w:rsid w:val="00D536B3"/>
    <w:rsid w:val="00D65361"/>
    <w:rsid w:val="00D65B2F"/>
    <w:rsid w:val="00D66F0B"/>
    <w:rsid w:val="00D66F8B"/>
    <w:rsid w:val="00D7743B"/>
    <w:rsid w:val="00D801D5"/>
    <w:rsid w:val="00D80476"/>
    <w:rsid w:val="00D81C93"/>
    <w:rsid w:val="00D82ABF"/>
    <w:rsid w:val="00D84B5B"/>
    <w:rsid w:val="00D86A60"/>
    <w:rsid w:val="00D92255"/>
    <w:rsid w:val="00D947BC"/>
    <w:rsid w:val="00DA161B"/>
    <w:rsid w:val="00DA2D5B"/>
    <w:rsid w:val="00DA5465"/>
    <w:rsid w:val="00DB4AE3"/>
    <w:rsid w:val="00DB6F26"/>
    <w:rsid w:val="00DC287A"/>
    <w:rsid w:val="00DD5715"/>
    <w:rsid w:val="00DD720E"/>
    <w:rsid w:val="00DE44B0"/>
    <w:rsid w:val="00DE537B"/>
    <w:rsid w:val="00DF2A11"/>
    <w:rsid w:val="00DF50E6"/>
    <w:rsid w:val="00DF7BE2"/>
    <w:rsid w:val="00E01DD3"/>
    <w:rsid w:val="00E02423"/>
    <w:rsid w:val="00E03388"/>
    <w:rsid w:val="00E05C2B"/>
    <w:rsid w:val="00E11F54"/>
    <w:rsid w:val="00E15BAA"/>
    <w:rsid w:val="00E16368"/>
    <w:rsid w:val="00E2723D"/>
    <w:rsid w:val="00E36847"/>
    <w:rsid w:val="00E375BD"/>
    <w:rsid w:val="00E408A9"/>
    <w:rsid w:val="00E44026"/>
    <w:rsid w:val="00E4421C"/>
    <w:rsid w:val="00E5282E"/>
    <w:rsid w:val="00E57E4B"/>
    <w:rsid w:val="00E57F95"/>
    <w:rsid w:val="00E61ABA"/>
    <w:rsid w:val="00E645EC"/>
    <w:rsid w:val="00E65B14"/>
    <w:rsid w:val="00E66DC9"/>
    <w:rsid w:val="00E675B3"/>
    <w:rsid w:val="00E70E14"/>
    <w:rsid w:val="00E71D58"/>
    <w:rsid w:val="00E73EE5"/>
    <w:rsid w:val="00E75F04"/>
    <w:rsid w:val="00E82037"/>
    <w:rsid w:val="00E848C8"/>
    <w:rsid w:val="00E86DE8"/>
    <w:rsid w:val="00E91A32"/>
    <w:rsid w:val="00EA02FC"/>
    <w:rsid w:val="00EA1C5A"/>
    <w:rsid w:val="00EA4273"/>
    <w:rsid w:val="00EA5DA8"/>
    <w:rsid w:val="00EB5A5E"/>
    <w:rsid w:val="00EC1FC5"/>
    <w:rsid w:val="00EC2F77"/>
    <w:rsid w:val="00EC5862"/>
    <w:rsid w:val="00EC7076"/>
    <w:rsid w:val="00EC7BD1"/>
    <w:rsid w:val="00ED2B1E"/>
    <w:rsid w:val="00ED392C"/>
    <w:rsid w:val="00ED5C41"/>
    <w:rsid w:val="00ED7199"/>
    <w:rsid w:val="00EE066D"/>
    <w:rsid w:val="00EE5300"/>
    <w:rsid w:val="00EF2D8D"/>
    <w:rsid w:val="00EF509C"/>
    <w:rsid w:val="00EF66BB"/>
    <w:rsid w:val="00EF6EB6"/>
    <w:rsid w:val="00F03744"/>
    <w:rsid w:val="00F0409C"/>
    <w:rsid w:val="00F078A9"/>
    <w:rsid w:val="00F17763"/>
    <w:rsid w:val="00F20DD0"/>
    <w:rsid w:val="00F34081"/>
    <w:rsid w:val="00F427B0"/>
    <w:rsid w:val="00F43FD0"/>
    <w:rsid w:val="00F50219"/>
    <w:rsid w:val="00F511B2"/>
    <w:rsid w:val="00F51559"/>
    <w:rsid w:val="00F62E1C"/>
    <w:rsid w:val="00F66E6A"/>
    <w:rsid w:val="00F6784E"/>
    <w:rsid w:val="00F6787F"/>
    <w:rsid w:val="00F71D6E"/>
    <w:rsid w:val="00F73926"/>
    <w:rsid w:val="00F83264"/>
    <w:rsid w:val="00F849DD"/>
    <w:rsid w:val="00F84C98"/>
    <w:rsid w:val="00F852B6"/>
    <w:rsid w:val="00F90726"/>
    <w:rsid w:val="00F962EB"/>
    <w:rsid w:val="00FA0016"/>
    <w:rsid w:val="00FA0544"/>
    <w:rsid w:val="00FA0EC8"/>
    <w:rsid w:val="00FB020D"/>
    <w:rsid w:val="00FB1AAD"/>
    <w:rsid w:val="00FB3A81"/>
    <w:rsid w:val="00FC0FA0"/>
    <w:rsid w:val="00FC174E"/>
    <w:rsid w:val="00FC372D"/>
    <w:rsid w:val="00FD22B5"/>
    <w:rsid w:val="00FD2A11"/>
    <w:rsid w:val="00FD2F5B"/>
    <w:rsid w:val="00FE097E"/>
    <w:rsid w:val="00FE73D9"/>
    <w:rsid w:val="00FF1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670"/>
    <w:pPr>
      <w:spacing w:line="290" w:lineRule="auto"/>
    </w:pPr>
    <w:rPr>
      <w:rFonts w:ascii="Arial" w:eastAsia="Times New Roman" w:hAnsi="Arial" w:cs="Arial"/>
      <w:color w:val="000000"/>
      <w:sz w:val="24"/>
      <w:szCs w:val="24"/>
      <w:lang w:val="sr-Latn-CS"/>
    </w:rPr>
  </w:style>
  <w:style w:type="paragraph" w:styleId="Heading1">
    <w:name w:val="heading 1"/>
    <w:basedOn w:val="NoSpacing"/>
    <w:next w:val="Normal"/>
    <w:link w:val="Heading1Char"/>
    <w:qFormat/>
    <w:rsid w:val="009A1C62"/>
    <w:pPr>
      <w:keepNext/>
      <w:keepLines/>
      <w:pageBreakBefore/>
      <w:numPr>
        <w:numId w:val="4"/>
      </w:numPr>
      <w:spacing w:before="320" w:after="240"/>
      <w:outlineLvl w:val="0"/>
    </w:pPr>
    <w:rPr>
      <w:rFonts w:ascii="Calibri Light" w:eastAsia="Times New Roman" w:hAnsi="Calibri Light"/>
      <w:smallCaps/>
      <w:noProof/>
      <w:color w:val="FF0000"/>
      <w:sz w:val="48"/>
      <w:szCs w:val="64"/>
    </w:rPr>
  </w:style>
  <w:style w:type="paragraph" w:styleId="Heading2">
    <w:name w:val="heading 2"/>
    <w:basedOn w:val="Normal"/>
    <w:next w:val="Normal"/>
    <w:link w:val="Heading2Char"/>
    <w:autoRedefine/>
    <w:unhideWhenUsed/>
    <w:qFormat/>
    <w:rsid w:val="002D1802"/>
    <w:pPr>
      <w:keepNext/>
      <w:keepLines/>
      <w:spacing w:line="276" w:lineRule="auto"/>
      <w:ind w:left="360" w:hanging="360"/>
      <w:outlineLvl w:val="1"/>
    </w:pPr>
    <w:rPr>
      <w:rFonts w:asciiTheme="minorHAnsi" w:hAnsiTheme="minorHAnsi" w:cstheme="minorHAnsi"/>
      <w:b/>
      <w:noProof/>
      <w:color w:val="auto"/>
      <w:sz w:val="28"/>
      <w:szCs w:val="28"/>
    </w:rPr>
  </w:style>
  <w:style w:type="paragraph" w:styleId="Heading3">
    <w:name w:val="heading 3"/>
    <w:basedOn w:val="Normal"/>
    <w:next w:val="Normal"/>
    <w:link w:val="Heading3Char"/>
    <w:autoRedefine/>
    <w:unhideWhenUsed/>
    <w:qFormat/>
    <w:rsid w:val="00526D32"/>
    <w:pPr>
      <w:keepNext/>
      <w:keepLines/>
      <w:tabs>
        <w:tab w:val="left" w:pos="1276"/>
        <w:tab w:val="left" w:pos="1560"/>
      </w:tabs>
      <w:spacing w:line="276" w:lineRule="auto"/>
      <w:ind w:left="1440" w:hanging="720"/>
      <w:outlineLvl w:val="2"/>
    </w:pPr>
    <w:rPr>
      <w:rFonts w:asciiTheme="minorHAnsi" w:hAnsiTheme="minorHAnsi" w:cstheme="minorHAnsi"/>
      <w:b/>
      <w:noProof/>
      <w:color w:val="auto"/>
    </w:rPr>
  </w:style>
  <w:style w:type="paragraph" w:styleId="Heading4">
    <w:name w:val="heading 4"/>
    <w:basedOn w:val="Normal"/>
    <w:next w:val="Normal"/>
    <w:link w:val="Heading4Char"/>
    <w:autoRedefine/>
    <w:unhideWhenUsed/>
    <w:qFormat/>
    <w:rsid w:val="00A557F9"/>
    <w:pPr>
      <w:keepNext/>
      <w:keepLines/>
      <w:spacing w:before="120" w:after="120" w:line="240" w:lineRule="auto"/>
      <w:ind w:left="1584" w:firstLine="576"/>
      <w:outlineLvl w:val="3"/>
    </w:pPr>
    <w:rPr>
      <w:rFonts w:ascii="Calibri" w:hAnsi="Calibri" w:cs="Times New Roman"/>
      <w:b/>
      <w:iCs/>
      <w:noProof/>
      <w:color w:val="FF5050"/>
      <w:sz w:val="22"/>
      <w:szCs w:val="22"/>
    </w:rPr>
  </w:style>
  <w:style w:type="paragraph" w:styleId="Heading5">
    <w:name w:val="heading 5"/>
    <w:basedOn w:val="Normal"/>
    <w:next w:val="Normal"/>
    <w:link w:val="Heading5Char"/>
    <w:unhideWhenUsed/>
    <w:qFormat/>
    <w:rsid w:val="009A1C62"/>
    <w:pPr>
      <w:keepNext/>
      <w:keepLines/>
      <w:numPr>
        <w:ilvl w:val="4"/>
        <w:numId w:val="4"/>
      </w:numPr>
      <w:spacing w:before="40" w:after="200" w:line="240" w:lineRule="auto"/>
      <w:outlineLvl w:val="4"/>
    </w:pPr>
    <w:rPr>
      <w:rFonts w:ascii="Calibri Light" w:hAnsi="Calibri Light" w:cs="Times New Roman"/>
      <w:i/>
      <w:color w:val="FF5050"/>
      <w:sz w:val="20"/>
      <w:szCs w:val="20"/>
    </w:rPr>
  </w:style>
  <w:style w:type="paragraph" w:styleId="Heading6">
    <w:name w:val="heading 6"/>
    <w:basedOn w:val="Normal"/>
    <w:next w:val="Normal"/>
    <w:link w:val="Heading6Char"/>
    <w:unhideWhenUsed/>
    <w:qFormat/>
    <w:rsid w:val="009A1C62"/>
    <w:pPr>
      <w:keepNext/>
      <w:keepLines/>
      <w:numPr>
        <w:ilvl w:val="5"/>
        <w:numId w:val="4"/>
      </w:numPr>
      <w:spacing w:before="40" w:line="240" w:lineRule="auto"/>
      <w:outlineLvl w:val="5"/>
    </w:pPr>
    <w:rPr>
      <w:rFonts w:ascii="Calibri Light" w:hAnsi="Calibri Light" w:cs="Times New Roman"/>
      <w:color w:val="1F4D78"/>
      <w:sz w:val="20"/>
      <w:szCs w:val="20"/>
    </w:rPr>
  </w:style>
  <w:style w:type="paragraph" w:styleId="Heading7">
    <w:name w:val="heading 7"/>
    <w:basedOn w:val="Normal"/>
    <w:next w:val="Normal"/>
    <w:link w:val="Heading7Char"/>
    <w:autoRedefine/>
    <w:unhideWhenUsed/>
    <w:qFormat/>
    <w:rsid w:val="009A1C62"/>
    <w:pPr>
      <w:keepNext/>
      <w:keepLines/>
      <w:numPr>
        <w:ilvl w:val="6"/>
        <w:numId w:val="4"/>
      </w:numPr>
      <w:spacing w:after="240" w:line="240" w:lineRule="auto"/>
      <w:outlineLvl w:val="6"/>
    </w:pPr>
    <w:rPr>
      <w:rFonts w:ascii="Calibri Light" w:hAnsi="Calibri Light" w:cs="Times New Roman"/>
      <w:iCs/>
      <w:smallCaps/>
      <w:color w:val="00B0F0"/>
      <w:sz w:val="48"/>
      <w:szCs w:val="20"/>
    </w:rPr>
  </w:style>
  <w:style w:type="paragraph" w:styleId="Heading8">
    <w:name w:val="heading 8"/>
    <w:basedOn w:val="Normal"/>
    <w:next w:val="Normal"/>
    <w:link w:val="Heading8Char"/>
    <w:unhideWhenUsed/>
    <w:qFormat/>
    <w:rsid w:val="009A1C62"/>
    <w:pPr>
      <w:keepNext/>
      <w:keepLines/>
      <w:numPr>
        <w:ilvl w:val="7"/>
        <w:numId w:val="4"/>
      </w:numPr>
      <w:spacing w:before="40" w:line="240" w:lineRule="auto"/>
      <w:outlineLvl w:val="7"/>
    </w:pPr>
    <w:rPr>
      <w:rFonts w:ascii="Calibri Light" w:hAnsi="Calibri Light" w:cs="Times New Roman"/>
      <w:color w:val="272727"/>
      <w:sz w:val="21"/>
      <w:szCs w:val="21"/>
    </w:rPr>
  </w:style>
  <w:style w:type="paragraph" w:styleId="Heading9">
    <w:name w:val="heading 9"/>
    <w:basedOn w:val="Normal"/>
    <w:next w:val="Normal"/>
    <w:link w:val="Heading9Char"/>
    <w:unhideWhenUsed/>
    <w:qFormat/>
    <w:rsid w:val="009A1C62"/>
    <w:pPr>
      <w:keepNext/>
      <w:keepLines/>
      <w:numPr>
        <w:ilvl w:val="8"/>
        <w:numId w:val="4"/>
      </w:numPr>
      <w:spacing w:before="40" w:line="240" w:lineRule="auto"/>
      <w:outlineLvl w:val="8"/>
    </w:pPr>
    <w:rPr>
      <w:rFonts w:ascii="Calibri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E4670"/>
    <w:pPr>
      <w:jc w:val="left"/>
    </w:pPr>
    <w:rPr>
      <w:rFonts w:ascii="Calibri" w:eastAsia="Calibri" w:hAnsi="Calibri" w:cs="Times New Roman"/>
    </w:rPr>
  </w:style>
  <w:style w:type="character" w:customStyle="1" w:styleId="NoSpacingChar">
    <w:name w:val="No Spacing Char"/>
    <w:basedOn w:val="DefaultParagraphFont"/>
    <w:link w:val="NoSpacing"/>
    <w:uiPriority w:val="1"/>
    <w:rsid w:val="004E4670"/>
    <w:rPr>
      <w:rFonts w:ascii="Calibri" w:eastAsia="Calibri" w:hAnsi="Calibri" w:cs="Times New Roman"/>
    </w:rPr>
  </w:style>
  <w:style w:type="character" w:customStyle="1" w:styleId="Heading1Char">
    <w:name w:val="Heading 1 Char"/>
    <w:basedOn w:val="DefaultParagraphFont"/>
    <w:link w:val="Heading1"/>
    <w:rsid w:val="009A1C62"/>
    <w:rPr>
      <w:rFonts w:ascii="Calibri Light" w:eastAsia="Times New Roman" w:hAnsi="Calibri Light" w:cs="Times New Roman"/>
      <w:smallCaps/>
      <w:noProof/>
      <w:color w:val="FF0000"/>
      <w:sz w:val="48"/>
      <w:szCs w:val="64"/>
    </w:rPr>
  </w:style>
  <w:style w:type="character" w:customStyle="1" w:styleId="Heading2Char">
    <w:name w:val="Heading 2 Char"/>
    <w:basedOn w:val="DefaultParagraphFont"/>
    <w:link w:val="Heading2"/>
    <w:rsid w:val="002D1802"/>
    <w:rPr>
      <w:rFonts w:eastAsia="Times New Roman" w:cstheme="minorHAnsi"/>
      <w:b/>
      <w:noProof/>
      <w:sz w:val="28"/>
      <w:szCs w:val="28"/>
      <w:lang w:val="sr-Latn-CS"/>
    </w:rPr>
  </w:style>
  <w:style w:type="character" w:customStyle="1" w:styleId="Heading3Char">
    <w:name w:val="Heading 3 Char"/>
    <w:basedOn w:val="DefaultParagraphFont"/>
    <w:link w:val="Heading3"/>
    <w:rsid w:val="00526D32"/>
    <w:rPr>
      <w:rFonts w:eastAsia="Times New Roman" w:cstheme="minorHAnsi"/>
      <w:b/>
      <w:noProof/>
      <w:sz w:val="24"/>
      <w:szCs w:val="24"/>
      <w:lang w:val="sr-Latn-CS"/>
    </w:rPr>
  </w:style>
  <w:style w:type="character" w:customStyle="1" w:styleId="Heading4Char">
    <w:name w:val="Heading 4 Char"/>
    <w:basedOn w:val="DefaultParagraphFont"/>
    <w:link w:val="Heading4"/>
    <w:rsid w:val="00A557F9"/>
    <w:rPr>
      <w:rFonts w:ascii="Calibri" w:eastAsia="Times New Roman" w:hAnsi="Calibri" w:cs="Times New Roman"/>
      <w:b/>
      <w:iCs/>
      <w:noProof/>
      <w:color w:val="FF5050"/>
      <w:lang w:val="sr-Latn-CS"/>
    </w:rPr>
  </w:style>
  <w:style w:type="character" w:customStyle="1" w:styleId="Heading5Char">
    <w:name w:val="Heading 5 Char"/>
    <w:basedOn w:val="DefaultParagraphFont"/>
    <w:link w:val="Heading5"/>
    <w:rsid w:val="009A1C62"/>
    <w:rPr>
      <w:rFonts w:ascii="Calibri Light" w:eastAsia="Times New Roman" w:hAnsi="Calibri Light" w:cs="Times New Roman"/>
      <w:i/>
      <w:color w:val="FF5050"/>
      <w:sz w:val="20"/>
      <w:szCs w:val="20"/>
      <w:lang w:val="sr-Latn-CS"/>
    </w:rPr>
  </w:style>
  <w:style w:type="character" w:customStyle="1" w:styleId="Heading6Char">
    <w:name w:val="Heading 6 Char"/>
    <w:basedOn w:val="DefaultParagraphFont"/>
    <w:link w:val="Heading6"/>
    <w:rsid w:val="009A1C62"/>
    <w:rPr>
      <w:rFonts w:ascii="Calibri Light" w:eastAsia="Times New Roman" w:hAnsi="Calibri Light" w:cs="Times New Roman"/>
      <w:color w:val="1F4D78"/>
      <w:sz w:val="20"/>
      <w:szCs w:val="20"/>
      <w:lang w:val="sr-Latn-CS"/>
    </w:rPr>
  </w:style>
  <w:style w:type="character" w:customStyle="1" w:styleId="Heading7Char">
    <w:name w:val="Heading 7 Char"/>
    <w:basedOn w:val="DefaultParagraphFont"/>
    <w:link w:val="Heading7"/>
    <w:rsid w:val="009A1C62"/>
    <w:rPr>
      <w:rFonts w:ascii="Calibri Light" w:eastAsia="Times New Roman" w:hAnsi="Calibri Light" w:cs="Times New Roman"/>
      <w:iCs/>
      <w:smallCaps/>
      <w:color w:val="00B0F0"/>
      <w:sz w:val="48"/>
      <w:szCs w:val="20"/>
      <w:lang w:val="sr-Latn-CS"/>
    </w:rPr>
  </w:style>
  <w:style w:type="character" w:customStyle="1" w:styleId="Heading8Char">
    <w:name w:val="Heading 8 Char"/>
    <w:basedOn w:val="DefaultParagraphFont"/>
    <w:link w:val="Heading8"/>
    <w:rsid w:val="009A1C62"/>
    <w:rPr>
      <w:rFonts w:ascii="Calibri Light" w:eastAsia="Times New Roman" w:hAnsi="Calibri Light" w:cs="Times New Roman"/>
      <w:color w:val="272727"/>
      <w:sz w:val="21"/>
      <w:szCs w:val="21"/>
      <w:lang w:val="sr-Latn-CS"/>
    </w:rPr>
  </w:style>
  <w:style w:type="character" w:customStyle="1" w:styleId="Heading9Char">
    <w:name w:val="Heading 9 Char"/>
    <w:basedOn w:val="DefaultParagraphFont"/>
    <w:link w:val="Heading9"/>
    <w:rsid w:val="009A1C62"/>
    <w:rPr>
      <w:rFonts w:ascii="Calibri Light" w:eastAsia="Times New Roman" w:hAnsi="Calibri Light" w:cs="Times New Roman"/>
      <w:i/>
      <w:iCs/>
      <w:color w:val="272727"/>
      <w:sz w:val="21"/>
      <w:szCs w:val="21"/>
      <w:lang w:val="sr-Latn-CS"/>
    </w:rPr>
  </w:style>
  <w:style w:type="paragraph" w:styleId="ListParagraph">
    <w:name w:val="List Paragraph"/>
    <w:aliases w:val="Table of contents numbered,Bullets,List Paragraph (numbered (a)),Akapit z listą BS,WB Para,List Square,Lapis Bulleted List"/>
    <w:basedOn w:val="Normal"/>
    <w:link w:val="ListParagraphChar"/>
    <w:uiPriority w:val="34"/>
    <w:qFormat/>
    <w:rsid w:val="004E4670"/>
    <w:pPr>
      <w:ind w:left="720"/>
      <w:contextualSpacing/>
    </w:pPr>
  </w:style>
  <w:style w:type="character" w:customStyle="1" w:styleId="ListParagraphChar">
    <w:name w:val="List Paragraph Char"/>
    <w:aliases w:val="Table of contents numbered Char,Bullets Char,List Paragraph (numbered (a)) Char,Akapit z listą BS Char,WB Para Char,List Square Char,Lapis Bulleted List Char"/>
    <w:link w:val="ListParagraph"/>
    <w:uiPriority w:val="34"/>
    <w:locked/>
    <w:rsid w:val="004E4670"/>
    <w:rPr>
      <w:rFonts w:ascii="Arial" w:eastAsia="Times New Roman" w:hAnsi="Arial" w:cs="Arial"/>
      <w:color w:val="000000"/>
      <w:sz w:val="24"/>
      <w:szCs w:val="24"/>
      <w:lang w:val="sr-Latn-CS"/>
    </w:rPr>
  </w:style>
  <w:style w:type="paragraph" w:customStyle="1" w:styleId="Default">
    <w:name w:val="Default"/>
    <w:rsid w:val="004E4670"/>
    <w:pPr>
      <w:autoSpaceDE w:val="0"/>
      <w:autoSpaceDN w:val="0"/>
      <w:adjustRightInd w:val="0"/>
      <w:jc w:val="left"/>
    </w:pPr>
    <w:rPr>
      <w:rFonts w:ascii="Cambria" w:hAnsi="Cambria" w:cs="Cambria"/>
      <w:color w:val="000000"/>
      <w:sz w:val="24"/>
      <w:szCs w:val="24"/>
    </w:rPr>
  </w:style>
  <w:style w:type="paragraph" w:styleId="Title">
    <w:name w:val="Title"/>
    <w:basedOn w:val="Normal"/>
    <w:next w:val="Normal"/>
    <w:link w:val="TitleChar"/>
    <w:uiPriority w:val="10"/>
    <w:qFormat/>
    <w:rsid w:val="004E4670"/>
    <w:pPr>
      <w:pBdr>
        <w:bottom w:val="single" w:sz="8" w:space="4" w:color="4F81BD" w:themeColor="accent1"/>
      </w:pBdr>
      <w:spacing w:after="300" w:line="240" w:lineRule="auto"/>
      <w:contextualSpacing/>
      <w:jc w:val="left"/>
    </w:pPr>
    <w:rPr>
      <w:rFonts w:asciiTheme="majorHAnsi" w:eastAsiaTheme="majorEastAsia" w:hAnsiTheme="majorHAnsi" w:cstheme="majorBidi"/>
      <w:color w:val="7E0000"/>
      <w:spacing w:val="5"/>
      <w:kern w:val="28"/>
      <w:sz w:val="36"/>
      <w:szCs w:val="44"/>
      <w:lang w:val="en-US"/>
    </w:rPr>
  </w:style>
  <w:style w:type="character" w:customStyle="1" w:styleId="TitleChar">
    <w:name w:val="Title Char"/>
    <w:basedOn w:val="DefaultParagraphFont"/>
    <w:link w:val="Title"/>
    <w:uiPriority w:val="10"/>
    <w:rsid w:val="004E4670"/>
    <w:rPr>
      <w:rFonts w:asciiTheme="majorHAnsi" w:eastAsiaTheme="majorEastAsia" w:hAnsiTheme="majorHAnsi" w:cstheme="majorBidi"/>
      <w:color w:val="7E0000"/>
      <w:spacing w:val="5"/>
      <w:kern w:val="28"/>
      <w:sz w:val="36"/>
      <w:szCs w:val="44"/>
    </w:rPr>
  </w:style>
  <w:style w:type="paragraph" w:styleId="FootnoteText">
    <w:name w:val="footnote text"/>
    <w:aliases w:val="single space,footnote text,Footnote Text Char Char,Footnote Text Char Char Char,FOOTNOTES,fn,Fußnotentextf,ALTS FOOTNOTE,Footnote,Footnote Text qer,Fußnotentext Char,Footnote Text Char2 Char,Fußnote"/>
    <w:basedOn w:val="Normal"/>
    <w:link w:val="FootnoteTextChar"/>
    <w:uiPriority w:val="99"/>
    <w:unhideWhenUsed/>
    <w:qFormat/>
    <w:rsid w:val="004E4670"/>
    <w:pP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aliases w:val="single space Char,footnote text Char,Footnote Text Char Char Char1,Footnote Text Char Char Char Char,FOOTNOTES Char,fn Char,Fußnotentextf Char,ALTS FOOTNOTE Char,Footnote Char,Footnote Text qer Char,Fußnotentext Char Char,Fußnote Char"/>
    <w:basedOn w:val="DefaultParagraphFont"/>
    <w:link w:val="FootnoteText"/>
    <w:uiPriority w:val="99"/>
    <w:rsid w:val="004E4670"/>
    <w:rPr>
      <w:sz w:val="20"/>
      <w:szCs w:val="20"/>
    </w:rPr>
  </w:style>
  <w:style w:type="character" w:styleId="FootnoteReference">
    <w:name w:val="footnote reference"/>
    <w:aliases w:val="BVI fnr,Footnote symbol,16 Point,Superscript 6 Point,nota pié di pagina,ftref,Footnote text,Ref. de nota al pie1,Times 10 Point,Exposant 3 Point,Footnote reference number,EN Footnote Reference,note TESI,Footnotes re"/>
    <w:basedOn w:val="DefaultParagraphFont"/>
    <w:link w:val="BVIfnrChar1Char"/>
    <w:uiPriority w:val="99"/>
    <w:unhideWhenUsed/>
    <w:qFormat/>
    <w:rsid w:val="004E4670"/>
    <w:rPr>
      <w:vertAlign w:val="superscript"/>
    </w:rPr>
  </w:style>
  <w:style w:type="paragraph" w:customStyle="1" w:styleId="Tekst-">
    <w:name w:val="_Tekst-"/>
    <w:basedOn w:val="Normal"/>
    <w:qFormat/>
    <w:rsid w:val="004E4670"/>
    <w:pPr>
      <w:spacing w:before="100" w:after="100" w:line="230" w:lineRule="auto"/>
    </w:pPr>
    <w:rPr>
      <w:rFonts w:ascii="Calibri Light" w:eastAsia="Calibri" w:hAnsi="Calibri Light" w:cs="Times New Roman"/>
      <w:sz w:val="22"/>
      <w:szCs w:val="22"/>
    </w:rPr>
  </w:style>
  <w:style w:type="character" w:styleId="CommentReference">
    <w:name w:val="annotation reference"/>
    <w:basedOn w:val="DefaultParagraphFont"/>
    <w:uiPriority w:val="99"/>
    <w:semiHidden/>
    <w:unhideWhenUsed/>
    <w:rsid w:val="00957AE9"/>
    <w:rPr>
      <w:sz w:val="16"/>
      <w:szCs w:val="16"/>
    </w:rPr>
  </w:style>
  <w:style w:type="paragraph" w:styleId="CommentText">
    <w:name w:val="annotation text"/>
    <w:basedOn w:val="Normal"/>
    <w:link w:val="CommentTextChar"/>
    <w:uiPriority w:val="99"/>
    <w:semiHidden/>
    <w:unhideWhenUsed/>
    <w:rsid w:val="00957AE9"/>
    <w:pPr>
      <w:spacing w:line="240" w:lineRule="auto"/>
    </w:pPr>
    <w:rPr>
      <w:sz w:val="20"/>
      <w:szCs w:val="20"/>
    </w:rPr>
  </w:style>
  <w:style w:type="character" w:customStyle="1" w:styleId="CommentTextChar">
    <w:name w:val="Comment Text Char"/>
    <w:basedOn w:val="DefaultParagraphFont"/>
    <w:link w:val="CommentText"/>
    <w:uiPriority w:val="99"/>
    <w:semiHidden/>
    <w:rsid w:val="00957AE9"/>
    <w:rPr>
      <w:rFonts w:ascii="Arial" w:eastAsia="Times New Roman" w:hAnsi="Arial" w:cs="Arial"/>
      <w:color w:val="000000"/>
      <w:sz w:val="20"/>
      <w:szCs w:val="20"/>
      <w:lang w:val="sr-Latn-CS"/>
    </w:rPr>
  </w:style>
  <w:style w:type="paragraph" w:styleId="CommentSubject">
    <w:name w:val="annotation subject"/>
    <w:basedOn w:val="CommentText"/>
    <w:next w:val="CommentText"/>
    <w:link w:val="CommentSubjectChar"/>
    <w:uiPriority w:val="99"/>
    <w:semiHidden/>
    <w:unhideWhenUsed/>
    <w:rsid w:val="00957AE9"/>
    <w:rPr>
      <w:b/>
      <w:bCs/>
    </w:rPr>
  </w:style>
  <w:style w:type="character" w:customStyle="1" w:styleId="CommentSubjectChar">
    <w:name w:val="Comment Subject Char"/>
    <w:basedOn w:val="CommentTextChar"/>
    <w:link w:val="CommentSubject"/>
    <w:uiPriority w:val="99"/>
    <w:semiHidden/>
    <w:rsid w:val="00957AE9"/>
    <w:rPr>
      <w:rFonts w:ascii="Arial" w:eastAsia="Times New Roman" w:hAnsi="Arial" w:cs="Arial"/>
      <w:b/>
      <w:bCs/>
      <w:color w:val="000000"/>
      <w:sz w:val="20"/>
      <w:szCs w:val="20"/>
      <w:lang w:val="sr-Latn-CS"/>
    </w:rPr>
  </w:style>
  <w:style w:type="paragraph" w:styleId="BalloonText">
    <w:name w:val="Balloon Text"/>
    <w:basedOn w:val="Normal"/>
    <w:link w:val="BalloonTextChar"/>
    <w:uiPriority w:val="99"/>
    <w:semiHidden/>
    <w:unhideWhenUsed/>
    <w:rsid w:val="00957A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AE9"/>
    <w:rPr>
      <w:rFonts w:ascii="Tahoma" w:eastAsia="Times New Roman" w:hAnsi="Tahoma" w:cs="Tahoma"/>
      <w:color w:val="000000"/>
      <w:sz w:val="16"/>
      <w:szCs w:val="16"/>
      <w:lang w:val="sr-Latn-CS"/>
    </w:rPr>
  </w:style>
  <w:style w:type="paragraph" w:customStyle="1" w:styleId="Tekst">
    <w:name w:val="_Tekst"/>
    <w:basedOn w:val="Normal"/>
    <w:link w:val="TekstChar"/>
    <w:qFormat/>
    <w:rsid w:val="009A1C62"/>
    <w:pPr>
      <w:spacing w:before="120" w:after="120" w:line="240" w:lineRule="auto"/>
    </w:pPr>
    <w:rPr>
      <w:rFonts w:ascii="Calibri Light" w:eastAsia="Calibri" w:hAnsi="Calibri Light" w:cs="Times New Roman"/>
      <w:sz w:val="22"/>
      <w:szCs w:val="22"/>
    </w:rPr>
  </w:style>
  <w:style w:type="character" w:customStyle="1" w:styleId="TekstChar">
    <w:name w:val="_Tekst Char"/>
    <w:link w:val="Tekst"/>
    <w:rsid w:val="009A1C62"/>
    <w:rPr>
      <w:rFonts w:ascii="Calibri Light" w:eastAsia="Calibri" w:hAnsi="Calibri Light" w:cs="Times New Roman"/>
      <w:color w:val="000000"/>
    </w:rPr>
  </w:style>
  <w:style w:type="paragraph" w:styleId="NormalWeb">
    <w:name w:val="Normal (Web)"/>
    <w:basedOn w:val="Normal"/>
    <w:uiPriority w:val="99"/>
    <w:semiHidden/>
    <w:unhideWhenUsed/>
    <w:rsid w:val="00D06D99"/>
    <w:pPr>
      <w:spacing w:before="100" w:beforeAutospacing="1" w:after="100" w:afterAutospacing="1" w:line="240" w:lineRule="auto"/>
      <w:jc w:val="left"/>
    </w:pPr>
    <w:rPr>
      <w:rFonts w:ascii="Times New Roman" w:hAnsi="Times New Roman" w:cs="Times New Roman"/>
      <w:color w:val="auto"/>
    </w:rPr>
  </w:style>
  <w:style w:type="paragraph" w:styleId="PlainText">
    <w:name w:val="Plain Text"/>
    <w:basedOn w:val="Normal"/>
    <w:link w:val="PlainTextChar"/>
    <w:uiPriority w:val="99"/>
    <w:unhideWhenUsed/>
    <w:rsid w:val="00961763"/>
    <w:pPr>
      <w:spacing w:line="240" w:lineRule="auto"/>
      <w:jc w:val="left"/>
    </w:pPr>
    <w:rPr>
      <w:rFonts w:ascii="Courier New" w:hAnsi="Courier New" w:cs="Courier New"/>
      <w:color w:val="auto"/>
      <w:sz w:val="20"/>
      <w:szCs w:val="20"/>
      <w:lang w:val="en-GB"/>
    </w:rPr>
  </w:style>
  <w:style w:type="character" w:customStyle="1" w:styleId="PlainTextChar">
    <w:name w:val="Plain Text Char"/>
    <w:basedOn w:val="DefaultParagraphFont"/>
    <w:link w:val="PlainText"/>
    <w:uiPriority w:val="99"/>
    <w:rsid w:val="00961763"/>
    <w:rPr>
      <w:rFonts w:ascii="Courier New" w:eastAsia="Times New Roman" w:hAnsi="Courier New" w:cs="Courier New"/>
      <w:sz w:val="20"/>
      <w:szCs w:val="20"/>
      <w:lang w:val="en-GB"/>
    </w:rPr>
  </w:style>
  <w:style w:type="table" w:styleId="TableGrid">
    <w:name w:val="Table Grid"/>
    <w:basedOn w:val="TableNormal"/>
    <w:uiPriority w:val="39"/>
    <w:rsid w:val="00961763"/>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0">
    <w:name w:val="tekst"/>
    <w:basedOn w:val="Normal"/>
    <w:rsid w:val="008C016F"/>
    <w:pPr>
      <w:spacing w:before="100" w:beforeAutospacing="1" w:after="100" w:afterAutospacing="1" w:line="240" w:lineRule="auto"/>
      <w:jc w:val="left"/>
    </w:pPr>
    <w:rPr>
      <w:rFonts w:ascii="Times New Roman" w:eastAsiaTheme="minorHAnsi" w:hAnsi="Times New Roman" w:cs="Times New Roman"/>
      <w:color w:val="auto"/>
      <w:lang w:val="en-US"/>
    </w:rPr>
  </w:style>
  <w:style w:type="paragraph" w:styleId="Header">
    <w:name w:val="header"/>
    <w:basedOn w:val="Normal"/>
    <w:link w:val="HeaderChar"/>
    <w:uiPriority w:val="99"/>
    <w:unhideWhenUsed/>
    <w:rsid w:val="00FD2F5B"/>
    <w:pPr>
      <w:tabs>
        <w:tab w:val="center" w:pos="4703"/>
        <w:tab w:val="right" w:pos="9406"/>
      </w:tabs>
      <w:spacing w:line="240" w:lineRule="auto"/>
    </w:pPr>
  </w:style>
  <w:style w:type="character" w:customStyle="1" w:styleId="HeaderChar">
    <w:name w:val="Header Char"/>
    <w:basedOn w:val="DefaultParagraphFont"/>
    <w:link w:val="Header"/>
    <w:uiPriority w:val="99"/>
    <w:rsid w:val="00FD2F5B"/>
    <w:rPr>
      <w:rFonts w:ascii="Arial" w:eastAsia="Times New Roman" w:hAnsi="Arial" w:cs="Arial"/>
      <w:color w:val="000000"/>
      <w:sz w:val="24"/>
      <w:szCs w:val="24"/>
      <w:lang w:val="sr-Latn-CS"/>
    </w:rPr>
  </w:style>
  <w:style w:type="paragraph" w:styleId="Footer">
    <w:name w:val="footer"/>
    <w:basedOn w:val="Normal"/>
    <w:link w:val="FooterChar"/>
    <w:uiPriority w:val="99"/>
    <w:unhideWhenUsed/>
    <w:rsid w:val="00FD2F5B"/>
    <w:pPr>
      <w:tabs>
        <w:tab w:val="center" w:pos="4703"/>
        <w:tab w:val="right" w:pos="9406"/>
      </w:tabs>
      <w:spacing w:line="240" w:lineRule="auto"/>
    </w:pPr>
  </w:style>
  <w:style w:type="character" w:customStyle="1" w:styleId="FooterChar">
    <w:name w:val="Footer Char"/>
    <w:basedOn w:val="DefaultParagraphFont"/>
    <w:link w:val="Footer"/>
    <w:uiPriority w:val="99"/>
    <w:rsid w:val="00FD2F5B"/>
    <w:rPr>
      <w:rFonts w:ascii="Arial" w:eastAsia="Times New Roman" w:hAnsi="Arial" w:cs="Arial"/>
      <w:color w:val="000000"/>
      <w:sz w:val="24"/>
      <w:szCs w:val="24"/>
      <w:lang w:val="sr-Latn-CS"/>
    </w:rPr>
  </w:style>
  <w:style w:type="paragraph" w:customStyle="1" w:styleId="msonormal0">
    <w:name w:val="msonormal"/>
    <w:basedOn w:val="Normal"/>
    <w:rsid w:val="00B40FB2"/>
    <w:pPr>
      <w:spacing w:before="100" w:beforeAutospacing="1" w:after="100" w:afterAutospacing="1" w:line="240" w:lineRule="auto"/>
      <w:jc w:val="left"/>
    </w:pPr>
    <w:rPr>
      <w:rFonts w:ascii="Times New Roman" w:hAnsi="Times New Roman" w:cs="Times New Roman"/>
      <w:color w:val="auto"/>
      <w:lang w:val="en-GB" w:eastAsia="en-GB"/>
    </w:rPr>
  </w:style>
  <w:style w:type="paragraph" w:customStyle="1" w:styleId="xl64">
    <w:name w:val="xl64"/>
    <w:basedOn w:val="Normal"/>
    <w:rsid w:val="00B40FB2"/>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textAlignment w:val="center"/>
    </w:pPr>
    <w:rPr>
      <w:rFonts w:ascii="Times New Roman" w:hAnsi="Times New Roman" w:cs="Times New Roman"/>
      <w:color w:val="auto"/>
      <w:sz w:val="18"/>
      <w:szCs w:val="18"/>
      <w:lang w:val="en-GB" w:eastAsia="en-GB"/>
    </w:rPr>
  </w:style>
  <w:style w:type="paragraph" w:customStyle="1" w:styleId="xl65">
    <w:name w:val="xl65"/>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color w:val="auto"/>
      <w:sz w:val="18"/>
      <w:szCs w:val="18"/>
      <w:lang w:val="en-GB" w:eastAsia="en-GB"/>
    </w:rPr>
  </w:style>
  <w:style w:type="paragraph" w:customStyle="1" w:styleId="xl66">
    <w:name w:val="xl66"/>
    <w:basedOn w:val="Normal"/>
    <w:rsid w:val="00B40FB2"/>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textAlignment w:val="center"/>
    </w:pPr>
    <w:rPr>
      <w:rFonts w:ascii="Times New Roman" w:hAnsi="Times New Roman" w:cs="Times New Roman"/>
      <w:b/>
      <w:bCs/>
      <w:color w:val="auto"/>
      <w:sz w:val="18"/>
      <w:szCs w:val="18"/>
      <w:lang w:val="en-GB" w:eastAsia="en-GB"/>
    </w:rPr>
  </w:style>
  <w:style w:type="paragraph" w:customStyle="1" w:styleId="xl67">
    <w:name w:val="xl67"/>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auto"/>
      <w:sz w:val="18"/>
      <w:szCs w:val="18"/>
      <w:lang w:val="en-GB" w:eastAsia="en-GB"/>
    </w:rPr>
  </w:style>
  <w:style w:type="paragraph" w:customStyle="1" w:styleId="xl68">
    <w:name w:val="xl68"/>
    <w:basedOn w:val="Normal"/>
    <w:rsid w:val="00B40FB2"/>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textAlignment w:val="center"/>
    </w:pPr>
    <w:rPr>
      <w:rFonts w:ascii="Times New Roman" w:hAnsi="Times New Roman" w:cs="Times New Roman"/>
      <w:sz w:val="18"/>
      <w:szCs w:val="18"/>
      <w:lang w:val="en-GB" w:eastAsia="en-GB"/>
    </w:rPr>
  </w:style>
  <w:style w:type="paragraph" w:customStyle="1" w:styleId="xl69">
    <w:name w:val="xl69"/>
    <w:basedOn w:val="Normal"/>
    <w:rsid w:val="00B40FB2"/>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textAlignment w:val="center"/>
    </w:pPr>
    <w:rPr>
      <w:rFonts w:ascii="Times New Roman" w:hAnsi="Times New Roman" w:cs="Times New Roman"/>
      <w:color w:val="auto"/>
      <w:sz w:val="18"/>
      <w:szCs w:val="18"/>
      <w:lang w:val="en-GB" w:eastAsia="en-GB"/>
    </w:rPr>
  </w:style>
  <w:style w:type="paragraph" w:customStyle="1" w:styleId="xl70">
    <w:name w:val="xl70"/>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18"/>
      <w:szCs w:val="18"/>
      <w:lang w:val="en-GB" w:eastAsia="en-GB"/>
    </w:rPr>
  </w:style>
  <w:style w:type="paragraph" w:customStyle="1" w:styleId="xl71">
    <w:name w:val="xl71"/>
    <w:basedOn w:val="Normal"/>
    <w:rsid w:val="00B40FB2"/>
    <w:pPr>
      <w:spacing w:before="100" w:beforeAutospacing="1" w:after="100" w:afterAutospacing="1" w:line="240" w:lineRule="auto"/>
      <w:jc w:val="left"/>
    </w:pPr>
    <w:rPr>
      <w:rFonts w:ascii="Times New Roman" w:hAnsi="Times New Roman" w:cs="Times New Roman"/>
      <w:color w:val="auto"/>
      <w:sz w:val="16"/>
      <w:szCs w:val="16"/>
      <w:lang w:val="en-GB" w:eastAsia="en-GB"/>
    </w:rPr>
  </w:style>
  <w:style w:type="paragraph" w:customStyle="1" w:styleId="xl72">
    <w:name w:val="xl72"/>
    <w:basedOn w:val="Normal"/>
    <w:rsid w:val="00B40FB2"/>
    <w:pPr>
      <w:spacing w:before="100" w:beforeAutospacing="1" w:after="100" w:afterAutospacing="1" w:line="240" w:lineRule="auto"/>
      <w:jc w:val="left"/>
    </w:pPr>
    <w:rPr>
      <w:rFonts w:ascii="Times New Roman" w:hAnsi="Times New Roman" w:cs="Times New Roman"/>
      <w:color w:val="auto"/>
      <w:sz w:val="18"/>
      <w:szCs w:val="18"/>
      <w:lang w:val="en-GB" w:eastAsia="en-GB"/>
    </w:rPr>
  </w:style>
  <w:style w:type="paragraph" w:customStyle="1" w:styleId="xl73">
    <w:name w:val="xl73"/>
    <w:basedOn w:val="Normal"/>
    <w:rsid w:val="00B40FB2"/>
    <w:pPr>
      <w:spacing w:before="100" w:beforeAutospacing="1" w:after="100" w:afterAutospacing="1" w:line="240" w:lineRule="auto"/>
      <w:jc w:val="left"/>
    </w:pPr>
    <w:rPr>
      <w:rFonts w:ascii="Times New Roman" w:hAnsi="Times New Roman" w:cs="Times New Roman"/>
      <w:b/>
      <w:bCs/>
      <w:i/>
      <w:iCs/>
      <w:color w:val="auto"/>
      <w:sz w:val="16"/>
      <w:szCs w:val="16"/>
      <w:lang w:val="en-GB" w:eastAsia="en-GB"/>
    </w:rPr>
  </w:style>
  <w:style w:type="paragraph" w:customStyle="1" w:styleId="xl74">
    <w:name w:val="xl74"/>
    <w:basedOn w:val="Normal"/>
    <w:rsid w:val="00B40FB2"/>
    <w:pPr>
      <w:spacing w:before="100" w:beforeAutospacing="1" w:after="100" w:afterAutospacing="1" w:line="240" w:lineRule="auto"/>
      <w:jc w:val="left"/>
    </w:pPr>
    <w:rPr>
      <w:rFonts w:ascii="Times New Roman" w:hAnsi="Times New Roman" w:cs="Times New Roman"/>
      <w:b/>
      <w:bCs/>
      <w:color w:val="auto"/>
      <w:sz w:val="18"/>
      <w:szCs w:val="18"/>
      <w:lang w:val="en-GB" w:eastAsia="en-GB"/>
    </w:rPr>
  </w:style>
  <w:style w:type="paragraph" w:customStyle="1" w:styleId="xl75">
    <w:name w:val="xl75"/>
    <w:basedOn w:val="Normal"/>
    <w:rsid w:val="00B40FB2"/>
    <w:pPr>
      <w:pBdr>
        <w:top w:val="single" w:sz="4" w:space="0" w:color="auto"/>
        <w:left w:val="single" w:sz="4" w:space="0" w:color="auto"/>
        <w:bottom w:val="single" w:sz="4" w:space="0" w:color="auto"/>
        <w:right w:val="single" w:sz="4" w:space="7" w:color="auto"/>
      </w:pBdr>
      <w:shd w:val="clear" w:color="000000" w:fill="95B3D7"/>
      <w:spacing w:before="100" w:beforeAutospacing="1" w:after="100" w:afterAutospacing="1" w:line="240" w:lineRule="auto"/>
      <w:ind w:firstLineChars="100" w:firstLine="100"/>
      <w:jc w:val="right"/>
      <w:textAlignment w:val="center"/>
    </w:pPr>
    <w:rPr>
      <w:rFonts w:ascii="Times New Roman" w:hAnsi="Times New Roman" w:cs="Times New Roman"/>
      <w:b/>
      <w:bCs/>
      <w:color w:val="auto"/>
      <w:sz w:val="18"/>
      <w:szCs w:val="18"/>
      <w:lang w:val="en-GB" w:eastAsia="en-GB"/>
    </w:rPr>
  </w:style>
  <w:style w:type="paragraph" w:customStyle="1" w:styleId="xl76">
    <w:name w:val="xl76"/>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b/>
      <w:bCs/>
      <w:color w:val="auto"/>
      <w:sz w:val="18"/>
      <w:szCs w:val="18"/>
      <w:lang w:val="en-GB" w:eastAsia="en-GB"/>
    </w:rPr>
  </w:style>
  <w:style w:type="paragraph" w:customStyle="1" w:styleId="xl77">
    <w:name w:val="xl77"/>
    <w:basedOn w:val="Normal"/>
    <w:rsid w:val="00B40FB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left"/>
      <w:textAlignment w:val="center"/>
    </w:pPr>
    <w:rPr>
      <w:rFonts w:ascii="Times New Roman" w:hAnsi="Times New Roman" w:cs="Times New Roman"/>
      <w:b/>
      <w:bCs/>
      <w:color w:val="auto"/>
      <w:sz w:val="28"/>
      <w:szCs w:val="28"/>
      <w:lang w:val="en-GB" w:eastAsia="en-GB"/>
    </w:rPr>
  </w:style>
  <w:style w:type="paragraph" w:customStyle="1" w:styleId="xl78">
    <w:name w:val="xl78"/>
    <w:basedOn w:val="Normal"/>
    <w:rsid w:val="00B40FB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right"/>
      <w:textAlignment w:val="center"/>
    </w:pPr>
    <w:rPr>
      <w:rFonts w:ascii="Times New Roman" w:hAnsi="Times New Roman" w:cs="Times New Roman"/>
      <w:b/>
      <w:bCs/>
      <w:color w:val="auto"/>
      <w:sz w:val="18"/>
      <w:szCs w:val="18"/>
      <w:lang w:val="en-GB" w:eastAsia="en-GB"/>
    </w:rPr>
  </w:style>
  <w:style w:type="paragraph" w:customStyle="1" w:styleId="xl79">
    <w:name w:val="xl79"/>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color w:val="auto"/>
      <w:sz w:val="18"/>
      <w:szCs w:val="18"/>
      <w:lang w:val="en-GB" w:eastAsia="en-GB"/>
    </w:rPr>
  </w:style>
  <w:style w:type="paragraph" w:customStyle="1" w:styleId="xl80">
    <w:name w:val="xl80"/>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color w:val="auto"/>
      <w:sz w:val="18"/>
      <w:szCs w:val="18"/>
      <w:lang w:val="en-GB" w:eastAsia="en-GB"/>
    </w:rPr>
  </w:style>
  <w:style w:type="paragraph" w:customStyle="1" w:styleId="xl81">
    <w:name w:val="xl81"/>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color w:val="auto"/>
      <w:sz w:val="18"/>
      <w:szCs w:val="18"/>
      <w:lang w:val="en-GB" w:eastAsia="en-GB"/>
    </w:rPr>
  </w:style>
  <w:style w:type="paragraph" w:customStyle="1" w:styleId="xl82">
    <w:name w:val="xl82"/>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color w:val="auto"/>
      <w:sz w:val="18"/>
      <w:szCs w:val="18"/>
      <w:lang w:val="en-GB" w:eastAsia="en-GB"/>
    </w:rPr>
  </w:style>
  <w:style w:type="paragraph" w:customStyle="1" w:styleId="xl83">
    <w:name w:val="xl83"/>
    <w:basedOn w:val="Normal"/>
    <w:rsid w:val="00B40FB2"/>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line="240" w:lineRule="auto"/>
      <w:ind w:firstLineChars="100" w:firstLine="100"/>
      <w:jc w:val="right"/>
      <w:textAlignment w:val="center"/>
    </w:pPr>
    <w:rPr>
      <w:rFonts w:ascii="Times New Roman" w:hAnsi="Times New Roman" w:cs="Times New Roman"/>
      <w:color w:val="auto"/>
      <w:sz w:val="18"/>
      <w:szCs w:val="18"/>
      <w:lang w:val="en-GB" w:eastAsia="en-GB"/>
    </w:rPr>
  </w:style>
  <w:style w:type="paragraph" w:customStyle="1" w:styleId="xl84">
    <w:name w:val="xl84"/>
    <w:basedOn w:val="Normal"/>
    <w:rsid w:val="00B40FB2"/>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line="240" w:lineRule="auto"/>
      <w:ind w:firstLineChars="100" w:firstLine="100"/>
      <w:jc w:val="right"/>
      <w:textAlignment w:val="center"/>
    </w:pPr>
    <w:rPr>
      <w:rFonts w:ascii="Times New Roman" w:hAnsi="Times New Roman" w:cs="Times New Roman"/>
      <w:b/>
      <w:bCs/>
      <w:color w:val="auto"/>
      <w:sz w:val="18"/>
      <w:szCs w:val="18"/>
      <w:lang w:val="en-GB" w:eastAsia="en-GB"/>
    </w:rPr>
  </w:style>
  <w:style w:type="paragraph" w:customStyle="1" w:styleId="xl85">
    <w:name w:val="xl85"/>
    <w:basedOn w:val="Normal"/>
    <w:rsid w:val="00B40FB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left"/>
    </w:pPr>
    <w:rPr>
      <w:rFonts w:ascii="Times New Roman" w:hAnsi="Times New Roman" w:cs="Times New Roman"/>
      <w:b/>
      <w:bCs/>
      <w:color w:val="auto"/>
      <w:lang w:val="en-GB" w:eastAsia="en-GB"/>
    </w:rPr>
  </w:style>
  <w:style w:type="paragraph" w:customStyle="1" w:styleId="xl86">
    <w:name w:val="xl86"/>
    <w:basedOn w:val="Normal"/>
    <w:rsid w:val="00B40FB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left"/>
    </w:pPr>
    <w:rPr>
      <w:rFonts w:ascii="Times New Roman" w:hAnsi="Times New Roman" w:cs="Times New Roman"/>
      <w:b/>
      <w:bCs/>
      <w:color w:val="auto"/>
      <w:lang w:val="en-GB" w:eastAsia="en-GB"/>
    </w:rPr>
  </w:style>
  <w:style w:type="paragraph" w:customStyle="1" w:styleId="xl87">
    <w:name w:val="xl87"/>
    <w:basedOn w:val="Normal"/>
    <w:rsid w:val="00B40FB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left"/>
      <w:textAlignment w:val="center"/>
    </w:pPr>
    <w:rPr>
      <w:rFonts w:ascii="Times New Roman" w:hAnsi="Times New Roman" w:cs="Times New Roman"/>
      <w:b/>
      <w:bCs/>
      <w:color w:val="auto"/>
      <w:lang w:val="en-GB" w:eastAsia="en-GB"/>
    </w:rPr>
  </w:style>
  <w:style w:type="paragraph" w:customStyle="1" w:styleId="xl88">
    <w:name w:val="xl88"/>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b/>
      <w:bCs/>
      <w:color w:val="auto"/>
      <w:sz w:val="18"/>
      <w:szCs w:val="18"/>
      <w:lang w:val="en-GB" w:eastAsia="en-GB"/>
    </w:rPr>
  </w:style>
  <w:style w:type="paragraph" w:customStyle="1" w:styleId="xl89">
    <w:name w:val="xl89"/>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b/>
      <w:bCs/>
      <w:color w:val="auto"/>
      <w:sz w:val="18"/>
      <w:szCs w:val="18"/>
      <w:lang w:val="en-GB" w:eastAsia="en-GB"/>
    </w:rPr>
  </w:style>
  <w:style w:type="paragraph" w:customStyle="1" w:styleId="xl90">
    <w:name w:val="xl90"/>
    <w:basedOn w:val="Normal"/>
    <w:rsid w:val="00B40F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cs="Times New Roman"/>
      <w:b/>
      <w:bCs/>
      <w:color w:val="auto"/>
      <w:sz w:val="18"/>
      <w:szCs w:val="18"/>
      <w:lang w:val="en-GB" w:eastAsia="en-GB"/>
    </w:rPr>
  </w:style>
  <w:style w:type="paragraph" w:customStyle="1" w:styleId="xl91">
    <w:name w:val="xl91"/>
    <w:basedOn w:val="Normal"/>
    <w:rsid w:val="00B40FB2"/>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textAlignment w:val="center"/>
    </w:pPr>
    <w:rPr>
      <w:rFonts w:ascii="Times New Roman" w:hAnsi="Times New Roman" w:cs="Times New Roman"/>
      <w:color w:val="auto"/>
      <w:sz w:val="18"/>
      <w:szCs w:val="18"/>
      <w:lang w:val="en-GB" w:eastAsia="en-GB"/>
    </w:rPr>
  </w:style>
  <w:style w:type="paragraph" w:customStyle="1" w:styleId="xl92">
    <w:name w:val="xl92"/>
    <w:basedOn w:val="Normal"/>
    <w:rsid w:val="00B40FB2"/>
    <w:pPr>
      <w:pBdr>
        <w:top w:val="single" w:sz="4" w:space="0" w:color="auto"/>
        <w:left w:val="single" w:sz="4" w:space="0" w:color="auto"/>
        <w:bottom w:val="single" w:sz="4" w:space="0" w:color="auto"/>
        <w:right w:val="single" w:sz="4" w:space="7" w:color="auto"/>
      </w:pBdr>
      <w:shd w:val="clear" w:color="000000" w:fill="95B3D7"/>
      <w:spacing w:before="100" w:beforeAutospacing="1" w:after="100" w:afterAutospacing="1" w:line="240" w:lineRule="auto"/>
      <w:ind w:firstLineChars="100" w:firstLine="100"/>
      <w:jc w:val="right"/>
      <w:textAlignment w:val="center"/>
    </w:pPr>
    <w:rPr>
      <w:rFonts w:ascii="Times New Roman" w:hAnsi="Times New Roman" w:cs="Times New Roman"/>
      <w:b/>
      <w:bCs/>
      <w:color w:val="auto"/>
      <w:sz w:val="18"/>
      <w:szCs w:val="18"/>
      <w:lang w:val="en-GB" w:eastAsia="en-GB"/>
    </w:rPr>
  </w:style>
  <w:style w:type="paragraph" w:customStyle="1" w:styleId="xl93">
    <w:name w:val="xl93"/>
    <w:basedOn w:val="Normal"/>
    <w:rsid w:val="00B40FB2"/>
    <w:pPr>
      <w:spacing w:before="100" w:beforeAutospacing="1" w:after="100" w:afterAutospacing="1" w:line="240" w:lineRule="auto"/>
      <w:jc w:val="left"/>
    </w:pPr>
    <w:rPr>
      <w:rFonts w:ascii="Times New Roman" w:hAnsi="Times New Roman" w:cs="Times New Roman"/>
      <w:color w:val="auto"/>
      <w:sz w:val="18"/>
      <w:szCs w:val="18"/>
      <w:lang w:val="en-GB" w:eastAsia="en-GB"/>
    </w:rPr>
  </w:style>
  <w:style w:type="paragraph" w:customStyle="1" w:styleId="xl95">
    <w:name w:val="xl95"/>
    <w:basedOn w:val="Normal"/>
    <w:rsid w:val="00B40FB2"/>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textAlignment w:val="center"/>
    </w:pPr>
    <w:rPr>
      <w:rFonts w:ascii="Times New Roman" w:hAnsi="Times New Roman" w:cs="Times New Roman"/>
      <w:color w:val="auto"/>
      <w:sz w:val="18"/>
      <w:szCs w:val="18"/>
      <w:lang w:val="en-GB" w:eastAsia="en-GB"/>
    </w:rPr>
  </w:style>
  <w:style w:type="paragraph" w:customStyle="1" w:styleId="xl96">
    <w:name w:val="xl96"/>
    <w:basedOn w:val="Normal"/>
    <w:rsid w:val="00B40FB2"/>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line="240" w:lineRule="auto"/>
      <w:ind w:firstLineChars="100" w:firstLine="100"/>
      <w:jc w:val="right"/>
      <w:textAlignment w:val="center"/>
    </w:pPr>
    <w:rPr>
      <w:rFonts w:ascii="Times New Roman" w:hAnsi="Times New Roman" w:cs="Times New Roman"/>
      <w:color w:val="auto"/>
      <w:sz w:val="18"/>
      <w:szCs w:val="18"/>
      <w:lang w:val="en-GB" w:eastAsia="en-GB"/>
    </w:rPr>
  </w:style>
  <w:style w:type="paragraph" w:customStyle="1" w:styleId="xl97">
    <w:name w:val="xl97"/>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auto"/>
      <w:lang w:val="en-GB" w:eastAsia="en-GB"/>
    </w:rPr>
  </w:style>
  <w:style w:type="paragraph" w:customStyle="1" w:styleId="xl98">
    <w:name w:val="xl98"/>
    <w:basedOn w:val="Normal"/>
    <w:rsid w:val="00B40FB2"/>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line="240" w:lineRule="auto"/>
      <w:ind w:firstLineChars="100" w:firstLine="100"/>
      <w:jc w:val="right"/>
      <w:textAlignment w:val="center"/>
    </w:pPr>
    <w:rPr>
      <w:rFonts w:ascii="Calibri" w:hAnsi="Calibri" w:cs="Times New Roman"/>
      <w:color w:val="auto"/>
      <w:sz w:val="18"/>
      <w:szCs w:val="18"/>
      <w:lang w:val="en-GB" w:eastAsia="en-GB"/>
    </w:rPr>
  </w:style>
  <w:style w:type="paragraph" w:customStyle="1" w:styleId="xl99">
    <w:name w:val="xl99"/>
    <w:basedOn w:val="Normal"/>
    <w:rsid w:val="00B40F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hAnsi="Times New Roman" w:cs="Times New Roman"/>
      <w:color w:val="auto"/>
      <w:sz w:val="18"/>
      <w:szCs w:val="18"/>
      <w:lang w:val="en-GB" w:eastAsia="en-GB"/>
    </w:rPr>
  </w:style>
  <w:style w:type="paragraph" w:customStyle="1" w:styleId="xl100">
    <w:name w:val="xl100"/>
    <w:basedOn w:val="Normal"/>
    <w:rsid w:val="00B40FB2"/>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line="240" w:lineRule="auto"/>
      <w:ind w:firstLineChars="100" w:firstLine="100"/>
      <w:jc w:val="right"/>
      <w:textAlignment w:val="center"/>
    </w:pPr>
    <w:rPr>
      <w:rFonts w:ascii="Times New Roman" w:hAnsi="Times New Roman" w:cs="Times New Roman"/>
      <w:color w:val="auto"/>
      <w:sz w:val="18"/>
      <w:szCs w:val="18"/>
      <w:lang w:val="en-GB" w:eastAsia="en-GB"/>
    </w:rPr>
  </w:style>
  <w:style w:type="paragraph" w:customStyle="1" w:styleId="xl101">
    <w:name w:val="xl101"/>
    <w:basedOn w:val="Normal"/>
    <w:rsid w:val="00B40F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hAnsi="Times New Roman" w:cs="Times New Roman"/>
      <w:color w:val="auto"/>
      <w:sz w:val="18"/>
      <w:szCs w:val="18"/>
      <w:lang w:val="en-GB" w:eastAsia="en-GB"/>
    </w:rPr>
  </w:style>
  <w:style w:type="paragraph" w:customStyle="1" w:styleId="xl102">
    <w:name w:val="xl102"/>
    <w:basedOn w:val="Normal"/>
    <w:rsid w:val="00B40F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Times New Roman" w:hAnsi="Times New Roman" w:cs="Times New Roman"/>
      <w:color w:val="auto"/>
      <w:sz w:val="18"/>
      <w:szCs w:val="18"/>
      <w:lang w:val="en-GB" w:eastAsia="en-GB"/>
    </w:rPr>
  </w:style>
  <w:style w:type="paragraph" w:customStyle="1" w:styleId="xl103">
    <w:name w:val="xl103"/>
    <w:basedOn w:val="Normal"/>
    <w:rsid w:val="00B40F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hAnsi="Times New Roman" w:cs="Times New Roman"/>
      <w:color w:val="auto"/>
      <w:sz w:val="18"/>
      <w:szCs w:val="18"/>
      <w:lang w:val="en-GB" w:eastAsia="en-GB"/>
    </w:rPr>
  </w:style>
  <w:style w:type="paragraph" w:customStyle="1" w:styleId="xl104">
    <w:name w:val="xl104"/>
    <w:basedOn w:val="Normal"/>
    <w:rsid w:val="00B40FB2"/>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line="240" w:lineRule="auto"/>
      <w:ind w:firstLineChars="100" w:firstLine="100"/>
      <w:jc w:val="right"/>
      <w:textAlignment w:val="center"/>
    </w:pPr>
    <w:rPr>
      <w:rFonts w:ascii="Times New Roman" w:hAnsi="Times New Roman" w:cs="Times New Roman"/>
      <w:color w:val="auto"/>
      <w:sz w:val="18"/>
      <w:szCs w:val="18"/>
      <w:lang w:val="en-GB" w:eastAsia="en-GB"/>
    </w:rPr>
  </w:style>
  <w:style w:type="paragraph" w:customStyle="1" w:styleId="xl105">
    <w:name w:val="xl105"/>
    <w:basedOn w:val="Normal"/>
    <w:rsid w:val="00B40F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s="Times New Roman"/>
      <w:color w:val="auto"/>
      <w:sz w:val="18"/>
      <w:szCs w:val="18"/>
      <w:lang w:val="en-GB" w:eastAsia="en-GB"/>
    </w:rPr>
  </w:style>
  <w:style w:type="paragraph" w:customStyle="1" w:styleId="xl106">
    <w:name w:val="xl106"/>
    <w:basedOn w:val="Normal"/>
    <w:rsid w:val="00B40F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s="Times New Roman"/>
      <w:color w:val="auto"/>
      <w:sz w:val="18"/>
      <w:szCs w:val="18"/>
      <w:lang w:val="en-GB" w:eastAsia="en-GB"/>
    </w:rPr>
  </w:style>
  <w:style w:type="paragraph" w:customStyle="1" w:styleId="xl107">
    <w:name w:val="xl107"/>
    <w:basedOn w:val="Normal"/>
    <w:rsid w:val="00B40FB2"/>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line="240" w:lineRule="auto"/>
      <w:ind w:firstLineChars="100" w:firstLine="100"/>
      <w:jc w:val="right"/>
      <w:textAlignment w:val="center"/>
    </w:pPr>
    <w:rPr>
      <w:rFonts w:ascii="Times New Roman" w:hAnsi="Times New Roman" w:cs="Times New Roman"/>
      <w:color w:val="auto"/>
      <w:sz w:val="18"/>
      <w:szCs w:val="18"/>
      <w:lang w:val="en-GB" w:eastAsia="en-GB"/>
    </w:rPr>
  </w:style>
  <w:style w:type="paragraph" w:customStyle="1" w:styleId="xl108">
    <w:name w:val="xl108"/>
    <w:basedOn w:val="Normal"/>
    <w:rsid w:val="00B40FB2"/>
    <w:pPr>
      <w:spacing w:before="100" w:beforeAutospacing="1" w:after="100" w:afterAutospacing="1" w:line="240" w:lineRule="auto"/>
      <w:jc w:val="left"/>
    </w:pPr>
    <w:rPr>
      <w:rFonts w:ascii="Times New Roman" w:hAnsi="Times New Roman" w:cs="Times New Roman"/>
      <w:b/>
      <w:bCs/>
      <w:color w:val="auto"/>
      <w:sz w:val="18"/>
      <w:szCs w:val="18"/>
      <w:lang w:val="en-GB" w:eastAsia="en-GB"/>
    </w:rPr>
  </w:style>
  <w:style w:type="paragraph" w:customStyle="1" w:styleId="xl109">
    <w:name w:val="xl109"/>
    <w:basedOn w:val="Normal"/>
    <w:rsid w:val="00B40FB2"/>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textAlignment w:val="center"/>
    </w:pPr>
    <w:rPr>
      <w:rFonts w:ascii="Times New Roman" w:hAnsi="Times New Roman" w:cs="Times New Roman"/>
      <w:color w:val="auto"/>
      <w:sz w:val="18"/>
      <w:szCs w:val="18"/>
      <w:lang w:val="en-GB" w:eastAsia="en-GB"/>
    </w:rPr>
  </w:style>
  <w:style w:type="paragraph" w:customStyle="1" w:styleId="xl110">
    <w:name w:val="xl110"/>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auto"/>
      <w:sz w:val="18"/>
      <w:szCs w:val="18"/>
      <w:lang w:val="en-GB" w:eastAsia="en-GB"/>
    </w:rPr>
  </w:style>
  <w:style w:type="paragraph" w:customStyle="1" w:styleId="xl111">
    <w:name w:val="xl111"/>
    <w:basedOn w:val="Normal"/>
    <w:rsid w:val="00B40F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cs="Times New Roman"/>
      <w:color w:val="auto"/>
      <w:sz w:val="18"/>
      <w:szCs w:val="18"/>
      <w:lang w:val="en-GB" w:eastAsia="en-GB"/>
    </w:rPr>
  </w:style>
  <w:style w:type="paragraph" w:customStyle="1" w:styleId="xl112">
    <w:name w:val="xl112"/>
    <w:basedOn w:val="Normal"/>
    <w:rsid w:val="00B40F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cs="Times New Roman"/>
      <w:b/>
      <w:bCs/>
      <w:color w:val="auto"/>
      <w:sz w:val="18"/>
      <w:szCs w:val="18"/>
      <w:lang w:val="en-GB" w:eastAsia="en-GB"/>
    </w:rPr>
  </w:style>
  <w:style w:type="paragraph" w:customStyle="1" w:styleId="xl113">
    <w:name w:val="xl113"/>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auto"/>
      <w:sz w:val="18"/>
      <w:szCs w:val="18"/>
      <w:lang w:val="en-GB" w:eastAsia="en-GB"/>
    </w:rPr>
  </w:style>
  <w:style w:type="paragraph" w:customStyle="1" w:styleId="xl114">
    <w:name w:val="xl114"/>
    <w:basedOn w:val="Normal"/>
    <w:rsid w:val="00B40FB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left"/>
    </w:pPr>
    <w:rPr>
      <w:rFonts w:ascii="Times New Roman" w:hAnsi="Times New Roman" w:cs="Times New Roman"/>
      <w:b/>
      <w:bCs/>
      <w:color w:val="auto"/>
      <w:sz w:val="18"/>
      <w:szCs w:val="18"/>
      <w:lang w:val="en-GB" w:eastAsia="en-GB"/>
    </w:rPr>
  </w:style>
  <w:style w:type="paragraph" w:customStyle="1" w:styleId="xl115">
    <w:name w:val="xl115"/>
    <w:basedOn w:val="Normal"/>
    <w:rsid w:val="00B40FB2"/>
    <w:pPr>
      <w:pBdr>
        <w:top w:val="single" w:sz="4" w:space="0" w:color="auto"/>
        <w:left w:val="single" w:sz="4" w:space="0" w:color="auto"/>
        <w:bottom w:val="single" w:sz="4" w:space="0" w:color="auto"/>
        <w:right w:val="single" w:sz="4" w:space="7" w:color="auto"/>
      </w:pBdr>
      <w:shd w:val="clear" w:color="000000" w:fill="8DB4E2"/>
      <w:spacing w:before="100" w:beforeAutospacing="1" w:after="100" w:afterAutospacing="1" w:line="240" w:lineRule="auto"/>
      <w:ind w:firstLineChars="100" w:firstLine="100"/>
      <w:jc w:val="right"/>
      <w:textAlignment w:val="center"/>
    </w:pPr>
    <w:rPr>
      <w:rFonts w:ascii="Times New Roman" w:hAnsi="Times New Roman" w:cs="Times New Roman"/>
      <w:color w:val="auto"/>
      <w:sz w:val="18"/>
      <w:szCs w:val="18"/>
      <w:lang w:val="en-GB" w:eastAsia="en-GB"/>
    </w:rPr>
  </w:style>
  <w:style w:type="paragraph" w:customStyle="1" w:styleId="xl116">
    <w:name w:val="xl116"/>
    <w:basedOn w:val="Normal"/>
    <w:rsid w:val="00B40FB2"/>
    <w:pPr>
      <w:pBdr>
        <w:top w:val="single" w:sz="4" w:space="0" w:color="auto"/>
        <w:left w:val="single" w:sz="4" w:space="0" w:color="auto"/>
        <w:bottom w:val="single" w:sz="4" w:space="0" w:color="auto"/>
        <w:right w:val="single" w:sz="4" w:space="7" w:color="auto"/>
      </w:pBdr>
      <w:shd w:val="clear" w:color="000000" w:fill="8DB4E2"/>
      <w:spacing w:before="100" w:beforeAutospacing="1" w:after="100" w:afterAutospacing="1" w:line="240" w:lineRule="auto"/>
      <w:ind w:firstLineChars="100" w:firstLine="100"/>
      <w:jc w:val="right"/>
      <w:textAlignment w:val="center"/>
    </w:pPr>
    <w:rPr>
      <w:rFonts w:ascii="Times New Roman" w:hAnsi="Times New Roman" w:cs="Times New Roman"/>
      <w:b/>
      <w:bCs/>
      <w:color w:val="auto"/>
      <w:sz w:val="18"/>
      <w:szCs w:val="18"/>
      <w:lang w:val="en-GB" w:eastAsia="en-GB"/>
    </w:rPr>
  </w:style>
  <w:style w:type="paragraph" w:customStyle="1" w:styleId="xl117">
    <w:name w:val="xl117"/>
    <w:basedOn w:val="Normal"/>
    <w:rsid w:val="00B40FB2"/>
    <w:pPr>
      <w:shd w:val="clear" w:color="000000" w:fill="8DB4E2"/>
      <w:spacing w:before="100" w:beforeAutospacing="1" w:after="100" w:afterAutospacing="1" w:line="240" w:lineRule="auto"/>
      <w:jc w:val="left"/>
    </w:pPr>
    <w:rPr>
      <w:rFonts w:ascii="Times New Roman" w:hAnsi="Times New Roman" w:cs="Times New Roman"/>
      <w:color w:val="auto"/>
      <w:lang w:val="en-GB" w:eastAsia="en-GB"/>
    </w:rPr>
  </w:style>
  <w:style w:type="paragraph" w:customStyle="1" w:styleId="xl118">
    <w:name w:val="xl118"/>
    <w:basedOn w:val="Normal"/>
    <w:rsid w:val="00B40FB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left"/>
    </w:pPr>
    <w:rPr>
      <w:rFonts w:ascii="Times New Roman" w:hAnsi="Times New Roman" w:cs="Times New Roman"/>
      <w:b/>
      <w:bCs/>
      <w:color w:val="auto"/>
      <w:lang w:val="en-GB" w:eastAsia="en-GB"/>
    </w:rPr>
  </w:style>
  <w:style w:type="paragraph" w:customStyle="1" w:styleId="xl119">
    <w:name w:val="xl119"/>
    <w:basedOn w:val="Normal"/>
    <w:rsid w:val="00B40F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b/>
      <w:bCs/>
      <w:color w:val="auto"/>
      <w:sz w:val="18"/>
      <w:szCs w:val="18"/>
      <w:lang w:val="en-GB" w:eastAsia="en-GB"/>
    </w:rPr>
  </w:style>
  <w:style w:type="paragraph" w:customStyle="1" w:styleId="xl120">
    <w:name w:val="xl120"/>
    <w:basedOn w:val="Normal"/>
    <w:rsid w:val="00B40F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b/>
      <w:bCs/>
      <w:color w:val="auto"/>
      <w:sz w:val="18"/>
      <w:szCs w:val="18"/>
      <w:lang w:val="en-GB" w:eastAsia="en-GB"/>
    </w:rPr>
  </w:style>
  <w:style w:type="paragraph" w:customStyle="1" w:styleId="xl121">
    <w:name w:val="xl121"/>
    <w:basedOn w:val="Normal"/>
    <w:rsid w:val="00B40FB2"/>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color w:val="auto"/>
      <w:sz w:val="18"/>
      <w:szCs w:val="18"/>
      <w:lang w:val="en-GB" w:eastAsia="en-GB"/>
    </w:rPr>
  </w:style>
  <w:style w:type="paragraph" w:customStyle="1" w:styleId="xl122">
    <w:name w:val="xl122"/>
    <w:basedOn w:val="Normal"/>
    <w:rsid w:val="00B40FB2"/>
    <w:pPr>
      <w:pBdr>
        <w:left w:val="single" w:sz="4" w:space="0" w:color="auto"/>
        <w:bottom w:val="single" w:sz="4" w:space="0" w:color="auto"/>
        <w:right w:val="single" w:sz="4" w:space="0" w:color="auto"/>
      </w:pBdr>
      <w:shd w:val="clear" w:color="000000" w:fill="95B3D7"/>
      <w:spacing w:before="100" w:beforeAutospacing="1" w:after="100" w:afterAutospacing="1" w:line="240" w:lineRule="auto"/>
      <w:jc w:val="right"/>
      <w:textAlignment w:val="center"/>
    </w:pPr>
    <w:rPr>
      <w:rFonts w:ascii="Times New Roman" w:hAnsi="Times New Roman" w:cs="Times New Roman"/>
      <w:b/>
      <w:bCs/>
      <w:color w:val="auto"/>
      <w:sz w:val="18"/>
      <w:szCs w:val="18"/>
      <w:lang w:val="en-GB" w:eastAsia="en-GB"/>
    </w:rPr>
  </w:style>
  <w:style w:type="paragraph" w:customStyle="1" w:styleId="xl123">
    <w:name w:val="xl123"/>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8"/>
      <w:szCs w:val="18"/>
      <w:lang w:val="en-GB" w:eastAsia="en-GB"/>
    </w:rPr>
  </w:style>
  <w:style w:type="paragraph" w:customStyle="1" w:styleId="xl124">
    <w:name w:val="xl124"/>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auto"/>
      <w:lang w:val="en-GB" w:eastAsia="en-GB"/>
    </w:rPr>
  </w:style>
  <w:style w:type="paragraph" w:customStyle="1" w:styleId="xl125">
    <w:name w:val="xl125"/>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8"/>
      <w:szCs w:val="18"/>
      <w:lang w:val="en-GB" w:eastAsia="en-GB"/>
    </w:rPr>
  </w:style>
  <w:style w:type="paragraph" w:customStyle="1" w:styleId="xl126">
    <w:name w:val="xl126"/>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8"/>
      <w:szCs w:val="18"/>
      <w:lang w:val="en-GB" w:eastAsia="en-GB"/>
    </w:rPr>
  </w:style>
  <w:style w:type="paragraph" w:customStyle="1" w:styleId="xl127">
    <w:name w:val="xl127"/>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auto"/>
      <w:lang w:val="en-GB" w:eastAsia="en-GB"/>
    </w:rPr>
  </w:style>
  <w:style w:type="paragraph" w:customStyle="1" w:styleId="xl128">
    <w:name w:val="xl128"/>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auto"/>
      <w:sz w:val="18"/>
      <w:szCs w:val="18"/>
      <w:lang w:val="en-GB" w:eastAsia="en-GB"/>
    </w:rPr>
  </w:style>
  <w:style w:type="paragraph" w:customStyle="1" w:styleId="xl129">
    <w:name w:val="xl129"/>
    <w:basedOn w:val="Normal"/>
    <w:rsid w:val="00B40F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cs="Times New Roman"/>
      <w:color w:val="auto"/>
      <w:lang w:val="en-GB" w:eastAsia="en-GB"/>
    </w:rPr>
  </w:style>
  <w:style w:type="paragraph" w:customStyle="1" w:styleId="xl130">
    <w:name w:val="xl130"/>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auto"/>
      <w:sz w:val="18"/>
      <w:szCs w:val="18"/>
      <w:lang w:val="en-GB" w:eastAsia="en-GB"/>
    </w:rPr>
  </w:style>
  <w:style w:type="paragraph" w:customStyle="1" w:styleId="xl131">
    <w:name w:val="xl131"/>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auto"/>
      <w:sz w:val="18"/>
      <w:szCs w:val="18"/>
      <w:lang w:val="en-GB" w:eastAsia="en-GB"/>
    </w:rPr>
  </w:style>
  <w:style w:type="paragraph" w:customStyle="1" w:styleId="xl132">
    <w:name w:val="xl132"/>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auto"/>
      <w:sz w:val="18"/>
      <w:szCs w:val="18"/>
      <w:lang w:val="en-GB" w:eastAsia="en-GB"/>
    </w:rPr>
  </w:style>
  <w:style w:type="paragraph" w:customStyle="1" w:styleId="xl133">
    <w:name w:val="xl133"/>
    <w:basedOn w:val="Normal"/>
    <w:rsid w:val="00B40F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cs="Times New Roman"/>
      <w:color w:val="auto"/>
      <w:sz w:val="18"/>
      <w:szCs w:val="18"/>
      <w:lang w:val="en-GB" w:eastAsia="en-GB"/>
    </w:rPr>
  </w:style>
  <w:style w:type="paragraph" w:customStyle="1" w:styleId="xl134">
    <w:name w:val="xl134"/>
    <w:basedOn w:val="Normal"/>
    <w:rsid w:val="00B4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8"/>
      <w:szCs w:val="18"/>
      <w:lang w:val="en-GB" w:eastAsia="en-GB"/>
    </w:rPr>
  </w:style>
  <w:style w:type="paragraph" w:customStyle="1" w:styleId="NBB">
    <w:name w:val="NBB"/>
    <w:basedOn w:val="Normal"/>
    <w:qFormat/>
    <w:rsid w:val="00954C16"/>
    <w:pPr>
      <w:spacing w:line="240" w:lineRule="auto"/>
      <w:ind w:left="1065" w:hanging="705"/>
    </w:pPr>
    <w:rPr>
      <w:rFonts w:ascii="Calibri Light" w:hAnsi="Calibri Light" w:cs="Times New Roman"/>
      <w:noProof/>
      <w:color w:val="auto"/>
      <w:sz w:val="22"/>
      <w:szCs w:val="22"/>
    </w:rPr>
  </w:style>
  <w:style w:type="table" w:customStyle="1" w:styleId="GridTable1Light-Accent11">
    <w:name w:val="Grid Table 1 Light - Accent 11"/>
    <w:basedOn w:val="TableNormal"/>
    <w:uiPriority w:val="46"/>
    <w:rsid w:val="009745AA"/>
    <w:pPr>
      <w:jc w:val="left"/>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9745AA"/>
    <w:pPr>
      <w:jc w:val="left"/>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9745AA"/>
    <w:pPr>
      <w:spacing w:after="200" w:line="240" w:lineRule="auto"/>
      <w:jc w:val="left"/>
    </w:pPr>
    <w:rPr>
      <w:rFonts w:asciiTheme="minorHAnsi" w:eastAsiaTheme="minorHAnsi" w:hAnsiTheme="minorHAnsi" w:cstheme="minorBidi"/>
      <w:i/>
      <w:iCs/>
      <w:color w:val="1F497D" w:themeColor="text2"/>
      <w:sz w:val="18"/>
      <w:szCs w:val="18"/>
      <w:lang w:val="en-US"/>
    </w:rPr>
  </w:style>
  <w:style w:type="table" w:customStyle="1" w:styleId="GridTable1Light-Accent41">
    <w:name w:val="Grid Table 1 Light - Accent 41"/>
    <w:basedOn w:val="TableNormal"/>
    <w:uiPriority w:val="46"/>
    <w:rsid w:val="009745AA"/>
    <w:pPr>
      <w:jc w:val="left"/>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745AA"/>
    <w:rPr>
      <w:color w:val="0000FF"/>
      <w:u w:val="single"/>
    </w:rPr>
  </w:style>
  <w:style w:type="table" w:customStyle="1" w:styleId="GridTable1Light-Accent12">
    <w:name w:val="Grid Table 1 Light - Accent 12"/>
    <w:basedOn w:val="TableNormal"/>
    <w:uiPriority w:val="46"/>
    <w:rsid w:val="009745AA"/>
    <w:pPr>
      <w:jc w:val="left"/>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rsid w:val="00C01AF6"/>
    <w:pPr>
      <w:spacing w:after="160" w:line="240" w:lineRule="exact"/>
      <w:jc w:val="left"/>
    </w:pPr>
    <w:rPr>
      <w:rFonts w:asciiTheme="minorHAnsi" w:eastAsiaTheme="minorHAnsi" w:hAnsiTheme="minorHAnsi" w:cstheme="minorBidi"/>
      <w:color w:val="auto"/>
      <w:sz w:val="22"/>
      <w:szCs w:val="22"/>
      <w:vertAlign w:val="superscript"/>
      <w:lang w:val="en-US"/>
    </w:rPr>
  </w:style>
  <w:style w:type="table" w:customStyle="1" w:styleId="GridTable1Light-Accent111">
    <w:name w:val="Grid Table 1 Light - Accent 111"/>
    <w:basedOn w:val="TableNormal"/>
    <w:uiPriority w:val="46"/>
    <w:rsid w:val="00795762"/>
    <w:pPr>
      <w:jc w:val="left"/>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F17763"/>
    <w:pPr>
      <w:pageBreakBefore w:val="0"/>
      <w:numPr>
        <w:numId w:val="0"/>
      </w:numPr>
      <w:spacing w:before="240" w:after="0" w:line="259" w:lineRule="auto"/>
      <w:outlineLvl w:val="9"/>
    </w:pPr>
    <w:rPr>
      <w:rFonts w:asciiTheme="majorHAnsi" w:eastAsiaTheme="majorEastAsia" w:hAnsiTheme="majorHAnsi" w:cstheme="majorBidi"/>
      <w:smallCaps w:val="0"/>
      <w:noProof w:val="0"/>
      <w:color w:val="365F91" w:themeColor="accent1" w:themeShade="BF"/>
      <w:sz w:val="32"/>
      <w:szCs w:val="32"/>
    </w:rPr>
  </w:style>
  <w:style w:type="paragraph" w:styleId="TOC1">
    <w:name w:val="toc 1"/>
    <w:basedOn w:val="Normal"/>
    <w:next w:val="Normal"/>
    <w:autoRedefine/>
    <w:uiPriority w:val="39"/>
    <w:unhideWhenUsed/>
    <w:rsid w:val="00764B04"/>
    <w:pPr>
      <w:tabs>
        <w:tab w:val="left" w:pos="480"/>
        <w:tab w:val="right" w:leader="dot" w:pos="9061"/>
      </w:tabs>
      <w:spacing w:after="100"/>
    </w:pPr>
    <w:rPr>
      <w:rFonts w:asciiTheme="minorHAnsi" w:hAnsiTheme="minorHAnsi" w:cs="Calibri"/>
      <w:b/>
      <w:noProof/>
      <w:sz w:val="22"/>
      <w:szCs w:val="22"/>
    </w:rPr>
  </w:style>
  <w:style w:type="paragraph" w:styleId="TOC2">
    <w:name w:val="toc 2"/>
    <w:basedOn w:val="Normal"/>
    <w:next w:val="Normal"/>
    <w:autoRedefine/>
    <w:uiPriority w:val="39"/>
    <w:unhideWhenUsed/>
    <w:rsid w:val="00DF50E6"/>
    <w:pPr>
      <w:tabs>
        <w:tab w:val="right" w:leader="dot" w:pos="9061"/>
      </w:tabs>
      <w:spacing w:after="100"/>
    </w:pPr>
    <w:rPr>
      <w:b/>
      <w:noProof/>
    </w:rPr>
  </w:style>
  <w:style w:type="paragraph" w:styleId="TOC3">
    <w:name w:val="toc 3"/>
    <w:basedOn w:val="Normal"/>
    <w:next w:val="Normal"/>
    <w:autoRedefine/>
    <w:uiPriority w:val="39"/>
    <w:unhideWhenUsed/>
    <w:rsid w:val="00F17763"/>
    <w:pPr>
      <w:spacing w:after="100"/>
      <w:ind w:left="480"/>
    </w:pPr>
  </w:style>
  <w:style w:type="numbering" w:customStyle="1" w:styleId="NoList1">
    <w:name w:val="No List1"/>
    <w:next w:val="NoList"/>
    <w:uiPriority w:val="99"/>
    <w:semiHidden/>
    <w:unhideWhenUsed/>
    <w:rsid w:val="006D529F"/>
  </w:style>
  <w:style w:type="character" w:styleId="FollowedHyperlink">
    <w:name w:val="FollowedHyperlink"/>
    <w:basedOn w:val="DefaultParagraphFont"/>
    <w:uiPriority w:val="99"/>
    <w:semiHidden/>
    <w:unhideWhenUsed/>
    <w:rsid w:val="006D529F"/>
    <w:rPr>
      <w:color w:val="954F72"/>
      <w:u w:val="single"/>
    </w:rPr>
  </w:style>
  <w:style w:type="paragraph" w:customStyle="1" w:styleId="xl94">
    <w:name w:val="xl94"/>
    <w:basedOn w:val="Normal"/>
    <w:rsid w:val="006D52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hAnsi="Calibri" w:cs="Calibri"/>
      <w:color w:val="auto"/>
      <w:sz w:val="18"/>
      <w:szCs w:val="18"/>
    </w:rPr>
  </w:style>
  <w:style w:type="character" w:styleId="Strong">
    <w:name w:val="Strong"/>
    <w:basedOn w:val="DefaultParagraphFont"/>
    <w:uiPriority w:val="22"/>
    <w:qFormat/>
    <w:rsid w:val="007B57CF"/>
    <w:rPr>
      <w:b/>
      <w:bCs/>
    </w:rPr>
  </w:style>
  <w:style w:type="table" w:styleId="MediumShading1-Accent4">
    <w:name w:val="Medium Shading 1 Accent 4"/>
    <w:basedOn w:val="TableNormal"/>
    <w:uiPriority w:val="63"/>
    <w:rsid w:val="00D17F02"/>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Style1">
    <w:name w:val="Style1"/>
    <w:basedOn w:val="Title"/>
    <w:link w:val="Style1Char"/>
    <w:qFormat/>
    <w:rsid w:val="00764B04"/>
    <w:pPr>
      <w:spacing w:after="0" w:line="276" w:lineRule="auto"/>
      <w:jc w:val="both"/>
    </w:pPr>
    <w:rPr>
      <w:rFonts w:ascii="Calibri" w:hAnsi="Calibri" w:cstheme="minorHAnsi"/>
      <w:b/>
      <w:sz w:val="32"/>
      <w:szCs w:val="32"/>
    </w:rPr>
  </w:style>
  <w:style w:type="character" w:customStyle="1" w:styleId="Style1Char">
    <w:name w:val="Style1 Char"/>
    <w:basedOn w:val="TitleChar"/>
    <w:link w:val="Style1"/>
    <w:rsid w:val="00764B04"/>
    <w:rPr>
      <w:rFonts w:ascii="Calibri" w:eastAsiaTheme="majorEastAsia" w:hAnsi="Calibri" w:cstheme="minorHAnsi"/>
      <w:b/>
      <w:color w:val="7E0000"/>
      <w:spacing w:val="5"/>
      <w:kern w:val="28"/>
      <w:sz w:val="32"/>
      <w:szCs w:val="32"/>
    </w:rPr>
  </w:style>
</w:styles>
</file>

<file path=word/webSettings.xml><?xml version="1.0" encoding="utf-8"?>
<w:webSettings xmlns:r="http://schemas.openxmlformats.org/officeDocument/2006/relationships" xmlns:w="http://schemas.openxmlformats.org/wordprocessingml/2006/main">
  <w:divs>
    <w:div w:id="76830198">
      <w:bodyDiv w:val="1"/>
      <w:marLeft w:val="0"/>
      <w:marRight w:val="0"/>
      <w:marTop w:val="0"/>
      <w:marBottom w:val="0"/>
      <w:divBdr>
        <w:top w:val="none" w:sz="0" w:space="0" w:color="auto"/>
        <w:left w:val="none" w:sz="0" w:space="0" w:color="auto"/>
        <w:bottom w:val="none" w:sz="0" w:space="0" w:color="auto"/>
        <w:right w:val="none" w:sz="0" w:space="0" w:color="auto"/>
      </w:divBdr>
    </w:div>
    <w:div w:id="96948483">
      <w:bodyDiv w:val="1"/>
      <w:marLeft w:val="0"/>
      <w:marRight w:val="0"/>
      <w:marTop w:val="0"/>
      <w:marBottom w:val="0"/>
      <w:divBdr>
        <w:top w:val="none" w:sz="0" w:space="0" w:color="auto"/>
        <w:left w:val="none" w:sz="0" w:space="0" w:color="auto"/>
        <w:bottom w:val="none" w:sz="0" w:space="0" w:color="auto"/>
        <w:right w:val="none" w:sz="0" w:space="0" w:color="auto"/>
      </w:divBdr>
    </w:div>
    <w:div w:id="149367607">
      <w:bodyDiv w:val="1"/>
      <w:marLeft w:val="0"/>
      <w:marRight w:val="0"/>
      <w:marTop w:val="0"/>
      <w:marBottom w:val="0"/>
      <w:divBdr>
        <w:top w:val="none" w:sz="0" w:space="0" w:color="auto"/>
        <w:left w:val="none" w:sz="0" w:space="0" w:color="auto"/>
        <w:bottom w:val="none" w:sz="0" w:space="0" w:color="auto"/>
        <w:right w:val="none" w:sz="0" w:space="0" w:color="auto"/>
      </w:divBdr>
    </w:div>
    <w:div w:id="192547558">
      <w:bodyDiv w:val="1"/>
      <w:marLeft w:val="0"/>
      <w:marRight w:val="0"/>
      <w:marTop w:val="0"/>
      <w:marBottom w:val="0"/>
      <w:divBdr>
        <w:top w:val="none" w:sz="0" w:space="0" w:color="auto"/>
        <w:left w:val="none" w:sz="0" w:space="0" w:color="auto"/>
        <w:bottom w:val="none" w:sz="0" w:space="0" w:color="auto"/>
        <w:right w:val="none" w:sz="0" w:space="0" w:color="auto"/>
      </w:divBdr>
      <w:divsChild>
        <w:div w:id="1346327777">
          <w:marLeft w:val="0"/>
          <w:marRight w:val="0"/>
          <w:marTop w:val="0"/>
          <w:marBottom w:val="0"/>
          <w:divBdr>
            <w:top w:val="none" w:sz="0" w:space="0" w:color="auto"/>
            <w:left w:val="none" w:sz="0" w:space="0" w:color="auto"/>
            <w:bottom w:val="none" w:sz="0" w:space="0" w:color="auto"/>
            <w:right w:val="none" w:sz="0" w:space="0" w:color="auto"/>
          </w:divBdr>
        </w:div>
        <w:div w:id="1764103787">
          <w:marLeft w:val="0"/>
          <w:marRight w:val="0"/>
          <w:marTop w:val="0"/>
          <w:marBottom w:val="0"/>
          <w:divBdr>
            <w:top w:val="none" w:sz="0" w:space="0" w:color="auto"/>
            <w:left w:val="none" w:sz="0" w:space="0" w:color="auto"/>
            <w:bottom w:val="none" w:sz="0" w:space="0" w:color="auto"/>
            <w:right w:val="none" w:sz="0" w:space="0" w:color="auto"/>
          </w:divBdr>
        </w:div>
      </w:divsChild>
    </w:div>
    <w:div w:id="314725464">
      <w:bodyDiv w:val="1"/>
      <w:marLeft w:val="0"/>
      <w:marRight w:val="0"/>
      <w:marTop w:val="0"/>
      <w:marBottom w:val="0"/>
      <w:divBdr>
        <w:top w:val="none" w:sz="0" w:space="0" w:color="auto"/>
        <w:left w:val="none" w:sz="0" w:space="0" w:color="auto"/>
        <w:bottom w:val="none" w:sz="0" w:space="0" w:color="auto"/>
        <w:right w:val="none" w:sz="0" w:space="0" w:color="auto"/>
      </w:divBdr>
    </w:div>
    <w:div w:id="420613220">
      <w:bodyDiv w:val="1"/>
      <w:marLeft w:val="0"/>
      <w:marRight w:val="0"/>
      <w:marTop w:val="0"/>
      <w:marBottom w:val="0"/>
      <w:divBdr>
        <w:top w:val="none" w:sz="0" w:space="0" w:color="auto"/>
        <w:left w:val="none" w:sz="0" w:space="0" w:color="auto"/>
        <w:bottom w:val="none" w:sz="0" w:space="0" w:color="auto"/>
        <w:right w:val="none" w:sz="0" w:space="0" w:color="auto"/>
      </w:divBdr>
    </w:div>
    <w:div w:id="434450175">
      <w:bodyDiv w:val="1"/>
      <w:marLeft w:val="0"/>
      <w:marRight w:val="0"/>
      <w:marTop w:val="0"/>
      <w:marBottom w:val="0"/>
      <w:divBdr>
        <w:top w:val="none" w:sz="0" w:space="0" w:color="auto"/>
        <w:left w:val="none" w:sz="0" w:space="0" w:color="auto"/>
        <w:bottom w:val="none" w:sz="0" w:space="0" w:color="auto"/>
        <w:right w:val="none" w:sz="0" w:space="0" w:color="auto"/>
      </w:divBdr>
      <w:divsChild>
        <w:div w:id="2030988073">
          <w:marLeft w:val="0"/>
          <w:marRight w:val="0"/>
          <w:marTop w:val="0"/>
          <w:marBottom w:val="0"/>
          <w:divBdr>
            <w:top w:val="none" w:sz="0" w:space="0" w:color="auto"/>
            <w:left w:val="none" w:sz="0" w:space="0" w:color="auto"/>
            <w:bottom w:val="none" w:sz="0" w:space="0" w:color="auto"/>
            <w:right w:val="none" w:sz="0" w:space="0" w:color="auto"/>
          </w:divBdr>
        </w:div>
      </w:divsChild>
    </w:div>
    <w:div w:id="517424541">
      <w:bodyDiv w:val="1"/>
      <w:marLeft w:val="0"/>
      <w:marRight w:val="0"/>
      <w:marTop w:val="0"/>
      <w:marBottom w:val="0"/>
      <w:divBdr>
        <w:top w:val="none" w:sz="0" w:space="0" w:color="auto"/>
        <w:left w:val="none" w:sz="0" w:space="0" w:color="auto"/>
        <w:bottom w:val="none" w:sz="0" w:space="0" w:color="auto"/>
        <w:right w:val="none" w:sz="0" w:space="0" w:color="auto"/>
      </w:divBdr>
    </w:div>
    <w:div w:id="591089023">
      <w:bodyDiv w:val="1"/>
      <w:marLeft w:val="0"/>
      <w:marRight w:val="0"/>
      <w:marTop w:val="0"/>
      <w:marBottom w:val="0"/>
      <w:divBdr>
        <w:top w:val="none" w:sz="0" w:space="0" w:color="auto"/>
        <w:left w:val="none" w:sz="0" w:space="0" w:color="auto"/>
        <w:bottom w:val="none" w:sz="0" w:space="0" w:color="auto"/>
        <w:right w:val="none" w:sz="0" w:space="0" w:color="auto"/>
      </w:divBdr>
    </w:div>
    <w:div w:id="649020055">
      <w:bodyDiv w:val="1"/>
      <w:marLeft w:val="0"/>
      <w:marRight w:val="0"/>
      <w:marTop w:val="0"/>
      <w:marBottom w:val="0"/>
      <w:divBdr>
        <w:top w:val="none" w:sz="0" w:space="0" w:color="auto"/>
        <w:left w:val="none" w:sz="0" w:space="0" w:color="auto"/>
        <w:bottom w:val="none" w:sz="0" w:space="0" w:color="auto"/>
        <w:right w:val="none" w:sz="0" w:space="0" w:color="auto"/>
      </w:divBdr>
    </w:div>
    <w:div w:id="715929414">
      <w:bodyDiv w:val="1"/>
      <w:marLeft w:val="0"/>
      <w:marRight w:val="0"/>
      <w:marTop w:val="0"/>
      <w:marBottom w:val="0"/>
      <w:divBdr>
        <w:top w:val="none" w:sz="0" w:space="0" w:color="auto"/>
        <w:left w:val="none" w:sz="0" w:space="0" w:color="auto"/>
        <w:bottom w:val="none" w:sz="0" w:space="0" w:color="auto"/>
        <w:right w:val="none" w:sz="0" w:space="0" w:color="auto"/>
      </w:divBdr>
    </w:div>
    <w:div w:id="752046248">
      <w:bodyDiv w:val="1"/>
      <w:marLeft w:val="0"/>
      <w:marRight w:val="0"/>
      <w:marTop w:val="0"/>
      <w:marBottom w:val="0"/>
      <w:divBdr>
        <w:top w:val="none" w:sz="0" w:space="0" w:color="auto"/>
        <w:left w:val="none" w:sz="0" w:space="0" w:color="auto"/>
        <w:bottom w:val="none" w:sz="0" w:space="0" w:color="auto"/>
        <w:right w:val="none" w:sz="0" w:space="0" w:color="auto"/>
      </w:divBdr>
    </w:div>
    <w:div w:id="975912478">
      <w:bodyDiv w:val="1"/>
      <w:marLeft w:val="0"/>
      <w:marRight w:val="0"/>
      <w:marTop w:val="0"/>
      <w:marBottom w:val="0"/>
      <w:divBdr>
        <w:top w:val="none" w:sz="0" w:space="0" w:color="auto"/>
        <w:left w:val="none" w:sz="0" w:space="0" w:color="auto"/>
        <w:bottom w:val="none" w:sz="0" w:space="0" w:color="auto"/>
        <w:right w:val="none" w:sz="0" w:space="0" w:color="auto"/>
      </w:divBdr>
    </w:div>
    <w:div w:id="1104302849">
      <w:bodyDiv w:val="1"/>
      <w:marLeft w:val="0"/>
      <w:marRight w:val="0"/>
      <w:marTop w:val="0"/>
      <w:marBottom w:val="0"/>
      <w:divBdr>
        <w:top w:val="none" w:sz="0" w:space="0" w:color="auto"/>
        <w:left w:val="none" w:sz="0" w:space="0" w:color="auto"/>
        <w:bottom w:val="none" w:sz="0" w:space="0" w:color="auto"/>
        <w:right w:val="none" w:sz="0" w:space="0" w:color="auto"/>
      </w:divBdr>
    </w:div>
    <w:div w:id="1192842048">
      <w:bodyDiv w:val="1"/>
      <w:marLeft w:val="0"/>
      <w:marRight w:val="0"/>
      <w:marTop w:val="0"/>
      <w:marBottom w:val="0"/>
      <w:divBdr>
        <w:top w:val="none" w:sz="0" w:space="0" w:color="auto"/>
        <w:left w:val="none" w:sz="0" w:space="0" w:color="auto"/>
        <w:bottom w:val="none" w:sz="0" w:space="0" w:color="auto"/>
        <w:right w:val="none" w:sz="0" w:space="0" w:color="auto"/>
      </w:divBdr>
    </w:div>
    <w:div w:id="1344438254">
      <w:bodyDiv w:val="1"/>
      <w:marLeft w:val="0"/>
      <w:marRight w:val="0"/>
      <w:marTop w:val="0"/>
      <w:marBottom w:val="0"/>
      <w:divBdr>
        <w:top w:val="none" w:sz="0" w:space="0" w:color="auto"/>
        <w:left w:val="none" w:sz="0" w:space="0" w:color="auto"/>
        <w:bottom w:val="none" w:sz="0" w:space="0" w:color="auto"/>
        <w:right w:val="none" w:sz="0" w:space="0" w:color="auto"/>
      </w:divBdr>
    </w:div>
    <w:div w:id="1523743889">
      <w:bodyDiv w:val="1"/>
      <w:marLeft w:val="0"/>
      <w:marRight w:val="0"/>
      <w:marTop w:val="0"/>
      <w:marBottom w:val="0"/>
      <w:divBdr>
        <w:top w:val="none" w:sz="0" w:space="0" w:color="auto"/>
        <w:left w:val="none" w:sz="0" w:space="0" w:color="auto"/>
        <w:bottom w:val="none" w:sz="0" w:space="0" w:color="auto"/>
        <w:right w:val="none" w:sz="0" w:space="0" w:color="auto"/>
      </w:divBdr>
    </w:div>
    <w:div w:id="1608780489">
      <w:bodyDiv w:val="1"/>
      <w:marLeft w:val="0"/>
      <w:marRight w:val="0"/>
      <w:marTop w:val="0"/>
      <w:marBottom w:val="0"/>
      <w:divBdr>
        <w:top w:val="none" w:sz="0" w:space="0" w:color="auto"/>
        <w:left w:val="none" w:sz="0" w:space="0" w:color="auto"/>
        <w:bottom w:val="none" w:sz="0" w:space="0" w:color="auto"/>
        <w:right w:val="none" w:sz="0" w:space="0" w:color="auto"/>
      </w:divBdr>
    </w:div>
    <w:div w:id="1614089633">
      <w:bodyDiv w:val="1"/>
      <w:marLeft w:val="0"/>
      <w:marRight w:val="0"/>
      <w:marTop w:val="0"/>
      <w:marBottom w:val="0"/>
      <w:divBdr>
        <w:top w:val="none" w:sz="0" w:space="0" w:color="auto"/>
        <w:left w:val="none" w:sz="0" w:space="0" w:color="auto"/>
        <w:bottom w:val="none" w:sz="0" w:space="0" w:color="auto"/>
        <w:right w:val="none" w:sz="0" w:space="0" w:color="auto"/>
      </w:divBdr>
    </w:div>
    <w:div w:id="1755085335">
      <w:bodyDiv w:val="1"/>
      <w:marLeft w:val="0"/>
      <w:marRight w:val="0"/>
      <w:marTop w:val="0"/>
      <w:marBottom w:val="0"/>
      <w:divBdr>
        <w:top w:val="none" w:sz="0" w:space="0" w:color="auto"/>
        <w:left w:val="none" w:sz="0" w:space="0" w:color="auto"/>
        <w:bottom w:val="none" w:sz="0" w:space="0" w:color="auto"/>
        <w:right w:val="none" w:sz="0" w:space="0" w:color="auto"/>
      </w:divBdr>
    </w:div>
    <w:div w:id="1764765857">
      <w:bodyDiv w:val="1"/>
      <w:marLeft w:val="0"/>
      <w:marRight w:val="0"/>
      <w:marTop w:val="0"/>
      <w:marBottom w:val="0"/>
      <w:divBdr>
        <w:top w:val="none" w:sz="0" w:space="0" w:color="auto"/>
        <w:left w:val="none" w:sz="0" w:space="0" w:color="auto"/>
        <w:bottom w:val="none" w:sz="0" w:space="0" w:color="auto"/>
        <w:right w:val="none" w:sz="0" w:space="0" w:color="auto"/>
      </w:divBdr>
    </w:div>
    <w:div w:id="1771318139">
      <w:bodyDiv w:val="1"/>
      <w:marLeft w:val="0"/>
      <w:marRight w:val="0"/>
      <w:marTop w:val="0"/>
      <w:marBottom w:val="0"/>
      <w:divBdr>
        <w:top w:val="none" w:sz="0" w:space="0" w:color="auto"/>
        <w:left w:val="none" w:sz="0" w:space="0" w:color="auto"/>
        <w:bottom w:val="none" w:sz="0" w:space="0" w:color="auto"/>
        <w:right w:val="none" w:sz="0" w:space="0" w:color="auto"/>
      </w:divBdr>
    </w:div>
    <w:div w:id="1900092179">
      <w:bodyDiv w:val="1"/>
      <w:marLeft w:val="0"/>
      <w:marRight w:val="0"/>
      <w:marTop w:val="0"/>
      <w:marBottom w:val="0"/>
      <w:divBdr>
        <w:top w:val="none" w:sz="0" w:space="0" w:color="auto"/>
        <w:left w:val="none" w:sz="0" w:space="0" w:color="auto"/>
        <w:bottom w:val="none" w:sz="0" w:space="0" w:color="auto"/>
        <w:right w:val="none" w:sz="0" w:space="0" w:color="auto"/>
      </w:divBdr>
    </w:div>
    <w:div w:id="205877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file:///C:\Users\ratko\Dropbox\Radovan\1%20Smjernice%202017\1%20Makroekonomske%20projekcije%202017-2019%201Jun%202017.xls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mi.adzic\Desktop\FISKALNA%20STRATEGIJA%202017\Verzija%2001.06.2017\Debt%20model%202016-2027%20verzija%2001.06.20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i.adzic\Desktop\FISKALNA%20STRATEGIJA%202017\Verzija%2001.06.2017\Debt%20model%202016-2027%20verzija%2001.06.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'Prihodi '!$C$4</c:f>
              <c:strCache>
                <c:ptCount val="1"/>
                <c:pt idx="0">
                  <c:v>Izvorni prihodi sa mjerama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'Prihodi '!$D$3:$G$3</c:f>
              <c:numCache>
                <c:formatCode>General</c:formatCode>
                <c:ptCount val="4"/>
                <c:pt idx="0">
                  <c:v>2017</c:v>
                </c:pt>
                <c:pt idx="1">
                  <c:v>2018</c:v>
                </c:pt>
                <c:pt idx="2">
                  <c:v>2019</c:v>
                </c:pt>
                <c:pt idx="3">
                  <c:v>2020</c:v>
                </c:pt>
              </c:numCache>
            </c:numRef>
          </c:cat>
          <c:val>
            <c:numRef>
              <c:f>'Prihodi '!$D$4:$G$4</c:f>
              <c:numCache>
                <c:formatCode>0.00,,</c:formatCode>
                <c:ptCount val="4"/>
                <c:pt idx="0">
                  <c:v>1578272392.0109999</c:v>
                </c:pt>
                <c:pt idx="1">
                  <c:v>1699713945.76123</c:v>
                </c:pt>
                <c:pt idx="2">
                  <c:v>1751855243.61602</c:v>
                </c:pt>
                <c:pt idx="3">
                  <c:v>1805181671.72788</c:v>
                </c:pt>
              </c:numCache>
            </c:numRef>
          </c:val>
          <c:extLst xmlns:c16r2="http://schemas.microsoft.com/office/drawing/2015/06/chart">
            <c:ext xmlns:c16="http://schemas.microsoft.com/office/drawing/2014/chart" uri="{C3380CC4-5D6E-409C-BE32-E72D297353CC}">
              <c16:uniqueId val="{00000000-0F0A-4A97-BA4F-38C02EAE3B01}"/>
            </c:ext>
          </c:extLst>
        </c:ser>
        <c:ser>
          <c:idx val="1"/>
          <c:order val="1"/>
          <c:tx>
            <c:strRef>
              <c:f>'Prihodi '!$C$5</c:f>
              <c:strCache>
                <c:ptCount val="1"/>
                <c:pt idx="0">
                  <c:v>Izvorni prihodi bez mjera (PER)</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'Prihodi '!$D$3:$G$3</c:f>
              <c:numCache>
                <c:formatCode>General</c:formatCode>
                <c:ptCount val="4"/>
                <c:pt idx="0">
                  <c:v>2017</c:v>
                </c:pt>
                <c:pt idx="1">
                  <c:v>2018</c:v>
                </c:pt>
                <c:pt idx="2">
                  <c:v>2019</c:v>
                </c:pt>
                <c:pt idx="3">
                  <c:v>2020</c:v>
                </c:pt>
              </c:numCache>
            </c:numRef>
          </c:cat>
          <c:val>
            <c:numRef>
              <c:f>'Prihodi '!$D$5:$G$5</c:f>
              <c:numCache>
                <c:formatCode>0.00,,</c:formatCode>
                <c:ptCount val="4"/>
                <c:pt idx="0">
                  <c:v>1551616663.4651301</c:v>
                </c:pt>
                <c:pt idx="1">
                  <c:v>1602448420.6632326</c:v>
                </c:pt>
                <c:pt idx="2">
                  <c:v>1633455871.4248416</c:v>
                </c:pt>
                <c:pt idx="3">
                  <c:v>1675110924.6579487</c:v>
                </c:pt>
              </c:numCache>
            </c:numRef>
          </c:val>
          <c:extLst xmlns:c16r2="http://schemas.microsoft.com/office/drawing/2015/06/chart">
            <c:ext xmlns:c16="http://schemas.microsoft.com/office/drawing/2014/chart" uri="{C3380CC4-5D6E-409C-BE32-E72D297353CC}">
              <c16:uniqueId val="{00000001-0F0A-4A97-BA4F-38C02EAE3B01}"/>
            </c:ext>
          </c:extLst>
        </c:ser>
        <c:dLbls>
          <c:showVal val="1"/>
        </c:dLbls>
        <c:marker val="1"/>
        <c:axId val="492753664"/>
        <c:axId val="492979328"/>
      </c:lineChart>
      <c:catAx>
        <c:axId val="4927536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92979328"/>
        <c:crosses val="autoZero"/>
        <c:auto val="1"/>
        <c:lblAlgn val="ctr"/>
        <c:lblOffset val="100"/>
      </c:catAx>
      <c:valAx>
        <c:axId val="49297932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tickLblPos val="none"/>
        <c:crossAx val="4927536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'Izdaci '!$B$3</c:f>
              <c:strCache>
                <c:ptCount val="1"/>
                <c:pt idx="0">
                  <c:v>Izdaci budžeta sa mjerama</c:v>
                </c:pt>
              </c:strCache>
            </c:strRef>
          </c:tx>
          <c:spPr>
            <a:ln w="28575" cap="rnd">
              <a:solidFill>
                <a:schemeClr val="accent1"/>
              </a:solidFill>
              <a:round/>
            </a:ln>
            <a:effectLst/>
          </c:spPr>
          <c:marker>
            <c:symbol val="none"/>
          </c:marker>
          <c:dLbls>
            <c:dLbl>
              <c:idx val="0"/>
              <c:layout>
                <c:manualLayout>
                  <c:x val="-7.3062554680664887E-2"/>
                  <c:y val="4.166666666666666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A60-41AB-8F2C-C3C0C570C5C6}"/>
                </c:ext>
              </c:extLst>
            </c:dLbl>
            <c:dLbl>
              <c:idx val="1"/>
              <c:layout>
                <c:manualLayout>
                  <c:x val="-6.4729221347332083E-2"/>
                  <c:y val="3.240740740740761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A60-41AB-8F2C-C3C0C570C5C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'Izdaci '!$C$2:$F$2</c:f>
              <c:numCache>
                <c:formatCode>General</c:formatCode>
                <c:ptCount val="4"/>
                <c:pt idx="0">
                  <c:v>2017</c:v>
                </c:pt>
                <c:pt idx="1">
                  <c:v>2018</c:v>
                </c:pt>
                <c:pt idx="2">
                  <c:v>2019</c:v>
                </c:pt>
                <c:pt idx="3">
                  <c:v>2020</c:v>
                </c:pt>
              </c:numCache>
            </c:numRef>
          </c:cat>
          <c:val>
            <c:numRef>
              <c:f>'Izdaci '!$C$3:$F$3</c:f>
              <c:numCache>
                <c:formatCode>0.00,,</c:formatCode>
                <c:ptCount val="4"/>
                <c:pt idx="0">
                  <c:v>1775406383.95</c:v>
                </c:pt>
                <c:pt idx="1">
                  <c:v>1811123693.04</c:v>
                </c:pt>
                <c:pt idx="2">
                  <c:v>1782870693.04</c:v>
                </c:pt>
                <c:pt idx="3">
                  <c:v>1602473693.04</c:v>
                </c:pt>
              </c:numCache>
            </c:numRef>
          </c:val>
          <c:extLst xmlns:c16r2="http://schemas.microsoft.com/office/drawing/2015/06/chart">
            <c:ext xmlns:c16="http://schemas.microsoft.com/office/drawing/2014/chart" uri="{C3380CC4-5D6E-409C-BE32-E72D297353CC}">
              <c16:uniqueId val="{00000002-4A60-41AB-8F2C-C3C0C570C5C6}"/>
            </c:ext>
          </c:extLst>
        </c:ser>
        <c:ser>
          <c:idx val="1"/>
          <c:order val="1"/>
          <c:tx>
            <c:strRef>
              <c:f>'Izdaci '!$B$4</c:f>
              <c:strCache>
                <c:ptCount val="1"/>
                <c:pt idx="0">
                  <c:v>Izdaci budžeta bez mjera (PER)</c:v>
                </c:pt>
              </c:strCache>
            </c:strRef>
          </c:tx>
          <c:spPr>
            <a:ln w="28575" cap="rnd">
              <a:solidFill>
                <a:schemeClr val="accent2"/>
              </a:solidFill>
              <a:round/>
            </a:ln>
            <a:effectLst/>
          </c:spPr>
          <c:marker>
            <c:symbol val="none"/>
          </c:marker>
          <c:dLbls>
            <c:dLbl>
              <c:idx val="0"/>
              <c:layout>
                <c:manualLayout>
                  <c:x val="-5.9173665791776027E-2"/>
                  <c:y val="-4.629629629629652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A60-41AB-8F2C-C3C0C570C5C6}"/>
                </c:ext>
              </c:extLst>
            </c:dLbl>
            <c:dLbl>
              <c:idx val="1"/>
              <c:layout>
                <c:manualLayout>
                  <c:x val="-6.4729221347332083E-2"/>
                  <c:y val="-4.166666666666666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A60-41AB-8F2C-C3C0C570C5C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'Izdaci '!$C$2:$F$2</c:f>
              <c:numCache>
                <c:formatCode>General</c:formatCode>
                <c:ptCount val="4"/>
                <c:pt idx="0">
                  <c:v>2017</c:v>
                </c:pt>
                <c:pt idx="1">
                  <c:v>2018</c:v>
                </c:pt>
                <c:pt idx="2">
                  <c:v>2019</c:v>
                </c:pt>
                <c:pt idx="3">
                  <c:v>2020</c:v>
                </c:pt>
              </c:numCache>
            </c:numRef>
          </c:cat>
          <c:val>
            <c:numRef>
              <c:f>'Izdaci '!$C$4:$F$4</c:f>
              <c:numCache>
                <c:formatCode>0.00,,</c:formatCode>
                <c:ptCount val="4"/>
                <c:pt idx="0">
                  <c:v>1785374983.9499998</c:v>
                </c:pt>
                <c:pt idx="1">
                  <c:v>1831588426.98</c:v>
                </c:pt>
                <c:pt idx="2">
                  <c:v>1803578339.96</c:v>
                </c:pt>
                <c:pt idx="3">
                  <c:v>1633003669.96</c:v>
                </c:pt>
              </c:numCache>
            </c:numRef>
          </c:val>
          <c:extLst xmlns:c16r2="http://schemas.microsoft.com/office/drawing/2015/06/chart">
            <c:ext xmlns:c16="http://schemas.microsoft.com/office/drawing/2014/chart" uri="{C3380CC4-5D6E-409C-BE32-E72D297353CC}">
              <c16:uniqueId val="{00000005-4A60-41AB-8F2C-C3C0C570C5C6}"/>
            </c:ext>
          </c:extLst>
        </c:ser>
        <c:dLbls>
          <c:showVal val="1"/>
        </c:dLbls>
        <c:marker val="1"/>
        <c:axId val="154303872"/>
        <c:axId val="154317952"/>
      </c:lineChart>
      <c:catAx>
        <c:axId val="15430387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4317952"/>
        <c:crosses val="autoZero"/>
        <c:auto val="1"/>
        <c:lblAlgn val="ctr"/>
        <c:lblOffset val="100"/>
      </c:catAx>
      <c:valAx>
        <c:axId val="154317952"/>
        <c:scaling>
          <c:orientation val="minMax"/>
          <c:min val="1550000000"/>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tickLblPos val="none"/>
        <c:crossAx val="1543038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'Deficit %BDP-a'!$C$4</c:f>
              <c:strCache>
                <c:ptCount val="1"/>
                <c:pt idx="0">
                  <c:v>Deficit % BDP-a sa mjerama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dLbl>
              <c:idx val="0"/>
              <c:tx>
                <c:rich>
                  <a:bodyPr/>
                  <a:lstStyle/>
                  <a:p>
                    <a:r>
                      <a:rPr lang="en-US"/>
                      <a:t>-5.0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949-4AFB-8E5E-110BC3A5B2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'Deficit %BDP-a'!$D$3:$G$3</c:f>
              <c:numCache>
                <c:formatCode>General</c:formatCode>
                <c:ptCount val="4"/>
                <c:pt idx="0">
                  <c:v>2017</c:v>
                </c:pt>
                <c:pt idx="1">
                  <c:v>2018</c:v>
                </c:pt>
                <c:pt idx="2">
                  <c:v>2019</c:v>
                </c:pt>
                <c:pt idx="3">
                  <c:v>2020</c:v>
                </c:pt>
              </c:numCache>
            </c:numRef>
          </c:cat>
          <c:val>
            <c:numRef>
              <c:f>'Deficit %BDP-a'!$D$4:$G$4</c:f>
              <c:numCache>
                <c:formatCode>General</c:formatCode>
                <c:ptCount val="4"/>
                <c:pt idx="0" formatCode="0.0">
                  <c:v>-5</c:v>
                </c:pt>
                <c:pt idx="1">
                  <c:v>-2.7</c:v>
                </c:pt>
                <c:pt idx="2">
                  <c:v>-0.70000000000000062</c:v>
                </c:pt>
                <c:pt idx="3">
                  <c:v>4.5</c:v>
                </c:pt>
              </c:numCache>
            </c:numRef>
          </c:val>
          <c:extLst xmlns:c16r2="http://schemas.microsoft.com/office/drawing/2015/06/chart">
            <c:ext xmlns:c16="http://schemas.microsoft.com/office/drawing/2014/chart" uri="{C3380CC4-5D6E-409C-BE32-E72D297353CC}">
              <c16:uniqueId val="{00000000-F3A5-4C4C-B877-5F95CD2820BB}"/>
            </c:ext>
          </c:extLst>
        </c:ser>
        <c:ser>
          <c:idx val="1"/>
          <c:order val="1"/>
          <c:tx>
            <c:strRef>
              <c:f>'Deficit %BDP-a'!$C$5</c:f>
              <c:strCache>
                <c:ptCount val="1"/>
                <c:pt idx="0">
                  <c:v>Deficit % BDP-a bez mjera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'Deficit %BDP-a'!$D$3:$G$3</c:f>
              <c:numCache>
                <c:formatCode>General</c:formatCode>
                <c:ptCount val="4"/>
                <c:pt idx="0">
                  <c:v>2017</c:v>
                </c:pt>
                <c:pt idx="1">
                  <c:v>2018</c:v>
                </c:pt>
                <c:pt idx="2">
                  <c:v>2019</c:v>
                </c:pt>
                <c:pt idx="3">
                  <c:v>2020</c:v>
                </c:pt>
              </c:numCache>
            </c:numRef>
          </c:cat>
          <c:val>
            <c:numRef>
              <c:f>'Deficit %BDP-a'!$D$5:$G$5</c:f>
              <c:numCache>
                <c:formatCode>General</c:formatCode>
                <c:ptCount val="4"/>
                <c:pt idx="0" formatCode="0.0">
                  <c:v>-6</c:v>
                </c:pt>
                <c:pt idx="1">
                  <c:v>-5.5</c:v>
                </c:pt>
                <c:pt idx="2">
                  <c:v>-3.9</c:v>
                </c:pt>
                <c:pt idx="3">
                  <c:v>0.9</c:v>
                </c:pt>
              </c:numCache>
            </c:numRef>
          </c:val>
          <c:extLst xmlns:c16r2="http://schemas.microsoft.com/office/drawing/2015/06/chart">
            <c:ext xmlns:c16="http://schemas.microsoft.com/office/drawing/2014/chart" uri="{C3380CC4-5D6E-409C-BE32-E72D297353CC}">
              <c16:uniqueId val="{00000001-F3A5-4C4C-B877-5F95CD2820BB}"/>
            </c:ext>
          </c:extLst>
        </c:ser>
        <c:dLbls>
          <c:showVal val="1"/>
        </c:dLbls>
        <c:gapWidth val="100"/>
        <c:overlap val="-24"/>
        <c:axId val="154409984"/>
        <c:axId val="154419968"/>
      </c:barChart>
      <c:catAx>
        <c:axId val="154409984"/>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4419968"/>
        <c:crosses val="autoZero"/>
        <c:auto val="1"/>
        <c:lblAlgn val="ctr"/>
        <c:lblOffset val="100"/>
      </c:catAx>
      <c:valAx>
        <c:axId val="154419968"/>
        <c:scaling>
          <c:orientation val="minMax"/>
        </c:scaling>
        <c:delete val="1"/>
        <c:axPos val="l"/>
        <c:numFmt formatCode="0.0" sourceLinked="1"/>
        <c:majorTickMark val="none"/>
        <c:tickLblPos val="none"/>
        <c:crossAx val="1544099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0"/>
  <c:chart>
    <c:autoTitleDeleted val="1"/>
    <c:plotArea>
      <c:layout/>
      <c:barChart>
        <c:barDir val="col"/>
        <c:grouping val="clustered"/>
        <c:ser>
          <c:idx val="1"/>
          <c:order val="0"/>
          <c:tx>
            <c:strRef>
              <c:f>FS!$C$9</c:f>
              <c:strCache>
                <c:ptCount val="1"/>
                <c:pt idx="0">
                  <c:v>FS: Ukupno javni dug % BDP-a</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FS!$D$1:$H$1</c:f>
              <c:strCache>
                <c:ptCount val="5"/>
                <c:pt idx="0">
                  <c:v>2016</c:v>
                </c:pt>
                <c:pt idx="1">
                  <c:v>2017</c:v>
                </c:pt>
                <c:pt idx="2">
                  <c:v>2018</c:v>
                </c:pt>
                <c:pt idx="3">
                  <c:v>2019</c:v>
                </c:pt>
                <c:pt idx="4">
                  <c:v>2020</c:v>
                </c:pt>
              </c:strCache>
            </c:strRef>
          </c:cat>
          <c:val>
            <c:numRef>
              <c:f>FS!$D$9:$H$9</c:f>
              <c:numCache>
                <c:formatCode>0.0%</c:formatCode>
                <c:ptCount val="5"/>
                <c:pt idx="0">
                  <c:v>0.67488092800720989</c:v>
                </c:pt>
                <c:pt idx="1">
                  <c:v>0.72985696957444668</c:v>
                </c:pt>
                <c:pt idx="2">
                  <c:v>0.74577568934262062</c:v>
                </c:pt>
                <c:pt idx="3">
                  <c:v>0.74012853940808276</c:v>
                </c:pt>
                <c:pt idx="4">
                  <c:v>0.66980204567498758</c:v>
                </c:pt>
              </c:numCache>
            </c:numRef>
          </c:val>
          <c:extLst xmlns:c16r2="http://schemas.microsoft.com/office/drawing/2015/06/chart">
            <c:ext xmlns:c16="http://schemas.microsoft.com/office/drawing/2014/chart" uri="{C3380CC4-5D6E-409C-BE32-E72D297353CC}">
              <c16:uniqueId val="{00000000-310B-45A2-AA9C-C9F9730B2295}"/>
            </c:ext>
          </c:extLst>
        </c:ser>
        <c:ser>
          <c:idx val="3"/>
          <c:order val="1"/>
          <c:tx>
            <c:strRef>
              <c:f>FS!$C$27</c:f>
              <c:strCache>
                <c:ptCount val="1"/>
                <c:pt idx="0">
                  <c:v>PER: Ukupno javni dug % BDP-a PER</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val>
            <c:numRef>
              <c:f>FS!$D$27:$G$27</c:f>
              <c:numCache>
                <c:formatCode>0.0%</c:formatCode>
                <c:ptCount val="4"/>
                <c:pt idx="0">
                  <c:v>0.6759297492961549</c:v>
                </c:pt>
                <c:pt idx="1">
                  <c:v>0.72509100165458162</c:v>
                </c:pt>
                <c:pt idx="2">
                  <c:v>0.75773420479303066</c:v>
                </c:pt>
                <c:pt idx="3">
                  <c:v>0.78329661755932145</c:v>
                </c:pt>
              </c:numCache>
            </c:numRef>
          </c:val>
          <c:extLst xmlns:c16r2="http://schemas.microsoft.com/office/drawing/2015/06/chart">
            <c:ext xmlns:c16="http://schemas.microsoft.com/office/drawing/2014/chart" uri="{C3380CC4-5D6E-409C-BE32-E72D297353CC}">
              <c16:uniqueId val="{00000001-310B-45A2-AA9C-C9F9730B2295}"/>
            </c:ext>
          </c:extLst>
        </c:ser>
        <c:dLbls>
          <c:showVal val="1"/>
        </c:dLbls>
        <c:gapWidth val="75"/>
        <c:axId val="166704256"/>
        <c:axId val="166705792"/>
      </c:barChart>
      <c:catAx>
        <c:axId val="166704256"/>
        <c:scaling>
          <c:orientation val="minMax"/>
        </c:scaling>
        <c:axPos val="b"/>
        <c:numFmt formatCode="General" sourceLinked="0"/>
        <c:majorTickMark val="none"/>
        <c:tickLblPos val="nextTo"/>
        <c:crossAx val="166705792"/>
        <c:crosses val="autoZero"/>
        <c:auto val="1"/>
        <c:lblAlgn val="ctr"/>
        <c:lblOffset val="100"/>
      </c:catAx>
      <c:valAx>
        <c:axId val="166705792"/>
        <c:scaling>
          <c:orientation val="minMax"/>
          <c:max val="0.8"/>
          <c:min val="0.62000000000000377"/>
        </c:scaling>
        <c:delete val="1"/>
        <c:axPos val="l"/>
        <c:numFmt formatCode="0.0%" sourceLinked="1"/>
        <c:majorTickMark val="none"/>
        <c:tickLblPos val="none"/>
        <c:crossAx val="166704256"/>
        <c:crosses val="autoZero"/>
        <c:crossBetween val="between"/>
        <c:majorUnit val="2.0000000000000011E-2"/>
        <c:minorUnit val="1.0000000000000005E-2"/>
      </c:valAx>
    </c:plotArea>
    <c:legend>
      <c:legendPos val="b"/>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style val="36"/>
  <c:chart>
    <c:autoTitleDeleted val="1"/>
    <c:plotArea>
      <c:layout/>
      <c:barChart>
        <c:barDir val="col"/>
        <c:grouping val="clustered"/>
        <c:ser>
          <c:idx val="0"/>
          <c:order val="0"/>
          <c:tx>
            <c:strRef>
              <c:f>'nedostajuca sredstva'!$C$4</c:f>
              <c:strCache>
                <c:ptCount val="1"/>
                <c:pt idx="0">
                  <c:v>PER</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'nedostajuca sredstva'!$D$3:$F$3</c:f>
              <c:numCache>
                <c:formatCode>General</c:formatCode>
                <c:ptCount val="3"/>
                <c:pt idx="0">
                  <c:v>2017</c:v>
                </c:pt>
                <c:pt idx="1">
                  <c:v>2018</c:v>
                </c:pt>
                <c:pt idx="2">
                  <c:v>2019</c:v>
                </c:pt>
              </c:numCache>
            </c:numRef>
          </c:cat>
          <c:val>
            <c:numRef>
              <c:f>'nedostajuca sredstva'!$D$4:$F$4</c:f>
              <c:numCache>
                <c:formatCode>#,##0.00</c:formatCode>
                <c:ptCount val="3"/>
                <c:pt idx="0">
                  <c:v>454.2</c:v>
                </c:pt>
                <c:pt idx="1">
                  <c:v>416.34000000000032</c:v>
                </c:pt>
                <c:pt idx="2">
                  <c:v>719.67000000000053</c:v>
                </c:pt>
              </c:numCache>
            </c:numRef>
          </c:val>
          <c:extLst xmlns:c16r2="http://schemas.microsoft.com/office/drawing/2015/06/chart">
            <c:ext xmlns:c16="http://schemas.microsoft.com/office/drawing/2014/chart" uri="{C3380CC4-5D6E-409C-BE32-E72D297353CC}">
              <c16:uniqueId val="{00000000-FD12-4E50-B98D-01CF83DBA248}"/>
            </c:ext>
          </c:extLst>
        </c:ser>
        <c:ser>
          <c:idx val="1"/>
          <c:order val="1"/>
          <c:tx>
            <c:strRef>
              <c:f>'nedostajuca sredstva'!$C$5</c:f>
              <c:strCache>
                <c:ptCount val="1"/>
                <c:pt idx="0">
                  <c:v>Fiskalna strategija</c:v>
                </c:pt>
              </c:strCache>
            </c:strRef>
          </c:tx>
          <c:spPr>
            <a:solidFill>
              <a:schemeClr val="accent4"/>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'nedostajuca sredstva'!$D$3:$F$3</c:f>
              <c:numCache>
                <c:formatCode>General</c:formatCode>
                <c:ptCount val="3"/>
                <c:pt idx="0">
                  <c:v>2017</c:v>
                </c:pt>
                <c:pt idx="1">
                  <c:v>2018</c:v>
                </c:pt>
                <c:pt idx="2">
                  <c:v>2019</c:v>
                </c:pt>
              </c:numCache>
            </c:numRef>
          </c:cat>
          <c:val>
            <c:numRef>
              <c:f>'nedostajuca sredstva'!$D$5:$F$5</c:f>
              <c:numCache>
                <c:formatCode>#,##0.00</c:formatCode>
                <c:ptCount val="3"/>
                <c:pt idx="0">
                  <c:v>417.5</c:v>
                </c:pt>
                <c:pt idx="1">
                  <c:v>326.8</c:v>
                </c:pt>
                <c:pt idx="2">
                  <c:v>560.29999999999995</c:v>
                </c:pt>
              </c:numCache>
            </c:numRef>
          </c:val>
          <c:extLst xmlns:c16r2="http://schemas.microsoft.com/office/drawing/2015/06/chart">
            <c:ext xmlns:c16="http://schemas.microsoft.com/office/drawing/2014/chart" uri="{C3380CC4-5D6E-409C-BE32-E72D297353CC}">
              <c16:uniqueId val="{00000001-FD12-4E50-B98D-01CF83DBA248}"/>
            </c:ext>
          </c:extLst>
        </c:ser>
        <c:dLbls>
          <c:showVal val="1"/>
        </c:dLbls>
        <c:overlap val="-25"/>
        <c:axId val="168198528"/>
        <c:axId val="168200064"/>
      </c:barChart>
      <c:catAx>
        <c:axId val="168198528"/>
        <c:scaling>
          <c:orientation val="minMax"/>
        </c:scaling>
        <c:axPos val="b"/>
        <c:numFmt formatCode="General" sourceLinked="1"/>
        <c:majorTickMark val="none"/>
        <c:tickLblPos val="nextTo"/>
        <c:crossAx val="168200064"/>
        <c:crosses val="autoZero"/>
        <c:auto val="1"/>
        <c:lblAlgn val="ctr"/>
        <c:lblOffset val="100"/>
      </c:catAx>
      <c:valAx>
        <c:axId val="168200064"/>
        <c:scaling>
          <c:orientation val="minMax"/>
          <c:max val="800"/>
          <c:min val="0"/>
        </c:scaling>
        <c:delete val="1"/>
        <c:axPos val="l"/>
        <c:numFmt formatCode="#,##0.00" sourceLinked="1"/>
        <c:majorTickMark val="none"/>
        <c:tickLblPos val="none"/>
        <c:crossAx val="168198528"/>
        <c:crosses val="autoZero"/>
        <c:crossBetween val="between"/>
        <c:majorUnit val="100"/>
        <c:minorUnit val="20"/>
      </c:valAx>
      <c:spPr>
        <a:noFill/>
      </c:spPr>
    </c:plotArea>
    <c:legend>
      <c:legendPos val="b"/>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07C3C8-DB49-485F-AA74-FFE61D92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13800</Words>
  <Characters>78663</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Predlog fiskalne strategije Crne Gore</vt:lpstr>
    </vt:vector>
  </TitlesOfParts>
  <Company>Ministarstvo finansija</Company>
  <LinksUpToDate>false</LinksUpToDate>
  <CharactersWithSpaces>92279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 fiskalne strategije Crne Gore</dc:title>
  <dc:subject>Ministarstvo finansija</dc:subject>
  <dc:creator>Iva Vukovic</dc:creator>
  <cp:lastModifiedBy>jasna.janjic</cp:lastModifiedBy>
  <cp:revision>2</cp:revision>
  <cp:lastPrinted>2017-06-06T16:40:00Z</cp:lastPrinted>
  <dcterms:created xsi:type="dcterms:W3CDTF">2017-06-07T08:19:00Z</dcterms:created>
  <dcterms:modified xsi:type="dcterms:W3CDTF">2017-06-07T08:19:00Z</dcterms:modified>
</cp:coreProperties>
</file>