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FD76" w14:textId="77777777" w:rsidR="00A07773" w:rsidRPr="00796809" w:rsidRDefault="00A07773" w:rsidP="00A07773">
      <w:pPr>
        <w:autoSpaceDE w:val="0"/>
        <w:autoSpaceDN w:val="0"/>
        <w:adjustRightInd w:val="0"/>
        <w:jc w:val="right"/>
        <w:rPr>
          <w:rFonts w:ascii="Arial" w:hAnsi="Arial" w:cs="Arial"/>
          <w:b/>
          <w:noProof/>
          <w:color w:val="365F91" w:themeColor="accent1" w:themeShade="BF"/>
          <w:sz w:val="20"/>
          <w:szCs w:val="20"/>
          <w:lang w:val="sr-Latn-ME"/>
        </w:rPr>
      </w:pPr>
      <w:r w:rsidRPr="00796809">
        <w:rPr>
          <w:rFonts w:ascii="Arial" w:hAnsi="Arial" w:cs="Arial"/>
          <w:b/>
          <w:noProof/>
          <w:color w:val="365F91" w:themeColor="accent1" w:themeShade="BF"/>
          <w:sz w:val="20"/>
          <w:szCs w:val="20"/>
          <w:lang w:val="sr-Latn-ME"/>
        </w:rPr>
        <w:t>OBRAZAC</w:t>
      </w:r>
    </w:p>
    <w:p w14:paraId="1A697B4D" w14:textId="77777777" w:rsidR="00067FCF" w:rsidRPr="00796809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noProof/>
          <w:color w:val="365F91" w:themeColor="accent1" w:themeShade="BF"/>
          <w:sz w:val="20"/>
          <w:szCs w:val="20"/>
          <w:lang w:val="sr-Latn-ME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885"/>
        <w:gridCol w:w="5455"/>
      </w:tblGrid>
      <w:tr w:rsidR="00C72668" w:rsidRPr="00796809" w14:paraId="6DD166FD" w14:textId="77777777" w:rsidTr="00051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BABEDDF" w14:textId="77777777" w:rsidR="00C72668" w:rsidRPr="00796809" w:rsidRDefault="00067FCF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IZVJEŠTAJ</w:t>
            </w:r>
            <w:r w:rsidR="005F6D49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O SPROVEDENOJ ANALIZI PROCJENE UTICAJA PROPISA</w:t>
            </w:r>
          </w:p>
        </w:tc>
      </w:tr>
      <w:tr w:rsidR="008322D4" w:rsidRPr="00796809" w14:paraId="31A29999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1568F618" w14:textId="77777777" w:rsidR="008322D4" w:rsidRPr="00796809" w:rsidRDefault="008322D4" w:rsidP="0000426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PREDLAGA</w:t>
            </w:r>
            <w:r w:rsidR="005F6D49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Č</w:t>
            </w:r>
            <w:r w:rsidR="0000426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PROPISA</w:t>
            </w:r>
          </w:p>
        </w:tc>
        <w:tc>
          <w:tcPr>
            <w:tcW w:w="5598" w:type="dxa"/>
          </w:tcPr>
          <w:p w14:paraId="76B5A5B2" w14:textId="77777777" w:rsidR="008322D4" w:rsidRPr="00796809" w:rsidRDefault="004607E9" w:rsidP="00540267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/>
                <w:noProof/>
                <w:sz w:val="20"/>
                <w:szCs w:val="20"/>
                <w:lang w:val="sr-Latn-ME"/>
              </w:rPr>
              <w:t>MINISTARSTVO</w:t>
            </w:r>
            <w:r w:rsidR="00A64FBB" w:rsidRPr="00796809">
              <w:rPr>
                <w:rFonts w:ascii="Arial" w:hAnsi="Arial" w:cs="Arial"/>
                <w:b/>
                <w:noProof/>
                <w:sz w:val="20"/>
                <w:szCs w:val="20"/>
                <w:lang w:val="sr-Latn-ME"/>
              </w:rPr>
              <w:t xml:space="preserve"> FINANSIJA – KOMISIJA ZA TRŽIŠTE KAPITALA</w:t>
            </w:r>
          </w:p>
        </w:tc>
      </w:tr>
      <w:tr w:rsidR="008322D4" w:rsidRPr="00796809" w14:paraId="0038B92A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45EB46D7" w14:textId="77777777" w:rsidR="008322D4" w:rsidRPr="00796809" w:rsidRDefault="008322D4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NA</w:t>
            </w:r>
            <w:r w:rsidR="00067FC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ZIV</w:t>
            </w: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PROPISA</w:t>
            </w:r>
          </w:p>
        </w:tc>
        <w:tc>
          <w:tcPr>
            <w:tcW w:w="5598" w:type="dxa"/>
          </w:tcPr>
          <w:p w14:paraId="6E099226" w14:textId="17975B82" w:rsidR="008322D4" w:rsidRPr="00796809" w:rsidRDefault="00EC7F84" w:rsidP="00825106">
            <w:pPr>
              <w:autoSpaceDE w:val="0"/>
              <w:autoSpaceDN w:val="0"/>
              <w:adjustRightInd w:val="0"/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/>
                <w:noProof/>
                <w:sz w:val="20"/>
                <w:szCs w:val="20"/>
                <w:lang w:val="sr-Latn-ME"/>
              </w:rPr>
              <w:t xml:space="preserve">Nacrt </w:t>
            </w:r>
            <w:r w:rsidR="00A15EEE" w:rsidRPr="00796809">
              <w:rPr>
                <w:rFonts w:ascii="Arial" w:hAnsi="Arial" w:cs="Arial"/>
                <w:b/>
                <w:noProof/>
                <w:sz w:val="20"/>
                <w:szCs w:val="20"/>
                <w:lang w:val="sr-Latn-ME"/>
              </w:rPr>
              <w:t>Zakona o tržištu kapitala</w:t>
            </w:r>
          </w:p>
        </w:tc>
      </w:tr>
      <w:tr w:rsidR="008322D4" w:rsidRPr="00796809" w14:paraId="02FED37F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B242F64" w14:textId="77777777" w:rsidR="008322D4" w:rsidRPr="00796809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1</w:t>
            </w:r>
            <w:r w:rsidR="001D0BF0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Definisanje problema</w:t>
            </w:r>
          </w:p>
          <w:p w14:paraId="563ACC78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1D0BF0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oje </w:t>
            </w:r>
            <w:r w:rsidR="005F03ED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probleme  treba da r</w:t>
            </w:r>
            <w:r w:rsidR="006A1B2C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i</w:t>
            </w:r>
            <w:r w:rsidR="005F03ED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ješi predloženi akt?</w:t>
            </w:r>
          </w:p>
          <w:p w14:paraId="28C30836" w14:textId="77777777" w:rsidR="00A07773" w:rsidRPr="00796809" w:rsidRDefault="00D06D2A" w:rsidP="009728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067FC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oji </w:t>
            </w:r>
            <w:r w:rsidR="008322D4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su uzroci problema?</w:t>
            </w:r>
          </w:p>
          <w:p w14:paraId="5D1ED9AE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067FC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oje </w:t>
            </w:r>
            <w:r w:rsidR="005F03ED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su posljedice problema?</w:t>
            </w:r>
          </w:p>
          <w:p w14:paraId="0391CECB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8322D4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o</w:t>
            </w: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j</w:t>
            </w:r>
            <w:r w:rsidR="00972845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i</w:t>
            </w:r>
            <w:r w:rsidR="00067FC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su subjekti</w:t>
            </w:r>
            <w:r w:rsidR="008322D4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oštećen</w:t>
            </w:r>
            <w:r w:rsidR="00067FC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i</w:t>
            </w:r>
            <w:r w:rsidR="008322D4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, na koji način i </w:t>
            </w:r>
            <w:r w:rsidR="00067FC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u kojoj mjeri</w:t>
            </w:r>
            <w:r w:rsidR="008322D4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?</w:t>
            </w:r>
          </w:p>
          <w:p w14:paraId="0BB6E86A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1D0BF0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ako </w:t>
            </w:r>
            <w:r w:rsidR="008322D4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bi problem evoluirao bez promjene propisa (</w:t>
            </w:r>
            <w:r w:rsidR="005F03ED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“status quo” </w:t>
            </w:r>
            <w:r w:rsidR="008322D4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opcija)?</w:t>
            </w:r>
          </w:p>
        </w:tc>
      </w:tr>
      <w:tr w:rsidR="008322D4" w:rsidRPr="00796809" w14:paraId="0D0DF3E7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262A4E5E" w14:textId="3074F93D" w:rsidR="00D66DDC" w:rsidRPr="00796809" w:rsidRDefault="00D66DDC" w:rsidP="00D66DDC">
            <w:p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Komisija za tržište kapitala je u junu 2025. godine usvojila Zakon o </w:t>
            </w:r>
            <w:r w:rsidR="00D551AD"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izmjenama i dopunama zakona o tržištu kapitala </w:t>
            </w:r>
            <w:r w:rsidR="00D551AD"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("Službeni list Crne Gore", br</w:t>
            </w:r>
            <w:r w:rsidR="00D551AD"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oj</w:t>
            </w:r>
            <w:r w:rsidR="00D551AD"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069/25 od 03.07.2025. godine)</w:t>
            </w: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, kojim je izvršeno značajno usklađivanje crnogorskog zakonodavstva sa pravnom tekovinom Evropske unije u oblasti tržišta kapitala.</w:t>
            </w:r>
          </w:p>
          <w:p w14:paraId="400D2FE2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54F2D2BB" w14:textId="77777777" w:rsidR="00D66DDC" w:rsidRPr="00796809" w:rsidRDefault="00D66DDC" w:rsidP="00D66DDC">
            <w:p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Međutim, imajući u vidu dalji razvoj i intenzivne izmjene propisa Evropske unije u oblasti tržišta finansijskih instrumenata, investicionih društava, 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posttrgovinskih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infrastruktura, 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prudencijalnih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zahtjeva, transparentnosti tržišta i nadzornih mehanizama, ukazala se potreba za donošenjem potpuno novog Zakona o tržištu kapitala, kojim će se obezbijediti sveobuhvatno, sistematsko i trajno usklađivanje sa važećom i konsolidovanom pravnom tekovinom Evropske unije.</w:t>
            </w:r>
          </w:p>
          <w:p w14:paraId="028B43C7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33B3D5BA" w14:textId="77777777" w:rsidR="00D66DDC" w:rsidRPr="00796809" w:rsidRDefault="00D66DDC" w:rsidP="00D66DDC">
            <w:p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Donošenjem novog Zakona o tržištu kapitala obezbijediće se potpuna pravna sigurnost, jasnoća i konzistentnost normativnog okvira, kao i institucionalna spremnost za primjenu prava Evropske unije u trenutku pristupanja Crne Gore Evropskoj uniji.</w:t>
            </w:r>
          </w:p>
          <w:p w14:paraId="151B0F66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4A2A89D4" w14:textId="77777777" w:rsidR="00D66DDC" w:rsidRPr="00796809" w:rsidRDefault="00D66DDC" w:rsidP="00D66DDC">
            <w:p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Važeći regulatorni okvir, i pored nedavnog usvajanja Zakona o tržištu kapitala u junu 2025. godine, ne obuhvata u potpunosti sve izmjene i dopune relevantnih propisa Evropske unije, naročito u dijelu koji se odnosi na:</w:t>
            </w:r>
          </w:p>
          <w:p w14:paraId="5CF678AF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7680B646" w14:textId="77777777" w:rsidR="00D66DDC" w:rsidRPr="00796809" w:rsidRDefault="00D66DDC" w:rsidP="00D66DDC">
            <w:pPr>
              <w:pStyle w:val="ListParagraph"/>
              <w:numPr>
                <w:ilvl w:val="0"/>
                <w:numId w:val="37"/>
              </w:numPr>
              <w:ind w:left="360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tržišta finansijskih instrumenata i organizaciju trgovanja;</w:t>
            </w:r>
          </w:p>
          <w:p w14:paraId="42DDA06D" w14:textId="77777777" w:rsidR="00D66DDC" w:rsidRPr="00796809" w:rsidRDefault="00D66DDC" w:rsidP="00D66DDC">
            <w:pPr>
              <w:pStyle w:val="ListParagraph"/>
              <w:ind w:left="-360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4B605F52" w14:textId="77777777" w:rsidR="00D66DDC" w:rsidRPr="00796809" w:rsidRDefault="00D66DDC" w:rsidP="00D66DDC">
            <w:pPr>
              <w:pStyle w:val="ListParagraph"/>
              <w:numPr>
                <w:ilvl w:val="0"/>
                <w:numId w:val="37"/>
              </w:numPr>
              <w:ind w:left="360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investiciona društva i njihov 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prudencijalni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okvir;</w:t>
            </w:r>
          </w:p>
          <w:p w14:paraId="4B35B1F1" w14:textId="77777777" w:rsidR="00D66DDC" w:rsidRPr="00796809" w:rsidRDefault="00D66DDC" w:rsidP="00D66DDC">
            <w:pPr>
              <w:pStyle w:val="ListParagraph"/>
              <w:ind w:left="-360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65F84CA1" w14:textId="77777777" w:rsidR="00D66DDC" w:rsidRPr="00796809" w:rsidRDefault="00D66DDC" w:rsidP="00D66DDC">
            <w:pPr>
              <w:pStyle w:val="ListParagraph"/>
              <w:numPr>
                <w:ilvl w:val="0"/>
                <w:numId w:val="37"/>
              </w:numPr>
              <w:ind w:left="360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transparentnost tržišta i zaštitu investitora;</w:t>
            </w:r>
          </w:p>
          <w:p w14:paraId="01A0B3C7" w14:textId="77777777" w:rsidR="00D66DDC" w:rsidRPr="00796809" w:rsidRDefault="00D66DDC" w:rsidP="00D66DDC">
            <w:pPr>
              <w:pStyle w:val="ListParagraph"/>
              <w:ind w:left="-360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0D1D935E" w14:textId="77777777" w:rsidR="00D66DDC" w:rsidRPr="00796809" w:rsidRDefault="00D66DDC" w:rsidP="00D66DDC">
            <w:pPr>
              <w:pStyle w:val="ListParagraph"/>
              <w:numPr>
                <w:ilvl w:val="0"/>
                <w:numId w:val="37"/>
              </w:numPr>
              <w:ind w:left="360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posttrgovinske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sisteme (kliring, saldiranje i centralni 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depozitorijumi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);</w:t>
            </w:r>
          </w:p>
          <w:p w14:paraId="42AB27DC" w14:textId="77777777" w:rsidR="00D66DDC" w:rsidRPr="00796809" w:rsidRDefault="00D66DDC" w:rsidP="00D66DDC">
            <w:pPr>
              <w:pStyle w:val="ListParagraph"/>
              <w:ind w:left="-360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3B24F66E" w14:textId="77777777" w:rsidR="00D66DDC" w:rsidRPr="00796809" w:rsidRDefault="00D66DDC" w:rsidP="00D66DDC">
            <w:pPr>
              <w:pStyle w:val="ListParagraph"/>
              <w:numPr>
                <w:ilvl w:val="0"/>
                <w:numId w:val="37"/>
              </w:numPr>
              <w:ind w:left="360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regulatorni i nadzorni okvir u skladu sa ulogom i ovlašćenjima nadležnog organa u Evropskoj uniji.</w:t>
            </w:r>
          </w:p>
          <w:p w14:paraId="140EB17B" w14:textId="77777777" w:rsidR="00D66DDC" w:rsidRPr="00796809" w:rsidRDefault="00D66DDC" w:rsidP="00D66DDC">
            <w:pPr>
              <w:pStyle w:val="ListParagraph"/>
              <w:ind w:left="-360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12BB7528" w14:textId="77777777" w:rsidR="00D66DDC" w:rsidRPr="00796809" w:rsidRDefault="00D66DDC" w:rsidP="00D66DDC">
            <w:p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Postojeći zakonski okvir ne omogućava u potpunosti prenošenje i primjenu konsolidovanih verzija propisa Evropske unije, niti jasno razgraničava odredbe koje je potrebno primjenjivati neposredno po pristupanju Evropskoj uniji.</w:t>
            </w:r>
          </w:p>
          <w:p w14:paraId="3C8A3F39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1EA83052" w14:textId="77777777" w:rsidR="00D66DDC" w:rsidRPr="00796809" w:rsidRDefault="00D66DDC" w:rsidP="00D66DD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Ciljevi koji se žele postići</w:t>
            </w:r>
          </w:p>
          <w:p w14:paraId="35527FA0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Donošenjem novog Zakona o tržištu kapitala postižu se sljedeći ciljevi:</w:t>
            </w:r>
          </w:p>
          <w:p w14:paraId="38F6DBB1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7156E279" w14:textId="77777777" w:rsidR="00D66DDC" w:rsidRPr="00796809" w:rsidRDefault="00D66DDC" w:rsidP="00D66DDC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potpuno i sistemsko usklađivanje sa pravnom tekovinom Evropske unije u oblasti tržišta kapitala;</w:t>
            </w:r>
          </w:p>
          <w:p w14:paraId="5503FCB1" w14:textId="77777777" w:rsidR="00D66DDC" w:rsidRPr="00796809" w:rsidRDefault="00D66DDC" w:rsidP="00D66DDC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stvaranje stabilnog i predvidivog regulatornog okvira koji će se primjenjivati od dana pristupanja Crne Gore Evropskoj uniji;</w:t>
            </w:r>
          </w:p>
          <w:p w14:paraId="071D439F" w14:textId="77777777" w:rsidR="00D66DDC" w:rsidRPr="00796809" w:rsidRDefault="00D66DDC" w:rsidP="00D66DDC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lastRenderedPageBreak/>
              <w:t>unapređenje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zaštite investitora i integriteta tržišta kapitala;</w:t>
            </w:r>
          </w:p>
          <w:p w14:paraId="133FA008" w14:textId="77777777" w:rsidR="00D66DDC" w:rsidRPr="00796809" w:rsidRDefault="00D66DDC" w:rsidP="00D66DDC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jačanje nadzorne uloge Komisije za tržište kapitala u skladu sa standardima Evropske unije;</w:t>
            </w:r>
          </w:p>
          <w:p w14:paraId="74C29662" w14:textId="77777777" w:rsidR="00D66DDC" w:rsidRPr="00796809" w:rsidRDefault="00D66DDC" w:rsidP="00D66DDC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obezbjeđivanje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funkcionalne povezanosti crnogorskog tržišta kapitala sa jedinstvenim tržištem Evropske unije.</w:t>
            </w:r>
          </w:p>
          <w:p w14:paraId="681029D5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4F21B083" w14:textId="70A6F9A9" w:rsidR="00D66DDC" w:rsidRPr="00796809" w:rsidRDefault="00D66DDC" w:rsidP="00D551AD">
            <w:pPr>
              <w:contextualSpacing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sz w:val="20"/>
                <w:szCs w:val="20"/>
                <w:lang w:val="sr-Latn-ME"/>
              </w:rPr>
              <w:t>Usklađenost sa pravnom tekovinom Evropske unije</w:t>
            </w:r>
          </w:p>
          <w:p w14:paraId="5A7D6D27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18D149A9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Predloženim Zakonom o tržištu kapitala vrši se usklađivanje sa pravnom tekovinom Evropske unije u oblasti tržišta kapitala, naročito sa sljedećim propisima:</w:t>
            </w:r>
          </w:p>
          <w:p w14:paraId="30039FBA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1613796A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1. Tržišta finansijskih instrumenata (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MiFID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II / 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MiFIR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)</w:t>
            </w:r>
          </w:p>
          <w:p w14:paraId="04259EFE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325134B1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Direktiva 2014/65/EU Evropskog parlamenta i Savjeta o tržištu finansijskih instrumenata (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MiFID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II), uključujući sve izmjene i dopune;</w:t>
            </w:r>
          </w:p>
          <w:p w14:paraId="705F298A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0DC978AA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Uredba (EU) br. 600/2014 o tržištima finansijskih instrumenata (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MiFIR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), uključujući sve izmjene i dopune.</w:t>
            </w:r>
          </w:p>
          <w:p w14:paraId="0526CA08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3C215831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2. 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Prudencijalni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okvir investicionih društava (IFD / IFR)</w:t>
            </w:r>
          </w:p>
          <w:p w14:paraId="66412DFC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6D8E02BF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Direktiva (EU) 2019/2034 o 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prudencijalnom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nadzoru investicionih društava (IFD);</w:t>
            </w:r>
          </w:p>
          <w:p w14:paraId="7C0C504B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7F7157A3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Uredba (EU) 2019/2033 o 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prudencijalnim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zahtjevima za investiciona društva (IFR).</w:t>
            </w:r>
          </w:p>
          <w:p w14:paraId="3A3BF4F0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2930643F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3. 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Posttrgovinska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infrastruktura</w:t>
            </w:r>
          </w:p>
          <w:p w14:paraId="40827C2F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68E2F2DC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Uredba (EU) br. 909/2014 o centralnim 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depozitorijumima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hartija od vrijednosti (CSDR);</w:t>
            </w:r>
          </w:p>
          <w:p w14:paraId="658BCF51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3F9D37C2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Uredba (EU) br. 648/2012 o OTC derivatima, centralnim ugovornim stranama i trgovinskim repozitorijumima (EMIR).</w:t>
            </w:r>
          </w:p>
          <w:p w14:paraId="0D70E572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3F1F0355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4. Transparentnost, zloupotreba tržišta i javna ponuda</w:t>
            </w:r>
          </w:p>
          <w:p w14:paraId="23CFA135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6F68331C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Uredba (EU) br. 596/2014 o zloupotrebi tržišta;</w:t>
            </w:r>
          </w:p>
          <w:p w14:paraId="0B7DB69B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70D30E7B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Uredba (EU) 2017/1129 o prospektu;</w:t>
            </w:r>
          </w:p>
          <w:p w14:paraId="6BDF6B09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751A16E7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Direktiva 2004/109/EZ o transparentnosti.</w:t>
            </w:r>
          </w:p>
          <w:p w14:paraId="04ED85A5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272CC9CF" w14:textId="25164411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Predloženim zakonom predviđa se donošenje podzakonskih akata radi preuzimanja regulatornih i </w:t>
            </w:r>
            <w:proofErr w:type="spellStart"/>
            <w:r w:rsidR="00D551AD"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s</w:t>
            </w: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provedbenih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tehničkih standarda (RTS i ITS), u skladu sa pravnom tekovinom Evropske unije.</w:t>
            </w:r>
          </w:p>
          <w:p w14:paraId="7C46CCE2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432EED44" w14:textId="03713FB2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Subjekti na koje se propis odnosi</w:t>
            </w:r>
          </w:p>
          <w:p w14:paraId="7A512A95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16DB9104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Predloženi zakon odnosi se na emitente finansijskih instrumenata, investiciona društva, regulisana tržišta, multilateralne i organizovane trgovinske sisteme, centralne 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depozitorijume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, klirinške institucije, druge učesnike na tržištu kapitala, kao i na Komisiju za tržište kapitala kao nadležni organ.</w:t>
            </w:r>
          </w:p>
          <w:p w14:paraId="0056F5BD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231DF861" w14:textId="0648D753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Uticaj „status 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quo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“ opcije</w:t>
            </w:r>
          </w:p>
          <w:p w14:paraId="4FCE54DD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399A9048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U slučaju zadržavanja postojećeg regulatornog okvira („status 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quo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“ opcija), Crna Gora ne bi bila u mogućnosti da u potpunosti primijeni pravnu tekovinu Evropske unije u oblasti tržišta kapitala u trenutku pristupanja Evropskoj uniji, što bi moglo imati negativan uticaj na proces pristupanja i zatvaranje pregovaračkih poglavlja 6 – Privredno pravo i 9 – Finansijske usluge.</w:t>
            </w:r>
          </w:p>
          <w:p w14:paraId="799DE681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39A0E697" w14:textId="128F9475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Primjena propisa</w:t>
            </w:r>
          </w:p>
          <w:p w14:paraId="6CBAEEEB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5A6C92D3" w14:textId="77777777" w:rsidR="00D66DDC" w:rsidRPr="00796809" w:rsidRDefault="00D66DDC" w:rsidP="00D66DDC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Predlaže se da Zakon o tržištu kapitala stupi na snagu danom objavljivanja, a da se primjenjuje od dana pristupanja Crne Gore Evropskoj uniji, čime se obezbjeđuje puna spremnost sistema za neposrednu primjenu prava Evropske unije.</w:t>
            </w:r>
          </w:p>
          <w:p w14:paraId="46845B03" w14:textId="77777777" w:rsidR="00D66DDC" w:rsidRPr="00796809" w:rsidRDefault="00D66DDC" w:rsidP="00D66DDC">
            <w:pPr>
              <w:pStyle w:val="Default"/>
              <w:tabs>
                <w:tab w:val="left" w:pos="270"/>
              </w:tabs>
              <w:jc w:val="both"/>
              <w:rPr>
                <w:b w:val="0"/>
                <w:bCs w:val="0"/>
                <w:sz w:val="20"/>
                <w:szCs w:val="20"/>
                <w:lang w:val="sr-Latn-ME"/>
              </w:rPr>
            </w:pPr>
          </w:p>
          <w:p w14:paraId="6A42A3B1" w14:textId="09DE2F3B" w:rsidR="00303291" w:rsidRPr="00796809" w:rsidRDefault="00CF7C61" w:rsidP="00D66DDC">
            <w:pPr>
              <w:pStyle w:val="Default"/>
              <w:tabs>
                <w:tab w:val="left" w:pos="270"/>
              </w:tabs>
              <w:jc w:val="both"/>
              <w:rPr>
                <w:b w:val="0"/>
                <w:bCs w:val="0"/>
                <w:sz w:val="20"/>
                <w:szCs w:val="20"/>
                <w:lang w:val="sr-Latn-ME"/>
              </w:rPr>
            </w:pPr>
            <w:r w:rsidRPr="00796809">
              <w:rPr>
                <w:b w:val="0"/>
                <w:bCs w:val="0"/>
                <w:sz w:val="20"/>
                <w:szCs w:val="20"/>
                <w:lang w:val="sr-Latn-ME"/>
              </w:rPr>
              <w:t xml:space="preserve">U </w:t>
            </w:r>
            <w:r w:rsidR="00950254" w:rsidRPr="00796809">
              <w:rPr>
                <w:b w:val="0"/>
                <w:bCs w:val="0"/>
                <w:sz w:val="20"/>
                <w:szCs w:val="20"/>
                <w:lang w:val="sr-Latn-ME"/>
              </w:rPr>
              <w:t xml:space="preserve">Crnoj Gori </w:t>
            </w:r>
            <w:r w:rsidR="00D551AD" w:rsidRPr="00796809">
              <w:rPr>
                <w:b w:val="0"/>
                <w:bCs w:val="0"/>
                <w:sz w:val="20"/>
                <w:szCs w:val="20"/>
                <w:lang w:val="sr-Latn-ME"/>
              </w:rPr>
              <w:t xml:space="preserve">nastavlja da se </w:t>
            </w:r>
            <w:r w:rsidR="00950254" w:rsidRPr="00796809">
              <w:rPr>
                <w:b w:val="0"/>
                <w:bCs w:val="0"/>
                <w:sz w:val="20"/>
                <w:szCs w:val="20"/>
                <w:lang w:val="sr-Latn-ME"/>
              </w:rPr>
              <w:t xml:space="preserve">primjenjuje </w:t>
            </w:r>
            <w:r w:rsidR="00A15EEE" w:rsidRPr="00796809">
              <w:rPr>
                <w:b w:val="0"/>
                <w:bCs w:val="0"/>
                <w:sz w:val="20"/>
                <w:szCs w:val="20"/>
                <w:lang w:val="sr-Latn-ME"/>
              </w:rPr>
              <w:t>Zakon o tržištu kapitala ("Službeni list Crne Gore", br. 01/18 od 04.01.2018</w:t>
            </w:r>
            <w:r w:rsidR="00D66DDC" w:rsidRPr="00796809">
              <w:rPr>
                <w:b w:val="0"/>
                <w:bCs w:val="0"/>
                <w:sz w:val="20"/>
                <w:szCs w:val="20"/>
                <w:lang w:val="sr-Latn-ME"/>
              </w:rPr>
              <w:t xml:space="preserve"> i 069/25 od 03.07.2025. godine</w:t>
            </w:r>
            <w:r w:rsidR="00A15EEE" w:rsidRPr="00796809">
              <w:rPr>
                <w:b w:val="0"/>
                <w:bCs w:val="0"/>
                <w:sz w:val="20"/>
                <w:szCs w:val="20"/>
                <w:lang w:val="sr-Latn-ME"/>
              </w:rPr>
              <w:t>) koji uređuje: uslove za osnivanje i rad tržišta kapitala; vrste finansijskih instrumenata; emisiju hartija od vrijednosti; organizaciju i poslovanje investicionih društava; regulisano tržište kapitala; sekundarno trgovanje hartijama od vrijednosti; registraciju finansijskih instrumenata, kliring, saldiranje i registraciju transakcija finansijskih instrumenata; objavljivanje finansijskih i drugih podataka i izvještavanje emitenata i drugih učesnika na tržištu kapitala; zabranu zloupotreba na tržištu kapitala; i druga pitanja od značaja za rad tržišta kapitala.</w:t>
            </w:r>
          </w:p>
          <w:p w14:paraId="118E2180" w14:textId="77777777" w:rsidR="001632A1" w:rsidRPr="00796809" w:rsidRDefault="001632A1" w:rsidP="00D66DDC">
            <w:pPr>
              <w:pStyle w:val="Default"/>
              <w:tabs>
                <w:tab w:val="left" w:pos="270"/>
              </w:tabs>
              <w:jc w:val="both"/>
              <w:rPr>
                <w:b w:val="0"/>
                <w:bCs w:val="0"/>
                <w:noProof/>
                <w:sz w:val="20"/>
                <w:szCs w:val="20"/>
                <w:lang w:val="sr-Latn-ME"/>
              </w:rPr>
            </w:pPr>
          </w:p>
          <w:p w14:paraId="14A7EA11" w14:textId="2E3CC743" w:rsidR="001632A1" w:rsidRPr="00796809" w:rsidRDefault="00D551AD" w:rsidP="00D66DDC">
            <w:pPr>
              <w:pStyle w:val="Default"/>
              <w:tabs>
                <w:tab w:val="left" w:pos="270"/>
              </w:tabs>
              <w:jc w:val="both"/>
              <w:rPr>
                <w:b w:val="0"/>
                <w:bCs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b w:val="0"/>
                <w:bCs w:val="0"/>
                <w:noProof/>
                <w:sz w:val="20"/>
                <w:szCs w:val="20"/>
                <w:lang w:val="sr-Latn-ME"/>
              </w:rPr>
              <w:t xml:space="preserve">Zakon je usklađen </w:t>
            </w:r>
            <w:r w:rsidR="005F538F" w:rsidRPr="00796809">
              <w:rPr>
                <w:b w:val="0"/>
                <w:bCs w:val="0"/>
                <w:noProof/>
                <w:sz w:val="20"/>
                <w:szCs w:val="20"/>
                <w:lang w:val="sr-Latn-ME"/>
              </w:rPr>
              <w:t xml:space="preserve">sa </w:t>
            </w:r>
            <w:r w:rsidR="001632A1" w:rsidRPr="00796809">
              <w:rPr>
                <w:b w:val="0"/>
                <w:bCs w:val="0"/>
                <w:noProof/>
                <w:sz w:val="20"/>
                <w:szCs w:val="20"/>
                <w:lang w:val="sr-Latn-ME"/>
              </w:rPr>
              <w:t xml:space="preserve">pravnom tekovinom Evropske unije </w:t>
            </w:r>
            <w:r w:rsidR="00A95DF5" w:rsidRPr="00796809">
              <w:rPr>
                <w:b w:val="0"/>
                <w:bCs w:val="0"/>
                <w:noProof/>
                <w:sz w:val="20"/>
                <w:szCs w:val="20"/>
                <w:lang w:val="sr-Latn-ME"/>
              </w:rPr>
              <w:t>i to:</w:t>
            </w:r>
          </w:p>
          <w:p w14:paraId="27AC5E8E" w14:textId="77777777" w:rsidR="00EB6150" w:rsidRPr="00796809" w:rsidRDefault="00EB6150" w:rsidP="00D66DDC">
            <w:pPr>
              <w:pStyle w:val="Default"/>
              <w:tabs>
                <w:tab w:val="left" w:pos="270"/>
              </w:tabs>
              <w:jc w:val="both"/>
              <w:rPr>
                <w:b w:val="0"/>
                <w:bCs w:val="0"/>
                <w:noProof/>
                <w:sz w:val="20"/>
                <w:szCs w:val="20"/>
                <w:lang w:val="sr-Latn-ME"/>
              </w:rPr>
            </w:pPr>
          </w:p>
          <w:p w14:paraId="73C49900" w14:textId="4E39269E" w:rsidR="00A95DF5" w:rsidRPr="00796809" w:rsidRDefault="00A95DF5" w:rsidP="00D66DDC">
            <w:pPr>
              <w:pStyle w:val="ListParagraph"/>
              <w:numPr>
                <w:ilvl w:val="0"/>
                <w:numId w:val="34"/>
              </w:num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Direktiva Evropskog parlamenta i Savjeta 2014/57/EU od 16. aprila 2014. godine o krivičnim sankcijama za zloupotrebu tržišta </w:t>
            </w:r>
            <w:r w:rsidR="00EB6150"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;</w:t>
            </w:r>
          </w:p>
          <w:p w14:paraId="582E8B89" w14:textId="77777777" w:rsidR="00A95DF5" w:rsidRPr="00796809" w:rsidRDefault="00A95DF5" w:rsidP="00D66DDC">
            <w:pPr>
              <w:pStyle w:val="ListParagraph"/>
              <w:numPr>
                <w:ilvl w:val="0"/>
                <w:numId w:val="34"/>
              </w:num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Uredba (EU) 2017/1129 Evropskog parlamenta i Savjeta od 14. juna 2017. o prospektu koji je potrebno objaviti prilikom javne ponude hartija od vrijednosti ili prilikom uvrštavanja za trgovanje na uređenom tržištu i stavljanju izvan snage Direktive 2003/71/EZ;</w:t>
            </w:r>
          </w:p>
          <w:p w14:paraId="0CABEE66" w14:textId="77777777" w:rsidR="00A95DF5" w:rsidRPr="00796809" w:rsidRDefault="00A95DF5" w:rsidP="00D66DDC">
            <w:pPr>
              <w:pStyle w:val="ListParagraph"/>
              <w:numPr>
                <w:ilvl w:val="0"/>
                <w:numId w:val="34"/>
              </w:num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Delegirana uredba Komisije (EU) 2021/528 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оd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16. decembra 2020. o dopuni Uredbe (EU) 2017/1129 Evropskog parlamenta i Savjeta u pogledu sadržaja minimalnih informacija u dokumentu koji se objavljuje da se ostvari pravo na izuzeće od objave prospekta u vezi sa preuzimanjem uz </w:t>
            </w:r>
            <w:proofErr w:type="spellStart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zamjensku</w:t>
            </w:r>
            <w:proofErr w:type="spellEnd"/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naknadu u ponudi za preuzimanje, spajanjem ili podjelom;</w:t>
            </w:r>
          </w:p>
          <w:p w14:paraId="3AE57A8C" w14:textId="77777777" w:rsidR="00A95DF5" w:rsidRPr="00796809" w:rsidRDefault="00A95DF5" w:rsidP="00D66DDC">
            <w:pPr>
              <w:pStyle w:val="ListParagraph"/>
              <w:numPr>
                <w:ilvl w:val="0"/>
                <w:numId w:val="34"/>
              </w:num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Direktiva 2004/109/EZ Evropskog parlamenta i Savjeta od 15. decembra 2004. o usklađivanju zahtjeva za transparentnošću u vezi sa informacijama o izdavaocima čije su hartije od vrijednosti uvrštene za trgovanje na uređenom tržištu i o izmjeni Direktive 2001/34/EZ;</w:t>
            </w:r>
          </w:p>
          <w:p w14:paraId="570AD338" w14:textId="5D822D4B" w:rsidR="009660E8" w:rsidRPr="00796809" w:rsidRDefault="009660E8" w:rsidP="00D66DDC">
            <w:pPr>
              <w:pStyle w:val="ListParagraph"/>
              <w:numPr>
                <w:ilvl w:val="0"/>
                <w:numId w:val="34"/>
              </w:num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Direktiva 2007/14/EZ Evropskog parlamenta i Savjeta od 8. marta 2007. o utvrđivanju detaljnih pravila za sprovođenje određenih odredbi Direktive 2004/109/EZ o usklađivanju zahtjeva transparentnošću u vezi sa informacijama o emitentima čije su hartije od vrijednosti uvrštene za trgovanje na uređenom tržištu</w:t>
            </w:r>
          </w:p>
          <w:p w14:paraId="109B2F3E" w14:textId="5AEC771D" w:rsidR="00A95DF5" w:rsidRPr="00796809" w:rsidRDefault="001B10D6" w:rsidP="00D66DDC">
            <w:pPr>
              <w:pStyle w:val="ListParagraph"/>
              <w:numPr>
                <w:ilvl w:val="0"/>
                <w:numId w:val="34"/>
              </w:num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Uredba</w:t>
            </w:r>
            <w:r w:rsidR="00A95DF5"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Evropskog parlamenta i Savjeta (EU) br. 596/2014 od 16. aprila 2014. godine o zloupotrebi tržišta (Regulativa o zloupotrebi tržišta) i prestanku važenja Direktive 2003/6/EZ</w:t>
            </w: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Evropskog parlamenta i Savjeta</w:t>
            </w:r>
            <w:r w:rsidR="00A95DF5"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i direktiva Komisije 2003/124/EZ, 2003/125/EZ i 2004/72/EZ</w:t>
            </w:r>
          </w:p>
          <w:p w14:paraId="192E3DE3" w14:textId="77777777" w:rsidR="005F538F" w:rsidRPr="00796809" w:rsidRDefault="00A95DF5" w:rsidP="00D66DDC">
            <w:pPr>
              <w:pStyle w:val="ListParagraph"/>
              <w:numPr>
                <w:ilvl w:val="0"/>
                <w:numId w:val="34"/>
              </w:numPr>
              <w:contextualSpacing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Direktiva 2014/65/EU Evropskog parlamenta i Savjeta od 15. maja 2014. o tržištu finansijskih instrumenata i izmjeni Direktive 2002/92/EZ i Direktive 2011/61/EU</w:t>
            </w:r>
            <w:r w:rsidR="001B10D6"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(preinačena)</w:t>
            </w:r>
            <w:r w:rsidRPr="0079680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;</w:t>
            </w:r>
          </w:p>
          <w:p w14:paraId="585697E4" w14:textId="31BD08E1" w:rsidR="00950254" w:rsidRPr="00796809" w:rsidRDefault="00950254" w:rsidP="00D66DDC">
            <w:pPr>
              <w:pStyle w:val="ListParagraph"/>
              <w:contextualSpacing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</w:p>
        </w:tc>
      </w:tr>
      <w:tr w:rsidR="008322D4" w:rsidRPr="00796809" w14:paraId="2E2BBBCE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B5291DF" w14:textId="77777777" w:rsidR="008322D4" w:rsidRPr="00796809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lastRenderedPageBreak/>
              <w:t>2</w:t>
            </w:r>
            <w:r w:rsidR="001D0BF0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Ciljevi</w:t>
            </w:r>
          </w:p>
          <w:p w14:paraId="59B3179D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oji ciljevi se postižu predloženim propisom?</w:t>
            </w:r>
          </w:p>
          <w:p w14:paraId="469DC8C3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N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avesti </w:t>
            </w:r>
            <w:r w:rsidR="00067FC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usklađenost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ovih ciljeva sa postojećim strategijama ili programima Vlade, ako je primjenljivo.</w:t>
            </w:r>
          </w:p>
        </w:tc>
      </w:tr>
      <w:tr w:rsidR="008322D4" w:rsidRPr="00796809" w14:paraId="26A8ED90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ED094F1" w14:textId="77777777" w:rsidR="001632A1" w:rsidRPr="00796809" w:rsidRDefault="001632A1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Koji ciljevi se postižu predloženim propisom?</w:t>
            </w:r>
          </w:p>
          <w:p w14:paraId="41C67ECA" w14:textId="20825E3A" w:rsidR="00D551AD" w:rsidRPr="00796809" w:rsidRDefault="00D551AD" w:rsidP="00D551A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P</w:t>
            </w: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redloženim Zakonom o tržištu kapitala postižu se sljedeći ciljevi:</w:t>
            </w:r>
          </w:p>
          <w:p w14:paraId="12104F31" w14:textId="77777777" w:rsidR="00D551AD" w:rsidRPr="00796809" w:rsidRDefault="00D551AD" w:rsidP="00D551AD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obezbjeđivanje potpunog, sistemskog i trajnog usklađivanja crnogorskog zakonodavstva sa važećom i konsolidovanom pravnom tekovinom Evropske unije u oblasti tržišta kapitala, uključujući propise koji se primjenjuju neposredno po pristupanju Evropskoj uniji;</w:t>
            </w:r>
          </w:p>
          <w:p w14:paraId="17F6DAE1" w14:textId="77777777" w:rsidR="00D551AD" w:rsidRPr="00796809" w:rsidRDefault="00D551AD" w:rsidP="00D551AD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uspostavljanje jedinstvenog, jasnog i pravno sigurnog regulatornog okvira koji će se primjenjivati od dana pristupanja Crne Gore Evropskoj uniji, bez potrebe za naknadnim normativnim intervencijama;</w:t>
            </w:r>
          </w:p>
          <w:p w14:paraId="141E5E16" w14:textId="77777777" w:rsidR="00D551AD" w:rsidRPr="00796809" w:rsidRDefault="00D551AD" w:rsidP="00D551AD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lastRenderedPageBreak/>
              <w:t>jačanje integriteta, stabilnosti i transparentnosti tržišta kapitala, uz unapređenje mehanizama za sprječavanje zloupotreba na tržištu i povećanje povjerenja investitora;</w:t>
            </w:r>
          </w:p>
          <w:p w14:paraId="2BE61D29" w14:textId="77777777" w:rsidR="00D551AD" w:rsidRPr="00796809" w:rsidRDefault="00D551AD" w:rsidP="00D551AD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unapređenje zaštite investitora, kroz preciznije uređivanje pravila poslovanja investicionih društava, organizacije tržišta, obaveza transparentnosti i nadzornih mehanizama;</w:t>
            </w:r>
          </w:p>
          <w:p w14:paraId="3DEDAA98" w14:textId="77777777" w:rsidR="00D551AD" w:rsidRPr="00796809" w:rsidRDefault="00D551AD" w:rsidP="00D551AD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jačanje nadzorne, regulatorne i izvršne uloge Komisije za tržište kapitala, u skladu sa standardima i ovlašćenjima nadležnih organa u državama članicama Evropske unije;</w:t>
            </w:r>
          </w:p>
          <w:p w14:paraId="2C8A4D8E" w14:textId="77777777" w:rsidR="00D551AD" w:rsidRPr="00796809" w:rsidRDefault="00D551AD" w:rsidP="00D551AD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obezbjeđivanje institucionalne i operativne spremnosti učesnika na tržištu kapitala i nadležnog organa za primjenu prava Evropske unije u trenutku pristupanja Crne Gore Evropskoj uniji;</w:t>
            </w:r>
          </w:p>
          <w:p w14:paraId="7B54F7CA" w14:textId="35AA695B" w:rsidR="004C1CA5" w:rsidRPr="00796809" w:rsidRDefault="00D551AD" w:rsidP="00D551AD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stvaranje preduslova za funkcionalnu integraciju crnogorskog tržišta kapitala u jedinstveno tržište Evropske unije, uključujući prekogranično pružanje investicionih usluga i slobodno kretanje kapitala.</w:t>
            </w:r>
          </w:p>
          <w:p w14:paraId="491D3592" w14:textId="77777777" w:rsidR="00685477" w:rsidRPr="00796809" w:rsidRDefault="00685477" w:rsidP="004C1CA5">
            <w:pPr>
              <w:rPr>
                <w:rFonts w:ascii="Arial" w:hAnsi="Arial" w:cs="Arial"/>
                <w:sz w:val="20"/>
                <w:szCs w:val="20"/>
                <w:highlight w:val="yellow"/>
                <w:lang w:val="sr-Latn-ME"/>
              </w:rPr>
            </w:pPr>
          </w:p>
          <w:p w14:paraId="009CF3A4" w14:textId="68113053" w:rsidR="001632A1" w:rsidRPr="00796809" w:rsidRDefault="001632A1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Usklađenost ovih ciljeva sa postojećim strategijama ili programima Vlade</w:t>
            </w:r>
            <w:r w:rsidR="00060BC2"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</w:t>
            </w:r>
          </w:p>
          <w:p w14:paraId="203B86A3" w14:textId="410C4BE2" w:rsidR="00542040" w:rsidRPr="00796809" w:rsidRDefault="002F07A8" w:rsidP="0025536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sz w:val="20"/>
                <w:szCs w:val="20"/>
                <w:highlight w:val="yellow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Programom</w:t>
            </w:r>
            <w:r w:rsidR="00B122C5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pristupanja Crne Gore Evropskoj uniji 202</w:t>
            </w:r>
            <w:r w:rsidR="00D551AD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5</w:t>
            </w:r>
            <w:r w:rsidR="00B122C5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-202</w:t>
            </w:r>
            <w:r w:rsidR="00D551AD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6</w:t>
            </w:r>
            <w:r w:rsidR="00B122C5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, </w:t>
            </w: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planirano je donošenje Zakona </w:t>
            </w:r>
            <w:r w:rsidR="004332E2" w:rsidRPr="0079680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>o tržištu kapitala</w:t>
            </w:r>
            <w:r w:rsidR="009C0E1C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za </w:t>
            </w:r>
            <w:r w:rsidR="00D551AD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I</w:t>
            </w: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kvartal 202</w:t>
            </w:r>
            <w:r w:rsidR="00D551AD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6</w:t>
            </w: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. </w:t>
            </w:r>
            <w:r w:rsidR="004332E2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g</w:t>
            </w: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odine</w:t>
            </w:r>
            <w:r w:rsidR="004332E2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, a pr</w:t>
            </w:r>
            <w:r w:rsidR="009C0E1C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imjena istoga </w:t>
            </w:r>
            <w:r w:rsidR="00D551AD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odlaže se do dana</w:t>
            </w:r>
            <w:r w:rsidR="009C0E1C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</w:t>
            </w:r>
            <w:r w:rsidR="00D551AD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ulaska Crne Gore u EU.</w:t>
            </w:r>
          </w:p>
        </w:tc>
      </w:tr>
      <w:tr w:rsidR="008322D4" w:rsidRPr="00796809" w14:paraId="470C6770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9AE8431" w14:textId="77777777" w:rsidR="008322D4" w:rsidRPr="00796809" w:rsidRDefault="00282840" w:rsidP="002828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lastRenderedPageBreak/>
              <w:t>3</w:t>
            </w:r>
            <w:r w:rsidR="001D0BF0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Opcije</w:t>
            </w:r>
          </w:p>
          <w:p w14:paraId="771229F2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oje su moguće opcije za ispunjavanje ciljeva i rješavanje problema? (uvijek treba razmatrati “status quo” opciju i preporučljivo je uključiti i neregulatornu opciju, osim ako postoji obaveza </w:t>
            </w:r>
            <w:r w:rsidR="00067FC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donošenja predloženog propisa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)</w:t>
            </w: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0EE01EDB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O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brazložiti preferiranu opciju</w:t>
            </w:r>
            <w:r w:rsidR="00067FC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?</w:t>
            </w:r>
          </w:p>
        </w:tc>
      </w:tr>
      <w:tr w:rsidR="008322D4" w:rsidRPr="00796809" w14:paraId="7090A7A1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00D3FD8" w14:textId="77777777" w:rsidR="00D551AD" w:rsidRPr="00D551AD" w:rsidRDefault="00D551AD" w:rsidP="00796809">
            <w:pPr>
              <w:spacing w:before="100" w:beforeAutospacing="1" w:after="100" w:afterAutospacing="1"/>
              <w:jc w:val="left"/>
              <w:outlineLvl w:val="1"/>
              <w:rPr>
                <w:rFonts w:ascii="Arial" w:hAnsi="Arial" w:cs="Arial"/>
                <w:sz w:val="20"/>
                <w:szCs w:val="20"/>
                <w:lang w:val="sr-Latn-ME" w:eastAsia="sr-Latn-ME"/>
              </w:rPr>
            </w:pPr>
            <w:r w:rsidRPr="00D551AD">
              <w:rPr>
                <w:rFonts w:ascii="Arial" w:hAnsi="Arial" w:cs="Arial"/>
                <w:sz w:val="20"/>
                <w:szCs w:val="20"/>
                <w:lang w:val="sr-Latn-ME" w:eastAsia="sr-Latn-ME"/>
              </w:rPr>
              <w:t>Koje su moguće opcije za ispunjavanje ciljeva i rješavanje problema?</w:t>
            </w:r>
          </w:p>
          <w:p w14:paraId="47573E99" w14:textId="77777777" w:rsidR="00D551AD" w:rsidRPr="00D551AD" w:rsidRDefault="00D551AD" w:rsidP="00D551AD">
            <w:pPr>
              <w:spacing w:before="100" w:beforeAutospacing="1" w:after="100" w:afterAutospacing="1"/>
              <w:jc w:val="left"/>
              <w:outlineLvl w:val="2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Opcija 1: Zadržavanje postojećeg stanja („status </w:t>
            </w:r>
            <w:proofErr w:type="spellStart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quo</w:t>
            </w:r>
            <w:proofErr w:type="spellEnd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“ opcija)</w:t>
            </w:r>
          </w:p>
          <w:p w14:paraId="79095A9B" w14:textId="77777777" w:rsidR="00D551AD" w:rsidRPr="00D551AD" w:rsidRDefault="00D551AD" w:rsidP="00D551AD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Ova opcija podrazumijeva zadržavanje važećeg Zakona o tržištu kapitala, uključujući zakon usvojen u junu 2025. godine, bez donošenja novog zakona.</w:t>
            </w:r>
          </w:p>
          <w:p w14:paraId="76E5E324" w14:textId="77777777" w:rsidR="00D551AD" w:rsidRPr="00D551AD" w:rsidRDefault="00D551AD" w:rsidP="00D551AD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Primjenom ove opcije ne bi se obezbijedilo potpuno i sistemsko usklađivanje sa važećom i konsolidovanom pravnom tekovinom Evropske unije u oblasti tržišta kapitala, naročito u dijelu koji se odnosi na tržišta finansijskih instrumenata, </w:t>
            </w:r>
            <w:proofErr w:type="spellStart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prudencijalni</w:t>
            </w:r>
            <w:proofErr w:type="spellEnd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 okvir investicionih društava, </w:t>
            </w:r>
            <w:proofErr w:type="spellStart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posttrgovinske</w:t>
            </w:r>
            <w:proofErr w:type="spellEnd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 infrastrukture i nadzor.</w:t>
            </w:r>
          </w:p>
          <w:p w14:paraId="6C47DF93" w14:textId="77777777" w:rsidR="00D551AD" w:rsidRPr="00D551AD" w:rsidRDefault="00D551AD" w:rsidP="00D551AD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Zadržavanje postojećeg regulatornog okvira dovelo bi do djelimične ili </w:t>
            </w:r>
            <w:proofErr w:type="spellStart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fragmentisane</w:t>
            </w:r>
            <w:proofErr w:type="spellEnd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 usklađenosti sa pravom Evropske unije u trenutku pristupanja Crne Gore Evropskoj uniji, što bi moglo imati negativan uticaj na proces zatvaranja pregovaračkih poglavlja 6 – Privredno pravo i 9 – Finansijske usluge.</w:t>
            </w:r>
          </w:p>
          <w:p w14:paraId="1DB6BC8B" w14:textId="77777777" w:rsidR="00D551AD" w:rsidRPr="00D551AD" w:rsidRDefault="00D551AD" w:rsidP="00D551AD">
            <w:pPr>
              <w:spacing w:before="100" w:beforeAutospacing="1" w:after="100" w:afterAutospacing="1"/>
              <w:jc w:val="left"/>
              <w:outlineLvl w:val="2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Opcija 2: </w:t>
            </w:r>
            <w:proofErr w:type="spellStart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Neregulatorna</w:t>
            </w:r>
            <w:proofErr w:type="spellEnd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 opcija (meke mjere)</w:t>
            </w:r>
          </w:p>
          <w:p w14:paraId="066BDBB1" w14:textId="77777777" w:rsidR="00D551AD" w:rsidRPr="00D551AD" w:rsidRDefault="00D551AD" w:rsidP="00D551AD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Ova opcija podrazumijeva primjenu </w:t>
            </w:r>
            <w:proofErr w:type="spellStart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neregulatornih</w:t>
            </w:r>
            <w:proofErr w:type="spellEnd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 mjera, kao što su donošenje smjernica, preporuka, tumačenja ili internih uputstava nadležnog organa, bez izmjene ili donošenja novog zakona.</w:t>
            </w:r>
          </w:p>
          <w:p w14:paraId="72D7DBCE" w14:textId="77777777" w:rsidR="00D551AD" w:rsidRPr="00D551AD" w:rsidRDefault="00D551AD" w:rsidP="00D551AD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proofErr w:type="spellStart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Neregulatorne</w:t>
            </w:r>
            <w:proofErr w:type="spellEnd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 mjere nijesu adekvatne za ispunjavanje ciljeva koji se odnose na preuzimanje i primjenu obavezujućih propisa Evropske unije, jer ne mogu zamijeniti normativno prenošenje direktiva niti obezbijediti neposrednu primjenu uredbi Evropske unije u trenutku pristupanja.</w:t>
            </w:r>
          </w:p>
          <w:p w14:paraId="5E186B1D" w14:textId="77777777" w:rsidR="00D551AD" w:rsidRPr="00D551AD" w:rsidRDefault="00D551AD" w:rsidP="00D551AD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Primjena ove opcije ne bi obezbijedila pravnu sigurnost učesnicima na tržištu kapitala niti institucionalnu spremnost za punu primjenu prava Evropske unije.</w:t>
            </w:r>
          </w:p>
          <w:p w14:paraId="3EFC32FD" w14:textId="77777777" w:rsidR="00D551AD" w:rsidRPr="00D551AD" w:rsidRDefault="00D551AD" w:rsidP="00D551AD">
            <w:pPr>
              <w:spacing w:before="100" w:beforeAutospacing="1" w:after="100" w:afterAutospacing="1"/>
              <w:jc w:val="left"/>
              <w:outlineLvl w:val="2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lastRenderedPageBreak/>
              <w:t>Opcija 3: Donošenje novog Zakona o tržištu kapitala (regulatorna opcija)</w:t>
            </w:r>
          </w:p>
          <w:p w14:paraId="6C3CF9E3" w14:textId="77777777" w:rsidR="00D551AD" w:rsidRPr="00D551AD" w:rsidRDefault="00D551AD" w:rsidP="00D551AD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Ova opcija podrazumijeva donošenje potpuno novog Zakona o tržištu kapitala, kojim se obezbjeđuje sistemsko, sveobuhvatno i trajno usklađivanje sa važećom pravnom tekovinom Evropske unije u oblasti tržišta kapitala.</w:t>
            </w:r>
          </w:p>
          <w:p w14:paraId="7A4B5B78" w14:textId="77777777" w:rsidR="00D551AD" w:rsidRPr="00D551AD" w:rsidRDefault="00D551AD" w:rsidP="00D551AD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Predloženim zakonom uređuju se ključne oblasti tržišta kapitala u skladu sa konsolidovanim EU propisima, uz jasno razgraničenje odredbi koje se primjenjuju neposredno po pristupanju Crne Gore Evropskoj uniji, kao i ovlašćenja za donošenje podzakonskih akata radi preuzimanja regulatornih i </w:t>
            </w:r>
            <w:proofErr w:type="spellStart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provedbenih</w:t>
            </w:r>
            <w:proofErr w:type="spellEnd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 tehničkih standarda.</w:t>
            </w:r>
          </w:p>
          <w:p w14:paraId="18A6A147" w14:textId="77777777" w:rsidR="00D551AD" w:rsidRPr="00D551AD" w:rsidRDefault="00D551AD" w:rsidP="00796809">
            <w:pPr>
              <w:spacing w:before="100" w:beforeAutospacing="1" w:after="100" w:afterAutospacing="1"/>
              <w:jc w:val="left"/>
              <w:outlineLvl w:val="1"/>
              <w:rPr>
                <w:rFonts w:ascii="Arial" w:hAnsi="Arial" w:cs="Arial"/>
                <w:sz w:val="20"/>
                <w:szCs w:val="20"/>
                <w:lang w:val="sr-Latn-ME" w:eastAsia="sr-Latn-ME"/>
              </w:rPr>
            </w:pPr>
            <w:r w:rsidRPr="00D551AD">
              <w:rPr>
                <w:rFonts w:ascii="Arial" w:hAnsi="Arial" w:cs="Arial"/>
                <w:sz w:val="20"/>
                <w:szCs w:val="20"/>
                <w:lang w:val="sr-Latn-ME" w:eastAsia="sr-Latn-ME"/>
              </w:rPr>
              <w:t>Obrazloženje preferirane opcije</w:t>
            </w:r>
          </w:p>
          <w:p w14:paraId="4B85D218" w14:textId="77777777" w:rsidR="00D551AD" w:rsidRPr="00D551AD" w:rsidRDefault="00D551AD" w:rsidP="00D551AD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Kao preferirana opcija izabrana je Opcija 3 – donošenje novog Zakona o tržištu kapitala.</w:t>
            </w:r>
          </w:p>
          <w:p w14:paraId="67D9D07D" w14:textId="77777777" w:rsidR="00D551AD" w:rsidRPr="00D551AD" w:rsidRDefault="00D551AD" w:rsidP="00D551AD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Ova opcija je jedina koja omogućava potpuno, sistemsko i pravno obavezujuće usklađivanje sa pravnom tekovinom Evropske unije, u skladu sa obavezama koje Crna Gora ima u procesu pristupanja Evropskoj uniji.</w:t>
            </w:r>
          </w:p>
          <w:p w14:paraId="2A202939" w14:textId="77777777" w:rsidR="00D551AD" w:rsidRPr="00D551AD" w:rsidRDefault="00D551AD" w:rsidP="00D551AD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Donošenjem novog zakona obezbjeđuje se visok nivo pravne sigurnosti, transparentnosti i </w:t>
            </w:r>
            <w:proofErr w:type="spellStart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predvidivosti</w:t>
            </w:r>
            <w:proofErr w:type="spellEnd"/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 regulatornog okvira, jačanje nadzorne uloge Komisije za tržište kapitala, kao i puna institucionalna i operativna spremnost za primjenu prava Evropske unije od dana pristupanja.</w:t>
            </w:r>
          </w:p>
          <w:p w14:paraId="7D52E7B9" w14:textId="6CCB2231" w:rsidR="006A2038" w:rsidRPr="00796809" w:rsidRDefault="00D551AD" w:rsidP="00796809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D551AD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Imajući u vidu da postoji jasna obaveza usklađivanja sa pravnom tekovinom Evropske unije u oblasti tržišta kapitala, kao i činjenicu da se veliki dio relevantnih propisa Evropske unije primjenjuje neposredno, donošenje novog Zakona o tržištu kapitala predstavlja najefikasniji i jedini održivi način za ostvarivanje postavljenih ciljeva i rješavanje identifikovanih problema.</w:t>
            </w:r>
          </w:p>
        </w:tc>
      </w:tr>
      <w:tr w:rsidR="00282840" w:rsidRPr="00796809" w14:paraId="1470B8AD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87BBC67" w14:textId="77777777" w:rsidR="00282840" w:rsidRPr="00796809" w:rsidRDefault="00282840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4</w:t>
            </w:r>
            <w:r w:rsidR="001D0BF0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Analiza uticaja</w:t>
            </w:r>
          </w:p>
          <w:p w14:paraId="3DF7B16E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N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a koga će i kako će najvjerovatnije uticati rješenja u propisu - </w:t>
            </w:r>
            <w:r w:rsidR="00067FC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n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abrojati pozitivne i negativne uticaje, direktne i indirektne</w:t>
            </w: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625EA618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067FC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oje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troškove će primjena propisa </w:t>
            </w:r>
            <w:r w:rsidR="00067FC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izazvati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građanima i privredi (naročito malim i srednjim preduzećima)</w:t>
            </w:r>
            <w:r w:rsidR="0000426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6416DE74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a li pozitivne posljedice donošenja propisa opravdava</w:t>
            </w:r>
            <w:r w:rsidR="0000426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ju troškove koje će on stvoriti.</w:t>
            </w:r>
          </w:p>
          <w:p w14:paraId="5C60EC05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a li se propisom podržava stvaranje novih privrednih subjekata na tržištu i tržišna </w:t>
            </w:r>
            <w:r w:rsidR="001D0BF0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konkurencija</w:t>
            </w:r>
            <w:r w:rsidR="0000426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0D4B5A87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U</w:t>
            </w:r>
            <w:r w:rsidR="001D0BF0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ključiti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procjenu administrativnih opterećenja i biznis barijera.</w:t>
            </w:r>
          </w:p>
          <w:p w14:paraId="1EDCB74D" w14:textId="77777777" w:rsidR="00D27C82" w:rsidRPr="00796809" w:rsidRDefault="00D27C82" w:rsidP="00D27C82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</w:p>
        </w:tc>
      </w:tr>
      <w:tr w:rsidR="00282840" w:rsidRPr="00796809" w14:paraId="5CE49AA6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3698510" w14:textId="77777777" w:rsidR="001632A1" w:rsidRPr="00796809" w:rsidRDefault="001632A1" w:rsidP="001632A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Na koga će i kako će navjerovatnije uticati rješenja u propisu – nabrojati pozitivne i negativne uticaje, direktne i indirektne?</w:t>
            </w:r>
          </w:p>
          <w:p w14:paraId="781F2A6A" w14:textId="47F2C698" w:rsidR="00927FFA" w:rsidRPr="00796809" w:rsidRDefault="00927FFA" w:rsidP="00927FFA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Zakon </w:t>
            </w:r>
            <w:r w:rsidR="00D551AD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o tržištu kapitala</w:t>
            </w: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će imаti pozitivаn uticаj na tržište kаpitаlа i sve njegove učesnike, kao i na poslovаnje reаlnog sektorа i nа privredu u cjelini</w:t>
            </w:r>
            <w:r w:rsidR="00D84903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. Očekivani pozitivni efekti ogledaju se u</w:t>
            </w:r>
            <w:r w:rsidR="00C14C37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: </w:t>
            </w: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poboljšanju transparentnosti</w:t>
            </w:r>
            <w:r w:rsidR="009D4DBA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na način da se unapređuje izvještavanje</w:t>
            </w: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, adekvatnosti kapitala, nadzor</w:t>
            </w:r>
            <w:r w:rsidR="00D84903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u</w:t>
            </w: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i jačanj</w:t>
            </w:r>
            <w:r w:rsidR="00F74729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u</w:t>
            </w: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nadzornih m</w:t>
            </w:r>
            <w:r w:rsidR="009D4DBA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jera</w:t>
            </w: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</w:t>
            </w:r>
            <w:r w:rsidR="00E748D4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kroz uvođenje istih na detaljniji i sveobuhvatniji način</w:t>
            </w:r>
            <w:r w:rsidR="009D4DBA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kako kroz ovlašćenja Komisije, tako kroz pojedinačne odredbe</w:t>
            </w:r>
            <w:r w:rsidR="00E748D4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, </w:t>
            </w:r>
            <w:r w:rsidR="009D4DBA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kao i u</w:t>
            </w: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doprinos</w:t>
            </w:r>
            <w:r w:rsidR="00D84903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u</w:t>
            </w: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efikаsn</w:t>
            </w:r>
            <w:r w:rsidR="009F436B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o</w:t>
            </w: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m sprječаvаnj</w:t>
            </w:r>
            <w:r w:rsidR="009F436B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u</w:t>
            </w: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i sаnkcionisаnj</w:t>
            </w:r>
            <w:r w:rsidR="009F436B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u</w:t>
            </w: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zloupotrebа nа tržištu</w:t>
            </w:r>
            <w:r w:rsidR="009D4DBA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na način da se preciznije definišu pojmovi koji se odnose na isto</w:t>
            </w: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, </w:t>
            </w:r>
            <w:r w:rsidR="009D4DBA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kao i detaljije i bliže uređuje ova oblast</w:t>
            </w:r>
            <w:r w:rsidR="00E021FE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</w:t>
            </w: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čime će se poboljšаti finаnsijskа disciplinа učesnikа nа tržištu i omogućiti boljа zаštitа interesа domаćih i strаnih investitorа</w:t>
            </w:r>
            <w:r w:rsidR="00C14C37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.</w:t>
            </w:r>
          </w:p>
          <w:p w14:paraId="41289E74" w14:textId="77777777" w:rsidR="001632A1" w:rsidRPr="00796809" w:rsidRDefault="001632A1" w:rsidP="001632A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Koje troškove će primjena propisa izazvati građanima i privredi (naročito malim i srednjim preduzećima)?</w:t>
            </w:r>
          </w:p>
          <w:p w14:paraId="4E53AFB1" w14:textId="5FC9F580" w:rsidR="004B511E" w:rsidRPr="00796809" w:rsidRDefault="00B02E9A" w:rsidP="001632A1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Primjena propisa </w:t>
            </w:r>
            <w:r w:rsidR="00342831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neće izazvati troškove građanima i privredi</w:t>
            </w:r>
            <w:r w:rsidR="001027BF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.</w:t>
            </w:r>
          </w:p>
          <w:p w14:paraId="7B87F42F" w14:textId="771C9E3A" w:rsidR="00485E19" w:rsidRPr="00796809" w:rsidRDefault="00485E19" w:rsidP="00485E19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lastRenderedPageBreak/>
              <w:t>Da li pozitivne posljedice donošenja propisa opravdavaju troškove koje će on stvoriti?</w:t>
            </w:r>
          </w:p>
          <w:p w14:paraId="2F1DEFA1" w14:textId="035EF48B" w:rsidR="001027BF" w:rsidRPr="00796809" w:rsidRDefault="00D84903" w:rsidP="00485E19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Imajući u vidu</w:t>
            </w:r>
            <w:r w:rsidR="00F74729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</w:t>
            </w:r>
            <w:r w:rsidR="001027BF" w:rsidRPr="00796809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da troškova nema, samim tim nema mogućnosti da pozitivne posljedice donošenja propisa opravdavaju troškove.</w:t>
            </w:r>
          </w:p>
          <w:p w14:paraId="55C9D29C" w14:textId="77777777" w:rsidR="00485E19" w:rsidRPr="00796809" w:rsidRDefault="00485E19" w:rsidP="00485E19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sr-Latn-ME"/>
              </w:rPr>
              <w:t>Da li se propisom podržava stvaranje novih privrednih subjekata na tržištu i tržišna konkurencija?</w:t>
            </w:r>
          </w:p>
          <w:p w14:paraId="3AA17E25" w14:textId="47B994AD" w:rsidR="00970DF7" w:rsidRPr="00796809" w:rsidRDefault="00970DF7" w:rsidP="00485E19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Donošenjem Zakona </w:t>
            </w:r>
            <w:r w:rsidR="001027BF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o tržištu kapitala </w:t>
            </w:r>
            <w:r w:rsidR="00E748D4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podržava se s</w:t>
            </w:r>
            <w:r w:rsidR="001027BF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tvaranje novih privrednih subjekata na tržištu i tržišn</w:t>
            </w:r>
            <w:r w:rsidR="00E748D4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a</w:t>
            </w:r>
            <w:r w:rsidR="001027BF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konkurenciju</w:t>
            </w:r>
            <w:r w:rsidR="00731D0D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, što je značajno, jer je većem broju privrednih subjekata data mogućnost da se osnuju kao investiciona društva, a pod istim uslovima po pitanju kapitala i organizacione osposobljenosti.</w:t>
            </w: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</w:t>
            </w:r>
          </w:p>
          <w:p w14:paraId="60711241" w14:textId="77777777" w:rsidR="00485E19" w:rsidRPr="00796809" w:rsidRDefault="00485E19" w:rsidP="00485E19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Procjena administrativnih opterećenja i biznis barijera</w:t>
            </w:r>
          </w:p>
          <w:p w14:paraId="4C61BEE1" w14:textId="35899A6C" w:rsidR="00DB3D7D" w:rsidRPr="00796809" w:rsidRDefault="00EC7F84" w:rsidP="00DB3D7D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Nacrt </w:t>
            </w:r>
            <w:r w:rsidR="001027BF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Zakona o tržištu kapitala  ne uvodi nova administrativna opterećenja, i istim se </w:t>
            </w:r>
            <w:r w:rsidR="00970DF7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ne uvode biznis barijere.</w:t>
            </w:r>
          </w:p>
        </w:tc>
      </w:tr>
      <w:tr w:rsidR="00702CFF" w:rsidRPr="00796809" w14:paraId="3FDBC795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90DB523" w14:textId="77777777" w:rsidR="00673F68" w:rsidRPr="00796809" w:rsidRDefault="00673F68" w:rsidP="00673F68">
            <w:pPr>
              <w:autoSpaceDE w:val="0"/>
              <w:autoSpaceDN w:val="0"/>
              <w:adjustRightInd w:val="0"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5</w:t>
            </w:r>
            <w:r w:rsidR="001D0BF0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  <w:r w:rsidR="00702CF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</w:t>
            </w: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Procjena fiskalnog uticaja</w:t>
            </w:r>
          </w:p>
          <w:p w14:paraId="2DEAC998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a li je potrebno obezbjeđenje finansijskih sredstava</w:t>
            </w:r>
            <w:r w:rsidR="00972845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iz budžeta Crne Gore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za impleme</w:t>
            </w:r>
            <w:r w:rsidR="0000426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ntaciju propisa i u kom iznosu?</w:t>
            </w:r>
          </w:p>
          <w:p w14:paraId="2344A9CE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a li je obezbjeđenje finansijskih sredstava jednokratno, ili tokom određenog vremenskog perioda? </w:t>
            </w:r>
            <w:r w:rsidR="00673F68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Obrazložiti</w:t>
            </w:r>
            <w:r w:rsidR="0000426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1C3318A8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a li implementacijom propisa proizilaze međunarodne finansijske obaveze</w:t>
            </w:r>
            <w:r w:rsidR="0000426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? Obrazložiti.</w:t>
            </w:r>
          </w:p>
          <w:p w14:paraId="6F45B02F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a li su neophodna finansijska sredstva obezbijeđena u budžetu za tekuću fiskalnu godinu, odnosno da li su planirana u bud</w:t>
            </w:r>
            <w:r w:rsidR="0000426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žetu za narednu fiskanu godinu?</w:t>
            </w:r>
          </w:p>
          <w:p w14:paraId="5F84DC08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a li je usvajanjem propisa predviđeno donošenje podzakonskih akata iz kojih će proisteći finansijske obaveze?</w:t>
            </w:r>
          </w:p>
          <w:p w14:paraId="06F9FA8C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a li će se implementacijom propisa ostvariti prihod za budžet Crne Gore?</w:t>
            </w:r>
          </w:p>
          <w:p w14:paraId="3F0D85F5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brazložiti metodologiju koja je korišćenja prilikom obračun</w:t>
            </w:r>
            <w:r w:rsidR="0000426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a finansijskih izdataka/prihoda.</w:t>
            </w:r>
          </w:p>
          <w:p w14:paraId="04D8CB38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a li su postojali problemi u preciznom obračunu finansijskih izdataka/prihoda? Obrazložiti</w:t>
            </w:r>
            <w:r w:rsidR="0000426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0BF8D433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a li su postojale sugestije Ministarstva finansija </w:t>
            </w:r>
            <w:r w:rsidR="00A265F9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na nac</w:t>
            </w:r>
            <w:r w:rsidR="00736E8D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r</w:t>
            </w:r>
            <w:r w:rsidR="00A265F9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t/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predlog propisa?</w:t>
            </w:r>
          </w:p>
          <w:p w14:paraId="63F16C7C" w14:textId="77777777" w:rsidR="00A07773" w:rsidRPr="00796809" w:rsidRDefault="00D06D2A" w:rsidP="0000426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D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a li su dobijene primjedbe </w:t>
            </w:r>
            <w:r w:rsidR="0000426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uključene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u tekst propisa? Obrazložiti.</w:t>
            </w:r>
          </w:p>
        </w:tc>
      </w:tr>
      <w:tr w:rsidR="00702CFF" w:rsidRPr="00796809" w14:paraId="513F7DAC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D84869A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  <w:p w14:paraId="102CBC3B" w14:textId="654CA5BE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Da li je potrebno obezbjeđenje finansijskih sredstava iz budžeta Crne Gore za implementaciju propisa i u kom iznosu?</w:t>
            </w:r>
            <w:r w:rsidR="00D77FF3"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</w:t>
            </w:r>
          </w:p>
          <w:p w14:paraId="65C6680A" w14:textId="77777777" w:rsidR="005E2E8F" w:rsidRPr="00796809" w:rsidRDefault="005E2E8F" w:rsidP="00485E19">
            <w:pPr>
              <w:pStyle w:val="NoSpacing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  <w:p w14:paraId="1F3DE7B2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Zа implementaciju ovog propisa nije potrebno obezbijediti dodаtnа finаnsijskа sredstvа u budžetu Crne Gore.</w:t>
            </w:r>
          </w:p>
          <w:p w14:paraId="24EE5D59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</w:p>
          <w:p w14:paraId="677FF652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Da li je obezbjeđenje finansijskih sredstava jednokratno, ili tokom određenog vremenskog perioda?  Obrazložiti.</w:t>
            </w:r>
          </w:p>
          <w:p w14:paraId="0FE0C52E" w14:textId="77777777" w:rsidR="005E2E8F" w:rsidRPr="00796809" w:rsidRDefault="005E2E8F" w:rsidP="00485E19">
            <w:pPr>
              <w:pStyle w:val="NoSpacing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  <w:p w14:paraId="3319A392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Zа implementaciju ovog propisa nije potrebno obezbijediti dodаtnа finаnsijskа sredstvа u budžetu Crne Gore.</w:t>
            </w:r>
          </w:p>
          <w:p w14:paraId="79A4F493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</w:p>
          <w:p w14:paraId="484791C1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Da li implementacijom propisa proizilaze međunarodne finansijske obaveze? Obrazložiti.</w:t>
            </w:r>
          </w:p>
          <w:p w14:paraId="3D12AF18" w14:textId="77777777" w:rsidR="005E2E8F" w:rsidRPr="00796809" w:rsidRDefault="005E2E8F" w:rsidP="00485E19">
            <w:pPr>
              <w:pStyle w:val="NoSpacing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  <w:p w14:paraId="7CAF77BF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Implementacijom ovog propisa ne proizilaze međunarodne finansijske obaveze.</w:t>
            </w:r>
          </w:p>
          <w:p w14:paraId="7291C408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</w:p>
          <w:p w14:paraId="5D1A6B9A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Da li su neophodna finansijska sredstva obezbijeđena u budžetu za tekuću fiskalnu godinu, odnosno da li su planirana u budžetu za narednu fiskanu godinu?</w:t>
            </w:r>
          </w:p>
          <w:p w14:paraId="2FAF9E97" w14:textId="77777777" w:rsidR="005E2E8F" w:rsidRPr="00796809" w:rsidRDefault="005E2E8F" w:rsidP="00485E19">
            <w:pPr>
              <w:pStyle w:val="NoSpacing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  <w:p w14:paraId="599EE728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Zа implementaciju ovog propisa nije potrebno obezbijediti dodаtnа finаnsijskа sredstvа u budžetu Crne Gore.</w:t>
            </w:r>
          </w:p>
          <w:p w14:paraId="4016DF2B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</w:p>
          <w:p w14:paraId="487C5534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Da li je usvajanjem propisa predviđeno donošenje podzakonskih akata iz kojih će proisteći finansijske obaveze?</w:t>
            </w:r>
          </w:p>
          <w:p w14:paraId="3354397F" w14:textId="77777777" w:rsidR="005E2E8F" w:rsidRPr="00796809" w:rsidRDefault="005E2E8F" w:rsidP="00485E19">
            <w:pPr>
              <w:pStyle w:val="NoSpacing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  <w:p w14:paraId="64DD8AE6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Usvajanjem propisa nije predviđeno donošenje podzakonskih akata iz kojih će proisteći finansijske obaveze.</w:t>
            </w:r>
          </w:p>
          <w:p w14:paraId="22267FAF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</w:p>
          <w:p w14:paraId="39FD2628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Da li će se implementacijom propisa ostvariti prihod za budžet Crne Gore?</w:t>
            </w:r>
          </w:p>
          <w:p w14:paraId="30C7E47F" w14:textId="77777777" w:rsidR="005E2E8F" w:rsidRPr="00796809" w:rsidRDefault="005E2E8F" w:rsidP="00485E19">
            <w:pPr>
              <w:pStyle w:val="NoSpacing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  <w:p w14:paraId="3FAD8E3E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Implementacijom propisa neće se direktno ostvariti prihod za budžet Crne Gore.</w:t>
            </w:r>
          </w:p>
          <w:p w14:paraId="0036C5D5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</w:p>
          <w:p w14:paraId="50501FAB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Obrazložiti metodologiju koja je korišćenja prilikom obračuna finansijskih izdataka/prihoda.</w:t>
            </w:r>
          </w:p>
          <w:p w14:paraId="033A159B" w14:textId="77777777" w:rsidR="00C14C37" w:rsidRPr="00796809" w:rsidRDefault="00C14C37" w:rsidP="00485E19">
            <w:pPr>
              <w:pStyle w:val="NoSpacing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  <w:p w14:paraId="2CDBD22B" w14:textId="77777777" w:rsidR="00485E19" w:rsidRPr="00796809" w:rsidRDefault="00A64FBB" w:rsidP="00EB3FD6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 w:val="0"/>
                <w:iCs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iCs/>
                <w:noProof/>
                <w:sz w:val="20"/>
                <w:szCs w:val="20"/>
                <w:lang w:val="sr-Latn-ME"/>
              </w:rPr>
              <w:t>S obzirom da za implementaciju ovog propisa nije potrebno obezbijediti dodаtnа finаnsijskа sredstvа u budžetu Crne Gore, nije se vršio obračun finansijskih izdataka/prihoda.</w:t>
            </w:r>
          </w:p>
          <w:p w14:paraId="081A84D4" w14:textId="77777777" w:rsidR="00485E19" w:rsidRPr="00796809" w:rsidRDefault="00485E19" w:rsidP="00485E19">
            <w:pPr>
              <w:pStyle w:val="NoSpacing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Da li su postojali problemi u preciznom obračunu finansijskih izdataka/prihoda? Obrazložiti.</w:t>
            </w:r>
          </w:p>
          <w:p w14:paraId="665B9C92" w14:textId="77777777" w:rsidR="00C14C37" w:rsidRPr="00796809" w:rsidRDefault="00C14C37" w:rsidP="00485E19">
            <w:pPr>
              <w:pStyle w:val="NoSpacing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  <w:p w14:paraId="7C667E3F" w14:textId="77777777" w:rsidR="00485E19" w:rsidRPr="00796809" w:rsidRDefault="00A64FBB" w:rsidP="00A64FBB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 w:val="0"/>
                <w:iCs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iCs/>
                <w:noProof/>
                <w:sz w:val="20"/>
                <w:szCs w:val="20"/>
                <w:lang w:val="sr-Latn-ME"/>
              </w:rPr>
              <w:t>Imajući u vidu da se nije radio obračun finansijskih izdataka/prihoda, jer za implementaciju ovog propisa nije potrebno obezbijediti dodatna finansijska sredstva u budžetu Crne Gore, nije moglo doći do problema obračuna.</w:t>
            </w:r>
          </w:p>
          <w:p w14:paraId="06B7B8F7" w14:textId="51186B2E" w:rsidR="000853A7" w:rsidRPr="00796809" w:rsidRDefault="000853A7" w:rsidP="00D551AD">
            <w:pPr>
              <w:pStyle w:val="NoSpacing"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</w:p>
        </w:tc>
      </w:tr>
      <w:tr w:rsidR="00282840" w:rsidRPr="00796809" w14:paraId="5FEB4CF6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BC51431" w14:textId="77777777" w:rsidR="00282840" w:rsidRPr="00796809" w:rsidRDefault="00673F68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6</w:t>
            </w:r>
            <w:r w:rsidR="001D0BF0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. </w:t>
            </w:r>
            <w:r w:rsidR="00282840" w:rsidRPr="00796809"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282840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onsultacije zainteresovanih strana</w:t>
            </w:r>
          </w:p>
          <w:p w14:paraId="22A45413" w14:textId="77777777" w:rsidR="00A07773" w:rsidRPr="00796809" w:rsidRDefault="00A07773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Naznačiti da li je korišćena eksterna </w:t>
            </w:r>
            <w:r w:rsidR="0000426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ekspertska podrška</w:t>
            </w: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i ako da, kako</w:t>
            </w:r>
            <w:r w:rsidR="0000426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153A2031" w14:textId="77777777" w:rsidR="00A07773" w:rsidRPr="00796809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N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aznačiti koje su grupe zainteresovanih strana konsultovane, u kojoj fazi RIA procesa i kako (javne ili ciljane konsultacije)</w:t>
            </w:r>
            <w:r w:rsidR="0000426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  <w:p w14:paraId="71F1AF9F" w14:textId="77777777" w:rsidR="00A07773" w:rsidRPr="00796809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N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aznačiti glavne rezultate</w:t>
            </w:r>
            <w:r w:rsidR="00D4308A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konsultacija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, i </w:t>
            </w:r>
            <w:r w:rsidR="00D4308A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koji su predlozi i sugestije zainteresovanih strana prihv</w:t>
            </w:r>
            <w:r w:rsidR="0000426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aćeni odnosno nijesu prihvaćeni.</w:t>
            </w:r>
            <w:r w:rsidR="00D4308A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 Obrazložiti</w:t>
            </w:r>
            <w:r w:rsidR="0000426F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.</w:t>
            </w:r>
          </w:p>
        </w:tc>
      </w:tr>
      <w:tr w:rsidR="00282840" w:rsidRPr="00796809" w14:paraId="2946745A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E483BD6" w14:textId="77777777" w:rsidR="00A07221" w:rsidRPr="00A07221" w:rsidRDefault="00A07221" w:rsidP="00A07221">
            <w:pPr>
              <w:spacing w:before="100" w:beforeAutospacing="1" w:after="100" w:afterAutospacing="1"/>
              <w:jc w:val="left"/>
              <w:outlineLvl w:val="1"/>
              <w:rPr>
                <w:rFonts w:ascii="Arial" w:hAnsi="Arial" w:cs="Arial"/>
                <w:sz w:val="20"/>
                <w:szCs w:val="20"/>
                <w:lang w:val="sr-Latn-ME" w:eastAsia="sr-Latn-ME"/>
              </w:rPr>
            </w:pPr>
            <w:r w:rsidRPr="00A07221">
              <w:rPr>
                <w:rFonts w:ascii="Arial" w:hAnsi="Arial" w:cs="Arial"/>
                <w:sz w:val="20"/>
                <w:szCs w:val="20"/>
                <w:lang w:val="sr-Latn-ME" w:eastAsia="sr-Latn-ME"/>
              </w:rPr>
              <w:t>Da li je korišćena eksterna ekspertska podrška i na koji način?</w:t>
            </w:r>
          </w:p>
          <w:p w14:paraId="142C5FFB" w14:textId="77777777" w:rsidR="00A07221" w:rsidRPr="00A07221" w:rsidRDefault="00A07221" w:rsidP="00A07221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A07221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U izradi Nacrta Zakona o tržištu kapitala učestvovali su zaposleni Komisije za tržište kapitala.</w:t>
            </w:r>
          </w:p>
          <w:p w14:paraId="056ACE7E" w14:textId="56F6EB62" w:rsidR="00A07221" w:rsidRPr="00A07221" w:rsidRDefault="00A07221" w:rsidP="00A07221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A07221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Pored interne ekspertize, korišćena je i eksterna ekspertska podrška obezbijeđena kroz </w:t>
            </w:r>
            <w:r w:rsidRPr="00796809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projekat</w:t>
            </w:r>
            <w:r w:rsidRPr="00A07221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 koji je finansiran od strane Evropske unije, uz učešće Njemačkog saveznog ministarstva za ekonomsku saradnju i razvoj, u okviru inicijative EU </w:t>
            </w:r>
            <w:proofErr w:type="spellStart"/>
            <w:r w:rsidRPr="00A07221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Empower</w:t>
            </w:r>
            <w:proofErr w:type="spellEnd"/>
            <w:r w:rsidRPr="00A07221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 ME.</w:t>
            </w:r>
          </w:p>
          <w:p w14:paraId="300BDDA2" w14:textId="77777777" w:rsidR="00A07221" w:rsidRPr="00796809" w:rsidRDefault="00A07221" w:rsidP="00A07221">
            <w:pPr>
              <w:spacing w:before="100" w:beforeAutospacing="1" w:after="100" w:afterAutospacing="1"/>
              <w:jc w:val="left"/>
              <w:rPr>
                <w:rFonts w:ascii="Arial" w:hAnsi="Arial" w:cs="Arial"/>
                <w:sz w:val="20"/>
                <w:szCs w:val="20"/>
                <w:lang w:val="sr-Latn-ME" w:eastAsia="sr-Latn-ME"/>
              </w:rPr>
            </w:pPr>
            <w:r w:rsidRPr="00A07221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Stručnu podršku Komisiji za tržište kapitala u procesu izrade nacrta ovog propisa pružali su eksperti Hrvatske agencije za nadzor financijskih usluga (HANFA</w:t>
            </w:r>
            <w:r w:rsidRPr="00796809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) </w:t>
            </w:r>
            <w:r w:rsidRPr="00A07221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sa posebnim fokusom na usklađivanje sa pravnom tekovinom Evropske unije i praksom nadzornih organa država članica.</w:t>
            </w:r>
          </w:p>
          <w:p w14:paraId="6358C7E9" w14:textId="6FDDEE4C" w:rsidR="00A07221" w:rsidRPr="00A07221" w:rsidRDefault="00A07221" w:rsidP="00A07221">
            <w:pPr>
              <w:spacing w:before="100" w:beforeAutospacing="1" w:after="100" w:afterAutospacing="1"/>
              <w:jc w:val="left"/>
              <w:rPr>
                <w:rFonts w:ascii="Arial" w:hAnsi="Arial" w:cs="Arial"/>
                <w:sz w:val="20"/>
                <w:szCs w:val="20"/>
                <w:lang w:val="sr-Latn-ME" w:eastAsia="sr-Latn-ME"/>
              </w:rPr>
            </w:pPr>
            <w:r w:rsidRPr="00A07221">
              <w:rPr>
                <w:rFonts w:ascii="Arial" w:hAnsi="Arial" w:cs="Arial"/>
                <w:sz w:val="20"/>
                <w:szCs w:val="20"/>
                <w:lang w:val="sr-Latn-ME" w:eastAsia="sr-Latn-ME"/>
              </w:rPr>
              <w:t>Koje su grupe zainteresovanih strana konsultovane, u kojoj fazi RIA procesa i na koji način?</w:t>
            </w:r>
          </w:p>
          <w:p w14:paraId="5FFA0E48" w14:textId="77777777" w:rsidR="00A07221" w:rsidRPr="00A07221" w:rsidRDefault="00A07221" w:rsidP="00A07221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A07221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U okviru izrade propisa pripremljena je preliminarna procjena uticaja propisa (RIA).</w:t>
            </w:r>
          </w:p>
          <w:p w14:paraId="1702DBCA" w14:textId="77777777" w:rsidR="00A07221" w:rsidRPr="00A07221" w:rsidRDefault="00A07221" w:rsidP="00A07221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A07221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Nacrt Zakona o tržištu kapitala biće upućen na javnu raspravu, tokom koje će zainteresovane strane imati mogućnost da dostave svoje komentare, sugestije i primjedbe.</w:t>
            </w:r>
          </w:p>
          <w:p w14:paraId="63B6A2FB" w14:textId="77777777" w:rsidR="00A07221" w:rsidRPr="00A07221" w:rsidRDefault="00A07221" w:rsidP="00A07221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A07221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Javna rasprava predstavlja ključnu fazu konsultacija u RIA procesu, u kojoj se obezbjeđuje učešće stručne i šire javnosti, učesnika na tržištu kapitala, profesionalnih udruženja i drugih zainteresovanih subjekata.</w:t>
            </w:r>
          </w:p>
          <w:p w14:paraId="7B286106" w14:textId="77777777" w:rsidR="00A07221" w:rsidRPr="00A07221" w:rsidRDefault="00A07221" w:rsidP="00A07221">
            <w:pPr>
              <w:spacing w:before="100" w:beforeAutospacing="1" w:after="100" w:afterAutospacing="1"/>
              <w:jc w:val="left"/>
              <w:outlineLvl w:val="1"/>
              <w:rPr>
                <w:rFonts w:ascii="Arial" w:hAnsi="Arial" w:cs="Arial"/>
                <w:sz w:val="20"/>
                <w:szCs w:val="20"/>
                <w:lang w:val="sr-Latn-ME" w:eastAsia="sr-Latn-ME"/>
              </w:rPr>
            </w:pPr>
            <w:r w:rsidRPr="00A07221">
              <w:rPr>
                <w:rFonts w:ascii="Arial" w:hAnsi="Arial" w:cs="Arial"/>
                <w:sz w:val="20"/>
                <w:szCs w:val="20"/>
                <w:lang w:val="sr-Latn-ME" w:eastAsia="sr-Latn-ME"/>
              </w:rPr>
              <w:lastRenderedPageBreak/>
              <w:t xml:space="preserve">Glavni rezultati konsultacija i prihvatanje </w:t>
            </w:r>
            <w:proofErr w:type="spellStart"/>
            <w:r w:rsidRPr="00A07221">
              <w:rPr>
                <w:rFonts w:ascii="Arial" w:hAnsi="Arial" w:cs="Arial"/>
                <w:sz w:val="20"/>
                <w:szCs w:val="20"/>
                <w:lang w:val="sr-Latn-ME" w:eastAsia="sr-Latn-ME"/>
              </w:rPr>
              <w:t>predloga</w:t>
            </w:r>
            <w:proofErr w:type="spellEnd"/>
            <w:r w:rsidRPr="00A07221">
              <w:rPr>
                <w:rFonts w:ascii="Arial" w:hAnsi="Arial" w:cs="Arial"/>
                <w:sz w:val="20"/>
                <w:szCs w:val="20"/>
                <w:lang w:val="sr-Latn-ME" w:eastAsia="sr-Latn-ME"/>
              </w:rPr>
              <w:t xml:space="preserve"> zainteresovanih strana</w:t>
            </w:r>
          </w:p>
          <w:p w14:paraId="571F2C5F" w14:textId="77777777" w:rsidR="00A07221" w:rsidRPr="00A07221" w:rsidRDefault="00A07221" w:rsidP="00A07221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A07221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S obzirom da je Nacrt Zakona o tržištu kapitala upućen na javnu raspravu, konačni rezultati konsultacija još nijesu poznati.</w:t>
            </w:r>
          </w:p>
          <w:p w14:paraId="61F628D4" w14:textId="77777777" w:rsidR="00A07221" w:rsidRPr="00A07221" w:rsidRDefault="00A07221" w:rsidP="00A07221">
            <w:pPr>
              <w:spacing w:before="100" w:beforeAutospacing="1" w:after="100" w:afterAutospacing="1"/>
              <w:jc w:val="left"/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</w:pPr>
            <w:r w:rsidRPr="00A07221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 xml:space="preserve">Nakon sprovedene javne rasprave, Nacrt zakona biće razmotren i, u skladu sa dobijenim komentarima i sugestijama zainteresovanih strana, dopunjen i unaprijeđen, uz obrazloženje prihvaćenih i neprihvaćenih </w:t>
            </w:r>
            <w:proofErr w:type="spellStart"/>
            <w:r w:rsidRPr="00A07221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predloga</w:t>
            </w:r>
            <w:proofErr w:type="spellEnd"/>
            <w:r w:rsidRPr="00A07221">
              <w:rPr>
                <w:rFonts w:ascii="Arial" w:hAnsi="Arial" w:cs="Arial"/>
                <w:b w:val="0"/>
                <w:bCs/>
                <w:sz w:val="20"/>
                <w:szCs w:val="20"/>
                <w:lang w:val="sr-Latn-ME" w:eastAsia="sr-Latn-ME"/>
              </w:rPr>
              <w:t>, u skladu sa važećom metodologijom za sprovođenje RIA procesa.</w:t>
            </w:r>
          </w:p>
          <w:p w14:paraId="4AAB50C5" w14:textId="33064437" w:rsidR="006A2038" w:rsidRPr="00796809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</w:pPr>
          </w:p>
        </w:tc>
      </w:tr>
      <w:tr w:rsidR="00282840" w:rsidRPr="00796809" w14:paraId="6A99F398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EEA71EC" w14:textId="77777777" w:rsidR="00282840" w:rsidRPr="00796809" w:rsidRDefault="00673F68" w:rsidP="0028284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7</w:t>
            </w:r>
            <w:r w:rsidR="00282840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: Monitoring i evaluacija</w:t>
            </w:r>
          </w:p>
          <w:p w14:paraId="53211A50" w14:textId="77777777" w:rsidR="0000426F" w:rsidRPr="00796809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 xml:space="preserve">oje su potencijalne prepreke za implementaciju propisa? </w:t>
            </w:r>
          </w:p>
          <w:p w14:paraId="37FB5604" w14:textId="77777777" w:rsidR="00A07773" w:rsidRPr="00796809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oje će mjere biti preduzete tokom primjene propisa da bi se ispunili ciljevi</w:t>
            </w: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?</w:t>
            </w:r>
          </w:p>
          <w:p w14:paraId="401FA0F5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oji su glavni indikatori prema kojima će se mjeriti ispunjenje ciljeva?</w:t>
            </w:r>
          </w:p>
          <w:p w14:paraId="186EB81D" w14:textId="77777777" w:rsidR="00A07773" w:rsidRPr="00796809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noProof/>
                <w:color w:val="365F91" w:themeColor="accent1" w:themeShade="BF"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K</w:t>
            </w:r>
            <w:r w:rsidR="00A07773" w:rsidRPr="00796809">
              <w:rPr>
                <w:rFonts w:ascii="Arial" w:hAnsi="Arial" w:cs="Arial"/>
                <w:noProof/>
                <w:color w:val="365F91" w:themeColor="accent1" w:themeShade="BF"/>
                <w:sz w:val="20"/>
                <w:szCs w:val="20"/>
                <w:lang w:val="sr-Latn-ME"/>
              </w:rPr>
              <w:t>o će biti zadužen za sprovođenje monitoringa i evaluacije primjene propisa?</w:t>
            </w:r>
          </w:p>
        </w:tc>
      </w:tr>
      <w:tr w:rsidR="00282840" w:rsidRPr="00796809" w14:paraId="25157DD4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2F22FDDD" w14:textId="77777777" w:rsidR="006A2038" w:rsidRPr="00796809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Koje su potencijalne prepreke za implementaciju propisa?</w:t>
            </w:r>
          </w:p>
          <w:p w14:paraId="6C71D37C" w14:textId="77777777" w:rsidR="00833765" w:rsidRPr="00796809" w:rsidRDefault="006038B9" w:rsidP="00E54D7F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Potencijalnih </w:t>
            </w:r>
            <w:r w:rsidR="004D66F4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prepreka za implementaciju propisa</w:t>
            </w: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nema</w:t>
            </w:r>
            <w:r w:rsidR="00001714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.</w:t>
            </w:r>
          </w:p>
          <w:p w14:paraId="65CB31D5" w14:textId="76FC47C3" w:rsidR="006A2038" w:rsidRPr="00796809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Koje će mjere biti preduzete tokom primjene </w:t>
            </w:r>
            <w:r w:rsidR="006D1471"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propisa da bi se ispunili ciljevi?</w:t>
            </w:r>
          </w:p>
          <w:p w14:paraId="6009ABB6" w14:textId="7CF1F0DE" w:rsidR="00836249" w:rsidRPr="00796809" w:rsidRDefault="006A2038" w:rsidP="00836249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Da bi se ispunili ciljevi, biće </w:t>
            </w:r>
            <w:r w:rsidR="00836249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sprovedene d</w:t>
            </w: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odatne regulatorne aktivnost</w:t>
            </w:r>
            <w:r w:rsidR="00F17F61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i,</w:t>
            </w:r>
            <w:r w:rsidR="00F17F61"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</w:t>
            </w: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radi donošenja neophodnih podzakonskih akata za implementaciju zakona</w:t>
            </w:r>
            <w:r w:rsidR="00836249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.</w:t>
            </w:r>
          </w:p>
          <w:p w14:paraId="0F294EA9" w14:textId="77777777" w:rsidR="006A2038" w:rsidRPr="00796809" w:rsidRDefault="006A2038" w:rsidP="00E54D7F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Koji su glavni indikatori prema kojima će se mjeriti ispunjenje ciljeva?</w:t>
            </w:r>
          </w:p>
          <w:p w14:paraId="0FC16181" w14:textId="17E1932D" w:rsidR="007C50B3" w:rsidRPr="00796809" w:rsidRDefault="00502098" w:rsidP="00502098">
            <w:pPr>
              <w:pStyle w:val="NoSpacing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Glavni indikatori za mjerenje ispunjenja ciljeva biće broj novootvorenih investicionih društava, vezanih zastupnik</w:t>
            </w:r>
            <w:r w:rsidR="00DB2F53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a</w:t>
            </w:r>
            <w:r w:rsidR="00936CD7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i drugih učesnika na tržištu kapitala</w:t>
            </w: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, veći broj investitora na crnogorskom tržištu.</w:t>
            </w:r>
          </w:p>
          <w:p w14:paraId="0FCF6096" w14:textId="77777777" w:rsidR="00502098" w:rsidRPr="00796809" w:rsidRDefault="00502098" w:rsidP="00502098">
            <w:pPr>
              <w:pStyle w:val="NoSpacing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</w:p>
          <w:p w14:paraId="08C64904" w14:textId="77777777" w:rsidR="00DB3D7D" w:rsidRPr="00796809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Ko će biti zadužen za sprovođenje monitoringa i evaluacije primjene propisa?</w:t>
            </w:r>
          </w:p>
          <w:p w14:paraId="39EBC5F1" w14:textId="68B26C1F" w:rsidR="00FB6BD5" w:rsidRPr="00796809" w:rsidRDefault="00DB3D7D" w:rsidP="007C50B3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Za monitoring ovog zakona biće zadužena </w:t>
            </w:r>
            <w:r w:rsidR="007C50B3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Komisija za tržište kapitala</w:t>
            </w: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koja će, u okviru svojih godišnjih izvještaja o radu, Skupštin</w:t>
            </w:r>
            <w:r w:rsidR="00DB2F53"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u</w:t>
            </w:r>
            <w:r w:rsidRPr="0079680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Crne Gore redovno izvještavati o najznačajnijim indikatorima u oblasti primjene ovog zakona.</w:t>
            </w:r>
          </w:p>
        </w:tc>
      </w:tr>
    </w:tbl>
    <w:p w14:paraId="4488E83C" w14:textId="77777777" w:rsidR="004A4396" w:rsidRPr="00796809" w:rsidRDefault="004A4396">
      <w:pPr>
        <w:rPr>
          <w:rFonts w:ascii="Arial" w:hAnsi="Arial" w:cs="Arial"/>
          <w:noProof/>
          <w:color w:val="365F91" w:themeColor="accent1" w:themeShade="BF"/>
          <w:sz w:val="20"/>
          <w:szCs w:val="20"/>
          <w:lang w:val="sr-Latn-ME"/>
        </w:rPr>
      </w:pPr>
    </w:p>
    <w:p w14:paraId="534224CE" w14:textId="1238EDE3" w:rsidR="00C80BD8" w:rsidRPr="00796809" w:rsidRDefault="00BD4282">
      <w:pPr>
        <w:rPr>
          <w:rFonts w:ascii="Arial" w:hAnsi="Arial" w:cs="Arial"/>
          <w:b/>
          <w:noProof/>
          <w:color w:val="365F91" w:themeColor="accent1" w:themeShade="BF"/>
          <w:sz w:val="20"/>
          <w:szCs w:val="20"/>
          <w:lang w:val="sr-Latn-ME"/>
        </w:rPr>
      </w:pPr>
      <w:r w:rsidRPr="00796809">
        <w:rPr>
          <w:rFonts w:ascii="Arial" w:hAnsi="Arial" w:cs="Arial"/>
          <w:b/>
          <w:noProof/>
          <w:color w:val="365F91" w:themeColor="accent1" w:themeShade="BF"/>
          <w:sz w:val="20"/>
          <w:szCs w:val="20"/>
          <w:lang w:val="sr-Latn-ME"/>
        </w:rPr>
        <w:t>Datum i mjesto</w:t>
      </w:r>
      <w:r w:rsidR="00972845" w:rsidRPr="00796809">
        <w:rPr>
          <w:rFonts w:ascii="Arial" w:hAnsi="Arial" w:cs="Arial"/>
          <w:b/>
          <w:noProof/>
          <w:color w:val="365F91" w:themeColor="accent1" w:themeShade="BF"/>
          <w:sz w:val="20"/>
          <w:szCs w:val="20"/>
          <w:lang w:val="sr-Latn-ME"/>
        </w:rPr>
        <w:tab/>
      </w:r>
      <w:r w:rsidR="00972845" w:rsidRPr="00796809">
        <w:rPr>
          <w:rFonts w:ascii="Arial" w:hAnsi="Arial" w:cs="Arial"/>
          <w:b/>
          <w:noProof/>
          <w:color w:val="365F91" w:themeColor="accent1" w:themeShade="BF"/>
          <w:sz w:val="20"/>
          <w:szCs w:val="20"/>
          <w:lang w:val="sr-Latn-ME"/>
        </w:rPr>
        <w:tab/>
      </w:r>
      <w:r w:rsidR="00972845" w:rsidRPr="00796809">
        <w:rPr>
          <w:rFonts w:ascii="Arial" w:hAnsi="Arial" w:cs="Arial"/>
          <w:b/>
          <w:noProof/>
          <w:color w:val="365F91" w:themeColor="accent1" w:themeShade="BF"/>
          <w:sz w:val="20"/>
          <w:szCs w:val="20"/>
          <w:lang w:val="sr-Latn-ME"/>
        </w:rPr>
        <w:tab/>
      </w:r>
      <w:r w:rsidR="00972845" w:rsidRPr="00796809">
        <w:rPr>
          <w:rFonts w:ascii="Arial" w:hAnsi="Arial" w:cs="Arial"/>
          <w:b/>
          <w:noProof/>
          <w:color w:val="365F91" w:themeColor="accent1" w:themeShade="BF"/>
          <w:sz w:val="20"/>
          <w:szCs w:val="20"/>
          <w:lang w:val="sr-Latn-ME"/>
        </w:rPr>
        <w:tab/>
      </w:r>
      <w:r w:rsidR="00972845" w:rsidRPr="00796809">
        <w:rPr>
          <w:rFonts w:ascii="Arial" w:hAnsi="Arial" w:cs="Arial"/>
          <w:b/>
          <w:noProof/>
          <w:color w:val="365F91" w:themeColor="accent1" w:themeShade="BF"/>
          <w:sz w:val="20"/>
          <w:szCs w:val="20"/>
          <w:lang w:val="sr-Latn-ME"/>
        </w:rPr>
        <w:tab/>
      </w:r>
      <w:r w:rsidR="00972845" w:rsidRPr="00796809">
        <w:rPr>
          <w:rFonts w:ascii="Arial" w:hAnsi="Arial" w:cs="Arial"/>
          <w:b/>
          <w:noProof/>
          <w:color w:val="365F91" w:themeColor="accent1" w:themeShade="BF"/>
          <w:sz w:val="20"/>
          <w:szCs w:val="20"/>
          <w:lang w:val="sr-Latn-ME"/>
        </w:rPr>
        <w:tab/>
      </w:r>
      <w:r w:rsidR="00796809" w:rsidRPr="00796809">
        <w:rPr>
          <w:rFonts w:ascii="Arial" w:hAnsi="Arial" w:cs="Arial"/>
          <w:b/>
          <w:noProof/>
          <w:color w:val="365F91" w:themeColor="accent1" w:themeShade="BF"/>
          <w:sz w:val="20"/>
          <w:szCs w:val="20"/>
          <w:lang w:val="sr-Latn-ME"/>
        </w:rPr>
        <w:t xml:space="preserve">        </w:t>
      </w:r>
      <w:r w:rsidR="00972845" w:rsidRPr="00796809">
        <w:rPr>
          <w:rFonts w:ascii="Arial" w:hAnsi="Arial" w:cs="Arial"/>
          <w:b/>
          <w:noProof/>
          <w:color w:val="365F91" w:themeColor="accent1" w:themeShade="BF"/>
          <w:sz w:val="20"/>
          <w:szCs w:val="20"/>
          <w:lang w:val="sr-Latn-ME"/>
        </w:rPr>
        <w:t xml:space="preserve">Starješina </w:t>
      </w:r>
    </w:p>
    <w:p w14:paraId="2B8AD8F7" w14:textId="77777777" w:rsidR="00E54D7F" w:rsidRPr="00796809" w:rsidRDefault="00E54D7F">
      <w:pPr>
        <w:rPr>
          <w:rFonts w:ascii="Arial" w:hAnsi="Arial" w:cs="Arial"/>
          <w:noProof/>
          <w:color w:val="365F91" w:themeColor="accent1" w:themeShade="BF"/>
          <w:sz w:val="20"/>
          <w:szCs w:val="20"/>
          <w:lang w:val="sr-Latn-ME"/>
        </w:rPr>
      </w:pPr>
    </w:p>
    <w:p w14:paraId="08B24550" w14:textId="209D7A33" w:rsidR="00C80BD8" w:rsidRPr="00796809" w:rsidRDefault="00EB3FD6">
      <w:pPr>
        <w:rPr>
          <w:rFonts w:ascii="Arial" w:hAnsi="Arial" w:cs="Arial"/>
          <w:noProof/>
          <w:color w:val="365F91" w:themeColor="accent1" w:themeShade="BF"/>
          <w:sz w:val="20"/>
          <w:szCs w:val="20"/>
          <w:lang w:val="sr-Latn-ME"/>
        </w:rPr>
      </w:pPr>
      <w:r w:rsidRPr="00796809">
        <w:rPr>
          <w:rFonts w:ascii="Arial" w:hAnsi="Arial" w:cs="Arial"/>
          <w:noProof/>
          <w:color w:val="365F91" w:themeColor="accent1" w:themeShade="BF"/>
          <w:sz w:val="20"/>
          <w:szCs w:val="20"/>
          <w:lang w:val="sr-Latn-ME"/>
        </w:rPr>
        <w:t xml:space="preserve">U Podgorici, </w:t>
      </w:r>
      <w:r w:rsidR="00A07221" w:rsidRPr="00796809">
        <w:rPr>
          <w:rFonts w:ascii="Arial" w:hAnsi="Arial" w:cs="Arial"/>
          <w:noProof/>
          <w:color w:val="365F91" w:themeColor="accent1" w:themeShade="BF"/>
          <w:sz w:val="20"/>
          <w:szCs w:val="20"/>
          <w:lang w:val="sr-Latn-ME"/>
        </w:rPr>
        <w:t>26.12.2025</w:t>
      </w:r>
      <w:r w:rsidR="00E54D7F" w:rsidRPr="00796809">
        <w:rPr>
          <w:rFonts w:ascii="Arial" w:hAnsi="Arial" w:cs="Arial"/>
          <w:noProof/>
          <w:color w:val="365F91" w:themeColor="accent1" w:themeShade="BF"/>
          <w:sz w:val="20"/>
          <w:szCs w:val="20"/>
          <w:lang w:val="sr-Latn-ME"/>
        </w:rPr>
        <w:t xml:space="preserve">. </w:t>
      </w:r>
      <w:r w:rsidR="00502098" w:rsidRPr="00796809">
        <w:rPr>
          <w:rFonts w:ascii="Arial" w:hAnsi="Arial" w:cs="Arial"/>
          <w:noProof/>
          <w:color w:val="365F91" w:themeColor="accent1" w:themeShade="BF"/>
          <w:sz w:val="20"/>
          <w:szCs w:val="20"/>
          <w:lang w:val="sr-Latn-ME"/>
        </w:rPr>
        <w:t>g</w:t>
      </w:r>
      <w:r w:rsidR="00E54D7F" w:rsidRPr="00796809">
        <w:rPr>
          <w:rFonts w:ascii="Arial" w:hAnsi="Arial" w:cs="Arial"/>
          <w:noProof/>
          <w:color w:val="365F91" w:themeColor="accent1" w:themeShade="BF"/>
          <w:sz w:val="20"/>
          <w:szCs w:val="20"/>
          <w:lang w:val="sr-Latn-ME"/>
        </w:rPr>
        <w:t>odine</w:t>
      </w:r>
      <w:r w:rsidR="00C80BD8" w:rsidRPr="00796809">
        <w:rPr>
          <w:rFonts w:ascii="Arial" w:hAnsi="Arial" w:cs="Arial"/>
          <w:noProof/>
          <w:color w:val="365F91" w:themeColor="accent1" w:themeShade="BF"/>
          <w:sz w:val="20"/>
          <w:szCs w:val="20"/>
          <w:lang w:val="sr-Latn-ME"/>
        </w:rPr>
        <w:t xml:space="preserve">                         </w:t>
      </w:r>
      <w:r w:rsidR="00C80BD8" w:rsidRPr="00796809">
        <w:rPr>
          <w:rFonts w:ascii="Arial" w:hAnsi="Arial" w:cs="Arial"/>
          <w:noProof/>
          <w:color w:val="365F91" w:themeColor="accent1" w:themeShade="BF"/>
          <w:sz w:val="20"/>
          <w:szCs w:val="20"/>
          <w:lang w:val="sr-Latn-ME"/>
        </w:rPr>
        <w:tab/>
      </w:r>
      <w:r w:rsidR="00796809" w:rsidRPr="00796809">
        <w:rPr>
          <w:rFonts w:ascii="Arial" w:hAnsi="Arial" w:cs="Arial"/>
          <w:noProof/>
          <w:color w:val="365F91" w:themeColor="accent1" w:themeShade="BF"/>
          <w:sz w:val="20"/>
          <w:szCs w:val="20"/>
          <w:lang w:val="sr-Latn-ME"/>
        </w:rPr>
        <w:t xml:space="preserve">             </w:t>
      </w:r>
      <w:r w:rsidR="00C80BD8" w:rsidRPr="00796809">
        <w:rPr>
          <w:rFonts w:ascii="Arial" w:hAnsi="Arial" w:cs="Arial"/>
          <w:noProof/>
          <w:color w:val="365F91" w:themeColor="accent1" w:themeShade="BF"/>
          <w:sz w:val="20"/>
          <w:szCs w:val="20"/>
          <w:lang w:val="sr-Latn-ME"/>
        </w:rPr>
        <w:t>PREDSJEDNIK KOMISIJE</w:t>
      </w:r>
    </w:p>
    <w:p w14:paraId="3A19CFC6" w14:textId="77777777" w:rsidR="00C80BD8" w:rsidRPr="00796809" w:rsidRDefault="00C80BD8" w:rsidP="00C80BD8">
      <w:pPr>
        <w:ind w:left="2880" w:firstLine="720"/>
        <w:rPr>
          <w:rFonts w:ascii="Arial" w:hAnsi="Arial" w:cs="Arial"/>
          <w:noProof/>
          <w:color w:val="365F91" w:themeColor="accent1" w:themeShade="BF"/>
          <w:sz w:val="20"/>
          <w:szCs w:val="20"/>
          <w:lang w:val="sr-Latn-ME"/>
        </w:rPr>
      </w:pPr>
      <w:r w:rsidRPr="00796809">
        <w:rPr>
          <w:rFonts w:ascii="Arial" w:hAnsi="Arial" w:cs="Arial"/>
          <w:noProof/>
          <w:color w:val="365F91" w:themeColor="accent1" w:themeShade="BF"/>
          <w:sz w:val="20"/>
          <w:szCs w:val="20"/>
          <w:lang w:val="sr-Latn-ME"/>
        </w:rPr>
        <w:t xml:space="preserve">                             ZA TRŽIŠTE KAPITALA</w:t>
      </w:r>
    </w:p>
    <w:sectPr w:rsidR="00C80BD8" w:rsidRPr="00796809" w:rsidSect="00D83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2EC27" w14:textId="77777777" w:rsidR="00E8018C" w:rsidRDefault="00E8018C" w:rsidP="00BA7396">
      <w:r>
        <w:separator/>
      </w:r>
    </w:p>
  </w:endnote>
  <w:endnote w:type="continuationSeparator" w:id="0">
    <w:p w14:paraId="791455BF" w14:textId="77777777" w:rsidR="00E8018C" w:rsidRDefault="00E8018C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B6290" w14:textId="77777777" w:rsidR="00E8018C" w:rsidRDefault="00E8018C" w:rsidP="00BA7396">
      <w:r>
        <w:separator/>
      </w:r>
    </w:p>
  </w:footnote>
  <w:footnote w:type="continuationSeparator" w:id="0">
    <w:p w14:paraId="2507199C" w14:textId="77777777" w:rsidR="00E8018C" w:rsidRDefault="00E8018C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F0D4B"/>
    <w:multiLevelType w:val="hybridMultilevel"/>
    <w:tmpl w:val="F2AAED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31701"/>
    <w:multiLevelType w:val="hybridMultilevel"/>
    <w:tmpl w:val="E1D2B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36B37"/>
    <w:multiLevelType w:val="hybridMultilevel"/>
    <w:tmpl w:val="4A7A95AA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F7129"/>
    <w:multiLevelType w:val="hybridMultilevel"/>
    <w:tmpl w:val="2D06A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E6AC4"/>
    <w:multiLevelType w:val="hybridMultilevel"/>
    <w:tmpl w:val="73E0CE26"/>
    <w:lvl w:ilvl="0" w:tplc="2DA8E17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365F91" w:themeColor="accent1" w:themeShade="BF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F9187C"/>
    <w:multiLevelType w:val="hybridMultilevel"/>
    <w:tmpl w:val="1BAE453A"/>
    <w:lvl w:ilvl="0" w:tplc="464C5C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76027"/>
    <w:multiLevelType w:val="hybridMultilevel"/>
    <w:tmpl w:val="E0BAF448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D15B8"/>
    <w:multiLevelType w:val="hybridMultilevel"/>
    <w:tmpl w:val="EC96DC68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23E24"/>
    <w:multiLevelType w:val="hybridMultilevel"/>
    <w:tmpl w:val="6500509A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C0BB8"/>
    <w:multiLevelType w:val="hybridMultilevel"/>
    <w:tmpl w:val="93E4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BC0323"/>
    <w:multiLevelType w:val="hybridMultilevel"/>
    <w:tmpl w:val="2F8A0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74BD6"/>
    <w:multiLevelType w:val="hybridMultilevel"/>
    <w:tmpl w:val="35602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B024E"/>
    <w:multiLevelType w:val="hybridMultilevel"/>
    <w:tmpl w:val="39A02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3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826E0"/>
    <w:multiLevelType w:val="hybridMultilevel"/>
    <w:tmpl w:val="765E7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17D80"/>
    <w:multiLevelType w:val="hybridMultilevel"/>
    <w:tmpl w:val="FAD09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46BA3"/>
    <w:multiLevelType w:val="hybridMultilevel"/>
    <w:tmpl w:val="47481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91439"/>
    <w:multiLevelType w:val="hybridMultilevel"/>
    <w:tmpl w:val="EA8E0EB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FD0CE7"/>
    <w:multiLevelType w:val="hybridMultilevel"/>
    <w:tmpl w:val="6298BF7C"/>
    <w:lvl w:ilvl="0" w:tplc="96A4B3C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3860ABD"/>
    <w:multiLevelType w:val="hybridMultilevel"/>
    <w:tmpl w:val="A488A210"/>
    <w:lvl w:ilvl="0" w:tplc="E9A2740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50C82"/>
    <w:multiLevelType w:val="hybridMultilevel"/>
    <w:tmpl w:val="0CFC6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E6EC0"/>
    <w:multiLevelType w:val="hybridMultilevel"/>
    <w:tmpl w:val="C46AA454"/>
    <w:lvl w:ilvl="0" w:tplc="3F5E45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5D1AE0"/>
    <w:multiLevelType w:val="hybridMultilevel"/>
    <w:tmpl w:val="4B960A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F6C34"/>
    <w:multiLevelType w:val="hybridMultilevel"/>
    <w:tmpl w:val="C04499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771C7D"/>
    <w:multiLevelType w:val="hybridMultilevel"/>
    <w:tmpl w:val="27C89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A2108"/>
    <w:multiLevelType w:val="hybridMultilevel"/>
    <w:tmpl w:val="8CEA8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E1531C"/>
    <w:multiLevelType w:val="hybridMultilevel"/>
    <w:tmpl w:val="5E9AD512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076654">
    <w:abstractNumId w:val="9"/>
  </w:num>
  <w:num w:numId="2" w16cid:durableId="1364473848">
    <w:abstractNumId w:val="3"/>
  </w:num>
  <w:num w:numId="3" w16cid:durableId="1143620075">
    <w:abstractNumId w:val="0"/>
  </w:num>
  <w:num w:numId="4" w16cid:durableId="1013536607">
    <w:abstractNumId w:val="33"/>
  </w:num>
  <w:num w:numId="5" w16cid:durableId="1654214571">
    <w:abstractNumId w:val="4"/>
  </w:num>
  <w:num w:numId="6" w16cid:durableId="1879776849">
    <w:abstractNumId w:val="1"/>
  </w:num>
  <w:num w:numId="7" w16cid:durableId="1352486405">
    <w:abstractNumId w:val="11"/>
  </w:num>
  <w:num w:numId="8" w16cid:durableId="1552495090">
    <w:abstractNumId w:val="15"/>
  </w:num>
  <w:num w:numId="9" w16cid:durableId="473450809">
    <w:abstractNumId w:val="38"/>
  </w:num>
  <w:num w:numId="10" w16cid:durableId="588927639">
    <w:abstractNumId w:val="23"/>
  </w:num>
  <w:num w:numId="11" w16cid:durableId="91040">
    <w:abstractNumId w:val="5"/>
  </w:num>
  <w:num w:numId="12" w16cid:durableId="980385559">
    <w:abstractNumId w:val="8"/>
  </w:num>
  <w:num w:numId="13" w16cid:durableId="1248811832">
    <w:abstractNumId w:val="22"/>
  </w:num>
  <w:num w:numId="14" w16cid:durableId="682897234">
    <w:abstractNumId w:val="21"/>
  </w:num>
  <w:num w:numId="15" w16cid:durableId="1285888446">
    <w:abstractNumId w:val="31"/>
  </w:num>
  <w:num w:numId="16" w16cid:durableId="1394892499">
    <w:abstractNumId w:val="6"/>
  </w:num>
  <w:num w:numId="17" w16cid:durableId="499933163">
    <w:abstractNumId w:val="35"/>
  </w:num>
  <w:num w:numId="18" w16cid:durableId="1341466979">
    <w:abstractNumId w:val="29"/>
  </w:num>
  <w:num w:numId="19" w16cid:durableId="2011787685">
    <w:abstractNumId w:val="36"/>
  </w:num>
  <w:num w:numId="20" w16cid:durableId="917790364">
    <w:abstractNumId w:val="10"/>
  </w:num>
  <w:num w:numId="21" w16cid:durableId="263850172">
    <w:abstractNumId w:val="13"/>
  </w:num>
  <w:num w:numId="22" w16cid:durableId="1021320252">
    <w:abstractNumId w:val="32"/>
  </w:num>
  <w:num w:numId="23" w16cid:durableId="734007872">
    <w:abstractNumId w:val="18"/>
  </w:num>
  <w:num w:numId="24" w16cid:durableId="1286623378">
    <w:abstractNumId w:val="20"/>
  </w:num>
  <w:num w:numId="25" w16cid:durableId="1026365193">
    <w:abstractNumId w:val="26"/>
  </w:num>
  <w:num w:numId="26" w16cid:durableId="1209416167">
    <w:abstractNumId w:val="25"/>
  </w:num>
  <w:num w:numId="27" w16cid:durableId="985621372">
    <w:abstractNumId w:val="14"/>
  </w:num>
  <w:num w:numId="28" w16cid:durableId="1315378262">
    <w:abstractNumId w:val="19"/>
  </w:num>
  <w:num w:numId="29" w16cid:durableId="1471165818">
    <w:abstractNumId w:val="24"/>
  </w:num>
  <w:num w:numId="30" w16cid:durableId="1984768050">
    <w:abstractNumId w:val="30"/>
  </w:num>
  <w:num w:numId="31" w16cid:durableId="1502623516">
    <w:abstractNumId w:val="27"/>
  </w:num>
  <w:num w:numId="32" w16cid:durableId="2007395473">
    <w:abstractNumId w:val="2"/>
  </w:num>
  <w:num w:numId="33" w16cid:durableId="212546684">
    <w:abstractNumId w:val="17"/>
  </w:num>
  <w:num w:numId="34" w16cid:durableId="253050485">
    <w:abstractNumId w:val="16"/>
  </w:num>
  <w:num w:numId="35" w16cid:durableId="1392659424">
    <w:abstractNumId w:val="7"/>
  </w:num>
  <w:num w:numId="36" w16cid:durableId="305202470">
    <w:abstractNumId w:val="37"/>
  </w:num>
  <w:num w:numId="37" w16cid:durableId="70078944">
    <w:abstractNumId w:val="28"/>
  </w:num>
  <w:num w:numId="38" w16cid:durableId="76371087">
    <w:abstractNumId w:val="12"/>
  </w:num>
  <w:num w:numId="39" w16cid:durableId="148978832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96"/>
    <w:rsid w:val="00001714"/>
    <w:rsid w:val="0000426F"/>
    <w:rsid w:val="00045050"/>
    <w:rsid w:val="00046352"/>
    <w:rsid w:val="000511F0"/>
    <w:rsid w:val="000608F4"/>
    <w:rsid w:val="00060BC2"/>
    <w:rsid w:val="00067FCF"/>
    <w:rsid w:val="000716AC"/>
    <w:rsid w:val="00071756"/>
    <w:rsid w:val="000741F9"/>
    <w:rsid w:val="00075306"/>
    <w:rsid w:val="000853A7"/>
    <w:rsid w:val="00086600"/>
    <w:rsid w:val="00090EE3"/>
    <w:rsid w:val="000916DB"/>
    <w:rsid w:val="00092BE3"/>
    <w:rsid w:val="00095EA5"/>
    <w:rsid w:val="000B7EB0"/>
    <w:rsid w:val="000C23C6"/>
    <w:rsid w:val="000D0A61"/>
    <w:rsid w:val="000E3B14"/>
    <w:rsid w:val="000E5392"/>
    <w:rsid w:val="000F04EB"/>
    <w:rsid w:val="001027BF"/>
    <w:rsid w:val="00110096"/>
    <w:rsid w:val="0012136E"/>
    <w:rsid w:val="00125F67"/>
    <w:rsid w:val="0015103E"/>
    <w:rsid w:val="00152349"/>
    <w:rsid w:val="00157CED"/>
    <w:rsid w:val="00162BB1"/>
    <w:rsid w:val="001632A1"/>
    <w:rsid w:val="00187C39"/>
    <w:rsid w:val="00190D3C"/>
    <w:rsid w:val="0019507A"/>
    <w:rsid w:val="00197BC8"/>
    <w:rsid w:val="001B10D6"/>
    <w:rsid w:val="001C29BF"/>
    <w:rsid w:val="001C5654"/>
    <w:rsid w:val="001C7348"/>
    <w:rsid w:val="001D0BF0"/>
    <w:rsid w:val="001D76B5"/>
    <w:rsid w:val="001E1794"/>
    <w:rsid w:val="001E26D6"/>
    <w:rsid w:val="001E396A"/>
    <w:rsid w:val="001E684D"/>
    <w:rsid w:val="001F6E03"/>
    <w:rsid w:val="002006BF"/>
    <w:rsid w:val="00200EC6"/>
    <w:rsid w:val="002100DE"/>
    <w:rsid w:val="002215D9"/>
    <w:rsid w:val="0022604C"/>
    <w:rsid w:val="00255361"/>
    <w:rsid w:val="00261577"/>
    <w:rsid w:val="002622E4"/>
    <w:rsid w:val="00281FD1"/>
    <w:rsid w:val="00282840"/>
    <w:rsid w:val="00284327"/>
    <w:rsid w:val="00284A91"/>
    <w:rsid w:val="00292E18"/>
    <w:rsid w:val="00293B9E"/>
    <w:rsid w:val="00294662"/>
    <w:rsid w:val="00295023"/>
    <w:rsid w:val="002A224C"/>
    <w:rsid w:val="002A6058"/>
    <w:rsid w:val="002B24CC"/>
    <w:rsid w:val="002B6DC1"/>
    <w:rsid w:val="002C30BB"/>
    <w:rsid w:val="002E7569"/>
    <w:rsid w:val="002F07A8"/>
    <w:rsid w:val="002F714E"/>
    <w:rsid w:val="00303291"/>
    <w:rsid w:val="00310915"/>
    <w:rsid w:val="00317E52"/>
    <w:rsid w:val="003230E5"/>
    <w:rsid w:val="003377DF"/>
    <w:rsid w:val="00342831"/>
    <w:rsid w:val="003452A3"/>
    <w:rsid w:val="00352EB3"/>
    <w:rsid w:val="00356601"/>
    <w:rsid w:val="00357476"/>
    <w:rsid w:val="003619B3"/>
    <w:rsid w:val="00373A49"/>
    <w:rsid w:val="00382399"/>
    <w:rsid w:val="00392F99"/>
    <w:rsid w:val="00394DAF"/>
    <w:rsid w:val="00395587"/>
    <w:rsid w:val="003A2138"/>
    <w:rsid w:val="003B3178"/>
    <w:rsid w:val="003B495C"/>
    <w:rsid w:val="003D2436"/>
    <w:rsid w:val="003D4860"/>
    <w:rsid w:val="003E07AE"/>
    <w:rsid w:val="003E12DC"/>
    <w:rsid w:val="003E2052"/>
    <w:rsid w:val="003E324F"/>
    <w:rsid w:val="003F334E"/>
    <w:rsid w:val="003F5586"/>
    <w:rsid w:val="004023D4"/>
    <w:rsid w:val="00421288"/>
    <w:rsid w:val="0043202F"/>
    <w:rsid w:val="004332E2"/>
    <w:rsid w:val="0043456B"/>
    <w:rsid w:val="00436AA7"/>
    <w:rsid w:val="00443C03"/>
    <w:rsid w:val="00447E06"/>
    <w:rsid w:val="00447E7A"/>
    <w:rsid w:val="00457CF9"/>
    <w:rsid w:val="004607E9"/>
    <w:rsid w:val="004673B1"/>
    <w:rsid w:val="0048284D"/>
    <w:rsid w:val="00485E19"/>
    <w:rsid w:val="004A4396"/>
    <w:rsid w:val="004B0985"/>
    <w:rsid w:val="004B511E"/>
    <w:rsid w:val="004B67E2"/>
    <w:rsid w:val="004C1CA5"/>
    <w:rsid w:val="004C2808"/>
    <w:rsid w:val="004C4B51"/>
    <w:rsid w:val="004D66F4"/>
    <w:rsid w:val="004D70DF"/>
    <w:rsid w:val="00502098"/>
    <w:rsid w:val="00523850"/>
    <w:rsid w:val="00523ECE"/>
    <w:rsid w:val="00540267"/>
    <w:rsid w:val="00542040"/>
    <w:rsid w:val="0054756C"/>
    <w:rsid w:val="00554815"/>
    <w:rsid w:val="005577B0"/>
    <w:rsid w:val="00572506"/>
    <w:rsid w:val="005805F3"/>
    <w:rsid w:val="005B21EC"/>
    <w:rsid w:val="005B3A76"/>
    <w:rsid w:val="005C4266"/>
    <w:rsid w:val="005D2C16"/>
    <w:rsid w:val="005D2C27"/>
    <w:rsid w:val="005D5EF7"/>
    <w:rsid w:val="005D6DEF"/>
    <w:rsid w:val="005E0576"/>
    <w:rsid w:val="005E2E8F"/>
    <w:rsid w:val="005F03ED"/>
    <w:rsid w:val="005F4B8D"/>
    <w:rsid w:val="005F538F"/>
    <w:rsid w:val="005F6D49"/>
    <w:rsid w:val="00601210"/>
    <w:rsid w:val="006038B9"/>
    <w:rsid w:val="006105A3"/>
    <w:rsid w:val="006129CD"/>
    <w:rsid w:val="00620068"/>
    <w:rsid w:val="00621AA4"/>
    <w:rsid w:val="00636183"/>
    <w:rsid w:val="00644BE0"/>
    <w:rsid w:val="00644F9C"/>
    <w:rsid w:val="00654FD3"/>
    <w:rsid w:val="00670195"/>
    <w:rsid w:val="00673F68"/>
    <w:rsid w:val="00680739"/>
    <w:rsid w:val="00681DE1"/>
    <w:rsid w:val="00684009"/>
    <w:rsid w:val="00685477"/>
    <w:rsid w:val="006A1B2C"/>
    <w:rsid w:val="006A2038"/>
    <w:rsid w:val="006A3B25"/>
    <w:rsid w:val="006C7AE0"/>
    <w:rsid w:val="006D1471"/>
    <w:rsid w:val="006D3588"/>
    <w:rsid w:val="006D3654"/>
    <w:rsid w:val="006D7DD5"/>
    <w:rsid w:val="006E4B54"/>
    <w:rsid w:val="006E4E97"/>
    <w:rsid w:val="00702CFF"/>
    <w:rsid w:val="007057D8"/>
    <w:rsid w:val="007075AD"/>
    <w:rsid w:val="00712876"/>
    <w:rsid w:val="00721DB9"/>
    <w:rsid w:val="00724EC2"/>
    <w:rsid w:val="00731D0D"/>
    <w:rsid w:val="007321FC"/>
    <w:rsid w:val="00733149"/>
    <w:rsid w:val="00736E8D"/>
    <w:rsid w:val="007453C3"/>
    <w:rsid w:val="00753CDE"/>
    <w:rsid w:val="00777A97"/>
    <w:rsid w:val="00783515"/>
    <w:rsid w:val="007903F3"/>
    <w:rsid w:val="00796809"/>
    <w:rsid w:val="007A0418"/>
    <w:rsid w:val="007A0BB1"/>
    <w:rsid w:val="007A1C7D"/>
    <w:rsid w:val="007C12EB"/>
    <w:rsid w:val="007C4158"/>
    <w:rsid w:val="007C50B3"/>
    <w:rsid w:val="007D74D6"/>
    <w:rsid w:val="007E4DF8"/>
    <w:rsid w:val="007F1D06"/>
    <w:rsid w:val="007F3B4C"/>
    <w:rsid w:val="00812B40"/>
    <w:rsid w:val="00825106"/>
    <w:rsid w:val="008301C9"/>
    <w:rsid w:val="008322D4"/>
    <w:rsid w:val="0083323E"/>
    <w:rsid w:val="00833765"/>
    <w:rsid w:val="00836249"/>
    <w:rsid w:val="008450FD"/>
    <w:rsid w:val="00851145"/>
    <w:rsid w:val="0085327D"/>
    <w:rsid w:val="008543FF"/>
    <w:rsid w:val="00871235"/>
    <w:rsid w:val="00873F55"/>
    <w:rsid w:val="0087502D"/>
    <w:rsid w:val="0088224D"/>
    <w:rsid w:val="00882A1B"/>
    <w:rsid w:val="008A62E1"/>
    <w:rsid w:val="008B09E9"/>
    <w:rsid w:val="008C1BDD"/>
    <w:rsid w:val="008C33D8"/>
    <w:rsid w:val="008C5B9A"/>
    <w:rsid w:val="008D72BF"/>
    <w:rsid w:val="008E168D"/>
    <w:rsid w:val="008F7E61"/>
    <w:rsid w:val="00906F1B"/>
    <w:rsid w:val="0092077D"/>
    <w:rsid w:val="00927FFA"/>
    <w:rsid w:val="0093301D"/>
    <w:rsid w:val="00933BBA"/>
    <w:rsid w:val="0093682D"/>
    <w:rsid w:val="00936CD7"/>
    <w:rsid w:val="00950254"/>
    <w:rsid w:val="00960A46"/>
    <w:rsid w:val="00964FB2"/>
    <w:rsid w:val="009660E8"/>
    <w:rsid w:val="009701AA"/>
    <w:rsid w:val="00970DF7"/>
    <w:rsid w:val="00972845"/>
    <w:rsid w:val="00993959"/>
    <w:rsid w:val="009A4FAB"/>
    <w:rsid w:val="009B46B5"/>
    <w:rsid w:val="009C0E1C"/>
    <w:rsid w:val="009C77F6"/>
    <w:rsid w:val="009C7F20"/>
    <w:rsid w:val="009D1611"/>
    <w:rsid w:val="009D2D8C"/>
    <w:rsid w:val="009D4DBA"/>
    <w:rsid w:val="009F436B"/>
    <w:rsid w:val="00A07221"/>
    <w:rsid w:val="00A07773"/>
    <w:rsid w:val="00A15EEE"/>
    <w:rsid w:val="00A16F3C"/>
    <w:rsid w:val="00A24570"/>
    <w:rsid w:val="00A26208"/>
    <w:rsid w:val="00A265F9"/>
    <w:rsid w:val="00A311CA"/>
    <w:rsid w:val="00A52544"/>
    <w:rsid w:val="00A55C74"/>
    <w:rsid w:val="00A64FBB"/>
    <w:rsid w:val="00A67F09"/>
    <w:rsid w:val="00A71595"/>
    <w:rsid w:val="00A71DFD"/>
    <w:rsid w:val="00A741B9"/>
    <w:rsid w:val="00A821DC"/>
    <w:rsid w:val="00A95DF5"/>
    <w:rsid w:val="00AA117E"/>
    <w:rsid w:val="00AA60FD"/>
    <w:rsid w:val="00AA618C"/>
    <w:rsid w:val="00AB3E5F"/>
    <w:rsid w:val="00AC02FA"/>
    <w:rsid w:val="00AC6158"/>
    <w:rsid w:val="00AD100C"/>
    <w:rsid w:val="00AD108A"/>
    <w:rsid w:val="00AD6895"/>
    <w:rsid w:val="00AF04BC"/>
    <w:rsid w:val="00AF3D1B"/>
    <w:rsid w:val="00AF4788"/>
    <w:rsid w:val="00B01705"/>
    <w:rsid w:val="00B02E9A"/>
    <w:rsid w:val="00B05493"/>
    <w:rsid w:val="00B122C5"/>
    <w:rsid w:val="00B25EEA"/>
    <w:rsid w:val="00B2646E"/>
    <w:rsid w:val="00B5022F"/>
    <w:rsid w:val="00B5306E"/>
    <w:rsid w:val="00B745A3"/>
    <w:rsid w:val="00B75D01"/>
    <w:rsid w:val="00B857C9"/>
    <w:rsid w:val="00B91095"/>
    <w:rsid w:val="00B97A4A"/>
    <w:rsid w:val="00BA246D"/>
    <w:rsid w:val="00BA34AD"/>
    <w:rsid w:val="00BA7396"/>
    <w:rsid w:val="00BB7B3D"/>
    <w:rsid w:val="00BC3ECB"/>
    <w:rsid w:val="00BD4282"/>
    <w:rsid w:val="00BD6224"/>
    <w:rsid w:val="00BD6FBF"/>
    <w:rsid w:val="00BE63EE"/>
    <w:rsid w:val="00BF282F"/>
    <w:rsid w:val="00BF301E"/>
    <w:rsid w:val="00C14C37"/>
    <w:rsid w:val="00C1589A"/>
    <w:rsid w:val="00C179F9"/>
    <w:rsid w:val="00C47859"/>
    <w:rsid w:val="00C5087B"/>
    <w:rsid w:val="00C5148C"/>
    <w:rsid w:val="00C5395C"/>
    <w:rsid w:val="00C619A5"/>
    <w:rsid w:val="00C6600F"/>
    <w:rsid w:val="00C66A97"/>
    <w:rsid w:val="00C72668"/>
    <w:rsid w:val="00C75AFA"/>
    <w:rsid w:val="00C80735"/>
    <w:rsid w:val="00C80BD8"/>
    <w:rsid w:val="00C87DA2"/>
    <w:rsid w:val="00CA2A57"/>
    <w:rsid w:val="00CB29D1"/>
    <w:rsid w:val="00CB7A8B"/>
    <w:rsid w:val="00CD0712"/>
    <w:rsid w:val="00CD2A63"/>
    <w:rsid w:val="00CF02C0"/>
    <w:rsid w:val="00CF521F"/>
    <w:rsid w:val="00CF7C61"/>
    <w:rsid w:val="00D001F0"/>
    <w:rsid w:val="00D06D2A"/>
    <w:rsid w:val="00D1774F"/>
    <w:rsid w:val="00D27C82"/>
    <w:rsid w:val="00D34B56"/>
    <w:rsid w:val="00D41F1E"/>
    <w:rsid w:val="00D4308A"/>
    <w:rsid w:val="00D551AD"/>
    <w:rsid w:val="00D66DDC"/>
    <w:rsid w:val="00D74170"/>
    <w:rsid w:val="00D77FF3"/>
    <w:rsid w:val="00D83153"/>
    <w:rsid w:val="00D8412D"/>
    <w:rsid w:val="00D84903"/>
    <w:rsid w:val="00DA0063"/>
    <w:rsid w:val="00DA74E0"/>
    <w:rsid w:val="00DB2F53"/>
    <w:rsid w:val="00DB310B"/>
    <w:rsid w:val="00DB3D7D"/>
    <w:rsid w:val="00DC4A4F"/>
    <w:rsid w:val="00DF41FB"/>
    <w:rsid w:val="00E01D21"/>
    <w:rsid w:val="00E021FE"/>
    <w:rsid w:val="00E12A49"/>
    <w:rsid w:val="00E162B2"/>
    <w:rsid w:val="00E33ED2"/>
    <w:rsid w:val="00E3478E"/>
    <w:rsid w:val="00E54D7F"/>
    <w:rsid w:val="00E600AC"/>
    <w:rsid w:val="00E60690"/>
    <w:rsid w:val="00E62640"/>
    <w:rsid w:val="00E672E3"/>
    <w:rsid w:val="00E721E9"/>
    <w:rsid w:val="00E748D4"/>
    <w:rsid w:val="00E8018C"/>
    <w:rsid w:val="00E80D0B"/>
    <w:rsid w:val="00E811AB"/>
    <w:rsid w:val="00E9361D"/>
    <w:rsid w:val="00EA3434"/>
    <w:rsid w:val="00EB3FD6"/>
    <w:rsid w:val="00EB6150"/>
    <w:rsid w:val="00EC7466"/>
    <w:rsid w:val="00EC7F84"/>
    <w:rsid w:val="00ED0AF4"/>
    <w:rsid w:val="00ED4766"/>
    <w:rsid w:val="00EF08CC"/>
    <w:rsid w:val="00F010C7"/>
    <w:rsid w:val="00F11296"/>
    <w:rsid w:val="00F17F61"/>
    <w:rsid w:val="00F23034"/>
    <w:rsid w:val="00F409B1"/>
    <w:rsid w:val="00F41089"/>
    <w:rsid w:val="00F50A16"/>
    <w:rsid w:val="00F53B1B"/>
    <w:rsid w:val="00F628E6"/>
    <w:rsid w:val="00F7433F"/>
    <w:rsid w:val="00F746F4"/>
    <w:rsid w:val="00F74729"/>
    <w:rsid w:val="00F77472"/>
    <w:rsid w:val="00F83871"/>
    <w:rsid w:val="00F86BD8"/>
    <w:rsid w:val="00FA60C6"/>
    <w:rsid w:val="00FA7533"/>
    <w:rsid w:val="00FA79E8"/>
    <w:rsid w:val="00FB6BD5"/>
    <w:rsid w:val="00FB7CBA"/>
    <w:rsid w:val="00FC6DDF"/>
    <w:rsid w:val="00FD468A"/>
    <w:rsid w:val="00FF07B6"/>
    <w:rsid w:val="00FF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9B05D"/>
  <w15:docId w15:val="{6A762D45-AAA3-4D35-B5A2-550EDA87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D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paragraph" w:customStyle="1" w:styleId="Default">
    <w:name w:val="Default"/>
    <w:rsid w:val="009502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4B511E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Revision">
    <w:name w:val="Revision"/>
    <w:hidden/>
    <w:uiPriority w:val="99"/>
    <w:semiHidden/>
    <w:rsid w:val="007F3B4C"/>
    <w:pPr>
      <w:spacing w:after="0" w:line="240" w:lineRule="auto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FA60C6"/>
    <w:pPr>
      <w:spacing w:before="100" w:beforeAutospacing="1" w:after="100" w:afterAutospacing="1"/>
      <w:jc w:val="left"/>
    </w:pPr>
    <w:rPr>
      <w:rFonts w:ascii="Times New Roman" w:eastAsiaTheme="minorEastAsia" w:hAnsi="Times New Roman"/>
      <w:bCs w:val="0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DDC"/>
    <w:rPr>
      <w:rFonts w:asciiTheme="majorHAnsi" w:eastAsiaTheme="majorEastAsia" w:hAnsiTheme="majorHAnsi" w:cstheme="majorBidi"/>
      <w:bCs/>
      <w:color w:val="243F60" w:themeColor="accent1" w:themeShade="7F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526932-6BBC-4850-A732-26027819E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3246</Words>
  <Characters>18507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Ilda Sabovic</cp:lastModifiedBy>
  <cp:revision>2</cp:revision>
  <cp:lastPrinted>2016-03-24T12:51:00Z</cp:lastPrinted>
  <dcterms:created xsi:type="dcterms:W3CDTF">2025-12-26T12:52:00Z</dcterms:created>
  <dcterms:modified xsi:type="dcterms:W3CDTF">2025-12-26T12:52:00Z</dcterms:modified>
</cp:coreProperties>
</file>