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2392" w14:textId="77777777" w:rsidR="00F63B89" w:rsidRPr="00FC1F82" w:rsidRDefault="00F63B89" w:rsidP="00F63B8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lang w:val="sr-Latn-ME" w:eastAsia="en-GB"/>
        </w:rPr>
      </w:pPr>
      <w:r w:rsidRPr="00FC1F82">
        <w:rPr>
          <w:rFonts w:ascii="Arial" w:eastAsia="Times New Roman" w:hAnsi="Arial" w:cs="Arial"/>
          <w:b/>
          <w:lang w:val="sr-Latn-ME" w:eastAsia="en-GB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91"/>
        <w:gridCol w:w="5449"/>
      </w:tblGrid>
      <w:tr w:rsidR="00F63B89" w:rsidRPr="00FC1F82" w14:paraId="4BE73C58" w14:textId="77777777" w:rsidTr="00E27883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7BCB9384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IZVJEŠTAJ O SPROVEDENOJ ANALIZI PROCJENE UTICAJA PROPISA</w:t>
            </w:r>
          </w:p>
        </w:tc>
      </w:tr>
      <w:tr w:rsidR="00F63B89" w:rsidRPr="00FC1F82" w14:paraId="5F3DF4F5" w14:textId="77777777" w:rsidTr="00E27883">
        <w:tc>
          <w:tcPr>
            <w:tcW w:w="3978" w:type="dxa"/>
            <w:shd w:val="clear" w:color="auto" w:fill="D2EAF1"/>
          </w:tcPr>
          <w:p w14:paraId="0102CC85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636CC7E8" w14:textId="51565A65" w:rsidR="00F63B89" w:rsidRPr="00FC1F82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MINISTARSTVO FINANSIJA</w:t>
            </w:r>
            <w:r w:rsidR="00BB6080" w:rsidRPr="00FC1F82">
              <w:rPr>
                <w:rFonts w:ascii="Arial" w:eastAsia="Times New Roman" w:hAnsi="Arial" w:cs="Arial"/>
                <w:lang w:val="sr-Latn-ME" w:eastAsia="en-GB"/>
              </w:rPr>
              <w:t xml:space="preserve"> – Komisija za tr</w:t>
            </w:r>
            <w:r w:rsidR="00FC1F82" w:rsidRPr="00FC1F82">
              <w:rPr>
                <w:rFonts w:ascii="Arial" w:eastAsia="Times New Roman" w:hAnsi="Arial" w:cs="Arial"/>
                <w:lang w:val="sr-Latn-ME" w:eastAsia="en-GB"/>
              </w:rPr>
              <w:t>ž</w:t>
            </w:r>
            <w:r w:rsidR="00BB6080" w:rsidRPr="00FC1F82">
              <w:rPr>
                <w:rFonts w:ascii="Arial" w:eastAsia="Times New Roman" w:hAnsi="Arial" w:cs="Arial"/>
                <w:lang w:val="sr-Latn-ME" w:eastAsia="en-GB"/>
              </w:rPr>
              <w:t>ište kapitala</w:t>
            </w:r>
          </w:p>
        </w:tc>
      </w:tr>
      <w:tr w:rsidR="00F63B89" w:rsidRPr="00FC1F82" w14:paraId="1A3ECA84" w14:textId="77777777" w:rsidTr="00E27883">
        <w:tc>
          <w:tcPr>
            <w:tcW w:w="3978" w:type="dxa"/>
          </w:tcPr>
          <w:p w14:paraId="66EB52F6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NAZIV PROPISA</w:t>
            </w:r>
          </w:p>
        </w:tc>
        <w:tc>
          <w:tcPr>
            <w:tcW w:w="5598" w:type="dxa"/>
          </w:tcPr>
          <w:p w14:paraId="6CDAA026" w14:textId="633B12C3" w:rsidR="00F63B89" w:rsidRPr="00FC1F82" w:rsidRDefault="00F63B89" w:rsidP="0018090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 xml:space="preserve">Nacrt </w:t>
            </w:r>
            <w:r w:rsidR="00BB6080" w:rsidRPr="00FC1F82">
              <w:rPr>
                <w:rFonts w:ascii="Arial" w:eastAsia="Times New Roman" w:hAnsi="Arial" w:cs="Arial"/>
                <w:lang w:val="sr-Latn-ME" w:eastAsia="en-GB"/>
              </w:rPr>
              <w:t>z</w:t>
            </w:r>
            <w:r w:rsidRPr="00FC1F82">
              <w:rPr>
                <w:rFonts w:ascii="Arial" w:eastAsia="Times New Roman" w:hAnsi="Arial" w:cs="Arial"/>
                <w:lang w:val="sr-Latn-ME" w:eastAsia="en-GB"/>
              </w:rPr>
              <w:t xml:space="preserve">akona </w:t>
            </w:r>
            <w:r w:rsidR="006F2D40" w:rsidRPr="00FC1F82">
              <w:rPr>
                <w:rFonts w:ascii="Arial" w:eastAsia="Times New Roman" w:hAnsi="Arial" w:cs="Arial"/>
                <w:lang w:val="sr-Latn-ME" w:eastAsia="en-GB"/>
              </w:rPr>
              <w:t>o referentnim vrijednostima</w:t>
            </w:r>
          </w:p>
        </w:tc>
      </w:tr>
      <w:tr w:rsidR="00F63B89" w:rsidRPr="00FC1F82" w14:paraId="7069385A" w14:textId="77777777" w:rsidTr="00E27883">
        <w:tc>
          <w:tcPr>
            <w:tcW w:w="9576" w:type="dxa"/>
            <w:gridSpan w:val="2"/>
            <w:shd w:val="clear" w:color="auto" w:fill="D2EAF1"/>
          </w:tcPr>
          <w:p w14:paraId="75EBF567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1. Definisanje problema</w:t>
            </w:r>
          </w:p>
          <w:p w14:paraId="78326D3F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Koje probleme  treba da riješi predloženi akt?</w:t>
            </w:r>
          </w:p>
          <w:p w14:paraId="4195FB67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Koji su uzroci problema?</w:t>
            </w:r>
          </w:p>
          <w:p w14:paraId="31DA7F74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Koje su posljedice problema?</w:t>
            </w:r>
          </w:p>
          <w:p w14:paraId="2658413C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Koji su subjekti oštećeni, na koji način i u kojoj mjeri?</w:t>
            </w:r>
          </w:p>
          <w:p w14:paraId="22CB6833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Kako bi problem evoluirao bez promjene propisa (“status quo” opcija)?</w:t>
            </w:r>
          </w:p>
        </w:tc>
      </w:tr>
      <w:tr w:rsidR="00F63B89" w:rsidRPr="00FC1F82" w14:paraId="7E25A530" w14:textId="77777777" w:rsidTr="00E27883">
        <w:tc>
          <w:tcPr>
            <w:tcW w:w="9576" w:type="dxa"/>
            <w:gridSpan w:val="2"/>
          </w:tcPr>
          <w:p w14:paraId="5FC97033" w14:textId="77777777" w:rsidR="00A23182" w:rsidRPr="00FC1F82" w:rsidRDefault="00A23182" w:rsidP="00A2318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Koje probleme treba da riješi predloženi akt?</w:t>
            </w:r>
          </w:p>
          <w:p w14:paraId="4DE249F0" w14:textId="77777777" w:rsidR="00A23182" w:rsidRPr="00FC1F82" w:rsidRDefault="00A23182" w:rsidP="00A2318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U pravnom sistemu Crne Gore trenutno ne postoji poseban zakon koji uređuje oblast referentnih vrijednosti (engl. benchmarks) i aktivnosti njihovih administratora. Referentne vrijednosti, kao što su kamatne stope, devizni kursevi, indeksi tržišta kapitala i slični pokazatelji, predstavljaju ključni element finansijskih ugovora, instrumenata i tržišnih praksi. Njihova nepravilna izrada, netransparentno upravljanje ili manipulacija mogu izazvati ozbiljne posljedice po finansijsku stabilnost, povjerenje investitora i integritet tržišta kapitala.</w:t>
            </w:r>
          </w:p>
          <w:p w14:paraId="7D3B6E3A" w14:textId="77777777" w:rsidR="00A23182" w:rsidRPr="00FC1F82" w:rsidRDefault="00A23182" w:rsidP="00A2318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Trenutno se referentne vrijednosti koriste u finansijskim instrumentima i ugovorima (posebno u bankarskom i investicionom sektoru), ali bez posebnih pravila o načinu njihove izrade, objave, kontrole i odgovornosti. Time postoji rizik od manipulacija, neusklađenosti sa međunarodnim standardima i potencijalne štete za investitore i korisnike finansijskih usluga.</w:t>
            </w:r>
          </w:p>
          <w:p w14:paraId="6C009271" w14:textId="2579F52D" w:rsidR="00A23182" w:rsidRPr="00FC1F82" w:rsidRDefault="00A23182" w:rsidP="00A2318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Koji su uzroci problema?</w:t>
            </w:r>
          </w:p>
          <w:p w14:paraId="6CFEDE20" w14:textId="77777777" w:rsidR="00A23182" w:rsidRPr="00FC1F82" w:rsidRDefault="00A23182" w:rsidP="00A23182">
            <w:pPr>
              <w:pStyle w:val="NormalWeb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Neadekvatan pravni okvir – ne postoji propis koji definiše pojam referentne vrijednosti, kriterijume za njenu izradu, odgovornosti administratora i način nadzora.</w:t>
            </w:r>
          </w:p>
          <w:p w14:paraId="089C732E" w14:textId="77777777" w:rsidR="00A23182" w:rsidRPr="00FC1F82" w:rsidRDefault="00A23182" w:rsidP="00A23182">
            <w:pPr>
              <w:pStyle w:val="NormalWeb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Ograničena institucionalna koordinacija – nadležnost za praćenje i kontrolu referentnih vrijednosti trenutno nije jasno utvrđena.</w:t>
            </w:r>
          </w:p>
          <w:p w14:paraId="74FB616E" w14:textId="77777777" w:rsidR="00A23182" w:rsidRPr="00FC1F82" w:rsidRDefault="00A23182" w:rsidP="00A23182">
            <w:pPr>
              <w:pStyle w:val="NormalWeb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Rizik manipulacije i sukoba interesa – zbog nedostatka propisa, administratori i subjekti koji koriste referentne vrijednosti mogu djelovati bez odgovarajućih mehanizama kontrole.</w:t>
            </w:r>
          </w:p>
          <w:p w14:paraId="6AD5C23A" w14:textId="189415A9" w:rsidR="00A23182" w:rsidRPr="00FC1F82" w:rsidRDefault="00A23182" w:rsidP="00A23182">
            <w:pPr>
              <w:pStyle w:val="NormalWeb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 xml:space="preserve">Neusklađenost sa EU propisima, posebno sa </w:t>
            </w:r>
            <w:r w:rsidR="00FC1F82" w:rsidRPr="00FC1F82">
              <w:rPr>
                <w:rFonts w:ascii="Arial" w:hAnsi="Arial" w:cs="Arial"/>
                <w:sz w:val="22"/>
                <w:szCs w:val="22"/>
              </w:rPr>
              <w:t>Regulativom</w:t>
            </w:r>
            <w:r w:rsidRPr="00FC1F82">
              <w:rPr>
                <w:rFonts w:ascii="Arial" w:hAnsi="Arial" w:cs="Arial"/>
                <w:sz w:val="22"/>
                <w:szCs w:val="22"/>
              </w:rPr>
              <w:t xml:space="preserve"> (EU) 2016/1011, koja je osnovni zakonodavni okvir u državama članicama EU.</w:t>
            </w:r>
          </w:p>
          <w:p w14:paraId="25892248" w14:textId="6F680DFC" w:rsidR="00A23182" w:rsidRPr="00FC1F82" w:rsidRDefault="00A23182" w:rsidP="00A2318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Koje su posljedice problema?</w:t>
            </w:r>
          </w:p>
          <w:p w14:paraId="18F4FDB3" w14:textId="77777777" w:rsidR="00A23182" w:rsidRPr="00FC1F82" w:rsidRDefault="00A23182" w:rsidP="00A23182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Rizik od objavljivanja netačnih ili manipulisanih referentnih vrijednosti, što može uticati na cijene finansijskih instrumenata i vrijednost ugovora.</w:t>
            </w:r>
          </w:p>
          <w:p w14:paraId="09B571D4" w14:textId="77777777" w:rsidR="00A23182" w:rsidRPr="00FC1F82" w:rsidRDefault="00A23182" w:rsidP="00A23182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Ograničeno povjerenje investitora u tržište kapitala i finansijske institucije.</w:t>
            </w:r>
          </w:p>
          <w:p w14:paraId="10DC9587" w14:textId="77777777" w:rsidR="00A23182" w:rsidRPr="00FC1F82" w:rsidRDefault="00A23182" w:rsidP="00A23182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Mogućnost regulatornih i tržišnih barijera za domaće subjekte koji žele poslovati sa EU partnerima.</w:t>
            </w:r>
          </w:p>
          <w:p w14:paraId="796128C4" w14:textId="77777777" w:rsidR="00A23182" w:rsidRPr="00FC1F82" w:rsidRDefault="00A23182" w:rsidP="00A23182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lastRenderedPageBreak/>
              <w:t>Potencijalni negativni efekti na stabilnost finansijskog sistema u slučaju zloupotrebe referentnih vrijednosti.</w:t>
            </w:r>
          </w:p>
          <w:p w14:paraId="1F65E768" w14:textId="6000C1ED" w:rsidR="00A23182" w:rsidRPr="00FC1F82" w:rsidRDefault="00A23182" w:rsidP="00A2318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Koji su subjekti oštećeni, na koji način i u kojoj mjeri?</w:t>
            </w:r>
          </w:p>
          <w:p w14:paraId="236B5288" w14:textId="77777777" w:rsidR="00A23182" w:rsidRPr="00FC1F82" w:rsidRDefault="00A23182" w:rsidP="00A23182">
            <w:pPr>
              <w:pStyle w:val="NormalWeb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Investitori</w:t>
            </w:r>
            <w:r w:rsidRPr="00FC1F82">
              <w:rPr>
                <w:rFonts w:ascii="Arial" w:hAnsi="Arial" w:cs="Arial"/>
                <w:sz w:val="22"/>
                <w:szCs w:val="22"/>
              </w:rPr>
              <w:t>: snose rizik da proizvodi ili ugovori zasnovani na neprovjerenim referentnim vrijednostima rezultiraju finansijskim gubicima.</w:t>
            </w:r>
          </w:p>
          <w:p w14:paraId="6749E566" w14:textId="558C439F" w:rsidR="00A23182" w:rsidRPr="00FC1F82" w:rsidRDefault="00A23182" w:rsidP="00A23182">
            <w:pPr>
              <w:pStyle w:val="NormalWeb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Finansijske institucije (banke, investiciona društva, investicioni fondovi)</w:t>
            </w:r>
            <w:r w:rsidRPr="00FC1F82">
              <w:rPr>
                <w:rFonts w:ascii="Arial" w:hAnsi="Arial" w:cs="Arial"/>
                <w:sz w:val="22"/>
                <w:szCs w:val="22"/>
              </w:rPr>
              <w:t>: suočavaju se s reputacionim i operativnim rizicima, te neizvjesnošću u poslovanju.</w:t>
            </w:r>
          </w:p>
          <w:p w14:paraId="18F26A86" w14:textId="77777777" w:rsidR="00A23182" w:rsidRPr="00FC1F82" w:rsidRDefault="00A23182" w:rsidP="00A23182">
            <w:pPr>
              <w:pStyle w:val="NormalWeb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Državni organi i regulator</w:t>
            </w:r>
            <w:r w:rsidRPr="00FC1F82">
              <w:rPr>
                <w:rFonts w:ascii="Arial" w:hAnsi="Arial" w:cs="Arial"/>
                <w:sz w:val="22"/>
                <w:szCs w:val="22"/>
              </w:rPr>
              <w:t>: trpe posljedice u vidu nedostatka transparentnosti i nemogućnosti efikasnog nadzora nad tržištem.</w:t>
            </w:r>
          </w:p>
          <w:p w14:paraId="26ED62CF" w14:textId="77777777" w:rsidR="00A23182" w:rsidRPr="00FC1F82" w:rsidRDefault="00A23182" w:rsidP="00A23182">
            <w:pPr>
              <w:pStyle w:val="NormalWeb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Građani i privreda</w:t>
            </w:r>
            <w:r w:rsidRPr="00FC1F82">
              <w:rPr>
                <w:rFonts w:ascii="Arial" w:hAnsi="Arial" w:cs="Arial"/>
                <w:sz w:val="22"/>
                <w:szCs w:val="22"/>
              </w:rPr>
              <w:t>: indirektno pogođeni kroz potencijalne poremećaje na tržištu finansijskih instrumenata.</w:t>
            </w:r>
          </w:p>
          <w:p w14:paraId="7BF467A7" w14:textId="77777777" w:rsidR="00A23182" w:rsidRPr="00FC1F82" w:rsidRDefault="00A23182" w:rsidP="00A2318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Kako bi problem evoluirao bez donošenja propisa („status quo“ opcija)?</w:t>
            </w:r>
          </w:p>
          <w:p w14:paraId="18187AA4" w14:textId="181C970A" w:rsidR="00F63B89" w:rsidRPr="00FC1F82" w:rsidRDefault="00A23182" w:rsidP="006F2D40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Bez posebnog zakona, tržište bi nastavilo da funkcioniše u pravnom vakuumu. Rizici od manipulacija bi ostali, dok bi se povećavali troškovi kasnijeg usklađivanja sa EU pravnim okvirom u procesu pristupanja. Povjerenje u domaće referentne vrijednosti bi ostalo nisko, a mogućnost prekograničnog priznanja takvih vrijednosti bila bi praktično onemogućena.</w:t>
            </w:r>
          </w:p>
        </w:tc>
      </w:tr>
      <w:tr w:rsidR="00F63B89" w:rsidRPr="00FC1F82" w14:paraId="68232EE7" w14:textId="77777777" w:rsidTr="00E27883">
        <w:tc>
          <w:tcPr>
            <w:tcW w:w="9576" w:type="dxa"/>
            <w:gridSpan w:val="2"/>
            <w:shd w:val="clear" w:color="auto" w:fill="D2EAF1"/>
          </w:tcPr>
          <w:p w14:paraId="053F2AD0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2. Ciljevi</w:t>
            </w:r>
          </w:p>
          <w:p w14:paraId="635A1127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Koji ciljevi se postižu predloženim propisom?</w:t>
            </w:r>
          </w:p>
          <w:p w14:paraId="1150E9BA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Navesti usklađenost ovih ciljeva sa postojećim strategijama ili programima Vlade, ako je primjenljivo.</w:t>
            </w:r>
          </w:p>
        </w:tc>
      </w:tr>
      <w:tr w:rsidR="00F63B89" w:rsidRPr="00FC1F82" w14:paraId="16C7AB40" w14:textId="77777777" w:rsidTr="00E27883">
        <w:tc>
          <w:tcPr>
            <w:tcW w:w="9576" w:type="dxa"/>
            <w:gridSpan w:val="2"/>
          </w:tcPr>
          <w:p w14:paraId="1A08343C" w14:textId="77777777" w:rsidR="00A23182" w:rsidRPr="00FC1F82" w:rsidRDefault="00A23182" w:rsidP="00A2318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Glavni ciljevi propisa:</w:t>
            </w:r>
          </w:p>
          <w:p w14:paraId="47C8A53B" w14:textId="77777777" w:rsidR="00A23182" w:rsidRPr="00FC1F82" w:rsidRDefault="00A23182" w:rsidP="00A23182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Uspostavljanje pravnog okvira za izradu, korišćenje i nadzor referentnih vrijednosti u Crnoj Gori.</w:t>
            </w:r>
          </w:p>
          <w:p w14:paraId="7777B48D" w14:textId="77777777" w:rsidR="00A23182" w:rsidRPr="00FC1F82" w:rsidRDefault="00A23182" w:rsidP="00A23182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Jasno definisanje uloga i odgovornosti administratora referentnih vrijednosti, uključujući procedure odobrenja, nadzora i sankcionisanja.</w:t>
            </w:r>
          </w:p>
          <w:p w14:paraId="4656898C" w14:textId="77777777" w:rsidR="00A23182" w:rsidRPr="00FC1F82" w:rsidRDefault="00A23182" w:rsidP="00A23182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Povećanje povjerenja investitora i zaštite korisnika finansijskih usluga.</w:t>
            </w:r>
          </w:p>
          <w:p w14:paraId="00E79150" w14:textId="09BA11D9" w:rsidR="00A23182" w:rsidRPr="00FC1F82" w:rsidRDefault="00A23182" w:rsidP="00A23182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 xml:space="preserve">Usklađivanje sa </w:t>
            </w:r>
            <w:r w:rsidR="0014548C" w:rsidRPr="00FC1F82">
              <w:rPr>
                <w:rFonts w:ascii="Arial" w:hAnsi="Arial" w:cs="Arial"/>
                <w:sz w:val="22"/>
                <w:szCs w:val="22"/>
              </w:rPr>
              <w:t>Regulativom</w:t>
            </w:r>
            <w:r w:rsidRPr="00FC1F82">
              <w:rPr>
                <w:rFonts w:ascii="Arial" w:hAnsi="Arial" w:cs="Arial"/>
                <w:sz w:val="22"/>
                <w:szCs w:val="22"/>
              </w:rPr>
              <w:t xml:space="preserve"> (EU) 2016/1011 o referentnim vrijednostima i relevantnim delegiranim uredbama.</w:t>
            </w:r>
          </w:p>
          <w:p w14:paraId="4EBE482F" w14:textId="77777777" w:rsidR="00A23182" w:rsidRPr="00FC1F82" w:rsidRDefault="00A23182" w:rsidP="00A23182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Jačanje regulatorne infrastrukture Komisije za tržište kapitala kao nadležnog organa za ovu oblast.</w:t>
            </w:r>
          </w:p>
          <w:p w14:paraId="74E40DA9" w14:textId="77777777" w:rsidR="00A23182" w:rsidRPr="00FC1F82" w:rsidRDefault="00A23182" w:rsidP="00A2318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Posebni ciljevi:</w:t>
            </w:r>
          </w:p>
          <w:p w14:paraId="6BED08D9" w14:textId="77777777" w:rsidR="00A23182" w:rsidRPr="00FC1F82" w:rsidRDefault="00A23182" w:rsidP="00A23182">
            <w:pPr>
              <w:pStyle w:val="NormalWeb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Sprečavanje manipulacije i zloupotreba pri izradi referentnih vrijednosti.</w:t>
            </w:r>
          </w:p>
          <w:p w14:paraId="7F7961CB" w14:textId="77777777" w:rsidR="00A23182" w:rsidRPr="00FC1F82" w:rsidRDefault="00A23182" w:rsidP="00A23182">
            <w:pPr>
              <w:pStyle w:val="NormalWeb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Obezbjeđivanje tačnih, pouzdanih i transparentnih izvora podataka.</w:t>
            </w:r>
          </w:p>
          <w:p w14:paraId="6EA9976A" w14:textId="77777777" w:rsidR="00A23182" w:rsidRPr="00FC1F82" w:rsidRDefault="00A23182" w:rsidP="00A23182">
            <w:pPr>
              <w:pStyle w:val="NormalWeb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Omogućavanje da domaće referentne vrijednosti budu priznate u EU i međunarodnim okvirima.</w:t>
            </w:r>
          </w:p>
          <w:p w14:paraId="7D8AF1A9" w14:textId="0E8F281A" w:rsidR="00A23182" w:rsidRPr="00FC1F82" w:rsidRDefault="00A23182" w:rsidP="00A2318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sr-Latn-ME"/>
              </w:rPr>
              <w:t>Usklađenost sa strateškim dokumentima Vlade Crne Gore</w:t>
            </w:r>
            <w:r w:rsidR="00BB6080" w:rsidRPr="00FC1F82">
              <w:rPr>
                <w:rFonts w:ascii="Arial" w:eastAsia="Times New Roman" w:hAnsi="Arial" w:cs="Arial"/>
                <w:b/>
                <w:lang w:val="sr-Latn-ME" w:eastAsia="sr-Latn-ME"/>
              </w:rPr>
              <w:t>:</w:t>
            </w:r>
          </w:p>
          <w:p w14:paraId="5665E05F" w14:textId="54982A30" w:rsidR="00A23182" w:rsidRPr="00FC1F82" w:rsidRDefault="00A23182" w:rsidP="00A2318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Nacrt Zakona o referentnim vrijednostima direktno doprinosi strateškim ciljevima Vlade u pogledu jačanja, modernizacije i stabilnosti finansijskog sektora. Uspostavljanjem pravnog okvira za definisanje, upravljanje i nadzor referentnih vrijednosti, ovaj zakon povećava transparentnost i integritet finansijskog tržišta, što je temelj povjerenja investitora i održivog 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lastRenderedPageBreak/>
              <w:t>razvoja tržišta kapitala. Precizno uređeni standardi za administratore referentnih vrijednosti omogućavaju pouzdanije funkcionisanje tržišta i smanjuju rizik od manipulacija, čime se doprinosi dugoročnoj otpornosti finansijskog sistema Crne Gore.</w:t>
            </w:r>
          </w:p>
          <w:p w14:paraId="1D5D7FA5" w14:textId="6C974914" w:rsidR="00A23182" w:rsidRPr="00FC1F82" w:rsidRDefault="00A23182" w:rsidP="00A2318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Zakon doprinosi ostvarivanju ciljeva Nacionalnog plana za ekonomski oporavak kroz povećanje povjerenja investitora i stabilnosti finansijskih tržišta. Pouzdane i transparentne referentne vrijednosti su preduslov za sigurno poslovanje banaka, investicionih fondova i drugih finansijskih institucija, što omogućava privredi lakši i povoljniji pristup kapitalu. Time se posredno podstiče razvoj malih i srednjih preduzeća (MSP), povećava investiciona aktivnost i jača ukupna konkurentnost privrede, posebno u postkriznim uslovima.</w:t>
            </w:r>
          </w:p>
          <w:p w14:paraId="26F69C55" w14:textId="12AB3D8E" w:rsidR="00A23182" w:rsidRPr="00FC1F82" w:rsidRDefault="00A23182" w:rsidP="00A2318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Nacrt Zakona o referentnim vrijednostima je u potpunosti usklađen sa pravnom tekovinom Evropske unije, konkretno sa Regulativom (EU) 2016/1011 o referentnim vrijednostima i relevantnim delegiranim regulativama. Donošenjem ovog zakona, Crna Gora potvrđuje svoje opredjeljenje da uskladi regulatorni okvir finansijskih tržišta sa evropskim standardima, čime se jača institucionalni kredibilitet države i olakšava buduća integracija u jedinstveno tržište kapitala EU. Ovaj zakon takođe omogućava međusobno priznanje referentnih vrijednosti i administrativnu saradnju sa evropskim regulatornim tijelima.</w:t>
            </w:r>
          </w:p>
          <w:p w14:paraId="5DD835FB" w14:textId="46639BBA" w:rsidR="00A23182" w:rsidRPr="00FC1F82" w:rsidRDefault="00A23182" w:rsidP="005B0CF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Zakon doprinosi ciljevima Vlade u pogledu podrške malim i srednjim preduzećima kroz stvaranje pouzdanijeg i predvidljivijeg finansijskog okruženja. Pouzdane referentne vrijednosti omogućavaju preciznije formiranje kamatnih stopa, tržišnih cijena i finansijskih pokazatelja, što olakšava MSP-ima planiranje troškova finansiranja i investicija. Na taj način se indirektno jača njihova sposobnost pristupa kreditima i investicionim fondovima, čime se podstiče njihov rast, razvoj i konkurentnost.</w:t>
            </w:r>
          </w:p>
          <w:p w14:paraId="39DAB7BD" w14:textId="509B4C40" w:rsidR="004A5AAF" w:rsidRPr="00FC1F82" w:rsidRDefault="00A23182" w:rsidP="006F2D40">
            <w:pPr>
              <w:spacing w:before="100" w:beforeAutospacing="1" w:after="100" w:afterAutospacing="1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Predloženi zakon usklađen je i sa strateškim ciljem digitalne transformacije finansijskog sektora. Uvođenje standardizovanih postupaka i nadzornih mehanizama za administratore referentnih vrijednosti podrazumijeva digitalno vođenje registara, elektronsko izvještavanje i automatizovanu analitiku, što doprinosi efikasnijem i savremenijem nadzoru tržišta. Time se otvara prostor za integraciju sa međunarodnim bazama podataka i povećava sposobnost Crne Gore da učestvuje u globalnim procesima razmjene finansijskih informacija.</w:t>
            </w:r>
          </w:p>
        </w:tc>
      </w:tr>
      <w:tr w:rsidR="00F63B89" w:rsidRPr="00FC1F82" w14:paraId="09229EA7" w14:textId="77777777" w:rsidTr="00E27883">
        <w:tc>
          <w:tcPr>
            <w:tcW w:w="9576" w:type="dxa"/>
            <w:gridSpan w:val="2"/>
            <w:shd w:val="clear" w:color="auto" w:fill="D2EAF1"/>
          </w:tcPr>
          <w:p w14:paraId="050164B6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3. Opcije</w:t>
            </w:r>
          </w:p>
          <w:p w14:paraId="21813EE9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76572B3C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Obrazložiti preferiranu opciju?</w:t>
            </w:r>
          </w:p>
        </w:tc>
      </w:tr>
      <w:tr w:rsidR="00F63B89" w:rsidRPr="00FC1F82" w14:paraId="26B203BC" w14:textId="77777777" w:rsidTr="00E27883">
        <w:tc>
          <w:tcPr>
            <w:tcW w:w="9576" w:type="dxa"/>
            <w:gridSpan w:val="2"/>
          </w:tcPr>
          <w:p w14:paraId="3138A012" w14:textId="77777777" w:rsidR="005B0CF3" w:rsidRPr="00FC1F82" w:rsidRDefault="005B0CF3" w:rsidP="005B0CF3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sr-Latn-ME"/>
              </w:rPr>
              <w:t>Opcija 1 – Status quo (bez donošenja novog propisa)</w:t>
            </w:r>
          </w:p>
          <w:p w14:paraId="3436117A" w14:textId="753899A1" w:rsidR="005B0CF3" w:rsidRPr="00FC1F82" w:rsidRDefault="005B0CF3" w:rsidP="005B0CF3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Ova opcija podrazumijeva zadržavanje postojećeg regulatornog okvira, bez donošenja posebnog zakona o referentnim vrijednostima. U tom slučaju, pitanja vezana za referentne vrijednosti </w:t>
            </w:r>
            <w:r w:rsidR="00FB16CE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nebi 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bila regulisana.</w:t>
            </w:r>
          </w:p>
          <w:p w14:paraId="1967106E" w14:textId="56FBC42A" w:rsidR="005B0CF3" w:rsidRPr="00FC1F82" w:rsidRDefault="005B0CF3" w:rsidP="00E6764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Prednosti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su jer se n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e zahtijeva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ju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dodatn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i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administrativn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i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ili finansijsk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i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troškov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i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za državu i tržišne subjekte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i nema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potrebe za dodatnim institucionalnim prilagođavanjima.</w:t>
            </w:r>
          </w:p>
          <w:p w14:paraId="21EE0668" w14:textId="77777777" w:rsidR="005B0CF3" w:rsidRPr="00FC1F82" w:rsidRDefault="005B0CF3" w:rsidP="005B0C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Nedostaci:</w:t>
            </w:r>
          </w:p>
          <w:p w14:paraId="43789155" w14:textId="77777777" w:rsidR="005B0CF3" w:rsidRPr="00FC1F82" w:rsidRDefault="005B0CF3" w:rsidP="005B0CF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lastRenderedPageBreak/>
              <w:t>Nastavlja se postojanje pravne praznine u pogledu upravljanja i nadzora nad referentnim vrijednostima.</w:t>
            </w:r>
          </w:p>
          <w:p w14:paraId="036C43A6" w14:textId="77777777" w:rsidR="005B0CF3" w:rsidRPr="00FC1F82" w:rsidRDefault="005B0CF3" w:rsidP="005B0CF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Odsustvo propisanih standarda povećava rizik od manipulacija, sukoba interesa i zloupotreba u izradi referentnih vrijednosti.</w:t>
            </w:r>
          </w:p>
          <w:p w14:paraId="6B6BDBA5" w14:textId="77777777" w:rsidR="005B0CF3" w:rsidRPr="00FC1F82" w:rsidRDefault="005B0CF3" w:rsidP="005B0CF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Ne postoji mehanizam nadzora nad administratorima referentnih vrijednosti.</w:t>
            </w:r>
          </w:p>
          <w:p w14:paraId="23D62674" w14:textId="77777777" w:rsidR="005B0CF3" w:rsidRPr="00FC1F82" w:rsidRDefault="005B0CF3" w:rsidP="005B0CF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Crna Gora bi ostala neusklađena sa pravnim okvirom Evropske unije, što bi negativno uticalo na proces pristupanja EU i međunarodnu reputaciju finansijskog sistema.</w:t>
            </w:r>
          </w:p>
          <w:p w14:paraId="698DFDFD" w14:textId="77777777" w:rsidR="005B0CF3" w:rsidRPr="00FC1F82" w:rsidRDefault="005B0CF3" w:rsidP="005B0CF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Investitori i finansijske institucije bi nastavili da posluju u pravnoj i tržišnoj nesigurnosti, što dugoročno smanjuje povjerenje i likvidnost tržišta kapitala.</w:t>
            </w:r>
          </w:p>
          <w:p w14:paraId="0755C88D" w14:textId="0530264E" w:rsidR="005B0CF3" w:rsidRPr="00FC1F82" w:rsidRDefault="005B0CF3" w:rsidP="00E6764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Ova opcija je kratkoročno najjeftinija, ali dugoročno najnepovoljnija, jer produžava postojeće rizike i onemogućava razvoj modernog i sigurnog finansijskog tržišta. Nema trajnu vrijednost i ne ispunjava obaveze Crne Gore u procesu EU integracija.</w:t>
            </w:r>
          </w:p>
          <w:p w14:paraId="4BEE650F" w14:textId="77777777" w:rsidR="005B0CF3" w:rsidRPr="00FC1F82" w:rsidRDefault="005B0CF3" w:rsidP="005B0CF3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sr-Latn-ME"/>
              </w:rPr>
              <w:t>Opcija 2 – Samoregulacija i dobrovoljni standardi</w:t>
            </w:r>
          </w:p>
          <w:p w14:paraId="13A7D695" w14:textId="1401F48C" w:rsidR="005B0CF3" w:rsidRPr="00FC1F82" w:rsidRDefault="005B0CF3" w:rsidP="00E6764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Ova opcija predviđa da industrija, udruženja finansijskih institucija i drugi tržišni subjekti razviju dobrovoljne standarde i kodekse ponašanja za administratore referentnih vrijednosti, bez uvođenja zakonske obaveznosti ili državnog nadzora. Regulator bi imao samo posmatračku ulogu.</w:t>
            </w:r>
          </w:p>
          <w:p w14:paraId="449A22A7" w14:textId="29CA0413" w:rsidR="005B0CF3" w:rsidRPr="00FC1F82" w:rsidRDefault="005B0CF3" w:rsidP="00E67640">
            <w:pPr>
              <w:tabs>
                <w:tab w:val="num" w:pos="720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Prednosti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se ogledaju u v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eć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oj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fleksibilnost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i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u primjeni standarda, posebno za manje subjekte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, m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ogućnost bržeg usvajanja praksi jer nije potrebno prolaziti kroz formalne zakonodavne procedure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kao i n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iži početni troškovi za regulatora.</w:t>
            </w:r>
          </w:p>
          <w:p w14:paraId="6830279F" w14:textId="1AC82475" w:rsidR="005B0CF3" w:rsidRPr="00FC1F82" w:rsidRDefault="005B0CF3" w:rsidP="00E6764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Nedostaci</w:t>
            </w:r>
          </w:p>
          <w:p w14:paraId="1A6CFF7E" w14:textId="77777777" w:rsidR="005B0CF3" w:rsidRPr="00FC1F82" w:rsidRDefault="005B0CF3" w:rsidP="00E6764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Nedostatak obaveznosti i zakonske sankcije za nepoštovanje pravila.</w:t>
            </w:r>
          </w:p>
          <w:p w14:paraId="62923A7F" w14:textId="77777777" w:rsidR="005B0CF3" w:rsidRPr="00FC1F82" w:rsidRDefault="005B0CF3" w:rsidP="00E6764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Nema garancije da će svi učesnici tržišta poštovati iste standarde, što može dovesti do neujednačene i netransparentne prakse.</w:t>
            </w:r>
          </w:p>
          <w:p w14:paraId="1EDAFD0B" w14:textId="77777777" w:rsidR="005B0CF3" w:rsidRPr="00FC1F82" w:rsidRDefault="005B0CF3" w:rsidP="00E6764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Onemogućava efikasan nadzor i zaštitu investitora, jer regulator nema formalna ovlašćenja.</w:t>
            </w:r>
          </w:p>
          <w:p w14:paraId="522A5FD8" w14:textId="77777777" w:rsidR="005B0CF3" w:rsidRPr="00FC1F82" w:rsidRDefault="005B0CF3" w:rsidP="00E6764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Takav sistem nije prepoznat u okviru EU pravne tekovine, pa bi Crna Gora ostala izvan evropskih mehanizama saradnje i razmjene informacija.</w:t>
            </w:r>
          </w:p>
          <w:p w14:paraId="3EABBAEF" w14:textId="77777777" w:rsidR="005B0CF3" w:rsidRPr="00FC1F82" w:rsidRDefault="005B0CF3" w:rsidP="005B0CF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Rizik reputacionih i tržišnih posljedica u slučaju nepravilnosti ostaje visok.</w:t>
            </w:r>
          </w:p>
          <w:p w14:paraId="5D2F3804" w14:textId="30AD1CB4" w:rsidR="005B0CF3" w:rsidRPr="00FC1F82" w:rsidRDefault="005B0CF3" w:rsidP="00E6764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Samoregulacija može biti koristan prelazni korak, ali ne predstavlja sistemsko rješenje. Oslanjanje isključivo na dobrovoljne mehanizme ne obezbjeđuje ni stabilnost ni međunarodnu kompatibilnost tržišta.</w:t>
            </w:r>
          </w:p>
          <w:p w14:paraId="056F67D5" w14:textId="77777777" w:rsidR="00E67640" w:rsidRPr="00FC1F82" w:rsidRDefault="005B0CF3" w:rsidP="00E67640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sr-Latn-ME"/>
              </w:rPr>
              <w:t>Opcija 3 – Donošenje posebnog Zakona o referentnim vrijednostima (preporučena opcija)</w:t>
            </w:r>
          </w:p>
          <w:p w14:paraId="780634F5" w14:textId="70C90CF0" w:rsidR="00E67640" w:rsidRPr="00FC1F82" w:rsidRDefault="005B0CF3" w:rsidP="00E67640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Ova opcija podrazumijeva donošenje posebnog zakona kojim se uređuje pravni okvir za izradu, upotrebu, nadzor i transparentnost referentnih vrijednosti, u potpunosti usklađenog sa 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Regulativo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m (EU) 2016/1011.</w:t>
            </w:r>
          </w:p>
          <w:p w14:paraId="3B20CE6D" w14:textId="503623BA" w:rsidR="005B0CF3" w:rsidRPr="00FC1F82" w:rsidRDefault="005B0CF3" w:rsidP="00E67640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Zakonom 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se 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defini</w:t>
            </w:r>
            <w:r w:rsidR="00E67640" w:rsidRPr="00FC1F82">
              <w:rPr>
                <w:rFonts w:ascii="Arial" w:eastAsia="Times New Roman" w:hAnsi="Arial" w:cs="Arial"/>
                <w:lang w:val="sr-Latn-ME" w:eastAsia="sr-Latn-ME"/>
              </w:rPr>
              <w:t>šu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:</w:t>
            </w:r>
          </w:p>
          <w:p w14:paraId="749BF27A" w14:textId="77777777" w:rsidR="005B0CF3" w:rsidRPr="00FC1F82" w:rsidRDefault="005B0CF3" w:rsidP="005B0CF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lastRenderedPageBreak/>
              <w:t>uslovi za dobijanje odobrenja za administratore referentnih vrijednosti,</w:t>
            </w:r>
          </w:p>
          <w:p w14:paraId="1DB22C15" w14:textId="77777777" w:rsidR="005B0CF3" w:rsidRPr="00FC1F82" w:rsidRDefault="005B0CF3" w:rsidP="005B0CF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obaveze administratora u pogledu metodologije i objavljivanja podataka,</w:t>
            </w:r>
          </w:p>
          <w:p w14:paraId="5751DB8C" w14:textId="77777777" w:rsidR="005B0CF3" w:rsidRPr="00FC1F82" w:rsidRDefault="005B0CF3" w:rsidP="005B0CF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nadzorna ovlašćenja Komisije za tržište kapitala,</w:t>
            </w:r>
          </w:p>
          <w:p w14:paraId="7A60735B" w14:textId="77777777" w:rsidR="005B0CF3" w:rsidRPr="00FC1F82" w:rsidRDefault="005B0CF3" w:rsidP="005B0CF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mehanizmi sankcionisanja i zaštite korisnika,</w:t>
            </w:r>
          </w:p>
          <w:p w14:paraId="613660AB" w14:textId="77777777" w:rsidR="005B0CF3" w:rsidRPr="00FC1F82" w:rsidRDefault="005B0CF3" w:rsidP="005B0CF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pravila o upotrebi stranih referentnih vrijednosti u Crnoj Gori.</w:t>
            </w:r>
          </w:p>
          <w:p w14:paraId="7E276EA3" w14:textId="77777777" w:rsidR="005B0CF3" w:rsidRPr="00FC1F82" w:rsidRDefault="005B0CF3" w:rsidP="005B0C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Prednosti:</w:t>
            </w:r>
          </w:p>
          <w:p w14:paraId="49CC6058" w14:textId="77777777" w:rsidR="005B0CF3" w:rsidRPr="00FC1F82" w:rsidRDefault="005B0CF3" w:rsidP="005B0CF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Pravna sigurnost i usklađenost sa međunarodnim standardima i pravnom tekovinom EU.</w:t>
            </w:r>
          </w:p>
          <w:p w14:paraId="4098F6FF" w14:textId="77777777" w:rsidR="005B0CF3" w:rsidRPr="00FC1F82" w:rsidRDefault="005B0CF3" w:rsidP="005B0CF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Povećano povjerenje investitora i korisnika finansijskih usluga.</w:t>
            </w:r>
          </w:p>
          <w:p w14:paraId="4748651C" w14:textId="77777777" w:rsidR="005B0CF3" w:rsidRPr="00FC1F82" w:rsidRDefault="005B0CF3" w:rsidP="005B0CF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Zaštita integriteta tržišta i sprečavanje manipulacija.</w:t>
            </w:r>
          </w:p>
          <w:p w14:paraId="3F5BC029" w14:textId="77777777" w:rsidR="005B0CF3" w:rsidRPr="00FC1F82" w:rsidRDefault="005B0CF3" w:rsidP="005B0CF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Jasno definisana odgovornost administratora i transparentnost procesa izrade referentnih vrijednosti.</w:t>
            </w:r>
          </w:p>
          <w:p w14:paraId="3DE7A855" w14:textId="77777777" w:rsidR="005B0CF3" w:rsidRPr="00FC1F82" w:rsidRDefault="005B0CF3" w:rsidP="005B0CF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Mogućnost međunarodnog priznanja domaćih referentnih vrijednosti, što omogućava njihovu upotrebu i na tržištima EU.</w:t>
            </w:r>
          </w:p>
          <w:p w14:paraId="7B318AA2" w14:textId="2D06AA99" w:rsidR="005B0CF3" w:rsidRPr="00FC1F82" w:rsidRDefault="005B0CF3" w:rsidP="005B0CF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Dugoročna stabilnost i otpornost finansijskog sektora, </w:t>
            </w:r>
            <w:r w:rsidR="006F2D40" w:rsidRPr="00FC1F82">
              <w:rPr>
                <w:rFonts w:ascii="Arial" w:eastAsia="Times New Roman" w:hAnsi="Arial" w:cs="Arial"/>
                <w:lang w:val="sr-Latn-ME" w:eastAsia="sr-Latn-ME"/>
              </w:rPr>
              <w:t>kao i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podsticaj za razvoj novih tržišnih instrumenata.</w:t>
            </w:r>
          </w:p>
          <w:p w14:paraId="36A06D2D" w14:textId="5B1679FC" w:rsidR="005B0CF3" w:rsidRPr="00FC1F82" w:rsidRDefault="005B0CF3" w:rsidP="005B0CF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Jačanje kapaciteta Komisije za tržište kapitala kroz institucionalnu ulogu nadzora i saradnju s evropskim </w:t>
            </w:r>
            <w:r w:rsidR="006F2D40" w:rsidRPr="00FC1F82">
              <w:rPr>
                <w:rFonts w:ascii="Arial" w:eastAsia="Times New Roman" w:hAnsi="Arial" w:cs="Arial"/>
                <w:lang w:val="sr-Latn-ME" w:eastAsia="sr-Latn-ME"/>
              </w:rPr>
              <w:t>organima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.</w:t>
            </w:r>
          </w:p>
          <w:p w14:paraId="438928CB" w14:textId="77777777" w:rsidR="005B0CF3" w:rsidRPr="00FC1F82" w:rsidRDefault="005B0CF3" w:rsidP="005B0C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Nedostaci:</w:t>
            </w:r>
          </w:p>
          <w:p w14:paraId="7FEEDE97" w14:textId="77777777" w:rsidR="005B0CF3" w:rsidRPr="00FC1F82" w:rsidRDefault="005B0CF3" w:rsidP="005B0CF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Početni troškovi uspostavljanja sistema nadzora i obuke kadrova u Komisiji.</w:t>
            </w:r>
          </w:p>
          <w:p w14:paraId="09DE47D0" w14:textId="77777777" w:rsidR="005B0CF3" w:rsidRPr="00FC1F82" w:rsidRDefault="005B0CF3" w:rsidP="005B0CF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Potreba da administratori referentnih vrijednosti prilagode svoje interne procedure novim standardima.</w:t>
            </w:r>
          </w:p>
          <w:p w14:paraId="2F759AE7" w14:textId="77777777" w:rsidR="005B0CF3" w:rsidRPr="00FC1F82" w:rsidRDefault="005B0CF3" w:rsidP="005B0CF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Kratkoročno povećanje administrativnog opterećenja u fazi uvođenja zakona.</w:t>
            </w:r>
          </w:p>
          <w:p w14:paraId="4DC46D6E" w14:textId="77777777" w:rsidR="005B0CF3" w:rsidRPr="00FC1F82" w:rsidRDefault="005B0CF3" w:rsidP="005B0C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u w:val="single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u w:val="single"/>
                <w:lang w:val="sr-Latn-ME" w:eastAsia="sr-Latn-ME"/>
              </w:rPr>
              <w:t>Obrazloženje preferirane opcije:</w:t>
            </w:r>
          </w:p>
          <w:p w14:paraId="03A6E2D1" w14:textId="77777777" w:rsidR="005B0CF3" w:rsidRPr="00FC1F82" w:rsidRDefault="005B0CF3" w:rsidP="005B0C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Regulatorna opcija – donošenje posebnog Zakona o referentnim vrijednostima – predstavlja jedino trajno i održivo rješenje. Njome se:</w:t>
            </w:r>
          </w:p>
          <w:p w14:paraId="345814D6" w14:textId="77777777" w:rsidR="005B0CF3" w:rsidRPr="00FC1F82" w:rsidRDefault="005B0CF3" w:rsidP="005B0CF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uspostavlja sveobuhvatan institucionalni okvir u skladu sa EU praksom;</w:t>
            </w:r>
          </w:p>
          <w:p w14:paraId="32243653" w14:textId="77777777" w:rsidR="005B0CF3" w:rsidRPr="00FC1F82" w:rsidRDefault="005B0CF3" w:rsidP="005B0CF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smanjuju pravne i tržišne neizvjesnosti;</w:t>
            </w:r>
          </w:p>
          <w:p w14:paraId="3244ED2A" w14:textId="77777777" w:rsidR="005B0CF3" w:rsidRPr="00FC1F82" w:rsidRDefault="005B0CF3" w:rsidP="005B0CF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osigurava efikasna zaštita investitora i finansijskih institucija;</w:t>
            </w:r>
          </w:p>
          <w:p w14:paraId="194B2406" w14:textId="77777777" w:rsidR="005B0CF3" w:rsidRPr="00FC1F82" w:rsidRDefault="005B0CF3" w:rsidP="005B0CF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jača kredibilitet Crne Gore kao zemlje koja usvaja savremene evropske standarde.</w:t>
            </w:r>
          </w:p>
          <w:p w14:paraId="72B1C3C2" w14:textId="77777777" w:rsidR="005B0CF3" w:rsidRPr="00FC1F82" w:rsidRDefault="005B0CF3" w:rsidP="005B0C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Dugoročne koristi, poput povećanja povjerenja, razvoja tržišta kapitala, jačanja međunarodne saradnje i institucionalnog kapaciteta, višestruko nadmašuju početne troškove uspostavljanja sistema.</w:t>
            </w:r>
          </w:p>
          <w:p w14:paraId="43301568" w14:textId="521463DF" w:rsidR="00F63B89" w:rsidRPr="00FC1F82" w:rsidRDefault="005B0CF3" w:rsidP="006F2D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Nakon uporedne analize, Komisija za tržište kapitala ocjenjuje da je donošenje posebnog Zakona o referentnim vrijednostima najracionalnija, najefikasnija i najstabilnija opcija. Ovim zakonom Crna Gora dobija transparentan, usklađen i pouzdan sistem referentnih vrijednosti koji jača finansijsku stabilnost i doprinosi procesu evropskih integracija.</w:t>
            </w:r>
          </w:p>
        </w:tc>
      </w:tr>
      <w:tr w:rsidR="00F63B89" w:rsidRPr="00FC1F82" w14:paraId="2BECDB11" w14:textId="77777777" w:rsidTr="00E27883">
        <w:tc>
          <w:tcPr>
            <w:tcW w:w="9576" w:type="dxa"/>
            <w:gridSpan w:val="2"/>
            <w:shd w:val="clear" w:color="auto" w:fill="D2EAF1"/>
          </w:tcPr>
          <w:p w14:paraId="16460BAE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4. Analiza uticaja</w:t>
            </w:r>
          </w:p>
          <w:p w14:paraId="183AD786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Na koga će i kako će najvjerovatnije uticati rješenja u propisu - nabrojati pozitivne i negativne uticaje, direktne i indirektne.</w:t>
            </w:r>
          </w:p>
          <w:p w14:paraId="246AE3D5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Koje troškove će primjena propisa izazvati građanima i privredi (naročito malim i srednjim preduzećima).</w:t>
            </w:r>
          </w:p>
          <w:p w14:paraId="33B3260A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pozitivne posljedice donošenja propisa opravdavaju troškove koje će on stvoriti.</w:t>
            </w:r>
          </w:p>
          <w:p w14:paraId="7AC7284B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se propisom podržava stvaranje novih privrednih subjekata na tržištu i tržišna konkurencija.</w:t>
            </w:r>
          </w:p>
          <w:p w14:paraId="4561BD35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Uključiti procjenu administrativnih opterećenja i biznis barijera.</w:t>
            </w:r>
          </w:p>
          <w:p w14:paraId="51A46CC0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  <w:tr w:rsidR="00F63B89" w:rsidRPr="00FC1F82" w14:paraId="21A7E329" w14:textId="77777777" w:rsidTr="00E27883">
        <w:tc>
          <w:tcPr>
            <w:tcW w:w="9576" w:type="dxa"/>
            <w:gridSpan w:val="2"/>
          </w:tcPr>
          <w:p w14:paraId="2044D47B" w14:textId="77777777" w:rsidR="00E64E57" w:rsidRPr="00E64E57" w:rsidRDefault="00E64E57" w:rsidP="007B015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lastRenderedPageBreak/>
              <w:t>Pozitivni uticaji</w:t>
            </w:r>
          </w:p>
          <w:p w14:paraId="3614C9FF" w14:textId="77777777" w:rsidR="00E64E57" w:rsidRPr="00FC1F82" w:rsidRDefault="00E64E57" w:rsidP="008603DC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• </w:t>
            </w: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Finansijske institucije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 (banke, investicioni fondovi, investiciona društva) dobiće veću pravnu sigurnost i jasne smjernice za korišćenje referentnih vrijednosti, što smanjuje rizik od pravne neizvjesnosti i mogućih sporova, te olakšava upravljanje rizicima.</w:t>
            </w:r>
          </w:p>
          <w:p w14:paraId="7C5690EA" w14:textId="33D0AFB8" w:rsidR="00E64E57" w:rsidRPr="00FC1F82" w:rsidRDefault="00E64E57" w:rsidP="008603DC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• </w:t>
            </w:r>
            <w:r w:rsidR="00FC1F82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 xml:space="preserve">Komisija za tržište kapitala 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>dobiće efikasniji alat za nadzor i kontrolu nad administratorima i korisnicima referentnih vrijednosti, što doprinosi stabilnosti finansijskog sistema i povećanju povjerenja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investitora. </w:t>
            </w:r>
          </w:p>
          <w:p w14:paraId="0BEA480D" w14:textId="77777777" w:rsidR="00E64E57" w:rsidRPr="00FC1F82" w:rsidRDefault="00E64E57" w:rsidP="008603DC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• </w:t>
            </w: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Krajnji korisnici i investitori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 imaće pristup transparentnijim i pouzdanijim referentnim vrijednostima, što povećava sigurnost ulaganja i smanjuje rizik od manipulacija.</w:t>
            </w:r>
          </w:p>
          <w:p w14:paraId="0B9837FF" w14:textId="35DAD099" w:rsidR="00E64E57" w:rsidRPr="00E64E57" w:rsidRDefault="00E64E57" w:rsidP="008603DC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• </w:t>
            </w: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Administratori referentnih vrijednosti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 biće jasno regulisani kroz propisane standarde, čime se unapređuje kvalitet, transparentnost i pouzdanost njihovih metodologija i podataka.</w:t>
            </w:r>
          </w:p>
          <w:p w14:paraId="69A8E5C9" w14:textId="77777777" w:rsidR="00E64E57" w:rsidRPr="00E64E57" w:rsidRDefault="00E64E57" w:rsidP="007B015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Negativni uticaji</w:t>
            </w:r>
          </w:p>
          <w:p w14:paraId="6977CAEB" w14:textId="77777777" w:rsidR="007B015B" w:rsidRPr="00FC1F82" w:rsidRDefault="00E64E57" w:rsidP="008603DC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• </w:t>
            </w: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Mala i srednja preduzeća (SME)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 koja koriste referentne vrijednosti u ugovorima mogu se suočiti sa dodatnim troškovima prilagođavanja, administrativnim obavezama i potrebom za stručnom podrškom.</w:t>
            </w:r>
          </w:p>
          <w:p w14:paraId="27D21377" w14:textId="77777777" w:rsidR="007B015B" w:rsidRPr="00FC1F82" w:rsidRDefault="00E64E57" w:rsidP="008603DC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• </w:t>
            </w: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Privredni subjekti koji nisu direktno uključeni u tržište kapitala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>, ali koriste finansijske instrumente vezane za referentne vrijednosti, mogu osjetiti indirektne posljedice kroz moguće povećanje troškova finansiranja ili složenije uslove u ugovorima.</w:t>
            </w:r>
          </w:p>
          <w:p w14:paraId="0F843A0C" w14:textId="41417494" w:rsidR="00E64E57" w:rsidRPr="00E64E57" w:rsidRDefault="00E64E57" w:rsidP="008603DC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• </w:t>
            </w: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Administratori referentnih vrijednosti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 moraće da se usklade sa novim zahtjevima (governance, metodologija, izvještavanje, IT), što može povećati njihove operativne troškove, posebno za manje administratore.</w:t>
            </w:r>
          </w:p>
          <w:p w14:paraId="2A0E2EFE" w14:textId="77777777" w:rsidR="00E64E57" w:rsidRPr="00E64E57" w:rsidRDefault="00E64E57" w:rsidP="007B015B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Procjena troškova – vrste, iznosi i metodološko obrazloženje</w:t>
            </w:r>
          </w:p>
          <w:p w14:paraId="7D2D98B1" w14:textId="0FE302A8" w:rsidR="00E64E57" w:rsidRPr="00E64E57" w:rsidRDefault="00E64E57" w:rsidP="007B015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U nastavku je prikazano detaljno razvrstavanje vrsta troškova </w:t>
            </w:r>
            <w:r w:rsidR="007B015B" w:rsidRPr="00FC1F82">
              <w:rPr>
                <w:rFonts w:ascii="Arial" w:eastAsia="Times New Roman" w:hAnsi="Arial" w:cs="Arial"/>
                <w:lang w:val="sr-Latn-ME" w:eastAsia="sr-Latn-ME"/>
              </w:rPr>
              <w:t>i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 okvirne procjene njihovih raspona u regi</w:t>
            </w:r>
            <w:r w:rsidR="007B015B" w:rsidRPr="00FC1F82">
              <w:rPr>
                <w:rFonts w:ascii="Arial" w:eastAsia="Times New Roman" w:hAnsi="Arial" w:cs="Arial"/>
                <w:lang w:val="sr-Latn-ME" w:eastAsia="sr-Latn-ME"/>
              </w:rPr>
              <w:t>onu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 i EU. Procjene su orijentacione i zavise od više faktora: veličine subjekta (građanin, SME, velika finansijska institucija, administrator), vrste i značaja referentne vrijednosti (lokalni, značajni ili kritični međunarodni benchmark), kao i prethodne tehnološke i organizacione spremnosti.</w:t>
            </w:r>
          </w:p>
          <w:p w14:paraId="5947B702" w14:textId="2A73F1A0" w:rsidR="00E64E57" w:rsidRPr="00E64E57" w:rsidRDefault="00E64E57" w:rsidP="007B015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E64E57">
              <w:rPr>
                <w:rFonts w:ascii="Arial" w:eastAsia="Times New Roman" w:hAnsi="Arial" w:cs="Arial"/>
                <w:lang w:val="sr-Latn-ME" w:eastAsia="sr-Latn-ME"/>
              </w:rPr>
              <w:lastRenderedPageBreak/>
              <w:t xml:space="preserve">Korišćeni rasponi zasnovani su na javno dostupnim analizama primjene </w:t>
            </w:r>
            <w:r w:rsidR="007B015B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Regulative 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>o referentnim vrijednostima (Benchmark Regulation – BMR), dokumentima i prijedlozima ESMA</w:t>
            </w:r>
            <w:r w:rsidR="007B015B" w:rsidRPr="00FC1F82">
              <w:rPr>
                <w:rFonts w:ascii="Arial" w:eastAsia="Times New Roman" w:hAnsi="Arial" w:cs="Arial"/>
                <w:lang w:val="sr-Latn-ME" w:eastAsia="sr-Latn-ME"/>
              </w:rPr>
              <w:t>-e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 xml:space="preserve"> o nadzornim naknadama, </w:t>
            </w:r>
            <w:r w:rsidR="007B015B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kao i </w:t>
            </w:r>
            <w:r w:rsidRPr="00E64E57">
              <w:rPr>
                <w:rFonts w:ascii="Arial" w:eastAsia="Times New Roman" w:hAnsi="Arial" w:cs="Arial"/>
                <w:lang w:val="sr-Latn-ME" w:eastAsia="sr-Latn-ME"/>
              </w:rPr>
              <w:t>relevantnim studijama o regulatornim i usklađivačkim troškovima u finansijskom sektoru. Procjene su date s ciljem omogućavanja razumljive, provjerljive i međunarodno uporedive analize finansijskog i administrativnog opterećenja.</w:t>
            </w:r>
          </w:p>
          <w:p w14:paraId="3E53C149" w14:textId="167B0939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 xml:space="preserve">1) </w:t>
            </w:r>
            <w:r w:rsidRPr="00FC1F82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 xml:space="preserve">Kategorije </w:t>
            </w:r>
            <w:r w:rsidRPr="007B015B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>troškov</w:t>
            </w:r>
            <w:r w:rsidRPr="00FC1F82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>a</w:t>
            </w:r>
            <w:r w:rsidRPr="00FC1F82">
              <w:rPr>
                <w:rStyle w:val="FootnoteReference"/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footnoteReference w:id="1"/>
            </w:r>
          </w:p>
          <w:p w14:paraId="2E2AD839" w14:textId="77777777" w:rsidR="007B015B" w:rsidRPr="007B015B" w:rsidRDefault="007B015B" w:rsidP="007B015B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Jednokratni (implementacijski) troškovi</w:t>
            </w:r>
          </w:p>
          <w:p w14:paraId="3CB5E038" w14:textId="75EEFB39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prilago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đavanje 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IT sistema (prikupljanje podataka, sigurnost, storage), integracija feedova i API-ja;</w:t>
            </w:r>
          </w:p>
          <w:p w14:paraId="28679232" w14:textId="77777777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uspostava governance/Compliance okvira (policy, procedura, interna dokumentacija);</w:t>
            </w:r>
          </w:p>
          <w:p w14:paraId="28605771" w14:textId="77777777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audit i vanjska revizija podataka / modele i metodologije;</w:t>
            </w:r>
          </w:p>
          <w:p w14:paraId="13074446" w14:textId="77777777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početno pravno savjetovanje i revizija ugovora (legacy ugovori);</w:t>
            </w:r>
          </w:p>
          <w:p w14:paraId="18D2EA14" w14:textId="77777777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registracija / podnošenje zahtjeva za autorizaciju/recognition (priprema dokumentacije).</w:t>
            </w:r>
          </w:p>
          <w:p w14:paraId="6E6AC107" w14:textId="77777777" w:rsidR="007B015B" w:rsidRPr="007B015B" w:rsidRDefault="007B015B" w:rsidP="007B015B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Godišnji / stalni (operativni) troškovi</w:t>
            </w:r>
          </w:p>
          <w:p w14:paraId="107C197D" w14:textId="77777777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nadzor i izvještavanje (monitoring, izrada periodičnih izvještaja);</w:t>
            </w:r>
          </w:p>
          <w:p w14:paraId="03EA9247" w14:textId="6DA55D1A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pla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t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e/stalni trošak compliance i data-timova (FTE);</w:t>
            </w:r>
          </w:p>
          <w:p w14:paraId="58FA544E" w14:textId="31229909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vanjski revizori/pravne usluge t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o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kom godine;</w:t>
            </w:r>
          </w:p>
          <w:p w14:paraId="16811C1D" w14:textId="77777777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ESMA / regulatorne nadzorne naknade (ako se administrator nadzire od ESMA-e).</w:t>
            </w:r>
          </w:p>
          <w:p w14:paraId="72204DF6" w14:textId="77777777" w:rsidR="007B015B" w:rsidRPr="007B015B" w:rsidRDefault="007B015B" w:rsidP="007B015B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Transakcioni / korisnički troškovi</w:t>
            </w:r>
          </w:p>
          <w:p w14:paraId="5C5BD6DE" w14:textId="540B1B08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prilagođavanje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ugovora korisnika / klijenata (pravni i operativni trošak po ugovoru);</w:t>
            </w:r>
          </w:p>
          <w:p w14:paraId="4A4EF045" w14:textId="77777777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eventualne veće cijene usluga koje administrator prenese na korisnike.</w:t>
            </w:r>
          </w:p>
          <w:p w14:paraId="516456F0" w14:textId="77777777" w:rsidR="007B015B" w:rsidRPr="007B015B" w:rsidRDefault="007B015B" w:rsidP="007B015B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Indirektni troškovi</w:t>
            </w:r>
          </w:p>
          <w:p w14:paraId="11682728" w14:textId="77777777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sporadične prekidne mjere (ako benchmark prestane) — trošak zamjene referenci u portfeljima;</w:t>
            </w:r>
          </w:p>
          <w:p w14:paraId="63B2E792" w14:textId="58FDE834" w:rsidR="007B015B" w:rsidRPr="007B015B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skuplje finan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s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iranje (ako benchmark postane manje likvidan ili skup za pristup);</w:t>
            </w:r>
          </w:p>
          <w:p w14:paraId="234E5170" w14:textId="77777777" w:rsidR="007B015B" w:rsidRPr="00FC1F82" w:rsidRDefault="007B015B" w:rsidP="007B015B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barijere ulaska za male ponuđače (povećani troškovi autorizacije).</w:t>
            </w:r>
          </w:p>
          <w:p w14:paraId="55B4E007" w14:textId="44BA46C2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Pravila za procjenu troškova i metode opisane su u OECD i EU studijama o compliance troškovima. </w:t>
            </w:r>
          </w:p>
          <w:p w14:paraId="741D2A5B" w14:textId="763823F4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>2) Okviri procjene troškova — grube brojke (EU / region)</w:t>
            </w:r>
            <w:r w:rsidRPr="00FC1F82">
              <w:rPr>
                <w:rStyle w:val="FootnoteReference"/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footnoteReference w:id="2"/>
            </w:r>
          </w:p>
          <w:p w14:paraId="7054134B" w14:textId="4D4A4F04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Građani / krajnji investitori</w:t>
            </w:r>
          </w:p>
          <w:p w14:paraId="64750A99" w14:textId="77777777" w:rsidR="007B015B" w:rsidRPr="007B015B" w:rsidRDefault="007B015B" w:rsidP="007B015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Direktni troškovi: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praktično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0 – 50 €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godišnje (uglavnom neznatni: eventualno naknade za pristup podacima ili povećane naknade za usluge).</w:t>
            </w:r>
          </w:p>
          <w:p w14:paraId="79246E37" w14:textId="614524EC" w:rsidR="007B015B" w:rsidRPr="007B015B" w:rsidRDefault="007B015B" w:rsidP="007B015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lastRenderedPageBreak/>
              <w:t>Indire</w:t>
            </w:r>
            <w:r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ktni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mogu osjetiti promjene kroz cijene finan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s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ijskih proizvoda (</w:t>
            </w:r>
            <w:r w:rsidRPr="00FC1F82">
              <w:rPr>
                <w:rFonts w:ascii="Arial" w:eastAsia="Times New Roman" w:hAnsi="Arial" w:cs="Arial"/>
                <w:lang w:val="sr-Latn-ME" w:eastAsia="sr-Latn-ME"/>
              </w:rPr>
              <w:t>indirektno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). (</w:t>
            </w:r>
            <w:r w:rsidR="00B303FD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uopšteno mala direktna 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izloženost).</w:t>
            </w:r>
          </w:p>
          <w:p w14:paraId="05A51DA2" w14:textId="0A593A90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Mala i srednja preduzeća (SME) — korisnici benchmarka u ugovorima</w:t>
            </w:r>
          </w:p>
          <w:p w14:paraId="2A6E87D3" w14:textId="745E5EB0" w:rsidR="007B015B" w:rsidRPr="007B015B" w:rsidRDefault="007B015B" w:rsidP="007B015B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Jednokratno (prilago</w:t>
            </w:r>
            <w:r w:rsidR="00B303FD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đavanja u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govora, pravna pomoć, manja IT prilago</w:t>
            </w:r>
            <w:r w:rsidR="00B303FD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đavanja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):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≈ 500 € – 40.000 €</w:t>
            </w:r>
          </w:p>
          <w:p w14:paraId="6D5D776D" w14:textId="77777777" w:rsidR="007B015B" w:rsidRPr="007B015B" w:rsidRDefault="007B015B" w:rsidP="007B015B">
            <w:pPr>
              <w:numPr>
                <w:ilvl w:val="1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tipično: pravna revizija i izmjena template-a ugovora: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500 € – 5.000 €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po tipu ugovora;</w:t>
            </w:r>
          </w:p>
          <w:p w14:paraId="35BB7F45" w14:textId="77777777" w:rsidR="007B015B" w:rsidRPr="007B015B" w:rsidRDefault="007B015B" w:rsidP="007B015B">
            <w:pPr>
              <w:numPr>
                <w:ilvl w:val="1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ako je potrebna integracija s novim feedom ili sistemom: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2.000 € – 30.000 €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.</w:t>
            </w:r>
          </w:p>
          <w:p w14:paraId="750E387B" w14:textId="77777777" w:rsidR="007B015B" w:rsidRPr="007B015B" w:rsidRDefault="007B015B" w:rsidP="007B015B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Godišnje (održavanje, izvještavanje, eventualne naknade):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≈ 500 € – 10.000 €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.</w:t>
            </w:r>
          </w:p>
          <w:p w14:paraId="3D99AC49" w14:textId="1A9AE5A4" w:rsidR="007B015B" w:rsidRPr="007B015B" w:rsidRDefault="007B015B" w:rsidP="007B015B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EU studije o administrativnom opterećenju i analize pokazuju da se sektorski i pravni troškovi često mjere u stotinama do desetina </w:t>
            </w:r>
            <w:r w:rsidR="00B303FD" w:rsidRPr="00FC1F82">
              <w:rPr>
                <w:rFonts w:ascii="Arial" w:eastAsia="Times New Roman" w:hAnsi="Arial" w:cs="Arial"/>
                <w:lang w:val="sr-Latn-ME" w:eastAsia="sr-Latn-ME"/>
              </w:rPr>
              <w:t>hiljada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eura, </w:t>
            </w:r>
            <w:r w:rsidR="00B303FD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u zavisnosti od obima 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posla</w:t>
            </w:r>
            <w:r w:rsidR="00B303FD" w:rsidRPr="00FC1F82">
              <w:rPr>
                <w:rStyle w:val="FootnoteReference"/>
                <w:rFonts w:ascii="Arial" w:eastAsia="Times New Roman" w:hAnsi="Arial" w:cs="Arial"/>
                <w:lang w:val="sr-Latn-ME" w:eastAsia="sr-Latn-ME"/>
              </w:rPr>
              <w:footnoteReference w:id="3"/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.</w:t>
            </w:r>
          </w:p>
          <w:p w14:paraId="4B73520C" w14:textId="78BB08CF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Finan</w:t>
            </w:r>
            <w:r w:rsidR="00B303FD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s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ijske institucije (banke, fondovi, investiciona društva) — korisnici i/ili doprinosioci</w:t>
            </w:r>
          </w:p>
          <w:p w14:paraId="221F74EC" w14:textId="77777777" w:rsidR="007B015B" w:rsidRPr="007B015B" w:rsidRDefault="007B015B" w:rsidP="007B015B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Jednokratno: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≈ 10.000 € – 300.000 €</w:t>
            </w:r>
          </w:p>
          <w:p w14:paraId="2BD53E0E" w14:textId="70BA2489" w:rsidR="007B015B" w:rsidRPr="007B015B" w:rsidRDefault="007B015B" w:rsidP="007B015B">
            <w:pPr>
              <w:numPr>
                <w:ilvl w:val="1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veće institucije: integracije tržišnih feedova, modeliranje i governance mogu brzo dos</w:t>
            </w:r>
            <w:r w:rsidR="00B303FD" w:rsidRPr="00FC1F82">
              <w:rPr>
                <w:rFonts w:ascii="Arial" w:eastAsia="Times New Roman" w:hAnsi="Arial" w:cs="Arial"/>
                <w:lang w:val="sr-Latn-ME" w:eastAsia="sr-Latn-ME"/>
              </w:rPr>
              <w:t>tići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srednje/visoke stope.</w:t>
            </w:r>
          </w:p>
          <w:p w14:paraId="2EBA5B08" w14:textId="7A019D1A" w:rsidR="007B015B" w:rsidRPr="007B015B" w:rsidRDefault="007B015B" w:rsidP="007B015B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Godišnje: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≈ 5.000 € – 200.000 €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(</w:t>
            </w:r>
            <w:r w:rsidR="00B303FD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u zavisnosti 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o FTE i ob</w:t>
            </w:r>
            <w:r w:rsidR="00B303FD" w:rsidRPr="00FC1F82">
              <w:rPr>
                <w:rFonts w:ascii="Arial" w:eastAsia="Times New Roman" w:hAnsi="Arial" w:cs="Arial"/>
                <w:lang w:val="sr-Latn-ME" w:eastAsia="sr-Latn-ME"/>
              </w:rPr>
              <w:t>imu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izvještavanja).</w:t>
            </w:r>
          </w:p>
          <w:p w14:paraId="65C41DE8" w14:textId="77777777" w:rsidR="00B303FD" w:rsidRPr="00FC1F82" w:rsidRDefault="00B303FD" w:rsidP="009B6B0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FC1F82">
              <w:rPr>
                <w:rFonts w:ascii="Arial" w:eastAsia="Times New Roman" w:hAnsi="Arial" w:cs="Arial"/>
                <w:lang w:val="sr-Latn-ME" w:eastAsia="sr-Latn-ME"/>
              </w:rPr>
              <w:t>G</w:t>
            </w:r>
            <w:r w:rsidR="007B015B" w:rsidRPr="007B015B">
              <w:rPr>
                <w:rFonts w:ascii="Arial" w:eastAsia="Times New Roman" w:hAnsi="Arial" w:cs="Arial"/>
                <w:lang w:val="sr-Latn-ME" w:eastAsia="sr-Latn-ME"/>
              </w:rPr>
              <w:t xml:space="preserve">lobalne ankete o trošku usklađivanja pokazuju značajan rast troškova compliancea u bankama i asset managerima; Deloitte/Thomson Reuters analize. </w:t>
            </w:r>
          </w:p>
          <w:p w14:paraId="2B986D95" w14:textId="0C5BED6C" w:rsidR="007B015B" w:rsidRPr="007B015B" w:rsidRDefault="007B015B" w:rsidP="00B303F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Administrator referentnih vrijednosti (benchmark administrators)</w:t>
            </w:r>
          </w:p>
          <w:p w14:paraId="11B0BF54" w14:textId="77777777" w:rsidR="007B015B" w:rsidRPr="007B015B" w:rsidRDefault="007B015B" w:rsidP="007B015B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Jednokratno (autorizacija, IT, governance, audit):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≈ 50.000 € – 1.000.000+ €</w:t>
            </w:r>
          </w:p>
          <w:p w14:paraId="44A8B6F5" w14:textId="77777777" w:rsidR="007B015B" w:rsidRPr="007B015B" w:rsidRDefault="007B015B" w:rsidP="007B015B">
            <w:pPr>
              <w:numPr>
                <w:ilvl w:val="1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mala lokalna administracija (jedan benchmark): donji raspon;</w:t>
            </w:r>
          </w:p>
          <w:p w14:paraId="177FACBF" w14:textId="77777777" w:rsidR="007B015B" w:rsidRPr="007B015B" w:rsidRDefault="007B015B" w:rsidP="007B015B">
            <w:pPr>
              <w:numPr>
                <w:ilvl w:val="1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>međunarodni/“critical” benchmark (s mnogo inputa, visokim zahtjevima za kontrolu): gornji raspon.</w:t>
            </w:r>
          </w:p>
          <w:p w14:paraId="1812E9C4" w14:textId="25FBC866" w:rsidR="007B015B" w:rsidRPr="007B015B" w:rsidRDefault="007B015B" w:rsidP="007B015B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Godišnje operativno (uključujući pla</w:t>
            </w:r>
            <w:r w:rsidR="00B303FD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t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e, revizije, kontinuirano izvještavanje):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≈ 30.000 € – 500.000+ €</w:t>
            </w:r>
          </w:p>
          <w:p w14:paraId="289EB788" w14:textId="42ACBBFF" w:rsidR="007B015B" w:rsidRPr="007B015B" w:rsidRDefault="007B015B" w:rsidP="007B015B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ESMA-ine nadzorne naknade (prema ESMA final report)</w:t>
            </w:r>
            <w:r w:rsidR="00B303FD" w:rsidRPr="00FC1F82">
              <w:rPr>
                <w:rStyle w:val="FootnoteReference"/>
                <w:rFonts w:ascii="Arial" w:eastAsia="Times New Roman" w:hAnsi="Arial" w:cs="Arial"/>
                <w:b/>
                <w:bCs/>
                <w:lang w:val="sr-Latn-ME" w:eastAsia="sr-Latn-ME"/>
              </w:rPr>
              <w:footnoteReference w:id="4"/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:</w:t>
            </w:r>
          </w:p>
          <w:p w14:paraId="6BF3A024" w14:textId="77777777" w:rsidR="007B015B" w:rsidRPr="007B015B" w:rsidRDefault="007B015B" w:rsidP="007B015B">
            <w:pPr>
              <w:numPr>
                <w:ilvl w:val="1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za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kritične administratore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godišnja naknada može ići visokim iznosima (npr. ESMA je u prijedlogu označila primjere do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~155.000 €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u nekim slučajevima).</w:t>
            </w:r>
          </w:p>
          <w:p w14:paraId="7C5366B5" w14:textId="0D52F5CF" w:rsidR="007B015B" w:rsidRPr="007B015B" w:rsidRDefault="007B015B" w:rsidP="007B015B">
            <w:pPr>
              <w:numPr>
                <w:ilvl w:val="1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za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treće-zemaljske priznate administratore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ESMA predlaže minimalnu godišnju naknadu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≈ 20.000 €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(i više proporcionalno relevantnom turnoveru).</w:t>
            </w:r>
          </w:p>
          <w:p w14:paraId="355076F6" w14:textId="3D162D1F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>3) Konkretni primjer troškova po aktivnosti (ilustracija)</w:t>
            </w:r>
            <w:r w:rsidR="008603DC" w:rsidRPr="00FC1F82">
              <w:rPr>
                <w:rStyle w:val="FootnoteReference"/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footnoteReference w:id="5"/>
            </w:r>
          </w:p>
          <w:p w14:paraId="6AF08D09" w14:textId="77777777" w:rsidR="007B015B" w:rsidRPr="007B015B" w:rsidRDefault="007B015B" w:rsidP="007B015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Pravna revizija jednog standardnog ugovora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: 300 € – 2.000 €.</w:t>
            </w:r>
          </w:p>
          <w:p w14:paraId="295F9206" w14:textId="03EBED53" w:rsidR="007B015B" w:rsidRPr="007B015B" w:rsidRDefault="007B015B" w:rsidP="007B015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Prilago</w:t>
            </w:r>
            <w:r w:rsidR="008603DC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đavanja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/automatizacija obračuna u ERP / treasury s</w:t>
            </w:r>
            <w:r w:rsidR="008603DC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istemu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: 5.000 € – 60.000 € (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zavisno od k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ompleksnosti).</w:t>
            </w:r>
          </w:p>
          <w:p w14:paraId="5271BE7B" w14:textId="7E0B712F" w:rsidR="007B015B" w:rsidRPr="007B015B" w:rsidRDefault="007B015B" w:rsidP="007B015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 xml:space="preserve">Izrada i </w:t>
            </w:r>
            <w:r w:rsidR="008603DC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revizija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 xml:space="preserve"> metodologije benchmarka (admin)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: 20.000 € – 250.000 €.</w:t>
            </w:r>
          </w:p>
          <w:p w14:paraId="70A54767" w14:textId="0A7D1780" w:rsidR="007B015B" w:rsidRPr="007B015B" w:rsidRDefault="007B015B" w:rsidP="007B015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lastRenderedPageBreak/>
              <w:t>Godišnji trošak jednog senior compliance FTE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(ukupno trošak poslodavca u EU): ≈ 60.000 € – 150.000 € (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zavisno od 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držav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). </w:t>
            </w:r>
          </w:p>
          <w:p w14:paraId="1A70D68D" w14:textId="69DE8164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>4) Ko će najviše platiti i kako</w:t>
            </w:r>
            <w:r w:rsidR="008603DC" w:rsidRPr="00FC1F82">
              <w:rPr>
                <w:rStyle w:val="FootnoteReference"/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footnoteReference w:id="6"/>
            </w:r>
          </w:p>
          <w:p w14:paraId="75E390D2" w14:textId="21B8306C" w:rsidR="007B015B" w:rsidRPr="007B015B" w:rsidRDefault="007B015B" w:rsidP="007B015B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Najveći apsolutni troškovi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: administratori referentnih vrijednosti i velike finan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s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ijske institucije (zbog o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bima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, ESMA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-inih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naknada i stalnih FTE troškova).</w:t>
            </w:r>
          </w:p>
          <w:p w14:paraId="3637D1EF" w14:textId="77777777" w:rsidR="007B015B" w:rsidRPr="007B015B" w:rsidRDefault="007B015B" w:rsidP="007B015B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Relativno najveći teret (% prihoda)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: mala i srednja preduzeća — iako apsolutno manji iznos, trošak može predstavljati značajan udarac u odnosu na promet.</w:t>
            </w:r>
          </w:p>
          <w:p w14:paraId="1661350E" w14:textId="77777777" w:rsidR="008603DC" w:rsidRPr="00FC1F82" w:rsidRDefault="007B015B" w:rsidP="008603DC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Građani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- gotovo zanemarivo direktno.</w:t>
            </w:r>
          </w:p>
          <w:p w14:paraId="3AC00043" w14:textId="2734244C" w:rsidR="007B015B" w:rsidRPr="007B015B" w:rsidRDefault="007B015B" w:rsidP="008603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>5) Da li pozitivni efekti opravdavaju troškove?</w:t>
            </w:r>
          </w:p>
          <w:p w14:paraId="72D6DF3B" w14:textId="106E867D" w:rsidR="007B015B" w:rsidRPr="007B015B" w:rsidRDefault="007B015B" w:rsidP="007B015B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Kratko i jasno: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u većini analiza argument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uje se 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se da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da —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jer jasna pravila, pouzdani benchmarki i bolja zaštita od manipulacija smanjuju sistemski rizik i štite ulagače, što dugoročno smanjuje troškove tržišta kapitala i sporne sporove. BMR je uveden upravo zbog velikih troškova manipulacija (LIBOR i dr.). </w:t>
            </w:r>
          </w:p>
          <w:p w14:paraId="383ED2EB" w14:textId="49C8A79E" w:rsidR="007B015B" w:rsidRPr="007B015B" w:rsidRDefault="007B015B" w:rsidP="007B015B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Međutim: za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male subjekte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i za 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manje likvidne / nišne benchmarke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početni troškovi mogu biti relativno visoki i predstavljati barijeru ulaska — predložene mjere ublažavanja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za uvođenje p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ragov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a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, tranzicioni period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 xml:space="preserve"> i 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pomoć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.</w:t>
            </w:r>
          </w:p>
          <w:p w14:paraId="56E0F31D" w14:textId="77777777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>6) Administrativne obaveze i biznis barijere — procjena</w:t>
            </w:r>
          </w:p>
          <w:p w14:paraId="0EDB93E7" w14:textId="6D99CE35" w:rsidR="007B015B" w:rsidRPr="007B015B" w:rsidRDefault="007B015B" w:rsidP="007B015B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Administrativno opterećenje: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jasno će se povećati (novi izvještaji, 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revizije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, dokumentacija). Za SME to znači 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zapošljavanje lica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>/</w:t>
            </w:r>
            <w:r w:rsidR="008603DC" w:rsidRPr="00FC1F82">
              <w:rPr>
                <w:rFonts w:ascii="Arial" w:eastAsia="Times New Roman" w:hAnsi="Arial" w:cs="Arial"/>
                <w:lang w:val="sr-Latn-ME" w:eastAsia="sr-Latn-ME"/>
              </w:rPr>
              <w:t>spoljnjih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usluga → relativno visoko opterećenje. (Standardne metode procjene administrativnih troškova preporučuju SCM ili OECD metode)</w:t>
            </w:r>
            <w:r w:rsidR="008603DC" w:rsidRPr="00FC1F82">
              <w:rPr>
                <w:rStyle w:val="FootnoteReference"/>
                <w:rFonts w:ascii="Arial" w:eastAsia="Times New Roman" w:hAnsi="Arial" w:cs="Arial"/>
                <w:lang w:val="sr-Latn-ME" w:eastAsia="sr-Latn-ME"/>
              </w:rPr>
              <w:footnoteReference w:id="7"/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. </w:t>
            </w:r>
          </w:p>
          <w:p w14:paraId="18C5BBC5" w14:textId="67959AB7" w:rsidR="007B015B" w:rsidRPr="007B015B" w:rsidRDefault="007B015B" w:rsidP="007B015B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Biznis barijere: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za nove male administratore ulazak može biti otežan bez po</w:t>
            </w:r>
            <w:r w:rsidR="00471515" w:rsidRPr="00FC1F82">
              <w:rPr>
                <w:rFonts w:ascii="Arial" w:eastAsia="Times New Roman" w:hAnsi="Arial" w:cs="Arial"/>
                <w:lang w:val="sr-Latn-ME" w:eastAsia="sr-Latn-ME"/>
              </w:rPr>
              <w:t>dsticaja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(trošak autorizacije, minimalne naknade, IT i revizija). Regulativa može istovremeno otvoriti tržište (jasni standardi) ali i povećati fiksne troškove (barijera).</w:t>
            </w:r>
          </w:p>
          <w:p w14:paraId="30F08241" w14:textId="77777777" w:rsidR="007B015B" w:rsidRPr="007B015B" w:rsidRDefault="007B015B" w:rsidP="007B015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kern w:val="36"/>
                <w:lang w:val="sr-Latn-ME" w:eastAsia="sr-Latn-ME"/>
              </w:rPr>
              <w:t>7) Preporuke za ublažavanje i mjere procjene</w:t>
            </w:r>
          </w:p>
          <w:p w14:paraId="15C1D6DA" w14:textId="77777777" w:rsidR="007B015B" w:rsidRPr="007B015B" w:rsidRDefault="007B015B" w:rsidP="007B015B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Segmentirati obaveze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po veličini subjekta (smanjeni zahtjevi / niže naknade za male administratore).</w:t>
            </w:r>
          </w:p>
          <w:p w14:paraId="485C1780" w14:textId="77777777" w:rsidR="007B015B" w:rsidRPr="007B015B" w:rsidRDefault="007B015B" w:rsidP="007B015B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Tranzicioni periodi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i jasne smjernice za legacy ugovore — smanjuje hitne veliki jednokratne troškove.</w:t>
            </w:r>
          </w:p>
          <w:p w14:paraId="0FFE6D15" w14:textId="77777777" w:rsidR="007B015B" w:rsidRPr="007B015B" w:rsidRDefault="007B015B" w:rsidP="007B015B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Poticaji / subvencije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za SME (pravna pomoć, template ugovora) kako bi se smanjila potreba za skuplim savjetovanjem.</w:t>
            </w:r>
          </w:p>
          <w:p w14:paraId="2EAB8177" w14:textId="1BEB67A5" w:rsidR="007B015B" w:rsidRPr="007B015B" w:rsidRDefault="007B015B" w:rsidP="007B015B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Transparentno objavljivanje ESMA</w:t>
            </w:r>
            <w:r w:rsidR="00471515" w:rsidRPr="00FC1F82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-inih</w:t>
            </w:r>
            <w:r w:rsidRPr="007B015B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 xml:space="preserve"> naknada i metoda izračuna</w:t>
            </w:r>
            <w:r w:rsidRPr="007B015B">
              <w:rPr>
                <w:rFonts w:ascii="Arial" w:eastAsia="Times New Roman" w:hAnsi="Arial" w:cs="Arial"/>
                <w:lang w:val="sr-Latn-ME" w:eastAsia="sr-Latn-ME"/>
              </w:rPr>
              <w:t xml:space="preserve"> (ESMA-in final report daje dobar template za jediničnu procjenu).</w:t>
            </w:r>
            <w:r w:rsidR="00471515" w:rsidRPr="00FC1F82">
              <w:rPr>
                <w:rStyle w:val="FootnoteReference"/>
                <w:rFonts w:ascii="Arial" w:eastAsia="Times New Roman" w:hAnsi="Arial" w:cs="Arial"/>
                <w:lang w:val="sr-Latn-ME" w:eastAsia="sr-Latn-ME"/>
              </w:rPr>
              <w:footnoteReference w:id="8"/>
            </w:r>
          </w:p>
          <w:p w14:paraId="27EE828A" w14:textId="77777777" w:rsidR="007B015B" w:rsidRPr="00FC1F82" w:rsidRDefault="007B015B" w:rsidP="007B015B">
            <w:pPr>
              <w:pStyle w:val="Heading3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7819496" w14:textId="21348857" w:rsidR="001C4B83" w:rsidRPr="00FC1F82" w:rsidRDefault="001C4B83" w:rsidP="007B015B">
            <w:pPr>
              <w:pStyle w:val="Heading3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C1F82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Da li pozitivne posljedice donošenja propisa opravdavaju troškove koje će on stvoriti</w:t>
            </w:r>
          </w:p>
          <w:p w14:paraId="112DF56B" w14:textId="77777777" w:rsidR="001C4B83" w:rsidRPr="00FC1F82" w:rsidRDefault="001C4B83" w:rsidP="007B015B">
            <w:pPr>
              <w:pStyle w:val="NormalWeb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Da, jer se uspostavljanjem jasnih i transparentnih pravila za referentne vrijednosti povećava stabilnost i pouzdanost finansijskog tržišta, što dugoročno doprinosi povjerenju investitora i finansijskoj sigurnosti.</w:t>
            </w:r>
          </w:p>
          <w:p w14:paraId="2B2CC2D1" w14:textId="77777777" w:rsidR="001C4B83" w:rsidRPr="00FC1F82" w:rsidRDefault="001C4B83" w:rsidP="007B015B">
            <w:pPr>
              <w:pStyle w:val="NormalWeb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Transparentnost i pravna sigurnost doprinose smanjenju rizika od manipulacija i sporova, što smanjuje ukupne troškove tržišta kapitala u budućnosti.</w:t>
            </w:r>
          </w:p>
          <w:p w14:paraId="6F3AA78F" w14:textId="77777777" w:rsidR="001C4B83" w:rsidRPr="00FC1F82" w:rsidRDefault="001C4B83" w:rsidP="007B015B">
            <w:pPr>
              <w:pStyle w:val="NormalWeb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Iako postoje početni troškovi usklađivanja, dugoročni efekti u vidu boljeg tržišnog okruženja opravdavaju ove troškove.</w:t>
            </w:r>
          </w:p>
          <w:p w14:paraId="383B1EC6" w14:textId="4BCE92FC" w:rsidR="001C4B83" w:rsidRPr="00FC1F82" w:rsidRDefault="001C4B83" w:rsidP="007B015B">
            <w:pPr>
              <w:pStyle w:val="Heading3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C1F82">
              <w:rPr>
                <w:rFonts w:ascii="Arial" w:hAnsi="Arial" w:cs="Arial"/>
                <w:bCs w:val="0"/>
                <w:sz w:val="22"/>
                <w:szCs w:val="22"/>
              </w:rPr>
              <w:t>Da li se propisom podržava stvaranje novih privrednih subjekata na tržištu i tržišna konkurencija</w:t>
            </w:r>
          </w:p>
          <w:p w14:paraId="4F18554A" w14:textId="717C60A6" w:rsidR="001C4B83" w:rsidRPr="00FC1F82" w:rsidRDefault="001C4B83" w:rsidP="007B015B">
            <w:pPr>
              <w:pStyle w:val="NormalWeb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Propis uvodi jasna pravila i standarde što može omogućiti novim administratorima referentnih vrijednosti ulazak na tržište, čime se podstiče konkurencija.</w:t>
            </w:r>
          </w:p>
          <w:p w14:paraId="738CDD08" w14:textId="77777777" w:rsidR="001C4B83" w:rsidRPr="00FC1F82" w:rsidRDefault="001C4B83" w:rsidP="007B015B">
            <w:pPr>
              <w:pStyle w:val="NormalWeb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Standardizacija i transparentnost stvaraju povoljnije uslove za razvoj finansijskih proizvoda, što može podstaći nove učesnike na tržištu kapitala.</w:t>
            </w:r>
          </w:p>
          <w:p w14:paraId="7E088459" w14:textId="77777777" w:rsidR="001C4B83" w:rsidRPr="00FC1F82" w:rsidRDefault="001C4B83" w:rsidP="007B015B">
            <w:pPr>
              <w:pStyle w:val="NormalWeb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S druge strane, dodatni regulatorni zahtjevi mogu predstavljati prepreku za ulazak manjim subjektima ukoliko nisu adekvatno podržani.</w:t>
            </w:r>
          </w:p>
          <w:p w14:paraId="27CA41B2" w14:textId="7BD07120" w:rsidR="001C4B83" w:rsidRPr="00FC1F82" w:rsidRDefault="001C4B83" w:rsidP="007B015B">
            <w:pPr>
              <w:pStyle w:val="Heading3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C1F82">
              <w:rPr>
                <w:rFonts w:ascii="Arial" w:hAnsi="Arial" w:cs="Arial"/>
                <w:bCs w:val="0"/>
                <w:sz w:val="22"/>
                <w:szCs w:val="22"/>
              </w:rPr>
              <w:t>Procjena administrativnih opterećenja i biznis barijera</w:t>
            </w:r>
          </w:p>
          <w:p w14:paraId="15470AC8" w14:textId="1364AC8E" w:rsidR="001C4B83" w:rsidRPr="00FC1F82" w:rsidRDefault="001C4B83" w:rsidP="007B015B">
            <w:pPr>
              <w:pStyle w:val="NormalWeb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Propis uvodi dodatne administrativne zahtjeve za privredne subjekte koji su direktno ili indirektno povezani sa korišćenjem referentnih vrijednosti, naročito za administratore i finansijske institucije.</w:t>
            </w:r>
          </w:p>
          <w:p w14:paraId="61754836" w14:textId="77777777" w:rsidR="001C4B83" w:rsidRPr="00FC1F82" w:rsidRDefault="001C4B83" w:rsidP="007B015B">
            <w:pPr>
              <w:pStyle w:val="NormalWeb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Za mala i srednja preduzeća moguće su barijere uslijed složenijih uslova i potreba za stručnom podrškom.</w:t>
            </w:r>
          </w:p>
          <w:p w14:paraId="6B602A3D" w14:textId="77777777" w:rsidR="001C4B83" w:rsidRPr="00FC1F82" w:rsidRDefault="001C4B83" w:rsidP="007B015B">
            <w:pPr>
              <w:pStyle w:val="NormalWeb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S druge strane, regulator predviđa mehanizme za podršku usklađivanju i prelazne periode koji ublažavaju administrativne terete.</w:t>
            </w:r>
          </w:p>
          <w:p w14:paraId="15776D46" w14:textId="032AE98C" w:rsidR="0056757B" w:rsidRPr="00FC1F82" w:rsidRDefault="001C4B83" w:rsidP="007B015B">
            <w:pPr>
              <w:pStyle w:val="NormalWeb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F82">
              <w:rPr>
                <w:rFonts w:ascii="Arial" w:hAnsi="Arial" w:cs="Arial"/>
                <w:sz w:val="22"/>
                <w:szCs w:val="22"/>
              </w:rPr>
              <w:t>Ukupno, administrativna opterećenja su opravdana potrebom za većom sigurnošću i transparentnošću na tržištu kapitala, ali je neophodno pratiti njihovu primjenu kako bi se spriječile nepotrebne biznis barijere.</w:t>
            </w:r>
          </w:p>
        </w:tc>
      </w:tr>
      <w:tr w:rsidR="00F63B89" w:rsidRPr="00FC1F82" w14:paraId="44EC2EC0" w14:textId="77777777" w:rsidTr="00E27883">
        <w:tc>
          <w:tcPr>
            <w:tcW w:w="9576" w:type="dxa"/>
            <w:gridSpan w:val="2"/>
            <w:shd w:val="clear" w:color="auto" w:fill="D2EAF1"/>
          </w:tcPr>
          <w:p w14:paraId="40C24F5F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5. Procjena fiskalnog uticaja</w:t>
            </w:r>
          </w:p>
          <w:p w14:paraId="796BC12E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je potrebno obezbjeđenje finansijskih sredstava iz budžeta Crne Gore za implementaciju propisa i u kom iznosu?</w:t>
            </w:r>
          </w:p>
          <w:p w14:paraId="35DF0177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je obezbjeđenje finansijskih sredstava jednokratno, ili tokom određenog vremenskog perioda?  Obrazložiti.</w:t>
            </w:r>
          </w:p>
          <w:p w14:paraId="47480088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implementacijom propisa proizilaze međunarodne finansijske obaveze? Obrazložiti.</w:t>
            </w:r>
          </w:p>
          <w:p w14:paraId="30493421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su neophodna finansijska sredstva obezbijeđena u budžetu za tekuću fiskalnu godinu, odnosno da li su planirana u budžetu za narednu fiskanu godinu?</w:t>
            </w:r>
          </w:p>
          <w:p w14:paraId="03619DD9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je usvajanjem propisa predviđeno donošenje podzakonskih akata iz kojih će proisteći finansijske obaveze?</w:t>
            </w:r>
          </w:p>
          <w:p w14:paraId="52F148BA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će se implementacijom propisa ostvariti prihod za budžet Crne Gore?</w:t>
            </w:r>
          </w:p>
          <w:p w14:paraId="0D7FD892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Obrazložiti metodologiju koja je korišćenja prilikom obračuna finansijskih izdataka/prihoda.</w:t>
            </w:r>
          </w:p>
          <w:p w14:paraId="7CA41A13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su postojali problemi u preciznom obračunu finansijskih izdataka/prihoda? Obrazložiti.</w:t>
            </w:r>
          </w:p>
          <w:p w14:paraId="3E893E38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Da li su postojale sugestije Ministarstva finansija na nacrt/predlog propisa?</w:t>
            </w:r>
          </w:p>
          <w:p w14:paraId="3224B2CD" w14:textId="77777777" w:rsidR="00F63B89" w:rsidRPr="00FC1F8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Da li su dobijene primjedbe uključene u tekst propisa? Obrazložiti.</w:t>
            </w:r>
          </w:p>
        </w:tc>
      </w:tr>
      <w:tr w:rsidR="00F63B89" w:rsidRPr="00FC1F82" w14:paraId="5063B174" w14:textId="77777777" w:rsidTr="00E27883">
        <w:tc>
          <w:tcPr>
            <w:tcW w:w="9576" w:type="dxa"/>
            <w:gridSpan w:val="2"/>
          </w:tcPr>
          <w:p w14:paraId="33CA5225" w14:textId="77777777" w:rsidR="00C04528" w:rsidRPr="00FC1F82" w:rsidRDefault="00C04528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73BE1979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Za sprovođenje ovog zakona i podzakonskih akata koji će biti donijeti po osnovu ovog zakona nije potrebno obezbjeđenje finansijskih sredstava iz budžeta Crne Gore.</w:t>
            </w:r>
          </w:p>
          <w:p w14:paraId="5EE43476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73BD764B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Budući da za implementaciju ovog zakona nisu potrebna finansijska sredstva iz budžeta Crne Gore, ne postoji potreba za obezbjeđenjem bilo kakvih sredstava, bilo jednokratno ili na duži vremenski period.</w:t>
            </w:r>
          </w:p>
          <w:p w14:paraId="46701CDF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56107A24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Implementacijom zakona i podzakonskih akata ne proizilaze međunarodne finansijske obaveze. Propis je osmišljen tako da se oslanja na postojeće resurse i nadležnosti regulatornih tijela.</w:t>
            </w:r>
          </w:p>
          <w:p w14:paraId="512A9CD4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6ACF647A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S obzirom na to da zakon ne zahtijeva izdvajanje finansijskih sredstava iz budžeta, nisu potrebne posebne budžetske stavke ni u tekućoj ni u narednoj fiskalnoj godini.</w:t>
            </w:r>
          </w:p>
          <w:p w14:paraId="314E9901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2F50786E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Podzakonski akti koji će biti doneseni na osnovu ovog zakona neće generisati finansijske obaveze za budžet Crne Gore.</w:t>
            </w:r>
          </w:p>
          <w:p w14:paraId="3D28EF39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666E40AF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Implementacijom ovog zakona neće se direktno ostvariti prihodi za budžet Crne Gore.</w:t>
            </w:r>
          </w:p>
          <w:p w14:paraId="2EB477C1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5C62FC75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Obzirom na to da zakon ne zahtijeva dodatna sredstva iz budžeta i ne predviđa direktne finansijske prihode, nije bilo potrebe za izradom posebnih obračuna finansijskih izdataka ili prihoda.</w:t>
            </w:r>
          </w:p>
          <w:p w14:paraId="5C7BEA12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18CF9F04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Nisu postojali problemi u obračunu finansijskih izdataka ili prihoda, jer zakon ne generiše troškove ili direktne prihode za budžet.</w:t>
            </w:r>
          </w:p>
          <w:p w14:paraId="70141432" w14:textId="77777777" w:rsidR="00950FD0" w:rsidRPr="00FC1F82" w:rsidRDefault="00950FD0" w:rsidP="00950F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479F96A9" w14:textId="7855B69C" w:rsidR="00F63B89" w:rsidRPr="00FC1F82" w:rsidRDefault="00950FD0" w:rsidP="001C4B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 xml:space="preserve">Komisija za tržište kapitala Crne Gore je u kontinuitetu u komunikaciji sa Ministarstvom finansija tokom izrade </w:t>
            </w:r>
            <w:r w:rsidR="00BB6080" w:rsidRPr="00FC1F82">
              <w:rPr>
                <w:rFonts w:ascii="Arial" w:eastAsia="Times New Roman" w:hAnsi="Arial" w:cs="Arial"/>
                <w:lang w:val="sr-Latn-ME" w:eastAsia="en-GB"/>
              </w:rPr>
              <w:t>N</w:t>
            </w:r>
            <w:r w:rsidRPr="00FC1F82">
              <w:rPr>
                <w:rFonts w:ascii="Arial" w:eastAsia="Times New Roman" w:hAnsi="Arial" w:cs="Arial"/>
                <w:lang w:val="sr-Latn-ME" w:eastAsia="en-GB"/>
              </w:rPr>
              <w:t xml:space="preserve">acrta zakona. </w:t>
            </w:r>
          </w:p>
        </w:tc>
      </w:tr>
      <w:tr w:rsidR="00F63B89" w:rsidRPr="00FC1F82" w14:paraId="13513CCA" w14:textId="77777777" w:rsidTr="00E27883">
        <w:tc>
          <w:tcPr>
            <w:tcW w:w="9576" w:type="dxa"/>
            <w:gridSpan w:val="2"/>
            <w:shd w:val="clear" w:color="auto" w:fill="D2EAF1"/>
          </w:tcPr>
          <w:p w14:paraId="1B9B83BD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6. Konsultacije zainteresovanih strana</w:t>
            </w:r>
          </w:p>
          <w:p w14:paraId="38199FE9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Naznačiti da li je korišćena eksterna ekspertska podrška i ako da, kako.</w:t>
            </w:r>
          </w:p>
          <w:p w14:paraId="4A18749A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Naznačiti koje su grupe zainteresovanih strana konsultovane, u kojoj fazi RIA procesa i kako (javne ili ciljane konsultacije).</w:t>
            </w:r>
          </w:p>
          <w:p w14:paraId="273E1250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F63B89" w:rsidRPr="00FC1F82" w14:paraId="0861F327" w14:textId="77777777" w:rsidTr="00E27883">
        <w:tc>
          <w:tcPr>
            <w:tcW w:w="9576" w:type="dxa"/>
            <w:gridSpan w:val="2"/>
          </w:tcPr>
          <w:p w14:paraId="6B5D5CF6" w14:textId="775E6888" w:rsidR="00BB6080" w:rsidRPr="00FC1F82" w:rsidRDefault="001C4B83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Prilikom izrade Nacrta zakona o referentnim vrijednostima nije korišćena eksterna ekspertska podrška međunarodnih institucija ili privatnih konsultanata. Komisija za tržište kapitala oslonila se na postojeće regulatorne standarde i pravne okvire razvijenih zemalja EU, kao i na najbolje prakse u oblasti referentnih vrijednosti, kako bi kreirala zakonodavni okvir prilagođen specifičnostima crnogorskog tržišta kapitala.</w:t>
            </w:r>
            <w:r w:rsidRPr="00FC1F82">
              <w:rPr>
                <w:rFonts w:ascii="Arial" w:hAnsi="Arial" w:cs="Arial"/>
                <w:lang w:val="sr-Latn-ME"/>
              </w:rPr>
              <w:t xml:space="preserve"> </w:t>
            </w:r>
          </w:p>
          <w:p w14:paraId="7BDD32D2" w14:textId="77777777" w:rsidR="00BB6080" w:rsidRPr="00FC1F82" w:rsidRDefault="00BB6080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</w:p>
          <w:p w14:paraId="40B192ED" w14:textId="77777777" w:rsidR="00BB6080" w:rsidRPr="00FC1F82" w:rsidRDefault="001C4B83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FC1F82">
              <w:rPr>
                <w:rFonts w:ascii="Arial" w:hAnsi="Arial" w:cs="Arial"/>
                <w:lang w:val="sr-Latn-ME"/>
              </w:rPr>
              <w:t xml:space="preserve">Nacrt zakona će biti predmet i javne rasprave, koja će omogućiti široj javnosti da iznese svoje komentare i sugestije. </w:t>
            </w:r>
          </w:p>
          <w:p w14:paraId="2B80D46C" w14:textId="77C44C57" w:rsidR="00F63B89" w:rsidRPr="00FC1F82" w:rsidRDefault="001C4B83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hAnsi="Arial" w:cs="Arial"/>
                <w:lang w:val="sr-Latn-ME"/>
              </w:rPr>
              <w:t>Sve primjedbe i preporuke dobijene tokom javne rasprave biće pažljivo razmotrene, a relevantne izmjene ugrađene u konačni tekst zakona radi postizanja optimalnog balansa između regulacije i efikasnosti tržišta.</w:t>
            </w:r>
          </w:p>
        </w:tc>
      </w:tr>
      <w:tr w:rsidR="00F63B89" w:rsidRPr="00FC1F82" w14:paraId="3CD909A9" w14:textId="77777777" w:rsidTr="00E27883">
        <w:tc>
          <w:tcPr>
            <w:tcW w:w="9576" w:type="dxa"/>
            <w:gridSpan w:val="2"/>
            <w:shd w:val="clear" w:color="auto" w:fill="D2EAF1"/>
          </w:tcPr>
          <w:p w14:paraId="30B9D052" w14:textId="77777777" w:rsidR="00F63B89" w:rsidRPr="00FC1F82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7. Monitoring i evaluacija</w:t>
            </w:r>
          </w:p>
          <w:p w14:paraId="6379B99F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 xml:space="preserve">Koje su potencijalne prepreke za implementaciju propisa? </w:t>
            </w:r>
          </w:p>
          <w:p w14:paraId="4FD2EED0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Koje će mjere biti preduzete tokom primjene propisa da bi se ispunili ciljevi?</w:t>
            </w:r>
          </w:p>
          <w:p w14:paraId="6A208A89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lastRenderedPageBreak/>
              <w:t>Koji su glavni indikatori prema kojima će se mjeriti ispunjenje ciljeva?</w:t>
            </w:r>
          </w:p>
          <w:p w14:paraId="7D6F95F6" w14:textId="77777777" w:rsidR="00F63B89" w:rsidRPr="00FC1F8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Ko će biti zadužen za sprovođenje monitoringa i evaluacije primjene propisa?</w:t>
            </w:r>
          </w:p>
        </w:tc>
      </w:tr>
      <w:tr w:rsidR="00F63B89" w:rsidRPr="00FC1F82" w14:paraId="25CE2944" w14:textId="77777777" w:rsidTr="00E27883">
        <w:tc>
          <w:tcPr>
            <w:tcW w:w="9576" w:type="dxa"/>
            <w:gridSpan w:val="2"/>
          </w:tcPr>
          <w:p w14:paraId="4A95E060" w14:textId="565DBA81" w:rsidR="00BB6080" w:rsidRPr="00FC1F82" w:rsidRDefault="00BB6080" w:rsidP="00BB6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Koje su potencijalne prepreke za implementaciju propisa?</w:t>
            </w:r>
          </w:p>
          <w:p w14:paraId="64C8C067" w14:textId="77777777" w:rsidR="00BB6080" w:rsidRPr="00FC1F82" w:rsidRDefault="00BB6080" w:rsidP="00BB6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  <w:p w14:paraId="799FB259" w14:textId="2EAEFAF9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Ne postoje identifikovane značajne prepreke za implementaciju Zakona o referentnim vrijednostima. Prilikom izrade propisa uzeti su u obzir pravni, operativni i regulatorni aspekti sa ciljem osiguravanja njegovog nesmetanog sprovođenja u praksi. Jasna regulativa i definisani mehanizmi praćenja doprinose efikasnoj primjeni zakona.</w:t>
            </w:r>
          </w:p>
          <w:p w14:paraId="7E89FD62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0E409DFB" w14:textId="5F15A5E8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Koje će mjere biti preduzete tokom primjene propisa da bi se ispunili ciljevi?</w:t>
            </w:r>
          </w:p>
          <w:p w14:paraId="0A69FC7C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5FF96785" w14:textId="732849D8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Nadzor i inspekcija: Komisija za tržište kapitala kontinuirano će nadzirati administratore  referentnih vrijednosti i korisnike na tržištu radi osiguranja usklađenosti sa zakonskim obavezama.</w:t>
            </w:r>
          </w:p>
          <w:p w14:paraId="7E054223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2AC73D57" w14:textId="6604681F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Izvještavanje i transparentnost: Administratori referentnih vrijednosti biće obavezni da redovno dostavljaju izvještaje o metodologijama, izvorima podataka i ostalim relevantnim parametrima.</w:t>
            </w:r>
          </w:p>
          <w:p w14:paraId="3888F990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79DAE3AC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Edukacija i podrška: Organizovaće se edukativne aktivnosti za sve učesnike na tržištu radi povećanja svijesti o obavezama i benefitima propisa.</w:t>
            </w:r>
          </w:p>
          <w:p w14:paraId="5D5D3FEF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5D2834A7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356B08A9" w14:textId="3EEB16A4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Koji su glavni indikatori prema kojima će se mjeriti ispunjenje ciljeva?</w:t>
            </w:r>
          </w:p>
          <w:p w14:paraId="75E50672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6637FF81" w14:textId="0F7DD1B0" w:rsidR="0014548C" w:rsidRPr="00FC1F82" w:rsidRDefault="0014548C" w:rsidP="00BB608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Broj registrovanih i licenciranih administratora referentnih vrijednosti na tržištu.</w:t>
            </w:r>
          </w:p>
          <w:p w14:paraId="178A90B2" w14:textId="77777777" w:rsidR="0014548C" w:rsidRPr="00FC1F82" w:rsidRDefault="0014548C" w:rsidP="00BB608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Kvalitet i transparentnost objavljenih referentnih vrijednosti, ocijenjeni kroz revizorske izvještaje i nadzorne aktivnosti.</w:t>
            </w:r>
          </w:p>
          <w:p w14:paraId="07F4CFAD" w14:textId="77777777" w:rsidR="0014548C" w:rsidRPr="00FC1F82" w:rsidRDefault="0014548C" w:rsidP="00BB608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Broj i vrsta prijavljenih nepravilnosti ili pritužbi korisnika referentnih vrijednosti.</w:t>
            </w:r>
          </w:p>
          <w:p w14:paraId="23382E51" w14:textId="77777777" w:rsidR="0014548C" w:rsidRPr="00FC1F82" w:rsidRDefault="0014548C" w:rsidP="00BB608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Stepen usklađenosti privrednih subjekata sa zakonskim obavezama o korišćenju referentnih vrijednosti.</w:t>
            </w:r>
          </w:p>
          <w:p w14:paraId="15DA6DCB" w14:textId="77777777" w:rsidR="0014548C" w:rsidRPr="00FC1F82" w:rsidRDefault="0014548C" w:rsidP="00BB608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>Povećanje povjerenja investitora i učesnika na tržištu, mjerljivo kroz tržišne pokazatelje i anketna istraživanja.</w:t>
            </w:r>
          </w:p>
          <w:p w14:paraId="77B2B11A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668EFB16" w14:textId="63BEB02C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b/>
                <w:lang w:val="sr-Latn-ME" w:eastAsia="en-GB"/>
              </w:rPr>
              <w:t>Ko će biti zadužen za sprovođenje monitoringa i evaluacije primjene propisa?</w:t>
            </w:r>
          </w:p>
          <w:p w14:paraId="2CCD0688" w14:textId="77777777" w:rsidR="0014548C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1E7C68D3" w14:textId="4F5F416F" w:rsidR="00F63B89" w:rsidRPr="00FC1F82" w:rsidRDefault="0014548C" w:rsidP="0014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FC1F82">
              <w:rPr>
                <w:rFonts w:ascii="Arial" w:eastAsia="Times New Roman" w:hAnsi="Arial" w:cs="Arial"/>
                <w:lang w:val="sr-Latn-ME" w:eastAsia="en-GB"/>
              </w:rPr>
              <w:t xml:space="preserve">Primarnu odgovornost za nadzor i evaluaciju primjene Zakona o referentnim vrijednostima ima Komisija za tržište kapitala Crne Gore, koja će pratiti usklađenost poslovanja administratora i korisnika referentnih vrijednosti sa zakonskim okvirima. </w:t>
            </w:r>
          </w:p>
        </w:tc>
      </w:tr>
    </w:tbl>
    <w:p w14:paraId="7111DB89" w14:textId="77777777" w:rsidR="00F63B89" w:rsidRPr="00FC1F82" w:rsidRDefault="00F63B89" w:rsidP="00F6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</w:p>
    <w:p w14:paraId="551FFBB2" w14:textId="77777777" w:rsidR="00F63B89" w:rsidRPr="00FC1F82" w:rsidRDefault="00F63B89" w:rsidP="00F6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</w:p>
    <w:p w14:paraId="4707CF47" w14:textId="4D2BE42C" w:rsidR="00F63B89" w:rsidRPr="00FC1F82" w:rsidRDefault="00BD64E3" w:rsidP="00F63B89">
      <w:pPr>
        <w:spacing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FC1F82">
        <w:rPr>
          <w:rFonts w:ascii="Arial" w:eastAsia="Times New Roman" w:hAnsi="Arial" w:cs="Arial"/>
          <w:lang w:val="sr-Latn-ME" w:eastAsia="en-GB"/>
        </w:rPr>
        <w:t xml:space="preserve">    </w:t>
      </w:r>
      <w:r w:rsidRPr="00FC1F82">
        <w:rPr>
          <w:rFonts w:ascii="Arial" w:eastAsia="Times New Roman" w:hAnsi="Arial" w:cs="Arial"/>
          <w:lang w:val="sr-Latn-ME" w:eastAsia="en-GB"/>
        </w:rPr>
        <w:tab/>
        <w:t xml:space="preserve">Datum i mjesto   </w:t>
      </w:r>
      <w:r w:rsidRPr="00FC1F82">
        <w:rPr>
          <w:rFonts w:ascii="Arial" w:eastAsia="Times New Roman" w:hAnsi="Arial" w:cs="Arial"/>
          <w:lang w:val="sr-Latn-ME" w:eastAsia="en-GB"/>
        </w:rPr>
        <w:tab/>
      </w:r>
      <w:r w:rsidRPr="00FC1F82">
        <w:rPr>
          <w:rFonts w:ascii="Arial" w:eastAsia="Times New Roman" w:hAnsi="Arial" w:cs="Arial"/>
          <w:lang w:val="sr-Latn-ME" w:eastAsia="en-GB"/>
        </w:rPr>
        <w:tab/>
      </w:r>
      <w:r w:rsidRPr="00FC1F82">
        <w:rPr>
          <w:rFonts w:ascii="Arial" w:eastAsia="Times New Roman" w:hAnsi="Arial" w:cs="Arial"/>
          <w:lang w:val="sr-Latn-ME" w:eastAsia="en-GB"/>
        </w:rPr>
        <w:tab/>
      </w:r>
      <w:r w:rsidRPr="00FC1F82">
        <w:rPr>
          <w:rFonts w:ascii="Arial" w:eastAsia="Times New Roman" w:hAnsi="Arial" w:cs="Arial"/>
          <w:lang w:val="sr-Latn-ME" w:eastAsia="en-GB"/>
        </w:rPr>
        <w:tab/>
      </w:r>
      <w:r w:rsidR="00F63B89" w:rsidRPr="00FC1F82">
        <w:rPr>
          <w:rFonts w:ascii="Arial" w:eastAsia="Times New Roman" w:hAnsi="Arial" w:cs="Arial"/>
          <w:lang w:val="sr-Latn-ME" w:eastAsia="en-GB"/>
        </w:rPr>
        <w:t xml:space="preserve">    </w:t>
      </w:r>
      <w:r w:rsidR="00831371" w:rsidRPr="00FC1F82">
        <w:rPr>
          <w:rFonts w:ascii="Arial" w:eastAsia="Times New Roman" w:hAnsi="Arial" w:cs="Arial"/>
          <w:lang w:val="sr-Latn-ME" w:eastAsia="en-GB"/>
        </w:rPr>
        <w:t xml:space="preserve"> </w:t>
      </w:r>
      <w:r w:rsidR="00F63B89" w:rsidRPr="00FC1F82">
        <w:rPr>
          <w:rFonts w:ascii="Arial" w:eastAsia="Times New Roman" w:hAnsi="Arial" w:cs="Arial"/>
          <w:lang w:val="sr-Latn-ME" w:eastAsia="en-GB"/>
        </w:rPr>
        <w:t xml:space="preserve">  </w:t>
      </w:r>
      <w:r w:rsidR="00831371" w:rsidRPr="00FC1F82">
        <w:rPr>
          <w:rFonts w:ascii="Arial" w:eastAsia="Times New Roman" w:hAnsi="Arial" w:cs="Arial"/>
          <w:lang w:val="sr-Latn-ME" w:eastAsia="en-GB"/>
        </w:rPr>
        <w:t xml:space="preserve">    </w:t>
      </w:r>
      <w:r w:rsidR="00F63B89" w:rsidRPr="00FC1F82">
        <w:rPr>
          <w:rFonts w:ascii="Arial" w:eastAsia="Times New Roman" w:hAnsi="Arial" w:cs="Arial"/>
          <w:lang w:val="sr-Latn-ME" w:eastAsia="en-GB"/>
        </w:rPr>
        <w:t xml:space="preserve"> </w:t>
      </w:r>
      <w:r w:rsidR="00831371" w:rsidRPr="00FC1F82">
        <w:rPr>
          <w:rFonts w:ascii="Arial" w:eastAsia="Times New Roman" w:hAnsi="Arial" w:cs="Arial"/>
          <w:lang w:val="sr-Latn-ME" w:eastAsia="en-GB"/>
        </w:rPr>
        <w:t xml:space="preserve">             </w:t>
      </w:r>
      <w:r w:rsidR="00F63B89" w:rsidRPr="00FC1F82">
        <w:rPr>
          <w:rFonts w:ascii="Arial" w:eastAsia="Times New Roman" w:hAnsi="Arial" w:cs="Arial"/>
          <w:lang w:val="sr-Latn-ME" w:eastAsia="en-GB"/>
        </w:rPr>
        <w:t xml:space="preserve">  Starješina </w:t>
      </w:r>
    </w:p>
    <w:p w14:paraId="11A7BB0D" w14:textId="77777777" w:rsidR="00F63B89" w:rsidRPr="00FC1F82" w:rsidRDefault="00F63B89" w:rsidP="00F63B89">
      <w:pPr>
        <w:spacing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</w:p>
    <w:p w14:paraId="6ABF968B" w14:textId="4B176EE6" w:rsidR="007E562E" w:rsidRPr="00FC1F82" w:rsidRDefault="00BD64E3" w:rsidP="00BD64E3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FC1F82">
        <w:rPr>
          <w:rFonts w:ascii="Arial" w:eastAsia="Times New Roman" w:hAnsi="Arial" w:cs="Arial"/>
          <w:lang w:val="sr-Latn-ME" w:eastAsia="en-GB"/>
        </w:rPr>
        <w:t xml:space="preserve">Podgorica, </w:t>
      </w:r>
      <w:r w:rsidR="008E61D3">
        <w:rPr>
          <w:rFonts w:ascii="Arial" w:eastAsia="Times New Roman" w:hAnsi="Arial" w:cs="Arial"/>
          <w:lang w:val="sr-Latn-ME" w:eastAsia="en-GB"/>
        </w:rPr>
        <w:t>19</w:t>
      </w:r>
      <w:r w:rsidR="0014548C" w:rsidRPr="00FC1F82">
        <w:rPr>
          <w:rFonts w:ascii="Arial" w:eastAsia="Times New Roman" w:hAnsi="Arial" w:cs="Arial"/>
          <w:lang w:val="sr-Latn-ME" w:eastAsia="en-GB"/>
        </w:rPr>
        <w:t>.11</w:t>
      </w:r>
      <w:r w:rsidRPr="00FC1F82">
        <w:rPr>
          <w:rFonts w:ascii="Arial" w:eastAsia="Times New Roman" w:hAnsi="Arial" w:cs="Arial"/>
          <w:lang w:val="sr-Latn-ME" w:eastAsia="en-GB"/>
        </w:rPr>
        <w:t>.202</w:t>
      </w:r>
      <w:r w:rsidR="00552C20" w:rsidRPr="00FC1F82">
        <w:rPr>
          <w:rFonts w:ascii="Arial" w:eastAsia="Times New Roman" w:hAnsi="Arial" w:cs="Arial"/>
          <w:lang w:val="sr-Latn-ME" w:eastAsia="en-GB"/>
        </w:rPr>
        <w:t>5</w:t>
      </w:r>
      <w:r w:rsidRPr="00FC1F82">
        <w:rPr>
          <w:rFonts w:ascii="Arial" w:eastAsia="Times New Roman" w:hAnsi="Arial" w:cs="Arial"/>
          <w:lang w:val="sr-Latn-ME" w:eastAsia="en-GB"/>
        </w:rPr>
        <w:t>. godine</w:t>
      </w:r>
      <w:r w:rsidRPr="00FC1F82">
        <w:rPr>
          <w:rFonts w:ascii="Arial" w:eastAsia="Times New Roman" w:hAnsi="Arial" w:cs="Arial"/>
          <w:lang w:val="sr-Latn-ME" w:eastAsia="en-GB"/>
        </w:rPr>
        <w:tab/>
      </w:r>
      <w:r w:rsidRPr="00FC1F82">
        <w:rPr>
          <w:rFonts w:ascii="Arial" w:eastAsia="Times New Roman" w:hAnsi="Arial" w:cs="Arial"/>
          <w:lang w:val="sr-Latn-ME" w:eastAsia="en-GB"/>
        </w:rPr>
        <w:tab/>
        <w:t xml:space="preserve">           </w:t>
      </w:r>
      <w:r w:rsidR="00831371" w:rsidRPr="00FC1F82">
        <w:rPr>
          <w:rFonts w:ascii="Arial" w:eastAsia="Times New Roman" w:hAnsi="Arial" w:cs="Arial"/>
          <w:lang w:val="sr-Latn-ME" w:eastAsia="en-GB"/>
        </w:rPr>
        <w:t xml:space="preserve">                </w:t>
      </w:r>
      <w:r w:rsidR="00BB6080" w:rsidRPr="00FC1F82">
        <w:rPr>
          <w:rFonts w:ascii="Arial" w:eastAsia="Times New Roman" w:hAnsi="Arial" w:cs="Arial"/>
          <w:lang w:val="sr-Latn-ME" w:eastAsia="en-GB"/>
        </w:rPr>
        <w:t>______________________</w:t>
      </w:r>
    </w:p>
    <w:sectPr w:rsidR="007E562E" w:rsidRPr="00FC1F82" w:rsidSect="00D372A1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E55C" w14:textId="77777777" w:rsidR="00215163" w:rsidRDefault="00215163">
      <w:pPr>
        <w:spacing w:after="0" w:line="240" w:lineRule="auto"/>
      </w:pPr>
      <w:r>
        <w:separator/>
      </w:r>
    </w:p>
  </w:endnote>
  <w:endnote w:type="continuationSeparator" w:id="0">
    <w:p w14:paraId="0EC480DC" w14:textId="77777777" w:rsidR="00215163" w:rsidRDefault="0021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566C" w14:textId="77777777" w:rsidR="009858B1" w:rsidRDefault="00753AD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446F">
      <w:rPr>
        <w:noProof/>
      </w:rPr>
      <w:t>11</w:t>
    </w:r>
    <w:r>
      <w:rPr>
        <w:noProof/>
      </w:rPr>
      <w:fldChar w:fldCharType="end"/>
    </w:r>
  </w:p>
  <w:p w14:paraId="39A54DBE" w14:textId="77777777" w:rsidR="009858B1" w:rsidRDefault="00985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61CE" w14:textId="77777777" w:rsidR="00215163" w:rsidRDefault="00215163">
      <w:pPr>
        <w:spacing w:after="0" w:line="240" w:lineRule="auto"/>
      </w:pPr>
      <w:r>
        <w:separator/>
      </w:r>
    </w:p>
  </w:footnote>
  <w:footnote w:type="continuationSeparator" w:id="0">
    <w:p w14:paraId="0196EF1E" w14:textId="77777777" w:rsidR="00215163" w:rsidRDefault="00215163">
      <w:pPr>
        <w:spacing w:after="0" w:line="240" w:lineRule="auto"/>
      </w:pPr>
      <w:r>
        <w:continuationSeparator/>
      </w:r>
    </w:p>
  </w:footnote>
  <w:footnote w:id="1">
    <w:p w14:paraId="091D9099" w14:textId="4DC52D0E" w:rsidR="007B015B" w:rsidRPr="007B015B" w:rsidRDefault="007B015B" w:rsidP="007B015B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OECD Regulatory Compliance Cost Assessment Guidance | OECD</w:t>
        </w:r>
      </w:hyperlink>
    </w:p>
  </w:footnote>
  <w:footnote w:id="2">
    <w:p w14:paraId="166A1AFD" w14:textId="77777777" w:rsidR="007B015B" w:rsidRPr="007B015B" w:rsidRDefault="007B015B" w:rsidP="007B015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ME" w:eastAsia="sr-Latn-ME"/>
        </w:rPr>
      </w:pPr>
      <w:r>
        <w:rPr>
          <w:rStyle w:val="FootnoteReference"/>
        </w:rPr>
        <w:footnoteRef/>
      </w:r>
      <w:r>
        <w:t xml:space="preserve"> </w:t>
      </w:r>
      <w:r w:rsidRPr="007B015B">
        <w:rPr>
          <w:rFonts w:ascii="Arial" w:eastAsia="Times New Roman" w:hAnsi="Arial" w:cs="Arial"/>
          <w:b/>
          <w:bCs/>
          <w:sz w:val="18"/>
          <w:szCs w:val="18"/>
          <w:lang w:val="sr-Latn-ME" w:eastAsia="sr-Latn-ME"/>
        </w:rPr>
        <w:t>Napomena:</w:t>
      </w:r>
      <w:r w:rsidRPr="007B015B">
        <w:rPr>
          <w:rFonts w:ascii="Arial" w:eastAsia="Times New Roman" w:hAnsi="Arial" w:cs="Arial"/>
          <w:sz w:val="18"/>
          <w:szCs w:val="18"/>
          <w:lang w:val="sr-Latn-ME" w:eastAsia="sr-Latn-ME"/>
        </w:rPr>
        <w:t xml:space="preserve"> rasponi su orijentacioni, grupisani po tipu subjekta i veličini. Manji završni iznosi (donji raspon) odnose se na jednostavnije korisnike ili mala preduzeća s manjim brojem ugovora; gornji raspon na veće institucije ili administratore kritičnih benchmarka.</w:t>
      </w:r>
    </w:p>
    <w:p w14:paraId="62C83077" w14:textId="7F9A172D" w:rsidR="007B015B" w:rsidRPr="007B015B" w:rsidRDefault="007B015B">
      <w:pPr>
        <w:pStyle w:val="FootnoteText"/>
        <w:rPr>
          <w:lang w:val="sr-Latn-ME"/>
        </w:rPr>
      </w:pPr>
    </w:p>
  </w:footnote>
  <w:footnote w:id="3">
    <w:p w14:paraId="65756F83" w14:textId="14612CD8" w:rsidR="00B303FD" w:rsidRPr="00B303FD" w:rsidRDefault="00B303FD" w:rsidP="00B303FD">
      <w:pPr>
        <w:pStyle w:val="Defaul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303FD">
          <w:rPr>
            <w:rStyle w:val="Hyperlink"/>
            <w:rFonts w:ascii="Arial" w:hAnsi="Arial" w:cs="Arial"/>
            <w:sz w:val="20"/>
            <w:szCs w:val="20"/>
          </w:rPr>
          <w:t>final-re</w:t>
        </w:r>
        <w:r w:rsidRPr="00B303FD">
          <w:rPr>
            <w:rStyle w:val="Hyperlink"/>
            <w:rFonts w:ascii="Arial" w:hAnsi="Arial" w:cs="Arial"/>
            <w:sz w:val="20"/>
            <w:szCs w:val="20"/>
          </w:rPr>
          <w:t>p</w:t>
        </w:r>
        <w:r w:rsidRPr="00B303FD">
          <w:rPr>
            <w:rStyle w:val="Hyperlink"/>
            <w:rFonts w:ascii="Arial" w:hAnsi="Arial" w:cs="Arial"/>
            <w:sz w:val="20"/>
            <w:szCs w:val="20"/>
          </w:rPr>
          <w:t>ort_en.pdf</w:t>
        </w:r>
      </w:hyperlink>
      <w:r w:rsidRPr="00B303FD">
        <w:rPr>
          <w:rFonts w:ascii="Arial" w:hAnsi="Arial" w:cs="Arial"/>
          <w:sz w:val="20"/>
          <w:szCs w:val="20"/>
        </w:rPr>
        <w:t xml:space="preserve"> </w:t>
      </w:r>
      <w:r w:rsidRPr="00B303FD">
        <w:rPr>
          <w:rFonts w:ascii="Arial" w:hAnsi="Arial" w:cs="Arial"/>
          <w:sz w:val="20"/>
          <w:szCs w:val="20"/>
        </w:rPr>
        <w:t xml:space="preserve"> </w:t>
      </w:r>
      <w:r w:rsidRPr="00B303FD">
        <w:rPr>
          <w:rFonts w:ascii="Arial" w:hAnsi="Arial" w:cs="Arial"/>
          <w:b/>
          <w:bCs/>
          <w:sz w:val="20"/>
          <w:szCs w:val="20"/>
        </w:rPr>
        <w:t>Cost of the Cumulative Effects of Compliance with EU Law for SMEs</w:t>
      </w:r>
    </w:p>
  </w:footnote>
  <w:footnote w:id="4">
    <w:p w14:paraId="77B50F82" w14:textId="4DBF3123" w:rsidR="00B303FD" w:rsidRPr="00B303FD" w:rsidRDefault="00B303FD">
      <w:pPr>
        <w:pStyle w:val="FootnoteText"/>
        <w:rPr>
          <w:lang w:val="sr-Latn-ME"/>
        </w:rPr>
      </w:pPr>
      <w:r w:rsidRPr="00B303FD">
        <w:rPr>
          <w:rStyle w:val="FootnoteReference"/>
          <w:rFonts w:ascii="Arial" w:hAnsi="Arial" w:cs="Arial"/>
        </w:rPr>
        <w:footnoteRef/>
      </w:r>
      <w:r w:rsidRPr="00B303FD">
        <w:rPr>
          <w:rFonts w:ascii="Arial" w:hAnsi="Arial" w:cs="Arial"/>
        </w:rPr>
        <w:t xml:space="preserve"> </w:t>
      </w:r>
      <w:r w:rsidRPr="00B303FD">
        <w:rPr>
          <w:rFonts w:ascii="Arial" w:hAnsi="Arial" w:cs="Arial"/>
        </w:rPr>
        <w:t>Final Report ESMA’s technical advice to the Commission on fees for benchmark administrators under BMR</w:t>
      </w:r>
    </w:p>
  </w:footnote>
  <w:footnote w:id="5">
    <w:p w14:paraId="16CDE37E" w14:textId="70D1FD02" w:rsidR="008603DC" w:rsidRDefault="008603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153BD6">
          <w:rPr>
            <w:rStyle w:val="Hyperlink"/>
          </w:rPr>
          <w:t>https://www.deloitte.com/us/en/s</w:t>
        </w:r>
        <w:r w:rsidRPr="00153BD6">
          <w:rPr>
            <w:rStyle w:val="Hyperlink"/>
          </w:rPr>
          <w:t>e</w:t>
        </w:r>
        <w:r w:rsidRPr="00153BD6">
          <w:rPr>
            <w:rStyle w:val="Hyperlink"/>
          </w:rPr>
          <w:t>rvices/consulting/articles/cost-of-compliance-regulatory-productivity.html</w:t>
        </w:r>
      </w:hyperlink>
    </w:p>
    <w:p w14:paraId="057DA2B7" w14:textId="77777777" w:rsidR="008603DC" w:rsidRPr="008603DC" w:rsidRDefault="008603DC">
      <w:pPr>
        <w:pStyle w:val="FootnoteText"/>
        <w:rPr>
          <w:lang w:val="sr-Latn-ME"/>
        </w:rPr>
      </w:pPr>
    </w:p>
  </w:footnote>
  <w:footnote w:id="6">
    <w:p w14:paraId="0F8658E2" w14:textId="63E5DD76" w:rsidR="008603DC" w:rsidRPr="008603DC" w:rsidRDefault="008603D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153BD6">
          <w:rPr>
            <w:rStyle w:val="Hyperlink"/>
          </w:rPr>
          <w:t>https://www.esma.europa.eu/sites/default/files/library/esma81-393-83_final_report_bmr_advice_fees.pdf</w:t>
        </w:r>
      </w:hyperlink>
    </w:p>
  </w:footnote>
  <w:footnote w:id="7">
    <w:p w14:paraId="0AC09B40" w14:textId="3CB1F419" w:rsidR="008603DC" w:rsidRPr="008603DC" w:rsidRDefault="008603D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="00471515" w:rsidRPr="00153BD6">
          <w:rPr>
            <w:rStyle w:val="Hyperlink"/>
            <w:lang w:val="sr-Latn-ME"/>
          </w:rPr>
          <w:t>https://www.oecd.org/content/dam/oecd/en/publications/reports/2014/04/oecd-regulatory-compliance-cost-assessment-guidance_g1g400de/9789264209657-en.pdf</w:t>
        </w:r>
      </w:hyperlink>
    </w:p>
  </w:footnote>
  <w:footnote w:id="8">
    <w:p w14:paraId="7B82B9CB" w14:textId="14845C24" w:rsidR="00471515" w:rsidRDefault="004715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153BD6">
          <w:rPr>
            <w:rStyle w:val="Hyperlink"/>
          </w:rPr>
          <w:t>https://www.esma.europa.eu/sites/default/files/library/esma81-393-83_final_report_bmr_advice_fees.pdf</w:t>
        </w:r>
      </w:hyperlink>
    </w:p>
    <w:p w14:paraId="78F21A71" w14:textId="77777777" w:rsidR="00471515" w:rsidRPr="00471515" w:rsidRDefault="00471515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27DD" w14:textId="77777777" w:rsidR="009858B1" w:rsidRDefault="00F63B8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6907F844" wp14:editId="71CC36D8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34724" w14:textId="77777777" w:rsidR="009858B1" w:rsidRPr="00785639" w:rsidRDefault="009858B1" w:rsidP="007856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7F8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18pt;width:20pt;height:18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" o:allowincell="f" stroked="f">
              <v:textbox style="mso-fit-shape-to-text:t">
                <w:txbxContent>
                  <w:p w14:paraId="04834724" w14:textId="77777777" w:rsidR="009858B1" w:rsidRPr="00785639" w:rsidRDefault="009858B1" w:rsidP="0078563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320F" w14:textId="77777777" w:rsidR="009858B1" w:rsidRDefault="00F63B8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260FD1F" wp14:editId="1DDB6375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D278A" w14:textId="77777777" w:rsidR="009858B1" w:rsidRPr="00785639" w:rsidRDefault="009858B1" w:rsidP="006C4F23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0FD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1.2pt;margin-top:18pt;width:20pt;height:18.7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" o:allowincell="f" stroked="f">
              <v:textbox style="mso-fit-shape-to-text:t">
                <w:txbxContent>
                  <w:p w14:paraId="0DBD278A" w14:textId="77777777" w:rsidR="009858B1" w:rsidRPr="00785639" w:rsidRDefault="009858B1" w:rsidP="006C4F23">
                    <w:pP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BD1"/>
    <w:multiLevelType w:val="multilevel"/>
    <w:tmpl w:val="33E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22FD3"/>
    <w:multiLevelType w:val="hybridMultilevel"/>
    <w:tmpl w:val="C7C09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33D4C"/>
    <w:multiLevelType w:val="multilevel"/>
    <w:tmpl w:val="B22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16053"/>
    <w:multiLevelType w:val="multilevel"/>
    <w:tmpl w:val="3A3E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85588"/>
    <w:multiLevelType w:val="multilevel"/>
    <w:tmpl w:val="1D8A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86BA8"/>
    <w:multiLevelType w:val="hybridMultilevel"/>
    <w:tmpl w:val="AC105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E2D8D"/>
    <w:multiLevelType w:val="multilevel"/>
    <w:tmpl w:val="8090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F65EF"/>
    <w:multiLevelType w:val="hybridMultilevel"/>
    <w:tmpl w:val="C21E9B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0925B1F"/>
    <w:multiLevelType w:val="multilevel"/>
    <w:tmpl w:val="0AE0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0D5BB4"/>
    <w:multiLevelType w:val="multilevel"/>
    <w:tmpl w:val="96A8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CD3D9B"/>
    <w:multiLevelType w:val="multilevel"/>
    <w:tmpl w:val="226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6437E"/>
    <w:multiLevelType w:val="hybridMultilevel"/>
    <w:tmpl w:val="03F64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6555A"/>
    <w:multiLevelType w:val="hybridMultilevel"/>
    <w:tmpl w:val="6502931A"/>
    <w:lvl w:ilvl="0" w:tplc="3822B8E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C44B17"/>
    <w:multiLevelType w:val="hybridMultilevel"/>
    <w:tmpl w:val="CFACA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52A13"/>
    <w:multiLevelType w:val="multilevel"/>
    <w:tmpl w:val="CD64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4E57F3"/>
    <w:multiLevelType w:val="multilevel"/>
    <w:tmpl w:val="C07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7F264A"/>
    <w:multiLevelType w:val="hybridMultilevel"/>
    <w:tmpl w:val="33B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31E0F"/>
    <w:multiLevelType w:val="multilevel"/>
    <w:tmpl w:val="B58E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BF6773"/>
    <w:multiLevelType w:val="multilevel"/>
    <w:tmpl w:val="EE84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3B1271"/>
    <w:multiLevelType w:val="multilevel"/>
    <w:tmpl w:val="3C00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794130"/>
    <w:multiLevelType w:val="hybridMultilevel"/>
    <w:tmpl w:val="2740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30389"/>
    <w:multiLevelType w:val="multilevel"/>
    <w:tmpl w:val="80F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8B1FF7"/>
    <w:multiLevelType w:val="multilevel"/>
    <w:tmpl w:val="D95A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9D7F5D"/>
    <w:multiLevelType w:val="hybridMultilevel"/>
    <w:tmpl w:val="DFBE0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52E88"/>
    <w:multiLevelType w:val="multilevel"/>
    <w:tmpl w:val="8B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BD2A86"/>
    <w:multiLevelType w:val="multilevel"/>
    <w:tmpl w:val="3BDA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4A3AB6"/>
    <w:multiLevelType w:val="multilevel"/>
    <w:tmpl w:val="52E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133CCD"/>
    <w:multiLevelType w:val="multilevel"/>
    <w:tmpl w:val="7A3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190D07"/>
    <w:multiLevelType w:val="hybridMultilevel"/>
    <w:tmpl w:val="D1A07E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8C61D5"/>
    <w:multiLevelType w:val="multilevel"/>
    <w:tmpl w:val="C94C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86A86"/>
    <w:multiLevelType w:val="multilevel"/>
    <w:tmpl w:val="E0EA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A5485A"/>
    <w:multiLevelType w:val="multilevel"/>
    <w:tmpl w:val="E3A2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8E59BC"/>
    <w:multiLevelType w:val="multilevel"/>
    <w:tmpl w:val="7922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1B1508"/>
    <w:multiLevelType w:val="multilevel"/>
    <w:tmpl w:val="014A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8F3BFF"/>
    <w:multiLevelType w:val="multilevel"/>
    <w:tmpl w:val="EAFA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8E0626"/>
    <w:multiLevelType w:val="hybridMultilevel"/>
    <w:tmpl w:val="18027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4D546630"/>
    <w:multiLevelType w:val="multilevel"/>
    <w:tmpl w:val="FC5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BC3F0D"/>
    <w:multiLevelType w:val="multilevel"/>
    <w:tmpl w:val="1284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303CAF"/>
    <w:multiLevelType w:val="multilevel"/>
    <w:tmpl w:val="9400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767268"/>
    <w:multiLevelType w:val="hybridMultilevel"/>
    <w:tmpl w:val="A1C0E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7F4688"/>
    <w:multiLevelType w:val="multilevel"/>
    <w:tmpl w:val="17B4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9F2D56"/>
    <w:multiLevelType w:val="multilevel"/>
    <w:tmpl w:val="D3AC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D416B4"/>
    <w:multiLevelType w:val="multilevel"/>
    <w:tmpl w:val="5FDE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664386"/>
    <w:multiLevelType w:val="multilevel"/>
    <w:tmpl w:val="469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755025"/>
    <w:multiLevelType w:val="hybridMultilevel"/>
    <w:tmpl w:val="CE181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04045F"/>
    <w:multiLevelType w:val="multilevel"/>
    <w:tmpl w:val="9B3E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5C0075"/>
    <w:multiLevelType w:val="multilevel"/>
    <w:tmpl w:val="85F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01343D"/>
    <w:multiLevelType w:val="multilevel"/>
    <w:tmpl w:val="7206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1F007D"/>
    <w:multiLevelType w:val="multilevel"/>
    <w:tmpl w:val="C00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951374"/>
    <w:multiLevelType w:val="multilevel"/>
    <w:tmpl w:val="FE12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5831AB"/>
    <w:multiLevelType w:val="multilevel"/>
    <w:tmpl w:val="528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75389A"/>
    <w:multiLevelType w:val="multilevel"/>
    <w:tmpl w:val="416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677F6A"/>
    <w:multiLevelType w:val="multilevel"/>
    <w:tmpl w:val="D3B0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917FDF"/>
    <w:multiLevelType w:val="hybridMultilevel"/>
    <w:tmpl w:val="B0AE9E8E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566B48"/>
    <w:multiLevelType w:val="multilevel"/>
    <w:tmpl w:val="D99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A45EF0"/>
    <w:multiLevelType w:val="multilevel"/>
    <w:tmpl w:val="B8E0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384270">
    <w:abstractNumId w:val="36"/>
  </w:num>
  <w:num w:numId="2" w16cid:durableId="1633823492">
    <w:abstractNumId w:val="16"/>
  </w:num>
  <w:num w:numId="3" w16cid:durableId="859659218">
    <w:abstractNumId w:val="54"/>
  </w:num>
  <w:num w:numId="4" w16cid:durableId="450326861">
    <w:abstractNumId w:val="12"/>
  </w:num>
  <w:num w:numId="5" w16cid:durableId="442381744">
    <w:abstractNumId w:val="13"/>
  </w:num>
  <w:num w:numId="6" w16cid:durableId="2105421605">
    <w:abstractNumId w:val="45"/>
  </w:num>
  <w:num w:numId="7" w16cid:durableId="785319344">
    <w:abstractNumId w:val="1"/>
  </w:num>
  <w:num w:numId="8" w16cid:durableId="667907241">
    <w:abstractNumId w:val="40"/>
  </w:num>
  <w:num w:numId="9" w16cid:durableId="1832405942">
    <w:abstractNumId w:val="28"/>
  </w:num>
  <w:num w:numId="10" w16cid:durableId="2117749536">
    <w:abstractNumId w:val="35"/>
  </w:num>
  <w:num w:numId="11" w16cid:durableId="1045640524">
    <w:abstractNumId w:val="11"/>
  </w:num>
  <w:num w:numId="12" w16cid:durableId="1629968387">
    <w:abstractNumId w:val="23"/>
  </w:num>
  <w:num w:numId="13" w16cid:durableId="612056922">
    <w:abstractNumId w:val="48"/>
  </w:num>
  <w:num w:numId="14" w16cid:durableId="2086683025">
    <w:abstractNumId w:val="52"/>
  </w:num>
  <w:num w:numId="15" w16cid:durableId="903221043">
    <w:abstractNumId w:val="22"/>
  </w:num>
  <w:num w:numId="16" w16cid:durableId="1063873425">
    <w:abstractNumId w:val="39"/>
  </w:num>
  <w:num w:numId="17" w16cid:durableId="433063542">
    <w:abstractNumId w:val="42"/>
  </w:num>
  <w:num w:numId="18" w16cid:durableId="937058576">
    <w:abstractNumId w:val="38"/>
  </w:num>
  <w:num w:numId="19" w16cid:durableId="1325745070">
    <w:abstractNumId w:val="6"/>
  </w:num>
  <w:num w:numId="20" w16cid:durableId="468789964">
    <w:abstractNumId w:val="10"/>
  </w:num>
  <w:num w:numId="21" w16cid:durableId="272367997">
    <w:abstractNumId w:val="43"/>
  </w:num>
  <w:num w:numId="22" w16cid:durableId="1910143930">
    <w:abstractNumId w:val="8"/>
  </w:num>
  <w:num w:numId="23" w16cid:durableId="1554341082">
    <w:abstractNumId w:val="46"/>
  </w:num>
  <w:num w:numId="24" w16cid:durableId="513810295">
    <w:abstractNumId w:val="51"/>
  </w:num>
  <w:num w:numId="25" w16cid:durableId="453987421">
    <w:abstractNumId w:val="5"/>
  </w:num>
  <w:num w:numId="26" w16cid:durableId="26030174">
    <w:abstractNumId w:val="17"/>
  </w:num>
  <w:num w:numId="27" w16cid:durableId="742801853">
    <w:abstractNumId w:val="14"/>
  </w:num>
  <w:num w:numId="28" w16cid:durableId="541285326">
    <w:abstractNumId w:val="55"/>
  </w:num>
  <w:num w:numId="29" w16cid:durableId="372849763">
    <w:abstractNumId w:val="26"/>
  </w:num>
  <w:num w:numId="30" w16cid:durableId="42608793">
    <w:abstractNumId w:val="9"/>
  </w:num>
  <w:num w:numId="31" w16cid:durableId="1991666172">
    <w:abstractNumId w:val="2"/>
  </w:num>
  <w:num w:numId="32" w16cid:durableId="233786196">
    <w:abstractNumId w:val="41"/>
  </w:num>
  <w:num w:numId="33" w16cid:durableId="24454979">
    <w:abstractNumId w:val="21"/>
  </w:num>
  <w:num w:numId="34" w16cid:durableId="424882156">
    <w:abstractNumId w:val="19"/>
  </w:num>
  <w:num w:numId="35" w16cid:durableId="981546205">
    <w:abstractNumId w:val="53"/>
  </w:num>
  <w:num w:numId="36" w16cid:durableId="1065447729">
    <w:abstractNumId w:val="30"/>
  </w:num>
  <w:num w:numId="37" w16cid:durableId="1295016396">
    <w:abstractNumId w:val="56"/>
  </w:num>
  <w:num w:numId="38" w16cid:durableId="1496218361">
    <w:abstractNumId w:val="31"/>
  </w:num>
  <w:num w:numId="39" w16cid:durableId="1154760058">
    <w:abstractNumId w:val="33"/>
  </w:num>
  <w:num w:numId="40" w16cid:durableId="268047043">
    <w:abstractNumId w:val="44"/>
  </w:num>
  <w:num w:numId="41" w16cid:durableId="1042485274">
    <w:abstractNumId w:val="32"/>
  </w:num>
  <w:num w:numId="42" w16cid:durableId="1591700252">
    <w:abstractNumId w:val="37"/>
  </w:num>
  <w:num w:numId="43" w16cid:durableId="1349915117">
    <w:abstractNumId w:val="15"/>
  </w:num>
  <w:num w:numId="44" w16cid:durableId="29574462">
    <w:abstractNumId w:val="29"/>
  </w:num>
  <w:num w:numId="45" w16cid:durableId="1238781728">
    <w:abstractNumId w:val="18"/>
  </w:num>
  <w:num w:numId="46" w16cid:durableId="1729257138">
    <w:abstractNumId w:val="7"/>
  </w:num>
  <w:num w:numId="47" w16cid:durableId="1158568960">
    <w:abstractNumId w:val="20"/>
  </w:num>
  <w:num w:numId="48" w16cid:durableId="1734306953">
    <w:abstractNumId w:val="3"/>
  </w:num>
  <w:num w:numId="49" w16cid:durableId="1232040759">
    <w:abstractNumId w:val="0"/>
  </w:num>
  <w:num w:numId="50" w16cid:durableId="1188176406">
    <w:abstractNumId w:val="47"/>
  </w:num>
  <w:num w:numId="51" w16cid:durableId="459302304">
    <w:abstractNumId w:val="49"/>
  </w:num>
  <w:num w:numId="52" w16cid:durableId="1009479438">
    <w:abstractNumId w:val="4"/>
  </w:num>
  <w:num w:numId="53" w16cid:durableId="858810132">
    <w:abstractNumId w:val="25"/>
  </w:num>
  <w:num w:numId="54" w16cid:durableId="919095933">
    <w:abstractNumId w:val="24"/>
  </w:num>
  <w:num w:numId="55" w16cid:durableId="1035349419">
    <w:abstractNumId w:val="50"/>
  </w:num>
  <w:num w:numId="56" w16cid:durableId="2031056681">
    <w:abstractNumId w:val="27"/>
  </w:num>
  <w:num w:numId="57" w16cid:durableId="13424401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2F"/>
    <w:rsid w:val="00050305"/>
    <w:rsid w:val="00050E36"/>
    <w:rsid w:val="000540CD"/>
    <w:rsid w:val="000C0A31"/>
    <w:rsid w:val="000D4032"/>
    <w:rsid w:val="00110C35"/>
    <w:rsid w:val="0013545C"/>
    <w:rsid w:val="0014404A"/>
    <w:rsid w:val="0014548C"/>
    <w:rsid w:val="00180905"/>
    <w:rsid w:val="001916AE"/>
    <w:rsid w:val="001A6D8F"/>
    <w:rsid w:val="001C4B83"/>
    <w:rsid w:val="00202E9E"/>
    <w:rsid w:val="0020446F"/>
    <w:rsid w:val="00215163"/>
    <w:rsid w:val="002E1240"/>
    <w:rsid w:val="002F2543"/>
    <w:rsid w:val="00356A18"/>
    <w:rsid w:val="0039265C"/>
    <w:rsid w:val="0039678C"/>
    <w:rsid w:val="003C67B3"/>
    <w:rsid w:val="00471515"/>
    <w:rsid w:val="0049408D"/>
    <w:rsid w:val="00494D35"/>
    <w:rsid w:val="004A5AAF"/>
    <w:rsid w:val="004A69DB"/>
    <w:rsid w:val="00552C20"/>
    <w:rsid w:val="0056733B"/>
    <w:rsid w:val="0056757B"/>
    <w:rsid w:val="005939D2"/>
    <w:rsid w:val="005B0CF3"/>
    <w:rsid w:val="005B3844"/>
    <w:rsid w:val="0064132F"/>
    <w:rsid w:val="0065725D"/>
    <w:rsid w:val="006C7477"/>
    <w:rsid w:val="006E7140"/>
    <w:rsid w:val="006F0D24"/>
    <w:rsid w:val="006F2D40"/>
    <w:rsid w:val="007327A6"/>
    <w:rsid w:val="00753ADC"/>
    <w:rsid w:val="007B015B"/>
    <w:rsid w:val="007C1128"/>
    <w:rsid w:val="007E2D0F"/>
    <w:rsid w:val="007E562E"/>
    <w:rsid w:val="00831371"/>
    <w:rsid w:val="008332F7"/>
    <w:rsid w:val="0084710C"/>
    <w:rsid w:val="008603DC"/>
    <w:rsid w:val="008A4FB8"/>
    <w:rsid w:val="008E61D3"/>
    <w:rsid w:val="009307FF"/>
    <w:rsid w:val="00950FD0"/>
    <w:rsid w:val="00956289"/>
    <w:rsid w:val="0098160A"/>
    <w:rsid w:val="009858B1"/>
    <w:rsid w:val="009B21E7"/>
    <w:rsid w:val="00A23182"/>
    <w:rsid w:val="00A45F37"/>
    <w:rsid w:val="00A8430B"/>
    <w:rsid w:val="00B146E8"/>
    <w:rsid w:val="00B303FD"/>
    <w:rsid w:val="00B82A69"/>
    <w:rsid w:val="00B97114"/>
    <w:rsid w:val="00BB6080"/>
    <w:rsid w:val="00BC11A9"/>
    <w:rsid w:val="00BD64E3"/>
    <w:rsid w:val="00BE12BE"/>
    <w:rsid w:val="00BF60A4"/>
    <w:rsid w:val="00C04528"/>
    <w:rsid w:val="00CC3316"/>
    <w:rsid w:val="00D12609"/>
    <w:rsid w:val="00DA4726"/>
    <w:rsid w:val="00DD742F"/>
    <w:rsid w:val="00E1005D"/>
    <w:rsid w:val="00E30175"/>
    <w:rsid w:val="00E53E59"/>
    <w:rsid w:val="00E63CC1"/>
    <w:rsid w:val="00E64E57"/>
    <w:rsid w:val="00E67640"/>
    <w:rsid w:val="00E76CF1"/>
    <w:rsid w:val="00E95FE4"/>
    <w:rsid w:val="00E973DA"/>
    <w:rsid w:val="00F529D8"/>
    <w:rsid w:val="00F57102"/>
    <w:rsid w:val="00F63B89"/>
    <w:rsid w:val="00F9091E"/>
    <w:rsid w:val="00FB16CE"/>
    <w:rsid w:val="00FC1F82"/>
    <w:rsid w:val="00FC6403"/>
    <w:rsid w:val="00FC6B9C"/>
    <w:rsid w:val="00FE13BF"/>
    <w:rsid w:val="00FE3A3F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3DC62"/>
  <w15:chartTrackingRefBased/>
  <w15:docId w15:val="{052E7C45-1D91-41CD-A5CE-1F57721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3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r-Latn-ME" w:eastAsia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C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B89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63B89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63B89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63B89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97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Strong">
    <w:name w:val="Strong"/>
    <w:basedOn w:val="DefaultParagraphFont"/>
    <w:uiPriority w:val="22"/>
    <w:qFormat/>
    <w:rsid w:val="00A2318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23182"/>
    <w:rPr>
      <w:rFonts w:ascii="Times New Roman" w:eastAsia="Times New Roman" w:hAnsi="Times New Roman" w:cs="Times New Roman"/>
      <w:b/>
      <w:bCs/>
      <w:sz w:val="27"/>
      <w:szCs w:val="27"/>
      <w:lang w:val="sr-Latn-ME" w:eastAsia="sr-Latn-M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B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8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E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0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1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15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1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3FD"/>
    <w:rPr>
      <w:color w:val="954F72" w:themeColor="followedHyperlink"/>
      <w:u w:val="single"/>
    </w:rPr>
  </w:style>
  <w:style w:type="paragraph" w:customStyle="1" w:styleId="Default">
    <w:name w:val="Default"/>
    <w:rsid w:val="00B303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86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eloitte.com/us/en/services/consulting/articles/cost-of-compliance-regulatory-productivity.html" TargetMode="External"/><Relationship Id="rId2" Type="http://schemas.openxmlformats.org/officeDocument/2006/relationships/hyperlink" Target="file:///E:\ILDA\Downloads\final-report_en.pdf" TargetMode="External"/><Relationship Id="rId1" Type="http://schemas.openxmlformats.org/officeDocument/2006/relationships/hyperlink" Target="https://www.oecd.org/en/publications/oecd-regulatory-compliance-cost-assessment-guidance_9789264209657-en.html" TargetMode="External"/><Relationship Id="rId6" Type="http://schemas.openxmlformats.org/officeDocument/2006/relationships/hyperlink" Target="https://www.esma.europa.eu/sites/default/files/library/esma81-393-83_final_report_bmr_advice_fees.pdf" TargetMode="External"/><Relationship Id="rId5" Type="http://schemas.openxmlformats.org/officeDocument/2006/relationships/hyperlink" Target="https://www.oecd.org/content/dam/oecd/en/publications/reports/2014/04/oecd-regulatory-compliance-cost-assessment-guidance_g1g400de/9789264209657-en.pdf" TargetMode="External"/><Relationship Id="rId4" Type="http://schemas.openxmlformats.org/officeDocument/2006/relationships/hyperlink" Target="https://www.esma.europa.eu/sites/default/files/library/esma81-393-83_final_report_bmr_advice_fe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1917-4647-428E-B652-F90E10F4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 Sabovic</dc:creator>
  <cp:keywords/>
  <dc:description/>
  <cp:lastModifiedBy>Ilda Sabovic</cp:lastModifiedBy>
  <cp:revision>5</cp:revision>
  <dcterms:created xsi:type="dcterms:W3CDTF">2025-11-19T13:21:00Z</dcterms:created>
  <dcterms:modified xsi:type="dcterms:W3CDTF">2025-11-19T13:34:00Z</dcterms:modified>
</cp:coreProperties>
</file>