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5043" w14:textId="19546ABF" w:rsidR="009857B8" w:rsidRPr="00A60E30" w:rsidRDefault="00943516" w:rsidP="00BE3E4A">
      <w:pPr>
        <w:pStyle w:val="Title"/>
        <w:tabs>
          <w:tab w:val="left" w:pos="7576"/>
        </w:tabs>
        <w:spacing w:after="120"/>
        <w:rPr>
          <w:rFonts w:asciiTheme="minorHAnsi" w:hAnsiTheme="minorHAnsi" w:cstheme="minorHAnsi"/>
          <w:szCs w:val="28"/>
        </w:rPr>
      </w:pPr>
      <w:r w:rsidRPr="00A60E30">
        <w:rPr>
          <w:rFonts w:asciiTheme="minorHAnsi" w:hAnsiTheme="minorHAnsi" w:cstheme="minorHAnsi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41A3B2" wp14:editId="51173171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1971675" cy="6953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49D56" w14:textId="3D654FF3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Rimski trg 46</w:t>
                            </w:r>
                          </w:p>
                          <w:p w14:paraId="4594D691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79F848D9" w14:textId="29E3DBF8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93E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310</w:t>
                            </w:r>
                          </w:p>
                          <w:p w14:paraId="01B96EB3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1A3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05pt;margin-top:-.4pt;width:155.25pt;height:5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T1IQIAAB0EAAAOAAAAZHJzL2Uyb0RvYy54bWysU9tu2zAMfR+wfxD0vjj2cmmMOEWXLsOA&#10;7gK0+wBZlmNhkqhJSuzs60fJaZptb8P0IJAieUgeUuvbQStyFM5LMBXNJ1NKhOHQSLOv6Len3Zsb&#10;SnxgpmEKjKjoSXh6u3n9at3bUhTQgWqEIwhifNnbinYh2DLLPO+EZn4CVhg0tuA0C6i6fdY41iO6&#10;VlkxnS6yHlxjHXDhPb7ej0a6SfhtK3j40rZeBKIqirWFdLt01/HONmtW7h2zneTnMtg/VKGZNJj0&#10;AnXPAiMHJ/+C0pI78NCGCQedQdtKLlIP2E0+/aObx45ZkXpBcry90OT/Hyz/fPzqiGwqWuRLSgzT&#10;OKQnMQTyDgZSRH5660t0e7ToGAZ8xjmnXr19AP7dEwPbjpm9uHMO+k6wBuvLY2R2FTri+AhS95+g&#10;wTTsECABDa3TkTykgyA6zul0mU0shceUq2W+WM4p4WhbrOZvi3lKwcrnaOt8+CBAkyhU1OHsEzo7&#10;PvgQq2Hls0tM5kHJZieVSorb11vlyJHhnuzSOaP/5qYM6Su6mmPuGGUgxqcV0jLgHiupK3ozjSeG&#10;szKy8d40SQ5MqlHGSpQ50xMZGbkJQz2gY+SshuaERDkY9xX/FwoduJ+U9LirFfU/DswJStRHg2Sv&#10;8tksLndSZvNlgYq7ttTXFmY4QlU0UDKK25A+xNjRHQ6llYmvl0rOteIOJhrP/yUu+bWevF5+9eYX&#10;AAAA//8DAFBLAwQUAAYACAAAACEADoZFWtoAAAAGAQAADwAAAGRycy9kb3ducmV2LnhtbEyPwU7D&#10;MBBE70j8g7VIXBB1CrQpIU4FSEVcW/oBm3ibRMTrKHab9O/ZnspxNKOZN/l6cp060RBazwbmswQU&#10;ceVty7WB/c/mcQUqRGSLnWcycKYA6+L2JsfM+pG3dNrFWkkJhwwNNDH2mdahashhmPmeWLyDHxxG&#10;kUOt7YCjlLtOPyXJUjtsWRYa7Omzoep3d3QGDt/jw+J1LL/iPt2+LD+wTUt/Nub+bnp/AxVpitcw&#10;XPAFHQphKv2RbVCdATkSDVzwxXyeJwtQpaSSVQq6yPV//OIPAAD//wMAUEsBAi0AFAAGAAgAAAAh&#10;ALaDOJL+AAAA4QEAABMAAAAAAAAAAAAAAAAAAAAAAFtDb250ZW50X1R5cGVzXS54bWxQSwECLQAU&#10;AAYACAAAACEAOP0h/9YAAACUAQAACwAAAAAAAAAAAAAAAAAvAQAAX3JlbHMvLnJlbHNQSwECLQAU&#10;AAYACAAAACEAxlA09SECAAAdBAAADgAAAAAAAAAAAAAAAAAuAgAAZHJzL2Uyb0RvYy54bWxQSwEC&#10;LQAUAAYACAAAACEADoZFWtoAAAAGAQAADwAAAAAAAAAAAAAAAAB7BAAAZHJzL2Rvd25yZXYueG1s&#10;UEsFBgAAAAAEAAQA8wAAAIIFAAAAAA==&#10;" stroked="f">
                <v:textbox>
                  <w:txbxContent>
                    <w:p w14:paraId="47849D56" w14:textId="3D654FF3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Rimski trg 46</w:t>
                      </w:r>
                    </w:p>
                    <w:p w14:paraId="4594D691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79F848D9" w14:textId="29E3DBF8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93E91">
                        <w:rPr>
                          <w:rFonts w:ascii="Arial" w:hAnsi="Arial" w:cs="Arial"/>
                          <w:sz w:val="20"/>
                          <w:szCs w:val="20"/>
                        </w:rPr>
                        <w:t>310</w:t>
                      </w:r>
                    </w:p>
                    <w:p w14:paraId="01B96EB3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068" w:rsidRPr="00A60E30">
        <w:rPr>
          <w:rFonts w:asciiTheme="minorHAnsi" w:hAnsiTheme="minorHAnsi" w:cstheme="minorHAnsi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E89A9" wp14:editId="4B63E545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6ED62B6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60E30">
        <w:rPr>
          <w:rFonts w:asciiTheme="minorHAnsi" w:hAnsiTheme="minorHAnsi" w:cstheme="minorHAnsi"/>
          <w:szCs w:val="28"/>
        </w:rPr>
        <w:drawing>
          <wp:anchor distT="0" distB="0" distL="114300" distR="114300" simplePos="0" relativeHeight="251660288" behindDoc="0" locked="0" layoutInCell="1" allowOverlap="1" wp14:anchorId="525F6FD7" wp14:editId="32527AE6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89E">
        <w:rPr>
          <w:rFonts w:asciiTheme="minorHAnsi" w:hAnsiTheme="minorHAnsi" w:cstheme="minorHAnsi"/>
          <w:szCs w:val="28"/>
        </w:rPr>
        <w:t>M</w:t>
      </w:r>
      <w:r w:rsidR="000B09C0">
        <w:rPr>
          <w:rFonts w:asciiTheme="minorHAnsi" w:hAnsiTheme="minorHAnsi" w:cstheme="minorHAnsi"/>
          <w:szCs w:val="28"/>
        </w:rPr>
        <w:t>ontenegro</w:t>
      </w:r>
    </w:p>
    <w:p w14:paraId="65EE4CF3" w14:textId="4B120A31" w:rsidR="000607FD" w:rsidRPr="00A60E30" w:rsidRDefault="00B7189E" w:rsidP="004D0068">
      <w:pPr>
        <w:pStyle w:val="Title"/>
        <w:tabs>
          <w:tab w:val="center" w:pos="5102"/>
        </w:tabs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Ministry of Economic Development</w:t>
      </w:r>
    </w:p>
    <w:p w14:paraId="00BD3E3B" w14:textId="77777777" w:rsidR="00A60E30" w:rsidRPr="00A60E30" w:rsidRDefault="00A60E30" w:rsidP="00A60E30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7708FC14" w14:textId="77777777" w:rsidR="00A60E30" w:rsidRPr="00A60E30" w:rsidRDefault="00A60E30" w:rsidP="00A60E30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2EBB7046" w14:textId="77777777" w:rsidR="00A60E30" w:rsidRPr="00A60E30" w:rsidRDefault="00A60E30" w:rsidP="00A60E30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67CEE6BF" w14:textId="77777777" w:rsidR="00A60E30" w:rsidRPr="00A60E30" w:rsidRDefault="00A60E30" w:rsidP="00A60E30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0523A4C2" w14:textId="72F737EB" w:rsidR="00A60E30" w:rsidRPr="00A60E30" w:rsidRDefault="00A60E30" w:rsidP="00A60E30">
      <w:pPr>
        <w:pStyle w:val="NoSpacing"/>
        <w:jc w:val="center"/>
        <w:rPr>
          <w:rFonts w:asciiTheme="minorHAnsi" w:hAnsiTheme="minorHAnsi" w:cstheme="minorHAnsi"/>
          <w:b/>
        </w:rPr>
      </w:pPr>
      <w:bookmarkStart w:id="0" w:name="_GoBack"/>
      <w:r w:rsidRPr="00A60E30">
        <w:rPr>
          <w:rFonts w:asciiTheme="minorHAnsi" w:hAnsiTheme="minorHAnsi" w:cstheme="minorHAnsi"/>
          <w:b/>
        </w:rPr>
        <w:t xml:space="preserve">PUBLIC INVITATION TO DOMESTIC AND INTERNATIONAL LAW FIRMS TO SUBMIT BIDS FOR ADVOCACY OF </w:t>
      </w:r>
      <w:r w:rsidR="007707F8">
        <w:rPr>
          <w:rFonts w:asciiTheme="minorHAnsi" w:hAnsiTheme="minorHAnsi" w:cstheme="minorHAnsi"/>
          <w:b/>
        </w:rPr>
        <w:t>MINISTRY OF ECONOMIC DEVELOPMENT</w:t>
      </w:r>
      <w:r w:rsidRPr="00A60E30">
        <w:rPr>
          <w:rFonts w:asciiTheme="minorHAnsi" w:hAnsiTheme="minorHAnsi" w:cstheme="minorHAnsi"/>
          <w:b/>
        </w:rPr>
        <w:t xml:space="preserve"> IN ARBITRAL PROCEDURE</w:t>
      </w:r>
    </w:p>
    <w:p w14:paraId="4374699D" w14:textId="7C29C2B9" w:rsidR="00A60E30" w:rsidRPr="00A60E30" w:rsidRDefault="007707F8" w:rsidP="00A60E30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INITIATIED BY</w:t>
      </w:r>
      <w:r w:rsidR="00A60E30" w:rsidRPr="00A60E30">
        <w:rPr>
          <w:rFonts w:asciiTheme="minorHAnsi" w:hAnsiTheme="minorHAnsi" w:cstheme="minorHAnsi"/>
          <w:b/>
        </w:rPr>
        <w:t xml:space="preserve"> ADRIATIC PROPERTIES LLC </w:t>
      </w:r>
    </w:p>
    <w:bookmarkEnd w:id="0"/>
    <w:p w14:paraId="64047C48" w14:textId="77777777" w:rsidR="00A60E30" w:rsidRPr="00A60E30" w:rsidRDefault="00A60E30" w:rsidP="00A60E30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18"/>
          <w:szCs w:val="20"/>
          <w:lang w:val="en-GB"/>
        </w:rPr>
      </w:pPr>
    </w:p>
    <w:p w14:paraId="1B20C49A" w14:textId="692027A5" w:rsidR="00A60E30" w:rsidRPr="00A60E30" w:rsidRDefault="00A60E30" w:rsidP="00A60E30">
      <w:pPr>
        <w:pStyle w:val="NoSpacing"/>
        <w:jc w:val="both"/>
        <w:rPr>
          <w:rFonts w:asciiTheme="minorHAnsi" w:hAnsiTheme="minorHAnsi" w:cstheme="minorHAnsi"/>
        </w:rPr>
      </w:pPr>
      <w:r w:rsidRPr="00A60E30">
        <w:rPr>
          <w:rFonts w:asciiTheme="minorHAnsi" w:hAnsiTheme="minorHAnsi" w:cstheme="minorHAnsi"/>
        </w:rPr>
        <w:t xml:space="preserve">Adriatic Properties LLC Budva has submitted the </w:t>
      </w:r>
      <w:r w:rsidR="007707F8">
        <w:rPr>
          <w:rFonts w:asciiTheme="minorHAnsi" w:hAnsiTheme="minorHAnsi" w:cstheme="minorHAnsi"/>
        </w:rPr>
        <w:t>Request for Arbitration</w:t>
      </w:r>
      <w:r w:rsidRPr="00A60E30">
        <w:rPr>
          <w:rFonts w:asciiTheme="minorHAnsi" w:hAnsiTheme="minorHAnsi" w:cstheme="minorHAnsi"/>
        </w:rPr>
        <w:t xml:space="preserve"> to the Ministry of Economic Development,</w:t>
      </w:r>
      <w:r w:rsidR="007707F8">
        <w:rPr>
          <w:rFonts w:asciiTheme="minorHAnsi" w:hAnsiTheme="minorHAnsi" w:cstheme="minorHAnsi"/>
        </w:rPr>
        <w:t xml:space="preserve"> and to the companies Budvanska Rivijera JSC, HTP Miločer and Sveti Stefan Hoteli JSC,</w:t>
      </w:r>
      <w:r>
        <w:rPr>
          <w:rFonts w:asciiTheme="minorHAnsi" w:hAnsiTheme="minorHAnsi" w:cstheme="minorHAnsi"/>
        </w:rPr>
        <w:t xml:space="preserve"> </w:t>
      </w:r>
      <w:r w:rsidRPr="00A60E30">
        <w:rPr>
          <w:rFonts w:asciiTheme="minorHAnsi" w:hAnsiTheme="minorHAnsi" w:cstheme="minorHAnsi"/>
        </w:rPr>
        <w:t>in accordance with the:</w:t>
      </w:r>
    </w:p>
    <w:p w14:paraId="532317BE" w14:textId="3E7A622F" w:rsidR="00A60E30" w:rsidRPr="00A60E30" w:rsidRDefault="00A60E30" w:rsidP="00A60E30">
      <w:pPr>
        <w:pStyle w:val="NoSpacing"/>
        <w:numPr>
          <w:ilvl w:val="0"/>
          <w:numId w:val="12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A60E30">
        <w:rPr>
          <w:rFonts w:asciiTheme="minorHAnsi" w:hAnsiTheme="minorHAnsi" w:cstheme="minorHAnsi"/>
        </w:rPr>
        <w:t xml:space="preserve">article </w:t>
      </w:r>
      <w:r w:rsidR="007707F8">
        <w:rPr>
          <w:rFonts w:asciiTheme="minorHAnsi" w:hAnsiTheme="minorHAnsi" w:cstheme="minorHAnsi"/>
        </w:rPr>
        <w:t>39</w:t>
      </w:r>
      <w:r w:rsidRPr="00A60E30">
        <w:rPr>
          <w:rFonts w:asciiTheme="minorHAnsi" w:hAnsiTheme="minorHAnsi" w:cstheme="minorHAnsi"/>
        </w:rPr>
        <w:t xml:space="preserve"> of the lease agreement signed on 31 January 2007 between the parties – HTP Budvanska Rivijera</w:t>
      </w:r>
      <w:r w:rsidR="005126CF">
        <w:rPr>
          <w:rFonts w:asciiTheme="minorHAnsi" w:hAnsiTheme="minorHAnsi" w:cstheme="minorHAnsi"/>
        </w:rPr>
        <w:t xml:space="preserve"> JSC (landlord), </w:t>
      </w:r>
      <w:r w:rsidRPr="00A60E30">
        <w:rPr>
          <w:rFonts w:asciiTheme="minorHAnsi" w:hAnsiTheme="minorHAnsi" w:cstheme="minorHAnsi"/>
        </w:rPr>
        <w:t>Adriatic Properties LLC (tenant), Aidway Investments Limited (guarantor) and Ministry o</w:t>
      </w:r>
      <w:r w:rsidR="00A90A44">
        <w:rPr>
          <w:rFonts w:asciiTheme="minorHAnsi" w:hAnsiTheme="minorHAnsi" w:cstheme="minorHAnsi"/>
        </w:rPr>
        <w:t>f</w:t>
      </w:r>
      <w:r w:rsidRPr="00A60E30">
        <w:rPr>
          <w:rFonts w:asciiTheme="minorHAnsi" w:hAnsiTheme="minorHAnsi" w:cstheme="minorHAnsi"/>
        </w:rPr>
        <w:t xml:space="preserve"> Tourism of Montenegro, now Ministry of Economic Development (guarantor);</w:t>
      </w:r>
    </w:p>
    <w:p w14:paraId="0452BF06" w14:textId="6BFA8572" w:rsidR="00A60E30" w:rsidRPr="007707F8" w:rsidRDefault="00A60E30" w:rsidP="00A60E30">
      <w:pPr>
        <w:pStyle w:val="NoSpacing"/>
        <w:numPr>
          <w:ilvl w:val="0"/>
          <w:numId w:val="12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A60E30">
        <w:rPr>
          <w:rFonts w:asciiTheme="minorHAnsi" w:hAnsiTheme="minorHAnsi" w:cstheme="minorHAnsi"/>
        </w:rPr>
        <w:t xml:space="preserve">article </w:t>
      </w:r>
      <w:r w:rsidR="007707F8">
        <w:rPr>
          <w:rFonts w:asciiTheme="minorHAnsi" w:hAnsiTheme="minorHAnsi" w:cstheme="minorHAnsi"/>
        </w:rPr>
        <w:t>40</w:t>
      </w:r>
      <w:r w:rsidRPr="00A60E30">
        <w:rPr>
          <w:rFonts w:asciiTheme="minorHAnsi" w:hAnsiTheme="minorHAnsi" w:cstheme="minorHAnsi"/>
        </w:rPr>
        <w:t xml:space="preserve"> of the lease agreement signed on 31 January 2007 between the parties – HTP Miločer LLC</w:t>
      </w:r>
      <w:r w:rsidR="005126CF">
        <w:rPr>
          <w:rFonts w:asciiTheme="minorHAnsi" w:hAnsiTheme="minorHAnsi" w:cstheme="minorHAnsi"/>
        </w:rPr>
        <w:t xml:space="preserve"> (landlord), </w:t>
      </w:r>
      <w:r w:rsidRPr="00A60E30">
        <w:rPr>
          <w:rFonts w:asciiTheme="minorHAnsi" w:hAnsiTheme="minorHAnsi" w:cstheme="minorHAnsi"/>
        </w:rPr>
        <w:t>Adriatic Properties LLC (tenant), Aidway Investments Limited (guarantor). General Hotel Management Limited (operator) and Ministry o</w:t>
      </w:r>
      <w:r w:rsidR="00A90A44">
        <w:rPr>
          <w:rFonts w:asciiTheme="minorHAnsi" w:hAnsiTheme="minorHAnsi" w:cstheme="minorHAnsi"/>
        </w:rPr>
        <w:t>f</w:t>
      </w:r>
      <w:r w:rsidRPr="00A60E30">
        <w:rPr>
          <w:rFonts w:asciiTheme="minorHAnsi" w:hAnsiTheme="minorHAnsi" w:cstheme="minorHAnsi"/>
        </w:rPr>
        <w:t xml:space="preserve"> Tourism of Montenegro, now Ministry of Economic Development (guarantor)</w:t>
      </w:r>
      <w:r>
        <w:rPr>
          <w:rFonts w:asciiTheme="minorHAnsi" w:hAnsiTheme="minorHAnsi" w:cstheme="minorHAnsi"/>
        </w:rPr>
        <w:t>.</w:t>
      </w:r>
    </w:p>
    <w:p w14:paraId="75770B57" w14:textId="119DC946" w:rsidR="00A60E30" w:rsidRPr="00A60E30" w:rsidRDefault="00A60E30" w:rsidP="00A60E30">
      <w:pPr>
        <w:pStyle w:val="NoSpacing"/>
        <w:spacing w:before="160"/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</w:rPr>
        <w:t>Ministry of Economic Development</w:t>
      </w:r>
      <w:r w:rsidRPr="00A60E30">
        <w:rPr>
          <w:rFonts w:asciiTheme="minorHAnsi" w:hAnsiTheme="minorHAnsi" w:cstheme="minorHAnsi"/>
          <w:szCs w:val="24"/>
          <w:lang w:val="en-GB"/>
        </w:rPr>
        <w:t xml:space="preserve"> invites all </w:t>
      </w:r>
      <w:r w:rsidR="007707F8">
        <w:rPr>
          <w:rFonts w:asciiTheme="minorHAnsi" w:hAnsiTheme="minorHAnsi" w:cstheme="minorHAnsi"/>
          <w:szCs w:val="24"/>
          <w:lang w:val="en-GB"/>
        </w:rPr>
        <w:t>interested</w:t>
      </w:r>
      <w:r w:rsidRPr="00A60E30">
        <w:rPr>
          <w:rFonts w:asciiTheme="minorHAnsi" w:hAnsiTheme="minorHAnsi" w:cstheme="minorHAnsi"/>
          <w:szCs w:val="24"/>
          <w:lang w:val="en-GB"/>
        </w:rPr>
        <w:t xml:space="preserve"> domestic and international law firms, with experience in representing </w:t>
      </w:r>
      <w:r>
        <w:rPr>
          <w:rFonts w:asciiTheme="minorHAnsi" w:hAnsiTheme="minorHAnsi" w:cstheme="minorHAnsi"/>
          <w:szCs w:val="24"/>
          <w:lang w:val="en-GB"/>
        </w:rPr>
        <w:t>s</w:t>
      </w:r>
      <w:r w:rsidRPr="00A60E30">
        <w:rPr>
          <w:rFonts w:asciiTheme="minorHAnsi" w:hAnsiTheme="minorHAnsi" w:cstheme="minorHAnsi"/>
          <w:szCs w:val="24"/>
          <w:lang w:val="en-GB"/>
        </w:rPr>
        <w:t xml:space="preserve">tates </w:t>
      </w:r>
      <w:r>
        <w:rPr>
          <w:rFonts w:asciiTheme="minorHAnsi" w:hAnsiTheme="minorHAnsi" w:cstheme="minorHAnsi"/>
          <w:szCs w:val="24"/>
          <w:lang w:val="en-GB"/>
        </w:rPr>
        <w:t>and</w:t>
      </w:r>
      <w:r w:rsidR="007707F8">
        <w:rPr>
          <w:rFonts w:asciiTheme="minorHAnsi" w:hAnsiTheme="minorHAnsi" w:cstheme="minorHAnsi"/>
          <w:szCs w:val="24"/>
          <w:lang w:val="en-GB"/>
        </w:rPr>
        <w:t>/or</w:t>
      </w:r>
      <w:r>
        <w:rPr>
          <w:rFonts w:asciiTheme="minorHAnsi" w:hAnsiTheme="minorHAnsi" w:cstheme="minorHAnsi"/>
          <w:szCs w:val="24"/>
          <w:lang w:val="en-GB"/>
        </w:rPr>
        <w:t xml:space="preserve"> state owned enterprises </w:t>
      </w:r>
      <w:r w:rsidRPr="00A60E30">
        <w:rPr>
          <w:rFonts w:asciiTheme="minorHAnsi" w:hAnsiTheme="minorHAnsi" w:cstheme="minorHAnsi"/>
          <w:szCs w:val="24"/>
          <w:lang w:val="en-GB"/>
        </w:rPr>
        <w:t xml:space="preserve">in arbitral procedures under the LCIA Rules, to submit a bid with a specification of prices of services, individually in stages, for </w:t>
      </w:r>
      <w:r>
        <w:rPr>
          <w:rFonts w:asciiTheme="minorHAnsi" w:hAnsiTheme="minorHAnsi" w:cstheme="minorHAnsi"/>
          <w:szCs w:val="24"/>
          <w:lang w:val="en-GB"/>
        </w:rPr>
        <w:t>Ministry of economic development</w:t>
      </w:r>
      <w:r w:rsidRPr="00A60E30">
        <w:rPr>
          <w:rFonts w:asciiTheme="minorHAnsi" w:hAnsiTheme="minorHAnsi" w:cstheme="minorHAnsi"/>
          <w:szCs w:val="24"/>
          <w:lang w:val="en-GB"/>
        </w:rPr>
        <w:t xml:space="preserve"> in arbitral procedure </w:t>
      </w:r>
      <w:r w:rsidR="007707F8">
        <w:rPr>
          <w:rFonts w:asciiTheme="minorHAnsi" w:hAnsiTheme="minorHAnsi" w:cstheme="minorHAnsi"/>
          <w:szCs w:val="24"/>
          <w:lang w:val="en-GB"/>
        </w:rPr>
        <w:t>initiated by</w:t>
      </w:r>
      <w:r w:rsidRPr="00A60E30">
        <w:rPr>
          <w:rFonts w:asciiTheme="minorHAnsi" w:hAnsiTheme="minorHAnsi" w:cstheme="minorHAnsi"/>
          <w:szCs w:val="24"/>
          <w:lang w:val="en-GB"/>
        </w:rPr>
        <w:t xml:space="preserve"> </w:t>
      </w:r>
      <w:r w:rsidRPr="00A60E30">
        <w:rPr>
          <w:rFonts w:asciiTheme="minorHAnsi" w:hAnsiTheme="minorHAnsi" w:cstheme="minorHAnsi"/>
        </w:rPr>
        <w:t>Adriatic Properties LLC Budva</w:t>
      </w:r>
      <w:r w:rsidR="007707F8">
        <w:rPr>
          <w:rFonts w:asciiTheme="minorHAnsi" w:hAnsiTheme="minorHAnsi" w:cstheme="minorHAnsi"/>
        </w:rPr>
        <w:t xml:space="preserve"> against </w:t>
      </w:r>
      <w:r w:rsidR="007707F8" w:rsidRPr="00A60E30">
        <w:rPr>
          <w:rFonts w:asciiTheme="minorHAnsi" w:hAnsiTheme="minorHAnsi" w:cstheme="minorHAnsi"/>
        </w:rPr>
        <w:t>Ministry of Economic Development,</w:t>
      </w:r>
      <w:r w:rsidR="007707F8">
        <w:rPr>
          <w:rFonts w:asciiTheme="minorHAnsi" w:hAnsiTheme="minorHAnsi" w:cstheme="minorHAnsi"/>
        </w:rPr>
        <w:t xml:space="preserve"> and to the companies Budvanska Rivijera JSC, HTP Miločer and Sveti Stefan Hoteli JSC</w:t>
      </w:r>
      <w:r w:rsidRPr="00A60E30">
        <w:rPr>
          <w:rFonts w:asciiTheme="minorHAnsi" w:hAnsiTheme="minorHAnsi" w:cstheme="minorHAnsi"/>
          <w:szCs w:val="24"/>
          <w:lang w:val="en-GB"/>
        </w:rPr>
        <w:t>.</w:t>
      </w:r>
    </w:p>
    <w:p w14:paraId="72FAF15A" w14:textId="77777777" w:rsidR="00A60E30" w:rsidRPr="00A60E30" w:rsidRDefault="00A60E30" w:rsidP="00A60E30">
      <w:pPr>
        <w:pStyle w:val="NoSpacing"/>
        <w:spacing w:before="160"/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szCs w:val="24"/>
          <w:lang w:val="en-GB"/>
        </w:rPr>
        <w:t>The law firm shall offer legal advice and legal assistance concerning Arbitral procedure, i.e. the following services:</w:t>
      </w:r>
    </w:p>
    <w:p w14:paraId="200A0781" w14:textId="77777777" w:rsidR="00A60E30" w:rsidRPr="00A60E30" w:rsidRDefault="00A60E30" w:rsidP="00A60E30">
      <w:pPr>
        <w:pStyle w:val="NoSpacing"/>
        <w:jc w:val="both"/>
        <w:rPr>
          <w:rFonts w:asciiTheme="minorHAnsi" w:hAnsiTheme="minorHAnsi" w:cstheme="minorHAnsi"/>
          <w:szCs w:val="24"/>
          <w:lang w:val="en-GB"/>
        </w:rPr>
      </w:pPr>
    </w:p>
    <w:p w14:paraId="3BCE9271" w14:textId="77777777" w:rsidR="00A60E30" w:rsidRPr="00A60E30" w:rsidRDefault="00A60E30" w:rsidP="00A60E30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</w:rPr>
      </w:pPr>
      <w:r w:rsidRPr="00A60E30">
        <w:rPr>
          <w:rFonts w:asciiTheme="minorHAnsi" w:hAnsiTheme="minorHAnsi" w:cstheme="minorHAnsi"/>
          <w:szCs w:val="24"/>
          <w:lang w:val="en-GB"/>
        </w:rPr>
        <w:t>m</w:t>
      </w:r>
      <w:r w:rsidRPr="00A60E30">
        <w:rPr>
          <w:rFonts w:asciiTheme="minorHAnsi" w:hAnsiTheme="minorHAnsi" w:cstheme="minorHAnsi"/>
          <w:szCs w:val="24"/>
        </w:rPr>
        <w:t>aking of legal analysis of the case – overview and legal analysis of documentation concerning the Arbitral procedure;</w:t>
      </w:r>
    </w:p>
    <w:p w14:paraId="7ED4C3D3" w14:textId="77777777" w:rsidR="00A60E30" w:rsidRPr="00A60E30" w:rsidRDefault="00A60E30" w:rsidP="00A60E30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</w:rPr>
      </w:pPr>
      <w:r w:rsidRPr="00A60E30">
        <w:rPr>
          <w:rFonts w:asciiTheme="minorHAnsi" w:hAnsiTheme="minorHAnsi" w:cstheme="minorHAnsi"/>
          <w:szCs w:val="24"/>
        </w:rPr>
        <w:t>drafting and submitting of pleadings for the purpose of running the Arbitral procedure;</w:t>
      </w:r>
    </w:p>
    <w:p w14:paraId="4369807F" w14:textId="77777777" w:rsidR="00A60E30" w:rsidRPr="00A60E30" w:rsidRDefault="00A60E30" w:rsidP="00A60E30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szCs w:val="24"/>
        </w:rPr>
        <w:t>making of pleadings in relation to appointment of arbiter, i.e. in relation with forming of court in the Arbitral procedure;</w:t>
      </w:r>
    </w:p>
    <w:p w14:paraId="417351F1" w14:textId="77777777" w:rsidR="00A60E30" w:rsidRPr="00A60E30" w:rsidRDefault="00A60E30" w:rsidP="00A60E30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</w:rPr>
      </w:pPr>
      <w:r w:rsidRPr="00A60E30">
        <w:rPr>
          <w:rFonts w:asciiTheme="minorHAnsi" w:hAnsiTheme="minorHAnsi" w:cstheme="minorHAnsi"/>
          <w:szCs w:val="24"/>
        </w:rPr>
        <w:t>consultations with clients at hearings concerning the issues of significance to running the Arbitral procedure;</w:t>
      </w:r>
    </w:p>
    <w:p w14:paraId="001B612C" w14:textId="1DBFF888" w:rsidR="00A60E30" w:rsidRPr="00A60E30" w:rsidRDefault="00A60E30" w:rsidP="00A60E30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szCs w:val="24"/>
          <w:lang w:val="en-GB"/>
        </w:rPr>
        <w:t xml:space="preserve">advocacy of clients at hearings within </w:t>
      </w:r>
      <w:r w:rsidR="007707F8">
        <w:rPr>
          <w:rFonts w:asciiTheme="minorHAnsi" w:hAnsiTheme="minorHAnsi" w:cstheme="minorHAnsi"/>
          <w:szCs w:val="24"/>
        </w:rPr>
        <w:t>the Arbitral procedure</w:t>
      </w:r>
      <w:r w:rsidRPr="00A60E30">
        <w:rPr>
          <w:rFonts w:asciiTheme="minorHAnsi" w:hAnsiTheme="minorHAnsi" w:cstheme="minorHAnsi"/>
          <w:szCs w:val="24"/>
        </w:rPr>
        <w:t>;</w:t>
      </w:r>
    </w:p>
    <w:p w14:paraId="356B8790" w14:textId="77777777" w:rsidR="00A60E30" w:rsidRPr="00A60E30" w:rsidRDefault="00A60E30" w:rsidP="00A60E30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szCs w:val="24"/>
          <w:lang w:val="en-GB"/>
        </w:rPr>
        <w:t xml:space="preserve">other legal services in relation with </w:t>
      </w:r>
      <w:r w:rsidRPr="00A60E30">
        <w:rPr>
          <w:rFonts w:asciiTheme="minorHAnsi" w:hAnsiTheme="minorHAnsi" w:cstheme="minorHAnsi"/>
          <w:szCs w:val="24"/>
        </w:rPr>
        <w:t>the Arbitral procedure.</w:t>
      </w:r>
    </w:p>
    <w:p w14:paraId="793C6A17" w14:textId="77777777" w:rsidR="00A60E30" w:rsidRPr="00A60E30" w:rsidRDefault="00A60E30" w:rsidP="00A60E30">
      <w:pPr>
        <w:pStyle w:val="NoSpacing"/>
        <w:jc w:val="both"/>
        <w:rPr>
          <w:rFonts w:asciiTheme="minorHAnsi" w:hAnsiTheme="minorHAnsi" w:cstheme="minorHAnsi"/>
          <w:szCs w:val="24"/>
          <w:lang w:val="en-GB"/>
        </w:rPr>
      </w:pPr>
    </w:p>
    <w:p w14:paraId="1DBEE739" w14:textId="77777777" w:rsidR="00A60E30" w:rsidRPr="00A60E30" w:rsidRDefault="00A60E30" w:rsidP="00A60E30">
      <w:pPr>
        <w:pStyle w:val="NoSpacing"/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szCs w:val="24"/>
          <w:lang w:val="en-GB"/>
        </w:rPr>
        <w:t>Qualification (obligatory) terms which are subject of scoring:</w:t>
      </w:r>
    </w:p>
    <w:p w14:paraId="3FB93AB7" w14:textId="77777777" w:rsidR="00A60E30" w:rsidRPr="00A60E30" w:rsidRDefault="00A60E30" w:rsidP="00A60E30">
      <w:pPr>
        <w:pStyle w:val="NoSpacing"/>
        <w:jc w:val="both"/>
        <w:rPr>
          <w:rFonts w:asciiTheme="minorHAnsi" w:hAnsiTheme="minorHAnsi" w:cstheme="minorHAnsi"/>
          <w:szCs w:val="24"/>
          <w:lang w:val="en-GB"/>
        </w:rPr>
      </w:pPr>
    </w:p>
    <w:p w14:paraId="400E637C" w14:textId="306EF44D" w:rsidR="00A60E30" w:rsidRPr="00A60E30" w:rsidRDefault="00A60E30" w:rsidP="00A60E30">
      <w:pPr>
        <w:pStyle w:val="NoSpacing"/>
        <w:numPr>
          <w:ilvl w:val="0"/>
          <w:numId w:val="11"/>
        </w:numPr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szCs w:val="24"/>
          <w:lang w:val="en-GB"/>
        </w:rPr>
        <w:t>Previous experience in representing states in arbitral procedures under LCIA Rules;</w:t>
      </w:r>
    </w:p>
    <w:p w14:paraId="40B33D91" w14:textId="480C12E3" w:rsidR="007707F8" w:rsidRPr="007707F8" w:rsidRDefault="00A60E30" w:rsidP="00871BEE">
      <w:pPr>
        <w:pStyle w:val="NoSpacing"/>
        <w:numPr>
          <w:ilvl w:val="0"/>
          <w:numId w:val="11"/>
        </w:numPr>
        <w:jc w:val="both"/>
        <w:rPr>
          <w:rFonts w:asciiTheme="minorHAnsi" w:hAnsiTheme="minorHAnsi" w:cstheme="minorHAnsi"/>
          <w:szCs w:val="24"/>
          <w:lang w:val="en-GB"/>
        </w:rPr>
      </w:pPr>
      <w:r w:rsidRPr="007707F8">
        <w:rPr>
          <w:rFonts w:asciiTheme="minorHAnsi" w:hAnsiTheme="minorHAnsi" w:cstheme="minorHAnsi"/>
          <w:szCs w:val="24"/>
          <w:lang w:val="en-GB"/>
        </w:rPr>
        <w:t xml:space="preserve">Previous experience in arbitral procedures under LCIA Rules, by at least 3 members of the law firm that would offer services in </w:t>
      </w:r>
      <w:r w:rsidR="007707F8" w:rsidRPr="007707F8">
        <w:rPr>
          <w:rFonts w:asciiTheme="minorHAnsi" w:hAnsiTheme="minorHAnsi" w:cstheme="minorHAnsi"/>
          <w:szCs w:val="24"/>
        </w:rPr>
        <w:t>the Arbitral procedure;</w:t>
      </w:r>
    </w:p>
    <w:p w14:paraId="667610F7" w14:textId="77777777" w:rsidR="00A60E30" w:rsidRPr="00A60E30" w:rsidRDefault="00A60E30" w:rsidP="00A60E30">
      <w:pPr>
        <w:pStyle w:val="NoSpacing"/>
        <w:jc w:val="both"/>
        <w:rPr>
          <w:rFonts w:asciiTheme="minorHAnsi" w:hAnsiTheme="minorHAnsi" w:cstheme="minorHAnsi"/>
          <w:color w:val="000000"/>
          <w:szCs w:val="24"/>
          <w:shd w:val="clear" w:color="auto" w:fill="FFFFFF"/>
          <w:lang w:val="en-GB"/>
        </w:rPr>
      </w:pPr>
    </w:p>
    <w:p w14:paraId="5A75B36A" w14:textId="77777777" w:rsidR="00A60E30" w:rsidRPr="00A60E30" w:rsidRDefault="00A60E30" w:rsidP="00A60E30">
      <w:pPr>
        <w:pStyle w:val="NoSpacing"/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szCs w:val="24"/>
          <w:lang w:val="en-GB"/>
        </w:rPr>
        <w:t>The offer shall specifically encompass the following elements:</w:t>
      </w:r>
    </w:p>
    <w:p w14:paraId="34335A47" w14:textId="77777777" w:rsidR="00A60E30" w:rsidRPr="00A60E30" w:rsidRDefault="00A60E30" w:rsidP="00A60E30">
      <w:pPr>
        <w:pStyle w:val="NoSpacing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szCs w:val="24"/>
          <w:lang w:val="en-GB"/>
        </w:rPr>
        <w:t>Names and biographies of the team’s proposed members;</w:t>
      </w:r>
    </w:p>
    <w:p w14:paraId="311B1BDA" w14:textId="77777777" w:rsidR="00A60E30" w:rsidRPr="00A60E30" w:rsidRDefault="00A60E30" w:rsidP="00A60E30">
      <w:pPr>
        <w:pStyle w:val="NoSpacing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szCs w:val="24"/>
          <w:lang w:val="en-GB"/>
        </w:rPr>
        <w:lastRenderedPageBreak/>
        <w:t xml:space="preserve">Structure and references of lawyers that would offer services in accordance with the arbitral procedure; </w:t>
      </w:r>
    </w:p>
    <w:p w14:paraId="719859EE" w14:textId="03D10121" w:rsidR="00A60E30" w:rsidRPr="007707F8" w:rsidRDefault="00A60E30" w:rsidP="007707F8">
      <w:pPr>
        <w:pStyle w:val="NoSpacing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szCs w:val="24"/>
          <w:lang w:val="en-GB"/>
        </w:rPr>
        <w:t>Candidate’s profile, details on experience and similar engagements, including information and detailed description of the role of the attorney within the similar affairs (especially within the arbitral procedures under LCIA Rules);</w:t>
      </w:r>
    </w:p>
    <w:p w14:paraId="7CBF044E" w14:textId="77777777" w:rsidR="00A60E30" w:rsidRPr="00A60E30" w:rsidRDefault="00A60E30" w:rsidP="00A60E30">
      <w:pPr>
        <w:pStyle w:val="NoSpacing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color w:val="000000"/>
          <w:szCs w:val="24"/>
          <w:shd w:val="clear" w:color="auto" w:fill="FFFFFF"/>
          <w:lang w:val="en-GB"/>
        </w:rPr>
        <w:t>Declaration on non-existence of conflict of interest, in written form;</w:t>
      </w:r>
    </w:p>
    <w:p w14:paraId="4715267C" w14:textId="77777777" w:rsidR="00A60E30" w:rsidRPr="00A60E30" w:rsidRDefault="00A60E30" w:rsidP="00A60E30">
      <w:pPr>
        <w:pStyle w:val="NoSpacing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color w:val="000000"/>
          <w:szCs w:val="24"/>
          <w:shd w:val="clear" w:color="auto" w:fill="FFFFFF"/>
          <w:lang w:val="en-GB"/>
        </w:rPr>
        <w:t>Declaration on lawyer’s availability until the closing of the procedure, in written form;</w:t>
      </w:r>
    </w:p>
    <w:p w14:paraId="11725085" w14:textId="77777777" w:rsidR="00A60E30" w:rsidRPr="00A60E30" w:rsidRDefault="00A60E30" w:rsidP="00A60E30">
      <w:pPr>
        <w:pStyle w:val="NoSpacing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color w:val="000000"/>
          <w:szCs w:val="24"/>
          <w:shd w:val="clear" w:color="auto" w:fill="FFFFFF"/>
          <w:lang w:val="en-GB"/>
        </w:rPr>
        <w:t>Financial offer.</w:t>
      </w:r>
    </w:p>
    <w:p w14:paraId="6987C040" w14:textId="77777777" w:rsidR="00A60E30" w:rsidRDefault="00A60E30" w:rsidP="00A60E30">
      <w:pPr>
        <w:pStyle w:val="NoSpacing"/>
        <w:jc w:val="both"/>
        <w:rPr>
          <w:rFonts w:asciiTheme="minorHAnsi" w:hAnsiTheme="minorHAnsi" w:cstheme="minorHAnsi"/>
          <w:color w:val="000000"/>
          <w:szCs w:val="24"/>
          <w:shd w:val="clear" w:color="auto" w:fill="FFFFFF"/>
          <w:lang w:val="en-GB"/>
        </w:rPr>
      </w:pPr>
    </w:p>
    <w:p w14:paraId="47A48A3E" w14:textId="6E3812D9" w:rsidR="007707F8" w:rsidRPr="007707F8" w:rsidRDefault="007707F8" w:rsidP="00A60E30">
      <w:pPr>
        <w:pStyle w:val="NoSpacing"/>
        <w:jc w:val="both"/>
        <w:rPr>
          <w:rFonts w:asciiTheme="minorHAnsi" w:hAnsiTheme="minorHAnsi" w:cstheme="minorHAnsi"/>
          <w:i/>
          <w:color w:val="000000"/>
          <w:szCs w:val="24"/>
          <w:shd w:val="clear" w:color="auto" w:fill="FFFFFF"/>
          <w:lang w:val="en-GB"/>
        </w:rPr>
      </w:pPr>
      <w:r w:rsidRPr="007707F8">
        <w:rPr>
          <w:rFonts w:asciiTheme="minorHAnsi" w:hAnsiTheme="minorHAnsi" w:cstheme="minorHAnsi"/>
          <w:i/>
          <w:color w:val="000000"/>
          <w:szCs w:val="24"/>
          <w:shd w:val="clear" w:color="auto" w:fill="FFFFFF"/>
          <w:lang w:val="en-GB"/>
        </w:rPr>
        <w:t xml:space="preserve">Note: </w:t>
      </w:r>
      <w:r w:rsidR="00A42D9F">
        <w:rPr>
          <w:rFonts w:asciiTheme="minorHAnsi" w:hAnsiTheme="minorHAnsi" w:cstheme="minorHAnsi"/>
          <w:i/>
          <w:color w:val="000000"/>
          <w:szCs w:val="24"/>
          <w:shd w:val="clear" w:color="auto" w:fill="FFFFFF"/>
          <w:lang w:val="en-GB"/>
        </w:rPr>
        <w:t xml:space="preserve">Unless specified in the offer, </w:t>
      </w:r>
      <w:r w:rsidRPr="007707F8">
        <w:rPr>
          <w:rFonts w:asciiTheme="minorHAnsi" w:hAnsiTheme="minorHAnsi" w:cstheme="minorHAnsi"/>
          <w:i/>
          <w:color w:val="000000"/>
          <w:szCs w:val="24"/>
          <w:shd w:val="clear" w:color="auto" w:fill="FFFFFF"/>
          <w:lang w:val="en-GB"/>
        </w:rPr>
        <w:t>it shall be deemed that costs of hiring a local counsel are included in the financial offer</w:t>
      </w:r>
      <w:r w:rsidR="00A42D9F">
        <w:rPr>
          <w:rFonts w:asciiTheme="minorHAnsi" w:hAnsiTheme="minorHAnsi" w:cstheme="minorHAnsi"/>
          <w:i/>
          <w:color w:val="000000"/>
          <w:szCs w:val="24"/>
          <w:shd w:val="clear" w:color="auto" w:fill="FFFFFF"/>
          <w:lang w:val="en-GB"/>
        </w:rPr>
        <w:t xml:space="preserve"> of </w:t>
      </w:r>
      <w:r w:rsidR="00A42D9F" w:rsidRPr="007707F8">
        <w:rPr>
          <w:rFonts w:asciiTheme="minorHAnsi" w:hAnsiTheme="minorHAnsi" w:cstheme="minorHAnsi"/>
          <w:i/>
          <w:color w:val="000000"/>
          <w:szCs w:val="24"/>
          <w:shd w:val="clear" w:color="auto" w:fill="FFFFFF"/>
          <w:lang w:val="en-GB"/>
        </w:rPr>
        <w:t>international bidders</w:t>
      </w:r>
      <w:r w:rsidR="00A42D9F">
        <w:rPr>
          <w:rFonts w:asciiTheme="minorHAnsi" w:hAnsiTheme="minorHAnsi" w:cstheme="minorHAnsi"/>
          <w:i/>
          <w:color w:val="000000"/>
          <w:szCs w:val="24"/>
          <w:shd w:val="clear" w:color="auto" w:fill="FFFFFF"/>
          <w:lang w:val="en-GB"/>
        </w:rPr>
        <w:t>, and vice versa</w:t>
      </w:r>
      <w:r w:rsidRPr="007707F8">
        <w:rPr>
          <w:rFonts w:asciiTheme="minorHAnsi" w:hAnsiTheme="minorHAnsi" w:cstheme="minorHAnsi"/>
          <w:i/>
          <w:color w:val="000000"/>
          <w:szCs w:val="24"/>
          <w:shd w:val="clear" w:color="auto" w:fill="FFFFFF"/>
          <w:lang w:val="en-GB"/>
        </w:rPr>
        <w:t>.</w:t>
      </w:r>
    </w:p>
    <w:p w14:paraId="7E9ED48C" w14:textId="77777777" w:rsidR="00A60E30" w:rsidRPr="00A60E30" w:rsidRDefault="00A60E30" w:rsidP="00A60E30">
      <w:pPr>
        <w:rPr>
          <w:rFonts w:eastAsia="Calibri" w:cstheme="minorHAnsi"/>
          <w:sz w:val="22"/>
          <w:szCs w:val="24"/>
          <w:lang w:val="en-GB"/>
        </w:rPr>
      </w:pPr>
      <w:r w:rsidRPr="00A60E30">
        <w:rPr>
          <w:rFonts w:eastAsia="Calibri" w:cstheme="minorHAnsi"/>
          <w:sz w:val="22"/>
          <w:szCs w:val="24"/>
          <w:lang w:val="en-GB"/>
        </w:rPr>
        <w:t>Election of the attorney will be done in accordance with the following criteria:</w:t>
      </w:r>
    </w:p>
    <w:p w14:paraId="2E4D0249" w14:textId="77777777" w:rsidR="00A60E30" w:rsidRPr="00A60E30" w:rsidRDefault="00A60E30" w:rsidP="00A60E30">
      <w:pPr>
        <w:numPr>
          <w:ilvl w:val="0"/>
          <w:numId w:val="10"/>
        </w:numPr>
        <w:spacing w:before="0" w:after="0" w:line="240" w:lineRule="auto"/>
        <w:rPr>
          <w:rFonts w:eastAsia="Calibri" w:cstheme="minorHAnsi"/>
          <w:sz w:val="22"/>
          <w:szCs w:val="24"/>
          <w:lang w:val="en-GB"/>
        </w:rPr>
      </w:pPr>
      <w:r w:rsidRPr="00A60E30">
        <w:rPr>
          <w:rFonts w:cstheme="minorHAnsi"/>
          <w:sz w:val="22"/>
          <w:szCs w:val="24"/>
          <w:lang w:val="en-GB"/>
        </w:rPr>
        <w:t xml:space="preserve">Qualification </w:t>
      </w:r>
      <w:r w:rsidRPr="00A60E30">
        <w:rPr>
          <w:rFonts w:eastAsia="Calibri" w:cstheme="minorHAnsi"/>
          <w:sz w:val="22"/>
          <w:szCs w:val="24"/>
          <w:lang w:val="en-GB"/>
        </w:rPr>
        <w:t>(obligatory) terms ......................................................70 points,</w:t>
      </w:r>
    </w:p>
    <w:p w14:paraId="5B5D7512" w14:textId="77777777" w:rsidR="00A60E30" w:rsidRPr="00A60E30" w:rsidRDefault="00A60E30" w:rsidP="00A60E30">
      <w:pPr>
        <w:numPr>
          <w:ilvl w:val="0"/>
          <w:numId w:val="10"/>
        </w:numPr>
        <w:spacing w:before="0" w:after="0" w:line="240" w:lineRule="auto"/>
        <w:rPr>
          <w:rFonts w:eastAsia="Calibri" w:cstheme="minorHAnsi"/>
          <w:sz w:val="22"/>
          <w:szCs w:val="24"/>
          <w:lang w:val="en-GB"/>
        </w:rPr>
      </w:pPr>
      <w:r w:rsidRPr="00A60E30">
        <w:rPr>
          <w:rFonts w:eastAsia="Calibri" w:cstheme="minorHAnsi"/>
          <w:sz w:val="22"/>
          <w:szCs w:val="24"/>
          <w:lang w:val="en-GB"/>
        </w:rPr>
        <w:t>Financial offer …….........................................................................30 points.</w:t>
      </w:r>
    </w:p>
    <w:p w14:paraId="2B61297A" w14:textId="77777777" w:rsidR="00A60E30" w:rsidRPr="00A60E30" w:rsidRDefault="00A60E30" w:rsidP="00A60E30">
      <w:pPr>
        <w:pStyle w:val="NoSpacing"/>
        <w:jc w:val="both"/>
        <w:rPr>
          <w:rFonts w:asciiTheme="minorHAnsi" w:hAnsiTheme="minorHAnsi" w:cstheme="minorHAnsi"/>
          <w:color w:val="000000"/>
          <w:szCs w:val="24"/>
          <w:shd w:val="clear" w:color="auto" w:fill="FFFFFF"/>
          <w:lang w:val="en-GB"/>
        </w:rPr>
      </w:pPr>
    </w:p>
    <w:p w14:paraId="4981036A" w14:textId="5A38DA19" w:rsidR="00A60E30" w:rsidRPr="00A60E30" w:rsidRDefault="00A60E30" w:rsidP="00A60E30">
      <w:pPr>
        <w:pStyle w:val="NoSpacing"/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szCs w:val="24"/>
          <w:lang w:val="en-GB"/>
        </w:rPr>
        <w:t xml:space="preserve">Deadline for submitting offers is </w:t>
      </w:r>
      <w:r w:rsidR="007707F8">
        <w:rPr>
          <w:rFonts w:asciiTheme="minorHAnsi" w:hAnsiTheme="minorHAnsi" w:cstheme="minorHAnsi"/>
          <w:szCs w:val="24"/>
          <w:lang w:val="en-GB"/>
        </w:rPr>
        <w:t>November</w:t>
      </w:r>
      <w:r w:rsidRPr="00A60E30">
        <w:rPr>
          <w:rFonts w:asciiTheme="minorHAnsi" w:hAnsiTheme="minorHAnsi" w:cstheme="minorHAnsi"/>
          <w:szCs w:val="24"/>
          <w:lang w:val="en-GB"/>
        </w:rPr>
        <w:t xml:space="preserve"> 2</w:t>
      </w:r>
      <w:r w:rsidR="007D15B5">
        <w:rPr>
          <w:rFonts w:asciiTheme="minorHAnsi" w:hAnsiTheme="minorHAnsi" w:cstheme="minorHAnsi"/>
          <w:szCs w:val="24"/>
          <w:lang w:val="en-GB"/>
        </w:rPr>
        <w:t>6</w:t>
      </w:r>
      <w:r w:rsidRPr="00A60E30">
        <w:rPr>
          <w:rFonts w:asciiTheme="minorHAnsi" w:hAnsiTheme="minorHAnsi" w:cstheme="minorHAnsi"/>
          <w:szCs w:val="24"/>
          <w:lang w:val="en-GB"/>
        </w:rPr>
        <w:t xml:space="preserve"> 2021, at 15:00 (local time).</w:t>
      </w:r>
    </w:p>
    <w:p w14:paraId="756CC808" w14:textId="77777777" w:rsidR="00A60E30" w:rsidRPr="00A60E30" w:rsidRDefault="00A60E30" w:rsidP="00A60E30">
      <w:pPr>
        <w:pStyle w:val="NoSpacing"/>
        <w:jc w:val="both"/>
        <w:rPr>
          <w:rFonts w:asciiTheme="minorHAnsi" w:hAnsiTheme="minorHAnsi" w:cstheme="minorHAnsi"/>
          <w:szCs w:val="24"/>
          <w:lang w:val="en-GB"/>
        </w:rPr>
      </w:pPr>
    </w:p>
    <w:p w14:paraId="12C57598" w14:textId="09918D82" w:rsidR="00A60E30" w:rsidRPr="00A60E30" w:rsidRDefault="00A60E30" w:rsidP="007D15B5">
      <w:pPr>
        <w:pStyle w:val="NoSpacing"/>
        <w:jc w:val="both"/>
        <w:rPr>
          <w:rFonts w:asciiTheme="minorHAnsi" w:hAnsiTheme="minorHAnsi" w:cstheme="minorHAnsi"/>
          <w:szCs w:val="24"/>
          <w:lang w:val="en-GB"/>
        </w:rPr>
      </w:pPr>
      <w:r w:rsidRPr="00A60E30">
        <w:rPr>
          <w:rFonts w:asciiTheme="minorHAnsi" w:hAnsiTheme="minorHAnsi" w:cstheme="minorHAnsi"/>
          <w:szCs w:val="24"/>
          <w:lang w:val="en-GB"/>
        </w:rPr>
        <w:t xml:space="preserve">Qualification and financial offers are to be submitted </w:t>
      </w:r>
      <w:r w:rsidR="007D15B5">
        <w:rPr>
          <w:rFonts w:asciiTheme="minorHAnsi" w:hAnsiTheme="minorHAnsi" w:cstheme="minorHAnsi"/>
          <w:szCs w:val="24"/>
          <w:lang w:val="en-GB"/>
        </w:rPr>
        <w:t xml:space="preserve">in </w:t>
      </w:r>
      <w:r w:rsidRPr="00A60E30">
        <w:rPr>
          <w:rFonts w:asciiTheme="minorHAnsi" w:hAnsiTheme="minorHAnsi" w:cstheme="minorHAnsi"/>
          <w:szCs w:val="24"/>
          <w:lang w:val="en-GB"/>
        </w:rPr>
        <w:t xml:space="preserve">electronic form in </w:t>
      </w:r>
      <w:r w:rsidRPr="00A60E30">
        <w:rPr>
          <w:rFonts w:asciiTheme="minorHAnsi" w:hAnsiTheme="minorHAnsi" w:cstheme="minorHAnsi"/>
          <w:lang w:val="en-GB"/>
        </w:rPr>
        <w:t>Montenegrin</w:t>
      </w:r>
      <w:r w:rsidRPr="00A60E30">
        <w:rPr>
          <w:rFonts w:asciiTheme="minorHAnsi" w:hAnsiTheme="minorHAnsi" w:cstheme="minorHAnsi"/>
          <w:szCs w:val="24"/>
          <w:lang w:val="en-GB"/>
        </w:rPr>
        <w:t xml:space="preserve"> </w:t>
      </w:r>
      <w:r w:rsidR="007D15B5">
        <w:rPr>
          <w:rFonts w:asciiTheme="minorHAnsi" w:hAnsiTheme="minorHAnsi" w:cstheme="minorHAnsi"/>
          <w:szCs w:val="24"/>
          <w:lang w:val="en-GB"/>
        </w:rPr>
        <w:t>or</w:t>
      </w:r>
      <w:r w:rsidRPr="00A60E30">
        <w:rPr>
          <w:rFonts w:asciiTheme="minorHAnsi" w:hAnsiTheme="minorHAnsi" w:cstheme="minorHAnsi"/>
          <w:szCs w:val="24"/>
          <w:lang w:val="en-GB"/>
        </w:rPr>
        <w:t xml:space="preserve"> English, , with clearly written </w:t>
      </w:r>
      <w:r w:rsidR="007D15B5">
        <w:rPr>
          <w:rFonts w:asciiTheme="minorHAnsi" w:hAnsiTheme="minorHAnsi" w:cstheme="minorHAnsi"/>
          <w:szCs w:val="24"/>
          <w:lang w:val="en-GB"/>
        </w:rPr>
        <w:t xml:space="preserve">subject </w:t>
      </w:r>
      <w:r w:rsidRPr="00A60E30">
        <w:rPr>
          <w:rFonts w:asciiTheme="minorHAnsi" w:hAnsiTheme="minorHAnsi" w:cstheme="minorHAnsi"/>
          <w:szCs w:val="24"/>
          <w:lang w:val="en-GB"/>
        </w:rPr>
        <w:t>designation: “</w:t>
      </w:r>
      <w:r w:rsidRPr="00A60E30">
        <w:rPr>
          <w:rFonts w:asciiTheme="minorHAnsi" w:hAnsiTheme="minorHAnsi" w:cstheme="minorHAnsi"/>
          <w:i/>
          <w:szCs w:val="24"/>
          <w:lang w:val="en-GB"/>
        </w:rPr>
        <w:t xml:space="preserve">Bid for election of legal representative for advocacy of </w:t>
      </w:r>
      <w:r w:rsidR="007707F8">
        <w:rPr>
          <w:rFonts w:asciiTheme="minorHAnsi" w:hAnsiTheme="minorHAnsi" w:cstheme="minorHAnsi"/>
          <w:i/>
          <w:szCs w:val="24"/>
          <w:lang w:val="en-GB"/>
        </w:rPr>
        <w:t>Ministry of Economic Development</w:t>
      </w:r>
      <w:r w:rsidRPr="00A60E30">
        <w:rPr>
          <w:rFonts w:asciiTheme="minorHAnsi" w:hAnsiTheme="minorHAnsi" w:cstheme="minorHAnsi"/>
          <w:i/>
          <w:szCs w:val="24"/>
          <w:lang w:val="en-GB"/>
        </w:rPr>
        <w:t xml:space="preserve"> in arbitral procedure against Adriatic Properties LLC “ </w:t>
      </w:r>
      <w:r w:rsidRPr="00A60E30">
        <w:rPr>
          <w:rFonts w:asciiTheme="minorHAnsi" w:hAnsiTheme="minorHAnsi" w:cstheme="minorHAnsi"/>
          <w:szCs w:val="24"/>
          <w:lang w:val="en-GB"/>
        </w:rPr>
        <w:t xml:space="preserve">to the following </w:t>
      </w:r>
      <w:r w:rsidR="007D15B5">
        <w:rPr>
          <w:rFonts w:asciiTheme="minorHAnsi" w:hAnsiTheme="minorHAnsi" w:cstheme="minorHAnsi"/>
          <w:szCs w:val="24"/>
          <w:lang w:val="en-GB"/>
        </w:rPr>
        <w:t>email address</w:t>
      </w:r>
      <w:r w:rsidR="007707F8">
        <w:rPr>
          <w:rFonts w:asciiTheme="minorHAnsi" w:hAnsiTheme="minorHAnsi" w:cstheme="minorHAnsi"/>
          <w:szCs w:val="24"/>
          <w:lang w:val="en-GB"/>
        </w:rPr>
        <w:t xml:space="preserve"> </w:t>
      </w:r>
      <w:hyperlink r:id="rId10" w:history="1">
        <w:r w:rsidR="007707F8" w:rsidRPr="00F036A5">
          <w:rPr>
            <w:rStyle w:val="Hyperlink"/>
            <w:rFonts w:asciiTheme="minorHAnsi" w:hAnsiTheme="minorHAnsi" w:cstheme="minorHAnsi"/>
            <w:lang w:val="sr-Latn-ME"/>
          </w:rPr>
          <w:t>vasilije.carapic</w:t>
        </w:r>
        <w:r w:rsidR="007707F8" w:rsidRPr="00F036A5">
          <w:rPr>
            <w:rStyle w:val="Hyperlink"/>
            <w:rFonts w:asciiTheme="minorHAnsi" w:hAnsiTheme="minorHAnsi" w:cstheme="minorHAnsi"/>
          </w:rPr>
          <w:t>@mek.gov.me</w:t>
        </w:r>
      </w:hyperlink>
      <w:r w:rsidR="007707F8">
        <w:rPr>
          <w:rFonts w:asciiTheme="minorHAnsi" w:hAnsiTheme="minorHAnsi" w:cstheme="minorHAnsi"/>
        </w:rPr>
        <w:t>.</w:t>
      </w:r>
    </w:p>
    <w:p w14:paraId="3C3D0A88" w14:textId="77777777" w:rsidR="00A60E30" w:rsidRPr="00A60E30" w:rsidRDefault="00A60E30" w:rsidP="00A60E30">
      <w:pPr>
        <w:pStyle w:val="NoSpacing"/>
        <w:jc w:val="both"/>
        <w:rPr>
          <w:rFonts w:asciiTheme="minorHAnsi" w:hAnsiTheme="minorHAnsi" w:cstheme="minorHAnsi"/>
          <w:szCs w:val="24"/>
          <w:lang w:val="en-GB"/>
        </w:rPr>
      </w:pPr>
    </w:p>
    <w:p w14:paraId="0CC9D3BC" w14:textId="77777777" w:rsidR="00A60E30" w:rsidRPr="0011318A" w:rsidRDefault="00A60E30" w:rsidP="00A60E30">
      <w:pPr>
        <w:pStyle w:val="NoSpacing"/>
        <w:jc w:val="both"/>
        <w:rPr>
          <w:rFonts w:asciiTheme="minorHAnsi" w:hAnsiTheme="minorHAnsi" w:cstheme="minorHAnsi"/>
          <w:b/>
          <w:color w:val="000000"/>
          <w:szCs w:val="24"/>
          <w:shd w:val="clear" w:color="auto" w:fill="FFFFFF"/>
          <w:lang w:val="en-GB"/>
        </w:rPr>
      </w:pPr>
      <w:r w:rsidRPr="0011318A">
        <w:rPr>
          <w:rFonts w:asciiTheme="minorHAnsi" w:hAnsiTheme="minorHAnsi" w:cstheme="minorHAnsi"/>
          <w:b/>
          <w:color w:val="000000"/>
          <w:szCs w:val="24"/>
          <w:shd w:val="clear" w:color="auto" w:fill="FFFFFF"/>
          <w:lang w:val="en-GB"/>
        </w:rPr>
        <w:t>Law on Public Procurements is not applied to procurements of services of arbitrage (article14, paragraph 1, line 4 and 5a).</w:t>
      </w:r>
    </w:p>
    <w:p w14:paraId="35CC7BFC" w14:textId="77777777" w:rsidR="00A60E30" w:rsidRPr="00A60E30" w:rsidRDefault="00A60E30" w:rsidP="00A60E30">
      <w:pPr>
        <w:pStyle w:val="NoSpacing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79593877" w14:textId="77777777" w:rsidR="00CB79EA" w:rsidRPr="00A60E30" w:rsidRDefault="00CB79EA" w:rsidP="00F15C3C">
      <w:pPr>
        <w:spacing w:before="0" w:after="0" w:line="240" w:lineRule="auto"/>
        <w:jc w:val="right"/>
        <w:rPr>
          <w:rFonts w:cstheme="minorHAnsi"/>
          <w:noProof/>
          <w:sz w:val="16"/>
          <w:szCs w:val="16"/>
          <w:lang w:val="en-US"/>
        </w:rPr>
      </w:pPr>
    </w:p>
    <w:sectPr w:rsidR="00CB79EA" w:rsidRPr="00A60E30" w:rsidSect="0075026E">
      <w:headerReference w:type="defaul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49906" w14:textId="77777777" w:rsidR="00AB1DF9" w:rsidRDefault="00AB1DF9" w:rsidP="00A6505B">
      <w:pPr>
        <w:spacing w:before="0" w:after="0" w:line="240" w:lineRule="auto"/>
      </w:pPr>
      <w:r>
        <w:separator/>
      </w:r>
    </w:p>
  </w:endnote>
  <w:endnote w:type="continuationSeparator" w:id="0">
    <w:p w14:paraId="32C08E6C" w14:textId="77777777" w:rsidR="00AB1DF9" w:rsidRDefault="00AB1DF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D26EE" w14:textId="77777777" w:rsidR="00AB1DF9" w:rsidRDefault="00AB1DF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58E9263" w14:textId="77777777" w:rsidR="00AB1DF9" w:rsidRDefault="00AB1DF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7B7D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355F"/>
    <w:multiLevelType w:val="hybridMultilevel"/>
    <w:tmpl w:val="4BFEC192"/>
    <w:lvl w:ilvl="0" w:tplc="96581A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C7B60"/>
    <w:multiLevelType w:val="hybridMultilevel"/>
    <w:tmpl w:val="A8DEED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41F22"/>
    <w:multiLevelType w:val="hybridMultilevel"/>
    <w:tmpl w:val="3F9A83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60333"/>
    <w:multiLevelType w:val="hybridMultilevel"/>
    <w:tmpl w:val="2BDC0F90"/>
    <w:lvl w:ilvl="0" w:tplc="7C2C2B1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346A"/>
    <w:multiLevelType w:val="hybridMultilevel"/>
    <w:tmpl w:val="FD58AC04"/>
    <w:lvl w:ilvl="0" w:tplc="A3C4169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F3"/>
    <w:rsid w:val="00020673"/>
    <w:rsid w:val="00024AB8"/>
    <w:rsid w:val="000607FD"/>
    <w:rsid w:val="000716B6"/>
    <w:rsid w:val="00072355"/>
    <w:rsid w:val="00086CCC"/>
    <w:rsid w:val="00087717"/>
    <w:rsid w:val="000907F8"/>
    <w:rsid w:val="0009428E"/>
    <w:rsid w:val="000B09C0"/>
    <w:rsid w:val="000B7D28"/>
    <w:rsid w:val="000D3262"/>
    <w:rsid w:val="000F2AA0"/>
    <w:rsid w:val="000F2B95"/>
    <w:rsid w:val="000F2BFC"/>
    <w:rsid w:val="001009E8"/>
    <w:rsid w:val="001053EE"/>
    <w:rsid w:val="00107821"/>
    <w:rsid w:val="00112FDF"/>
    <w:rsid w:val="0011318A"/>
    <w:rsid w:val="0013424E"/>
    <w:rsid w:val="00136D11"/>
    <w:rsid w:val="00143BB9"/>
    <w:rsid w:val="0014761E"/>
    <w:rsid w:val="00154D42"/>
    <w:rsid w:val="00156466"/>
    <w:rsid w:val="00182270"/>
    <w:rsid w:val="001822FC"/>
    <w:rsid w:val="001847FD"/>
    <w:rsid w:val="0019542A"/>
    <w:rsid w:val="00196664"/>
    <w:rsid w:val="001A79B6"/>
    <w:rsid w:val="001A7E96"/>
    <w:rsid w:val="001C2DA5"/>
    <w:rsid w:val="001C62B1"/>
    <w:rsid w:val="001D3909"/>
    <w:rsid w:val="001F75D5"/>
    <w:rsid w:val="00205759"/>
    <w:rsid w:val="0020758B"/>
    <w:rsid w:val="00224D1D"/>
    <w:rsid w:val="00245B45"/>
    <w:rsid w:val="002511E4"/>
    <w:rsid w:val="00252A36"/>
    <w:rsid w:val="0025444A"/>
    <w:rsid w:val="00277FA7"/>
    <w:rsid w:val="002838FA"/>
    <w:rsid w:val="00292D5E"/>
    <w:rsid w:val="00293C85"/>
    <w:rsid w:val="002A69A2"/>
    <w:rsid w:val="002A7CB3"/>
    <w:rsid w:val="002B6083"/>
    <w:rsid w:val="002C37A9"/>
    <w:rsid w:val="002F3A8C"/>
    <w:rsid w:val="002F461C"/>
    <w:rsid w:val="002F59F2"/>
    <w:rsid w:val="002F74CE"/>
    <w:rsid w:val="0030498F"/>
    <w:rsid w:val="00311681"/>
    <w:rsid w:val="00312E7E"/>
    <w:rsid w:val="003168DA"/>
    <w:rsid w:val="003319C2"/>
    <w:rsid w:val="00336844"/>
    <w:rsid w:val="003417B8"/>
    <w:rsid w:val="00346351"/>
    <w:rsid w:val="00350578"/>
    <w:rsid w:val="003527AE"/>
    <w:rsid w:val="00354D08"/>
    <w:rsid w:val="003550D7"/>
    <w:rsid w:val="00375D08"/>
    <w:rsid w:val="003802FD"/>
    <w:rsid w:val="00381A6A"/>
    <w:rsid w:val="00384C33"/>
    <w:rsid w:val="003A1F39"/>
    <w:rsid w:val="003A3049"/>
    <w:rsid w:val="003A6DB5"/>
    <w:rsid w:val="003A74AF"/>
    <w:rsid w:val="003C6241"/>
    <w:rsid w:val="003D3BC1"/>
    <w:rsid w:val="003D48FA"/>
    <w:rsid w:val="003E1FEB"/>
    <w:rsid w:val="003E445A"/>
    <w:rsid w:val="00403F9D"/>
    <w:rsid w:val="004112D5"/>
    <w:rsid w:val="00413696"/>
    <w:rsid w:val="00422801"/>
    <w:rsid w:val="004378E1"/>
    <w:rsid w:val="00440417"/>
    <w:rsid w:val="00447121"/>
    <w:rsid w:val="00451F6C"/>
    <w:rsid w:val="00451FF9"/>
    <w:rsid w:val="004600A6"/>
    <w:rsid w:val="00467257"/>
    <w:rsid w:val="004679C3"/>
    <w:rsid w:val="00480048"/>
    <w:rsid w:val="00482894"/>
    <w:rsid w:val="0049509D"/>
    <w:rsid w:val="00497FDD"/>
    <w:rsid w:val="004B0054"/>
    <w:rsid w:val="004C1C49"/>
    <w:rsid w:val="004D0068"/>
    <w:rsid w:val="004E3DA7"/>
    <w:rsid w:val="004F24B0"/>
    <w:rsid w:val="004F7ACC"/>
    <w:rsid w:val="00502A9A"/>
    <w:rsid w:val="005126CF"/>
    <w:rsid w:val="00523147"/>
    <w:rsid w:val="00531FDF"/>
    <w:rsid w:val="00566E2B"/>
    <w:rsid w:val="005723C7"/>
    <w:rsid w:val="00577910"/>
    <w:rsid w:val="00593036"/>
    <w:rsid w:val="005A4E7E"/>
    <w:rsid w:val="005B44BF"/>
    <w:rsid w:val="005C00D9"/>
    <w:rsid w:val="005C52B5"/>
    <w:rsid w:val="005C6F24"/>
    <w:rsid w:val="005E12A9"/>
    <w:rsid w:val="005F56D9"/>
    <w:rsid w:val="00612213"/>
    <w:rsid w:val="0062006B"/>
    <w:rsid w:val="00621188"/>
    <w:rsid w:val="00630A76"/>
    <w:rsid w:val="00631AEC"/>
    <w:rsid w:val="00646D57"/>
    <w:rsid w:val="006739CA"/>
    <w:rsid w:val="006A24FA"/>
    <w:rsid w:val="006A2C40"/>
    <w:rsid w:val="006B0CEE"/>
    <w:rsid w:val="006D711E"/>
    <w:rsid w:val="006E262C"/>
    <w:rsid w:val="006F717F"/>
    <w:rsid w:val="00722040"/>
    <w:rsid w:val="00722BEE"/>
    <w:rsid w:val="0072606B"/>
    <w:rsid w:val="007320EB"/>
    <w:rsid w:val="0073561A"/>
    <w:rsid w:val="00735865"/>
    <w:rsid w:val="007372A2"/>
    <w:rsid w:val="0075026E"/>
    <w:rsid w:val="00755F57"/>
    <w:rsid w:val="0075635D"/>
    <w:rsid w:val="0076473C"/>
    <w:rsid w:val="007707F8"/>
    <w:rsid w:val="00770ADE"/>
    <w:rsid w:val="0077100B"/>
    <w:rsid w:val="00786F2E"/>
    <w:rsid w:val="007904A7"/>
    <w:rsid w:val="00794586"/>
    <w:rsid w:val="007978B6"/>
    <w:rsid w:val="007A0960"/>
    <w:rsid w:val="007B2B13"/>
    <w:rsid w:val="007C0856"/>
    <w:rsid w:val="007C3D94"/>
    <w:rsid w:val="007D15B5"/>
    <w:rsid w:val="007D4692"/>
    <w:rsid w:val="007D6B57"/>
    <w:rsid w:val="00810444"/>
    <w:rsid w:val="0082154C"/>
    <w:rsid w:val="00822DBA"/>
    <w:rsid w:val="00824C7D"/>
    <w:rsid w:val="008334BD"/>
    <w:rsid w:val="008659F6"/>
    <w:rsid w:val="00873840"/>
    <w:rsid w:val="00874810"/>
    <w:rsid w:val="0088156B"/>
    <w:rsid w:val="00883253"/>
    <w:rsid w:val="00885190"/>
    <w:rsid w:val="008A0029"/>
    <w:rsid w:val="008A5C8A"/>
    <w:rsid w:val="008A79EC"/>
    <w:rsid w:val="008B1FE2"/>
    <w:rsid w:val="008B292A"/>
    <w:rsid w:val="008C7F82"/>
    <w:rsid w:val="008E087E"/>
    <w:rsid w:val="00902E6C"/>
    <w:rsid w:val="00904BA4"/>
    <w:rsid w:val="00907170"/>
    <w:rsid w:val="009130A0"/>
    <w:rsid w:val="00922A8D"/>
    <w:rsid w:val="00940110"/>
    <w:rsid w:val="00943516"/>
    <w:rsid w:val="00946A67"/>
    <w:rsid w:val="00957753"/>
    <w:rsid w:val="0096107C"/>
    <w:rsid w:val="00964F1F"/>
    <w:rsid w:val="00980162"/>
    <w:rsid w:val="009857B8"/>
    <w:rsid w:val="00997C04"/>
    <w:rsid w:val="009B13F0"/>
    <w:rsid w:val="009B1DEF"/>
    <w:rsid w:val="009C24ED"/>
    <w:rsid w:val="009D1C50"/>
    <w:rsid w:val="009D703D"/>
    <w:rsid w:val="009E0AC4"/>
    <w:rsid w:val="009E5484"/>
    <w:rsid w:val="009E63C0"/>
    <w:rsid w:val="009E797A"/>
    <w:rsid w:val="009F035E"/>
    <w:rsid w:val="009F2DAA"/>
    <w:rsid w:val="00A2408E"/>
    <w:rsid w:val="00A42D9F"/>
    <w:rsid w:val="00A47535"/>
    <w:rsid w:val="00A570BB"/>
    <w:rsid w:val="00A60E30"/>
    <w:rsid w:val="00A6505B"/>
    <w:rsid w:val="00A6646D"/>
    <w:rsid w:val="00A90A44"/>
    <w:rsid w:val="00A930AB"/>
    <w:rsid w:val="00A93E91"/>
    <w:rsid w:val="00AA2377"/>
    <w:rsid w:val="00AB1DF9"/>
    <w:rsid w:val="00AB37E6"/>
    <w:rsid w:val="00AB7F77"/>
    <w:rsid w:val="00AE4911"/>
    <w:rsid w:val="00AE69B5"/>
    <w:rsid w:val="00AF27FF"/>
    <w:rsid w:val="00B003EE"/>
    <w:rsid w:val="00B10823"/>
    <w:rsid w:val="00B13AFC"/>
    <w:rsid w:val="00B167AC"/>
    <w:rsid w:val="00B16E24"/>
    <w:rsid w:val="00B2246F"/>
    <w:rsid w:val="00B23D1A"/>
    <w:rsid w:val="00B40A06"/>
    <w:rsid w:val="00B473C2"/>
    <w:rsid w:val="00B47D2C"/>
    <w:rsid w:val="00B544B2"/>
    <w:rsid w:val="00B62360"/>
    <w:rsid w:val="00B7189E"/>
    <w:rsid w:val="00B83F7A"/>
    <w:rsid w:val="00B8446B"/>
    <w:rsid w:val="00B84F08"/>
    <w:rsid w:val="00BA5E4B"/>
    <w:rsid w:val="00BB181A"/>
    <w:rsid w:val="00BB45B5"/>
    <w:rsid w:val="00BE3206"/>
    <w:rsid w:val="00BE3E4A"/>
    <w:rsid w:val="00BF464E"/>
    <w:rsid w:val="00BF4A10"/>
    <w:rsid w:val="00C1245A"/>
    <w:rsid w:val="00C12706"/>
    <w:rsid w:val="00C176EB"/>
    <w:rsid w:val="00C20E0A"/>
    <w:rsid w:val="00C343C1"/>
    <w:rsid w:val="00C34F45"/>
    <w:rsid w:val="00C36AD1"/>
    <w:rsid w:val="00C4431F"/>
    <w:rsid w:val="00C502E4"/>
    <w:rsid w:val="00C559CF"/>
    <w:rsid w:val="00C55CAE"/>
    <w:rsid w:val="00C84028"/>
    <w:rsid w:val="00C95F48"/>
    <w:rsid w:val="00CA3028"/>
    <w:rsid w:val="00CA4058"/>
    <w:rsid w:val="00CA6BB5"/>
    <w:rsid w:val="00CB79EA"/>
    <w:rsid w:val="00CC01E4"/>
    <w:rsid w:val="00CC2580"/>
    <w:rsid w:val="00CD159D"/>
    <w:rsid w:val="00CD2B7A"/>
    <w:rsid w:val="00CD6EF6"/>
    <w:rsid w:val="00CF540B"/>
    <w:rsid w:val="00CF670C"/>
    <w:rsid w:val="00D2455F"/>
    <w:rsid w:val="00D3780B"/>
    <w:rsid w:val="00D37DC7"/>
    <w:rsid w:val="00D403E9"/>
    <w:rsid w:val="00D81172"/>
    <w:rsid w:val="00D85FBA"/>
    <w:rsid w:val="00D92580"/>
    <w:rsid w:val="00DC5DF1"/>
    <w:rsid w:val="00DE0D3C"/>
    <w:rsid w:val="00DF06BA"/>
    <w:rsid w:val="00DF60F7"/>
    <w:rsid w:val="00DF65DA"/>
    <w:rsid w:val="00E35794"/>
    <w:rsid w:val="00E72089"/>
    <w:rsid w:val="00E73A9B"/>
    <w:rsid w:val="00E74F68"/>
    <w:rsid w:val="00E75466"/>
    <w:rsid w:val="00E9085F"/>
    <w:rsid w:val="00EB12E4"/>
    <w:rsid w:val="00EC258F"/>
    <w:rsid w:val="00EC6625"/>
    <w:rsid w:val="00ED1F3C"/>
    <w:rsid w:val="00ED76E2"/>
    <w:rsid w:val="00EE28F9"/>
    <w:rsid w:val="00EF5A4D"/>
    <w:rsid w:val="00F00584"/>
    <w:rsid w:val="00F05E01"/>
    <w:rsid w:val="00F118B8"/>
    <w:rsid w:val="00F127D8"/>
    <w:rsid w:val="00F1356E"/>
    <w:rsid w:val="00F14B0C"/>
    <w:rsid w:val="00F15C3C"/>
    <w:rsid w:val="00F16D1B"/>
    <w:rsid w:val="00F21A4A"/>
    <w:rsid w:val="00F323F6"/>
    <w:rsid w:val="00F37FF7"/>
    <w:rsid w:val="00F4533B"/>
    <w:rsid w:val="00F55EA3"/>
    <w:rsid w:val="00F63FBA"/>
    <w:rsid w:val="00F857C5"/>
    <w:rsid w:val="00F97201"/>
    <w:rsid w:val="00FA0953"/>
    <w:rsid w:val="00FD06AF"/>
    <w:rsid w:val="00FD5395"/>
    <w:rsid w:val="00FE253E"/>
    <w:rsid w:val="00FE4CFA"/>
    <w:rsid w:val="00FE7AE6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0D2E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A60E3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asilije.carapic@mek.gov.m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9266F0-BA26-4C61-95FA-FB0AC2D5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Vasilije</dc:creator>
  <cp:lastModifiedBy>Milena Dardic</cp:lastModifiedBy>
  <cp:revision>2</cp:revision>
  <cp:lastPrinted>2021-06-09T06:53:00Z</cp:lastPrinted>
  <dcterms:created xsi:type="dcterms:W3CDTF">2021-11-19T07:24:00Z</dcterms:created>
  <dcterms:modified xsi:type="dcterms:W3CDTF">2021-11-19T07:24:00Z</dcterms:modified>
</cp:coreProperties>
</file>