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Default Extension="gif" ContentType="image/gif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6D" w:rsidRDefault="000A216D" w:rsidP="007B151B">
      <w:pPr>
        <w:rPr>
          <w:b/>
        </w:rPr>
      </w:pPr>
    </w:p>
    <w:p w:rsidR="008D3DA6" w:rsidRDefault="008D3DA6" w:rsidP="008D3DA6">
      <w:pPr>
        <w:rPr>
          <w:b/>
        </w:rPr>
      </w:pPr>
      <w:r w:rsidRPr="00CC5BC9">
        <w:rPr>
          <w:b/>
        </w:rPr>
        <w:t>Realni sektor</w:t>
      </w:r>
      <w:r>
        <w:rPr>
          <w:b/>
        </w:rPr>
        <w:t xml:space="preserve"> </w:t>
      </w:r>
    </w:p>
    <w:p w:rsidR="000055E4" w:rsidRDefault="000055E4" w:rsidP="000055E4">
      <w:pPr>
        <w:rPr>
          <w:color w:val="FF0000"/>
          <w:sz w:val="20"/>
          <w:szCs w:val="20"/>
        </w:rPr>
      </w:pPr>
      <w:r>
        <w:rPr>
          <w:sz w:val="20"/>
          <w:szCs w:val="20"/>
        </w:rPr>
        <w:t>Proizvodnja</w:t>
      </w:r>
      <w:r w:rsidR="00270541">
        <w:rPr>
          <w:sz w:val="20"/>
          <w:szCs w:val="20"/>
        </w:rPr>
        <w:t xml:space="preserve"> električne energije u novembru</w:t>
      </w:r>
      <w:r>
        <w:rPr>
          <w:sz w:val="20"/>
          <w:szCs w:val="20"/>
        </w:rPr>
        <w:t xml:space="preserve"> veća je 34,0% </w:t>
      </w:r>
      <w:r w:rsidR="006E62BA">
        <w:rPr>
          <w:sz w:val="20"/>
          <w:szCs w:val="20"/>
        </w:rPr>
        <w:t>g-n-g</w:t>
      </w:r>
      <w:r>
        <w:rPr>
          <w:sz w:val="20"/>
          <w:szCs w:val="20"/>
        </w:rPr>
        <w:t xml:space="preserve">, usljed povećane proizvodnje hidroelektrana (69,0%). Industrijska proizvodnja bilježi godišnji pad od 8,9%, što je dominantno opredijeljeno padom prerađivačke industrije (28,9%). U strukturi prerađivačke industrije, najznačajniji pad zabilježila je proizvodnja farmaceutskih proizvoda (59,7%), osnovnih </w:t>
      </w:r>
      <w:r w:rsidR="008F5AA1">
        <w:rPr>
          <w:sz w:val="20"/>
          <w:szCs w:val="20"/>
        </w:rPr>
        <w:t xml:space="preserve">metala (5,2%) i duvana (75,8%), </w:t>
      </w:r>
      <w:r>
        <w:rPr>
          <w:sz w:val="20"/>
          <w:szCs w:val="20"/>
        </w:rPr>
        <w:t xml:space="preserve">dok je proizvodnja prehrambenih proizvoda bila veća za 26,6% u odnosu na novembar prošle godine. Crnu Goru je u novembru posjetilo 9,9% više turista i ostvareno 8,3% više noćenja </w:t>
      </w:r>
      <w:r w:rsidR="006E62BA">
        <w:rPr>
          <w:sz w:val="20"/>
          <w:szCs w:val="20"/>
        </w:rPr>
        <w:t>g-n-g</w:t>
      </w:r>
      <w:r>
        <w:rPr>
          <w:sz w:val="20"/>
          <w:szCs w:val="20"/>
        </w:rPr>
        <w:t xml:space="preserve">. U strukturi noćenja, najveće učešće (25,6%) imaju turisti iz Rusije, koji su u novembru ostvarili 23,6 hilj.noćenja, što je 13,0% manje </w:t>
      </w:r>
      <w:r w:rsidR="006E62BA">
        <w:rPr>
          <w:sz w:val="20"/>
          <w:szCs w:val="20"/>
        </w:rPr>
        <w:t>g-n-g</w:t>
      </w:r>
      <w:r>
        <w:rPr>
          <w:sz w:val="20"/>
          <w:szCs w:val="20"/>
        </w:rPr>
        <w:t xml:space="preserve">, dok su turisti iz Srbije (učešće 21,4%) ostvarili 19,8 hilj.noćenja ili 27,8% više </w:t>
      </w:r>
      <w:r w:rsidR="006E62BA">
        <w:rPr>
          <w:sz w:val="20"/>
          <w:szCs w:val="20"/>
        </w:rPr>
        <w:t>g-n-g</w:t>
      </w:r>
      <w:r>
        <w:rPr>
          <w:sz w:val="20"/>
          <w:szCs w:val="20"/>
        </w:rPr>
        <w:t xml:space="preserve">. </w:t>
      </w:r>
      <w:r w:rsidRPr="00B870FD">
        <w:rPr>
          <w:sz w:val="20"/>
          <w:szCs w:val="20"/>
        </w:rPr>
        <w:t>Promet u maloprodaji</w:t>
      </w:r>
      <w:r>
        <w:rPr>
          <w:sz w:val="20"/>
          <w:szCs w:val="20"/>
        </w:rPr>
        <w:t xml:space="preserve"> u novembru bilježi rast od 3,2</w:t>
      </w:r>
      <w:r w:rsidRPr="00B870FD">
        <w:rPr>
          <w:sz w:val="20"/>
          <w:szCs w:val="20"/>
        </w:rPr>
        <w:t xml:space="preserve">% u tekućim </w:t>
      </w:r>
      <w:r>
        <w:rPr>
          <w:sz w:val="20"/>
          <w:szCs w:val="20"/>
        </w:rPr>
        <w:t>i 1,5</w:t>
      </w:r>
      <w:r w:rsidRPr="00B870FD">
        <w:rPr>
          <w:sz w:val="20"/>
          <w:szCs w:val="20"/>
        </w:rPr>
        <w:t>% u stalnim cijenama.</w:t>
      </w:r>
      <w:r w:rsidRPr="006E575A">
        <w:rPr>
          <w:color w:val="FF0000"/>
          <w:sz w:val="20"/>
          <w:szCs w:val="20"/>
        </w:rPr>
        <w:t xml:space="preserve"> 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Inflacija</w:t>
      </w:r>
      <w:r>
        <w:rPr>
          <w:b/>
        </w:rPr>
        <w:t xml:space="preserve"> </w:t>
      </w:r>
    </w:p>
    <w:p w:rsidR="000055E4" w:rsidRDefault="000055E4" w:rsidP="000055E4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</w:t>
      </w:r>
      <w:r w:rsidRPr="007E1762">
        <w:rPr>
          <w:rFonts w:cstheme="minorHAnsi"/>
          <w:sz w:val="20"/>
          <w:szCs w:val="20"/>
        </w:rPr>
        <w:t xml:space="preserve">odišnja </w:t>
      </w:r>
      <w:r>
        <w:rPr>
          <w:rFonts w:cstheme="minorHAnsi"/>
          <w:sz w:val="20"/>
          <w:szCs w:val="20"/>
        </w:rPr>
        <w:t>st</w:t>
      </w:r>
      <w:r w:rsidR="006E62BA">
        <w:rPr>
          <w:rFonts w:cstheme="minorHAnsi"/>
          <w:sz w:val="20"/>
          <w:szCs w:val="20"/>
        </w:rPr>
        <w:t xml:space="preserve">opa inflacije (CPI) u novembru </w:t>
      </w:r>
      <w:r>
        <w:rPr>
          <w:rFonts w:cstheme="minorHAnsi"/>
          <w:sz w:val="20"/>
          <w:szCs w:val="20"/>
        </w:rPr>
        <w:t xml:space="preserve">iznosila je 0,4%. Nastavlja se trend stabilizacije cijena hrane i rast cijena goriva, što dominantno utiče na kretanje cijena u Crnoj </w:t>
      </w:r>
      <w:r w:rsidR="006E62BA">
        <w:rPr>
          <w:rFonts w:cstheme="minorHAnsi"/>
          <w:sz w:val="20"/>
          <w:szCs w:val="20"/>
        </w:rPr>
        <w:t>Gori. Mjesečna stopa inflacije</w:t>
      </w:r>
      <w:r>
        <w:rPr>
          <w:rFonts w:cstheme="minorHAnsi"/>
          <w:sz w:val="20"/>
          <w:szCs w:val="20"/>
        </w:rPr>
        <w:t xml:space="preserve"> iznosila je  0,0%, dok je prosječna stopa za period januar-novembar iznosila -0,3%.</w:t>
      </w:r>
      <w:r w:rsidR="006E62BA">
        <w:rPr>
          <w:rFonts w:cstheme="minorHAnsi"/>
          <w:sz w:val="20"/>
          <w:szCs w:val="20"/>
        </w:rPr>
        <w:t xml:space="preserve"> </w:t>
      </w:r>
      <w:r w:rsidRPr="007E1762">
        <w:rPr>
          <w:rFonts w:cstheme="minorHAnsi"/>
          <w:sz w:val="20"/>
          <w:szCs w:val="20"/>
        </w:rPr>
        <w:t>Inflacija</w:t>
      </w:r>
      <w:r>
        <w:rPr>
          <w:rFonts w:cstheme="minorHAnsi"/>
          <w:sz w:val="20"/>
          <w:szCs w:val="20"/>
        </w:rPr>
        <w:t xml:space="preserve"> mjerena HICP-om u novembru je iznosila 0,6</w:t>
      </w:r>
      <w:r w:rsidRPr="007E1762">
        <w:rPr>
          <w:rFonts w:cstheme="minorHAnsi"/>
          <w:sz w:val="20"/>
          <w:szCs w:val="20"/>
        </w:rPr>
        <w:t>%</w:t>
      </w:r>
      <w:r w:rsidR="006E62BA">
        <w:rPr>
          <w:rFonts w:cstheme="minorHAnsi"/>
          <w:sz w:val="20"/>
          <w:szCs w:val="20"/>
        </w:rPr>
        <w:t xml:space="preserve">, čemu su </w:t>
      </w:r>
      <w:r>
        <w:rPr>
          <w:rFonts w:cstheme="minorHAnsi"/>
          <w:sz w:val="20"/>
          <w:szCs w:val="20"/>
        </w:rPr>
        <w:t xml:space="preserve">najviše doprinijele </w:t>
      </w:r>
      <w:r w:rsidRPr="007E1762">
        <w:rPr>
          <w:rFonts w:cstheme="minorHAnsi"/>
          <w:sz w:val="20"/>
          <w:szCs w:val="20"/>
        </w:rPr>
        <w:t xml:space="preserve">cijene </w:t>
      </w:r>
      <w:r>
        <w:rPr>
          <w:rFonts w:cstheme="minorHAnsi"/>
          <w:sz w:val="20"/>
          <w:szCs w:val="20"/>
        </w:rPr>
        <w:t>usluga smještaja sa rastom od 9,8% i uticajem od 0,51 p.p. Cijene proizvođača</w:t>
      </w:r>
      <w:r w:rsidRPr="007E1762">
        <w:rPr>
          <w:rFonts w:cstheme="minorHAnsi"/>
          <w:sz w:val="20"/>
          <w:szCs w:val="20"/>
        </w:rPr>
        <w:t xml:space="preserve"> industrijskih</w:t>
      </w:r>
      <w:r>
        <w:rPr>
          <w:rFonts w:cstheme="minorHAnsi"/>
          <w:sz w:val="20"/>
          <w:szCs w:val="20"/>
        </w:rPr>
        <w:t xml:space="preserve"> proizvoda u novembru bilježe pad od 0,1</w:t>
      </w:r>
      <w:r w:rsidRPr="007E1762">
        <w:rPr>
          <w:rFonts w:cstheme="minorHAnsi"/>
          <w:sz w:val="20"/>
          <w:szCs w:val="20"/>
        </w:rPr>
        <w:t>%. Izvozne cijene</w:t>
      </w:r>
      <w:r>
        <w:rPr>
          <w:rFonts w:cstheme="minorHAnsi"/>
          <w:sz w:val="20"/>
          <w:szCs w:val="20"/>
        </w:rPr>
        <w:t xml:space="preserve"> nastavljaju rast (6,0%) </w:t>
      </w:r>
      <w:r w:rsidRPr="007E1762">
        <w:rPr>
          <w:rFonts w:cstheme="minorHAnsi"/>
          <w:sz w:val="20"/>
          <w:szCs w:val="20"/>
        </w:rPr>
        <w:t xml:space="preserve">usljed rasta cijena osnovnih metala </w:t>
      </w:r>
      <w:r>
        <w:rPr>
          <w:rFonts w:cstheme="minorHAnsi"/>
          <w:sz w:val="20"/>
          <w:szCs w:val="20"/>
        </w:rPr>
        <w:t>od 12,9%., dok uvozne cijene u novembru bilježe pad od 0,2%</w:t>
      </w:r>
      <w:r w:rsidR="006E62BA">
        <w:rPr>
          <w:rFonts w:cstheme="minorHAnsi"/>
          <w:sz w:val="20"/>
          <w:szCs w:val="20"/>
        </w:rPr>
        <w:t xml:space="preserve"> g-n-g.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Zaposlenost i zarade</w:t>
      </w:r>
      <w:r>
        <w:rPr>
          <w:b/>
        </w:rPr>
        <w:t xml:space="preserve"> </w:t>
      </w:r>
    </w:p>
    <w:p w:rsidR="000055E4" w:rsidRPr="000055E4" w:rsidRDefault="000055E4" w:rsidP="000055E4">
      <w:pPr>
        <w:rPr>
          <w:rFonts w:cstheme="minorHAnsi"/>
          <w:sz w:val="20"/>
          <w:szCs w:val="20"/>
        </w:rPr>
      </w:pPr>
      <w:r w:rsidRPr="000055E4">
        <w:rPr>
          <w:rFonts w:cstheme="minorHAnsi"/>
          <w:sz w:val="20"/>
          <w:szCs w:val="20"/>
        </w:rPr>
        <w:t>Kretanja na tržištu rada pokazuju da se u novembru</w:t>
      </w:r>
      <w:r w:rsidR="00D77E46">
        <w:rPr>
          <w:rFonts w:cstheme="minorHAnsi"/>
          <w:sz w:val="20"/>
          <w:szCs w:val="20"/>
        </w:rPr>
        <w:t xml:space="preserve"> broj zaposlenih povećao za 2,2</w:t>
      </w:r>
      <w:r w:rsidRPr="000055E4">
        <w:rPr>
          <w:rFonts w:cstheme="minorHAnsi"/>
          <w:sz w:val="20"/>
          <w:szCs w:val="20"/>
        </w:rPr>
        <w:t xml:space="preserve">% g-n-g, ali i nezaposlenih za 25,9% g-n-g. Stopa </w:t>
      </w:r>
      <w:r w:rsidR="00D77E46">
        <w:rPr>
          <w:rFonts w:cstheme="minorHAnsi"/>
          <w:sz w:val="20"/>
          <w:szCs w:val="20"/>
        </w:rPr>
        <w:t>nezaposlenosti iznosila je 20,4%</w:t>
      </w:r>
      <w:r w:rsidRPr="000055E4">
        <w:rPr>
          <w:rFonts w:cstheme="minorHAnsi"/>
          <w:sz w:val="20"/>
          <w:szCs w:val="20"/>
        </w:rPr>
        <w:t xml:space="preserve"> i veća je za 4,2 p.p. g-n-g. Prosječna zarada u novembru mjesecu iznosila je 756 eura i veća je za 4% g-n-g, dok je prosječna</w:t>
      </w:r>
      <w:r w:rsidR="00D77E46">
        <w:rPr>
          <w:rFonts w:cstheme="minorHAnsi"/>
          <w:sz w:val="20"/>
          <w:szCs w:val="20"/>
        </w:rPr>
        <w:t xml:space="preserve"> neto</w:t>
      </w:r>
      <w:r w:rsidRPr="000055E4">
        <w:rPr>
          <w:rFonts w:cstheme="minorHAnsi"/>
          <w:sz w:val="20"/>
          <w:szCs w:val="20"/>
        </w:rPr>
        <w:t xml:space="preserve"> zarada iznosila 503 eura, što je povećanje za 4,</w:t>
      </w:r>
      <w:r w:rsidR="00D77E46">
        <w:rPr>
          <w:rFonts w:cstheme="minorHAnsi"/>
          <w:sz w:val="20"/>
          <w:szCs w:val="20"/>
        </w:rPr>
        <w:t>4</w:t>
      </w:r>
      <w:r w:rsidRPr="000055E4">
        <w:rPr>
          <w:rFonts w:cstheme="minorHAnsi"/>
          <w:sz w:val="20"/>
          <w:szCs w:val="20"/>
        </w:rPr>
        <w:t>% g-n-g.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Javne finansije</w:t>
      </w:r>
      <w:r>
        <w:rPr>
          <w:b/>
        </w:rPr>
        <w:t xml:space="preserve"> </w:t>
      </w:r>
    </w:p>
    <w:p w:rsidR="00D80038" w:rsidRDefault="000055E4" w:rsidP="000055E4">
      <w:pPr>
        <w:autoSpaceDE w:val="0"/>
        <w:autoSpaceDN w:val="0"/>
        <w:rPr>
          <w:sz w:val="20"/>
          <w:szCs w:val="20"/>
          <w:lang w:val="en-US"/>
        </w:rPr>
      </w:pPr>
      <w:r w:rsidRPr="00D80038">
        <w:rPr>
          <w:rFonts w:cstheme="minorHAnsi"/>
          <w:sz w:val="20"/>
          <w:szCs w:val="20"/>
        </w:rPr>
        <w:t>Prihodi budžeta u periodu januar-novembar</w:t>
      </w:r>
      <w:r w:rsidR="00D77E46" w:rsidRPr="00D80038">
        <w:rPr>
          <w:rFonts w:cstheme="minorHAnsi"/>
          <w:sz w:val="20"/>
          <w:szCs w:val="20"/>
        </w:rPr>
        <w:t xml:space="preserve"> i</w:t>
      </w:r>
      <w:r w:rsidRPr="00D80038">
        <w:rPr>
          <w:rFonts w:cstheme="minorHAnsi"/>
          <w:sz w:val="20"/>
          <w:szCs w:val="20"/>
        </w:rPr>
        <w:t>znosili su 1.316,5mil</w:t>
      </w:r>
      <w:r w:rsidR="00D77E46" w:rsidRPr="00D80038">
        <w:rPr>
          <w:rFonts w:cstheme="minorHAnsi"/>
          <w:sz w:val="20"/>
          <w:szCs w:val="20"/>
        </w:rPr>
        <w:t>.</w:t>
      </w:r>
      <w:r w:rsidR="00D80038" w:rsidRPr="00D80038">
        <w:rPr>
          <w:rFonts w:cstheme="minorHAnsi"/>
          <w:sz w:val="20"/>
          <w:szCs w:val="20"/>
        </w:rPr>
        <w:t>€ ili 35,3</w:t>
      </w:r>
      <w:r w:rsidRPr="00D80038">
        <w:rPr>
          <w:rFonts w:cstheme="minorHAnsi"/>
          <w:sz w:val="20"/>
          <w:szCs w:val="20"/>
        </w:rPr>
        <w:t xml:space="preserve">% BDP-a. Naplata prihoda bilježi povećanje od  12,5% g-n-g što je  posljedica  rasta ekonomske aktivnosti kao i naplate digitalne dividende. U okviru  prihoda najveći rast imamo  kod akciza, PDV-a i poreza na dobit  pravnih lica  za </w:t>
      </w:r>
      <w:r w:rsidR="00D80038" w:rsidRPr="00D80038">
        <w:rPr>
          <w:rFonts w:cstheme="minorHAnsi"/>
          <w:sz w:val="20"/>
          <w:szCs w:val="20"/>
        </w:rPr>
        <w:t xml:space="preserve">10,0%, 9,9% i 8,8% respektivno. </w:t>
      </w:r>
      <w:r w:rsidRPr="00D80038">
        <w:rPr>
          <w:rFonts w:cstheme="minorHAnsi"/>
          <w:sz w:val="20"/>
          <w:szCs w:val="20"/>
        </w:rPr>
        <w:t xml:space="preserve">Izdaci budžeta u periodu januar-novembar </w:t>
      </w:r>
      <w:r w:rsidR="00D80038" w:rsidRPr="00D80038">
        <w:rPr>
          <w:rFonts w:cstheme="minorHAnsi"/>
          <w:sz w:val="20"/>
          <w:szCs w:val="20"/>
        </w:rPr>
        <w:t>iznosili su </w:t>
      </w:r>
      <w:r w:rsidRPr="00D80038">
        <w:rPr>
          <w:rFonts w:cstheme="minorHAnsi"/>
          <w:sz w:val="20"/>
          <w:szCs w:val="20"/>
        </w:rPr>
        <w:t>1.362,3mil</w:t>
      </w:r>
      <w:r w:rsidR="00D80038" w:rsidRPr="00D80038">
        <w:rPr>
          <w:rFonts w:cstheme="minorHAnsi"/>
          <w:sz w:val="20"/>
          <w:szCs w:val="20"/>
        </w:rPr>
        <w:t>.</w:t>
      </w:r>
      <w:r w:rsidRPr="00D80038">
        <w:rPr>
          <w:rFonts w:cstheme="minorHAnsi"/>
          <w:sz w:val="20"/>
          <w:szCs w:val="20"/>
        </w:rPr>
        <w:t xml:space="preserve">€, </w:t>
      </w:r>
      <w:r w:rsidR="00D80038" w:rsidRPr="00D80038">
        <w:rPr>
          <w:rFonts w:cstheme="minorHAnsi"/>
          <w:sz w:val="20"/>
          <w:szCs w:val="20"/>
        </w:rPr>
        <w:t>što je za</w:t>
      </w:r>
      <w:r w:rsidRPr="00D80038">
        <w:rPr>
          <w:rFonts w:cstheme="minorHAnsi"/>
          <w:sz w:val="20"/>
          <w:szCs w:val="20"/>
        </w:rPr>
        <w:t xml:space="preserve"> 5,7%</w:t>
      </w:r>
      <w:r w:rsidR="00D80038" w:rsidRPr="00D80038">
        <w:rPr>
          <w:rFonts w:cstheme="minorHAnsi"/>
          <w:sz w:val="20"/>
          <w:szCs w:val="20"/>
        </w:rPr>
        <w:t xml:space="preserve"> niže g-n-g usljed </w:t>
      </w:r>
      <w:r w:rsidRPr="00D80038">
        <w:rPr>
          <w:rFonts w:cstheme="minorHAnsi"/>
          <w:sz w:val="20"/>
          <w:szCs w:val="20"/>
        </w:rPr>
        <w:t>smanjenja kapitalnog</w:t>
      </w:r>
      <w:r>
        <w:rPr>
          <w:sz w:val="20"/>
          <w:szCs w:val="20"/>
          <w:lang w:val="en-US"/>
        </w:rPr>
        <w:t xml:space="preserve"> </w:t>
      </w:r>
    </w:p>
    <w:p w:rsidR="00D80038" w:rsidRDefault="00D80038" w:rsidP="000055E4">
      <w:pPr>
        <w:autoSpaceDE w:val="0"/>
        <w:autoSpaceDN w:val="0"/>
        <w:rPr>
          <w:sz w:val="20"/>
          <w:szCs w:val="20"/>
          <w:lang w:val="en-US"/>
        </w:rPr>
      </w:pPr>
    </w:p>
    <w:p w:rsidR="000055E4" w:rsidRDefault="00D80038" w:rsidP="000055E4">
      <w:pPr>
        <w:autoSpaceDE w:val="0"/>
        <w:autoSpaceDN w:val="0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budžeta. U posmatranom periodu </w:t>
      </w:r>
      <w:r w:rsidR="000055E4" w:rsidRPr="00D80038">
        <w:rPr>
          <w:sz w:val="20"/>
          <w:szCs w:val="20"/>
        </w:rPr>
        <w:t>zabilježen je gotovinski</w:t>
      </w:r>
      <w:r>
        <w:rPr>
          <w:sz w:val="20"/>
          <w:szCs w:val="20"/>
        </w:rPr>
        <w:t xml:space="preserve"> budžetski deficit od 45,9 mil.€. </w:t>
      </w:r>
    </w:p>
    <w:p w:rsidR="000055E4" w:rsidRDefault="008D3DA6" w:rsidP="000055E4">
      <w:pPr>
        <w:rPr>
          <w:b/>
        </w:rPr>
      </w:pPr>
      <w:r w:rsidRPr="00CC5BC9">
        <w:rPr>
          <w:b/>
        </w:rPr>
        <w:t>Monetarni sektor</w:t>
      </w:r>
      <w:r>
        <w:rPr>
          <w:b/>
        </w:rPr>
        <w:t xml:space="preserve"> </w:t>
      </w:r>
    </w:p>
    <w:p w:rsidR="000055E4" w:rsidRPr="000055E4" w:rsidRDefault="000055E4" w:rsidP="000055E4">
      <w:pPr>
        <w:rPr>
          <w:b/>
        </w:rPr>
      </w:pPr>
      <w:r>
        <w:rPr>
          <w:noProof/>
          <w:sz w:val="20"/>
          <w:szCs w:val="20"/>
        </w:rPr>
        <w:t xml:space="preserve">Bankarski sektor je </w:t>
      </w:r>
      <w:r w:rsidRPr="00E43DF8">
        <w:rPr>
          <w:noProof/>
          <w:sz w:val="20"/>
          <w:szCs w:val="20"/>
        </w:rPr>
        <w:t xml:space="preserve">za prvih jedanaest mjeseci bio visoko likvidan </w:t>
      </w:r>
      <w:r>
        <w:rPr>
          <w:noProof/>
          <w:sz w:val="20"/>
          <w:szCs w:val="20"/>
        </w:rPr>
        <w:t>i</w:t>
      </w:r>
      <w:r w:rsidRPr="00E43DF8">
        <w:rPr>
          <w:noProof/>
          <w:sz w:val="20"/>
          <w:szCs w:val="20"/>
        </w:rPr>
        <w:t xml:space="preserve"> ostvario je pozitivan finansijski rezultat od 22,1 mil.€</w:t>
      </w:r>
      <w:r>
        <w:rPr>
          <w:noProof/>
          <w:sz w:val="20"/>
          <w:szCs w:val="20"/>
        </w:rPr>
        <w:t xml:space="preserve">. </w:t>
      </w:r>
      <w:r w:rsidR="001E00F1">
        <w:rPr>
          <w:noProof/>
          <w:sz w:val="20"/>
          <w:szCs w:val="20"/>
        </w:rPr>
        <w:t>U</w:t>
      </w:r>
      <w:r>
        <w:rPr>
          <w:noProof/>
          <w:sz w:val="20"/>
          <w:szCs w:val="20"/>
        </w:rPr>
        <w:t xml:space="preserve">kupni </w:t>
      </w:r>
      <w:r w:rsidRPr="00775F94">
        <w:rPr>
          <w:noProof/>
          <w:sz w:val="20"/>
          <w:szCs w:val="20"/>
        </w:rPr>
        <w:t>depozit</w:t>
      </w:r>
      <w:r w:rsidR="001E00F1" w:rsidRPr="00775F94">
        <w:rPr>
          <w:noProof/>
          <w:sz w:val="20"/>
          <w:szCs w:val="20"/>
        </w:rPr>
        <w:t>i</w:t>
      </w:r>
      <w:r w:rsidRPr="00775F94">
        <w:rPr>
          <w:noProof/>
          <w:sz w:val="20"/>
          <w:szCs w:val="20"/>
        </w:rPr>
        <w:t xml:space="preserve"> </w:t>
      </w:r>
      <w:r w:rsidRPr="00E43DF8">
        <w:rPr>
          <w:noProof/>
          <w:sz w:val="20"/>
          <w:szCs w:val="20"/>
        </w:rPr>
        <w:t>u</w:t>
      </w:r>
      <w:r>
        <w:rPr>
          <w:noProof/>
          <w:sz w:val="20"/>
          <w:szCs w:val="20"/>
        </w:rPr>
        <w:t xml:space="preserve"> novembru iznosili</w:t>
      </w:r>
      <w:r w:rsidR="001E00F1">
        <w:rPr>
          <w:noProof/>
          <w:sz w:val="20"/>
          <w:szCs w:val="20"/>
        </w:rPr>
        <w:t xml:space="preserve"> su</w:t>
      </w:r>
      <w:r>
        <w:rPr>
          <w:b/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2.852,2 mil.€ </w:t>
      </w:r>
      <w:r w:rsidR="00775F94">
        <w:rPr>
          <w:noProof/>
          <w:sz w:val="20"/>
          <w:szCs w:val="20"/>
        </w:rPr>
        <w:t>što je za</w:t>
      </w:r>
      <w:r>
        <w:rPr>
          <w:noProof/>
          <w:sz w:val="20"/>
          <w:szCs w:val="20"/>
        </w:rPr>
        <w:t xml:space="preserve"> 7,3%</w:t>
      </w:r>
      <w:r w:rsidR="00775F94">
        <w:rPr>
          <w:noProof/>
          <w:sz w:val="20"/>
          <w:szCs w:val="20"/>
        </w:rPr>
        <w:t xml:space="preserve"> više g-n-g</w:t>
      </w:r>
      <w:r>
        <w:rPr>
          <w:noProof/>
          <w:sz w:val="20"/>
          <w:szCs w:val="20"/>
        </w:rPr>
        <w:t xml:space="preserve">. </w:t>
      </w:r>
      <w:r w:rsidRPr="00775F94">
        <w:rPr>
          <w:noProof/>
          <w:sz w:val="20"/>
          <w:szCs w:val="20"/>
        </w:rPr>
        <w:t>Kreditna</w:t>
      </w:r>
      <w:r>
        <w:rPr>
          <w:noProof/>
          <w:sz w:val="20"/>
          <w:szCs w:val="20"/>
        </w:rPr>
        <w:t xml:space="preserve"> aktivnost, u ovoj godini, je povecana za 2,5% ili 59,8 mil.€, dok je u odnosu na isti mjesec prethodne godine smanjena za 2,7% ili 66,8 mil.€. Nastavljen je trend pada </w:t>
      </w:r>
      <w:r w:rsidRPr="00775F94">
        <w:rPr>
          <w:noProof/>
          <w:sz w:val="20"/>
          <w:szCs w:val="20"/>
        </w:rPr>
        <w:t xml:space="preserve">kamatnih stopa, </w:t>
      </w:r>
      <w:r>
        <w:rPr>
          <w:noProof/>
          <w:sz w:val="20"/>
          <w:szCs w:val="20"/>
        </w:rPr>
        <w:t>tako da je u novembru kamatna stopa na kredite iznosila 7,55% i smanjena j</w:t>
      </w:r>
      <w:r w:rsidR="00775F94">
        <w:rPr>
          <w:noProof/>
          <w:sz w:val="20"/>
          <w:szCs w:val="20"/>
        </w:rPr>
        <w:t>e na godišnjem nivou za 1,1</w:t>
      </w:r>
      <w:r w:rsidR="002808E6">
        <w:rPr>
          <w:noProof/>
          <w:sz w:val="20"/>
          <w:szCs w:val="20"/>
        </w:rPr>
        <w:t xml:space="preserve"> p.</w:t>
      </w:r>
      <w:r>
        <w:rPr>
          <w:noProof/>
          <w:sz w:val="20"/>
          <w:szCs w:val="20"/>
        </w:rPr>
        <w:t>p, dok je pasivna kamatna stopa sa iznoso</w:t>
      </w:r>
      <w:r w:rsidR="00775F94">
        <w:rPr>
          <w:noProof/>
          <w:sz w:val="20"/>
          <w:szCs w:val="20"/>
        </w:rPr>
        <w:t>m od 0,94% ostvarila pad od 0,3</w:t>
      </w:r>
      <w:r>
        <w:rPr>
          <w:noProof/>
          <w:sz w:val="20"/>
          <w:szCs w:val="20"/>
        </w:rPr>
        <w:t xml:space="preserve"> p.p. u posmatranom periodu. </w:t>
      </w:r>
      <w:r w:rsidRPr="00775F94">
        <w:rPr>
          <w:noProof/>
          <w:sz w:val="20"/>
          <w:szCs w:val="20"/>
        </w:rPr>
        <w:t>Nelikvidnost</w:t>
      </w:r>
      <w:r w:rsidR="00775F94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realnog sektora i dalje predstavlja ključni problem crnogorske ekonomije. Krajem novembra od 81.054 pravna lica i preduzetnika, u blokadi je bilo 15.399 </w:t>
      </w:r>
      <w:r w:rsidR="00775F94">
        <w:rPr>
          <w:noProof/>
          <w:sz w:val="20"/>
          <w:szCs w:val="20"/>
        </w:rPr>
        <w:t xml:space="preserve">dužnika. </w:t>
      </w:r>
      <w:r>
        <w:rPr>
          <w:noProof/>
          <w:sz w:val="20"/>
          <w:szCs w:val="20"/>
        </w:rPr>
        <w:t xml:space="preserve">Ukupan dug po osnovu koga je izvršena blokada računa je iznosio 623,4 </w:t>
      </w:r>
      <w:r w:rsidR="00775F94">
        <w:rPr>
          <w:noProof/>
          <w:sz w:val="20"/>
          <w:szCs w:val="20"/>
        </w:rPr>
        <w:t>mil.</w:t>
      </w:r>
      <w:r>
        <w:rPr>
          <w:noProof/>
          <w:sz w:val="20"/>
          <w:szCs w:val="20"/>
        </w:rPr>
        <w:t>€, što je za 0,85% više u odnosu na oktobar.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Spoljnotrgovinska razmjena</w:t>
      </w:r>
      <w:r>
        <w:rPr>
          <w:b/>
        </w:rPr>
        <w:t xml:space="preserve"> </w:t>
      </w:r>
    </w:p>
    <w:p w:rsidR="000055E4" w:rsidRPr="000055E4" w:rsidRDefault="000055E4" w:rsidP="000055E4">
      <w:pPr>
        <w:rPr>
          <w:rFonts w:cstheme="minorHAnsi"/>
          <w:sz w:val="20"/>
          <w:szCs w:val="20"/>
        </w:rPr>
      </w:pPr>
      <w:r w:rsidRPr="000055E4">
        <w:rPr>
          <w:rFonts w:cstheme="minorHAnsi"/>
          <w:sz w:val="20"/>
          <w:szCs w:val="20"/>
        </w:rPr>
        <w:t>Dalji rast spoljnotrgovinskog deficita za period januar-novembar 2016. presudno je pod uticajem  povećanja vrijednosti uvoza mašina, transportnih uređaja i proizvoda od metala.</w:t>
      </w:r>
      <w:r w:rsidR="00775F94">
        <w:rPr>
          <w:rFonts w:cstheme="minorHAnsi"/>
          <w:sz w:val="20"/>
          <w:szCs w:val="20"/>
        </w:rPr>
        <w:t xml:space="preserve"> </w:t>
      </w:r>
      <w:r w:rsidRPr="000055E4">
        <w:rPr>
          <w:rFonts w:cstheme="minorHAnsi"/>
          <w:sz w:val="20"/>
          <w:szCs w:val="20"/>
        </w:rPr>
        <w:t>Robni deficit je iznosio 1.592,0mil.€. i bilježi povećanje od 13,8%, uz stepen pokrivenosti uvoza izvozom od svega 15,6%. Ostvaren je izvoz u vrijednosti od 293,7 mil.</w:t>
      </w:r>
      <w:r w:rsidR="00775F94">
        <w:rPr>
          <w:rFonts w:cstheme="minorHAnsi"/>
          <w:sz w:val="20"/>
          <w:szCs w:val="20"/>
        </w:rPr>
        <w:t>€</w:t>
      </w:r>
      <w:r w:rsidRPr="000055E4">
        <w:rPr>
          <w:rFonts w:cstheme="minorHAnsi"/>
          <w:sz w:val="20"/>
          <w:szCs w:val="20"/>
        </w:rPr>
        <w:t>, a  uvoz 1.885,3 mil.</w:t>
      </w:r>
      <w:r w:rsidR="00775F94">
        <w:rPr>
          <w:rFonts w:cstheme="minorHAnsi"/>
          <w:sz w:val="20"/>
          <w:szCs w:val="20"/>
        </w:rPr>
        <w:t>€</w:t>
      </w:r>
      <w:r w:rsidRPr="000055E4">
        <w:rPr>
          <w:rFonts w:cstheme="minorHAnsi"/>
          <w:sz w:val="20"/>
          <w:szCs w:val="20"/>
        </w:rPr>
        <w:t xml:space="preserve">, što je za 6,9% i 12,6% više, respektivno. Rast ukupnog izvoza dominantno je opredijeljen povećanjem izvoza aluminijuma (10,5%), električne energije (14,8%) i medicinskih proizvoda (52,6%). Na drugoj strani, smanjen je izvoz drvnih sortimenata za 4,0%, kao rezultat primjene  obračuna naknada na prekomjerni izvoz istih. Nastavlja se rastući trend uvoza mašina i transportnih sredstava, koji je u ovom periodu povećan za 32,6%, uglavnom za potrebe realizacije kapitalnih projekata iz oblasti saobraćaja, energetike i turizma. </w:t>
      </w:r>
    </w:p>
    <w:p w:rsidR="00245A38" w:rsidRPr="00D80038" w:rsidRDefault="00D80038" w:rsidP="00245A38">
      <w:pPr>
        <w:rPr>
          <w:b/>
        </w:rPr>
      </w:pPr>
      <w:r w:rsidRPr="00D80038">
        <w:rPr>
          <w:b/>
        </w:rPr>
        <w:t>Strane direktne investicije</w:t>
      </w:r>
    </w:p>
    <w:p w:rsidR="002A278E" w:rsidRDefault="00FE3675" w:rsidP="002A278E">
      <w:r>
        <w:rPr>
          <w:sz w:val="20"/>
          <w:szCs w:val="20"/>
        </w:rPr>
        <w:t xml:space="preserve">U periodu januar – oktobar neto priliv SDI iznosio je  312,7 mil.€, što je za 43,8% manje g-n-g. Ukupan priliv SDI iznosio je 593,9 mil.€, što je za 7,8% manje g-n-g.  Struktura priliva SDI: investicije u preduzeća i banke 25,3%, investicije u nekretnine 17,3%, interkompanijski dug 25,4% i ostale investicije 31,9%. Ukupan odliv SDI iznosio je 281,2 mil.€, što je za preko tri puta više u odnosu na 2015. </w:t>
      </w:r>
    </w:p>
    <w:p w:rsidR="008D3DA6" w:rsidRDefault="00A54385" w:rsidP="008D3DA6">
      <w:pPr>
        <w:rPr>
          <w:b/>
          <w:noProof/>
        </w:rPr>
      </w:pPr>
      <w:r w:rsidRPr="00A54385">
        <w:rPr>
          <w:b/>
          <w:noProof/>
          <w:lang w:eastAsia="sr-Latn-CS"/>
        </w:rPr>
        <w:lastRenderedPageBreak/>
        <w:drawing>
          <wp:anchor distT="0" distB="0" distL="114300" distR="114300" simplePos="0" relativeHeight="2517596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-71120</wp:posOffset>
            </wp:positionV>
            <wp:extent cx="2466975" cy="2276475"/>
            <wp:effectExtent l="19050" t="0" r="0" b="0"/>
            <wp:wrapSquare wrapText="bothSides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A54385">
        <w:rPr>
          <w:b/>
          <w:noProof/>
          <w:lang w:eastAsia="sr-Latn-C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align>top</wp:align>
            </wp:positionV>
            <wp:extent cx="2735580" cy="2133600"/>
            <wp:effectExtent l="0" t="0" r="7620" b="0"/>
            <wp:wrapSquare wrapText="bothSides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B40294" w:rsidRPr="00B40294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85.75pt;margin-top:-28.1pt;width:192.65pt;height:13.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" stroked="f">
            <v:textbox inset="0,0,0,0">
              <w:txbxContent>
                <w:p w:rsidR="00CC5BC9" w:rsidRPr="006F47A8" w:rsidRDefault="00CC5BC9" w:rsidP="00CC5BC9">
                  <w:pPr>
                    <w:pStyle w:val="Caption"/>
                    <w:rPr>
                      <w:noProof/>
                    </w:rPr>
                  </w:pPr>
                  <w:r>
                    <w:t xml:space="preserve">Grafik </w:t>
                  </w:r>
                  <w:r w:rsidR="00B171C8">
                    <w:t>2</w:t>
                  </w:r>
                  <w:r>
                    <w:t xml:space="preserve"> </w:t>
                  </w:r>
                  <w:r w:rsidR="00A54385">
                    <w:t>Inflacija</w:t>
                  </w:r>
                  <w:r w:rsidR="00EF7939">
                    <w:t>,</w:t>
                  </w:r>
                  <w:r w:rsidR="00F71E4F">
                    <w:t xml:space="preserve"> </w:t>
                  </w:r>
                  <w:r w:rsidR="00283900">
                    <w:t>godišnji rast</w:t>
                  </w:r>
                  <w:r w:rsidR="00957B61">
                    <w:t>, %</w:t>
                  </w:r>
                </w:p>
              </w:txbxContent>
            </v:textbox>
          </v:shape>
        </w:pict>
      </w:r>
      <w:r w:rsidR="00B40294" w:rsidRPr="00B40294">
        <w:rPr>
          <w:noProof/>
          <w:lang w:val="en-US"/>
        </w:rPr>
        <w:pict>
          <v:shape id="Text Box 2" o:spid="_x0000_s1026" type="#_x0000_t202" style="position:absolute;left:0;text-align:left;margin-left:-220.55pt;margin-top:-28.1pt;width:196.35pt;height:23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2Vew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" stroked="f">
            <v:textbox inset="0,0,0,0">
              <w:txbxContent>
                <w:p w:rsidR="00CC5BC9" w:rsidRPr="007D3C8A" w:rsidRDefault="00CC5BC9" w:rsidP="00CC5BC9">
                  <w:pPr>
                    <w:pStyle w:val="Caption"/>
                    <w:rPr>
                      <w:noProof/>
                    </w:rPr>
                  </w:pPr>
                  <w:r w:rsidRPr="007D3C8A">
                    <w:t xml:space="preserve">Grafik </w:t>
                  </w:r>
                  <w:r w:rsidR="00B171C8" w:rsidRPr="007D3C8A">
                    <w:t>1</w:t>
                  </w:r>
                  <w:r w:rsidR="00957B61" w:rsidRPr="007D3C8A">
                    <w:t xml:space="preserve"> </w:t>
                  </w:r>
                  <w:r w:rsidR="00A54385">
                    <w:t>Proizvodnja električne energije</w:t>
                  </w:r>
                  <w:r w:rsidR="00751E27">
                    <w:t>,</w:t>
                  </w:r>
                  <w:r w:rsidR="004B726F">
                    <w:t xml:space="preserve"> </w:t>
                  </w:r>
                  <w:r w:rsidR="001151DC">
                    <w:t>godišnji rast</w:t>
                  </w:r>
                  <w:r w:rsidR="0083533D">
                    <w:t>, %</w:t>
                  </w:r>
                </w:p>
              </w:txbxContent>
            </v:textbox>
          </v:shape>
        </w:pict>
      </w:r>
    </w:p>
    <w:p w:rsidR="00E42D19" w:rsidRDefault="00E42D19" w:rsidP="007B151B">
      <w:pPr>
        <w:rPr>
          <w:b/>
          <w:noProof/>
        </w:rPr>
      </w:pPr>
    </w:p>
    <w:p w:rsidR="00E42D19" w:rsidRDefault="00E42D19" w:rsidP="007B151B">
      <w:pPr>
        <w:rPr>
          <w:b/>
          <w:noProof/>
        </w:rPr>
      </w:pPr>
    </w:p>
    <w:p w:rsidR="00B171C8" w:rsidRDefault="00B171C8" w:rsidP="007B151B">
      <w:pPr>
        <w:spacing w:line="276" w:lineRule="auto"/>
      </w:pPr>
    </w:p>
    <w:p w:rsidR="00B171C8" w:rsidRDefault="00B171C8" w:rsidP="007B151B">
      <w:pPr>
        <w:spacing w:line="276" w:lineRule="auto"/>
      </w:pPr>
    </w:p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B40294" w:rsidP="00B171C8">
      <w:r w:rsidRPr="00B40294">
        <w:rPr>
          <w:noProof/>
          <w:lang w:val="en-US"/>
        </w:rPr>
        <w:pict>
          <v:shape id="Text Box 11" o:spid="_x0000_s1028" type="#_x0000_t202" style="position:absolute;left:0;text-align:left;margin-left:252.3pt;margin-top:9pt;width:203.2pt;height:32.9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" stroked="f">
            <v:textbox inset="0,0,0,0">
              <w:txbxContent>
                <w:p w:rsidR="00B62939" w:rsidRPr="004B726F" w:rsidRDefault="009D06FF" w:rsidP="00B62939">
                  <w:pPr>
                    <w:pStyle w:val="Caption"/>
                    <w:rPr>
                      <w:i/>
                    </w:rPr>
                  </w:pPr>
                  <w:r w:rsidRPr="004B726F">
                    <w:rPr>
                      <w:i/>
                    </w:rPr>
                    <w:t>...</w:t>
                  </w:r>
                  <w:r w:rsidR="00A54385" w:rsidRPr="00A54385">
                    <w:rPr>
                      <w:i/>
                    </w:rPr>
                    <w:t>nastavlja se trend stabilizacije cijena hrane i rasta cijena goriva</w:t>
                  </w:r>
                  <w:r w:rsidR="00B62939" w:rsidRPr="004B726F">
                    <w:rPr>
                      <w:i/>
                    </w:rPr>
                    <w:t>.</w:t>
                  </w:r>
                  <w:r w:rsidR="0073671A">
                    <w:rPr>
                      <w:i/>
                    </w:rPr>
                    <w:t>.</w:t>
                  </w:r>
                  <w:r w:rsidR="00B62939" w:rsidRPr="004B726F">
                    <w:rPr>
                      <w:i/>
                    </w:rPr>
                    <w:t>.</w:t>
                  </w:r>
                </w:p>
                <w:p w:rsidR="00B62939" w:rsidRPr="00A249D2" w:rsidRDefault="00B62939" w:rsidP="00B62939"/>
                <w:p w:rsidR="009D06FF" w:rsidRPr="009D06FF" w:rsidRDefault="00DB0048" w:rsidP="009D06FF">
                  <w:pPr>
                    <w:pStyle w:val="Caption"/>
                    <w:rPr>
                      <w:i/>
                      <w:noProof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...</w:t>
                  </w:r>
                </w:p>
              </w:txbxContent>
            </v:textbox>
          </v:shape>
        </w:pict>
      </w:r>
    </w:p>
    <w:p w:rsidR="00F71E4F" w:rsidRPr="00A54385" w:rsidRDefault="00B40294" w:rsidP="00B171C8">
      <w:pPr>
        <w:rPr>
          <w:b/>
          <w:bCs/>
          <w:i/>
          <w:color w:val="4F81BD" w:themeColor="accent1"/>
          <w:sz w:val="18"/>
          <w:szCs w:val="18"/>
        </w:rPr>
      </w:pPr>
      <w:r w:rsidRPr="00B40294">
        <w:rPr>
          <w:noProof/>
          <w:lang w:val="en-US"/>
        </w:rPr>
        <w:pict>
          <v:shape id="Text Box 10" o:spid="_x0000_s1029" type="#_x0000_t202" style="position:absolute;left:0;text-align:left;margin-left:-36.35pt;margin-top:.4pt;width:200.9pt;height:3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" stroked="f">
            <v:textbox inset="0,0,0,0">
              <w:txbxContent>
                <w:p w:rsidR="009D06FF" w:rsidRPr="00A54385" w:rsidRDefault="009D06FF" w:rsidP="009D06FF">
                  <w:pPr>
                    <w:pStyle w:val="Caption"/>
                    <w:rPr>
                      <w:i/>
                    </w:rPr>
                  </w:pPr>
                  <w:r w:rsidRPr="00A54385">
                    <w:rPr>
                      <w:i/>
                    </w:rPr>
                    <w:t>...</w:t>
                  </w:r>
                  <w:r w:rsidR="00A54385" w:rsidRPr="00A54385">
                    <w:rPr>
                      <w:i/>
                    </w:rPr>
                    <w:t>Značajne mjesečne fluktuacije proizvodnje električne energije ukazuju na visoku zavisnost od vremenskih uslova i rada TE Pljevlja</w:t>
                  </w:r>
                  <w:r w:rsidR="0073775D" w:rsidRPr="004B726F">
                    <w:rPr>
                      <w:i/>
                    </w:rPr>
                    <w:t>...</w:t>
                  </w:r>
                </w:p>
              </w:txbxContent>
            </v:textbox>
          </v:shape>
        </w:pict>
      </w:r>
    </w:p>
    <w:p w:rsidR="00F71E4F" w:rsidRPr="00A54385" w:rsidRDefault="00F71E4F" w:rsidP="00B171C8">
      <w:pPr>
        <w:rPr>
          <w:b/>
          <w:bCs/>
          <w:i/>
          <w:color w:val="4F81BD" w:themeColor="accent1"/>
          <w:sz w:val="18"/>
          <w:szCs w:val="18"/>
        </w:rPr>
      </w:pPr>
    </w:p>
    <w:p w:rsidR="00F61980" w:rsidRDefault="00F61980" w:rsidP="00B171C8"/>
    <w:p w:rsidR="00F71E4F" w:rsidRDefault="00B40294" w:rsidP="00B171C8">
      <w:r w:rsidRPr="00B40294">
        <w:rPr>
          <w:noProof/>
          <w:lang w:val="en-US"/>
        </w:rPr>
        <w:pict>
          <v:shape id="Text Box 5" o:spid="_x0000_s1030" type="#_x0000_t202" style="position:absolute;left:0;text-align:left;margin-left:262.15pt;margin-top:13pt;width:187.75pt;height:23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BJfAIAAAY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" stroked="f">
            <v:textbox inset="0,0,0,0">
              <w:txbxContent>
                <w:p w:rsidR="00B171C8" w:rsidRPr="00575CC7" w:rsidRDefault="00957B61" w:rsidP="00B171C8">
                  <w:pPr>
                    <w:pStyle w:val="Caption"/>
                  </w:pPr>
                  <w:r>
                    <w:t>Grafik 4</w:t>
                  </w:r>
                  <w:r w:rsidR="004C0387">
                    <w:t xml:space="preserve"> </w:t>
                  </w:r>
                  <w:r w:rsidR="00430B42">
                    <w:t>Kretanje prihoda i rashoda</w:t>
                  </w:r>
                  <w:r>
                    <w:t>,</w:t>
                  </w:r>
                  <w:r w:rsidR="004C0387">
                    <w:t xml:space="preserve"> </w:t>
                  </w:r>
                  <w:r w:rsidR="00430B42">
                    <w:t>u mil.€</w:t>
                  </w:r>
                </w:p>
              </w:txbxContent>
            </v:textbox>
          </v:shape>
        </w:pict>
      </w:r>
      <w:r w:rsidRPr="00B40294">
        <w:rPr>
          <w:noProof/>
          <w:lang w:val="en-US"/>
        </w:rPr>
        <w:pict>
          <v:shape id="Text Box 4" o:spid="_x0000_s1031" type="#_x0000_t202" style="position:absolute;left:0;text-align:left;margin-left:-36.35pt;margin-top:13pt;width:192.65pt;height:10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" stroked="f">
            <v:textbox inset="0,0,0,0">
              <w:txbxContent>
                <w:p w:rsidR="00B171C8" w:rsidRPr="00100981" w:rsidRDefault="00B171C8" w:rsidP="00B171C8">
                  <w:pPr>
                    <w:pStyle w:val="Caption"/>
                    <w:rPr>
                      <w:lang w:val="en-US"/>
                    </w:rPr>
                  </w:pPr>
                  <w:r>
                    <w:t xml:space="preserve">Grafik 3 </w:t>
                  </w:r>
                  <w:r w:rsidR="00100981">
                    <w:t xml:space="preserve">Zarade, u </w:t>
                  </w:r>
                  <w:r w:rsidR="00100981">
                    <w:rPr>
                      <w:lang w:val="en-US"/>
                    </w:rPr>
                    <w:t>€</w:t>
                  </w:r>
                </w:p>
              </w:txbxContent>
            </v:textbox>
          </v:shape>
        </w:pict>
      </w:r>
    </w:p>
    <w:p w:rsidR="00B171C8" w:rsidRPr="00B171C8" w:rsidRDefault="00B171C8" w:rsidP="00B171C8"/>
    <w:p w:rsidR="006B2901" w:rsidRPr="00B171C8" w:rsidRDefault="009445B3" w:rsidP="00B171C8">
      <w:r>
        <w:rPr>
          <w:noProof/>
          <w:lang w:eastAsia="sr-Latn-CS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margin">
              <wp:posOffset>-632460</wp:posOffset>
            </wp:positionH>
            <wp:positionV relativeFrom="margin">
              <wp:posOffset>3376930</wp:posOffset>
            </wp:positionV>
            <wp:extent cx="2733675" cy="1943100"/>
            <wp:effectExtent l="19050" t="0" r="0" b="0"/>
            <wp:wrapSquare wrapText="bothSides"/>
            <wp:docPr id="14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EE77EA">
        <w:rPr>
          <w:noProof/>
          <w:lang w:eastAsia="sr-Latn-CS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margin">
              <wp:posOffset>3196590</wp:posOffset>
            </wp:positionH>
            <wp:positionV relativeFrom="margin">
              <wp:posOffset>3376930</wp:posOffset>
            </wp:positionV>
            <wp:extent cx="2867025" cy="2009775"/>
            <wp:effectExtent l="19050" t="0" r="0" b="0"/>
            <wp:wrapSquare wrapText="bothSides"/>
            <wp:docPr id="12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E8072F" w:rsidRDefault="00E8072F" w:rsidP="004C0387">
      <w:pPr>
        <w:pStyle w:val="Caption"/>
      </w:pPr>
    </w:p>
    <w:p w:rsidR="00F61980" w:rsidRDefault="00F61980" w:rsidP="00B312F3"/>
    <w:p w:rsidR="00400FB4" w:rsidRDefault="00400FB4" w:rsidP="00B312F3"/>
    <w:p w:rsidR="00400FB4" w:rsidRPr="00B312F3" w:rsidRDefault="00400FB4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40294" w:rsidP="00B312F3">
      <w:r w:rsidRPr="00B40294">
        <w:rPr>
          <w:noProof/>
          <w:lang w:val="en-US"/>
        </w:rPr>
        <w:pict>
          <v:shape id="Text Box 15" o:spid="_x0000_s1033" type="#_x0000_t202" style="position:absolute;left:0;text-align:left;margin-left:-44.7pt;margin-top:11.35pt;width:232.65pt;height:14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" stroked="f">
            <v:textbox style="mso-next-textbox:#Text Box 15" inset="0,0,0,0">
              <w:txbxContent>
                <w:p w:rsidR="00203F47" w:rsidRPr="00590347" w:rsidRDefault="009150CA" w:rsidP="00203F47">
                  <w:pPr>
                    <w:pStyle w:val="Caption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t>..</w:t>
                  </w:r>
                  <w:r w:rsidR="004000F3">
                    <w:rPr>
                      <w:i/>
                      <w:noProof/>
                    </w:rPr>
                    <w:t>.</w:t>
                  </w:r>
                  <w:r w:rsidR="00BA31EA">
                    <w:rPr>
                      <w:i/>
                      <w:noProof/>
                    </w:rPr>
                    <w:t xml:space="preserve">Neto zarada u novembru povećana 4,4% </w:t>
                  </w:r>
                  <w:r w:rsidR="004000F3">
                    <w:rPr>
                      <w:i/>
                      <w:noProof/>
                    </w:rPr>
                    <w:t xml:space="preserve"> g-n-g</w:t>
                  </w:r>
                  <w:r w:rsidR="00716398">
                    <w:rPr>
                      <w:i/>
                      <w:noProof/>
                    </w:rPr>
                    <w:t>...</w:t>
                  </w:r>
                </w:p>
              </w:txbxContent>
            </v:textbox>
          </v:shape>
        </w:pict>
      </w:r>
      <w:r w:rsidRPr="00B40294">
        <w:rPr>
          <w:noProof/>
          <w:lang w:val="en-US"/>
        </w:rPr>
        <w:pict>
          <v:shape id="Text Box 16" o:spid="_x0000_s1032" type="#_x0000_t202" style="position:absolute;left:0;text-align:left;margin-left:266.75pt;margin-top:11.35pt;width:192.8pt;height:19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" stroked="f">
            <v:textbox style="mso-next-textbox:#Text Box 16" inset="0,0,0,0">
              <w:txbxContent>
                <w:p w:rsidR="006C52D2" w:rsidRPr="0098749F" w:rsidRDefault="004C0387" w:rsidP="0098749F">
                  <w:pPr>
                    <w:pStyle w:val="Caption"/>
                    <w:rPr>
                      <w:i/>
                    </w:rPr>
                  </w:pPr>
                  <w:r>
                    <w:rPr>
                      <w:i/>
                    </w:rPr>
                    <w:t>...</w:t>
                  </w:r>
                  <w:r w:rsidR="00BA31EA">
                    <w:rPr>
                      <w:i/>
                    </w:rPr>
                    <w:t>Prihodi budžeta u novembru viši za 17,3% g-n-g</w:t>
                  </w:r>
                  <w:r w:rsidR="00660B0E" w:rsidRPr="00590347">
                    <w:rPr>
                      <w:i/>
                    </w:rPr>
                    <w:t xml:space="preserve">... </w:t>
                  </w:r>
                </w:p>
              </w:txbxContent>
            </v:textbox>
          </v:shape>
        </w:pict>
      </w:r>
    </w:p>
    <w:p w:rsidR="00B312F3" w:rsidRPr="00B312F3" w:rsidRDefault="00B312F3" w:rsidP="00B312F3"/>
    <w:p w:rsidR="00B312F3" w:rsidRPr="00B312F3" w:rsidRDefault="00B312F3" w:rsidP="00B312F3"/>
    <w:p w:rsidR="00D116C2" w:rsidRDefault="00D116C2" w:rsidP="00B312F3"/>
    <w:p w:rsidR="00D116C2" w:rsidRDefault="00B40294" w:rsidP="00B312F3">
      <w:r w:rsidRPr="00B40294">
        <w:rPr>
          <w:noProof/>
          <w:lang w:val="en-US"/>
        </w:rPr>
        <w:pict>
          <v:shape id="Text Box 6" o:spid="_x0000_s1035" type="#_x0000_t202" style="position:absolute;left:0;text-align:left;margin-left:-44.7pt;margin-top:11.35pt;width:228.3pt;height:20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" stroked="f">
            <v:textbox style="mso-next-textbox:#Text Box 6" inset="0,0,0,0">
              <w:txbxContent>
                <w:p w:rsidR="008E2C7D" w:rsidRPr="000600DC" w:rsidRDefault="008E2C7D" w:rsidP="008E2C7D">
                  <w:pPr>
                    <w:pStyle w:val="Caption"/>
                    <w:rPr>
                      <w:noProof/>
                    </w:rPr>
                  </w:pPr>
                  <w:r>
                    <w:t xml:space="preserve">Grafik 5 </w:t>
                  </w:r>
                  <w:r w:rsidR="007920C5">
                    <w:t>Nekvalitetni krediti</w:t>
                  </w:r>
                  <w:r w:rsidR="0022033B">
                    <w:t>,</w:t>
                  </w:r>
                  <w:r w:rsidR="007920C5">
                    <w:t xml:space="preserve"> u hilj.€ i učešće</w:t>
                  </w:r>
                  <w:r w:rsidR="00003121">
                    <w:t xml:space="preserve"> u ukupnim kreditima</w:t>
                  </w:r>
                  <w:r w:rsidR="00043FAF">
                    <w:t>, %</w:t>
                  </w:r>
                </w:p>
              </w:txbxContent>
            </v:textbox>
          </v:shape>
        </w:pict>
      </w:r>
      <w:r w:rsidRPr="00B40294">
        <w:rPr>
          <w:noProof/>
          <w:lang w:val="en-US"/>
        </w:rPr>
        <w:pict>
          <v:shape id="Text Box 7" o:spid="_x0000_s1034" type="#_x0000_t202" style="position:absolute;left:0;text-align:left;margin-left:262.15pt;margin-top:6.35pt;width:193.35pt;height:25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" stroked="f">
            <v:textbox style="mso-next-textbox:#Text Box 7" inset="0,0,0,0">
              <w:txbxContent>
                <w:p w:rsidR="008E2C7D" w:rsidRPr="00383BE7" w:rsidRDefault="008E2C7D" w:rsidP="008E2C7D">
                  <w:pPr>
                    <w:pStyle w:val="Caption"/>
                    <w:rPr>
                      <w:noProof/>
                    </w:rPr>
                  </w:pPr>
                  <w:r>
                    <w:t xml:space="preserve">Grafik 6 </w:t>
                  </w:r>
                  <w:r w:rsidR="006D4EC2">
                    <w:t>Neto SDI</w:t>
                  </w:r>
                  <w:r w:rsidR="00660B0E">
                    <w:t xml:space="preserve">, </w:t>
                  </w:r>
                  <w:r w:rsidR="00A317B6">
                    <w:t xml:space="preserve">u </w:t>
                  </w:r>
                  <w:r w:rsidR="002C5295">
                    <w:t>mil.€</w:t>
                  </w:r>
                </w:p>
              </w:txbxContent>
            </v:textbox>
          </v:shape>
        </w:pict>
      </w:r>
    </w:p>
    <w:p w:rsidR="00865E5F" w:rsidRDefault="00865E5F" w:rsidP="00B312F3"/>
    <w:p w:rsidR="00865E5F" w:rsidRDefault="00746D86" w:rsidP="00B312F3">
      <w:r>
        <w:rPr>
          <w:noProof/>
          <w:lang w:eastAsia="sr-Latn-CS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margin">
              <wp:posOffset>3291840</wp:posOffset>
            </wp:positionH>
            <wp:positionV relativeFrom="margin">
              <wp:posOffset>6538595</wp:posOffset>
            </wp:positionV>
            <wp:extent cx="2647950" cy="1933575"/>
            <wp:effectExtent l="19050" t="0" r="0" b="0"/>
            <wp:wrapSquare wrapText="bothSides"/>
            <wp:docPr id="13" name="Chart 6" descr="cid:image001.png@01D28130.042E4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6" descr="cid:image001.png@01D28130.042E444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0C5">
        <w:rPr>
          <w:noProof/>
          <w:lang w:eastAsia="sr-Latn-CS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margin">
              <wp:posOffset>-632460</wp:posOffset>
            </wp:positionH>
            <wp:positionV relativeFrom="margin">
              <wp:posOffset>6539230</wp:posOffset>
            </wp:positionV>
            <wp:extent cx="2819400" cy="2095500"/>
            <wp:effectExtent l="0" t="0" r="0" b="0"/>
            <wp:wrapSquare wrapText="bothSides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B312F3" w:rsidRDefault="00B312F3" w:rsidP="00B312F3"/>
    <w:p w:rsidR="008E2C7D" w:rsidRPr="008E2C7D" w:rsidRDefault="00B312F3" w:rsidP="00660BB8">
      <w:pPr>
        <w:tabs>
          <w:tab w:val="left" w:pos="6144"/>
        </w:tabs>
      </w:pPr>
      <w:r>
        <w:tab/>
      </w:r>
    </w:p>
    <w:p w:rsidR="00400FB4" w:rsidRDefault="00400FB4" w:rsidP="008E2C7D"/>
    <w:p w:rsidR="008E2C7D" w:rsidRPr="008E2C7D" w:rsidRDefault="008E2C7D" w:rsidP="008E2C7D"/>
    <w:p w:rsidR="008E2C7D" w:rsidRPr="008E2C7D" w:rsidRDefault="008E2C7D" w:rsidP="00660B0E"/>
    <w:p w:rsidR="008E2C7D" w:rsidRPr="008E2C7D" w:rsidRDefault="008E2C7D" w:rsidP="008E2C7D"/>
    <w:p w:rsidR="008E2C7D" w:rsidRPr="008E2C7D" w:rsidRDefault="008E2C7D" w:rsidP="008E2C7D"/>
    <w:p w:rsidR="008E2C7D" w:rsidRPr="008E2C7D" w:rsidRDefault="008E2C7D" w:rsidP="008E2C7D"/>
    <w:p w:rsidR="00D71A89" w:rsidRDefault="00D71A89" w:rsidP="008E2C7D"/>
    <w:p w:rsidR="00D71A89" w:rsidRDefault="00D71A89" w:rsidP="00D71A89"/>
    <w:p w:rsidR="008E2C7D" w:rsidRPr="008E2C7D" w:rsidRDefault="008E2C7D" w:rsidP="008E2C7D"/>
    <w:p w:rsidR="008E2C7D" w:rsidRPr="008E2C7D" w:rsidRDefault="008E2C7D" w:rsidP="008E2C7D"/>
    <w:p w:rsidR="0079718D" w:rsidRDefault="00B40294" w:rsidP="006A0D43">
      <w:pPr>
        <w:tabs>
          <w:tab w:val="left" w:pos="6912"/>
        </w:tabs>
        <w:sectPr w:rsidR="0079718D" w:rsidSect="00870E6B">
          <w:headerReference w:type="default" r:id="rId14"/>
          <w:pgSz w:w="11906" w:h="16838"/>
          <w:pgMar w:top="1417" w:right="1134" w:bottom="1417" w:left="1701" w:header="708" w:footer="708" w:gutter="0"/>
          <w:cols w:num="2" w:space="454"/>
          <w:docGrid w:linePitch="360"/>
        </w:sectPr>
      </w:pPr>
      <w:r w:rsidRPr="00B40294">
        <w:rPr>
          <w:noProof/>
          <w:lang w:val="en-US"/>
        </w:rPr>
        <w:pict>
          <v:shape id="Text Box 17" o:spid="_x0000_s1037" type="#_x0000_t202" style="position:absolute;left:0;text-align:left;margin-left:95.5pt;margin-top:6.7pt;width:207.95pt;height:31.1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" stroked="f">
            <v:textbox inset="0,0,0,0">
              <w:txbxContent>
                <w:p w:rsidR="00660B0E" w:rsidRPr="00590347" w:rsidRDefault="007D7E9D" w:rsidP="00660B0E">
                  <w:pPr>
                    <w:pStyle w:val="Caption"/>
                    <w:rPr>
                      <w:i/>
                      <w:noProof/>
                    </w:rPr>
                  </w:pPr>
                  <w:r w:rsidRPr="00590347">
                    <w:rPr>
                      <w:i/>
                    </w:rPr>
                    <w:t>...</w:t>
                  </w:r>
                  <w:r w:rsidR="00746D86">
                    <w:rPr>
                      <w:rFonts w:cstheme="minorHAnsi"/>
                      <w:i/>
                    </w:rPr>
                    <w:t>Linija trenda pokazuje lagani oporavak SDI</w:t>
                  </w:r>
                  <w:r w:rsidR="00746D86">
                    <w:rPr>
                      <w:i/>
                    </w:rPr>
                    <w:t>.</w:t>
                  </w:r>
                  <w:r w:rsidRPr="00590347">
                    <w:rPr>
                      <w:i/>
                    </w:rPr>
                    <w:t>..</w:t>
                  </w:r>
                </w:p>
              </w:txbxContent>
            </v:textbox>
          </v:shape>
        </w:pict>
      </w:r>
      <w:r w:rsidRPr="00B40294">
        <w:rPr>
          <w:noProof/>
          <w:lang w:val="en-US"/>
        </w:rPr>
        <w:pict>
          <v:shape id="Text Box 13" o:spid="_x0000_s1036" type="#_x0000_t202" style="position:absolute;left:0;text-align:left;margin-left:-225.9pt;margin-top:6.7pt;width:228.3pt;height:31.1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i6fgIAAAg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" stroked="f">
            <v:textbox inset="0,0,0,0">
              <w:txbxContent>
                <w:p w:rsidR="00936469" w:rsidRPr="00EF7939" w:rsidRDefault="00936469" w:rsidP="00936469">
                  <w:pPr>
                    <w:pStyle w:val="Caption"/>
                  </w:pPr>
                  <w:r w:rsidRPr="00EF7939">
                    <w:t>...</w:t>
                  </w:r>
                  <w:r w:rsidR="007920C5">
                    <w:rPr>
                      <w:rFonts w:cstheme="minorHAnsi"/>
                      <w:i/>
                    </w:rPr>
                    <w:t>Pad nekvalitetnih kredita i kumulativno i u učešću u ukupnim kreditima</w:t>
                  </w:r>
                  <w:r w:rsidR="00EF7939" w:rsidRPr="006D7DD5">
                    <w:rPr>
                      <w:rFonts w:cstheme="minorHAnsi"/>
                      <w:i/>
                    </w:rPr>
                    <w:t>.</w:t>
                  </w:r>
                  <w:r w:rsidR="007920C5">
                    <w:rPr>
                      <w:i/>
                    </w:rPr>
                    <w:t>..</w:t>
                  </w:r>
                </w:p>
                <w:p w:rsidR="00936469" w:rsidRPr="009149C7" w:rsidRDefault="00936469" w:rsidP="00936469">
                  <w:pPr>
                    <w:pStyle w:val="Caption"/>
                    <w:rPr>
                      <w:noProof/>
                    </w:rPr>
                  </w:pPr>
                </w:p>
              </w:txbxContent>
            </v:textbox>
          </v:shape>
        </w:pict>
      </w:r>
      <w:r w:rsidR="00A40C0E">
        <w:tab/>
        <w:t>... Povećan deficit...</w:t>
      </w:r>
    </w:p>
    <w:tbl>
      <w:tblPr>
        <w:tblpPr w:leftFromText="141" w:rightFromText="141" w:vertAnchor="text" w:horzAnchor="page" w:tblpX="8991" w:tblpY="488"/>
        <w:tblOverlap w:val="never"/>
        <w:tblW w:w="744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37"/>
        <w:gridCol w:w="861"/>
        <w:gridCol w:w="596"/>
        <w:gridCol w:w="1121"/>
        <w:gridCol w:w="1099"/>
        <w:gridCol w:w="1027"/>
      </w:tblGrid>
      <w:tr w:rsidR="0012316F" w:rsidRPr="0012316F" w:rsidTr="00DF5787">
        <w:trPr>
          <w:trHeight w:val="452"/>
        </w:trPr>
        <w:tc>
          <w:tcPr>
            <w:tcW w:w="273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lastRenderedPageBreak/>
              <w:t>BUDŽET CRNE GORE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Ostvarenje 2016</w:t>
            </w:r>
          </w:p>
        </w:tc>
        <w:tc>
          <w:tcPr>
            <w:tcW w:w="5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plan 2016</w:t>
            </w:r>
          </w:p>
        </w:tc>
        <w:tc>
          <w:tcPr>
            <w:tcW w:w="3247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Analitika-nov</w:t>
            </w:r>
          </w:p>
        </w:tc>
      </w:tr>
      <w:tr w:rsidR="0012316F" w:rsidRPr="0012316F" w:rsidTr="00DF5787">
        <w:trPr>
          <w:trHeight w:val="539"/>
        </w:trPr>
        <w:tc>
          <w:tcPr>
            <w:tcW w:w="2737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XI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XI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nov2016/nov2015(%)</w:t>
            </w:r>
          </w:p>
        </w:tc>
        <w:tc>
          <w:tcPr>
            <w:tcW w:w="10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jan-nov2016 / jan-nov2015(%)</w:t>
            </w:r>
          </w:p>
        </w:tc>
        <w:tc>
          <w:tcPr>
            <w:tcW w:w="10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4"/>
                <w:szCs w:val="14"/>
                <w:lang w:eastAsia="sr-Latn-CS"/>
              </w:rPr>
              <w:t>nov2016/ nov2016plan (%)</w:t>
            </w:r>
          </w:p>
        </w:tc>
      </w:tr>
      <w:tr w:rsidR="0012316F" w:rsidRPr="0012316F" w:rsidTr="00DF5787">
        <w:trPr>
          <w:trHeight w:val="320"/>
        </w:trPr>
        <w:tc>
          <w:tcPr>
            <w:tcW w:w="27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IZVORNI PRIHODI, od čega: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112,52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106,52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17,26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12,50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5,63</w:t>
            </w:r>
          </w:p>
        </w:tc>
      </w:tr>
      <w:tr w:rsidR="0012316F" w:rsidRPr="0012316F" w:rsidTr="00DF5787">
        <w:trPr>
          <w:trHeight w:val="306"/>
        </w:trPr>
        <w:tc>
          <w:tcPr>
            <w:tcW w:w="273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Porezi i doprinosi na  zarade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47,70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44,16</w:t>
            </w:r>
          </w:p>
        </w:tc>
        <w:tc>
          <w:tcPr>
            <w:tcW w:w="112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26,13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5,06</w:t>
            </w:r>
          </w:p>
        </w:tc>
        <w:tc>
          <w:tcPr>
            <w:tcW w:w="102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8,02</w:t>
            </w:r>
          </w:p>
        </w:tc>
      </w:tr>
      <w:tr w:rsidR="0012316F" w:rsidRPr="0012316F" w:rsidTr="00DF5787">
        <w:trPr>
          <w:trHeight w:val="292"/>
        </w:trPr>
        <w:tc>
          <w:tcPr>
            <w:tcW w:w="273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dobit pravnih lica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0,52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0,72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9,18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8,80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-27,40</w:t>
            </w:r>
          </w:p>
        </w:tc>
      </w:tr>
      <w:tr w:rsidR="0012316F" w:rsidRPr="0012316F" w:rsidTr="00DF5787">
        <w:trPr>
          <w:trHeight w:val="292"/>
        </w:trPr>
        <w:tc>
          <w:tcPr>
            <w:tcW w:w="273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dodatu vrijednost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40,19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34,47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17,51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9,85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16,59</w:t>
            </w:r>
          </w:p>
        </w:tc>
      </w:tr>
      <w:tr w:rsidR="0012316F" w:rsidRPr="0012316F" w:rsidTr="00DF5787">
        <w:trPr>
          <w:trHeight w:val="292"/>
        </w:trPr>
        <w:tc>
          <w:tcPr>
            <w:tcW w:w="273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Akcize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14,55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14,34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2,28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9,98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1,50</w:t>
            </w:r>
          </w:p>
        </w:tc>
      </w:tr>
      <w:tr w:rsidR="0012316F" w:rsidRPr="0012316F" w:rsidTr="00DF5787">
        <w:trPr>
          <w:trHeight w:val="306"/>
        </w:trPr>
        <w:tc>
          <w:tcPr>
            <w:tcW w:w="273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Porez na medj trgovinu i transak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1,78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1,50</w:t>
            </w:r>
          </w:p>
        </w:tc>
        <w:tc>
          <w:tcPr>
            <w:tcW w:w="11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7,53</w:t>
            </w:r>
          </w:p>
        </w:tc>
        <w:tc>
          <w:tcPr>
            <w:tcW w:w="10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6,68</w:t>
            </w:r>
          </w:p>
        </w:tc>
        <w:tc>
          <w:tcPr>
            <w:tcW w:w="10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18,54</w:t>
            </w:r>
          </w:p>
        </w:tc>
      </w:tr>
      <w:tr w:rsidR="0012316F" w:rsidRPr="0012316F" w:rsidTr="00DF5787">
        <w:trPr>
          <w:trHeight w:val="320"/>
        </w:trPr>
        <w:tc>
          <w:tcPr>
            <w:tcW w:w="273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IZDACI BUDŽETA, od čega: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137,38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144,37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25,24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-5,54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-4,84</w:t>
            </w:r>
          </w:p>
        </w:tc>
      </w:tr>
      <w:tr w:rsidR="0012316F" w:rsidRPr="0012316F" w:rsidTr="00DF5787">
        <w:trPr>
          <w:trHeight w:val="306"/>
        </w:trPr>
        <w:tc>
          <w:tcPr>
            <w:tcW w:w="273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Bruto zarade i doprinosi na teret poslodavca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38,32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34,65</w:t>
            </w:r>
          </w:p>
        </w:tc>
        <w:tc>
          <w:tcPr>
            <w:tcW w:w="112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6,61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9,65</w:t>
            </w:r>
          </w:p>
        </w:tc>
        <w:tc>
          <w:tcPr>
            <w:tcW w:w="102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10,59</w:t>
            </w:r>
          </w:p>
        </w:tc>
      </w:tr>
      <w:tr w:rsidR="0012316F" w:rsidRPr="0012316F" w:rsidTr="00DF5787">
        <w:trPr>
          <w:trHeight w:val="292"/>
        </w:trPr>
        <w:tc>
          <w:tcPr>
            <w:tcW w:w="273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Rashodi za materijal i usluge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9,86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6,33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56,92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18,38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55,61</w:t>
            </w:r>
          </w:p>
        </w:tc>
      </w:tr>
      <w:tr w:rsidR="0012316F" w:rsidRPr="0012316F" w:rsidTr="00DF5787">
        <w:trPr>
          <w:trHeight w:val="292"/>
        </w:trPr>
        <w:tc>
          <w:tcPr>
            <w:tcW w:w="273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Kamate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0,55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6,37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19,39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-3,28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-91,34</w:t>
            </w:r>
          </w:p>
        </w:tc>
      </w:tr>
      <w:tr w:rsidR="0012316F" w:rsidRPr="0012316F" w:rsidTr="00DF5787">
        <w:trPr>
          <w:trHeight w:val="292"/>
        </w:trPr>
        <w:tc>
          <w:tcPr>
            <w:tcW w:w="273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Transferi za socijalnu zaštitu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46,97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44,37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16,30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12,44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5,87</w:t>
            </w:r>
          </w:p>
        </w:tc>
      </w:tr>
      <w:tr w:rsidR="0012316F" w:rsidRPr="0012316F" w:rsidTr="00DF5787">
        <w:trPr>
          <w:trHeight w:val="292"/>
        </w:trPr>
        <w:tc>
          <w:tcPr>
            <w:tcW w:w="273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Transferi instit, pojed i NVO sektoru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14,40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12,20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33,80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15,42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18,04</w:t>
            </w:r>
          </w:p>
        </w:tc>
      </w:tr>
      <w:tr w:rsidR="0012316F" w:rsidRPr="0012316F" w:rsidTr="00DF5787">
        <w:trPr>
          <w:trHeight w:val="306"/>
        </w:trPr>
        <w:tc>
          <w:tcPr>
            <w:tcW w:w="273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Kapitalni izdaci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9,32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31,27</w:t>
            </w:r>
          </w:p>
        </w:tc>
        <w:tc>
          <w:tcPr>
            <w:tcW w:w="11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37,57</w:t>
            </w:r>
          </w:p>
        </w:tc>
        <w:tc>
          <w:tcPr>
            <w:tcW w:w="10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-75,49</w:t>
            </w:r>
          </w:p>
        </w:tc>
        <w:tc>
          <w:tcPr>
            <w:tcW w:w="10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-70,20</w:t>
            </w:r>
          </w:p>
        </w:tc>
      </w:tr>
      <w:tr w:rsidR="0012316F" w:rsidRPr="0012316F" w:rsidTr="00DF5787">
        <w:trPr>
          <w:trHeight w:val="320"/>
        </w:trPr>
        <w:tc>
          <w:tcPr>
            <w:tcW w:w="273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Suficit / Deficit budžeta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-24,87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-37,84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80,98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-83,11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-34,29</w:t>
            </w:r>
          </w:p>
        </w:tc>
      </w:tr>
      <w:tr w:rsidR="0012316F" w:rsidRPr="0012316F" w:rsidTr="00DF5787">
        <w:trPr>
          <w:trHeight w:val="306"/>
        </w:trPr>
        <w:tc>
          <w:tcPr>
            <w:tcW w:w="273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Primarni bilans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-24,31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-31,47</w:t>
            </w:r>
          </w:p>
        </w:tc>
        <w:tc>
          <w:tcPr>
            <w:tcW w:w="112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81,08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-116,45</w:t>
            </w:r>
          </w:p>
        </w:tc>
        <w:tc>
          <w:tcPr>
            <w:tcW w:w="102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-22,73</w:t>
            </w:r>
          </w:p>
        </w:tc>
      </w:tr>
      <w:tr w:rsidR="0012316F" w:rsidRPr="0012316F" w:rsidTr="00DF5787">
        <w:trPr>
          <w:trHeight w:val="306"/>
        </w:trPr>
        <w:tc>
          <w:tcPr>
            <w:tcW w:w="273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16F" w:rsidRPr="0012316F" w:rsidRDefault="0012316F" w:rsidP="0012316F">
            <w:pPr>
              <w:jc w:val="left"/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sz w:val="16"/>
                <w:szCs w:val="16"/>
                <w:lang w:eastAsia="sr-Latn-CS"/>
              </w:rPr>
              <w:t>Otplata dugova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6,02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32,77</w:t>
            </w:r>
          </w:p>
        </w:tc>
        <w:tc>
          <w:tcPr>
            <w:tcW w:w="11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12,07</w:t>
            </w:r>
          </w:p>
        </w:tc>
        <w:tc>
          <w:tcPr>
            <w:tcW w:w="10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-1,73</w:t>
            </w:r>
          </w:p>
        </w:tc>
        <w:tc>
          <w:tcPr>
            <w:tcW w:w="10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316F" w:rsidRPr="0012316F" w:rsidRDefault="0012316F" w:rsidP="0012316F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</w:pPr>
            <w:r w:rsidRPr="0012316F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sr-Latn-CS"/>
              </w:rPr>
              <w:t>-45,00</w:t>
            </w:r>
          </w:p>
        </w:tc>
      </w:tr>
    </w:tbl>
    <w:p w:rsidR="006A0D43" w:rsidRDefault="00AF6340" w:rsidP="006A0D43">
      <w:pPr>
        <w:pStyle w:val="Caption"/>
        <w:keepNext/>
        <w:tabs>
          <w:tab w:val="left" w:pos="7625"/>
        </w:tabs>
      </w:pPr>
      <w:r>
        <w:t xml:space="preserve"> </w:t>
      </w:r>
      <w:r w:rsidR="006A0D43">
        <w:t xml:space="preserve">Tabela </w:t>
      </w:r>
      <w:r w:rsidR="00B40294">
        <w:fldChar w:fldCharType="begin"/>
      </w:r>
      <w:r w:rsidR="00B10952">
        <w:instrText xml:space="preserve"> SEQ Tabela \* ARABIC </w:instrText>
      </w:r>
      <w:r w:rsidR="00B40294">
        <w:fldChar w:fldCharType="separate"/>
      </w:r>
      <w:r w:rsidR="006A0D43">
        <w:rPr>
          <w:noProof/>
        </w:rPr>
        <w:t>1</w:t>
      </w:r>
      <w:r w:rsidR="00B40294">
        <w:rPr>
          <w:noProof/>
        </w:rPr>
        <w:fldChar w:fldCharType="end"/>
      </w:r>
      <w:r w:rsidR="006A0D43">
        <w:t xml:space="preserve"> Makroekonomski indikatori (</w:t>
      </w:r>
      <w:r w:rsidR="006A0D43" w:rsidRPr="006A0D43">
        <w:rPr>
          <w:i/>
        </w:rPr>
        <w:t>Izvor: Monstat, CB, ZZZCG</w:t>
      </w:r>
      <w:r w:rsidR="006A0D43">
        <w:t>)</w:t>
      </w:r>
      <w:r w:rsidR="006A0D43">
        <w:tab/>
      </w:r>
      <w:r w:rsidR="006A0D43">
        <w:tab/>
        <w:t>Tabela 2 Fiskalni indikatori (</w:t>
      </w:r>
      <w:r w:rsidR="006A0D43" w:rsidRPr="006A0D43">
        <w:rPr>
          <w:i/>
        </w:rPr>
        <w:t>Izvor: Ministarstvo finansija</w:t>
      </w:r>
      <w:r w:rsidR="006A0D43">
        <w:t>)</w:t>
      </w:r>
    </w:p>
    <w:tbl>
      <w:tblPr>
        <w:tblW w:w="679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81"/>
        <w:gridCol w:w="1054"/>
        <w:gridCol w:w="1206"/>
        <w:gridCol w:w="1356"/>
      </w:tblGrid>
      <w:tr w:rsidR="0055678F" w:rsidRPr="00886FED" w:rsidTr="00E217C0">
        <w:trPr>
          <w:trHeight w:val="284"/>
        </w:trPr>
        <w:tc>
          <w:tcPr>
            <w:tcW w:w="3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Indikatori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nov2016 g-n-g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2016/2015 g-n-g</w:t>
            </w:r>
          </w:p>
        </w:tc>
      </w:tr>
      <w:tr w:rsidR="0055678F" w:rsidRPr="00886FED" w:rsidTr="00E217C0">
        <w:trPr>
          <w:trHeight w:val="284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REALNI SEKTOR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Industrijska proizvodnja (stopa rasta)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-5,6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Prerađivačka industrija (stopa rasta)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-28,9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-8,7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Noćenja u turizmu (stopa rasta)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-58,6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1,6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Promet u maloprodaji (stopa rasta)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-8,8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3,8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INFLACIJA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Indeks potrošačkih cijena (stopa rasta)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-0,3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Harmonizovani indeks potrošačkih cijena (stopa rasta)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n/p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Indeks proizvodjačkih cijena (stopa rasta)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ZAPOSLENOST I ZARADE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Zaposlenost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1,3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Broj nezaposlenih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25,9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23,3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Stopa nezaposlenosti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25,3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23,1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Oglašena radna mjesta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84,0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29,0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Prosječna mjesečna bruto zarada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3,3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Prosječna mjesečna neto zarada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3,9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MONETARNI SEKTOR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Ukupni krediti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Krediti u kašnjenju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-17,7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Nekvalitetni krediti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-22,3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Ukupni depoziti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Krediti privredi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Krediti domaćinstvima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Depoziti privrede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Lična štednja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Kamatna stopa na kredite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-12,7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Kamatna stopa na depozite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-5,1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-24,2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EKSTERNI SEKTOR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Izvoz roba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9,3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7,4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Uvoz roba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17,6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13,3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 xml:space="preserve">Spoljnotrgovinski bilans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-4,7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19,8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14,5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Strane direktne investicije*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-48,8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9251DA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-4</w:t>
            </w:r>
            <w:r w:rsidR="009251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</w:t>
            </w: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,</w:t>
            </w:r>
            <w:r w:rsidR="009251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MEĐUNARODNO OKRUŽENJE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Brent crude oil (USD/barel)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15,9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-18,6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Aluminijum (USD/T)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18,3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-7,5</w:t>
            </w:r>
          </w:p>
        </w:tc>
      </w:tr>
      <w:tr w:rsidR="0055678F" w:rsidRPr="00886FED" w:rsidTr="00E217C0">
        <w:trPr>
          <w:trHeight w:val="188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Euribor (12 mjeseci)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14,5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-275,6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-123,1</w:t>
            </w:r>
          </w:p>
        </w:tc>
      </w:tr>
      <w:tr w:rsidR="0055678F" w:rsidRPr="00886FED" w:rsidTr="00E217C0">
        <w:trPr>
          <w:trHeight w:val="64"/>
        </w:trPr>
        <w:tc>
          <w:tcPr>
            <w:tcW w:w="31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78F" w:rsidRPr="00886FED" w:rsidRDefault="0055678F" w:rsidP="00E217C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Inflacija u Eurozoni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8F" w:rsidRPr="00886FED" w:rsidRDefault="0055678F" w:rsidP="00E217C0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886FE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800,0</w:t>
            </w:r>
          </w:p>
        </w:tc>
      </w:tr>
    </w:tbl>
    <w:p w:rsidR="0079718D" w:rsidRPr="004C3072" w:rsidRDefault="00A12864" w:rsidP="00165D1E">
      <w:pPr>
        <w:tabs>
          <w:tab w:val="left" w:pos="1810"/>
          <w:tab w:val="left" w:pos="3607"/>
        </w:tabs>
        <w:ind w:firstLine="708"/>
        <w:jc w:val="left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  <w:r w:rsidR="00003121">
        <w:rPr>
          <w:sz w:val="16"/>
          <w:szCs w:val="16"/>
        </w:rPr>
        <w:t>*SDI podaci za 10</w:t>
      </w:r>
      <w:r w:rsidR="00584D53">
        <w:rPr>
          <w:sz w:val="16"/>
          <w:szCs w:val="16"/>
        </w:rPr>
        <w:t xml:space="preserve"> mjeseci</w:t>
      </w:r>
    </w:p>
    <w:sectPr w:rsidR="0079718D" w:rsidRPr="004C3072" w:rsidSect="0088070A">
      <w:headerReference w:type="default" r:id="rId15"/>
      <w:pgSz w:w="16838" w:h="11906" w:orient="landscape" w:code="9"/>
      <w:pgMar w:top="1134" w:right="1418" w:bottom="1560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2CD" w:rsidRDefault="00A862CD" w:rsidP="0073697A">
      <w:r>
        <w:separator/>
      </w:r>
    </w:p>
  </w:endnote>
  <w:endnote w:type="continuationSeparator" w:id="0">
    <w:p w:rsidR="00A862CD" w:rsidRDefault="00A862CD" w:rsidP="00736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2CD" w:rsidRDefault="00A862CD" w:rsidP="0073697A">
      <w:r>
        <w:separator/>
      </w:r>
    </w:p>
  </w:footnote>
  <w:footnote w:type="continuationSeparator" w:id="0">
    <w:p w:rsidR="00A862CD" w:rsidRDefault="00A862CD" w:rsidP="00736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97A" w:rsidRDefault="0073697A" w:rsidP="0073697A">
    <w:pPr>
      <w:pStyle w:val="Header"/>
      <w:jc w:val="center"/>
      <w:rPr>
        <w:b/>
      </w:rPr>
    </w:pPr>
    <w:r w:rsidRPr="0073697A">
      <w:rPr>
        <w:b/>
        <w:noProof/>
        <w:lang w:eastAsia="sr-Latn-CS"/>
      </w:rPr>
      <w:drawing>
        <wp:inline distT="0" distB="0" distL="0" distR="0">
          <wp:extent cx="616675" cy="47270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64" cy="47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697A" w:rsidRDefault="0073697A" w:rsidP="0073697A">
    <w:pPr>
      <w:pStyle w:val="Header"/>
      <w:jc w:val="center"/>
      <w:rPr>
        <w:b/>
      </w:rPr>
    </w:pPr>
    <w:r>
      <w:rPr>
        <w:b/>
      </w:rPr>
      <w:t>MINISTARSTVO FINANASIJA</w:t>
    </w:r>
  </w:p>
  <w:p w:rsidR="0073697A" w:rsidRDefault="0073697A" w:rsidP="0073697A">
    <w:pPr>
      <w:pStyle w:val="Header"/>
      <w:jc w:val="center"/>
      <w:rPr>
        <w:b/>
      </w:rPr>
    </w:pPr>
    <w:r>
      <w:rPr>
        <w:b/>
      </w:rPr>
      <w:t>DIREKTORAT ZA EKONOMSKU POLITIKU I RAZVOJ</w:t>
    </w:r>
  </w:p>
  <w:p w:rsidR="0073697A" w:rsidRPr="0073697A" w:rsidRDefault="0073697A" w:rsidP="0073697A">
    <w:pPr>
      <w:pStyle w:val="Header"/>
      <w:jc w:val="center"/>
      <w:rPr>
        <w:b/>
      </w:rPr>
    </w:pPr>
    <w:r w:rsidRPr="0073697A">
      <w:rPr>
        <w:b/>
      </w:rPr>
      <w:t xml:space="preserve">MJESEČNI MAKROEKONOMSKI INDIKATORI – </w:t>
    </w:r>
    <w:r w:rsidR="000055E4">
      <w:rPr>
        <w:b/>
      </w:rPr>
      <w:t>NOVEMBAR</w:t>
    </w:r>
    <w:r w:rsidRPr="0073697A">
      <w:rPr>
        <w:b/>
      </w:rPr>
      <w:t xml:space="preserve"> 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6CF" w:rsidRPr="0073697A" w:rsidRDefault="003246CF" w:rsidP="0073697A">
    <w:pPr>
      <w:pStyle w:val="Header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73697A"/>
    <w:rsid w:val="00000EF0"/>
    <w:rsid w:val="00003121"/>
    <w:rsid w:val="000038EF"/>
    <w:rsid w:val="0000427C"/>
    <w:rsid w:val="00005335"/>
    <w:rsid w:val="000055E4"/>
    <w:rsid w:val="00007265"/>
    <w:rsid w:val="00015561"/>
    <w:rsid w:val="000173EE"/>
    <w:rsid w:val="000345FD"/>
    <w:rsid w:val="00034BCD"/>
    <w:rsid w:val="00042F09"/>
    <w:rsid w:val="00043FAF"/>
    <w:rsid w:val="000514EB"/>
    <w:rsid w:val="0005291E"/>
    <w:rsid w:val="00053060"/>
    <w:rsid w:val="00060DA2"/>
    <w:rsid w:val="00073816"/>
    <w:rsid w:val="00080AC8"/>
    <w:rsid w:val="000965F7"/>
    <w:rsid w:val="000A216D"/>
    <w:rsid w:val="000A45F0"/>
    <w:rsid w:val="000A7357"/>
    <w:rsid w:val="000B737B"/>
    <w:rsid w:val="000C1B3B"/>
    <w:rsid w:val="00100981"/>
    <w:rsid w:val="001063C2"/>
    <w:rsid w:val="00106C06"/>
    <w:rsid w:val="00111099"/>
    <w:rsid w:val="0011434C"/>
    <w:rsid w:val="001151DC"/>
    <w:rsid w:val="0012316F"/>
    <w:rsid w:val="0013344B"/>
    <w:rsid w:val="001375C0"/>
    <w:rsid w:val="00142584"/>
    <w:rsid w:val="00144DB3"/>
    <w:rsid w:val="00146CE3"/>
    <w:rsid w:val="00147BB3"/>
    <w:rsid w:val="0015061A"/>
    <w:rsid w:val="001617BA"/>
    <w:rsid w:val="00164655"/>
    <w:rsid w:val="00165D1E"/>
    <w:rsid w:val="001663FE"/>
    <w:rsid w:val="0017300C"/>
    <w:rsid w:val="00181923"/>
    <w:rsid w:val="001A1F6C"/>
    <w:rsid w:val="001A7B3A"/>
    <w:rsid w:val="001B5B1A"/>
    <w:rsid w:val="001B690A"/>
    <w:rsid w:val="001C2611"/>
    <w:rsid w:val="001C301B"/>
    <w:rsid w:val="001C5A36"/>
    <w:rsid w:val="001D1216"/>
    <w:rsid w:val="001D4436"/>
    <w:rsid w:val="001E00F1"/>
    <w:rsid w:val="001E1C50"/>
    <w:rsid w:val="001E33EA"/>
    <w:rsid w:val="001E4D3D"/>
    <w:rsid w:val="001F4E19"/>
    <w:rsid w:val="001F6694"/>
    <w:rsid w:val="00203F47"/>
    <w:rsid w:val="002130C5"/>
    <w:rsid w:val="00213F9C"/>
    <w:rsid w:val="0022033B"/>
    <w:rsid w:val="00233237"/>
    <w:rsid w:val="002357FE"/>
    <w:rsid w:val="002374B9"/>
    <w:rsid w:val="00245A38"/>
    <w:rsid w:val="002520F3"/>
    <w:rsid w:val="00252F30"/>
    <w:rsid w:val="00262CD5"/>
    <w:rsid w:val="00267C31"/>
    <w:rsid w:val="00270541"/>
    <w:rsid w:val="0027120F"/>
    <w:rsid w:val="00274AD4"/>
    <w:rsid w:val="00276516"/>
    <w:rsid w:val="002808E6"/>
    <w:rsid w:val="00281C41"/>
    <w:rsid w:val="00283900"/>
    <w:rsid w:val="002930D3"/>
    <w:rsid w:val="00293267"/>
    <w:rsid w:val="00297A20"/>
    <w:rsid w:val="002A278E"/>
    <w:rsid w:val="002B0F27"/>
    <w:rsid w:val="002B326F"/>
    <w:rsid w:val="002C5295"/>
    <w:rsid w:val="002D1FB2"/>
    <w:rsid w:val="002D4A9C"/>
    <w:rsid w:val="002D5BAF"/>
    <w:rsid w:val="002D739F"/>
    <w:rsid w:val="002E2742"/>
    <w:rsid w:val="002E5FBE"/>
    <w:rsid w:val="002F73DF"/>
    <w:rsid w:val="00314ACD"/>
    <w:rsid w:val="00322EC9"/>
    <w:rsid w:val="003246CF"/>
    <w:rsid w:val="00335592"/>
    <w:rsid w:val="00345A27"/>
    <w:rsid w:val="00350DD5"/>
    <w:rsid w:val="00353DF1"/>
    <w:rsid w:val="00366CBB"/>
    <w:rsid w:val="00372E9C"/>
    <w:rsid w:val="00373F73"/>
    <w:rsid w:val="003809FC"/>
    <w:rsid w:val="003960E9"/>
    <w:rsid w:val="00396E9B"/>
    <w:rsid w:val="00397B8D"/>
    <w:rsid w:val="003A1DA6"/>
    <w:rsid w:val="003A1FB5"/>
    <w:rsid w:val="003A7AFD"/>
    <w:rsid w:val="003B102E"/>
    <w:rsid w:val="003B1BC0"/>
    <w:rsid w:val="003B333E"/>
    <w:rsid w:val="003C4377"/>
    <w:rsid w:val="003C66B3"/>
    <w:rsid w:val="003D7676"/>
    <w:rsid w:val="003E5678"/>
    <w:rsid w:val="003E6B73"/>
    <w:rsid w:val="003F1991"/>
    <w:rsid w:val="003F5368"/>
    <w:rsid w:val="004000F3"/>
    <w:rsid w:val="00400FB4"/>
    <w:rsid w:val="004060E3"/>
    <w:rsid w:val="004141BB"/>
    <w:rsid w:val="00414994"/>
    <w:rsid w:val="00415B63"/>
    <w:rsid w:val="00420B8C"/>
    <w:rsid w:val="00421A9C"/>
    <w:rsid w:val="004238BB"/>
    <w:rsid w:val="0042618D"/>
    <w:rsid w:val="00426C6F"/>
    <w:rsid w:val="00430B42"/>
    <w:rsid w:val="0044517D"/>
    <w:rsid w:val="00445549"/>
    <w:rsid w:val="0044570F"/>
    <w:rsid w:val="00451118"/>
    <w:rsid w:val="00453349"/>
    <w:rsid w:val="00470004"/>
    <w:rsid w:val="00472419"/>
    <w:rsid w:val="0048284B"/>
    <w:rsid w:val="00482D1A"/>
    <w:rsid w:val="0048750E"/>
    <w:rsid w:val="00487BE0"/>
    <w:rsid w:val="004914C7"/>
    <w:rsid w:val="0049216B"/>
    <w:rsid w:val="00494F72"/>
    <w:rsid w:val="004A28F5"/>
    <w:rsid w:val="004A533A"/>
    <w:rsid w:val="004A6288"/>
    <w:rsid w:val="004A7AB1"/>
    <w:rsid w:val="004B6680"/>
    <w:rsid w:val="004B726F"/>
    <w:rsid w:val="004C0387"/>
    <w:rsid w:val="004C3072"/>
    <w:rsid w:val="004C5EC6"/>
    <w:rsid w:val="004F4D92"/>
    <w:rsid w:val="0050113B"/>
    <w:rsid w:val="00504951"/>
    <w:rsid w:val="0050592F"/>
    <w:rsid w:val="00507804"/>
    <w:rsid w:val="00511665"/>
    <w:rsid w:val="00512B09"/>
    <w:rsid w:val="005132AD"/>
    <w:rsid w:val="0052339C"/>
    <w:rsid w:val="00525DF6"/>
    <w:rsid w:val="00527D4C"/>
    <w:rsid w:val="005357F2"/>
    <w:rsid w:val="005438B0"/>
    <w:rsid w:val="005458FE"/>
    <w:rsid w:val="00547CF0"/>
    <w:rsid w:val="00553D4C"/>
    <w:rsid w:val="0055678F"/>
    <w:rsid w:val="005600A4"/>
    <w:rsid w:val="005713D5"/>
    <w:rsid w:val="00572484"/>
    <w:rsid w:val="005737CB"/>
    <w:rsid w:val="00574007"/>
    <w:rsid w:val="00574353"/>
    <w:rsid w:val="005744D0"/>
    <w:rsid w:val="0058031A"/>
    <w:rsid w:val="00583221"/>
    <w:rsid w:val="00584D53"/>
    <w:rsid w:val="00586D17"/>
    <w:rsid w:val="00590347"/>
    <w:rsid w:val="0059162B"/>
    <w:rsid w:val="00596B99"/>
    <w:rsid w:val="005A1C2A"/>
    <w:rsid w:val="005A6D03"/>
    <w:rsid w:val="005D22D9"/>
    <w:rsid w:val="005D57C1"/>
    <w:rsid w:val="005D67C3"/>
    <w:rsid w:val="005E7520"/>
    <w:rsid w:val="005F012F"/>
    <w:rsid w:val="005F0CCD"/>
    <w:rsid w:val="005F39EB"/>
    <w:rsid w:val="005F5912"/>
    <w:rsid w:val="005F6D52"/>
    <w:rsid w:val="00601240"/>
    <w:rsid w:val="00616FAC"/>
    <w:rsid w:val="00630B19"/>
    <w:rsid w:val="006405F6"/>
    <w:rsid w:val="00645885"/>
    <w:rsid w:val="00660B0E"/>
    <w:rsid w:val="00660BB8"/>
    <w:rsid w:val="0066376E"/>
    <w:rsid w:val="006863EF"/>
    <w:rsid w:val="00692D1B"/>
    <w:rsid w:val="0069707D"/>
    <w:rsid w:val="00697C7E"/>
    <w:rsid w:val="006A0781"/>
    <w:rsid w:val="006A0D43"/>
    <w:rsid w:val="006A168C"/>
    <w:rsid w:val="006A1837"/>
    <w:rsid w:val="006A3623"/>
    <w:rsid w:val="006B2901"/>
    <w:rsid w:val="006C52D2"/>
    <w:rsid w:val="006D4EC2"/>
    <w:rsid w:val="006D633E"/>
    <w:rsid w:val="006D7DD5"/>
    <w:rsid w:val="006E0085"/>
    <w:rsid w:val="006E62BA"/>
    <w:rsid w:val="006F0D1C"/>
    <w:rsid w:val="006F2FA5"/>
    <w:rsid w:val="006F3BE2"/>
    <w:rsid w:val="00701E9C"/>
    <w:rsid w:val="007100DA"/>
    <w:rsid w:val="00716398"/>
    <w:rsid w:val="00717741"/>
    <w:rsid w:val="00723438"/>
    <w:rsid w:val="00727509"/>
    <w:rsid w:val="0073181D"/>
    <w:rsid w:val="00731EA8"/>
    <w:rsid w:val="0073671A"/>
    <w:rsid w:val="0073697A"/>
    <w:rsid w:val="0073775D"/>
    <w:rsid w:val="007419C4"/>
    <w:rsid w:val="0074660A"/>
    <w:rsid w:val="00746D86"/>
    <w:rsid w:val="0075112B"/>
    <w:rsid w:val="00751E27"/>
    <w:rsid w:val="0076035F"/>
    <w:rsid w:val="00760884"/>
    <w:rsid w:val="007618C0"/>
    <w:rsid w:val="00764AE3"/>
    <w:rsid w:val="007661F8"/>
    <w:rsid w:val="00773602"/>
    <w:rsid w:val="00773D70"/>
    <w:rsid w:val="00775F94"/>
    <w:rsid w:val="00786BE4"/>
    <w:rsid w:val="007879A5"/>
    <w:rsid w:val="00787D64"/>
    <w:rsid w:val="007920C5"/>
    <w:rsid w:val="00793680"/>
    <w:rsid w:val="0079718D"/>
    <w:rsid w:val="00797836"/>
    <w:rsid w:val="007A3610"/>
    <w:rsid w:val="007B0D22"/>
    <w:rsid w:val="007B151B"/>
    <w:rsid w:val="007B6864"/>
    <w:rsid w:val="007B73BF"/>
    <w:rsid w:val="007D3C8A"/>
    <w:rsid w:val="007D7E9D"/>
    <w:rsid w:val="007E0AC6"/>
    <w:rsid w:val="007E4773"/>
    <w:rsid w:val="007E794E"/>
    <w:rsid w:val="007F1472"/>
    <w:rsid w:val="007F2E00"/>
    <w:rsid w:val="007F2E5F"/>
    <w:rsid w:val="007F38ED"/>
    <w:rsid w:val="008028F9"/>
    <w:rsid w:val="00803D0A"/>
    <w:rsid w:val="008042F0"/>
    <w:rsid w:val="00815D6D"/>
    <w:rsid w:val="008201ED"/>
    <w:rsid w:val="00821311"/>
    <w:rsid w:val="00832B68"/>
    <w:rsid w:val="0083533D"/>
    <w:rsid w:val="00840B3F"/>
    <w:rsid w:val="00845369"/>
    <w:rsid w:val="00850D89"/>
    <w:rsid w:val="008530E6"/>
    <w:rsid w:val="0085469E"/>
    <w:rsid w:val="00865E5F"/>
    <w:rsid w:val="00870E6B"/>
    <w:rsid w:val="00873111"/>
    <w:rsid w:val="00873C38"/>
    <w:rsid w:val="0088070A"/>
    <w:rsid w:val="00891AD4"/>
    <w:rsid w:val="00891F75"/>
    <w:rsid w:val="008977A0"/>
    <w:rsid w:val="008A1FCB"/>
    <w:rsid w:val="008B415E"/>
    <w:rsid w:val="008B5248"/>
    <w:rsid w:val="008B6371"/>
    <w:rsid w:val="008C0FA2"/>
    <w:rsid w:val="008C646C"/>
    <w:rsid w:val="008C752C"/>
    <w:rsid w:val="008D0CF1"/>
    <w:rsid w:val="008D3DA6"/>
    <w:rsid w:val="008E2C7D"/>
    <w:rsid w:val="008F3A0F"/>
    <w:rsid w:val="008F4683"/>
    <w:rsid w:val="008F5166"/>
    <w:rsid w:val="008F516B"/>
    <w:rsid w:val="008F5AA1"/>
    <w:rsid w:val="009023A9"/>
    <w:rsid w:val="00903D4F"/>
    <w:rsid w:val="00914598"/>
    <w:rsid w:val="009150CA"/>
    <w:rsid w:val="00922E13"/>
    <w:rsid w:val="009251DA"/>
    <w:rsid w:val="00925396"/>
    <w:rsid w:val="00936469"/>
    <w:rsid w:val="009445B3"/>
    <w:rsid w:val="00945923"/>
    <w:rsid w:val="00953916"/>
    <w:rsid w:val="00955062"/>
    <w:rsid w:val="00957B61"/>
    <w:rsid w:val="00961412"/>
    <w:rsid w:val="009720CB"/>
    <w:rsid w:val="00973F4D"/>
    <w:rsid w:val="009743E5"/>
    <w:rsid w:val="00980E17"/>
    <w:rsid w:val="0098749F"/>
    <w:rsid w:val="0099235F"/>
    <w:rsid w:val="00993DD3"/>
    <w:rsid w:val="009B4C93"/>
    <w:rsid w:val="009C2295"/>
    <w:rsid w:val="009C23C1"/>
    <w:rsid w:val="009D06FF"/>
    <w:rsid w:val="009D6CAE"/>
    <w:rsid w:val="009F2B48"/>
    <w:rsid w:val="009F3868"/>
    <w:rsid w:val="009F56AA"/>
    <w:rsid w:val="00A01CB6"/>
    <w:rsid w:val="00A03982"/>
    <w:rsid w:val="00A11106"/>
    <w:rsid w:val="00A12128"/>
    <w:rsid w:val="00A12864"/>
    <w:rsid w:val="00A142A0"/>
    <w:rsid w:val="00A16774"/>
    <w:rsid w:val="00A23358"/>
    <w:rsid w:val="00A23417"/>
    <w:rsid w:val="00A30629"/>
    <w:rsid w:val="00A30CF8"/>
    <w:rsid w:val="00A30F9F"/>
    <w:rsid w:val="00A317B6"/>
    <w:rsid w:val="00A40C0E"/>
    <w:rsid w:val="00A41D64"/>
    <w:rsid w:val="00A43FFD"/>
    <w:rsid w:val="00A54385"/>
    <w:rsid w:val="00A56A4D"/>
    <w:rsid w:val="00A63D86"/>
    <w:rsid w:val="00A64B7C"/>
    <w:rsid w:val="00A77E7F"/>
    <w:rsid w:val="00A83DC7"/>
    <w:rsid w:val="00A862CD"/>
    <w:rsid w:val="00A86BBF"/>
    <w:rsid w:val="00A921E6"/>
    <w:rsid w:val="00A9298D"/>
    <w:rsid w:val="00AA7198"/>
    <w:rsid w:val="00AA7B51"/>
    <w:rsid w:val="00AD2A30"/>
    <w:rsid w:val="00AD49B3"/>
    <w:rsid w:val="00AD6544"/>
    <w:rsid w:val="00AE3727"/>
    <w:rsid w:val="00AE635C"/>
    <w:rsid w:val="00AE6991"/>
    <w:rsid w:val="00AE7EB0"/>
    <w:rsid w:val="00AF19CD"/>
    <w:rsid w:val="00AF6340"/>
    <w:rsid w:val="00B10952"/>
    <w:rsid w:val="00B145C2"/>
    <w:rsid w:val="00B171C8"/>
    <w:rsid w:val="00B17F35"/>
    <w:rsid w:val="00B2463F"/>
    <w:rsid w:val="00B312F3"/>
    <w:rsid w:val="00B32517"/>
    <w:rsid w:val="00B40294"/>
    <w:rsid w:val="00B45DE4"/>
    <w:rsid w:val="00B6212A"/>
    <w:rsid w:val="00B62939"/>
    <w:rsid w:val="00B637E9"/>
    <w:rsid w:val="00B65804"/>
    <w:rsid w:val="00B677E0"/>
    <w:rsid w:val="00B72B8E"/>
    <w:rsid w:val="00B76CD6"/>
    <w:rsid w:val="00B84180"/>
    <w:rsid w:val="00B84A9A"/>
    <w:rsid w:val="00B86395"/>
    <w:rsid w:val="00B9371F"/>
    <w:rsid w:val="00BA1135"/>
    <w:rsid w:val="00BA31EA"/>
    <w:rsid w:val="00BA5DA6"/>
    <w:rsid w:val="00BC0E46"/>
    <w:rsid w:val="00BC160F"/>
    <w:rsid w:val="00BC1E57"/>
    <w:rsid w:val="00BC2627"/>
    <w:rsid w:val="00BC668D"/>
    <w:rsid w:val="00BC722D"/>
    <w:rsid w:val="00BC7DAC"/>
    <w:rsid w:val="00BF1745"/>
    <w:rsid w:val="00BF3ACA"/>
    <w:rsid w:val="00BF4356"/>
    <w:rsid w:val="00BF60A2"/>
    <w:rsid w:val="00BF7815"/>
    <w:rsid w:val="00C121AA"/>
    <w:rsid w:val="00C1316E"/>
    <w:rsid w:val="00C40ABE"/>
    <w:rsid w:val="00C42687"/>
    <w:rsid w:val="00C5038F"/>
    <w:rsid w:val="00C5597E"/>
    <w:rsid w:val="00C62DE8"/>
    <w:rsid w:val="00C63101"/>
    <w:rsid w:val="00C70FA6"/>
    <w:rsid w:val="00C76D0B"/>
    <w:rsid w:val="00C76FEF"/>
    <w:rsid w:val="00C77428"/>
    <w:rsid w:val="00C8109D"/>
    <w:rsid w:val="00C81B7A"/>
    <w:rsid w:val="00C82F59"/>
    <w:rsid w:val="00CA1561"/>
    <w:rsid w:val="00CA19FB"/>
    <w:rsid w:val="00CC240E"/>
    <w:rsid w:val="00CC5BC9"/>
    <w:rsid w:val="00CD1C3F"/>
    <w:rsid w:val="00D0135C"/>
    <w:rsid w:val="00D116C2"/>
    <w:rsid w:val="00D12CE1"/>
    <w:rsid w:val="00D22C1D"/>
    <w:rsid w:val="00D276FE"/>
    <w:rsid w:val="00D33068"/>
    <w:rsid w:val="00D41545"/>
    <w:rsid w:val="00D428A4"/>
    <w:rsid w:val="00D43D50"/>
    <w:rsid w:val="00D468FA"/>
    <w:rsid w:val="00D5556D"/>
    <w:rsid w:val="00D5698F"/>
    <w:rsid w:val="00D620E3"/>
    <w:rsid w:val="00D63986"/>
    <w:rsid w:val="00D71A89"/>
    <w:rsid w:val="00D77E46"/>
    <w:rsid w:val="00D80038"/>
    <w:rsid w:val="00D8201F"/>
    <w:rsid w:val="00D8366B"/>
    <w:rsid w:val="00D84EE5"/>
    <w:rsid w:val="00D97DE8"/>
    <w:rsid w:val="00DA0835"/>
    <w:rsid w:val="00DA1F32"/>
    <w:rsid w:val="00DA6A5F"/>
    <w:rsid w:val="00DB0048"/>
    <w:rsid w:val="00DB29AE"/>
    <w:rsid w:val="00DB3D80"/>
    <w:rsid w:val="00DB3F65"/>
    <w:rsid w:val="00DC19D9"/>
    <w:rsid w:val="00DC6BD8"/>
    <w:rsid w:val="00DC76AB"/>
    <w:rsid w:val="00DD551E"/>
    <w:rsid w:val="00DE3406"/>
    <w:rsid w:val="00DF553F"/>
    <w:rsid w:val="00DF5787"/>
    <w:rsid w:val="00DF7A64"/>
    <w:rsid w:val="00E00999"/>
    <w:rsid w:val="00E10840"/>
    <w:rsid w:val="00E15D4A"/>
    <w:rsid w:val="00E2269A"/>
    <w:rsid w:val="00E22F9A"/>
    <w:rsid w:val="00E25024"/>
    <w:rsid w:val="00E256F4"/>
    <w:rsid w:val="00E321B2"/>
    <w:rsid w:val="00E37E2E"/>
    <w:rsid w:val="00E40E3E"/>
    <w:rsid w:val="00E42D19"/>
    <w:rsid w:val="00E45A4C"/>
    <w:rsid w:val="00E60E35"/>
    <w:rsid w:val="00E77696"/>
    <w:rsid w:val="00E8072F"/>
    <w:rsid w:val="00E97E73"/>
    <w:rsid w:val="00EA4D6A"/>
    <w:rsid w:val="00EA7E4B"/>
    <w:rsid w:val="00EB75A3"/>
    <w:rsid w:val="00EB7D0C"/>
    <w:rsid w:val="00EB7D15"/>
    <w:rsid w:val="00ED05CD"/>
    <w:rsid w:val="00ED1E5A"/>
    <w:rsid w:val="00ED6FE0"/>
    <w:rsid w:val="00ED7734"/>
    <w:rsid w:val="00ED7DC6"/>
    <w:rsid w:val="00EE7428"/>
    <w:rsid w:val="00EE77EA"/>
    <w:rsid w:val="00EF6FFE"/>
    <w:rsid w:val="00EF7209"/>
    <w:rsid w:val="00EF7939"/>
    <w:rsid w:val="00F074C1"/>
    <w:rsid w:val="00F10DCB"/>
    <w:rsid w:val="00F118B5"/>
    <w:rsid w:val="00F14391"/>
    <w:rsid w:val="00F230C6"/>
    <w:rsid w:val="00F2656B"/>
    <w:rsid w:val="00F318C2"/>
    <w:rsid w:val="00F33783"/>
    <w:rsid w:val="00F35D9F"/>
    <w:rsid w:val="00F476EE"/>
    <w:rsid w:val="00F51BC8"/>
    <w:rsid w:val="00F52F3B"/>
    <w:rsid w:val="00F61980"/>
    <w:rsid w:val="00F63D62"/>
    <w:rsid w:val="00F70307"/>
    <w:rsid w:val="00F71E4F"/>
    <w:rsid w:val="00F840B1"/>
    <w:rsid w:val="00F87959"/>
    <w:rsid w:val="00F900A0"/>
    <w:rsid w:val="00F94662"/>
    <w:rsid w:val="00FA2B3C"/>
    <w:rsid w:val="00FB1AF7"/>
    <w:rsid w:val="00FB31DA"/>
    <w:rsid w:val="00FC00CE"/>
    <w:rsid w:val="00FD2FFC"/>
    <w:rsid w:val="00FD44F1"/>
    <w:rsid w:val="00FE0784"/>
    <w:rsid w:val="00FE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97A"/>
  </w:style>
  <w:style w:type="paragraph" w:styleId="Footer">
    <w:name w:val="footer"/>
    <w:basedOn w:val="Normal"/>
    <w:link w:val="Foot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97A"/>
  </w:style>
  <w:style w:type="paragraph" w:styleId="BalloonText">
    <w:name w:val="Balloon Text"/>
    <w:basedOn w:val="Normal"/>
    <w:link w:val="BalloonTextChar"/>
    <w:uiPriority w:val="99"/>
    <w:semiHidden/>
    <w:unhideWhenUsed/>
    <w:rsid w:val="00736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7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C5BC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3246C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24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252F3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F118B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LightList-Accent12">
    <w:name w:val="Light List - Accent 12"/>
    <w:basedOn w:val="TableNormal"/>
    <w:uiPriority w:val="61"/>
    <w:rsid w:val="006405F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C30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0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C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cid:image001.png@01D28130.042E444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Dropbox\MINISTARSTVO%20FINANSIJA\SEP\02_MMI\MMI_2016%2012\mmi%202016-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Dropbox\MINISTARSTVO%20FINANSIJA\SEP\02_MMI\MMI_2016%2012\mmi%2012-2016-javne%20finansij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Podaci%20CBCG%20koji_se_dostavljaju_Savjetu%20za%20finansijsku%20stabilnost%20nov_2016%20mf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/>
              <a:t>Inflacija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4951256092988398E-2"/>
          <c:y val="0.10450121237829033"/>
          <c:w val="0.91277090363704561"/>
          <c:h val="0.64270496043194214"/>
        </c:manualLayout>
      </c:layout>
      <c:lineChart>
        <c:grouping val="standard"/>
        <c:ser>
          <c:idx val="0"/>
          <c:order val="0"/>
          <c:tx>
            <c:v>CPI</c:v>
          </c:tx>
          <c:spPr>
            <a:ln w="38100" cap="rnd">
              <a:solidFill>
                <a:srgbClr val="721CF0"/>
              </a:solidFill>
              <a:round/>
            </a:ln>
            <a:effectLst/>
          </c:spPr>
          <c:marker>
            <c:symbol val="none"/>
          </c:marker>
          <c:cat>
            <c:strRef>
              <c:f>'Makroekonomski indikatori'!$BM$43:$BW$43</c:f>
              <c:strCache>
                <c:ptCount val="11"/>
                <c:pt idx="0">
                  <c:v>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'Makroekonomski indikatori'!$BM$27:$BW$27</c:f>
              <c:numCache>
                <c:formatCode>General</c:formatCode>
                <c:ptCount val="11"/>
                <c:pt idx="0">
                  <c:v>0.8</c:v>
                </c:pt>
                <c:pt idx="1">
                  <c:v>0.1</c:v>
                </c:pt>
                <c:pt idx="2">
                  <c:v>-0.9</c:v>
                </c:pt>
                <c:pt idx="3">
                  <c:v>-0.70000000000000062</c:v>
                </c:pt>
                <c:pt idx="4">
                  <c:v>-1</c:v>
                </c:pt>
                <c:pt idx="5">
                  <c:v>-1</c:v>
                </c:pt>
                <c:pt idx="6" formatCode="0.0">
                  <c:v>-0.60000000000000064</c:v>
                </c:pt>
                <c:pt idx="7">
                  <c:v>-0.5</c:v>
                </c:pt>
                <c:pt idx="8">
                  <c:v>-0.1</c:v>
                </c:pt>
                <c:pt idx="9">
                  <c:v>0.2</c:v>
                </c:pt>
                <c:pt idx="10">
                  <c:v>0.4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B46-4063-85DE-A467E18D0A9D}"/>
            </c:ext>
          </c:extLst>
        </c:ser>
        <c:ser>
          <c:idx val="1"/>
          <c:order val="1"/>
          <c:tx>
            <c:strRef>
              <c:f>'Makroekonomski indikatori'!$C$28</c:f>
              <c:strCache>
                <c:ptCount val="1"/>
                <c:pt idx="0">
                  <c:v>hrana i bezalkoholna pića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'Makroekonomski indikatori'!$BM$43:$BW$43</c:f>
              <c:strCache>
                <c:ptCount val="11"/>
                <c:pt idx="0">
                  <c:v>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'Makroekonomski indikatori'!$BM$28:$BW$28</c:f>
              <c:numCache>
                <c:formatCode>General</c:formatCode>
                <c:ptCount val="11"/>
                <c:pt idx="0">
                  <c:v>0.9</c:v>
                </c:pt>
                <c:pt idx="1">
                  <c:v>-0.5</c:v>
                </c:pt>
                <c:pt idx="2">
                  <c:v>-2.5</c:v>
                </c:pt>
                <c:pt idx="3">
                  <c:v>-1.9000000000000001</c:v>
                </c:pt>
                <c:pt idx="4" formatCode="0.0">
                  <c:v>-1.6</c:v>
                </c:pt>
                <c:pt idx="5">
                  <c:v>-1.4</c:v>
                </c:pt>
                <c:pt idx="6">
                  <c:v>-0.60000000000000064</c:v>
                </c:pt>
                <c:pt idx="7">
                  <c:v>-0.60000000000000064</c:v>
                </c:pt>
                <c:pt idx="8">
                  <c:v>-0.70000000000000062</c:v>
                </c:pt>
                <c:pt idx="9">
                  <c:v>-0.2</c:v>
                </c:pt>
                <c:pt idx="10">
                  <c:v>-0.30000000000000032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B46-4063-85DE-A467E18D0A9D}"/>
            </c:ext>
          </c:extLst>
        </c:ser>
        <c:ser>
          <c:idx val="2"/>
          <c:order val="2"/>
          <c:tx>
            <c:strRef>
              <c:f>'Makroekonomski indikatori'!$C$29</c:f>
              <c:strCache>
                <c:ptCount val="1"/>
                <c:pt idx="0">
                  <c:v>gorivo</c:v>
                </c:pt>
              </c:strCache>
            </c:strRef>
          </c:tx>
          <c:spPr>
            <a:ln w="28575" cap="rnd">
              <a:solidFill>
                <a:srgbClr val="33CC33"/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'Makroekonomski indikatori'!$BM$43:$BW$43</c:f>
              <c:strCache>
                <c:ptCount val="11"/>
                <c:pt idx="0">
                  <c:v>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'Makroekonomski indikatori'!$BM$29:$BW$29</c:f>
              <c:numCache>
                <c:formatCode>General</c:formatCode>
                <c:ptCount val="11"/>
                <c:pt idx="0">
                  <c:v>-8.7000000000000011</c:v>
                </c:pt>
                <c:pt idx="1">
                  <c:v>-12.7</c:v>
                </c:pt>
                <c:pt idx="2">
                  <c:v>-15.6</c:v>
                </c:pt>
                <c:pt idx="3">
                  <c:v>-14.6</c:v>
                </c:pt>
                <c:pt idx="4" formatCode="0.0">
                  <c:v>-18.5</c:v>
                </c:pt>
                <c:pt idx="5">
                  <c:v>-15.5</c:v>
                </c:pt>
                <c:pt idx="6">
                  <c:v>-15.5</c:v>
                </c:pt>
                <c:pt idx="7">
                  <c:v>-14.4</c:v>
                </c:pt>
                <c:pt idx="8">
                  <c:v>-12.2</c:v>
                </c:pt>
                <c:pt idx="9">
                  <c:v>-8.2000000000000011</c:v>
                </c:pt>
                <c:pt idx="10">
                  <c:v>-2.4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AB46-4063-85DE-A467E18D0A9D}"/>
            </c:ext>
          </c:extLst>
        </c:ser>
        <c:marker val="1"/>
        <c:axId val="122992896"/>
        <c:axId val="124502016"/>
      </c:lineChart>
      <c:catAx>
        <c:axId val="122992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4502016"/>
        <c:crosses val="autoZero"/>
        <c:auto val="1"/>
        <c:lblAlgn val="ctr"/>
        <c:lblOffset val="100"/>
      </c:catAx>
      <c:valAx>
        <c:axId val="124502016"/>
        <c:scaling>
          <c:orientation val="minMax"/>
        </c:scaling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299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4391076115485607E-2"/>
          <c:y val="0.73299794233804361"/>
          <c:w val="0.96455080614923161"/>
          <c:h val="0.2335419976446229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CS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051627057358199"/>
          <c:y val="7.9139990678735408E-2"/>
          <c:w val="0.85272045436363231"/>
          <c:h val="0.86724311330242665"/>
        </c:manualLayout>
      </c:layout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C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'Makroekonomski indikatori'!$BM$43:$BW$43</c:f>
              <c:strCache>
                <c:ptCount val="11"/>
                <c:pt idx="0">
                  <c:v>2016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'Makroekonomski indikatori'!$BM$16:$BW$16</c:f>
              <c:numCache>
                <c:formatCode>General</c:formatCode>
                <c:ptCount val="11"/>
                <c:pt idx="0">
                  <c:v>-3.5</c:v>
                </c:pt>
                <c:pt idx="1">
                  <c:v>-31.7</c:v>
                </c:pt>
                <c:pt idx="2">
                  <c:v>-0.30000000000000032</c:v>
                </c:pt>
                <c:pt idx="3">
                  <c:v>22.1</c:v>
                </c:pt>
                <c:pt idx="4">
                  <c:v>79.7</c:v>
                </c:pt>
                <c:pt idx="5">
                  <c:v>13.5</c:v>
                </c:pt>
                <c:pt idx="6">
                  <c:v>-18.100000000000001</c:v>
                </c:pt>
                <c:pt idx="7">
                  <c:v>1.8</c:v>
                </c:pt>
                <c:pt idx="8">
                  <c:v>2.7</c:v>
                </c:pt>
                <c:pt idx="9">
                  <c:v>13.3</c:v>
                </c:pt>
                <c:pt idx="10" formatCode="0.0">
                  <c:v>34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829A-4CA6-AD07-3E3DE43A9D90}"/>
            </c:ext>
          </c:extLst>
        </c:ser>
        <c:marker val="1"/>
        <c:axId val="123486976"/>
        <c:axId val="123488512"/>
      </c:lineChart>
      <c:catAx>
        <c:axId val="1234869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3488512"/>
        <c:crosses val="autoZero"/>
        <c:auto val="1"/>
        <c:lblAlgn val="ctr"/>
        <c:lblOffset val="100"/>
      </c:catAx>
      <c:valAx>
        <c:axId val="123488512"/>
        <c:scaling>
          <c:orientation val="minMax"/>
        </c:scaling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123486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CS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'Makroekonomski indikatori'!$A$7</c:f>
              <c:strCache>
                <c:ptCount val="1"/>
                <c:pt idx="0">
                  <c:v>REALNI SEKTOR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indikatori'!$B$7:$X$7</c:f>
            </c:numRef>
          </c:val>
        </c:ser>
        <c:ser>
          <c:idx val="1"/>
          <c:order val="1"/>
          <c:tx>
            <c:strRef>
              <c:f>'Makroekonomski indikatori'!$A$8</c:f>
              <c:strCache>
                <c:ptCount val="1"/>
                <c:pt idx="0">
                  <c:v>Industrijska proizvodnja (stopa rasta)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indikatori'!$B$8:$X$8</c:f>
            </c:numRef>
          </c:val>
        </c:ser>
        <c:ser>
          <c:idx val="2"/>
          <c:order val="2"/>
          <c:tx>
            <c:strRef>
              <c:f>'Makroekonomski indikatori'!$A$9</c:f>
              <c:strCache>
                <c:ptCount val="1"/>
                <c:pt idx="0">
                  <c:v>Prerađivačka industrija (stopa rasta)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indikatori'!$B$9:$X$9</c:f>
            </c:numRef>
          </c:val>
        </c:ser>
        <c:ser>
          <c:idx val="3"/>
          <c:order val="3"/>
          <c:tx>
            <c:strRef>
              <c:f>'Makroekonomski indikatori'!$A$10</c:f>
              <c:strCache>
                <c:ptCount val="1"/>
                <c:pt idx="0">
                  <c:v>Noćenja u turizmu (stopa rasta)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indikatori'!$B$10:$X$10</c:f>
            </c:numRef>
          </c:val>
        </c:ser>
        <c:ser>
          <c:idx val="4"/>
          <c:order val="4"/>
          <c:tx>
            <c:strRef>
              <c:f>'Makroekonomski indikatori'!$A$11</c:f>
              <c:strCache>
                <c:ptCount val="1"/>
                <c:pt idx="0">
                  <c:v>Promet u maloprodaji (stopa rasta)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indikatori'!$B$11:$X$11</c:f>
            </c:numRef>
          </c:val>
        </c:ser>
        <c:ser>
          <c:idx val="5"/>
          <c:order val="5"/>
          <c:tx>
            <c:strRef>
              <c:f>'Makroekonomski indikatori'!$A$12</c:f>
              <c:strCache>
                <c:ptCount val="1"/>
                <c:pt idx="0">
                  <c:v>Vrijednost radova u gradjevinarstvu (stopa rasta)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indikatori'!$B$12:$X$12</c:f>
            </c:numRef>
          </c:val>
        </c:ser>
        <c:ser>
          <c:idx val="6"/>
          <c:order val="6"/>
          <c:tx>
            <c:strRef>
              <c:f>'Makroekonomski indikatori'!$A$13</c:f>
              <c:strCache>
                <c:ptCount val="1"/>
                <c:pt idx="0">
                  <c:v>INFLACIJA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indikatori'!$B$13:$X$13</c:f>
            </c:numRef>
          </c:val>
        </c:ser>
        <c:ser>
          <c:idx val="7"/>
          <c:order val="7"/>
          <c:tx>
            <c:strRef>
              <c:f>'Makroekonomski indikatori'!$A$14</c:f>
              <c:strCache>
                <c:ptCount val="1"/>
                <c:pt idx="0">
                  <c:v>Indeks potrošačkih cijena (stopa rasta)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indikatori'!$B$14:$X$14</c:f>
            </c:numRef>
          </c:val>
        </c:ser>
        <c:ser>
          <c:idx val="8"/>
          <c:order val="8"/>
          <c:tx>
            <c:strRef>
              <c:f>'Makroekonomski indikatori'!$A$15</c:f>
              <c:strCache>
                <c:ptCount val="1"/>
                <c:pt idx="0">
                  <c:v>Harmonizovani indeks potrošačkih cijena (stopa rasta)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indikatori'!$B$15:$X$15</c:f>
            </c:numRef>
          </c:val>
        </c:ser>
        <c:ser>
          <c:idx val="9"/>
          <c:order val="9"/>
          <c:tx>
            <c:strRef>
              <c:f>'Makroekonomski indikatori'!$A$16</c:f>
              <c:strCache>
                <c:ptCount val="1"/>
                <c:pt idx="0">
                  <c:v>Indeks proizvodjačkih cijena (stopa rasta)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indikatori'!$B$16:$X$16</c:f>
            </c:numRef>
          </c:val>
        </c:ser>
        <c:ser>
          <c:idx val="10"/>
          <c:order val="10"/>
          <c:tx>
            <c:strRef>
              <c:f>'Makroekonomski indikatori'!$A$17</c:f>
              <c:strCache>
                <c:ptCount val="1"/>
                <c:pt idx="0">
                  <c:v>ZAPOSLENOST I ZARADE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indikatori'!$B$17:$X$17</c:f>
            </c:numRef>
          </c:val>
        </c:ser>
        <c:ser>
          <c:idx val="11"/>
          <c:order val="11"/>
          <c:tx>
            <c:strRef>
              <c:f>'Makroekonomski indikatori'!$A$18</c:f>
              <c:strCache>
                <c:ptCount val="1"/>
                <c:pt idx="0">
                  <c:v>Zaposlenost (broK, kraK perioda)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indikatori'!$B$18:$X$18</c:f>
            </c:numRef>
          </c:val>
        </c:ser>
        <c:ser>
          <c:idx val="12"/>
          <c:order val="12"/>
          <c:tx>
            <c:strRef>
              <c:f>'Makroekonomski indikatori'!$A$19</c:f>
              <c:strCache>
                <c:ptCount val="1"/>
                <c:pt idx="0">
                  <c:v>Broj nezaposlenih (broK, kraK perioda)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indikatori'!$B$19:$X$19</c:f>
            </c:numRef>
          </c:val>
        </c:ser>
        <c:ser>
          <c:idx val="13"/>
          <c:order val="13"/>
          <c:tx>
            <c:strRef>
              <c:f>'Makroekonomski indikatori'!$A$20</c:f>
              <c:strCache>
                <c:ptCount val="1"/>
                <c:pt idx="0">
                  <c:v>Stopa nezaposlenosti (%)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indikatori'!$B$20:$X$20</c:f>
            </c:numRef>
          </c:val>
        </c:ser>
        <c:ser>
          <c:idx val="14"/>
          <c:order val="14"/>
          <c:tx>
            <c:strRef>
              <c:f>'Makroekonomski indikatori'!$A$21</c:f>
              <c:strCache>
                <c:ptCount val="1"/>
                <c:pt idx="0">
                  <c:v>Stopa nezaposlenosti (ARS) (%)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indikatori'!$B$21:$X$21</c:f>
            </c:numRef>
          </c:val>
        </c:ser>
        <c:ser>
          <c:idx val="15"/>
          <c:order val="15"/>
          <c:tx>
            <c:strRef>
              <c:f>'Makroekonomski indikatori'!$A$22</c:f>
              <c:strCache>
                <c:ptCount val="1"/>
                <c:pt idx="0">
                  <c:v>Oglašena radna mjesta (broK)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indikatori'!$B$22:$X$22</c:f>
            </c:numRef>
          </c:val>
        </c:ser>
        <c:ser>
          <c:idx val="16"/>
          <c:order val="16"/>
          <c:tx>
            <c:strRef>
              <c:f>'Makroekonomski indikatori'!$A$23</c:f>
              <c:strCache>
                <c:ptCount val="1"/>
                <c:pt idx="0">
                  <c:v>Prosječna bruto zarada (u €)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indikatori'!$B$23:$X$23</c:f>
              <c:numCache>
                <c:formatCode>#,##0</c:formatCode>
                <c:ptCount val="10"/>
                <c:pt idx="0">
                  <c:v>739</c:v>
                </c:pt>
                <c:pt idx="1">
                  <c:v>734</c:v>
                </c:pt>
                <c:pt idx="2">
                  <c:v>751</c:v>
                </c:pt>
                <c:pt idx="3">
                  <c:v>752</c:v>
                </c:pt>
                <c:pt idx="4">
                  <c:v>755</c:v>
                </c:pt>
                <c:pt idx="5">
                  <c:v>754</c:v>
                </c:pt>
                <c:pt idx="6">
                  <c:v>755</c:v>
                </c:pt>
                <c:pt idx="7">
                  <c:v>753</c:v>
                </c:pt>
                <c:pt idx="8">
                  <c:v>754</c:v>
                </c:pt>
                <c:pt idx="9">
                  <c:v>756</c:v>
                </c:pt>
              </c:numCache>
            </c:numRef>
          </c:val>
        </c:ser>
        <c:ser>
          <c:idx val="17"/>
          <c:order val="17"/>
          <c:tx>
            <c:strRef>
              <c:f>'Makroekonomski indikatori'!$A$24</c:f>
              <c:strCache>
                <c:ptCount val="1"/>
                <c:pt idx="0">
                  <c:v>Prosječna neto zarada (u €)</c:v>
                </c:pt>
              </c:strCache>
            </c:strRef>
          </c:tx>
          <c:cat>
            <c:strRef>
              <c:f>'Makroekonomski indikatori'!$B$6:$X$6</c:f>
              <c:strCache>
                <c:ptCount val="10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 XI</c:v>
                </c:pt>
              </c:strCache>
            </c:strRef>
          </c:cat>
          <c:val>
            <c:numRef>
              <c:f>'Makroekonomski indikatori'!$B$24:$X$24</c:f>
              <c:numCache>
                <c:formatCode>#,##0</c:formatCode>
                <c:ptCount val="10"/>
                <c:pt idx="0">
                  <c:v>491</c:v>
                </c:pt>
                <c:pt idx="1">
                  <c:v>488</c:v>
                </c:pt>
                <c:pt idx="2">
                  <c:v>499</c:v>
                </c:pt>
                <c:pt idx="3">
                  <c:v>500</c:v>
                </c:pt>
                <c:pt idx="4">
                  <c:v>502</c:v>
                </c:pt>
                <c:pt idx="5">
                  <c:v>501</c:v>
                </c:pt>
                <c:pt idx="6">
                  <c:v>502</c:v>
                </c:pt>
                <c:pt idx="7">
                  <c:v>501</c:v>
                </c:pt>
                <c:pt idx="8">
                  <c:v>502</c:v>
                </c:pt>
                <c:pt idx="9">
                  <c:v>503</c:v>
                </c:pt>
              </c:numCache>
            </c:numRef>
          </c:val>
        </c:ser>
        <c:shape val="box"/>
        <c:axId val="124537856"/>
        <c:axId val="124572416"/>
        <c:axId val="0"/>
      </c:bar3DChart>
      <c:catAx>
        <c:axId val="12453785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24572416"/>
        <c:crosses val="autoZero"/>
        <c:auto val="1"/>
        <c:lblAlgn val="ctr"/>
        <c:lblOffset val="100"/>
      </c:catAx>
      <c:valAx>
        <c:axId val="124572416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24537856"/>
        <c:crosses val="autoZero"/>
        <c:crossBetween val="between"/>
      </c:valAx>
    </c:plotArea>
    <c:legend>
      <c:legendPos val="b"/>
      <c:txPr>
        <a:bodyPr/>
        <a:lstStyle/>
        <a:p>
          <a:pPr>
            <a:defRPr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62739250616959"/>
          <c:y val="6.951026856240132E-2"/>
          <c:w val="0.8073571036178615"/>
          <c:h val="0.73169384632608403"/>
        </c:manualLayout>
      </c:layout>
      <c:bar3DChart>
        <c:barDir val="col"/>
        <c:grouping val="clustered"/>
        <c:ser>
          <c:idx val="0"/>
          <c:order val="0"/>
          <c:tx>
            <c:strRef>
              <c:f>'Fiskalni indikatori'!$B$4</c:f>
              <c:strCache>
                <c:ptCount val="1"/>
                <c:pt idx="0">
                  <c:v>IZVORNI PRIHODI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'Fiskalni indikatori'!$AX$3:$BJ$3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'Fiskalni indikatori'!$AX$4:$BJ$4</c:f>
              <c:numCache>
                <c:formatCode>0.00,,</c:formatCode>
                <c:ptCount val="13"/>
                <c:pt idx="0">
                  <c:v>95953862.830000013</c:v>
                </c:pt>
                <c:pt idx="1">
                  <c:v>156411772.79999998</c:v>
                </c:pt>
                <c:pt idx="2">
                  <c:v>67408378.920000017</c:v>
                </c:pt>
                <c:pt idx="3">
                  <c:v>95779987.890000001</c:v>
                </c:pt>
                <c:pt idx="4">
                  <c:v>121569715.28999998</c:v>
                </c:pt>
                <c:pt idx="5">
                  <c:v>114117602.84999999</c:v>
                </c:pt>
                <c:pt idx="6">
                  <c:v>109902380.94000016</c:v>
                </c:pt>
                <c:pt idx="7">
                  <c:v>124386958.85000001</c:v>
                </c:pt>
                <c:pt idx="8">
                  <c:v>126209907.60000001</c:v>
                </c:pt>
                <c:pt idx="9">
                  <c:v>190887085.91000003</c:v>
                </c:pt>
                <c:pt idx="10">
                  <c:v>132857308.11</c:v>
                </c:pt>
                <c:pt idx="11">
                  <c:v>120689605.48999999</c:v>
                </c:pt>
                <c:pt idx="12">
                  <c:v>112516780.99000002</c:v>
                </c:pt>
              </c:numCache>
            </c:numRef>
          </c:val>
        </c:ser>
        <c:ser>
          <c:idx val="1"/>
          <c:order val="1"/>
          <c:tx>
            <c:strRef>
              <c:f>'Fiskalni indikatori'!$B$10</c:f>
              <c:strCache>
                <c:ptCount val="1"/>
                <c:pt idx="0">
                  <c:v>IZDACI BUDŽETA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'Fiskalni indikatori'!$AX$3:$BJ$3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'Fiskalni indikatori'!$AX$10:$BJ$10</c:f>
              <c:numCache>
                <c:formatCode>0.00,,</c:formatCode>
                <c:ptCount val="13"/>
                <c:pt idx="0">
                  <c:v>109693790.04000002</c:v>
                </c:pt>
                <c:pt idx="1">
                  <c:v>175792853.04999998</c:v>
                </c:pt>
                <c:pt idx="2">
                  <c:v>88139258.460000023</c:v>
                </c:pt>
                <c:pt idx="3">
                  <c:v>113203030.58</c:v>
                </c:pt>
                <c:pt idx="4">
                  <c:v>155538321.47999999</c:v>
                </c:pt>
                <c:pt idx="5">
                  <c:v>134030506.00000001</c:v>
                </c:pt>
                <c:pt idx="6">
                  <c:v>135049989.09999999</c:v>
                </c:pt>
                <c:pt idx="7">
                  <c:v>119611164.32000001</c:v>
                </c:pt>
                <c:pt idx="8">
                  <c:v>125482119.61</c:v>
                </c:pt>
                <c:pt idx="9">
                  <c:v>115877531.81</c:v>
                </c:pt>
                <c:pt idx="10">
                  <c:v>123363705.22</c:v>
                </c:pt>
                <c:pt idx="11">
                  <c:v>114726572.50999999</c:v>
                </c:pt>
                <c:pt idx="12">
                  <c:v>137383634.64000002</c:v>
                </c:pt>
              </c:numCache>
            </c:numRef>
          </c:val>
        </c:ser>
        <c:ser>
          <c:idx val="2"/>
          <c:order val="2"/>
          <c:tx>
            <c:strRef>
              <c:f>'Fiskalni indikatori'!$B$17</c:f>
              <c:strCache>
                <c:ptCount val="1"/>
                <c:pt idx="0">
                  <c:v>Suficit / Deficit budžeta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'Fiskalni indikatori'!$AX$3:$BJ$3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'Fiskalni indikatori'!$AX$17:$BJ$17</c:f>
              <c:numCache>
                <c:formatCode>0.00,,</c:formatCode>
                <c:ptCount val="13"/>
                <c:pt idx="0">
                  <c:v>-13739927.210000005</c:v>
                </c:pt>
                <c:pt idx="1">
                  <c:v>-19381080.25</c:v>
                </c:pt>
                <c:pt idx="2">
                  <c:v>-20723563.769999996</c:v>
                </c:pt>
                <c:pt idx="3">
                  <c:v>-17383688.400000006</c:v>
                </c:pt>
                <c:pt idx="4">
                  <c:v>-33968606.190000013</c:v>
                </c:pt>
                <c:pt idx="5">
                  <c:v>-19912903.150000021</c:v>
                </c:pt>
                <c:pt idx="6">
                  <c:v>-25147608.16</c:v>
                </c:pt>
                <c:pt idx="7">
                  <c:v>4775794.5300000161</c:v>
                </c:pt>
                <c:pt idx="8">
                  <c:v>727787.9900000093</c:v>
                </c:pt>
                <c:pt idx="9">
                  <c:v>75067609.50000006</c:v>
                </c:pt>
                <c:pt idx="10">
                  <c:v>9534824.1800000072</c:v>
                </c:pt>
                <c:pt idx="11">
                  <c:v>5976032.9800000042</c:v>
                </c:pt>
                <c:pt idx="12">
                  <c:v>-24866853.650000021</c:v>
                </c:pt>
              </c:numCache>
            </c:numRef>
          </c:val>
        </c:ser>
        <c:shape val="box"/>
        <c:axId val="89106304"/>
        <c:axId val="89107840"/>
        <c:axId val="0"/>
      </c:bar3DChart>
      <c:catAx>
        <c:axId val="891063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89107840"/>
        <c:crosses val="autoZero"/>
        <c:auto val="1"/>
        <c:lblAlgn val="ctr"/>
        <c:lblOffset val="100"/>
      </c:catAx>
      <c:valAx>
        <c:axId val="891078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,,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89106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CS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/>
      <c:barChart>
        <c:barDir val="col"/>
        <c:grouping val="clustered"/>
        <c:ser>
          <c:idx val="1"/>
          <c:order val="1"/>
          <c:tx>
            <c:v>Nekvalitetni krediti</c:v>
          </c:tx>
          <c:val>
            <c:numRef>
              <c:f>'Pokazatelji kvaliteta aktive'!$BW$6:$CI$6</c:f>
              <c:numCache>
                <c:formatCode>#,##0</c:formatCode>
                <c:ptCount val="13"/>
                <c:pt idx="0">
                  <c:v>333454</c:v>
                </c:pt>
                <c:pt idx="1">
                  <c:v>299876</c:v>
                </c:pt>
                <c:pt idx="2">
                  <c:v>303413</c:v>
                </c:pt>
                <c:pt idx="3">
                  <c:v>302065</c:v>
                </c:pt>
                <c:pt idx="4">
                  <c:v>284740</c:v>
                </c:pt>
                <c:pt idx="5">
                  <c:v>292431</c:v>
                </c:pt>
                <c:pt idx="6">
                  <c:v>289250</c:v>
                </c:pt>
                <c:pt idx="7">
                  <c:v>278725</c:v>
                </c:pt>
                <c:pt idx="8">
                  <c:v>282966</c:v>
                </c:pt>
                <c:pt idx="9">
                  <c:v>283070</c:v>
                </c:pt>
                <c:pt idx="10">
                  <c:v>254864</c:v>
                </c:pt>
                <c:pt idx="11">
                  <c:v>262123</c:v>
                </c:pt>
                <c:pt idx="12">
                  <c:v>259027</c:v>
                </c:pt>
              </c:numCache>
            </c:numRef>
          </c:val>
        </c:ser>
        <c:axId val="124161408"/>
        <c:axId val="124298368"/>
      </c:barChart>
      <c:lineChart>
        <c:grouping val="standard"/>
        <c:ser>
          <c:idx val="0"/>
          <c:order val="0"/>
          <c:tx>
            <c:v>Učešće nekvalitetnih kredita</c:v>
          </c:tx>
          <c:marker>
            <c:symbol val="none"/>
          </c:marker>
          <c:cat>
            <c:strRef>
              <c:f>'Pokazatelji kvaliteta aktive'!$BW$3:$CI$3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'Pokazatelji kvaliteta aktive'!$BW$7:$CI$7</c:f>
              <c:numCache>
                <c:formatCode>0.00</c:formatCode>
                <c:ptCount val="13"/>
                <c:pt idx="0">
                  <c:v>13.273502116490155</c:v>
                </c:pt>
                <c:pt idx="1">
                  <c:v>12.570349709211419</c:v>
                </c:pt>
                <c:pt idx="2">
                  <c:v>12.745087743691048</c:v>
                </c:pt>
                <c:pt idx="3">
                  <c:v>12.717830181926868</c:v>
                </c:pt>
                <c:pt idx="4">
                  <c:v>11.991248923487039</c:v>
                </c:pt>
                <c:pt idx="5">
                  <c:v>12.385754165454276</c:v>
                </c:pt>
                <c:pt idx="6">
                  <c:v>12.190244517129418</c:v>
                </c:pt>
                <c:pt idx="7">
                  <c:v>11.723394760318648</c:v>
                </c:pt>
                <c:pt idx="8">
                  <c:v>11.538367438810702</c:v>
                </c:pt>
                <c:pt idx="9">
                  <c:v>11.369697729193406</c:v>
                </c:pt>
                <c:pt idx="10">
                  <c:v>10.167729395670703</c:v>
                </c:pt>
                <c:pt idx="11">
                  <c:v>10.478595119985577</c:v>
                </c:pt>
                <c:pt idx="12">
                  <c:v>10.592691314121534</c:v>
                </c:pt>
              </c:numCache>
            </c:numRef>
          </c:val>
        </c:ser>
        <c:marker val="1"/>
        <c:axId val="124158336"/>
        <c:axId val="124159872"/>
      </c:lineChart>
      <c:catAx>
        <c:axId val="1241583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24159872"/>
        <c:crosses val="autoZero"/>
        <c:auto val="1"/>
        <c:lblAlgn val="ctr"/>
        <c:lblOffset val="100"/>
      </c:catAx>
      <c:valAx>
        <c:axId val="124159872"/>
        <c:scaling>
          <c:orientation val="minMax"/>
        </c:scaling>
        <c:axPos val="l"/>
        <c:numFmt formatCode="0.00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24158336"/>
        <c:crosses val="autoZero"/>
        <c:crossBetween val="between"/>
      </c:valAx>
      <c:catAx>
        <c:axId val="124161408"/>
        <c:scaling>
          <c:orientation val="minMax"/>
        </c:scaling>
        <c:delete val="1"/>
        <c:axPos val="b"/>
        <c:tickLblPos val="none"/>
        <c:crossAx val="124298368"/>
        <c:crosses val="autoZero"/>
        <c:auto val="1"/>
        <c:lblAlgn val="ctr"/>
        <c:lblOffset val="100"/>
      </c:catAx>
      <c:valAx>
        <c:axId val="124298368"/>
        <c:scaling>
          <c:orientation val="minMax"/>
        </c:scaling>
        <c:axPos val="r"/>
        <c:numFmt formatCode="#,##0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24161408"/>
        <c:crosses val="max"/>
        <c:crossBetween val="between"/>
      </c:valAx>
    </c:plotArea>
    <c:legend>
      <c:legendPos val="b"/>
      <c:txPr>
        <a:bodyPr/>
        <a:lstStyle/>
        <a:p>
          <a:pPr>
            <a:defRPr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945E7-57C4-4C50-B85C-6675B0C6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branko.krvavac</dc:creator>
  <cp:lastModifiedBy>branko.krvavac</cp:lastModifiedBy>
  <cp:revision>112</cp:revision>
  <dcterms:created xsi:type="dcterms:W3CDTF">2017-02-07T09:05:00Z</dcterms:created>
  <dcterms:modified xsi:type="dcterms:W3CDTF">2017-02-09T11:37:00Z</dcterms:modified>
</cp:coreProperties>
</file>