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D" w:rsidRDefault="00A9171D" w:rsidP="00D00F3A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546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.25pt;margin-top:3.75pt;width:315pt;height:100.5pt;z-index:251658240;mso-position-horizontal-relative:text;mso-position-vertical-relative:text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A9171D" w:rsidRDefault="00A9171D" w:rsidP="00A9171D">
                  <w:pPr>
                    <w:rPr>
                      <w:rFonts w:ascii="Tahoma" w:hAnsi="Tahoma" w:cs="Tahoma"/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 xml:space="preserve">                                                             </w:t>
                  </w:r>
                </w:p>
              </w:txbxContent>
            </v:textbox>
            <w10:wrap side="left"/>
          </v:shape>
        </w:pict>
      </w: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  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="Arial" w:hAnsi="Arial" w:cs="Arial"/>
          <w:i/>
          <w:iCs/>
          <w:color w:val="1F497D"/>
          <w:sz w:val="21"/>
          <w:szCs w:val="21"/>
        </w:rPr>
        <w:t xml:space="preserve"> </w:t>
      </w:r>
    </w:p>
    <w:p w:rsidR="00A9171D" w:rsidRDefault="00A9171D" w:rsidP="00A9171D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A9171D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AE6E6E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D56781">
        <w:rPr>
          <w:rFonts w:ascii="Arial" w:hAnsi="Arial" w:cs="Arial"/>
          <w:sz w:val="21"/>
          <w:szCs w:val="21"/>
        </w:rPr>
        <w:t xml:space="preserve"> </w:t>
      </w:r>
      <w:r w:rsidR="009F6AD5">
        <w:rPr>
          <w:rFonts w:ascii="Arial" w:hAnsi="Arial" w:cs="Arial"/>
          <w:sz w:val="21"/>
          <w:szCs w:val="21"/>
        </w:rPr>
        <w:t>MART</w:t>
      </w:r>
      <w:r w:rsidR="004C19F2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</w:t>
      </w:r>
      <w:r w:rsidR="00BD3CBC">
        <w:rPr>
          <w:rFonts w:ascii="Arial" w:hAnsi="Arial" w:cs="Arial"/>
          <w:sz w:val="21"/>
          <w:szCs w:val="21"/>
        </w:rPr>
        <w:t>5</w:t>
      </w:r>
    </w:p>
    <w:p w:rsidR="00FF29D7" w:rsidRDefault="00FF29D7" w:rsidP="00FF29D7">
      <w:pPr>
        <w:pStyle w:val="Title"/>
        <w:rPr>
          <w:rFonts w:ascii="Arial" w:hAnsi="Arial" w:cs="Arial"/>
          <w:sz w:val="21"/>
          <w:szCs w:val="21"/>
        </w:rPr>
      </w:pPr>
    </w:p>
    <w:p w:rsidR="00175FF6" w:rsidRPr="00E912A9" w:rsidRDefault="00175FF6" w:rsidP="00175FF6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1A02C8" w:rsidRPr="003C417F" w:rsidRDefault="001A02C8" w:rsidP="001A02C8">
      <w:pPr>
        <w:spacing w:after="160" w:line="254" w:lineRule="auto"/>
        <w:jc w:val="center"/>
        <w:rPr>
          <w:rFonts w:ascii="Arial" w:eastAsia="Calibri" w:hAnsi="Arial" w:cs="Arial"/>
          <w:lang w:val="sr-Latn-ME"/>
        </w:rPr>
      </w:pPr>
      <w:r w:rsidRPr="003C417F">
        <w:rPr>
          <w:rFonts w:ascii="Arial" w:eastAsia="Calibri" w:hAnsi="Arial" w:cs="Arial"/>
          <w:lang w:val="sr-Latn-ME"/>
        </w:rPr>
        <w:t>● ● ◊ ● ●</w:t>
      </w:r>
    </w:p>
    <w:p w:rsidR="0089546C" w:rsidRDefault="001A02C8" w:rsidP="0089546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3C417F">
        <w:rPr>
          <w:rFonts w:ascii="Arial" w:hAnsi="Arial" w:cs="Arial"/>
          <w:b/>
          <w:bCs/>
          <w:lang w:val="sr-Latn-ME"/>
        </w:rPr>
        <w:t xml:space="preserve">■ Kontrole </w:t>
      </w:r>
      <w:r>
        <w:rPr>
          <w:rFonts w:ascii="Arial" w:hAnsi="Arial" w:cs="Arial"/>
          <w:b/>
          <w:bCs/>
          <w:lang w:val="sr-Latn-ME"/>
        </w:rPr>
        <w:t>po službenoj dužnosti</w:t>
      </w:r>
    </w:p>
    <w:p w:rsidR="001A02C8" w:rsidRPr="003C417F" w:rsidRDefault="001A02C8" w:rsidP="0089546C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  <w:r w:rsidRPr="003C417F">
        <w:rPr>
          <w:rFonts w:ascii="Arial" w:hAnsi="Arial" w:cs="Arial"/>
          <w:b/>
          <w:bCs/>
          <w:lang w:val="sr-Latn-ME"/>
        </w:rPr>
        <w:t xml:space="preserve"> </w:t>
      </w:r>
    </w:p>
    <w:p w:rsidR="009F6AD5" w:rsidRPr="000D6DB1" w:rsidRDefault="009F6AD5" w:rsidP="0089546C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0D6DB1">
        <w:rPr>
          <w:rFonts w:ascii="Arial" w:hAnsi="Arial" w:cs="Arial"/>
          <w:lang w:val="sr-Latn-ME"/>
        </w:rPr>
        <w:t>Službenici Odjeljenja za unutrašnju kontrolu policije su tokom marta</w:t>
      </w:r>
      <w:r>
        <w:rPr>
          <w:rFonts w:ascii="Arial" w:hAnsi="Arial" w:cs="Arial"/>
          <w:lang w:val="sr-Latn-ME"/>
        </w:rPr>
        <w:t xml:space="preserve"> 2025.godine, izvršili sedam</w:t>
      </w:r>
      <w:r w:rsidRPr="000D6DB1">
        <w:rPr>
          <w:rFonts w:ascii="Arial" w:hAnsi="Arial" w:cs="Arial"/>
          <w:lang w:val="sr-Latn-ME"/>
        </w:rPr>
        <w:t xml:space="preserve"> kontrola – provjera zakonitosti postupanja policijskih službenika na osnovu operativnih i drugih saznanja o mogućim nezakonitostima i nepravilnostima u radu i postupanju policijskih službenika.</w:t>
      </w:r>
    </w:p>
    <w:p w:rsidR="009F6AD5" w:rsidRPr="000D6DB1" w:rsidRDefault="009F6AD5" w:rsidP="0089546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9F6AD5" w:rsidRDefault="009F6AD5" w:rsidP="0089546C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 w:rsidRPr="000D6DB1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9F6AD5" w:rsidRPr="000D6DB1" w:rsidRDefault="009F6AD5" w:rsidP="0089546C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9F6AD5" w:rsidRPr="000D6DB1" w:rsidRDefault="009F6AD5" w:rsidP="0089546C">
      <w:pPr>
        <w:spacing w:after="0" w:line="240" w:lineRule="auto"/>
        <w:jc w:val="both"/>
        <w:rPr>
          <w:rFonts w:ascii="Arial" w:hAnsi="Arial" w:cs="Arial"/>
          <w:bCs/>
          <w:iCs/>
          <w:color w:val="FF0000"/>
          <w:lang w:val="sr-Latn-ME"/>
        </w:rPr>
      </w:pPr>
      <w:r w:rsidRPr="00C207B0">
        <w:rPr>
          <w:rFonts w:ascii="Arial" w:hAnsi="Arial" w:cs="Arial"/>
          <w:iCs/>
          <w:lang w:val="sr-Latn-ME"/>
        </w:rPr>
        <w:t xml:space="preserve">■ U jednom slučaju unutrašne kontrole konstatovano </w:t>
      </w:r>
      <w:r w:rsidRPr="00C207B0">
        <w:rPr>
          <w:rFonts w:ascii="Arial" w:hAnsi="Arial" w:cs="Arial"/>
          <w:bCs/>
          <w:iCs/>
          <w:lang w:val="sr-Latn-ME"/>
        </w:rPr>
        <w:t>je da</w:t>
      </w:r>
      <w:r w:rsidRPr="00C207B0">
        <w:rPr>
          <w:rFonts w:ascii="Arial" w:hAnsi="Arial"/>
          <w:lang w:val="sr-Latn-ME"/>
        </w:rPr>
        <w:t xml:space="preserve"> </w:t>
      </w:r>
      <w:r w:rsidRPr="00D50BA1">
        <w:rPr>
          <w:rFonts w:ascii="Arial" w:hAnsi="Arial"/>
          <w:color w:val="000000" w:themeColor="text1"/>
          <w:lang w:val="sr-Latn-ME"/>
        </w:rPr>
        <w:t xml:space="preserve">su od strane neposrednog rukovodioca Stanice granične policije Ulcinj, koji je već postupao po istovjetnoj prijavi podnosioca, već preduzete zakonske mjere i iniciran disciplinski postupak protiv službenika Stanice granične policije </w:t>
      </w:r>
      <w:r>
        <w:rPr>
          <w:rFonts w:ascii="Arial" w:hAnsi="Arial"/>
          <w:color w:val="000000" w:themeColor="text1"/>
          <w:lang w:val="sr-Latn-ME"/>
        </w:rPr>
        <w:t xml:space="preserve"> I Ulcinj </w:t>
      </w:r>
      <w:r w:rsidRPr="00D50BA1">
        <w:rPr>
          <w:rFonts w:ascii="Arial" w:hAnsi="Arial"/>
          <w:color w:val="000000" w:themeColor="text1"/>
          <w:lang w:val="sr-Latn-ME"/>
        </w:rPr>
        <w:t>– Graničnog prelaza „Sukobin - Murićani“, zbog osnovane sumnje da je počinio težu povredu službene dužnosti iz člana 173 stav 1 tačka 3 Zakona o unutrašnjim poslovima (preduzimanje ili nepreduzimanje radnje kojom se onemogućava ili otežava  obavljanje policijskih poslova  i izvršavanje službenih zadataka) a u vezi sa članom 95 stav 1 tačka 3 Zakona o državnim službenicima i namještenicima (nepravilno korišćenje i ras</w:t>
      </w:r>
      <w:r>
        <w:rPr>
          <w:rFonts w:ascii="Arial" w:hAnsi="Arial"/>
          <w:color w:val="000000" w:themeColor="text1"/>
          <w:lang w:val="sr-Latn-ME"/>
        </w:rPr>
        <w:t>polaganje povjerenim sredstvima</w:t>
      </w:r>
      <w:r w:rsidRPr="00D50BA1">
        <w:rPr>
          <w:rFonts w:ascii="Arial" w:hAnsi="Arial"/>
          <w:color w:val="000000" w:themeColor="text1"/>
          <w:lang w:val="sr-Latn-ME"/>
        </w:rPr>
        <w:t>). Osim navedenog, Odjeljenje za unutrašnju kontrolu policije je Izvještaj sa spisima sačinjenim u postupku unutrašnje kontrole dostavilo nadležnom državnom tužilaštvu u Ulcinju na dalji postupak, ocjenu i odlučivanje da li su se u radnjama i postupanju policijskog službenika stekla obilježja krivičnog djela za koje se gonjenje preduzima po službenoj dužnosti</w:t>
      </w:r>
      <w:r w:rsidRPr="00040F02">
        <w:rPr>
          <w:rFonts w:ascii="Arial" w:hAnsi="Arial"/>
          <w:color w:val="000000" w:themeColor="text1"/>
          <w:shd w:val="clear" w:color="auto" w:fill="FFFFFF" w:themeFill="background1"/>
          <w:lang w:val="sr-Latn-ME"/>
        </w:rPr>
        <w:t>.</w:t>
      </w:r>
    </w:p>
    <w:p w:rsidR="009F6AD5" w:rsidRDefault="009F6AD5" w:rsidP="0089546C">
      <w:pPr>
        <w:spacing w:after="0" w:line="240" w:lineRule="auto"/>
        <w:jc w:val="both"/>
        <w:rPr>
          <w:rFonts w:ascii="Arial" w:hAnsi="Arial"/>
          <w:b/>
          <w:bCs/>
          <w:i/>
          <w:color w:val="000000"/>
          <w:lang w:val="sr-Latn-ME"/>
        </w:rPr>
      </w:pPr>
    </w:p>
    <w:p w:rsidR="009F6AD5" w:rsidRDefault="009F6AD5" w:rsidP="0089546C">
      <w:pPr>
        <w:spacing w:after="0" w:line="240" w:lineRule="auto"/>
        <w:jc w:val="both"/>
        <w:rPr>
          <w:rFonts w:ascii="Arial" w:hAnsi="Arial"/>
          <w:b/>
          <w:color w:val="000000" w:themeColor="text1"/>
          <w:lang w:val="sr-Latn-ME"/>
        </w:rPr>
      </w:pPr>
    </w:p>
    <w:p w:rsidR="009F6AD5" w:rsidRPr="00D069A6" w:rsidRDefault="009F6AD5" w:rsidP="0089546C">
      <w:pPr>
        <w:spacing w:after="0" w:line="240" w:lineRule="auto"/>
        <w:jc w:val="both"/>
        <w:rPr>
          <w:rFonts w:ascii="Arial" w:hAnsi="Arial"/>
          <w:b/>
          <w:bCs/>
          <w:color w:val="000000"/>
          <w:lang w:val="sr-Latn-ME"/>
        </w:rPr>
      </w:pPr>
      <w:r w:rsidRPr="00C207B0">
        <w:rPr>
          <w:rFonts w:ascii="Arial" w:hAnsi="Arial" w:cs="Arial"/>
          <w:iCs/>
          <w:lang w:val="sr-Latn-ME"/>
        </w:rPr>
        <w:t>■ U</w:t>
      </w:r>
      <w:r>
        <w:rPr>
          <w:rFonts w:ascii="Arial" w:hAnsi="Arial" w:cs="Arial"/>
          <w:iCs/>
          <w:lang w:val="sr-Latn-ME"/>
        </w:rPr>
        <w:t xml:space="preserve"> preostalih šest slučajeva unutrašnjih kontrola </w:t>
      </w:r>
      <w:r w:rsidRPr="0075121C">
        <w:rPr>
          <w:rFonts w:ascii="Arial" w:hAnsi="Arial"/>
          <w:lang w:val="sr-Latn-ME"/>
        </w:rPr>
        <w:t>nijesu utvrđene činjenice i dokazi koji bi ukazali na nezakonito ili nepro</w:t>
      </w:r>
      <w:r>
        <w:rPr>
          <w:rFonts w:ascii="Arial" w:hAnsi="Arial"/>
          <w:lang w:val="sr-Latn-ME"/>
        </w:rPr>
        <w:t>fesionalno postupanje policijskih</w:t>
      </w:r>
      <w:r w:rsidRPr="0075121C">
        <w:rPr>
          <w:rFonts w:ascii="Arial" w:hAnsi="Arial"/>
          <w:lang w:val="sr-Latn-ME"/>
        </w:rPr>
        <w:t xml:space="preserve"> službenika u predmetn</w:t>
      </w:r>
      <w:r>
        <w:rPr>
          <w:rFonts w:ascii="Arial" w:hAnsi="Arial"/>
          <w:lang w:val="sr-Latn-ME"/>
        </w:rPr>
        <w:t>i</w:t>
      </w:r>
      <w:r w:rsidRPr="0075121C">
        <w:rPr>
          <w:rFonts w:ascii="Arial" w:hAnsi="Arial"/>
          <w:lang w:val="sr-Latn-ME"/>
        </w:rPr>
        <w:t>m</w:t>
      </w:r>
      <w:r>
        <w:rPr>
          <w:rFonts w:ascii="Arial" w:hAnsi="Arial"/>
          <w:lang w:val="sr-Latn-ME"/>
        </w:rPr>
        <w:t xml:space="preserve"> slučajevima.</w:t>
      </w:r>
    </w:p>
    <w:p w:rsidR="009F6AD5" w:rsidRPr="00120061" w:rsidRDefault="009F6AD5" w:rsidP="0089546C">
      <w:pPr>
        <w:spacing w:after="0" w:line="240" w:lineRule="auto"/>
        <w:ind w:right="178" w:firstLine="720"/>
        <w:jc w:val="both"/>
        <w:rPr>
          <w:rFonts w:ascii="Arial" w:hAnsi="Arial"/>
          <w:noProof/>
          <w:color w:val="FF0000"/>
          <w:lang w:val="sr-Latn-ME"/>
        </w:rPr>
      </w:pPr>
      <w:r w:rsidRPr="00C207B0">
        <w:rPr>
          <w:rFonts w:ascii="Arial" w:hAnsi="Arial"/>
          <w:noProof/>
          <w:lang w:val="sr-Latn-ME"/>
        </w:rPr>
        <w:t xml:space="preserve">I pored navedenog, u svih </w:t>
      </w:r>
      <w:r>
        <w:rPr>
          <w:rFonts w:ascii="Arial" w:hAnsi="Arial"/>
          <w:noProof/>
          <w:lang w:val="sr-Latn-ME"/>
        </w:rPr>
        <w:t>šest</w:t>
      </w:r>
      <w:r w:rsidRPr="00C207B0">
        <w:rPr>
          <w:rFonts w:ascii="Arial" w:hAnsi="Arial"/>
          <w:noProof/>
          <w:lang w:val="sr-Latn-ME"/>
        </w:rPr>
        <w:t xml:space="preserve"> slučajeva, Izvještaji sa spisima sačinjenim u postupcima unutrašnje kontrole dostavljeni su nadležnim postupajućem tužilaštvima, uzimajući u obzir činjenicu da su ova tužilaštva z</w:t>
      </w:r>
      <w:r w:rsidRPr="00C207B0">
        <w:rPr>
          <w:rFonts w:ascii="Arial" w:hAnsi="Arial" w:cs="Arial"/>
          <w:iCs/>
          <w:lang w:val="sr-Latn-ME"/>
        </w:rPr>
        <w:t xml:space="preserve">atražila </w:t>
      </w:r>
      <w:r w:rsidRPr="00A74B36">
        <w:rPr>
          <w:rFonts w:ascii="Arial" w:hAnsi="Arial" w:cs="Arial"/>
          <w:iCs/>
          <w:lang w:val="sr-Latn-ME"/>
        </w:rPr>
        <w:t xml:space="preserve">provjere postupanja i primjene policijskih ovlašćenja, a naročito u pogledu poštovanja i zaštite ljudskih prava prilikom izvršavanja policijskih zadataka i primjene policijskih ovlašćenja. </w:t>
      </w:r>
      <w:r>
        <w:rPr>
          <w:rFonts w:ascii="Arial" w:hAnsi="Arial"/>
          <w:noProof/>
          <w:color w:val="FF0000"/>
          <w:lang w:val="sr-Latn-ME"/>
        </w:rPr>
        <w:t xml:space="preserve"> </w:t>
      </w:r>
      <w:r w:rsidRPr="00120061">
        <w:rPr>
          <w:rFonts w:ascii="Arial" w:hAnsi="Arial"/>
          <w:noProof/>
          <w:color w:val="FF0000"/>
          <w:lang w:val="sr-Latn-ME"/>
        </w:rPr>
        <w:t xml:space="preserve"> </w:t>
      </w:r>
    </w:p>
    <w:p w:rsidR="009F6AD5" w:rsidRPr="00120061" w:rsidRDefault="009F6AD5" w:rsidP="0089546C">
      <w:pPr>
        <w:spacing w:line="240" w:lineRule="auto"/>
        <w:jc w:val="both"/>
        <w:rPr>
          <w:rFonts w:ascii="Arial" w:hAnsi="Arial"/>
          <w:noProof/>
          <w:color w:val="FF0000"/>
          <w:lang w:val="sr-Latn-ME"/>
        </w:rPr>
      </w:pPr>
      <w:bookmarkStart w:id="0" w:name="_GoBack"/>
      <w:bookmarkEnd w:id="0"/>
    </w:p>
    <w:p w:rsidR="001A02C8" w:rsidRPr="003C417F" w:rsidRDefault="001A02C8" w:rsidP="0089546C">
      <w:pPr>
        <w:spacing w:after="0" w:line="240" w:lineRule="auto"/>
        <w:ind w:right="178" w:firstLine="720"/>
        <w:jc w:val="both"/>
        <w:rPr>
          <w:rFonts w:ascii="Arial" w:hAnsi="Arial"/>
          <w:noProof/>
          <w:lang w:val="sr-Latn-ME"/>
        </w:rPr>
      </w:pPr>
      <w:r w:rsidRPr="003C417F">
        <w:rPr>
          <w:rFonts w:ascii="Arial" w:hAnsi="Arial"/>
          <w:noProof/>
          <w:lang w:val="sr-Latn-ME"/>
        </w:rPr>
        <w:lastRenderedPageBreak/>
        <w:t xml:space="preserve"> </w:t>
      </w:r>
    </w:p>
    <w:p w:rsidR="001A02C8" w:rsidRDefault="001A02C8" w:rsidP="0089546C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lang w:val="sr-Latn-ME"/>
        </w:rPr>
      </w:pPr>
      <w:r w:rsidRPr="003C417F">
        <w:rPr>
          <w:rFonts w:ascii="Arial" w:hAnsi="Arial" w:cs="Arial"/>
          <w:b/>
          <w:bCs/>
          <w:lang w:val="sr-Latn-ME"/>
        </w:rPr>
        <w:t>■</w:t>
      </w:r>
      <w:r w:rsidR="009F6AD5">
        <w:rPr>
          <w:rFonts w:ascii="Arial" w:hAnsi="Arial" w:cs="Arial"/>
          <w:b/>
          <w:bCs/>
          <w:lang w:val="sr-Latn-ME"/>
        </w:rPr>
        <w:t xml:space="preserve"> </w:t>
      </w:r>
      <w:r w:rsidRPr="003C417F">
        <w:rPr>
          <w:rFonts w:ascii="Arial" w:hAnsi="Arial" w:cs="Arial"/>
          <w:b/>
          <w:bCs/>
          <w:lang w:val="sr-Latn-ME"/>
        </w:rPr>
        <w:t xml:space="preserve">Pritužbe – žalbe građana </w:t>
      </w:r>
    </w:p>
    <w:p w:rsidR="005C76F8" w:rsidRPr="00620121" w:rsidRDefault="005C76F8" w:rsidP="0089546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  <w:r w:rsidRPr="00620121">
        <w:rPr>
          <w:rFonts w:ascii="Arial" w:hAnsi="Arial" w:cs="Arial"/>
          <w:lang w:val="sr-Latn-ME"/>
        </w:rPr>
        <w:t>Službenici Odjeljenja za unutrašnju kontrolu policije su tokom marta 2025.godine, izvršili kontrolu zakonitosti postupanja policij</w:t>
      </w:r>
      <w:r>
        <w:rPr>
          <w:rFonts w:ascii="Arial" w:hAnsi="Arial" w:cs="Arial"/>
          <w:lang w:val="sr-Latn-ME"/>
        </w:rPr>
        <w:t>skih službenika na osnovu osam</w:t>
      </w:r>
      <w:r w:rsidRPr="00620121">
        <w:rPr>
          <w:rFonts w:ascii="Arial" w:hAnsi="Arial" w:cs="Arial"/>
          <w:lang w:val="sr-Latn-ME"/>
        </w:rPr>
        <w:t xml:space="preserve"> pritužb</w:t>
      </w:r>
      <w:r>
        <w:rPr>
          <w:rFonts w:ascii="Arial" w:hAnsi="Arial" w:cs="Arial"/>
          <w:lang w:val="sr-Latn-ME"/>
        </w:rPr>
        <w:t>i</w:t>
      </w:r>
      <w:r w:rsidRPr="00620121">
        <w:rPr>
          <w:rFonts w:ascii="Arial" w:hAnsi="Arial" w:cs="Arial"/>
          <w:lang w:val="sr-Latn-ME"/>
        </w:rPr>
        <w:t xml:space="preserve"> na postupanje policijskih službenika.</w:t>
      </w:r>
    </w:p>
    <w:p w:rsidR="005C76F8" w:rsidRPr="00620121" w:rsidRDefault="005C76F8" w:rsidP="0089546C">
      <w:pPr>
        <w:spacing w:after="0" w:line="240" w:lineRule="auto"/>
        <w:ind w:firstLine="720"/>
        <w:jc w:val="both"/>
        <w:rPr>
          <w:rFonts w:ascii="Arial" w:hAnsi="Arial" w:cs="Arial"/>
          <w:lang w:val="sr-Latn-ME"/>
        </w:rPr>
      </w:pPr>
    </w:p>
    <w:p w:rsidR="005C76F8" w:rsidRPr="00620121" w:rsidRDefault="005C76F8" w:rsidP="0089546C">
      <w:pPr>
        <w:spacing w:after="0" w:line="240" w:lineRule="auto"/>
        <w:ind w:right="-108" w:firstLine="720"/>
        <w:jc w:val="both"/>
        <w:rPr>
          <w:rFonts w:ascii="Arial" w:hAnsi="Arial" w:cs="Arial"/>
          <w:lang w:val="sr-Latn-ME"/>
        </w:rPr>
      </w:pPr>
      <w:r w:rsidRPr="00620121">
        <w:rPr>
          <w:rFonts w:ascii="Arial" w:hAnsi="Arial" w:cs="Arial"/>
          <w:lang w:val="sr-Latn-ME"/>
        </w:rPr>
        <w:t>Pritužbe su se sadržinski odnosile na način vršenja policijskih poslova i primjen</w:t>
      </w:r>
      <w:r>
        <w:rPr>
          <w:rFonts w:ascii="Arial" w:hAnsi="Arial" w:cs="Arial"/>
          <w:lang w:val="sr-Latn-ME"/>
        </w:rPr>
        <w:t>u</w:t>
      </w:r>
      <w:r w:rsidRPr="00620121">
        <w:rPr>
          <w:rFonts w:ascii="Arial" w:hAnsi="Arial" w:cs="Arial"/>
          <w:lang w:val="sr-Latn-ME"/>
        </w:rPr>
        <w:t xml:space="preserve"> policijskih ovlašćenja.</w:t>
      </w:r>
    </w:p>
    <w:p w:rsidR="005C76F8" w:rsidRPr="00120061" w:rsidRDefault="005C76F8" w:rsidP="0089546C">
      <w:pPr>
        <w:spacing w:after="0" w:line="240" w:lineRule="auto"/>
        <w:ind w:right="-108" w:firstLine="720"/>
        <w:jc w:val="both"/>
        <w:rPr>
          <w:rFonts w:ascii="Arial" w:hAnsi="Arial" w:cs="Arial"/>
          <w:color w:val="FF0000"/>
          <w:lang w:val="sr-Latn-ME"/>
        </w:rPr>
      </w:pPr>
    </w:p>
    <w:p w:rsidR="005C76F8" w:rsidRPr="00D73FD8" w:rsidRDefault="005C76F8" w:rsidP="0089546C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  <w:r w:rsidRPr="00D73FD8">
        <w:rPr>
          <w:rFonts w:ascii="Arial" w:hAnsi="Arial" w:cs="Arial"/>
          <w:iCs/>
          <w:lang w:val="sr-Latn-ME"/>
        </w:rPr>
        <w:t>Na osnovu činjenica i dokaza utvrđenih u postupku unutrašnje kontrole:</w:t>
      </w:r>
    </w:p>
    <w:p w:rsidR="005C76F8" w:rsidRPr="00D73FD8" w:rsidRDefault="005C76F8" w:rsidP="0089546C">
      <w:pPr>
        <w:spacing w:after="0" w:line="240" w:lineRule="auto"/>
        <w:jc w:val="both"/>
        <w:rPr>
          <w:rFonts w:ascii="Arial" w:hAnsi="Arial" w:cs="Arial"/>
          <w:iCs/>
          <w:lang w:val="sr-Latn-ME"/>
        </w:rPr>
      </w:pPr>
    </w:p>
    <w:p w:rsidR="005C76F8" w:rsidRPr="00D73FD8" w:rsidRDefault="005C76F8" w:rsidP="0089546C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D73FD8">
        <w:rPr>
          <w:rFonts w:ascii="Arial" w:hAnsi="Arial" w:cs="Arial"/>
          <w:lang w:val="sr-Latn-ME"/>
        </w:rPr>
        <w:t>►</w:t>
      </w:r>
      <w:r>
        <w:rPr>
          <w:rFonts w:ascii="Arial" w:hAnsi="Arial" w:cs="Arial"/>
          <w:lang w:val="sr-Latn-ME"/>
        </w:rPr>
        <w:t xml:space="preserve"> U</w:t>
      </w:r>
      <w:r w:rsidRPr="00D73FD8">
        <w:rPr>
          <w:rFonts w:ascii="Arial" w:hAnsi="Arial" w:cs="Arial"/>
          <w:lang w:val="sr-Latn-ME"/>
        </w:rPr>
        <w:t xml:space="preserve"> dva slučaja pritužbe su ocijenjene osnovanim, usljed čega</w:t>
      </w:r>
      <w:r>
        <w:rPr>
          <w:rFonts w:ascii="Arial" w:hAnsi="Arial" w:cs="Arial"/>
          <w:lang w:val="sr-Latn-ME"/>
        </w:rPr>
        <w:t xml:space="preserve"> je</w:t>
      </w:r>
      <w:r w:rsidRPr="00D73FD8">
        <w:rPr>
          <w:rFonts w:ascii="Arial" w:hAnsi="Arial" w:cs="Arial"/>
          <w:lang w:val="sr-Latn-ME"/>
        </w:rPr>
        <w:t>:</w:t>
      </w:r>
    </w:p>
    <w:p w:rsidR="005C76F8" w:rsidRPr="00D73FD8" w:rsidRDefault="005C76F8" w:rsidP="0089546C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5C76F8" w:rsidRPr="00D73FD8" w:rsidRDefault="005C76F8" w:rsidP="0089546C">
      <w:pPr>
        <w:spacing w:after="0" w:line="240" w:lineRule="auto"/>
        <w:jc w:val="both"/>
        <w:rPr>
          <w:rFonts w:ascii="Arial" w:hAnsi="Arial"/>
          <w:color w:val="000000" w:themeColor="text1"/>
          <w:lang w:val="sr-Latn-ME"/>
        </w:rPr>
      </w:pPr>
      <w:r>
        <w:rPr>
          <w:rFonts w:ascii="Arial" w:hAnsi="Arial" w:cs="Arial"/>
          <w:iCs/>
          <w:lang w:val="sr-Latn-ME"/>
        </w:rPr>
        <w:t xml:space="preserve">■ </w:t>
      </w:r>
      <w:r w:rsidRPr="00D73FD8">
        <w:rPr>
          <w:rFonts w:ascii="Arial" w:hAnsi="Arial" w:cs="Arial"/>
          <w:iCs/>
          <w:lang w:val="sr-Latn-ME"/>
        </w:rPr>
        <w:t>U jednom slučaju, n</w:t>
      </w:r>
      <w:r w:rsidRPr="00D73FD8">
        <w:rPr>
          <w:rFonts w:ascii="Arial" w:hAnsi="Arial"/>
          <w:lang w:val="sr-Latn-ME"/>
        </w:rPr>
        <w:t xml:space="preserve">a </w:t>
      </w:r>
      <w:r w:rsidRPr="00D73FD8">
        <w:rPr>
          <w:rFonts w:ascii="Arial" w:hAnsi="Arial"/>
          <w:color w:val="000000" w:themeColor="text1"/>
          <w:lang w:val="sr-Latn-ME"/>
        </w:rPr>
        <w:t>osnovu činjenica i dokaza utvrđenih u postupku unutrašnje kontrole povodom pr</w:t>
      </w:r>
      <w:r>
        <w:rPr>
          <w:rFonts w:ascii="Arial" w:hAnsi="Arial"/>
          <w:color w:val="000000" w:themeColor="text1"/>
          <w:lang w:val="sr-Latn-ME"/>
        </w:rPr>
        <w:t>edmetnog slučaja, konstatovano</w:t>
      </w:r>
      <w:r w:rsidRPr="00D73FD8">
        <w:rPr>
          <w:rFonts w:ascii="Arial" w:hAnsi="Arial"/>
          <w:color w:val="000000" w:themeColor="text1"/>
          <w:lang w:val="sr-Latn-ME"/>
        </w:rPr>
        <w:t xml:space="preserve"> da postoji osnovana sumnja da je policijski službenik Regionalnog centra bezbjednosti „Zapad“ Odjeljenja bezbjednosti Nikšić Stanice policije Plužine, počinio težu povredu službene dužnosti iz člana 173 stav 1 tačka 3 Zakona o unutrašnjim poslovima (preduzimanje ili nepreduzimanje radnje kojom se onemogućava ili otežava obavljanje policijskih poslova i izvršavanje službenih zadataka), usljed čega je Izvještaj sa spisima sačinjenim u postupku unutrašnje kontrole dostavljen v.d. direktora Uprave policije u cilju pokretanja disciplinskog postupka protiv policijskog službenika.</w:t>
      </w:r>
    </w:p>
    <w:p w:rsidR="005C76F8" w:rsidRDefault="005C76F8" w:rsidP="0089546C">
      <w:pPr>
        <w:spacing w:after="0" w:line="240" w:lineRule="auto"/>
        <w:jc w:val="both"/>
        <w:rPr>
          <w:rFonts w:ascii="Arial" w:hAnsi="Arial"/>
          <w:color w:val="000000" w:themeColor="text1"/>
          <w:lang w:val="sr-Latn-ME"/>
        </w:rPr>
      </w:pPr>
    </w:p>
    <w:p w:rsidR="005C76F8" w:rsidRPr="008312EF" w:rsidRDefault="005C76F8" w:rsidP="0089546C">
      <w:pPr>
        <w:keepNext/>
        <w:spacing w:after="0" w:line="240" w:lineRule="auto"/>
        <w:ind w:right="-57"/>
        <w:jc w:val="both"/>
        <w:outlineLvl w:val="1"/>
        <w:rPr>
          <w:rFonts w:ascii="Arial" w:hAnsi="Arial"/>
          <w:lang w:val="sr-Latn-ME"/>
        </w:rPr>
      </w:pPr>
      <w:r>
        <w:rPr>
          <w:rFonts w:ascii="Arial" w:hAnsi="Arial" w:cs="Arial"/>
          <w:iCs/>
          <w:lang w:val="sr-Latn-ME"/>
        </w:rPr>
        <w:t xml:space="preserve">■ </w:t>
      </w:r>
      <w:r w:rsidRPr="00D73FD8">
        <w:rPr>
          <w:rFonts w:ascii="Arial" w:hAnsi="Arial" w:cs="Arial"/>
          <w:iCs/>
          <w:lang w:val="sr-Latn-ME"/>
        </w:rPr>
        <w:t xml:space="preserve">U drugom slučaju, </w:t>
      </w:r>
      <w:r>
        <w:rPr>
          <w:rFonts w:ascii="Arial" w:hAnsi="Arial"/>
          <w:color w:val="000000" w:themeColor="text1"/>
          <w:lang w:val="sr-Latn-ME"/>
        </w:rPr>
        <w:t>n</w:t>
      </w:r>
      <w:r w:rsidRPr="008312EF">
        <w:rPr>
          <w:rFonts w:ascii="Arial" w:hAnsi="Arial"/>
          <w:color w:val="000000" w:themeColor="text1"/>
          <w:lang w:val="sr-Latn-ME"/>
        </w:rPr>
        <w:t>a osnovu činjenica i dokaza utvrđenih u postupku unutrašnje kontrole povodom predmetnog slučaja, p</w:t>
      </w:r>
      <w:r w:rsidRPr="008312EF">
        <w:rPr>
          <w:rFonts w:ascii="Arial" w:hAnsi="Arial"/>
          <w:color w:val="000000"/>
          <w:lang w:val="sr-Latn-ME"/>
        </w:rPr>
        <w:t xml:space="preserve">olicijski službenik </w:t>
      </w:r>
      <w:r>
        <w:rPr>
          <w:rFonts w:ascii="Arial" w:hAnsi="Arial"/>
          <w:color w:val="000000"/>
          <w:lang w:val="sr-Latn-ME"/>
        </w:rPr>
        <w:t>SP OB Budva</w:t>
      </w:r>
      <w:r w:rsidRPr="008312EF">
        <w:rPr>
          <w:rFonts w:ascii="Arial" w:hAnsi="Arial"/>
          <w:color w:val="000000"/>
          <w:lang w:val="sr-Latn-ME"/>
        </w:rPr>
        <w:t xml:space="preserve"> upozoren </w:t>
      </w:r>
      <w:r>
        <w:rPr>
          <w:rFonts w:ascii="Arial" w:hAnsi="Arial"/>
          <w:color w:val="000000"/>
          <w:lang w:val="sr-Latn-ME"/>
        </w:rPr>
        <w:t xml:space="preserve">je </w:t>
      </w:r>
      <w:r w:rsidRPr="008312EF">
        <w:rPr>
          <w:rFonts w:ascii="Arial" w:hAnsi="Arial"/>
          <w:color w:val="000000"/>
          <w:lang w:val="sr-Latn-ME"/>
        </w:rPr>
        <w:t>na obavezu da policijske poslove vrši da ne umanji svoj ugled i ugled policije u cjellini, da poštuje dobre običaje i da slijedi etička načela u dosljednom sprovođenju zakona, a da u komunikaciji sa građanima bude pravedan, stručan, pristojan i korektan</w:t>
      </w:r>
      <w:r>
        <w:rPr>
          <w:rFonts w:ascii="Arial" w:hAnsi="Arial"/>
          <w:color w:val="000000"/>
          <w:lang w:val="sr-Latn-ME"/>
        </w:rPr>
        <w:t>.</w:t>
      </w:r>
    </w:p>
    <w:p w:rsidR="005C76F8" w:rsidRPr="00D73FD8" w:rsidRDefault="005C76F8" w:rsidP="005C76F8">
      <w:pPr>
        <w:spacing w:after="0" w:line="240" w:lineRule="auto"/>
        <w:jc w:val="both"/>
        <w:rPr>
          <w:rFonts w:ascii="Arial" w:hAnsi="Arial" w:cs="Arial"/>
          <w:iCs/>
          <w:color w:val="FF0000"/>
          <w:lang w:val="sr-Latn-ME"/>
        </w:rPr>
      </w:pPr>
    </w:p>
    <w:p w:rsidR="005C76F8" w:rsidRPr="00A7766E" w:rsidRDefault="005C76F8" w:rsidP="005C76F8">
      <w:pPr>
        <w:spacing w:after="0" w:line="240" w:lineRule="auto"/>
        <w:ind w:right="178"/>
        <w:jc w:val="both"/>
        <w:rPr>
          <w:rFonts w:ascii="Arial" w:hAnsi="Arial" w:cs="Arial"/>
          <w:lang w:val="sr-Latn-ME"/>
        </w:rPr>
      </w:pPr>
      <w:r w:rsidRPr="00A7766E">
        <w:rPr>
          <w:rFonts w:ascii="Arial" w:hAnsi="Arial" w:cs="Arial"/>
          <w:lang w:val="sr-Latn-ME"/>
        </w:rPr>
        <w:t xml:space="preserve">► U  preostalih šest slućajeva u </w:t>
      </w:r>
      <w:r w:rsidRPr="00A7766E">
        <w:rPr>
          <w:rFonts w:ascii="Arial" w:hAnsi="Arial" w:cs="Arial"/>
          <w:bCs/>
          <w:lang w:val="sr-Latn-ME"/>
        </w:rPr>
        <w:t xml:space="preserve"> postupcima unutrašnje kontrole nijesu utvrđene činjenice i dokazi </w:t>
      </w:r>
      <w:r w:rsidRPr="00A7766E">
        <w:rPr>
          <w:rFonts w:ascii="Arial" w:hAnsi="Arial" w:cs="Arial"/>
          <w:lang w:val="sr-Latn-ME"/>
        </w:rPr>
        <w:t>koji bi ukazivali na postojanje elemenata disiplinske ili druge odgovornosti u preduzimanju službenih radnji od strane policijskih službenika u predmetnim slučajevima.</w:t>
      </w:r>
    </w:p>
    <w:p w:rsidR="005C76F8" w:rsidRPr="00A7766E" w:rsidRDefault="005C76F8" w:rsidP="005C76F8">
      <w:pPr>
        <w:spacing w:after="0" w:line="240" w:lineRule="auto"/>
        <w:ind w:right="178"/>
        <w:jc w:val="both"/>
        <w:rPr>
          <w:rFonts w:ascii="Arial" w:hAnsi="Arial" w:cs="Arial"/>
          <w:lang w:val="sr-Latn-ME"/>
        </w:rPr>
      </w:pPr>
    </w:p>
    <w:p w:rsidR="005C76F8" w:rsidRPr="0001475E" w:rsidRDefault="005C76F8" w:rsidP="005C76F8">
      <w:pPr>
        <w:spacing w:after="0" w:line="240" w:lineRule="auto"/>
        <w:jc w:val="both"/>
        <w:rPr>
          <w:rFonts w:ascii="Arial" w:hAnsi="Arial" w:cs="Arial"/>
          <w:bCs/>
          <w:iCs/>
          <w:lang w:val="sr-Latn-ME"/>
        </w:rPr>
      </w:pPr>
      <w:r>
        <w:rPr>
          <w:rFonts w:ascii="Arial" w:hAnsi="Arial" w:cs="Arial"/>
          <w:iCs/>
          <w:lang w:val="sr-Latn-ME"/>
        </w:rPr>
        <w:t xml:space="preserve">■ </w:t>
      </w:r>
      <w:r w:rsidRPr="00A7766E">
        <w:rPr>
          <w:rFonts w:ascii="Arial" w:hAnsi="Arial" w:cs="Arial"/>
          <w:lang w:val="sr-Latn-ME"/>
        </w:rPr>
        <w:t>Međutim</w:t>
      </w:r>
      <w:r>
        <w:rPr>
          <w:rFonts w:ascii="Arial" w:hAnsi="Arial" w:cs="Arial"/>
          <w:lang w:val="sr-Latn-ME"/>
        </w:rPr>
        <w:t>,</w:t>
      </w:r>
      <w:r w:rsidRPr="00A7766E">
        <w:rPr>
          <w:rFonts w:ascii="Arial" w:hAnsi="Arial" w:cs="Arial"/>
          <w:lang w:val="sr-Latn-ME"/>
        </w:rPr>
        <w:t xml:space="preserve"> i pored navedenog, u jednom od naznačenih slučajeva, u</w:t>
      </w:r>
      <w:r w:rsidRPr="00A7766E">
        <w:rPr>
          <w:rFonts w:ascii="Arial" w:hAnsi="Arial" w:cs="Arial"/>
          <w:bCs/>
          <w:iCs/>
          <w:lang w:val="sr-Latn-ME"/>
        </w:rPr>
        <w:t xml:space="preserve"> </w:t>
      </w:r>
      <w:r w:rsidRPr="0001475E">
        <w:rPr>
          <w:rFonts w:ascii="Arial" w:hAnsi="Arial" w:cs="Arial"/>
          <w:bCs/>
          <w:iCs/>
          <w:lang w:val="sr-Latn-ME"/>
        </w:rPr>
        <w:t>postupku unutrašnje kontrole, sagledavajući sadržinu navoda iz predmetne pritužbe, a imajući u vidu zakonom utvrđene poslove i ovlašćenja unutrašnje kontrole policije, pritužba je dostavljena na dalju nadležnost Direktoratu za bezbjednosno nadzorne poslove, kako bi isti u skladu sa nadležnostima, sproveo postupak nadzora nad zakonitošću rada Stanice granične policije II Podgorica</w:t>
      </w:r>
      <w:r>
        <w:rPr>
          <w:rFonts w:ascii="Arial" w:hAnsi="Arial" w:cs="Arial"/>
          <w:bCs/>
          <w:iCs/>
          <w:lang w:val="sr-Latn-ME"/>
        </w:rPr>
        <w:t>,</w:t>
      </w:r>
      <w:r w:rsidRPr="0001475E">
        <w:rPr>
          <w:rFonts w:ascii="Arial" w:hAnsi="Arial" w:cs="Arial"/>
          <w:bCs/>
          <w:iCs/>
          <w:lang w:val="sr-Latn-ME"/>
        </w:rPr>
        <w:t xml:space="preserve"> u odnosu na navode iz predmetne pritužbe. </w:t>
      </w:r>
    </w:p>
    <w:p w:rsidR="005C76F8" w:rsidRDefault="005C76F8" w:rsidP="005C76F8">
      <w:pPr>
        <w:spacing w:after="0" w:line="240" w:lineRule="auto"/>
        <w:ind w:right="178"/>
        <w:jc w:val="both"/>
        <w:rPr>
          <w:rFonts w:ascii="Arial" w:hAnsi="Arial" w:cs="Arial"/>
          <w:color w:val="FF0000"/>
          <w:lang w:val="sr-Latn-ME"/>
        </w:rPr>
      </w:pPr>
    </w:p>
    <w:p w:rsidR="005C76F8" w:rsidRDefault="005C76F8" w:rsidP="005C76F8">
      <w:pPr>
        <w:spacing w:after="0" w:line="240" w:lineRule="auto"/>
        <w:ind w:right="178"/>
        <w:jc w:val="both"/>
        <w:rPr>
          <w:rFonts w:ascii="Arial" w:hAnsi="Arial"/>
          <w:noProof/>
          <w:color w:val="000000"/>
          <w:lang w:val="sr-Latn-ME"/>
        </w:rPr>
      </w:pPr>
      <w:r>
        <w:rPr>
          <w:rFonts w:ascii="Arial" w:hAnsi="Arial" w:cs="Arial"/>
          <w:iCs/>
          <w:lang w:val="sr-Latn-ME"/>
        </w:rPr>
        <w:t xml:space="preserve">■ </w:t>
      </w:r>
      <w:r w:rsidRPr="00A7766E">
        <w:rPr>
          <w:rFonts w:ascii="Arial" w:hAnsi="Arial" w:cs="Arial"/>
          <w:lang w:val="sr-Latn-ME"/>
        </w:rPr>
        <w:t xml:space="preserve">Takođe u jednom slučaju pritužbe, </w:t>
      </w:r>
      <w:r>
        <w:rPr>
          <w:rFonts w:ascii="Arial" w:hAnsi="Arial"/>
          <w:lang w:val="sr-Latn-ME"/>
        </w:rPr>
        <w:t>n</w:t>
      </w:r>
      <w:r w:rsidRPr="0075121C">
        <w:rPr>
          <w:rFonts w:ascii="Arial" w:hAnsi="Arial"/>
          <w:lang w:val="sr-Latn-ME"/>
        </w:rPr>
        <w:t xml:space="preserve">a osnovu zahtjeva Osnovnog državnog tužilaštva u </w:t>
      </w:r>
      <w:r>
        <w:rPr>
          <w:rFonts w:ascii="Arial" w:hAnsi="Arial"/>
          <w:lang w:val="sr-Latn-ME"/>
        </w:rPr>
        <w:t>Kolašinu</w:t>
      </w:r>
      <w:r w:rsidRPr="0075121C">
        <w:rPr>
          <w:rFonts w:ascii="Arial" w:hAnsi="Arial"/>
          <w:lang w:val="sr-Latn-ME"/>
        </w:rPr>
        <w:t xml:space="preserve">, </w:t>
      </w:r>
      <w:r w:rsidRPr="0075121C">
        <w:rPr>
          <w:rFonts w:ascii="Arial" w:hAnsi="Arial"/>
          <w:noProof/>
          <w:color w:val="000000"/>
          <w:lang w:val="sr-Latn-ME"/>
        </w:rPr>
        <w:t>Izvještaj o izvršenoj kontroli je</w:t>
      </w:r>
      <w:r>
        <w:rPr>
          <w:rFonts w:ascii="Arial" w:hAnsi="Arial"/>
          <w:noProof/>
          <w:color w:val="000000"/>
          <w:lang w:val="sr-Latn-ME"/>
        </w:rPr>
        <w:t xml:space="preserve"> </w:t>
      </w:r>
      <w:r w:rsidRPr="0075121C">
        <w:rPr>
          <w:rFonts w:ascii="Arial" w:hAnsi="Arial"/>
          <w:noProof/>
          <w:color w:val="000000"/>
          <w:lang w:val="sr-Latn-ME"/>
        </w:rPr>
        <w:t>dostavljen ovom tužilaštvu sa utvrđenim činjeničnim stanjem u postupku unutrašnje kontrole, da nijesu potvrđeni navodi iz</w:t>
      </w:r>
      <w:r>
        <w:rPr>
          <w:rFonts w:ascii="Arial" w:hAnsi="Arial"/>
          <w:noProof/>
          <w:color w:val="000000"/>
          <w:lang w:val="sr-Latn-ME"/>
        </w:rPr>
        <w:t xml:space="preserve"> prijave građanina o zlostavljanju od strane policijskog službenika.</w:t>
      </w:r>
    </w:p>
    <w:p w:rsidR="005C76F8" w:rsidRPr="003C417F" w:rsidRDefault="005C76F8" w:rsidP="005C76F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lang w:val="sr-Latn-ME"/>
        </w:rPr>
      </w:pPr>
    </w:p>
    <w:sectPr w:rsidR="005C76F8" w:rsidRPr="003C417F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9701AF"/>
    <w:multiLevelType w:val="hybridMultilevel"/>
    <w:tmpl w:val="F6862EFC"/>
    <w:lvl w:ilvl="0" w:tplc="3FAAECD2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E4771"/>
    <w:multiLevelType w:val="hybridMultilevel"/>
    <w:tmpl w:val="61F0ABFA"/>
    <w:lvl w:ilvl="0" w:tplc="5F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171D"/>
    <w:rsid w:val="00002286"/>
    <w:rsid w:val="000C5B24"/>
    <w:rsid w:val="000C5B7C"/>
    <w:rsid w:val="00175FF6"/>
    <w:rsid w:val="00180EDA"/>
    <w:rsid w:val="001A02C8"/>
    <w:rsid w:val="00310D26"/>
    <w:rsid w:val="00327C4C"/>
    <w:rsid w:val="00402B16"/>
    <w:rsid w:val="00473F39"/>
    <w:rsid w:val="004971E7"/>
    <w:rsid w:val="004C19F2"/>
    <w:rsid w:val="004C4FE8"/>
    <w:rsid w:val="00521784"/>
    <w:rsid w:val="00542BDA"/>
    <w:rsid w:val="005849CB"/>
    <w:rsid w:val="005C068E"/>
    <w:rsid w:val="005C2C16"/>
    <w:rsid w:val="005C76F8"/>
    <w:rsid w:val="00665D39"/>
    <w:rsid w:val="00693821"/>
    <w:rsid w:val="006D0A32"/>
    <w:rsid w:val="00714980"/>
    <w:rsid w:val="00833A87"/>
    <w:rsid w:val="00880705"/>
    <w:rsid w:val="0089546C"/>
    <w:rsid w:val="008F4D85"/>
    <w:rsid w:val="009F6AD5"/>
    <w:rsid w:val="00A9171D"/>
    <w:rsid w:val="00A97EE1"/>
    <w:rsid w:val="00AE6E6E"/>
    <w:rsid w:val="00B028EB"/>
    <w:rsid w:val="00B05599"/>
    <w:rsid w:val="00B1775B"/>
    <w:rsid w:val="00B17D94"/>
    <w:rsid w:val="00B36313"/>
    <w:rsid w:val="00BD3CBC"/>
    <w:rsid w:val="00C17046"/>
    <w:rsid w:val="00C45282"/>
    <w:rsid w:val="00C644B1"/>
    <w:rsid w:val="00CD3056"/>
    <w:rsid w:val="00CE359B"/>
    <w:rsid w:val="00D00E04"/>
    <w:rsid w:val="00D00F3A"/>
    <w:rsid w:val="00D05E53"/>
    <w:rsid w:val="00D56781"/>
    <w:rsid w:val="00E074DA"/>
    <w:rsid w:val="00E3349B"/>
    <w:rsid w:val="00E61737"/>
    <w:rsid w:val="00F50095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6D7E7C56"/>
  <w15:docId w15:val="{FD01429A-1BFF-4722-90D7-A90A1005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MUP</cp:lastModifiedBy>
  <cp:revision>39</cp:revision>
  <dcterms:created xsi:type="dcterms:W3CDTF">2024-07-16T06:15:00Z</dcterms:created>
  <dcterms:modified xsi:type="dcterms:W3CDTF">2025-05-09T07:10:00Z</dcterms:modified>
</cp:coreProperties>
</file>