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75C80">
      <w:pPr>
        <w:pStyle w:val="1tekst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Na osnovu člana 95 tačka 3 Ustava Crne Gore donosim</w:t>
      </w:r>
    </w:p>
    <w:p w:rsidR="00000000" w:rsidRDefault="00575C80">
      <w:pPr>
        <w:pStyle w:val="2zakon"/>
        <w:rPr>
          <w:rFonts w:ascii="Tahoma" w:hAnsi="Tahoma" w:cs="Tahoma"/>
        </w:rPr>
      </w:pPr>
      <w:r>
        <w:rPr>
          <w:rFonts w:ascii="Tahoma" w:hAnsi="Tahoma" w:cs="Tahoma"/>
        </w:rPr>
        <w:t>Ukaz o proglašenju Zakona o reprogramu poreskog potraživanja jedinice lokalne samouprave, fonda, javne ustanove i privrednog društva čiji je osnivač jedinica lokalne samouprave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Proglašavam </w:t>
      </w:r>
      <w:r>
        <w:rPr>
          <w:rFonts w:ascii="Tahoma" w:hAnsi="Tahoma" w:cs="Tahoma"/>
          <w:b/>
          <w:bCs/>
        </w:rPr>
        <w:t>Zakon o reprogramu poreskog potraživanja jedinice lokalne samouprave, fonda, javne ustanove i privrednog društva čiji je osnivač jedinica lokalne samouprave</w:t>
      </w:r>
      <w:r>
        <w:rPr>
          <w:rFonts w:ascii="Tahoma" w:hAnsi="Tahoma" w:cs="Tahoma"/>
        </w:rPr>
        <w:t>, koji je donijela Skupština Crne Gore 28. saziva na Sedmoj sjednici Drugog redovnog (jesenjeg) zasi</w:t>
      </w:r>
      <w:r>
        <w:rPr>
          <w:rFonts w:ascii="Tahoma" w:hAnsi="Tahoma" w:cs="Tahoma"/>
        </w:rPr>
        <w:t>jedanja u 2025. godini, dana 27. decembra 2025. godine.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Broj: 01-009/25-2485/2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Podgorica, 29. decembar 2025. godine</w:t>
      </w:r>
    </w:p>
    <w:p w:rsidR="00000000" w:rsidRDefault="00575C80">
      <w:pPr>
        <w:pStyle w:val="1tekst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Predsjednik Crne Gore,</w:t>
      </w:r>
    </w:p>
    <w:p w:rsidR="00000000" w:rsidRDefault="00575C80">
      <w:pPr>
        <w:pStyle w:val="1tekst"/>
        <w:jc w:val="righ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Jakov Milatović</w:t>
      </w:r>
      <w:r>
        <w:rPr>
          <w:rFonts w:ascii="Tahoma" w:hAnsi="Tahoma" w:cs="Tahoma"/>
        </w:rPr>
        <w:t>, s.r.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Na osnovu člana 82 stav 1 tačka 2 i člana 91 stav 1 Ustava Crne Gore, Skupština Crne Gore 28. s</w:t>
      </w:r>
      <w:r>
        <w:rPr>
          <w:rFonts w:ascii="Tahoma" w:hAnsi="Tahoma" w:cs="Tahoma"/>
        </w:rPr>
        <w:t>aziva, na Sedmoj sjednici Drugog redovnog (jesenjeg) zasijedanja u 2025. godini, dana 27. decembra 2025. godine, donijela je</w:t>
      </w:r>
    </w:p>
    <w:p w:rsidR="00000000" w:rsidRDefault="00575C80">
      <w:pPr>
        <w:pStyle w:val="2zakon"/>
        <w:rPr>
          <w:rFonts w:ascii="Tahoma" w:hAnsi="Tahoma" w:cs="Tahoma"/>
        </w:rPr>
      </w:pPr>
      <w:r>
        <w:rPr>
          <w:rFonts w:ascii="Tahoma" w:hAnsi="Tahoma" w:cs="Tahoma"/>
        </w:rPr>
        <w:t>Zakon o reprogramu poreskog potraživanja jedinice lokalne samouprave, fonda, javne ustanove i privrednog društva čiji je osnivač je</w:t>
      </w:r>
      <w:r>
        <w:rPr>
          <w:rFonts w:ascii="Tahoma" w:hAnsi="Tahoma" w:cs="Tahoma"/>
        </w:rPr>
        <w:t>dinica lokalne samouprave</w:t>
      </w:r>
    </w:p>
    <w:p w:rsidR="00000000" w:rsidRDefault="00575C80">
      <w:pPr>
        <w:pStyle w:val="3mesto"/>
        <w:rPr>
          <w:rFonts w:ascii="Tahoma" w:hAnsi="Tahoma" w:cs="Tahoma"/>
        </w:rPr>
      </w:pPr>
      <w:r>
        <w:rPr>
          <w:rFonts w:ascii="Tahoma" w:hAnsi="Tahoma" w:cs="Tahoma"/>
        </w:rPr>
        <w:t>Zakon je objavljen u "Službenom listu CG", br. 160/2025 od 30.12.2025. godine, kada je i stupio na snagu.</w:t>
      </w:r>
    </w:p>
    <w:p w:rsidR="00000000" w:rsidRDefault="00575C80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Predmet</w:t>
      </w:r>
    </w:p>
    <w:p w:rsidR="00000000" w:rsidRDefault="00575C80">
      <w:pPr>
        <w:jc w:val="center"/>
        <w:divId w:val="82944731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Ovim zakonom uređuju se uslovi i način ostvarivanja prava na reprogram poreskog potraživanja jedinice lokalne</w:t>
      </w:r>
      <w:r>
        <w:rPr>
          <w:rFonts w:ascii="Tahoma" w:hAnsi="Tahoma" w:cs="Tahoma"/>
        </w:rPr>
        <w:t xml:space="preserve"> samouprave, fonda, javne ustanove i privrednog društva čiji je osnivač jedinica lokalne samouprave.</w:t>
      </w:r>
    </w:p>
    <w:p w:rsidR="00000000" w:rsidRDefault="00575C80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Poresko potraživanje</w:t>
      </w:r>
    </w:p>
    <w:p w:rsidR="00000000" w:rsidRDefault="00575C80">
      <w:pPr>
        <w:jc w:val="center"/>
        <w:divId w:val="15861958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Poreskim potraživanjem, u smislu ovog zakona, smatraju se dospjela, a neplaćena poreska i neporeska potraživanja jedinice lokal</w:t>
      </w:r>
      <w:r>
        <w:rPr>
          <w:rFonts w:ascii="Tahoma" w:hAnsi="Tahoma" w:cs="Tahoma"/>
        </w:rPr>
        <w:t>ne samouprave, fonda, javne ustanove i privrednog društva čiji je osnivač jedinica lokalne samouprave nastala po osnovu: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poreza na: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dodatu vrijednost,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dobit pravnih lica,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dohodak fizičkih lica,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doprinosa: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za obavezno penzijsko i invalidsko os</w:t>
      </w:r>
      <w:r>
        <w:rPr>
          <w:rFonts w:ascii="Tahoma" w:hAnsi="Tahoma" w:cs="Tahoma"/>
        </w:rPr>
        <w:t>iguranje,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za obavezno zdravstveno osiguranje,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za osiguranje za slučaj nezaposlenosti, i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Fondu rada.</w:t>
      </w:r>
    </w:p>
    <w:p w:rsidR="00000000" w:rsidRDefault="00575C80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Poreski dužnik</w:t>
      </w:r>
    </w:p>
    <w:p w:rsidR="00000000" w:rsidRDefault="00575C80">
      <w:pPr>
        <w:jc w:val="center"/>
        <w:divId w:val="154725941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3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(1) Poreski dužnik je jedinica lokalne samouprave, fond, javna ustanova i privredno društvo čiji je osnivač jedinica </w:t>
      </w:r>
      <w:r>
        <w:rPr>
          <w:rFonts w:ascii="Tahoma" w:hAnsi="Tahoma" w:cs="Tahoma"/>
        </w:rPr>
        <w:t>lokalne samouprave, koji obavlja poslove od javnog interesa a do dana stupanja na snagu ovog zakona ima dospjela, a neplaćena poreska potraživanja.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Poreskim dužnikom, u smislu stava 1 ovog člana, ne smatra se poreski dužnik koji: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- nije podnio poreske </w:t>
      </w:r>
      <w:r>
        <w:rPr>
          <w:rFonts w:ascii="Tahoma" w:hAnsi="Tahoma" w:cs="Tahoma"/>
        </w:rPr>
        <w:t>prijave u skladu sa zakonom do dana stupanja na snagu ovog zakona;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obavlja poslove od javnog interesa na način koji doprinosi narušavanju konkurencije na tržištu Crne Gore, u skladu sa zakonom.</w:t>
      </w:r>
    </w:p>
    <w:p w:rsidR="00000000" w:rsidRDefault="00575C80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Reprogram poreskog potraživanja</w:t>
      </w:r>
    </w:p>
    <w:p w:rsidR="00000000" w:rsidRDefault="00575C80">
      <w:pPr>
        <w:jc w:val="center"/>
        <w:divId w:val="130843412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4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Reprogram poreskog po</w:t>
      </w:r>
      <w:r>
        <w:rPr>
          <w:rFonts w:ascii="Tahoma" w:hAnsi="Tahoma" w:cs="Tahoma"/>
        </w:rPr>
        <w:t>traživanja poreskog dužnika obuhvata: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odlaganje plaćanja poreskog potraživanja najviše do 120 jednakih mjesečnih rata u zavisnosti od iznosa poreskog duga; i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otpis kamate i troškova postupka u vezi sa poreskim potraživanjem.</w:t>
      </w:r>
    </w:p>
    <w:p w:rsidR="00000000" w:rsidRDefault="00575C80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Upotreba rodno osjetljivo</w:t>
      </w:r>
      <w:r>
        <w:rPr>
          <w:rFonts w:ascii="Tahoma" w:hAnsi="Tahoma" w:cs="Tahoma"/>
        </w:rPr>
        <w:t>g jezika</w:t>
      </w:r>
    </w:p>
    <w:p w:rsidR="00000000" w:rsidRDefault="00575C80">
      <w:pPr>
        <w:jc w:val="center"/>
        <w:divId w:val="27317660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5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Izrazi koji se u ovom zakonu koriste za fizička lica u muškom rodu podrazumijevaju iste izraze u ženskom rodu.</w:t>
      </w:r>
    </w:p>
    <w:p w:rsidR="00000000" w:rsidRDefault="00575C80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Zahtjev za reprogram poreskog potraživanja</w:t>
      </w:r>
    </w:p>
    <w:p w:rsidR="00000000" w:rsidRDefault="00575C80">
      <w:pPr>
        <w:jc w:val="center"/>
        <w:divId w:val="111243326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6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Poreski dužnik može organu uprave nadležnom za poslove poreza (u daljem tek</w:t>
      </w:r>
      <w:r>
        <w:rPr>
          <w:rFonts w:ascii="Tahoma" w:hAnsi="Tahoma" w:cs="Tahoma"/>
        </w:rPr>
        <w:t>stu: poreski organ) da podnese zahtjev za reprogram poreskog potraživanja za potraživanja za koja nije izvršeno odlaganje.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Zahtjev iz stava 1 ovog člana sadrži: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1) naziv i sjedište poreskog dužnika;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poreski identifikacioni broj (PIB);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vrstu i izn</w:t>
      </w:r>
      <w:r>
        <w:rPr>
          <w:rFonts w:ascii="Tahoma" w:hAnsi="Tahoma" w:cs="Tahoma"/>
        </w:rPr>
        <w:t>os poreskih potraživanja.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Uz zahtjev iz stava 1 ovog člana, podnosi se predlog reprograma poreskog potraživanja koji sadrži broj mjesečnih rata u kojima iznos ne može biti manji od 1.000 eura.</w:t>
      </w:r>
    </w:p>
    <w:p w:rsidR="00000000" w:rsidRDefault="00575C80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Rješenje o reprogramu poreskih potraživanja</w:t>
      </w:r>
    </w:p>
    <w:p w:rsidR="00000000" w:rsidRDefault="00575C80">
      <w:pPr>
        <w:jc w:val="center"/>
        <w:divId w:val="2112242972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7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Pore</w:t>
      </w:r>
      <w:r>
        <w:rPr>
          <w:rFonts w:ascii="Tahoma" w:hAnsi="Tahoma" w:cs="Tahoma"/>
        </w:rPr>
        <w:t>ski organ je dužan da donese rješenje o reprogramu poreskih potraživanja u roku od 60 dana od dana isteka roka za podnošenje zahtjeva za reprogram poreskog potraživanja.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Rješenje iz stava 1 ovog člana sadrži: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iznos poreskog potraživanja na dan stupa</w:t>
      </w:r>
      <w:r>
        <w:rPr>
          <w:rFonts w:ascii="Tahoma" w:hAnsi="Tahoma" w:cs="Tahoma"/>
        </w:rPr>
        <w:t>nja na snagu ovog zakona;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pojedinačne iznose kamate i troškova postupka u vezi sa poreskim potraživanjem;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broj i iznos mjesečnih rata, koji se određuju u zavisnosti od visine poreskog potraživanja i minimalnog iznosa mjesečne rate iz člana 6 stav 3 o</w:t>
      </w:r>
      <w:r>
        <w:rPr>
          <w:rFonts w:ascii="Tahoma" w:hAnsi="Tahoma" w:cs="Tahoma"/>
        </w:rPr>
        <w:t>vog zakona i njihovo dospijeće;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rokove za plaćanje iznosa poreskog potraživanja utvrđenog rješenjem i izmirivanje tekućih obaveza po osnovu javnih prihoda.</w:t>
      </w:r>
    </w:p>
    <w:p w:rsidR="00000000" w:rsidRDefault="00575C80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Obaveze poreskog dužnika</w:t>
      </w:r>
    </w:p>
    <w:p w:rsidR="00000000" w:rsidRDefault="00575C80">
      <w:pPr>
        <w:jc w:val="center"/>
        <w:divId w:val="119330469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8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(1) Poreski dužnik kojem je donijeto </w:t>
      </w:r>
      <w:r>
        <w:rPr>
          <w:rFonts w:ascii="Tahoma" w:hAnsi="Tahoma" w:cs="Tahoma"/>
        </w:rPr>
        <w:t>rješenje o odobrenju reprograma poreskih potraživanja, dužan je da: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redovno plaća mjesečne rate u skladu sa rješenjem o reprogramu,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u periodu za koji je zaključen reprogram poreskog potraživanja redovno izmiruje tekuće obaveze u skladu sa zakonom.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(2) </w:t>
      </w:r>
      <w:r>
        <w:rPr>
          <w:rFonts w:ascii="Tahoma" w:hAnsi="Tahoma" w:cs="Tahoma"/>
        </w:rPr>
        <w:t>Za vrijeme plaćanja mjesečnih rata iz stava 1 alineja 1 ovog člana ne obračunava se kamata na poresko potraživanje obuhvaćeno reprogramom poreskog potraživanja.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(3) Poreskom dužniku koji je izmirio poresko potraživanje u rokovima i na način utvrđen rješenj</w:t>
      </w:r>
      <w:r>
        <w:rPr>
          <w:rFonts w:ascii="Tahoma" w:hAnsi="Tahoma" w:cs="Tahoma"/>
        </w:rPr>
        <w:t>em o reprogramu poreskog potraživanja, otpisuje se cjelokupna kamata i troškovi postupka u vezi sa tim poreskim potraživanjem.</w:t>
      </w:r>
    </w:p>
    <w:p w:rsidR="00000000" w:rsidRDefault="00575C80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Redosljed izmirivanja obaveza</w:t>
      </w:r>
    </w:p>
    <w:p w:rsidR="00000000" w:rsidRDefault="00575C80">
      <w:pPr>
        <w:jc w:val="center"/>
        <w:divId w:val="207993891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9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Sredstva koja je poreski dužnik uplatio na osnovu rješenja iz člana 7 ovog zakona uplaćuju s</w:t>
      </w:r>
      <w:r>
        <w:rPr>
          <w:rFonts w:ascii="Tahoma" w:hAnsi="Tahoma" w:cs="Tahoma"/>
        </w:rPr>
        <w:t>e prema sljedećem redosljedu: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doprinos za: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obavezno penzijsko i invalidsko osiguranje,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obavezno zdravstveno osiguranje,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osiguranje za slučaj nezaposlenosti,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Fond rada;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2) porez na: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dodatu vrijednost,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dobit pravnih lica,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- dohodak fizičkih li</w:t>
      </w:r>
      <w:r>
        <w:rPr>
          <w:rFonts w:ascii="Tahoma" w:hAnsi="Tahoma" w:cs="Tahoma"/>
        </w:rPr>
        <w:t>ca.</w:t>
      </w:r>
    </w:p>
    <w:p w:rsidR="00000000" w:rsidRDefault="00575C80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Ukidanje rješenja o reprogramu poreskog potraživanja</w:t>
      </w:r>
    </w:p>
    <w:p w:rsidR="00000000" w:rsidRDefault="00575C80">
      <w:pPr>
        <w:jc w:val="center"/>
        <w:divId w:val="66100832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10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(1) Poreski organ će ukinuti rješenje o reprogramu poreskog potraživanja, ako poreski dužnik: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ne plaća redovno mjesečne rate u skladu sa rješenjem o reprogramu poreskog potraživanja;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2) u </w:t>
      </w:r>
      <w:r>
        <w:rPr>
          <w:rFonts w:ascii="Tahoma" w:hAnsi="Tahoma" w:cs="Tahoma"/>
        </w:rPr>
        <w:t>periodu za koji je odobren reprogram poreskog potraživanja ne izmiruje redovno tekuće obaveze u skladu sa zakonom.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(2) U slučaju iz stava 1 ovog člana, poresko potraživanje utvrđeno rješenjem o reprogramu poreskog potraživanja uvećava se za pripadajuću kam</w:t>
      </w:r>
      <w:r>
        <w:rPr>
          <w:rFonts w:ascii="Tahoma" w:hAnsi="Tahoma" w:cs="Tahoma"/>
        </w:rPr>
        <w:t>atu od dana njegovog nastanka, a poreski organ će, po službenoj dužnosti, pokrenuti postupak prinudnog izvršenja u skladu sa zakonom kojim se uređuje naplata i kontrola poreza i drugih dažbina.</w:t>
      </w:r>
    </w:p>
    <w:p w:rsidR="00000000" w:rsidRDefault="00575C80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Prekid zastarijevanja</w:t>
      </w:r>
    </w:p>
    <w:p w:rsidR="00000000" w:rsidRDefault="00575C80">
      <w:pPr>
        <w:jc w:val="center"/>
        <w:divId w:val="76546370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11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Za vrijeme za koje je odobren re</w:t>
      </w:r>
      <w:r>
        <w:rPr>
          <w:rFonts w:ascii="Tahoma" w:hAnsi="Tahoma" w:cs="Tahoma"/>
        </w:rPr>
        <w:t>program poreskih potraživanja, prekida se zastarijevanje prava na naplatu tih potraživanja.</w:t>
      </w:r>
    </w:p>
    <w:p w:rsidR="00000000" w:rsidRDefault="00575C80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Evidencija</w:t>
      </w:r>
    </w:p>
    <w:p w:rsidR="00000000" w:rsidRDefault="00575C80">
      <w:pPr>
        <w:jc w:val="center"/>
        <w:divId w:val="60739291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12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 xml:space="preserve">Poreski organ dužan je da vodi evidenciju o poreskim potraživanjima čiji je reprogram odobren rješenjem o </w:t>
      </w:r>
      <w:r>
        <w:rPr>
          <w:rFonts w:ascii="Tahoma" w:hAnsi="Tahoma" w:cs="Tahoma"/>
        </w:rPr>
        <w:t>reprogramu poreskog potraživanja u skladu sa ovim zakonom, u elektronskom obliku.</w:t>
      </w:r>
    </w:p>
    <w:p w:rsidR="00000000" w:rsidRDefault="00575C80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Rok za podnošenje zahtjeva za reprogram poreskog potraživanja</w:t>
      </w:r>
    </w:p>
    <w:p w:rsidR="00000000" w:rsidRDefault="00575C80">
      <w:pPr>
        <w:jc w:val="center"/>
        <w:divId w:val="181810324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13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Zahtjev za reprogram poreskog potraživanja poreski dužnik može da podnese u roku od 60 dana od dana stup</w:t>
      </w:r>
      <w:r>
        <w:rPr>
          <w:rFonts w:ascii="Tahoma" w:hAnsi="Tahoma" w:cs="Tahoma"/>
        </w:rPr>
        <w:t>anja na snagu ovog zakona.</w:t>
      </w:r>
    </w:p>
    <w:p w:rsidR="00000000" w:rsidRDefault="00575C80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Započeti postupci</w:t>
      </w:r>
    </w:p>
    <w:p w:rsidR="00000000" w:rsidRDefault="00575C80">
      <w:pPr>
        <w:jc w:val="center"/>
        <w:divId w:val="144345878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14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Postupci započeti prije stupanja na snagu ovog zakona okončaće se prema propisu koji je povoljniji za poreskog dužnika.</w:t>
      </w:r>
    </w:p>
    <w:p w:rsidR="00000000" w:rsidRDefault="00575C80">
      <w:pPr>
        <w:pStyle w:val="7podnas"/>
        <w:rPr>
          <w:rFonts w:ascii="Tahoma" w:hAnsi="Tahoma" w:cs="Tahoma"/>
        </w:rPr>
      </w:pPr>
      <w:r>
        <w:rPr>
          <w:rFonts w:ascii="Tahoma" w:hAnsi="Tahoma" w:cs="Tahoma"/>
        </w:rPr>
        <w:t>Stupanje na snagu</w:t>
      </w:r>
    </w:p>
    <w:p w:rsidR="00000000" w:rsidRDefault="00575C80">
      <w:pPr>
        <w:jc w:val="center"/>
        <w:divId w:val="312300964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>Član 15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Ovaj zakon stupa na snagu danom objavljivanja u „Službeno</w:t>
      </w:r>
      <w:r>
        <w:rPr>
          <w:rFonts w:ascii="Tahoma" w:hAnsi="Tahoma" w:cs="Tahoma"/>
        </w:rPr>
        <w:t>m listu Crne Gore”.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Broj: 16-4/25-2/4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EPA 746 XXVIII</w:t>
      </w:r>
    </w:p>
    <w:p w:rsidR="00000000" w:rsidRDefault="00575C80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Podgorica, 27. decembar 2025. godine</w:t>
      </w:r>
    </w:p>
    <w:p w:rsidR="00000000" w:rsidRDefault="00575C80">
      <w:pPr>
        <w:pStyle w:val="1tekst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Skupština Crne Gore 28. saziva</w:t>
      </w:r>
    </w:p>
    <w:p w:rsidR="00000000" w:rsidRDefault="00575C80">
      <w:pPr>
        <w:pStyle w:val="1tekst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Predsjednik,</w:t>
      </w:r>
    </w:p>
    <w:p w:rsidR="00575C80" w:rsidRDefault="00575C80">
      <w:pPr>
        <w:pStyle w:val="1tekst"/>
        <w:jc w:val="righ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Andrija Mandić</w:t>
      </w:r>
      <w:r>
        <w:rPr>
          <w:rFonts w:ascii="Tahoma" w:hAnsi="Tahoma" w:cs="Tahoma"/>
        </w:rPr>
        <w:t>, s.r.</w:t>
      </w:r>
    </w:p>
    <w:sectPr w:rsidR="00575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47"/>
    <w:rsid w:val="00575C80"/>
    <w:rsid w:val="0076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68C2C-4FC5-414B-8861-0AAB6199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3958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696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45866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4456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62543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58229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83478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84130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65500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8361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0608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08058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784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7308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0158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Pejovic</dc:creator>
  <cp:keywords/>
  <dc:description/>
  <cp:lastModifiedBy>Danijela Pejovic</cp:lastModifiedBy>
  <cp:revision>2</cp:revision>
  <dcterms:created xsi:type="dcterms:W3CDTF">2026-03-20T10:00:00Z</dcterms:created>
  <dcterms:modified xsi:type="dcterms:W3CDTF">2026-03-20T10:00:00Z</dcterms:modified>
</cp:coreProperties>
</file>