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DC4AD1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DC4AD1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CRNA GORA</w:t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MINISTARSTVO FINANSIJA</w:t>
      </w:r>
    </w:p>
    <w:p w:rsidR="0082570B" w:rsidRPr="00DC4AD1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Direktorat</w:t>
      </w:r>
      <w:r w:rsidR="0082570B" w:rsidRPr="00DC4AD1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DC4AD1" w:rsidRDefault="0082570B" w:rsidP="00D61692">
      <w:pPr>
        <w:rPr>
          <w:rFonts w:cs="Calibri"/>
          <w:noProof/>
        </w:rPr>
      </w:pPr>
    </w:p>
    <w:p w:rsidR="0082570B" w:rsidRPr="00DC4AD1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DC4AD1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DC4AD1" w:rsidRDefault="007D0106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 xml:space="preserve">Avgust </w:t>
      </w:r>
      <w:r w:rsidR="0082570B" w:rsidRPr="00DC4AD1">
        <w:rPr>
          <w:rFonts w:cs="Calibri"/>
          <w:b/>
          <w:bCs/>
          <w:noProof/>
          <w:sz w:val="32"/>
          <w:szCs w:val="32"/>
        </w:rPr>
        <w:t>2013.</w:t>
      </w:r>
    </w:p>
    <w:p w:rsidR="0082570B" w:rsidRPr="00DC4AD1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DC4AD1" w:rsidRDefault="00A423C3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  <w:lang w:val="sr-Latn-CS" w:eastAsia="sr-Latn-C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40005</wp:posOffset>
            </wp:positionV>
            <wp:extent cx="5473700" cy="5022850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02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C4AD1" w:rsidRDefault="006B78C8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6B78C8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8pt;margin-top:366pt;width:234.35pt;height:292.4pt;rotation:-360;z-index:-251657216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73706D" w:rsidRDefault="007370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73706D" w:rsidRDefault="007370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73706D" w:rsidRDefault="0073706D" w:rsidP="001C22CB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R</w:t>
                  </w:r>
                  <w:r w:rsidRPr="001C22CB"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ast BDP-a EU i Eurozone u drugom kvartalu</w:t>
                  </w:r>
                </w:p>
                <w:p w:rsidR="0073706D" w:rsidRDefault="0073706D" w:rsidP="001C22CB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Dalji rast industrijske proizvodnje-veća proizvodnja el.energije</w:t>
                  </w:r>
                </w:p>
                <w:p w:rsidR="0073706D" w:rsidRDefault="0073706D" w:rsidP="001C22CB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Dobra naplata prihoda budžeta</w:t>
                  </w:r>
                </w:p>
                <w:p w:rsidR="0073706D" w:rsidRPr="001C22CB" w:rsidRDefault="00377697" w:rsidP="001C22CB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Značajan rast izvoza i pad</w:t>
                  </w:r>
                  <w:r w:rsidR="0073706D"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 xml:space="preserve"> uvo</w:t>
                  </w:r>
                  <w:r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za električne energije od počet</w:t>
                  </w:r>
                  <w:r w:rsidR="0073706D"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  <w:t>ka godine</w:t>
                  </w:r>
                </w:p>
                <w:p w:rsidR="0073706D" w:rsidRDefault="0073706D" w:rsidP="00787E88">
                  <w:pPr>
                    <w:pStyle w:val="NoSpacing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73706D" w:rsidRPr="003A5C77" w:rsidRDefault="0073706D" w:rsidP="00787E88">
                  <w:pPr>
                    <w:pStyle w:val="NoSpacing"/>
                    <w:jc w:val="both"/>
                    <w:rPr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DC4AD1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DC4AD1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DC4AD1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A423C3">
      <w:pPr>
        <w:pStyle w:val="NoSpacing"/>
        <w:outlineLvl w:val="0"/>
        <w:rPr>
          <w:noProof/>
        </w:rPr>
      </w:pPr>
      <w:r w:rsidRPr="00DC4AD1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>
        <w:rPr>
          <w:bCs/>
          <w:noProof/>
          <w:color w:val="000000"/>
          <w:sz w:val="16"/>
          <w:szCs w:val="16"/>
        </w:rPr>
        <w:t>Radovan Živković</w:t>
      </w:r>
      <w:r w:rsidR="002A2CED" w:rsidRPr="00DC4AD1">
        <w:rPr>
          <w:bCs/>
          <w:noProof/>
          <w:color w:val="000000"/>
          <w:sz w:val="16"/>
          <w:szCs w:val="16"/>
        </w:rPr>
        <w:t>, Radojka Martinović</w:t>
      </w:r>
      <w:r w:rsidR="00423EE9">
        <w:rPr>
          <w:bCs/>
          <w:noProof/>
          <w:color w:val="000000"/>
          <w:sz w:val="16"/>
          <w:szCs w:val="16"/>
        </w:rPr>
        <w:t xml:space="preserve">, Olja Tomanović, </w:t>
      </w:r>
      <w:r w:rsidR="00074D69">
        <w:rPr>
          <w:bCs/>
          <w:noProof/>
          <w:color w:val="000000"/>
          <w:sz w:val="16"/>
          <w:szCs w:val="16"/>
        </w:rPr>
        <w:t xml:space="preserve"> </w:t>
      </w:r>
      <w:r w:rsidR="00423EE9">
        <w:rPr>
          <w:bCs/>
          <w:noProof/>
          <w:color w:val="000000"/>
          <w:sz w:val="16"/>
          <w:szCs w:val="16"/>
        </w:rPr>
        <w:t>Stanko Jeknić</w:t>
      </w:r>
      <w:r w:rsidR="002A2CED" w:rsidRPr="00DC4AD1">
        <w:rPr>
          <w:bCs/>
          <w:noProof/>
          <w:color w:val="000000"/>
          <w:sz w:val="16"/>
          <w:szCs w:val="16"/>
        </w:rPr>
        <w:t>,</w:t>
      </w:r>
      <w:r w:rsidR="00423EE9">
        <w:rPr>
          <w:bCs/>
          <w:noProof/>
          <w:color w:val="000000"/>
          <w:sz w:val="16"/>
          <w:szCs w:val="16"/>
        </w:rPr>
        <w:t xml:space="preserve"> </w:t>
      </w:r>
      <w:r w:rsidR="002A2CED" w:rsidRPr="00DC4AD1">
        <w:rPr>
          <w:bCs/>
          <w:noProof/>
          <w:color w:val="000000"/>
          <w:sz w:val="16"/>
          <w:szCs w:val="16"/>
        </w:rPr>
        <w:t xml:space="preserve"> Ivana Rašović, </w:t>
      </w:r>
      <w:r w:rsidR="00F03604">
        <w:rPr>
          <w:bCs/>
          <w:noProof/>
          <w:color w:val="000000"/>
          <w:sz w:val="16"/>
          <w:szCs w:val="16"/>
        </w:rPr>
        <w:t>Vesna Obradović</w:t>
      </w:r>
      <w:r w:rsidR="004B5F63">
        <w:rPr>
          <w:bCs/>
          <w:noProof/>
          <w:color w:val="000000"/>
          <w:sz w:val="16"/>
          <w:szCs w:val="16"/>
        </w:rPr>
        <w:t>, Marija Novosel</w:t>
      </w:r>
      <w:r w:rsidR="00A423C3">
        <w:rPr>
          <w:bCs/>
          <w:noProof/>
          <w:color w:val="000000"/>
          <w:sz w:val="16"/>
          <w:szCs w:val="16"/>
        </w:rPr>
        <w:t>,</w:t>
      </w:r>
      <w:r w:rsidR="002A2CED" w:rsidRPr="00DC4AD1">
        <w:rPr>
          <w:bCs/>
          <w:noProof/>
          <w:color w:val="000000"/>
          <w:sz w:val="16"/>
          <w:szCs w:val="16"/>
        </w:rPr>
        <w:t xml:space="preserve"> Zdenka</w:t>
      </w:r>
      <w:r w:rsidR="00F03604">
        <w:rPr>
          <w:bCs/>
          <w:noProof/>
          <w:color w:val="000000"/>
          <w:sz w:val="16"/>
          <w:szCs w:val="16"/>
        </w:rPr>
        <w:t xml:space="preserve"> </w:t>
      </w:r>
      <w:r w:rsidR="002A2CED" w:rsidRPr="00DC4AD1">
        <w:rPr>
          <w:bCs/>
          <w:noProof/>
          <w:color w:val="000000"/>
          <w:sz w:val="16"/>
          <w:szCs w:val="16"/>
        </w:rPr>
        <w:t>Dabović</w:t>
      </w:r>
      <w:r w:rsidR="00A423C3">
        <w:rPr>
          <w:bCs/>
          <w:noProof/>
          <w:color w:val="000000"/>
          <w:sz w:val="16"/>
          <w:szCs w:val="16"/>
        </w:rPr>
        <w:t xml:space="preserve"> i Milanka Jovanović</w:t>
      </w:r>
      <w:r w:rsidRPr="00DC4AD1">
        <w:rPr>
          <w:noProof/>
        </w:rPr>
        <w:br w:type="page"/>
      </w:r>
    </w:p>
    <w:tbl>
      <w:tblPr>
        <w:tblpPr w:leftFromText="180" w:rightFromText="180" w:vertAnchor="text" w:tblpY="1"/>
        <w:tblOverlap w:val="never"/>
        <w:tblW w:w="1074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7054"/>
        <w:gridCol w:w="3674"/>
        <w:gridCol w:w="12"/>
      </w:tblGrid>
      <w:tr w:rsidR="0082570B" w:rsidRPr="00DC4AD1" w:rsidTr="00547B34">
        <w:trPr>
          <w:gridAfter w:val="1"/>
          <w:wAfter w:w="12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DC4AD1">
              <w:rPr>
                <w:rFonts w:ascii="Cambria" w:hAnsi="Cambria" w:cs="Cambria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DC4AD1">
              <w:rPr>
                <w:b/>
                <w:bCs/>
                <w:noProof/>
                <w:sz w:val="20"/>
                <w:szCs w:val="20"/>
              </w:rPr>
              <w:t>Međunarodno okruženje</w:t>
            </w:r>
            <w:bookmarkEnd w:id="0"/>
          </w:p>
        </w:tc>
        <w:tc>
          <w:tcPr>
            <w:tcW w:w="3674" w:type="dxa"/>
            <w:vMerge w:val="restart"/>
            <w:tcBorders>
              <w:bottom w:val="nil"/>
            </w:tcBorders>
          </w:tcPr>
          <w:p w:rsidR="0082570B" w:rsidRPr="00DC4AD1" w:rsidRDefault="007D0106" w:rsidP="007B41C4">
            <w:pPr>
              <w:spacing w:after="0" w:line="240" w:lineRule="auto"/>
              <w:rPr>
                <w:noProof/>
                <w:sz w:val="14"/>
                <w:szCs w:val="14"/>
              </w:rPr>
            </w:pPr>
            <w:r w:rsidRPr="007D0106">
              <w:rPr>
                <w:noProof/>
                <w:sz w:val="14"/>
                <w:szCs w:val="14"/>
                <w:lang w:val="sr-Latn-CS" w:eastAsia="sr-Latn-CS"/>
              </w:rPr>
              <w:drawing>
                <wp:inline distT="0" distB="0" distL="0" distR="0">
                  <wp:extent cx="2117188" cy="2293034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DC4AD1" w:rsidTr="00547B34">
        <w:trPr>
          <w:gridAfter w:val="1"/>
          <w:wAfter w:w="12" w:type="dxa"/>
          <w:trHeight w:val="2842"/>
        </w:trPr>
        <w:tc>
          <w:tcPr>
            <w:tcW w:w="7054" w:type="dxa"/>
            <w:tcBorders>
              <w:top w:val="single" w:sz="4" w:space="0" w:color="auto"/>
            </w:tcBorders>
          </w:tcPr>
          <w:p w:rsidR="0082570B" w:rsidRPr="00622F10" w:rsidRDefault="007D0106" w:rsidP="007B41C4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6C327C">
              <w:rPr>
                <w:sz w:val="20"/>
                <w:szCs w:val="20"/>
              </w:rPr>
              <w:t xml:space="preserve">Prve procjene o rastu BDP-a u Eurozoni i EU pokazuju da je u drugom kvartalu ekonomska aktivnost u odnosu na prethodni kvartal porasla za 0,3% i pored ranijih prognoza o stagnaciji. U odnosu na drugi kvartal prethodne godine zabilježen je pad od 0,2% i 0,7%. Komparacije se rade na osnovu sezonski prilagođenih podataka kojima </w:t>
            </w:r>
            <w:r w:rsidR="004B5F63">
              <w:rPr>
                <w:sz w:val="20"/>
                <w:szCs w:val="20"/>
              </w:rPr>
              <w:t xml:space="preserve">se isključuju sezonski uticaji. </w:t>
            </w:r>
            <w:r w:rsidRPr="006C327C">
              <w:rPr>
                <w:sz w:val="20"/>
                <w:szCs w:val="20"/>
              </w:rPr>
              <w:t xml:space="preserve">Ovaj rast je posljedica rasta BDP-a  u tri najveće evropske </w:t>
            </w:r>
            <w:r w:rsidR="0073706D">
              <w:rPr>
                <w:sz w:val="20"/>
                <w:szCs w:val="20"/>
              </w:rPr>
              <w:t>ekonomije Njemačkoj (rast 0,7%)</w:t>
            </w:r>
            <w:r w:rsidRPr="006C327C">
              <w:rPr>
                <w:sz w:val="20"/>
                <w:szCs w:val="20"/>
              </w:rPr>
              <w:t>, Velikoj Britaniji (rast 0,6%)  i  Francuskoj (rast od 0,5%).</w:t>
            </w:r>
            <w:r w:rsidR="00874F31">
              <w:rPr>
                <w:sz w:val="20"/>
                <w:szCs w:val="20"/>
              </w:rPr>
              <w:t xml:space="preserve"> Američka ekonomija je u</w:t>
            </w:r>
            <w:r w:rsidRPr="006C327C">
              <w:rPr>
                <w:sz w:val="20"/>
                <w:szCs w:val="20"/>
              </w:rPr>
              <w:t xml:space="preserve"> drugom kvartalu rasla po stopi od 0,4%.</w:t>
            </w:r>
            <w:r>
              <w:rPr>
                <w:sz w:val="20"/>
                <w:szCs w:val="20"/>
              </w:rPr>
              <w:t xml:space="preserve"> Ovi</w:t>
            </w:r>
            <w:r w:rsidR="007C49FF">
              <w:rPr>
                <w:sz w:val="20"/>
                <w:szCs w:val="20"/>
              </w:rPr>
              <w:t>m je zaustavljen pad ekonomija E</w:t>
            </w:r>
            <w:r>
              <w:rPr>
                <w:sz w:val="20"/>
                <w:szCs w:val="20"/>
              </w:rPr>
              <w:t>urozone koji je t</w:t>
            </w:r>
            <w:r w:rsidR="007C49FF">
              <w:rPr>
                <w:sz w:val="20"/>
                <w:szCs w:val="20"/>
              </w:rPr>
              <w:t>rajao sedam uzastopnih kvartala</w:t>
            </w:r>
            <w:r>
              <w:rPr>
                <w:sz w:val="20"/>
                <w:szCs w:val="20"/>
              </w:rPr>
              <w:t>. Ovi podaci pojačavaju nade da je konačno došlo do stabilizacije i rasta ekonomske aktivnosti</w:t>
            </w:r>
            <w:r w:rsidR="00B22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iako će pravi pozatelj oporavka bit</w:t>
            </w:r>
            <w:r w:rsidR="007C49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pad </w:t>
            </w:r>
            <w:r w:rsidR="0073706D">
              <w:rPr>
                <w:sz w:val="20"/>
                <w:szCs w:val="20"/>
              </w:rPr>
              <w:t>stope nezaposlenosti</w:t>
            </w:r>
            <w:r w:rsidR="00B2229B">
              <w:rPr>
                <w:sz w:val="20"/>
                <w:szCs w:val="20"/>
              </w:rPr>
              <w:t>,</w:t>
            </w:r>
            <w:r w:rsidR="0073706D">
              <w:rPr>
                <w:sz w:val="20"/>
                <w:szCs w:val="20"/>
              </w:rPr>
              <w:t xml:space="preserve"> koja je u j</w:t>
            </w:r>
            <w:r>
              <w:rPr>
                <w:sz w:val="20"/>
                <w:szCs w:val="20"/>
              </w:rPr>
              <w:t xml:space="preserve">ulu bila kao i </w:t>
            </w:r>
            <w:r w:rsidR="00874F31">
              <w:rPr>
                <w:sz w:val="20"/>
                <w:szCs w:val="20"/>
              </w:rPr>
              <w:t>prethodnog mjeseca</w:t>
            </w:r>
            <w:r>
              <w:rPr>
                <w:sz w:val="20"/>
                <w:szCs w:val="20"/>
              </w:rPr>
              <w:t xml:space="preserve"> 12,1%.</w:t>
            </w:r>
            <w:r w:rsidR="007C49FF">
              <w:rPr>
                <w:sz w:val="20"/>
                <w:szCs w:val="20"/>
              </w:rPr>
              <w:t xml:space="preserve"> </w:t>
            </w:r>
            <w:r w:rsidRPr="006C327C">
              <w:rPr>
                <w:sz w:val="20"/>
                <w:szCs w:val="20"/>
              </w:rPr>
              <w:t>Ci</w:t>
            </w:r>
            <w:r w:rsidR="0073706D">
              <w:rPr>
                <w:sz w:val="20"/>
                <w:szCs w:val="20"/>
              </w:rPr>
              <w:t>jena aluminijuma je u padu i u j</w:t>
            </w:r>
            <w:r w:rsidRPr="006C327C">
              <w:rPr>
                <w:sz w:val="20"/>
                <w:szCs w:val="20"/>
              </w:rPr>
              <w:t xml:space="preserve">ulu </w:t>
            </w:r>
            <w:r w:rsidR="00C40CFD">
              <w:rPr>
                <w:sz w:val="20"/>
                <w:szCs w:val="20"/>
              </w:rPr>
              <w:t xml:space="preserve">se </w:t>
            </w:r>
            <w:r w:rsidRPr="006C327C">
              <w:rPr>
                <w:sz w:val="20"/>
                <w:szCs w:val="20"/>
              </w:rPr>
              <w:t>kotira na 1769 USD/T. Cijena bre</w:t>
            </w:r>
            <w:r w:rsidR="00694991">
              <w:rPr>
                <w:sz w:val="20"/>
                <w:szCs w:val="20"/>
              </w:rPr>
              <w:t>nt sirove nafte r</w:t>
            </w:r>
            <w:r w:rsidR="007C49FF">
              <w:rPr>
                <w:sz w:val="20"/>
                <w:szCs w:val="20"/>
              </w:rPr>
              <w:t>aste i krajem j</w:t>
            </w:r>
            <w:r w:rsidR="004B5F63">
              <w:rPr>
                <w:sz w:val="20"/>
                <w:szCs w:val="20"/>
              </w:rPr>
              <w:t xml:space="preserve">ula kotira na 107,7USD/barell. </w:t>
            </w:r>
            <w:r w:rsidRPr="006C327C">
              <w:rPr>
                <w:sz w:val="20"/>
                <w:szCs w:val="20"/>
              </w:rPr>
              <w:t>Cijene u Eurozoni su stabilne i inflacija je u julu iznosila koliko i prethodnog mjeseca 1,6%.</w:t>
            </w:r>
          </w:p>
        </w:tc>
        <w:tc>
          <w:tcPr>
            <w:tcW w:w="3674" w:type="dxa"/>
            <w:vMerge/>
            <w:tcBorders>
              <w:top w:val="nil"/>
            </w:tcBorders>
            <w:vAlign w:val="center"/>
          </w:tcPr>
          <w:p w:rsidR="0082570B" w:rsidRPr="00DC4AD1" w:rsidRDefault="0082570B" w:rsidP="003A5C77">
            <w:pPr>
              <w:spacing w:after="0" w:line="240" w:lineRule="auto"/>
              <w:ind w:left="34" w:hanging="34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15322D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</w:rPr>
            </w:pPr>
            <w:r w:rsidRPr="00DC4AD1">
              <w:rPr>
                <w:rStyle w:val="CaptionChar"/>
                <w:noProof/>
              </w:rPr>
              <w:t>Realni sektor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7D0106" w:rsidP="003A5C77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7D0106">
              <w:rPr>
                <w:noProof/>
                <w:lang w:val="sr-Latn-CS" w:eastAsia="sr-Latn-C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266700</wp:posOffset>
                  </wp:positionV>
                  <wp:extent cx="2146300" cy="1701800"/>
                  <wp:effectExtent l="0" t="0" r="0" b="0"/>
                  <wp:wrapSquare wrapText="bothSides"/>
                  <wp:docPr id="1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7D0106" w:rsidRPr="00DC4AD1" w:rsidTr="00E51282">
        <w:trPr>
          <w:gridAfter w:val="1"/>
          <w:wAfter w:w="12" w:type="dxa"/>
          <w:trHeight w:val="3363"/>
        </w:trPr>
        <w:tc>
          <w:tcPr>
            <w:tcW w:w="7054" w:type="dxa"/>
            <w:tcBorders>
              <w:top w:val="single" w:sz="4" w:space="0" w:color="auto"/>
            </w:tcBorders>
          </w:tcPr>
          <w:p w:rsidR="007D0106" w:rsidRPr="00E50237" w:rsidRDefault="007D0106" w:rsidP="007D0106">
            <w:pPr>
              <w:spacing w:line="240" w:lineRule="auto"/>
              <w:jc w:val="both"/>
              <w:rPr>
                <w:rFonts w:cs="Calibri"/>
                <w:sz w:val="20"/>
              </w:rPr>
            </w:pPr>
            <w:r w:rsidRPr="00156F68">
              <w:rPr>
                <w:rFonts w:cs="Calibri"/>
                <w:b/>
                <w:sz w:val="20"/>
              </w:rPr>
              <w:t>Industrijska proizvodnja u julu bilježi rast, od početka godine 9,6%,</w:t>
            </w:r>
            <w:r w:rsidRPr="00E50237">
              <w:rPr>
                <w:rFonts w:cs="Calibri"/>
                <w:sz w:val="20"/>
              </w:rPr>
              <w:t xml:space="preserve"> u odnosu na prethodni mjesec 14,0% </w:t>
            </w:r>
            <w:r w:rsidR="004B5F63">
              <w:rPr>
                <w:rFonts w:cs="Calibri"/>
                <w:sz w:val="20"/>
              </w:rPr>
              <w:t xml:space="preserve"> </w:t>
            </w:r>
            <w:r w:rsidRPr="00E50237">
              <w:rPr>
                <w:rFonts w:cs="Calibri"/>
                <w:sz w:val="20"/>
              </w:rPr>
              <w:t>i u odnosu na isti mjesec 2012</w:t>
            </w:r>
            <w:r w:rsidR="007652FD">
              <w:rPr>
                <w:rFonts w:cs="Calibri"/>
                <w:sz w:val="20"/>
              </w:rPr>
              <w:t>.</w:t>
            </w:r>
            <w:r w:rsidRPr="00E50237">
              <w:rPr>
                <w:rFonts w:cs="Calibri"/>
                <w:sz w:val="20"/>
              </w:rPr>
              <w:t xml:space="preserve"> godine 5,1%. Godišnji rast industrijske proizvodnje (5,1%) dominantno je opredijeljen rastom u sektoru “prerađivačka industrija” (11,7</w:t>
            </w:r>
            <w:r w:rsidR="00D60D35">
              <w:rPr>
                <w:rFonts w:cs="Calibri"/>
                <w:sz w:val="20"/>
              </w:rPr>
              <w:t>%)</w:t>
            </w:r>
            <w:r>
              <w:rPr>
                <w:rFonts w:cs="Calibri"/>
                <w:sz w:val="20"/>
              </w:rPr>
              <w:t xml:space="preserve">. </w:t>
            </w:r>
            <w:r w:rsidRPr="00E50237">
              <w:rPr>
                <w:rFonts w:cs="Calibri"/>
                <w:sz w:val="20"/>
              </w:rPr>
              <w:t xml:space="preserve">Prema podacima Monstat-a, </w:t>
            </w:r>
            <w:r>
              <w:rPr>
                <w:rFonts w:cs="Calibri"/>
                <w:sz w:val="20"/>
              </w:rPr>
              <w:t xml:space="preserve">u </w:t>
            </w:r>
            <w:r w:rsidRPr="00E50237">
              <w:rPr>
                <w:rFonts w:cs="Calibri"/>
                <w:sz w:val="20"/>
              </w:rPr>
              <w:t xml:space="preserve">julu </w:t>
            </w:r>
            <w:r>
              <w:rPr>
                <w:rFonts w:cs="Calibri"/>
                <w:sz w:val="20"/>
              </w:rPr>
              <w:t>je za</w:t>
            </w:r>
            <w:r w:rsidRPr="00E50237">
              <w:rPr>
                <w:rFonts w:cs="Calibri"/>
                <w:sz w:val="20"/>
              </w:rPr>
              <w:t>biljež</w:t>
            </w:r>
            <w:r>
              <w:rPr>
                <w:rFonts w:cs="Calibri"/>
                <w:sz w:val="20"/>
              </w:rPr>
              <w:t>en</w:t>
            </w:r>
            <w:r w:rsidRPr="00E50237">
              <w:rPr>
                <w:rFonts w:cs="Calibri"/>
                <w:sz w:val="20"/>
              </w:rPr>
              <w:t xml:space="preserve"> pad d</w:t>
            </w:r>
            <w:r>
              <w:rPr>
                <w:rFonts w:cs="Calibri"/>
                <w:sz w:val="20"/>
              </w:rPr>
              <w:t>o</w:t>
            </w:r>
            <w:r w:rsidR="003B1D25">
              <w:rPr>
                <w:rFonts w:cs="Calibri"/>
                <w:sz w:val="20"/>
              </w:rPr>
              <w:t xml:space="preserve">lazaka (3,1%) i noćenja (3,6%). </w:t>
            </w:r>
            <w:r w:rsidRPr="00E50237">
              <w:rPr>
                <w:rFonts w:cs="Calibri"/>
                <w:sz w:val="20"/>
              </w:rPr>
              <w:t>Pad prometa u julu</w:t>
            </w:r>
            <w:r w:rsidR="00C23729">
              <w:rPr>
                <w:rFonts w:cs="Calibri"/>
                <w:sz w:val="20"/>
              </w:rPr>
              <w:t>,</w:t>
            </w:r>
            <w:r w:rsidRPr="00E50237">
              <w:rPr>
                <w:rFonts w:cs="Calibri"/>
                <w:sz w:val="20"/>
              </w:rPr>
              <w:t xml:space="preserve"> rezultat je pada dolazaka</w:t>
            </w:r>
            <w:r w:rsidR="00C23729">
              <w:rPr>
                <w:rFonts w:cs="Calibri"/>
                <w:sz w:val="20"/>
              </w:rPr>
              <w:t xml:space="preserve"> </w:t>
            </w:r>
            <w:r w:rsidR="00540D55">
              <w:rPr>
                <w:rFonts w:cs="Calibri"/>
                <w:sz w:val="20"/>
              </w:rPr>
              <w:t xml:space="preserve">(5,7%) i noćenja (6,4%) </w:t>
            </w:r>
            <w:r w:rsidRPr="00E50237">
              <w:rPr>
                <w:rFonts w:cs="Calibri"/>
                <w:sz w:val="20"/>
              </w:rPr>
              <w:t>u privatnom smještaju, dok  promet u kolektivnom smještaju</w:t>
            </w:r>
            <w:r w:rsidR="00C23729">
              <w:rPr>
                <w:rFonts w:cs="Calibri"/>
                <w:sz w:val="20"/>
              </w:rPr>
              <w:t xml:space="preserve"> </w:t>
            </w:r>
            <w:r w:rsidRPr="00E50237">
              <w:rPr>
                <w:rFonts w:cs="Calibri"/>
                <w:sz w:val="20"/>
              </w:rPr>
              <w:t>(ho</w:t>
            </w:r>
            <w:r>
              <w:rPr>
                <w:rFonts w:cs="Calibri"/>
                <w:sz w:val="20"/>
              </w:rPr>
              <w:t>teli,</w:t>
            </w:r>
            <w:r w:rsidR="009404CE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moteli, turistička naselja</w:t>
            </w:r>
            <w:r w:rsidRPr="00E50237">
              <w:rPr>
                <w:rFonts w:cs="Calibri"/>
                <w:sz w:val="20"/>
              </w:rPr>
              <w:t>) bilježi rast dolazaka i noćenja od 1,8 i 2,1%, respektivno.</w:t>
            </w:r>
            <w:r>
              <w:rPr>
                <w:rFonts w:cs="Calibri"/>
                <w:sz w:val="20"/>
              </w:rPr>
              <w:t xml:space="preserve"> Promet u trgovini na malo u julu</w:t>
            </w:r>
            <w:r w:rsidRPr="00E50237">
              <w:rPr>
                <w:rFonts w:cs="Calibri"/>
                <w:sz w:val="20"/>
              </w:rPr>
              <w:t xml:space="preserve"> 2013.godin</w:t>
            </w:r>
            <w:r>
              <w:rPr>
                <w:rFonts w:cs="Calibri"/>
                <w:sz w:val="20"/>
              </w:rPr>
              <w:t>e</w:t>
            </w:r>
            <w:r w:rsidR="00540D55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(tekuće cijene) veći je za 11,5</w:t>
            </w:r>
            <w:r w:rsidRPr="00E50237">
              <w:rPr>
                <w:rFonts w:cs="Calibri"/>
                <w:sz w:val="20"/>
              </w:rPr>
              <w:t>% u odnosu na isti mjesec prošle godine, što je rezultat rasta prometa u nesp</w:t>
            </w:r>
            <w:r>
              <w:rPr>
                <w:rFonts w:cs="Calibri"/>
                <w:sz w:val="20"/>
              </w:rPr>
              <w:t>ecijalizovanim prodavnicama</w:t>
            </w:r>
            <w:r w:rsidR="00540D55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(21,2%) koji čini 70,7</w:t>
            </w:r>
            <w:r w:rsidRPr="00E50237">
              <w:rPr>
                <w:rFonts w:cs="Calibri"/>
                <w:sz w:val="20"/>
              </w:rPr>
              <w:t>% ukupno ostvarenog prometa trgovine na malo u ovom mjesecu. Građevinska aktivnost u II kvartalu tekuće godine, u odnosu na isti kvartal 2012.godine, bilježi blagi pad vrijednosti izvršenih građevinskih radova (1,0%) i rast izvršenih ef.časova rada</w:t>
            </w:r>
            <w:r w:rsidR="00B039A4">
              <w:rPr>
                <w:rFonts w:cs="Calibri"/>
                <w:sz w:val="20"/>
              </w:rPr>
              <w:t xml:space="preserve"> </w:t>
            </w:r>
            <w:r w:rsidRPr="00E50237">
              <w:rPr>
                <w:rFonts w:cs="Calibri"/>
                <w:sz w:val="20"/>
              </w:rPr>
              <w:t>(26,8%), novih ugovora na zgradama</w:t>
            </w:r>
            <w:r w:rsidR="00540D55">
              <w:rPr>
                <w:rFonts w:cs="Calibri"/>
                <w:sz w:val="20"/>
              </w:rPr>
              <w:t xml:space="preserve"> </w:t>
            </w:r>
            <w:r w:rsidRPr="00E50237">
              <w:rPr>
                <w:rFonts w:cs="Calibri"/>
                <w:sz w:val="20"/>
              </w:rPr>
              <w:t>(640,3%) i novih ugovora na ostalim građevinama</w:t>
            </w:r>
            <w:r w:rsidR="00B039A4">
              <w:rPr>
                <w:rFonts w:cs="Calibri"/>
                <w:sz w:val="20"/>
              </w:rPr>
              <w:t xml:space="preserve"> </w:t>
            </w:r>
            <w:r w:rsidRPr="00E50237">
              <w:rPr>
                <w:rFonts w:cs="Calibri"/>
                <w:sz w:val="20"/>
              </w:rPr>
              <w:t>(91,5%).</w:t>
            </w:r>
          </w:p>
        </w:tc>
        <w:tc>
          <w:tcPr>
            <w:tcW w:w="3674" w:type="dxa"/>
            <w:vMerge/>
            <w:vAlign w:val="center"/>
          </w:tcPr>
          <w:p w:rsidR="007D0106" w:rsidRPr="00DC4AD1" w:rsidRDefault="007D0106" w:rsidP="007D0106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7D0106" w:rsidRPr="00DC4AD1" w:rsidTr="0015322D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7D0106" w:rsidRPr="00DC4AD1" w:rsidRDefault="007D0106" w:rsidP="007D01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DC4AD1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74" w:type="dxa"/>
            <w:vMerge w:val="restart"/>
            <w:vAlign w:val="center"/>
          </w:tcPr>
          <w:p w:rsidR="007D0106" w:rsidRPr="00DC4AD1" w:rsidRDefault="007D0106" w:rsidP="007D0106">
            <w:pPr>
              <w:spacing w:after="0" w:line="240" w:lineRule="auto"/>
              <w:ind w:left="-250"/>
              <w:jc w:val="center"/>
              <w:rPr>
                <w:b/>
                <w:noProof/>
              </w:rPr>
            </w:pPr>
            <w:r w:rsidRPr="007D0106">
              <w:rPr>
                <w:b/>
                <w:noProof/>
                <w:lang w:val="sr-Latn-CS" w:eastAsia="sr-Latn-C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-67310</wp:posOffset>
                  </wp:positionH>
                  <wp:positionV relativeFrom="margin">
                    <wp:posOffset>271145</wp:posOffset>
                  </wp:positionV>
                  <wp:extent cx="2400300" cy="1977390"/>
                  <wp:effectExtent l="0" t="0" r="0" b="0"/>
                  <wp:wrapSquare wrapText="bothSides"/>
                  <wp:docPr id="1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7D0106" w:rsidRPr="00DC4AD1" w:rsidTr="00260976">
        <w:trPr>
          <w:gridAfter w:val="1"/>
          <w:wAfter w:w="12" w:type="dxa"/>
          <w:trHeight w:val="3463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7D0106" w:rsidRPr="00DC4AD1" w:rsidRDefault="007D0106" w:rsidP="007D0106">
            <w:pPr>
              <w:pStyle w:val="Default"/>
              <w:jc w:val="both"/>
              <w:rPr>
                <w:noProof/>
                <w:sz w:val="18"/>
                <w:szCs w:val="18"/>
              </w:rPr>
            </w:pPr>
            <w:r w:rsidRPr="00E50237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 xml:space="preserve">Rast godišnje i mjesečne inflacije obilježio </w:t>
            </w:r>
            <w:r w:rsidR="00F053FC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 xml:space="preserve">je </w:t>
            </w:r>
            <w:r w:rsidRPr="00E50237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>kretanja u ovoj oblasti u julu 2013</w:t>
            </w:r>
            <w:r w:rsidR="00E01B04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>.</w:t>
            </w:r>
            <w:r w:rsidRPr="00E50237">
              <w:rPr>
                <w:rFonts w:cs="Arial-ItalicMT"/>
                <w:b/>
                <w:iCs/>
                <w:sz w:val="20"/>
                <w:szCs w:val="22"/>
                <w:lang w:eastAsia="sr-Latn-CS"/>
              </w:rPr>
              <w:t xml:space="preserve"> godine. </w:t>
            </w:r>
            <w:r w:rsidRPr="00E50237">
              <w:rPr>
                <w:rFonts w:cs="Arial-ItalicMT"/>
                <w:iCs/>
                <w:sz w:val="20"/>
                <w:szCs w:val="22"/>
                <w:lang w:eastAsia="sr-Latn-CS"/>
              </w:rPr>
              <w:t>Godišnja stopa inflacije</w:t>
            </w:r>
            <w:r w:rsidR="00F1178A">
              <w:rPr>
                <w:rFonts w:cs="Arial-ItalicMT"/>
                <w:iCs/>
                <w:sz w:val="20"/>
                <w:szCs w:val="22"/>
                <w:lang w:eastAsia="sr-Latn-CS"/>
              </w:rPr>
              <w:t xml:space="preserve"> </w:t>
            </w:r>
            <w:r>
              <w:rPr>
                <w:rFonts w:cs="Arial-ItalicMT"/>
                <w:iCs/>
                <w:sz w:val="20"/>
                <w:szCs w:val="22"/>
                <w:lang w:eastAsia="sr-Latn-CS"/>
              </w:rPr>
              <w:t>(CPI)</w:t>
            </w:r>
            <w:r w:rsidR="00D52AB9">
              <w:rPr>
                <w:rFonts w:cs="Arial-ItalicMT"/>
                <w:iCs/>
                <w:sz w:val="20"/>
                <w:szCs w:val="22"/>
                <w:lang w:eastAsia="sr-Latn-CS"/>
              </w:rPr>
              <w:t xml:space="preserve"> iznosila je 2,7</w:t>
            </w:r>
            <w:r w:rsidRPr="00E50237">
              <w:rPr>
                <w:rFonts w:cs="Arial-ItalicMT"/>
                <w:iCs/>
                <w:sz w:val="20"/>
                <w:szCs w:val="22"/>
                <w:lang w:eastAsia="sr-Latn-CS"/>
              </w:rPr>
              <w:t xml:space="preserve">%, što je rast  od 0,5 p.p u odnosu na </w:t>
            </w:r>
            <w:r>
              <w:rPr>
                <w:rFonts w:cs="Arial-ItalicMT"/>
                <w:iCs/>
                <w:sz w:val="20"/>
                <w:szCs w:val="22"/>
                <w:lang w:eastAsia="sr-Latn-CS"/>
              </w:rPr>
              <w:t>prethodni mjesec</w:t>
            </w:r>
            <w:r w:rsidRPr="00E50237">
              <w:rPr>
                <w:rFonts w:cs="Arial-ItalicMT"/>
                <w:iCs/>
                <w:sz w:val="20"/>
                <w:szCs w:val="22"/>
                <w:lang w:eastAsia="sr-Latn-CS"/>
              </w:rPr>
              <w:t>, dok je mjesečna inflacija iznosila 0,7%. Rast cijena u julu dominantno je opredijeljen primjenom nove zakonske regulative</w:t>
            </w:r>
            <w:r w:rsidR="00466F15">
              <w:rPr>
                <w:rFonts w:cs="Arial-ItalicMT"/>
                <w:iCs/>
                <w:sz w:val="20"/>
                <w:szCs w:val="22"/>
                <w:lang w:eastAsia="sr-Latn-CS"/>
              </w:rPr>
              <w:t xml:space="preserve"> </w:t>
            </w:r>
            <w:r w:rsidRPr="00E50237">
              <w:rPr>
                <w:rFonts w:cs="Arial-ItalicMT"/>
                <w:iCs/>
                <w:sz w:val="20"/>
                <w:szCs w:val="22"/>
                <w:lang w:eastAsia="sr-Latn-CS"/>
              </w:rPr>
              <w:t>(povećanje osnovne stope PDV-a i akciza na duvan). Najveći uticaj na godišnju stopu inflacije, mjerenu ovim indeksom, imali su rast cijena hrane od  6,3% i rast cijena duvana od 7,9</w:t>
            </w:r>
            <w:r w:rsidR="000C108E">
              <w:rPr>
                <w:rFonts w:cs="Arial-ItalicMT"/>
                <w:iCs/>
                <w:sz w:val="20"/>
                <w:szCs w:val="22"/>
                <w:lang w:eastAsia="sr-Latn-CS"/>
              </w:rPr>
              <w:t>%</w:t>
            </w:r>
            <w:r>
              <w:rPr>
                <w:rFonts w:cs="Arial-ItalicMT"/>
                <w:iCs/>
                <w:sz w:val="20"/>
                <w:szCs w:val="22"/>
                <w:lang w:eastAsia="sr-Latn-CS"/>
              </w:rPr>
              <w:t xml:space="preserve">. </w:t>
            </w:r>
            <w:r>
              <w:rPr>
                <w:sz w:val="20"/>
                <w:szCs w:val="20"/>
              </w:rPr>
              <w:t xml:space="preserve">Godišnja stopa inflacije </w:t>
            </w:r>
            <w:r w:rsidR="00F117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HIPC) </w:t>
            </w:r>
            <w:r w:rsidRPr="00E50237">
              <w:rPr>
                <w:sz w:val="20"/>
                <w:szCs w:val="20"/>
              </w:rPr>
              <w:t>u julu tekuće godine iznosila je 2,2%, što je rast od 0,7</w:t>
            </w:r>
            <w:r w:rsidR="00743684">
              <w:rPr>
                <w:sz w:val="20"/>
                <w:szCs w:val="20"/>
              </w:rPr>
              <w:t xml:space="preserve"> </w:t>
            </w:r>
            <w:r w:rsidRPr="00E50237">
              <w:rPr>
                <w:sz w:val="20"/>
                <w:szCs w:val="20"/>
              </w:rPr>
              <w:t xml:space="preserve">p.p u odnosu </w:t>
            </w:r>
            <w:r>
              <w:rPr>
                <w:sz w:val="20"/>
                <w:szCs w:val="20"/>
              </w:rPr>
              <w:t>prethodni</w:t>
            </w:r>
            <w:r w:rsidR="0004205C">
              <w:rPr>
                <w:sz w:val="20"/>
                <w:szCs w:val="20"/>
              </w:rPr>
              <w:t xml:space="preserve"> mjesec</w:t>
            </w:r>
            <w:r w:rsidRPr="00E50237">
              <w:rPr>
                <w:sz w:val="20"/>
                <w:szCs w:val="20"/>
              </w:rPr>
              <w:t xml:space="preserve">. Najveći uticaj na ostvarenu stopu imali su rast cijena u grupama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„hrana</w:t>
            </w:r>
            <w:r w:rsidR="0004205C">
              <w:rPr>
                <w:rFonts w:asciiTheme="minorHAnsi" w:hAnsiTheme="minorHAnsi"/>
                <w:sz w:val="20"/>
                <w:szCs w:val="22"/>
              </w:rPr>
              <w:t xml:space="preserve"> i bezalkoholna pića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“</w:t>
            </w:r>
            <w:r w:rsidR="00D52AB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(6,2%), “alkoholna pića i duvan“(7,0%), i  “električna energija, gas i ostala goriva“</w:t>
            </w:r>
            <w:r w:rsidR="00D52AB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(5,4%)</w:t>
            </w:r>
            <w:r w:rsidRPr="00E50237">
              <w:rPr>
                <w:rFonts w:asciiTheme="minorHAnsi" w:hAnsiTheme="minorHAnsi" w:cs="Arial-ItalicMT"/>
                <w:iCs/>
                <w:sz w:val="20"/>
                <w:szCs w:val="22"/>
                <w:lang w:eastAsia="sr-Latn-CS"/>
              </w:rPr>
              <w:t>. Proizvođačke cijene u julu 2013</w:t>
            </w:r>
            <w:r w:rsidR="00D52AB9">
              <w:rPr>
                <w:rFonts w:asciiTheme="minorHAnsi" w:hAnsiTheme="minorHAnsi" w:cs="Arial-ItalicMT"/>
                <w:iCs/>
                <w:sz w:val="20"/>
                <w:szCs w:val="22"/>
                <w:lang w:eastAsia="sr-Latn-CS"/>
              </w:rPr>
              <w:t xml:space="preserve">. </w:t>
            </w:r>
            <w:r w:rsidRPr="00E50237">
              <w:rPr>
                <w:rFonts w:asciiTheme="minorHAnsi" w:hAnsiTheme="minorHAnsi" w:cs="Arial-ItalicMT"/>
                <w:iCs/>
                <w:sz w:val="20"/>
                <w:szCs w:val="22"/>
                <w:lang w:eastAsia="sr-Latn-CS"/>
              </w:rPr>
              <w:t>godine bilježe godišnji rast od 2,2%, dok je u odnosu na prethodni mjesec ostvaren blagi pad od 0,1%. Godišnji rast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 xml:space="preserve"> je opredijeljen povećanjem cijena snabdijevanja </w:t>
            </w:r>
            <w:r w:rsidR="003A785D">
              <w:rPr>
                <w:rFonts w:asciiTheme="minorHAnsi" w:hAnsiTheme="minorHAnsi"/>
                <w:sz w:val="20"/>
                <w:szCs w:val="22"/>
              </w:rPr>
              <w:t>električnom energijom, gasom i</w:t>
            </w:r>
            <w:r w:rsidR="00D52AB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parom</w:t>
            </w:r>
            <w:r w:rsidR="00612A74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(17,6%) i rastom cijena vađenja rude i kamena</w:t>
            </w:r>
            <w:r w:rsidR="00D52AB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50237">
              <w:rPr>
                <w:rFonts w:asciiTheme="minorHAnsi" w:hAnsiTheme="minorHAnsi"/>
                <w:sz w:val="20"/>
                <w:szCs w:val="22"/>
              </w:rPr>
              <w:t>(4,4%), dok su cijene u prerađivačkoj industriji ostvarile godišnji pad od 3,1%.</w:t>
            </w:r>
          </w:p>
        </w:tc>
        <w:tc>
          <w:tcPr>
            <w:tcW w:w="3674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DC4AD1" w:rsidRDefault="007D0106" w:rsidP="007D0106">
            <w:pPr>
              <w:pStyle w:val="NoSpacing"/>
              <w:jc w:val="both"/>
              <w:rPr>
                <w:noProof/>
                <w:sz w:val="17"/>
                <w:szCs w:val="17"/>
              </w:rPr>
            </w:pPr>
          </w:p>
        </w:tc>
      </w:tr>
      <w:tr w:rsidR="00260976" w:rsidRPr="00DC4AD1" w:rsidTr="00260976">
        <w:trPr>
          <w:gridAfter w:val="1"/>
          <w:wAfter w:w="12" w:type="dxa"/>
          <w:trHeight w:val="255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260976" w:rsidRDefault="00260976" w:rsidP="002609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sr-Latn-CS"/>
              </w:rPr>
            </w:pPr>
            <w:r w:rsidRPr="00260976">
              <w:rPr>
                <w:b/>
                <w:bCs/>
                <w:noProof/>
                <w:sz w:val="20"/>
                <w:szCs w:val="20"/>
              </w:rPr>
              <w:t>Zaposlenost i zarade</w:t>
            </w:r>
          </w:p>
        </w:tc>
        <w:tc>
          <w:tcPr>
            <w:tcW w:w="3674" w:type="dxa"/>
            <w:tcBorders>
              <w:bottom w:val="nil"/>
            </w:tcBorders>
            <w:vAlign w:val="center"/>
          </w:tcPr>
          <w:p w:rsidR="00260976" w:rsidRPr="00784DAE" w:rsidRDefault="00260976" w:rsidP="007D0106">
            <w:pPr>
              <w:spacing w:after="0" w:line="240" w:lineRule="auto"/>
              <w:ind w:left="-250"/>
              <w:jc w:val="center"/>
              <w:rPr>
                <w:noProof/>
                <w:lang w:val="sr-Latn-CS" w:eastAsia="sr-Latn-CS"/>
              </w:rPr>
            </w:pPr>
          </w:p>
        </w:tc>
      </w:tr>
      <w:tr w:rsidR="007D0106" w:rsidRPr="00DC4AD1" w:rsidTr="003F56BD">
        <w:trPr>
          <w:gridAfter w:val="1"/>
          <w:wAfter w:w="12" w:type="dxa"/>
          <w:trHeight w:val="255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7D0106" w:rsidRPr="00DC4AD1" w:rsidRDefault="00260976" w:rsidP="00AD308A">
            <w:pPr>
              <w:pStyle w:val="ListParagraph"/>
              <w:spacing w:after="0" w:line="240" w:lineRule="auto"/>
              <w:ind w:left="0"/>
              <w:jc w:val="both"/>
              <w:rPr>
                <w:noProof/>
                <w:sz w:val="20"/>
                <w:szCs w:val="20"/>
              </w:rPr>
            </w:pPr>
            <w:r w:rsidRPr="00B619C9">
              <w:rPr>
                <w:sz w:val="20"/>
                <w:szCs w:val="20"/>
                <w:lang w:val="sr-Latn-CS"/>
              </w:rPr>
              <w:t>Broj lica koja traže zaposlenje u julu 2013. je iznosio 30</w:t>
            </w:r>
            <w:r>
              <w:rPr>
                <w:sz w:val="20"/>
                <w:szCs w:val="20"/>
                <w:lang w:val="sr-Latn-CS"/>
              </w:rPr>
              <w:t>.</w:t>
            </w:r>
            <w:r w:rsidRPr="00B619C9">
              <w:rPr>
                <w:sz w:val="20"/>
                <w:szCs w:val="20"/>
                <w:lang w:val="sr-Latn-CS"/>
              </w:rPr>
              <w:t xml:space="preserve">102, a u odnosu na prethodni mjesec smanjen je 0,8%, dok je u odnosu na isti mjesec 2012. povećan 4,9%, odnosno </w:t>
            </w:r>
            <w:r w:rsidR="001F7445">
              <w:rPr>
                <w:sz w:val="20"/>
                <w:szCs w:val="20"/>
                <w:lang w:val="sr-Latn-CS"/>
              </w:rPr>
              <w:t>za period</w:t>
            </w:r>
            <w:r w:rsidRPr="00B619C9">
              <w:rPr>
                <w:sz w:val="20"/>
                <w:szCs w:val="20"/>
                <w:lang w:val="sr-Latn-CS"/>
              </w:rPr>
              <w:t xml:space="preserve"> 3,7%. Broj lica koja prvi put traže zaposlenje u julu 2013. u odnosu na jun 2013. smanjen je 0,7%, dok je u julu 2013. u odnosu na jul 2012</w:t>
            </w:r>
            <w:r>
              <w:rPr>
                <w:sz w:val="20"/>
                <w:szCs w:val="20"/>
                <w:lang w:val="sr-Latn-CS"/>
              </w:rPr>
              <w:t>. značajno povećan 17,0%, a</w:t>
            </w:r>
            <w:r w:rsidRPr="00B619C9">
              <w:rPr>
                <w:sz w:val="20"/>
                <w:szCs w:val="20"/>
                <w:lang w:val="sr-Latn-CS"/>
              </w:rPr>
              <w:t xml:space="preserve"> rezultat </w:t>
            </w:r>
            <w:r>
              <w:rPr>
                <w:sz w:val="20"/>
                <w:szCs w:val="20"/>
                <w:lang w:val="sr-Latn-CS"/>
              </w:rPr>
              <w:t xml:space="preserve">je </w:t>
            </w:r>
            <w:r w:rsidRPr="00B619C9">
              <w:rPr>
                <w:sz w:val="20"/>
                <w:szCs w:val="20"/>
                <w:lang w:val="sr-Latn-CS"/>
              </w:rPr>
              <w:t>porasta broja nezaposlenih visokoškolaca, što ukazuje na potrebu obraćanja posebne pažnje.</w:t>
            </w:r>
            <w:r>
              <w:rPr>
                <w:lang w:val="sr-Latn-CS"/>
              </w:rPr>
              <w:t xml:space="preserve"> </w:t>
            </w:r>
            <w:r w:rsidRPr="001C22CB">
              <w:rPr>
                <w:sz w:val="20"/>
                <w:szCs w:val="20"/>
                <w:lang w:val="sr-Latn-CS"/>
              </w:rPr>
              <w:t xml:space="preserve">Slobodnih radnih mjesta u julu 2013. </w:t>
            </w:r>
            <w:r w:rsidR="00A36F39">
              <w:rPr>
                <w:sz w:val="20"/>
                <w:szCs w:val="20"/>
                <w:lang w:val="sr-Latn-CS"/>
              </w:rPr>
              <w:t xml:space="preserve">bilo </w:t>
            </w:r>
            <w:r w:rsidRPr="001C22CB">
              <w:rPr>
                <w:sz w:val="20"/>
                <w:szCs w:val="20"/>
                <w:lang w:val="sr-Latn-CS"/>
              </w:rPr>
              <w:t>je 853 ili 67,8% manje nego u julu 2012</w:t>
            </w:r>
            <w:r w:rsidR="00D52AB9">
              <w:rPr>
                <w:sz w:val="20"/>
                <w:szCs w:val="20"/>
                <w:lang w:val="sr-Latn-CS"/>
              </w:rPr>
              <w:t>.</w:t>
            </w:r>
            <w:r w:rsidRPr="001C22CB">
              <w:rPr>
                <w:sz w:val="20"/>
                <w:szCs w:val="20"/>
                <w:lang w:val="sr-Latn-CS"/>
              </w:rPr>
              <w:t>,</w:t>
            </w:r>
            <w:r w:rsidR="00D52AB9">
              <w:rPr>
                <w:sz w:val="20"/>
                <w:szCs w:val="20"/>
                <w:lang w:val="sr-Latn-CS"/>
              </w:rPr>
              <w:t xml:space="preserve"> </w:t>
            </w:r>
            <w:r w:rsidRPr="001C22CB">
              <w:rPr>
                <w:sz w:val="20"/>
                <w:szCs w:val="20"/>
                <w:lang w:val="sr-Latn-CS"/>
              </w:rPr>
              <w:t xml:space="preserve">a istovremeno </w:t>
            </w:r>
            <w:r w:rsidR="00AD308A">
              <w:rPr>
                <w:sz w:val="20"/>
                <w:szCs w:val="20"/>
                <w:lang w:val="sr-Latn-CS"/>
              </w:rPr>
              <w:t>su izdate</w:t>
            </w:r>
            <w:r w:rsidRPr="001C22CB">
              <w:rPr>
                <w:sz w:val="20"/>
                <w:szCs w:val="20"/>
                <w:lang w:val="sr-Latn-CS"/>
              </w:rPr>
              <w:t xml:space="preserve"> </w:t>
            </w:r>
            <w:r w:rsidR="00AD308A" w:rsidRPr="001C22CB">
              <w:rPr>
                <w:sz w:val="20"/>
                <w:szCs w:val="20"/>
                <w:lang w:val="sr-Latn-CS"/>
              </w:rPr>
              <w:t xml:space="preserve"> ra</w:t>
            </w:r>
            <w:r w:rsidR="00AD308A">
              <w:rPr>
                <w:sz w:val="20"/>
                <w:szCs w:val="20"/>
                <w:lang w:val="sr-Latn-CS"/>
              </w:rPr>
              <w:t>dne dozvole</w:t>
            </w:r>
            <w:r w:rsidR="00AD308A" w:rsidRPr="001C22CB">
              <w:rPr>
                <w:sz w:val="20"/>
                <w:szCs w:val="20"/>
                <w:lang w:val="sr-Latn-CS"/>
              </w:rPr>
              <w:t xml:space="preserve"> strancima </w:t>
            </w:r>
            <w:r w:rsidRPr="001C22CB">
              <w:rPr>
                <w:sz w:val="20"/>
                <w:szCs w:val="20"/>
                <w:lang w:val="sr-Latn-CS"/>
              </w:rPr>
              <w:t>2323 ili manje 8,3%. Prosječna zarada u</w:t>
            </w:r>
            <w:r w:rsidRPr="00B619C9">
              <w:rPr>
                <w:sz w:val="20"/>
                <w:szCs w:val="20"/>
                <w:lang w:val="sr-Latn-CS"/>
              </w:rPr>
              <w:t xml:space="preserve"> julu 2013. iznosila je 712</w:t>
            </w:r>
            <w:r w:rsidR="00107A07">
              <w:rPr>
                <w:sz w:val="20"/>
                <w:szCs w:val="20"/>
                <w:lang w:val="sr-Latn-CS"/>
              </w:rPr>
              <w:t xml:space="preserve"> </w:t>
            </w:r>
            <w:r w:rsidRPr="00B619C9">
              <w:rPr>
                <w:sz w:val="20"/>
                <w:szCs w:val="20"/>
                <w:lang w:val="sr-Latn-CS"/>
              </w:rPr>
              <w:t>€, a manja je u odnosu na prethodni m</w:t>
            </w:r>
            <w:r w:rsidR="00596079">
              <w:rPr>
                <w:sz w:val="20"/>
                <w:szCs w:val="20"/>
                <w:lang w:val="sr-Latn-CS"/>
              </w:rPr>
              <w:t>jesec za 2,5%, dok je za period</w:t>
            </w:r>
            <w:r w:rsidRPr="00B619C9">
              <w:rPr>
                <w:sz w:val="20"/>
                <w:szCs w:val="20"/>
                <w:lang w:val="sr-Latn-CS"/>
              </w:rPr>
              <w:t xml:space="preserve"> smanjena 0,7%. Prosječna neto zarada u julu 2013. iznosila</w:t>
            </w:r>
            <w:r>
              <w:rPr>
                <w:sz w:val="20"/>
                <w:szCs w:val="20"/>
                <w:lang w:val="sr-Latn-CS"/>
              </w:rPr>
              <w:t xml:space="preserve"> je 469</w:t>
            </w:r>
            <w:r w:rsidR="00107A07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€, a u odnosu na jun 2013</w:t>
            </w:r>
            <w:r w:rsidRPr="00B619C9">
              <w:rPr>
                <w:sz w:val="20"/>
                <w:szCs w:val="20"/>
                <w:lang w:val="sr-Latn-CS"/>
              </w:rPr>
              <w:t>. manja je 2,5% (realno 3,2%),</w:t>
            </w:r>
            <w:r w:rsidR="00727967">
              <w:rPr>
                <w:sz w:val="20"/>
                <w:szCs w:val="20"/>
                <w:lang w:val="sr-Latn-CS"/>
              </w:rPr>
              <w:t xml:space="preserve"> dok je</w:t>
            </w:r>
            <w:r w:rsidR="0018626E">
              <w:rPr>
                <w:sz w:val="20"/>
                <w:szCs w:val="20"/>
                <w:lang w:val="sr-Latn-CS"/>
              </w:rPr>
              <w:t xml:space="preserve"> </w:t>
            </w:r>
            <w:r w:rsidR="00AD308A">
              <w:rPr>
                <w:sz w:val="20"/>
                <w:szCs w:val="20"/>
                <w:lang w:val="sr-Latn-CS"/>
              </w:rPr>
              <w:t>za period</w:t>
            </w:r>
            <w:r w:rsidR="00727967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 xml:space="preserve"> smanjena 2,0%.</w:t>
            </w:r>
          </w:p>
        </w:tc>
        <w:tc>
          <w:tcPr>
            <w:tcW w:w="3674" w:type="dxa"/>
            <w:tcBorders>
              <w:top w:val="nil"/>
            </w:tcBorders>
            <w:vAlign w:val="center"/>
          </w:tcPr>
          <w:p w:rsidR="007D0106" w:rsidRPr="00DC4AD1" w:rsidRDefault="002F2166" w:rsidP="007D0106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2F2166">
              <w:rPr>
                <w:noProof/>
                <w:lang w:val="sr-Latn-CS" w:eastAsia="sr-Latn-CS"/>
              </w:rPr>
              <w:drawing>
                <wp:inline distT="0" distB="0" distL="0" distR="0">
                  <wp:extent cx="2146300" cy="1790700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60976" w:rsidRPr="00DC4AD1" w:rsidTr="003F56BD">
        <w:trPr>
          <w:trHeight w:val="4185"/>
        </w:trPr>
        <w:tc>
          <w:tcPr>
            <w:tcW w:w="7054" w:type="dxa"/>
            <w:tcBorders>
              <w:top w:val="thinThickSmallGap" w:sz="18" w:space="0" w:color="auto"/>
              <w:bottom w:val="thickThinSmallGap" w:sz="18" w:space="0" w:color="auto"/>
            </w:tcBorders>
          </w:tcPr>
          <w:p w:rsidR="008C5163" w:rsidRPr="008C5163" w:rsidRDefault="00260976" w:rsidP="00260976">
            <w:pPr>
              <w:pStyle w:val="ListParagraph"/>
              <w:numPr>
                <w:ilvl w:val="0"/>
                <w:numId w:val="1"/>
              </w:numPr>
              <w:pBdr>
                <w:top w:val="single" w:sz="4" w:space="1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976">
              <w:rPr>
                <w:b/>
                <w:noProof/>
                <w:sz w:val="20"/>
                <w:szCs w:val="20"/>
              </w:rPr>
              <w:lastRenderedPageBreak/>
              <w:t>Javne finansije</w:t>
            </w:r>
          </w:p>
          <w:p w:rsidR="003F56BD" w:rsidRPr="00F26EE8" w:rsidRDefault="003F56BD" w:rsidP="003F56BD">
            <w:pPr>
              <w:pStyle w:val="ListParagraph"/>
              <w:pBdr>
                <w:top w:val="single" w:sz="4" w:space="1" w:color="auto"/>
                <w:between w:val="single" w:sz="4" w:space="1" w:color="auto"/>
              </w:pBdr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Izvorni prihodi budžeta Crne Gore u julu 2013. godine iznosili su 12</w:t>
            </w:r>
            <w:r w:rsidR="00140D20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140D20">
              <w:rPr>
                <w:rFonts w:cstheme="minorHAnsi"/>
                <w:b/>
                <w:color w:val="000000" w:themeColor="text1"/>
                <w:sz w:val="20"/>
                <w:szCs w:val="20"/>
              </w:rPr>
              <w:t>97</w:t>
            </w: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mil. €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 xml:space="preserve"> i veći su u odnosu na plan za 2013. za 5,6 %, dok su u odnosu na 2012. godinu manji za 6,7% (što je posljedica uplate poreza na neraspoređenu dobit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 julu 2012.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>). Naplata PDV-a bilježi rast od 26,34% i akciza 24,57%, u odnosu na jul 2012. godine, što je rezultat sprovođenja mjera na suzbijanju sive ekonomije.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Početak primjene više stope PDV-a od 1. jula 2013 g. odraziće se na</w:t>
            </w:r>
            <w:r w:rsidR="00F4184F">
              <w:rPr>
                <w:rFonts w:cstheme="minorHAnsi"/>
                <w:color w:val="000000" w:themeColor="text1"/>
                <w:sz w:val="20"/>
                <w:szCs w:val="20"/>
              </w:rPr>
              <w:t xml:space="preserve"> bolju naplatu prihoda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 avgustu.</w:t>
            </w:r>
            <w:r w:rsidR="00F50CD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 xml:space="preserve">U odnosu na plan direktni porezi bilježe blagi pad od 1,4%. </w:t>
            </w:r>
          </w:p>
          <w:p w:rsidR="003F56BD" w:rsidRDefault="003F56BD" w:rsidP="003F56BD">
            <w:p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Izdaci budžeta iznosili su 159,61 mil. €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 xml:space="preserve"> i pokazuju rast od  52,91% u odnosu na isti period prošle godine, i 52,37% u odnosu na plan za 2013.godinu. Do povećanja je došlo usljed plaćanja garancija u iznosu od 60,1 mil. €. </w:t>
            </w:r>
          </w:p>
          <w:p w:rsidR="003F56BD" w:rsidRDefault="003F56BD" w:rsidP="003F56BD">
            <w:pPr>
              <w:spacing w:after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Deficit budžeta u julu 2013.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godine iznosio je 38,02 mil. €.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 xml:space="preserve"> Kumulativni deficit budžeta za 7 mjeseci 2013. godine iznosio je 120,23 mil. € i blago je smanjen za 0,6 % u odnosu na isti period prethodne godine.</w:t>
            </w: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60976" w:rsidRPr="00260976" w:rsidRDefault="003F56BD" w:rsidP="003F56BD">
            <w:pPr>
              <w:spacing w:after="0"/>
              <w:jc w:val="both"/>
              <w:rPr>
                <w:noProof/>
                <w:sz w:val="18"/>
                <w:szCs w:val="18"/>
              </w:rPr>
            </w:pPr>
            <w:r w:rsidRPr="00F26EE8">
              <w:rPr>
                <w:rFonts w:cstheme="minorHAnsi"/>
                <w:b/>
                <w:color w:val="000000" w:themeColor="text1"/>
                <w:sz w:val="20"/>
                <w:szCs w:val="20"/>
              </w:rPr>
              <w:t>Državni dug na kraju jula 2013. godine iznosio je 1.810,4 mil. €</w:t>
            </w:r>
            <w:r w:rsidRPr="00F26EE8">
              <w:rPr>
                <w:rFonts w:cstheme="minorHAnsi"/>
                <w:color w:val="000000" w:themeColor="text1"/>
                <w:sz w:val="20"/>
                <w:szCs w:val="20"/>
              </w:rPr>
              <w:t xml:space="preserve"> ili 51,5% procijenjenog BDP i povećan je u odnosu na prethodni mjesec za 2,81%. Unutrašnji dug iznosio je 442,8 mil. €, dok je dug prema nerezidentima iznosio 1.367,6 mil. €</w:t>
            </w:r>
            <w:r w:rsidR="00F4184F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60976" w:rsidRPr="00DC4AD1" w:rsidRDefault="000B54A3" w:rsidP="00260976">
            <w:pPr>
              <w:spacing w:after="119" w:line="240" w:lineRule="auto"/>
              <w:jc w:val="center"/>
              <w:rPr>
                <w:noProof/>
              </w:rPr>
            </w:pPr>
            <w:r w:rsidRPr="000B54A3">
              <w:rPr>
                <w:noProof/>
                <w:lang w:val="sr-Latn-CS" w:eastAsia="sr-Latn-CS"/>
              </w:rPr>
              <w:drawing>
                <wp:inline distT="0" distB="0" distL="0" distR="0">
                  <wp:extent cx="2176041" cy="2529069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260976" w:rsidRPr="00DC4AD1" w:rsidTr="003F56BD">
        <w:trPr>
          <w:trHeight w:val="4575"/>
        </w:trPr>
        <w:tc>
          <w:tcPr>
            <w:tcW w:w="7054" w:type="dxa"/>
            <w:tcBorders>
              <w:top w:val="thickThinSmallGap" w:sz="18" w:space="0" w:color="auto"/>
              <w:bottom w:val="thinThickSmallGap" w:sz="18" w:space="0" w:color="auto"/>
            </w:tcBorders>
          </w:tcPr>
          <w:p w:rsidR="008C5163" w:rsidRPr="008C5163" w:rsidRDefault="006B78C8" w:rsidP="008C51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sr-Latn-CS" w:eastAsia="sr-Latn-C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0;margin-top:10.7pt;width:339.5pt;height:0;z-index:251660288;mso-position-horizontal-relative:text;mso-position-vertical-relative:text" o:connectortype="straight"/>
              </w:pict>
            </w:r>
            <w:r w:rsidR="00706CF0">
              <w:rPr>
                <w:b/>
                <w:bCs/>
                <w:noProof/>
                <w:sz w:val="20"/>
                <w:szCs w:val="20"/>
              </w:rPr>
              <w:t>Monetarni sek</w:t>
            </w:r>
            <w:r w:rsidR="008C5163" w:rsidRPr="008C5163">
              <w:rPr>
                <w:b/>
                <w:bCs/>
                <w:noProof/>
                <w:sz w:val="20"/>
                <w:szCs w:val="20"/>
              </w:rPr>
              <w:t>tor</w:t>
            </w:r>
          </w:p>
          <w:p w:rsidR="008C5163" w:rsidRPr="00260976" w:rsidRDefault="008C5163" w:rsidP="00E51282">
            <w:pPr>
              <w:spacing w:line="240" w:lineRule="auto"/>
              <w:jc w:val="both"/>
              <w:rPr>
                <w:noProof/>
              </w:rPr>
            </w:pPr>
            <w:r w:rsidRPr="008C5163">
              <w:rPr>
                <w:sz w:val="20"/>
              </w:rPr>
              <w:t>Pozitivna kretanja ostvarena u monetarnoj sferi su ispoljena kroz rast kredita i ostalih potraživanja, ukupnih depozita i kapitala banaka. Vrijednost kredita i ostalih potraživanja je iznosila 2,505,8 mil. €, š</w:t>
            </w:r>
            <w:r w:rsidR="008C5984">
              <w:rPr>
                <w:sz w:val="20"/>
              </w:rPr>
              <w:t>to predstavlja povećanje od 2,0</w:t>
            </w:r>
            <w:r w:rsidRPr="008C5163">
              <w:rPr>
                <w:sz w:val="20"/>
              </w:rPr>
              <w:t>% na mjesečnom</w:t>
            </w:r>
            <w:r w:rsidR="008C5984">
              <w:rPr>
                <w:sz w:val="20"/>
              </w:rPr>
              <w:t xml:space="preserve"> i 5,5</w:t>
            </w:r>
            <w:r w:rsidRPr="008C5163">
              <w:rPr>
                <w:sz w:val="20"/>
              </w:rPr>
              <w:t>% na godišnjem nivou. Sektor privrede je bio kreditno zadu</w:t>
            </w:r>
            <w:r w:rsidR="006C6B7E">
              <w:rPr>
                <w:sz w:val="20"/>
              </w:rPr>
              <w:t>žen 970,2 mil. €, što čini 38,7</w:t>
            </w:r>
            <w:r w:rsidRPr="008C5163">
              <w:rPr>
                <w:sz w:val="20"/>
              </w:rPr>
              <w:t xml:space="preserve">% ukupno odobrenih kredita. Banke su za sedam mjeseci plasirale  400,2 mil. €  novih kredita, od </w:t>
            </w:r>
            <w:r w:rsidR="008C5984">
              <w:rPr>
                <w:sz w:val="20"/>
              </w:rPr>
              <w:t>čega se na privredu odnosi 43,5</w:t>
            </w:r>
            <w:r w:rsidR="006F7C03">
              <w:rPr>
                <w:sz w:val="20"/>
              </w:rPr>
              <w:t>%, a na stanovništvo  40,6</w:t>
            </w:r>
            <w:r w:rsidRPr="008C5163">
              <w:rPr>
                <w:sz w:val="20"/>
              </w:rPr>
              <w:t xml:space="preserve">%. Ukupan kapital je iznosio </w:t>
            </w:r>
            <w:r w:rsidR="008A1D16">
              <w:rPr>
                <w:sz w:val="20"/>
              </w:rPr>
              <w:t xml:space="preserve"> 411,1 mil. € i</w:t>
            </w:r>
            <w:r w:rsidR="008C5984">
              <w:rPr>
                <w:sz w:val="20"/>
              </w:rPr>
              <w:t xml:space="preserve"> povećan je za 1,3</w:t>
            </w:r>
            <w:r w:rsidRPr="008C5163">
              <w:rPr>
                <w:sz w:val="20"/>
              </w:rPr>
              <w:t>% u odnosu na prethodni mjesec, dok je u odnosu na kraj prethod</w:t>
            </w:r>
            <w:r w:rsidR="008C5984">
              <w:rPr>
                <w:sz w:val="20"/>
              </w:rPr>
              <w:t>ne godine ostvario rast od 42,4</w:t>
            </w:r>
            <w:r w:rsidRPr="008C5163">
              <w:rPr>
                <w:sz w:val="20"/>
              </w:rPr>
              <w:t xml:space="preserve">% ili 122,4 mil. €. </w:t>
            </w:r>
            <w:r w:rsidR="00E51282">
              <w:rPr>
                <w:sz w:val="20"/>
              </w:rPr>
              <w:t>Povećanje k</w:t>
            </w:r>
            <w:r w:rsidRPr="008C5163">
              <w:rPr>
                <w:sz w:val="20"/>
              </w:rPr>
              <w:t>apital</w:t>
            </w:r>
            <w:r w:rsidR="00E51282">
              <w:rPr>
                <w:sz w:val="20"/>
              </w:rPr>
              <w:t>a</w:t>
            </w:r>
            <w:r w:rsidRPr="008C5163">
              <w:rPr>
                <w:sz w:val="20"/>
              </w:rPr>
              <w:t xml:space="preserve"> banaka je uslovljen</w:t>
            </w:r>
            <w:r w:rsidR="00E51282">
              <w:rPr>
                <w:sz w:val="20"/>
              </w:rPr>
              <w:t>o</w:t>
            </w:r>
            <w:r w:rsidRPr="008C5163">
              <w:rPr>
                <w:sz w:val="20"/>
              </w:rPr>
              <w:t xml:space="preserve"> primjenom međunarodnih računovodstvenih </w:t>
            </w:r>
            <w:r w:rsidR="00E51282">
              <w:rPr>
                <w:sz w:val="20"/>
              </w:rPr>
              <w:t>standard</w:t>
            </w:r>
            <w:r w:rsidR="00534ED3">
              <w:rPr>
                <w:sz w:val="20"/>
              </w:rPr>
              <w:t>a</w:t>
            </w:r>
            <w:r w:rsidR="00E51282">
              <w:rPr>
                <w:sz w:val="20"/>
              </w:rPr>
              <w:t xml:space="preserve"> (2013)</w:t>
            </w:r>
            <w:r w:rsidRPr="008C5163">
              <w:rPr>
                <w:sz w:val="20"/>
              </w:rPr>
              <w:t>, dokapita</w:t>
            </w:r>
            <w:r w:rsidR="00D57413">
              <w:rPr>
                <w:sz w:val="20"/>
              </w:rPr>
              <w:t>lizacijom banaka i pozitiv</w:t>
            </w:r>
            <w:r w:rsidR="00C077DA">
              <w:rPr>
                <w:sz w:val="20"/>
              </w:rPr>
              <w:t xml:space="preserve">nim </w:t>
            </w:r>
            <w:r w:rsidRPr="008C5163">
              <w:rPr>
                <w:sz w:val="20"/>
              </w:rPr>
              <w:t>finansijskim rezultatom bankarskog sistema u polugodišnjem poslovanju, u iznosu od 18,5 mil. €. Ukupni depoziti su u julu poveća</w:t>
            </w:r>
            <w:r w:rsidR="008C5984">
              <w:rPr>
                <w:sz w:val="20"/>
              </w:rPr>
              <w:t>ni za 3,2 % na mjesečnom i  8,3</w:t>
            </w:r>
            <w:r w:rsidRPr="008C5163">
              <w:rPr>
                <w:sz w:val="20"/>
              </w:rPr>
              <w:t>% na godišnj</w:t>
            </w:r>
            <w:r w:rsidR="008A1D16">
              <w:rPr>
                <w:sz w:val="20"/>
              </w:rPr>
              <w:t>em nivou. Poslovanje banaka je i</w:t>
            </w:r>
            <w:r w:rsidRPr="008C5163">
              <w:rPr>
                <w:sz w:val="20"/>
              </w:rPr>
              <w:t xml:space="preserve"> dalje opterećeno visoki</w:t>
            </w:r>
            <w:r w:rsidR="008A1D16">
              <w:rPr>
                <w:sz w:val="20"/>
              </w:rPr>
              <w:t>m nivoom nekvalitetnih kredita i</w:t>
            </w:r>
            <w:r w:rsidRPr="008C5163">
              <w:rPr>
                <w:sz w:val="20"/>
              </w:rPr>
              <w:t xml:space="preserve"> nelikvidnošću privrede. Nekvalitetni kr</w:t>
            </w:r>
            <w:r w:rsidR="008A1D16">
              <w:rPr>
                <w:sz w:val="20"/>
              </w:rPr>
              <w:t>editi su iznosli  447,0 mil. € i</w:t>
            </w:r>
            <w:r w:rsidR="008C5984">
              <w:rPr>
                <w:sz w:val="20"/>
              </w:rPr>
              <w:t xml:space="preserve"> činili su 17,84</w:t>
            </w:r>
            <w:r w:rsidRPr="008C5163">
              <w:rPr>
                <w:sz w:val="20"/>
              </w:rPr>
              <w:t>% ukupnih kredita, dok se na kredite koji kasne sa otplatom odnosilo 22,92%. Od ukupnog broja pravnih lica,  koji je iznosio  54.527</w:t>
            </w:r>
            <w:r w:rsidR="008A1D16">
              <w:rPr>
                <w:sz w:val="20"/>
              </w:rPr>
              <w:t xml:space="preserve">, u </w:t>
            </w:r>
            <w:r w:rsidR="005568D7">
              <w:rPr>
                <w:sz w:val="20"/>
              </w:rPr>
              <w:t>blokadi je bilo 12.491 ili 22,9</w:t>
            </w:r>
            <w:r w:rsidR="008A1D16">
              <w:rPr>
                <w:sz w:val="20"/>
              </w:rPr>
              <w:t>%</w:t>
            </w:r>
            <w:r w:rsidR="008C5984">
              <w:rPr>
                <w:sz w:val="20"/>
              </w:rPr>
              <w:t>, što je za 0,09</w:t>
            </w:r>
            <w:r w:rsidRPr="008C5163">
              <w:rPr>
                <w:sz w:val="20"/>
              </w:rPr>
              <w:t>% više u odnosu na prethodni mjesec. U vrijednosnom smislu, ukupan dug je bio 436,8 mil. €,</w:t>
            </w:r>
            <w:r w:rsidR="008A1D16">
              <w:rPr>
                <w:sz w:val="20"/>
              </w:rPr>
              <w:t xml:space="preserve"> </w:t>
            </w:r>
            <w:r w:rsidRPr="008C5163">
              <w:rPr>
                <w:sz w:val="20"/>
              </w:rPr>
              <w:t>što predstavlja rast od 0,95% u odnosu na prethodni mjesec.</w:t>
            </w:r>
          </w:p>
        </w:tc>
        <w:tc>
          <w:tcPr>
            <w:tcW w:w="3686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60976" w:rsidRPr="00DC4AD1" w:rsidRDefault="008C5163" w:rsidP="00260976">
            <w:pPr>
              <w:spacing w:after="119" w:line="240" w:lineRule="auto"/>
              <w:jc w:val="center"/>
              <w:rPr>
                <w:noProof/>
              </w:rPr>
            </w:pPr>
            <w:r w:rsidRPr="008C5163">
              <w:rPr>
                <w:noProof/>
                <w:lang w:val="sr-Latn-CS" w:eastAsia="sr-Latn-CS"/>
              </w:rPr>
              <w:drawing>
                <wp:inline distT="0" distB="0" distL="0" distR="0">
                  <wp:extent cx="2298700" cy="2286000"/>
                  <wp:effectExtent l="0" t="0" r="6350" b="0"/>
                  <wp:docPr id="1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260976" w:rsidRPr="00DC4AD1" w:rsidTr="008C5163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260976" w:rsidRPr="00DC4AD1" w:rsidRDefault="00260976" w:rsidP="002609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DC4AD1">
              <w:rPr>
                <w:b/>
                <w:bCs/>
                <w:noProof/>
                <w:sz w:val="20"/>
                <w:szCs w:val="20"/>
              </w:rPr>
              <w:t>Spoljnotrgovinska  razmjena  i  investicije</w:t>
            </w:r>
          </w:p>
        </w:tc>
        <w:tc>
          <w:tcPr>
            <w:tcW w:w="3686" w:type="dxa"/>
            <w:gridSpan w:val="2"/>
            <w:vMerge w:val="restart"/>
            <w:tcBorders>
              <w:bottom w:val="thickThinSmallGap" w:sz="18" w:space="0" w:color="auto"/>
            </w:tcBorders>
            <w:vAlign w:val="center"/>
          </w:tcPr>
          <w:p w:rsidR="00260976" w:rsidRPr="00DC4AD1" w:rsidRDefault="00260976" w:rsidP="008C5163">
            <w:pPr>
              <w:spacing w:after="0" w:line="240" w:lineRule="auto"/>
              <w:ind w:left="-250"/>
              <w:jc w:val="center"/>
              <w:rPr>
                <w:noProof/>
                <w:sz w:val="17"/>
                <w:szCs w:val="17"/>
              </w:rPr>
            </w:pPr>
            <w:r w:rsidRPr="00784DAE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264898" cy="2588455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260976" w:rsidRPr="00DC4AD1" w:rsidRDefault="00260976" w:rsidP="008C5163">
            <w:pPr>
              <w:jc w:val="center"/>
              <w:rPr>
                <w:noProof/>
                <w:sz w:val="17"/>
                <w:szCs w:val="17"/>
              </w:rPr>
            </w:pPr>
          </w:p>
          <w:p w:rsidR="00260976" w:rsidRPr="00DC4AD1" w:rsidRDefault="00260976" w:rsidP="008C5163">
            <w:pPr>
              <w:jc w:val="center"/>
              <w:rPr>
                <w:noProof/>
                <w:sz w:val="17"/>
                <w:szCs w:val="17"/>
              </w:rPr>
            </w:pPr>
          </w:p>
          <w:p w:rsidR="00260976" w:rsidRPr="00DC4AD1" w:rsidRDefault="00260976" w:rsidP="008C5163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260976" w:rsidRPr="00DC4AD1" w:rsidTr="00622F10">
        <w:trPr>
          <w:trHeight w:val="5084"/>
        </w:trPr>
        <w:tc>
          <w:tcPr>
            <w:tcW w:w="7054" w:type="dxa"/>
            <w:tcBorders>
              <w:top w:val="single" w:sz="4" w:space="0" w:color="auto"/>
              <w:bottom w:val="thickThinSmallGap" w:sz="18" w:space="0" w:color="auto"/>
            </w:tcBorders>
          </w:tcPr>
          <w:p w:rsidR="00260976" w:rsidRPr="00DC4AD1" w:rsidRDefault="00260976" w:rsidP="00E51282">
            <w:pPr>
              <w:spacing w:after="0" w:line="240" w:lineRule="auto"/>
              <w:jc w:val="both"/>
              <w:rPr>
                <w:noProof/>
                <w:sz w:val="18"/>
                <w:szCs w:val="18"/>
              </w:rPr>
            </w:pPr>
            <w:r w:rsidRPr="005852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Deficit u ro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bnoj razmjeni za period januar-</w:t>
            </w:r>
            <w:r w:rsidRPr="005852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jul  iznosio je 792,3 mil.</w:t>
            </w:r>
            <w:r w:rsidR="007A5A5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€, što je za   6,9% manje,  zbog 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rasta izvoza i pada uvoza </w:t>
            </w:r>
            <w:r w:rsidRPr="005852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električne energije. Ukupna robna razmjena sa inostranstvom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1.246,9 mil.</w:t>
            </w:r>
            <w:r w:rsidR="007A5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€, što ukazuje na pad od  2,5% u odnosu na isti period prethodne godine.  Pokrivenost  uvoza  izvozom iznosi 22,3%,  što je za   2,2</w:t>
            </w:r>
            <w:r w:rsidR="007A5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85C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p.p  više. </w:t>
            </w:r>
            <w:r w:rsidR="00985C9B" w:rsidRPr="00985C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</w:t>
            </w:r>
            <w:r w:rsidRPr="00585229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zvoz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 xml:space="preserve">  robe vrijedio je  227,3</w:t>
            </w:r>
            <w:r w:rsidR="00FB49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>mil.</w:t>
            </w:r>
            <w:r w:rsidR="007A5A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 xml:space="preserve">€  ili  6,3%  više, s tim što je  njegovo učešće od 18,2% u ukupnoj  razmjeni  i  dalje  veoma  nisko. </w:t>
            </w:r>
            <w:r w:rsidRPr="00585229">
              <w:rPr>
                <w:rFonts w:asciiTheme="minorHAnsi" w:hAnsiTheme="minorHAnsi" w:cstheme="minorHAnsi"/>
                <w:b/>
                <w:sz w:val="20"/>
                <w:szCs w:val="20"/>
              </w:rPr>
              <w:t>Uvoz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 xml:space="preserve"> roba je  vrijedio  1.019,6</w:t>
            </w:r>
            <w:r w:rsidR="002344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>mil.</w:t>
            </w:r>
            <w:r w:rsidR="007A5A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5229">
              <w:rPr>
                <w:rFonts w:asciiTheme="minorHAnsi" w:hAnsiTheme="minorHAnsi" w:cstheme="minorHAnsi"/>
                <w:sz w:val="20"/>
                <w:szCs w:val="20"/>
              </w:rPr>
              <w:t>€, što je za 4,3% niže.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Rast i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zvoz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roba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rezultat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povećanja  izvoza  elektri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čne energije od 237,0% (rast proizvodnje el</w:t>
            </w:r>
            <w:r w:rsidR="00E512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energije za 72,2%)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Izvoz aluminijuma bilježi </w:t>
            </w:r>
            <w:r w:rsidR="00E5128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pad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od  45,0%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,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a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izvoz  gvožđa i čelika 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je 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smanjen  za 33,0%. Pad  </w:t>
            </w:r>
            <w:r w:rsidRPr="00585229">
              <w:rPr>
                <w:rFonts w:asciiTheme="minorHAnsi" w:hAnsiTheme="minorHAnsi" w:cstheme="minorHAnsi"/>
                <w:b/>
                <w:sz w:val="20"/>
                <w:szCs w:val="20"/>
                <w:lang w:val="sr-Latn-CS"/>
              </w:rPr>
              <w:t>uvoza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roba je rezultat smanjenja uvoza el</w:t>
            </w:r>
            <w:r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.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 energije (68,0%) i  naftnih derivata (15,0%)</w:t>
            </w:r>
            <w:r w:rsidR="00E5128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. U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voz hrane i živih životinja i mašina i transportnih sredstava ostao </w:t>
            </w:r>
            <w:r w:rsidR="00E51282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je </w:t>
            </w:r>
            <w:r w:rsidRPr="0058522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na </w:t>
            </w:r>
            <w:r w:rsidRPr="005852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istom nivou u odnosu na prethodnu godinu.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752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Robnu  razmjenu  sa  Republikom Srbijom  karakteriše  smanjenje  robnog deficita  za  24,3%, povećanje izvoza za 92,6%  i  pokrivenosti uvoza izvozom sa 14,7%  na 30,5%.</w:t>
            </w:r>
            <w:r w:rsidRPr="004706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>Neto strane investicije za period  januar-jun 2013.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 xml:space="preserve">su iznosile 151,00 mil. €, što je za 1,5% manje nego u istom periodu 2012.  </w:t>
            </w:r>
            <w:r>
              <w:rPr>
                <w:noProof/>
                <w:sz w:val="20"/>
                <w:szCs w:val="20"/>
              </w:rPr>
              <w:t>U junu mjesecu 2013. godine zabilježen je rast priliva SDI u odnosu na predhodni mjesec za 31,5%.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Ukupan priliv SDI iznosio je 195,7 mil. €. Struktura SDI: vlasnička ulaganja 48,1%, i to: ulaganja u nekretnine 44,7% (manje za 17,8%) i investicije u preduzeća i banke 3,4% (manje za 87,9%); interkompanijski dug 50,3% (veće za 66,0%)  i ostalo 1,6% (veće za 2,3%). Ukupan odliv SDI iznosio je 44,7mil. €, što je za </w:t>
            </w:r>
            <w:r>
              <w:rPr>
                <w:noProof/>
                <w:sz w:val="20"/>
                <w:szCs w:val="20"/>
                <w:lang w:val="sr-Latn-CS"/>
              </w:rPr>
              <w:t>36,7% manje nego u istom periodu 2012.godine.</w:t>
            </w:r>
          </w:p>
        </w:tc>
        <w:tc>
          <w:tcPr>
            <w:tcW w:w="3686" w:type="dxa"/>
            <w:gridSpan w:val="2"/>
            <w:vMerge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260976" w:rsidRPr="00DC4AD1" w:rsidRDefault="00260976" w:rsidP="00260976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82570B" w:rsidRPr="00DC4AD1" w:rsidRDefault="0082570B" w:rsidP="00D51C00">
      <w:pPr>
        <w:rPr>
          <w:noProof/>
        </w:rPr>
        <w:sectPr w:rsidR="0082570B" w:rsidRPr="00DC4AD1" w:rsidSect="008D4618">
          <w:pgSz w:w="11907" w:h="16839" w:code="9"/>
          <w:pgMar w:top="720" w:right="720" w:bottom="567" w:left="720" w:header="720" w:footer="720" w:gutter="0"/>
          <w:cols w:space="720"/>
          <w:rtlGutter/>
          <w:docGrid w:linePitch="360"/>
        </w:sectPr>
      </w:pPr>
    </w:p>
    <w:p w:rsidR="0082570B" w:rsidRPr="00DC4AD1" w:rsidRDefault="0082570B" w:rsidP="0002564B">
      <w:pPr>
        <w:jc w:val="center"/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lastRenderedPageBreak/>
        <w:t xml:space="preserve">Tabela 1: </w:t>
      </w:r>
      <w:r w:rsidRPr="00DC4AD1">
        <w:rPr>
          <w:b/>
          <w:bCs/>
          <w:noProof/>
          <w:sz w:val="17"/>
          <w:szCs w:val="16"/>
        </w:rPr>
        <w:t>MAKROEKONOMSKI INDIKATORI</w:t>
      </w:r>
      <w:r w:rsidRPr="00DC4AD1">
        <w:rPr>
          <w:noProof/>
          <w:sz w:val="17"/>
          <w:szCs w:val="16"/>
        </w:rPr>
        <w:t xml:space="preserve"> – </w:t>
      </w:r>
      <w:r w:rsidR="00784DAE">
        <w:rPr>
          <w:noProof/>
          <w:sz w:val="17"/>
          <w:szCs w:val="16"/>
        </w:rPr>
        <w:t>Jul</w:t>
      </w:r>
      <w:r w:rsidRPr="00DC4AD1">
        <w:rPr>
          <w:noProof/>
          <w:sz w:val="17"/>
          <w:szCs w:val="16"/>
        </w:rPr>
        <w:t xml:space="preserve"> 201</w:t>
      </w:r>
      <w:r w:rsidR="00191F90" w:rsidRPr="00DC4AD1">
        <w:rPr>
          <w:noProof/>
          <w:sz w:val="17"/>
          <w:szCs w:val="16"/>
        </w:rPr>
        <w:t>3</w:t>
      </w:r>
      <w:r w:rsidRPr="00DC4AD1">
        <w:rPr>
          <w:noProof/>
          <w:sz w:val="17"/>
          <w:szCs w:val="16"/>
        </w:rPr>
        <w:t>.</w:t>
      </w:r>
    </w:p>
    <w:p w:rsidR="0082570B" w:rsidRPr="00DC4AD1" w:rsidRDefault="0082570B" w:rsidP="0002564B">
      <w:pPr>
        <w:spacing w:after="0" w:line="240" w:lineRule="auto"/>
        <w:outlineLvl w:val="0"/>
        <w:rPr>
          <w:b/>
          <w:i/>
          <w:noProof/>
          <w:sz w:val="16"/>
          <w:szCs w:val="16"/>
        </w:rPr>
      </w:pPr>
      <w:bookmarkStart w:id="1" w:name="_GoBack"/>
      <w:bookmarkEnd w:id="1"/>
      <w:r w:rsidRPr="00DC4AD1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82570B" w:rsidRPr="00DC4AD1" w:rsidRDefault="0082570B" w:rsidP="00303D85">
      <w:pPr>
        <w:spacing w:after="0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475BE2" w:rsidRPr="00DC4AD1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52"/>
        <w:gridCol w:w="721"/>
        <w:gridCol w:w="721"/>
        <w:gridCol w:w="72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99"/>
        <w:gridCol w:w="799"/>
        <w:gridCol w:w="779"/>
      </w:tblGrid>
      <w:tr w:rsidR="008C5163" w:rsidRPr="008C5163" w:rsidTr="00E51282">
        <w:trPr>
          <w:trHeight w:hRule="exact" w:val="816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51345D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1345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51345D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1345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51345D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1345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jul 2013 / jul 2012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51345D" w:rsidRDefault="008C5163" w:rsidP="008C516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1345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jul 2013 / jan - jul 2012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-16,10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22,40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9,6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-14,20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-28,20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-11,50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-11,10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-20,6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126,9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</w:t>
            </w:r>
          </w:p>
        </w:tc>
      </w:tr>
      <w:tr w:rsidR="00E51282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  <w:p w:rsidR="00E51282" w:rsidRPr="008C5163" w:rsidRDefault="00E51282" w:rsidP="008C5163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  <w:p w:rsidR="00E51282" w:rsidRPr="008C5163" w:rsidRDefault="00E51282" w:rsidP="008C5163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82" w:rsidRPr="008C5163" w:rsidRDefault="00E51282" w:rsidP="008C5163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n/d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3,6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173.124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173.024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169.877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170.302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174.369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179.861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4A3449" w:rsidP="004A344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n/d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28.686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28.549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28.272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32.624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31.363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30.337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30.102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3,7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3,7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18,8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2.651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2.826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1.719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1.430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-67,8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-46,9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477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469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2.374,7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2.401,4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2.425,3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2.466,7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2.477,6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2.457,5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2.505,8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338,4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342,7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350,5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330,4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329,4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327,8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457,1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455,7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465,3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480,8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492,9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447,0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49,6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19,9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25,2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41,1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1.916,6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1.954,4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2.001,1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1.951,5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1.974,4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2.009,7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2.075,0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971,5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950,5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941,1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923,6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936,6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930,4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1.013,2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1.019,0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1.026,5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1.029,1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1.027,9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990,5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970,2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827,6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824,6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825,2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872,5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875,1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880,9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882,5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529,4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552,1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569,2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489,8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509,8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539,3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576,2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8,9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1.086,6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1.108,3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1.113,7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1.165,1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1.162,4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1.164,7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1.192,9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-0,05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-0,06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/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29,9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36,9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39,4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31,4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173,4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147,7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113,9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138,5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162,3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152,1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170,3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172,2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-4,3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-146,3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-141,6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-117,6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-82,7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-108,5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-125,4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-112,8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-139,9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-140,8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-6,9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58,9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92,7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17,1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29,5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38,8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4A3449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n/d</w:t>
            </w:r>
            <w:r w:rsidR="008C5163"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104,5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111,9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-3,3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1.876,3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1.843,3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2.064,1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1.861,0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1.832,6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1.814,5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1.769,6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-5,7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-7,5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1,213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0,937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0,798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0,685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0,615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0,574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0,543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0,622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0,478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0,531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</w:tr>
      <w:tr w:rsidR="008C5163" w:rsidRPr="008C5163" w:rsidTr="00E51282">
        <w:trPr>
          <w:trHeight w:hRule="exact" w:val="22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163" w:rsidRPr="008C5163" w:rsidRDefault="008C5163" w:rsidP="008C5163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8C5163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</w:tr>
    </w:tbl>
    <w:p w:rsidR="0082570B" w:rsidRDefault="00475BE2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 xml:space="preserve"> </w:t>
      </w:r>
      <w:r w:rsidR="0082570B" w:rsidRPr="00DC4AD1">
        <w:rPr>
          <w:i/>
          <w:iCs/>
          <w:noProof/>
          <w:sz w:val="12"/>
          <w:szCs w:val="12"/>
        </w:rPr>
        <w:br w:type="page"/>
      </w: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</w:p>
    <w:p w:rsidR="00784DAE" w:rsidRPr="00DC4AD1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  <w:r w:rsidRPr="00DC4AD1">
        <w:rPr>
          <w:noProof/>
          <w:sz w:val="17"/>
          <w:szCs w:val="16"/>
        </w:rPr>
        <w:t xml:space="preserve">Tabela 2: </w:t>
      </w:r>
      <w:r w:rsidRPr="00DC4AD1">
        <w:rPr>
          <w:b/>
          <w:bCs/>
          <w:noProof/>
          <w:sz w:val="17"/>
          <w:szCs w:val="16"/>
        </w:rPr>
        <w:t>BUDŽET CRNE GORE</w:t>
      </w:r>
      <w:r w:rsidRPr="00DC4AD1">
        <w:rPr>
          <w:noProof/>
          <w:sz w:val="17"/>
          <w:szCs w:val="16"/>
        </w:rPr>
        <w:t xml:space="preserve"> – </w:t>
      </w:r>
      <w:r>
        <w:rPr>
          <w:noProof/>
          <w:sz w:val="17"/>
          <w:szCs w:val="16"/>
        </w:rPr>
        <w:t xml:space="preserve">Jul </w:t>
      </w:r>
      <w:r w:rsidRPr="00DC4AD1">
        <w:rPr>
          <w:noProof/>
          <w:sz w:val="17"/>
          <w:szCs w:val="16"/>
        </w:rPr>
        <w:t xml:space="preserve"> 2013.</w:t>
      </w:r>
    </w:p>
    <w:p w:rsidR="0082570B" w:rsidRPr="00DC4AD1" w:rsidRDefault="0082570B" w:rsidP="003A1150">
      <w:pPr>
        <w:spacing w:after="0" w:line="240" w:lineRule="auto"/>
        <w:jc w:val="both"/>
        <w:rPr>
          <w:i/>
          <w:iCs/>
          <w:noProof/>
          <w:sz w:val="12"/>
          <w:szCs w:val="12"/>
        </w:rPr>
      </w:pPr>
    </w:p>
    <w:tbl>
      <w:tblPr>
        <w:tblW w:w="16193" w:type="dxa"/>
        <w:tblInd w:w="108" w:type="dxa"/>
        <w:tblLook w:val="04A0"/>
      </w:tblPr>
      <w:tblGrid>
        <w:gridCol w:w="1920"/>
        <w:gridCol w:w="579"/>
        <w:gridCol w:w="579"/>
        <w:gridCol w:w="580"/>
        <w:gridCol w:w="580"/>
        <w:gridCol w:w="580"/>
        <w:gridCol w:w="578"/>
        <w:gridCol w:w="579"/>
        <w:gridCol w:w="578"/>
        <w:gridCol w:w="578"/>
        <w:gridCol w:w="578"/>
        <w:gridCol w:w="579"/>
        <w:gridCol w:w="578"/>
        <w:gridCol w:w="578"/>
        <w:gridCol w:w="579"/>
        <w:gridCol w:w="578"/>
        <w:gridCol w:w="578"/>
        <w:gridCol w:w="578"/>
        <w:gridCol w:w="578"/>
        <w:gridCol w:w="578"/>
        <w:gridCol w:w="614"/>
        <w:gridCol w:w="614"/>
        <w:gridCol w:w="660"/>
        <w:gridCol w:w="732"/>
        <w:gridCol w:w="660"/>
      </w:tblGrid>
      <w:tr w:rsidR="00856DE2" w:rsidRPr="002C4A81" w:rsidTr="00856DE2">
        <w:trPr>
          <w:trHeight w:val="2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DE2" w:rsidRPr="002C4A81" w:rsidRDefault="00856DE2" w:rsidP="002C4A81">
            <w:pPr>
              <w:spacing w:after="0" w:line="240" w:lineRule="auto"/>
              <w:rPr>
                <w:rFonts w:cs="Calibri"/>
                <w:color w:val="000000"/>
                <w:sz w:val="13"/>
                <w:szCs w:val="13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DE2" w:rsidRPr="002C4A81" w:rsidRDefault="00856DE2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2012</w:t>
            </w:r>
          </w:p>
        </w:tc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DE2" w:rsidRPr="002C4A81" w:rsidRDefault="00856DE2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2013</w:t>
            </w:r>
          </w:p>
        </w:tc>
        <w:tc>
          <w:tcPr>
            <w:tcW w:w="4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E2" w:rsidRPr="002C4A81" w:rsidRDefault="00856DE2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2013-plan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DE2" w:rsidRPr="002C4A81" w:rsidRDefault="00856DE2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Analitika-jul</w:t>
            </w:r>
          </w:p>
        </w:tc>
      </w:tr>
      <w:tr w:rsidR="002C4A81" w:rsidRPr="002C4A81" w:rsidTr="00856DE2">
        <w:trPr>
          <w:trHeight w:val="9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i/>
                <w:iCs/>
                <w:sz w:val="13"/>
                <w:szCs w:val="13"/>
              </w:rPr>
              <w:t>BUDŽET CRNE GORE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jul 2013/jul 2012(%)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jan-jul 2013/jan-jul 2012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2C4A81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jul 2013/jul 2013 plan</w:t>
            </w:r>
          </w:p>
        </w:tc>
      </w:tr>
      <w:tr w:rsidR="002C4A81" w:rsidRPr="002C4A81" w:rsidTr="00856DE2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2C4A81">
              <w:rPr>
                <w:rFonts w:cs="Calibri"/>
                <w:b/>
                <w:bCs/>
                <w:sz w:val="14"/>
                <w:szCs w:val="14"/>
              </w:rPr>
              <w:t>IZVORNI PRIHODI, od čega:</w:t>
            </w:r>
            <w:r w:rsidR="00856DE2">
              <w:rPr>
                <w:rStyle w:val="FootnoteReference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48,73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67,76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76,28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98,76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86,82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95,94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130,90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54,76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75,68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88,30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103,95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94,00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color w:val="000000"/>
                <w:sz w:val="13"/>
                <w:szCs w:val="13"/>
              </w:rPr>
              <w:t>99,46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color w:val="000000"/>
                <w:sz w:val="13"/>
                <w:szCs w:val="13"/>
              </w:rPr>
              <w:t>121,97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56,41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72,07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82,94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99,96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96,47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100,95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115,59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-6,83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5,44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5,52</w:t>
            </w:r>
          </w:p>
        </w:tc>
      </w:tr>
      <w:tr w:rsidR="002C4A81" w:rsidRPr="002C4A81" w:rsidTr="00856DE2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Porezi i doprinosi na  zarade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12,32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30,47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33,23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39,30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34,83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32,63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41,77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14,21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34,57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35,60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34,16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36,35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39,09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40,63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13,05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32,15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35,13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38,49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38,27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36,00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41,14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-2,73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4,48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-1,24</w:t>
            </w:r>
          </w:p>
        </w:tc>
      </w:tr>
      <w:tr w:rsidR="002C4A81" w:rsidRPr="002C4A81" w:rsidTr="00856DE2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Porez na dobit pravnih lica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28,54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0,50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5,09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14,80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3,64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3,87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0,58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0,52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4,47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12,49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3,69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4,27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3,99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-86,45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-41,03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-3,20</w:t>
            </w:r>
          </w:p>
        </w:tc>
      </w:tr>
      <w:tr w:rsidR="002C4A81" w:rsidRPr="002C4A81" w:rsidTr="00856DE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Porez na dodatu vrijednost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21,20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21,32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23,76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27,71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30,99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37,82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37,35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24,86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24,75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29,49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33,76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34,16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35,87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47,18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22,22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22,35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24,91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29,05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32,49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39,64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39,14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26,34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14,95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20,53</w:t>
            </w:r>
          </w:p>
        </w:tc>
      </w:tr>
      <w:tr w:rsidR="002C4A81" w:rsidRPr="002C4A81" w:rsidTr="00856DE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Akcize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9,27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10,09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14,77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13,19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9,26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8,99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10,36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12,32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12,03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13,03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16,43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13,47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9,37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8,59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9,98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12,53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12,21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16,64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24,57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13,26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-1,31</w:t>
            </w:r>
          </w:p>
        </w:tc>
      </w:tr>
      <w:tr w:rsidR="002C4A81" w:rsidRPr="002C4A81" w:rsidTr="00856DE2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Porez na medj trgovinu i transak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1,86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2,09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2,46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2,43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3,48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3,63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3,49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2,31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2,53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4,58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-31,62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-2,61</w:t>
            </w:r>
          </w:p>
        </w:tc>
      </w:tr>
      <w:tr w:rsidR="00856DE2" w:rsidRPr="002C4A81" w:rsidTr="00856DE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2C4A81">
              <w:rPr>
                <w:rFonts w:cs="Calibri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84,36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99,64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84,96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150,15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102,81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99,77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104,38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81,04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95,33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104,39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120,53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96,28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100,61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160,06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106,33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104,02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104,00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104,09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103,99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103,94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104,75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53,34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4,43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52,80</w:t>
            </w:r>
          </w:p>
        </w:tc>
      </w:tr>
      <w:tr w:rsidR="002C4A81" w:rsidRPr="002C4A81" w:rsidTr="00856DE2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Bruto zarade i doprinosi na teret posl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32,05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31,32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31,74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31,80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30,93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31,00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31,01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31,01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31,01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-0,93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0,78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-0,26</w:t>
            </w:r>
          </w:p>
        </w:tc>
      </w:tr>
      <w:tr w:rsidR="002C4A81" w:rsidRPr="002C4A81" w:rsidTr="00E51282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Rashodi za materijal i usluge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12,20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20,77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13,85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9,92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15,93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8,06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6,09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7,15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8,08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6,17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6,77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-55,15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-46,01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5,53</w:t>
            </w:r>
          </w:p>
        </w:tc>
      </w:tr>
      <w:tr w:rsidR="002C4A81" w:rsidRPr="002C4A81" w:rsidTr="00E5128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Kamate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3,71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14,21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25,31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3,50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5,65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5,87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5,87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335,32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30,03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-3,62</w:t>
            </w:r>
          </w:p>
        </w:tc>
      </w:tr>
      <w:tr w:rsidR="002C4A81" w:rsidRPr="002C4A81" w:rsidTr="00E5128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Transferi za socijalnu zaštitu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37,23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40,40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35,63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43,78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40,87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39,07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40,98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38,15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42,30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40,50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40,45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39,92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39,92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38,92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41,49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41,49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-5,02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0,79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-6,18</w:t>
            </w:r>
          </w:p>
        </w:tc>
      </w:tr>
      <w:tr w:rsidR="002C4A81" w:rsidRPr="002C4A81" w:rsidTr="00E51282">
        <w:trPr>
          <w:trHeight w:val="2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Transferi instit, pojed i NVO sektoru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8,95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7,06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5,86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8,08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7,62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7,62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152,65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203,47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-23,06</w:t>
            </w:r>
          </w:p>
        </w:tc>
      </w:tr>
      <w:tr w:rsidR="002C4A81" w:rsidRPr="002C4A81" w:rsidTr="00E51282">
        <w:trPr>
          <w:trHeight w:val="2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Kapitalni izdaci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2,37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0,30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2,12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4,93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color w:val="000000"/>
                <w:sz w:val="13"/>
                <w:szCs w:val="13"/>
              </w:rPr>
              <w:t>5,21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4,93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E51282">
              <w:rPr>
                <w:rFonts w:cs="Calibri"/>
                <w:sz w:val="13"/>
                <w:szCs w:val="13"/>
              </w:rPr>
              <w:t>6,13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0,64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6,36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-24,22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-6,78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-22,48</w:t>
            </w:r>
          </w:p>
        </w:tc>
      </w:tr>
      <w:tr w:rsidR="002C4A81" w:rsidRPr="002C4A81" w:rsidTr="00E5128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2C4A81">
              <w:rPr>
                <w:rFonts w:cs="Calibri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-35,63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-31,88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-8,69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-51,39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-15,99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-3,83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26,52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-26,28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-19,66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-16,09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-16,58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-2,28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color w:val="000000"/>
                <w:sz w:val="13"/>
                <w:szCs w:val="13"/>
              </w:rPr>
              <w:t>-1,15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color w:val="000000"/>
                <w:sz w:val="13"/>
                <w:szCs w:val="13"/>
              </w:rPr>
              <w:t>-38,09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-49,93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-31,95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-21,06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-4,13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-7,52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-2,99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10,84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243,64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-0,62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-451,43</w:t>
            </w:r>
          </w:p>
        </w:tc>
      </w:tr>
      <w:tr w:rsidR="002C4A81" w:rsidRPr="002C4A81" w:rsidTr="00E5128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Primarni deficit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-31,92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-30,15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-5,96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-37,18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-13,89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1,11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27,82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-25,73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-17,89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-14,08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8,73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-1,16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2,35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-32,44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-44,06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-26,08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-15,19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1,74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-1,66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2,88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16,71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-216,61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-11,06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-294,16</w:t>
            </w:r>
          </w:p>
        </w:tc>
      </w:tr>
      <w:tr w:rsidR="002C4A81" w:rsidRPr="002C4A81" w:rsidTr="00E5128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Otplata dugova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14,84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9,37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6,92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10,92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10,53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18,30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12,53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16,06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7,38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7,34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7,89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5,57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color w:val="000000"/>
                <w:sz w:val="13"/>
                <w:szCs w:val="13"/>
              </w:rPr>
              <w:t>18,47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bCs/>
                <w:color w:val="000000"/>
                <w:sz w:val="13"/>
                <w:szCs w:val="13"/>
              </w:rPr>
              <w:t>34,60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7,69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2,82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5,38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8,04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bCs/>
                <w:sz w:val="13"/>
                <w:szCs w:val="13"/>
              </w:rPr>
            </w:pPr>
            <w:r w:rsidRPr="00E51282">
              <w:rPr>
                <w:rFonts w:cs="Calibri"/>
                <w:bCs/>
                <w:sz w:val="13"/>
                <w:szCs w:val="13"/>
              </w:rPr>
              <w:t>5,39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16,83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51282">
              <w:rPr>
                <w:rFonts w:asciiTheme="minorHAnsi" w:hAnsiTheme="minorHAnsi" w:cstheme="minorHAnsi"/>
                <w:sz w:val="13"/>
                <w:szCs w:val="13"/>
              </w:rPr>
              <w:t>24,37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176,15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16,65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E51282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E51282">
              <w:rPr>
                <w:rFonts w:cs="Calibri"/>
                <w:i/>
                <w:iCs/>
                <w:color w:val="000000"/>
                <w:sz w:val="13"/>
                <w:szCs w:val="13"/>
              </w:rPr>
              <w:t>42,02</w:t>
            </w:r>
          </w:p>
        </w:tc>
      </w:tr>
      <w:tr w:rsidR="002C4A81" w:rsidRPr="002C4A81" w:rsidTr="00E5128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b/>
                <w:bCs/>
                <w:sz w:val="13"/>
                <w:szCs w:val="13"/>
              </w:rPr>
            </w:pPr>
            <w:r w:rsidRPr="002C4A81">
              <w:rPr>
                <w:rFonts w:cs="Calibri"/>
                <w:b/>
                <w:bCs/>
                <w:sz w:val="13"/>
                <w:szCs w:val="13"/>
              </w:rPr>
              <w:t>Državni dug (stanje duga)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1473,2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1540,3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1534,8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1638,6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1634,5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1629,6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1718,8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1726,6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1732,7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1755,7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1764,2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1767,1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1760,9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1810,4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5,33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10,28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</w:t>
            </w:r>
          </w:p>
        </w:tc>
      </w:tr>
      <w:tr w:rsidR="002C4A81" w:rsidRPr="002C4A81" w:rsidTr="00E51282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Domaći dug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431,3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426,5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432,6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411,2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394,0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396,7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420,3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431,7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436,0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442,7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442,8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7,68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-0,15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</w:t>
            </w:r>
          </w:p>
        </w:tc>
      </w:tr>
      <w:tr w:rsidR="002C4A81" w:rsidRPr="002C4A81" w:rsidTr="00856DE2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sz w:val="13"/>
                <w:szCs w:val="13"/>
              </w:rPr>
              <w:t>Inostrani dug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1054,2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1109,0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1108,3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1206,0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1210,4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1205,5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1307,6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1332,6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1336,0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1335,4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1332,5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1331,1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1318,2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1367,6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2C4A81">
              <w:rPr>
                <w:rFonts w:cs="Calibri"/>
                <w:sz w:val="13"/>
                <w:szCs w:val="13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4,59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14,05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A81" w:rsidRPr="002C4A81" w:rsidRDefault="002C4A81" w:rsidP="00856DE2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2C4A81">
              <w:rPr>
                <w:rFonts w:cs="Calibri"/>
                <w:i/>
                <w:iCs/>
                <w:color w:val="000000"/>
                <w:sz w:val="13"/>
                <w:szCs w:val="13"/>
              </w:rPr>
              <w:t>-</w:t>
            </w:r>
          </w:p>
        </w:tc>
      </w:tr>
    </w:tbl>
    <w:p w:rsidR="0082570B" w:rsidRPr="00DC4AD1" w:rsidRDefault="00A419CE" w:rsidP="00A419CE">
      <w:pPr>
        <w:tabs>
          <w:tab w:val="left" w:pos="4230"/>
          <w:tab w:val="center" w:pos="8079"/>
        </w:tabs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tab/>
      </w:r>
      <w:r w:rsidRPr="00DC4AD1">
        <w:rPr>
          <w:noProof/>
          <w:sz w:val="17"/>
          <w:szCs w:val="16"/>
        </w:rPr>
        <w:tab/>
      </w:r>
      <w:r w:rsidR="0082570B" w:rsidRPr="00DC4AD1">
        <w:rPr>
          <w:noProof/>
          <w:sz w:val="17"/>
          <w:szCs w:val="16"/>
        </w:rPr>
        <w:t>.</w:t>
      </w:r>
    </w:p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</w:p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  <w:r w:rsidRPr="00DC4AD1">
        <w:rPr>
          <w:b/>
          <w:i/>
          <w:noProof/>
          <w:sz w:val="14"/>
          <w:szCs w:val="14"/>
        </w:rPr>
        <w:t>Izvor: Ministarstvo finansija</w:t>
      </w:r>
      <w:r w:rsidR="00D15C59">
        <w:rPr>
          <w:b/>
          <w:i/>
          <w:noProof/>
          <w:sz w:val="14"/>
          <w:szCs w:val="14"/>
        </w:rPr>
        <w:t xml:space="preserve"> </w:t>
      </w:r>
      <w:r w:rsidRPr="00DC4AD1">
        <w:rPr>
          <w:b/>
          <w:i/>
          <w:noProof/>
          <w:sz w:val="14"/>
          <w:szCs w:val="14"/>
        </w:rPr>
        <w:t>Crne Gore</w:t>
      </w:r>
    </w:p>
    <w:p w:rsidR="0082570B" w:rsidRPr="00DC4AD1" w:rsidRDefault="0082570B" w:rsidP="005025EC">
      <w:pPr>
        <w:jc w:val="both"/>
        <w:rPr>
          <w:rFonts w:cs="Calibri"/>
          <w:bCs/>
          <w:noProof/>
          <w:sz w:val="14"/>
          <w:szCs w:val="14"/>
        </w:rPr>
      </w:pPr>
    </w:p>
    <w:p w:rsidR="0082570B" w:rsidRPr="00DC4AD1" w:rsidRDefault="0082570B" w:rsidP="005025EC">
      <w:pPr>
        <w:ind w:left="-142"/>
        <w:jc w:val="both"/>
        <w:rPr>
          <w:noProof/>
          <w:sz w:val="14"/>
          <w:szCs w:val="14"/>
        </w:rPr>
      </w:pPr>
      <w:r w:rsidRPr="00DC4AD1">
        <w:rPr>
          <w:rFonts w:cs="Calibri"/>
          <w:bCs/>
          <w:noProof/>
          <w:sz w:val="14"/>
          <w:szCs w:val="14"/>
        </w:rPr>
        <w:t>.</w:t>
      </w:r>
    </w:p>
    <w:sectPr w:rsidR="0082570B" w:rsidRPr="00DC4AD1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E99" w:rsidRDefault="004B1E99" w:rsidP="00965FCD">
      <w:pPr>
        <w:spacing w:after="0" w:line="240" w:lineRule="auto"/>
      </w:pPr>
      <w:r>
        <w:separator/>
      </w:r>
    </w:p>
  </w:endnote>
  <w:endnote w:type="continuationSeparator" w:id="0">
    <w:p w:rsidR="004B1E99" w:rsidRDefault="004B1E99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E99" w:rsidRDefault="004B1E99" w:rsidP="00965FCD">
      <w:pPr>
        <w:spacing w:after="0" w:line="240" w:lineRule="auto"/>
      </w:pPr>
      <w:r>
        <w:separator/>
      </w:r>
    </w:p>
  </w:footnote>
  <w:footnote w:type="continuationSeparator" w:id="0">
    <w:p w:rsidR="004B1E99" w:rsidRDefault="004B1E99" w:rsidP="00965FCD">
      <w:pPr>
        <w:spacing w:after="0" w:line="240" w:lineRule="auto"/>
      </w:pPr>
      <w:r>
        <w:continuationSeparator/>
      </w:r>
    </w:p>
  </w:footnote>
  <w:footnote w:id="1">
    <w:p w:rsidR="00856DE2" w:rsidRPr="00856DE2" w:rsidRDefault="00856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784C">
        <w:rPr>
          <w:sz w:val="16"/>
        </w:rPr>
        <w:t>Napomena: U julu 2012 godine jednokratna uplata poreza na neraspoređenu dobit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97970"/>
    <w:multiLevelType w:val="hybridMultilevel"/>
    <w:tmpl w:val="16588DB0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10A3"/>
    <w:rsid w:val="00003D78"/>
    <w:rsid w:val="00004B56"/>
    <w:rsid w:val="000147A0"/>
    <w:rsid w:val="00014AAB"/>
    <w:rsid w:val="00014D0B"/>
    <w:rsid w:val="00014E6A"/>
    <w:rsid w:val="0001692A"/>
    <w:rsid w:val="00017070"/>
    <w:rsid w:val="00021033"/>
    <w:rsid w:val="000224B4"/>
    <w:rsid w:val="00022789"/>
    <w:rsid w:val="0002564B"/>
    <w:rsid w:val="000263A4"/>
    <w:rsid w:val="00031722"/>
    <w:rsid w:val="000341DE"/>
    <w:rsid w:val="00034923"/>
    <w:rsid w:val="00034D42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0965"/>
    <w:rsid w:val="000734AF"/>
    <w:rsid w:val="00073786"/>
    <w:rsid w:val="00074378"/>
    <w:rsid w:val="000747AC"/>
    <w:rsid w:val="00074C3E"/>
    <w:rsid w:val="00074D69"/>
    <w:rsid w:val="0007530C"/>
    <w:rsid w:val="00080AEE"/>
    <w:rsid w:val="000812E2"/>
    <w:rsid w:val="00082D87"/>
    <w:rsid w:val="00085B67"/>
    <w:rsid w:val="00090FDD"/>
    <w:rsid w:val="00091154"/>
    <w:rsid w:val="000915D3"/>
    <w:rsid w:val="000917D8"/>
    <w:rsid w:val="000925F7"/>
    <w:rsid w:val="00094311"/>
    <w:rsid w:val="000945C9"/>
    <w:rsid w:val="0009505C"/>
    <w:rsid w:val="0009548F"/>
    <w:rsid w:val="000956EB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54A3"/>
    <w:rsid w:val="000B67B1"/>
    <w:rsid w:val="000B788B"/>
    <w:rsid w:val="000B7AE2"/>
    <w:rsid w:val="000C06C5"/>
    <w:rsid w:val="000C0B0A"/>
    <w:rsid w:val="000C108E"/>
    <w:rsid w:val="000C1965"/>
    <w:rsid w:val="000C36DB"/>
    <w:rsid w:val="000C6818"/>
    <w:rsid w:val="000D0368"/>
    <w:rsid w:val="000D0374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577"/>
    <w:rsid w:val="000F6C6B"/>
    <w:rsid w:val="000F756E"/>
    <w:rsid w:val="00100371"/>
    <w:rsid w:val="0010339D"/>
    <w:rsid w:val="00106446"/>
    <w:rsid w:val="00107128"/>
    <w:rsid w:val="00107A07"/>
    <w:rsid w:val="00112853"/>
    <w:rsid w:val="00114109"/>
    <w:rsid w:val="00115519"/>
    <w:rsid w:val="00116365"/>
    <w:rsid w:val="001164A1"/>
    <w:rsid w:val="00117AB0"/>
    <w:rsid w:val="00120A3A"/>
    <w:rsid w:val="00123CBD"/>
    <w:rsid w:val="00131185"/>
    <w:rsid w:val="001326B7"/>
    <w:rsid w:val="00134816"/>
    <w:rsid w:val="00134A21"/>
    <w:rsid w:val="00134C6C"/>
    <w:rsid w:val="00136E70"/>
    <w:rsid w:val="00140D20"/>
    <w:rsid w:val="00141FDD"/>
    <w:rsid w:val="00144C86"/>
    <w:rsid w:val="0014607D"/>
    <w:rsid w:val="00147278"/>
    <w:rsid w:val="00152E4F"/>
    <w:rsid w:val="001530CE"/>
    <w:rsid w:val="0015322D"/>
    <w:rsid w:val="00154145"/>
    <w:rsid w:val="0015515C"/>
    <w:rsid w:val="00156E33"/>
    <w:rsid w:val="00157601"/>
    <w:rsid w:val="00160183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D59"/>
    <w:rsid w:val="001730BE"/>
    <w:rsid w:val="00174836"/>
    <w:rsid w:val="0017540F"/>
    <w:rsid w:val="00181309"/>
    <w:rsid w:val="0018289E"/>
    <w:rsid w:val="0018592D"/>
    <w:rsid w:val="0018626E"/>
    <w:rsid w:val="00186BEF"/>
    <w:rsid w:val="00186F09"/>
    <w:rsid w:val="0018794A"/>
    <w:rsid w:val="00187C66"/>
    <w:rsid w:val="00190285"/>
    <w:rsid w:val="00191F90"/>
    <w:rsid w:val="00192F1E"/>
    <w:rsid w:val="001942BA"/>
    <w:rsid w:val="001A2829"/>
    <w:rsid w:val="001A392F"/>
    <w:rsid w:val="001A594D"/>
    <w:rsid w:val="001A5B99"/>
    <w:rsid w:val="001A65F4"/>
    <w:rsid w:val="001A7319"/>
    <w:rsid w:val="001B3267"/>
    <w:rsid w:val="001B3BE3"/>
    <w:rsid w:val="001B4F99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A32"/>
    <w:rsid w:val="001D37FD"/>
    <w:rsid w:val="001D4E81"/>
    <w:rsid w:val="001E29D1"/>
    <w:rsid w:val="001E2BC7"/>
    <w:rsid w:val="001E33FE"/>
    <w:rsid w:val="001E4EAE"/>
    <w:rsid w:val="001E5BE3"/>
    <w:rsid w:val="001F1378"/>
    <w:rsid w:val="001F19CC"/>
    <w:rsid w:val="001F2B57"/>
    <w:rsid w:val="001F4C02"/>
    <w:rsid w:val="001F69DD"/>
    <w:rsid w:val="001F7445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35A2"/>
    <w:rsid w:val="0021614C"/>
    <w:rsid w:val="00220834"/>
    <w:rsid w:val="002210E9"/>
    <w:rsid w:val="00223E45"/>
    <w:rsid w:val="002251C3"/>
    <w:rsid w:val="00225F74"/>
    <w:rsid w:val="002263B3"/>
    <w:rsid w:val="0022695C"/>
    <w:rsid w:val="00227682"/>
    <w:rsid w:val="00227D75"/>
    <w:rsid w:val="00230FA2"/>
    <w:rsid w:val="00231268"/>
    <w:rsid w:val="00232A05"/>
    <w:rsid w:val="0023443E"/>
    <w:rsid w:val="00234902"/>
    <w:rsid w:val="00236B99"/>
    <w:rsid w:val="00237066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60976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75609"/>
    <w:rsid w:val="00282488"/>
    <w:rsid w:val="00282DBE"/>
    <w:rsid w:val="00283704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2CED"/>
    <w:rsid w:val="002A4910"/>
    <w:rsid w:val="002A68B8"/>
    <w:rsid w:val="002B10AE"/>
    <w:rsid w:val="002B318C"/>
    <w:rsid w:val="002B552A"/>
    <w:rsid w:val="002B74C5"/>
    <w:rsid w:val="002C1A52"/>
    <w:rsid w:val="002C1FBF"/>
    <w:rsid w:val="002C47B8"/>
    <w:rsid w:val="002C4A81"/>
    <w:rsid w:val="002C6888"/>
    <w:rsid w:val="002C78FB"/>
    <w:rsid w:val="002D0F81"/>
    <w:rsid w:val="002D170B"/>
    <w:rsid w:val="002D175D"/>
    <w:rsid w:val="002D2E80"/>
    <w:rsid w:val="002D3B0F"/>
    <w:rsid w:val="002D4073"/>
    <w:rsid w:val="002D5865"/>
    <w:rsid w:val="002E6CB0"/>
    <w:rsid w:val="002F184C"/>
    <w:rsid w:val="002F19E7"/>
    <w:rsid w:val="002F2166"/>
    <w:rsid w:val="002F323A"/>
    <w:rsid w:val="002F5002"/>
    <w:rsid w:val="002F567B"/>
    <w:rsid w:val="002F6AB2"/>
    <w:rsid w:val="003004B8"/>
    <w:rsid w:val="003022A7"/>
    <w:rsid w:val="00303D85"/>
    <w:rsid w:val="00307F4D"/>
    <w:rsid w:val="00312994"/>
    <w:rsid w:val="0031558E"/>
    <w:rsid w:val="00315B94"/>
    <w:rsid w:val="003217C9"/>
    <w:rsid w:val="00321CA6"/>
    <w:rsid w:val="00327AC3"/>
    <w:rsid w:val="00327BFC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4581"/>
    <w:rsid w:val="0034655C"/>
    <w:rsid w:val="00350CFE"/>
    <w:rsid w:val="0035139C"/>
    <w:rsid w:val="0035296B"/>
    <w:rsid w:val="003568F4"/>
    <w:rsid w:val="00357182"/>
    <w:rsid w:val="00357E66"/>
    <w:rsid w:val="00360100"/>
    <w:rsid w:val="00360197"/>
    <w:rsid w:val="003625F1"/>
    <w:rsid w:val="00364D14"/>
    <w:rsid w:val="00365311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A5C77"/>
    <w:rsid w:val="003A5EB6"/>
    <w:rsid w:val="003A785D"/>
    <w:rsid w:val="003B0E7A"/>
    <w:rsid w:val="003B1992"/>
    <w:rsid w:val="003B1A29"/>
    <w:rsid w:val="003B1C22"/>
    <w:rsid w:val="003B1D25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6BD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784C"/>
    <w:rsid w:val="00417DAC"/>
    <w:rsid w:val="00420CBC"/>
    <w:rsid w:val="00421432"/>
    <w:rsid w:val="00421CD5"/>
    <w:rsid w:val="00421E9D"/>
    <w:rsid w:val="00423EE9"/>
    <w:rsid w:val="00425EC2"/>
    <w:rsid w:val="00427696"/>
    <w:rsid w:val="00435D37"/>
    <w:rsid w:val="00436469"/>
    <w:rsid w:val="004379FA"/>
    <w:rsid w:val="0044465C"/>
    <w:rsid w:val="0044550D"/>
    <w:rsid w:val="004471B9"/>
    <w:rsid w:val="00447221"/>
    <w:rsid w:val="00454093"/>
    <w:rsid w:val="00454C7D"/>
    <w:rsid w:val="00455227"/>
    <w:rsid w:val="004574D9"/>
    <w:rsid w:val="00461324"/>
    <w:rsid w:val="0046148B"/>
    <w:rsid w:val="004634E4"/>
    <w:rsid w:val="004655E7"/>
    <w:rsid w:val="00466E96"/>
    <w:rsid w:val="00466F15"/>
    <w:rsid w:val="004725CB"/>
    <w:rsid w:val="0047278D"/>
    <w:rsid w:val="00475763"/>
    <w:rsid w:val="00475BE2"/>
    <w:rsid w:val="00480082"/>
    <w:rsid w:val="004848E8"/>
    <w:rsid w:val="004865CE"/>
    <w:rsid w:val="004868F5"/>
    <w:rsid w:val="00487296"/>
    <w:rsid w:val="0049070F"/>
    <w:rsid w:val="004932C1"/>
    <w:rsid w:val="00493B63"/>
    <w:rsid w:val="004940E0"/>
    <w:rsid w:val="00496861"/>
    <w:rsid w:val="004A1113"/>
    <w:rsid w:val="004A3449"/>
    <w:rsid w:val="004A382B"/>
    <w:rsid w:val="004A3894"/>
    <w:rsid w:val="004A38D1"/>
    <w:rsid w:val="004A55B1"/>
    <w:rsid w:val="004A56BE"/>
    <w:rsid w:val="004A5717"/>
    <w:rsid w:val="004A62DA"/>
    <w:rsid w:val="004B1C2A"/>
    <w:rsid w:val="004B1E99"/>
    <w:rsid w:val="004B41B2"/>
    <w:rsid w:val="004B5F63"/>
    <w:rsid w:val="004B7800"/>
    <w:rsid w:val="004B7883"/>
    <w:rsid w:val="004C0135"/>
    <w:rsid w:val="004C0541"/>
    <w:rsid w:val="004C16F3"/>
    <w:rsid w:val="004C373F"/>
    <w:rsid w:val="004C3C31"/>
    <w:rsid w:val="004C659C"/>
    <w:rsid w:val="004D49A0"/>
    <w:rsid w:val="004D4E0F"/>
    <w:rsid w:val="004E02D3"/>
    <w:rsid w:val="004E7676"/>
    <w:rsid w:val="004F288B"/>
    <w:rsid w:val="004F3817"/>
    <w:rsid w:val="004F50B8"/>
    <w:rsid w:val="004F7808"/>
    <w:rsid w:val="004F7D2D"/>
    <w:rsid w:val="004F7F71"/>
    <w:rsid w:val="005025EC"/>
    <w:rsid w:val="005027D6"/>
    <w:rsid w:val="005070CF"/>
    <w:rsid w:val="005078B9"/>
    <w:rsid w:val="0051345D"/>
    <w:rsid w:val="00516264"/>
    <w:rsid w:val="00517175"/>
    <w:rsid w:val="00521DE6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3F8"/>
    <w:rsid w:val="00534ED3"/>
    <w:rsid w:val="0053502A"/>
    <w:rsid w:val="0053621B"/>
    <w:rsid w:val="00536525"/>
    <w:rsid w:val="0053722D"/>
    <w:rsid w:val="00540D55"/>
    <w:rsid w:val="00541131"/>
    <w:rsid w:val="00541D70"/>
    <w:rsid w:val="005429A2"/>
    <w:rsid w:val="00543A1F"/>
    <w:rsid w:val="005468F5"/>
    <w:rsid w:val="00546967"/>
    <w:rsid w:val="00547212"/>
    <w:rsid w:val="00547B34"/>
    <w:rsid w:val="005523CF"/>
    <w:rsid w:val="0055364A"/>
    <w:rsid w:val="00553E61"/>
    <w:rsid w:val="0055409D"/>
    <w:rsid w:val="0055507E"/>
    <w:rsid w:val="00555A5E"/>
    <w:rsid w:val="005568D7"/>
    <w:rsid w:val="0055713F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1749"/>
    <w:rsid w:val="005829D9"/>
    <w:rsid w:val="00583591"/>
    <w:rsid w:val="005852DA"/>
    <w:rsid w:val="00590B7B"/>
    <w:rsid w:val="005916D5"/>
    <w:rsid w:val="00593B25"/>
    <w:rsid w:val="00595DA2"/>
    <w:rsid w:val="00596079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4CBE"/>
    <w:rsid w:val="005C4DBD"/>
    <w:rsid w:val="005C5F38"/>
    <w:rsid w:val="005D0E14"/>
    <w:rsid w:val="005D4BC4"/>
    <w:rsid w:val="005D6EEB"/>
    <w:rsid w:val="005D751B"/>
    <w:rsid w:val="005E038B"/>
    <w:rsid w:val="005E150E"/>
    <w:rsid w:val="005E2852"/>
    <w:rsid w:val="005E2B06"/>
    <w:rsid w:val="005E35C9"/>
    <w:rsid w:val="005E4CD1"/>
    <w:rsid w:val="005E5941"/>
    <w:rsid w:val="005E6D35"/>
    <w:rsid w:val="005E7556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A74"/>
    <w:rsid w:val="00612F5E"/>
    <w:rsid w:val="00613676"/>
    <w:rsid w:val="006152FB"/>
    <w:rsid w:val="00616B6E"/>
    <w:rsid w:val="00620FA4"/>
    <w:rsid w:val="0062271A"/>
    <w:rsid w:val="00622F10"/>
    <w:rsid w:val="00623BC4"/>
    <w:rsid w:val="00624C12"/>
    <w:rsid w:val="00634B74"/>
    <w:rsid w:val="0063610A"/>
    <w:rsid w:val="00642A13"/>
    <w:rsid w:val="006435D8"/>
    <w:rsid w:val="00645ED4"/>
    <w:rsid w:val="00647463"/>
    <w:rsid w:val="00647B12"/>
    <w:rsid w:val="006509EE"/>
    <w:rsid w:val="0065108A"/>
    <w:rsid w:val="006534C5"/>
    <w:rsid w:val="00653CF3"/>
    <w:rsid w:val="00654A8A"/>
    <w:rsid w:val="0065775B"/>
    <w:rsid w:val="00657F58"/>
    <w:rsid w:val="00661339"/>
    <w:rsid w:val="00661C7E"/>
    <w:rsid w:val="00663690"/>
    <w:rsid w:val="00664DEB"/>
    <w:rsid w:val="00666EFC"/>
    <w:rsid w:val="00670373"/>
    <w:rsid w:val="00670C6E"/>
    <w:rsid w:val="00671844"/>
    <w:rsid w:val="00671961"/>
    <w:rsid w:val="006723F0"/>
    <w:rsid w:val="00672DCB"/>
    <w:rsid w:val="006751BF"/>
    <w:rsid w:val="006756E9"/>
    <w:rsid w:val="006759B4"/>
    <w:rsid w:val="006760A4"/>
    <w:rsid w:val="00676256"/>
    <w:rsid w:val="00676A4B"/>
    <w:rsid w:val="00681351"/>
    <w:rsid w:val="00681A9E"/>
    <w:rsid w:val="0068490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71AF"/>
    <w:rsid w:val="00697A91"/>
    <w:rsid w:val="006A0B4A"/>
    <w:rsid w:val="006A290B"/>
    <w:rsid w:val="006A5DE6"/>
    <w:rsid w:val="006A6C58"/>
    <w:rsid w:val="006B159D"/>
    <w:rsid w:val="006B2866"/>
    <w:rsid w:val="006B3579"/>
    <w:rsid w:val="006B4777"/>
    <w:rsid w:val="006B7725"/>
    <w:rsid w:val="006B78C8"/>
    <w:rsid w:val="006C15C6"/>
    <w:rsid w:val="006C27EC"/>
    <w:rsid w:val="006C2906"/>
    <w:rsid w:val="006C3C84"/>
    <w:rsid w:val="006C5096"/>
    <w:rsid w:val="006C5F17"/>
    <w:rsid w:val="006C6B7E"/>
    <w:rsid w:val="006C72D3"/>
    <w:rsid w:val="006C7BA4"/>
    <w:rsid w:val="006C7EA3"/>
    <w:rsid w:val="006D1A57"/>
    <w:rsid w:val="006D2A9C"/>
    <w:rsid w:val="006D3720"/>
    <w:rsid w:val="006D3727"/>
    <w:rsid w:val="006D4A5C"/>
    <w:rsid w:val="006D53D7"/>
    <w:rsid w:val="006D74DB"/>
    <w:rsid w:val="006E11AC"/>
    <w:rsid w:val="006E4746"/>
    <w:rsid w:val="006E4B91"/>
    <w:rsid w:val="006E6751"/>
    <w:rsid w:val="006E7282"/>
    <w:rsid w:val="006F1AFE"/>
    <w:rsid w:val="006F2861"/>
    <w:rsid w:val="006F4309"/>
    <w:rsid w:val="006F5E1B"/>
    <w:rsid w:val="006F6B2B"/>
    <w:rsid w:val="006F6D5E"/>
    <w:rsid w:val="006F7C03"/>
    <w:rsid w:val="00701093"/>
    <w:rsid w:val="007027D1"/>
    <w:rsid w:val="00705089"/>
    <w:rsid w:val="007055C9"/>
    <w:rsid w:val="00706CF0"/>
    <w:rsid w:val="00710BC7"/>
    <w:rsid w:val="00712271"/>
    <w:rsid w:val="00712C9A"/>
    <w:rsid w:val="00713AA0"/>
    <w:rsid w:val="00715597"/>
    <w:rsid w:val="00715DEB"/>
    <w:rsid w:val="00716A7D"/>
    <w:rsid w:val="00716B14"/>
    <w:rsid w:val="00717FE8"/>
    <w:rsid w:val="00721DCD"/>
    <w:rsid w:val="00722A4C"/>
    <w:rsid w:val="007234B4"/>
    <w:rsid w:val="00725D07"/>
    <w:rsid w:val="00727967"/>
    <w:rsid w:val="007307C9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515DA"/>
    <w:rsid w:val="007534A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6413B"/>
    <w:rsid w:val="007652FD"/>
    <w:rsid w:val="0076645A"/>
    <w:rsid w:val="00771538"/>
    <w:rsid w:val="007722BC"/>
    <w:rsid w:val="00772A01"/>
    <w:rsid w:val="00772F45"/>
    <w:rsid w:val="00776A67"/>
    <w:rsid w:val="00776DE5"/>
    <w:rsid w:val="00777134"/>
    <w:rsid w:val="00781377"/>
    <w:rsid w:val="00784166"/>
    <w:rsid w:val="0078476D"/>
    <w:rsid w:val="00784BF8"/>
    <w:rsid w:val="00784DAE"/>
    <w:rsid w:val="00785339"/>
    <w:rsid w:val="00786F50"/>
    <w:rsid w:val="00787E88"/>
    <w:rsid w:val="00791DC2"/>
    <w:rsid w:val="007941BB"/>
    <w:rsid w:val="00794B8C"/>
    <w:rsid w:val="00796ED1"/>
    <w:rsid w:val="007978AC"/>
    <w:rsid w:val="00797B66"/>
    <w:rsid w:val="007A1882"/>
    <w:rsid w:val="007A2838"/>
    <w:rsid w:val="007A299E"/>
    <w:rsid w:val="007A33EE"/>
    <w:rsid w:val="007A5A5D"/>
    <w:rsid w:val="007A67CB"/>
    <w:rsid w:val="007B0888"/>
    <w:rsid w:val="007B41C4"/>
    <w:rsid w:val="007B5A1B"/>
    <w:rsid w:val="007B5C2E"/>
    <w:rsid w:val="007B7DBE"/>
    <w:rsid w:val="007C1EE8"/>
    <w:rsid w:val="007C2107"/>
    <w:rsid w:val="007C2827"/>
    <w:rsid w:val="007C43BE"/>
    <w:rsid w:val="007C49FF"/>
    <w:rsid w:val="007D0106"/>
    <w:rsid w:val="007D0956"/>
    <w:rsid w:val="007D39CD"/>
    <w:rsid w:val="007D410B"/>
    <w:rsid w:val="007D4C9D"/>
    <w:rsid w:val="007D4EE7"/>
    <w:rsid w:val="007D5AB1"/>
    <w:rsid w:val="007E0203"/>
    <w:rsid w:val="007E056C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332"/>
    <w:rsid w:val="0081184B"/>
    <w:rsid w:val="00811943"/>
    <w:rsid w:val="00811DF5"/>
    <w:rsid w:val="00812E0B"/>
    <w:rsid w:val="00813F13"/>
    <w:rsid w:val="00815A2F"/>
    <w:rsid w:val="00817A6A"/>
    <w:rsid w:val="0082070B"/>
    <w:rsid w:val="00822F67"/>
    <w:rsid w:val="008251C2"/>
    <w:rsid w:val="0082570B"/>
    <w:rsid w:val="0082721B"/>
    <w:rsid w:val="008343BA"/>
    <w:rsid w:val="0083553F"/>
    <w:rsid w:val="00836A00"/>
    <w:rsid w:val="00844B4B"/>
    <w:rsid w:val="00845320"/>
    <w:rsid w:val="00845675"/>
    <w:rsid w:val="00847B5B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4891"/>
    <w:rsid w:val="00864D7E"/>
    <w:rsid w:val="008656F4"/>
    <w:rsid w:val="00871ED5"/>
    <w:rsid w:val="00873808"/>
    <w:rsid w:val="00873FD5"/>
    <w:rsid w:val="00874F31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D16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B599F"/>
    <w:rsid w:val="008C01EB"/>
    <w:rsid w:val="008C15C8"/>
    <w:rsid w:val="008C2299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4618"/>
    <w:rsid w:val="008D4A71"/>
    <w:rsid w:val="008D5823"/>
    <w:rsid w:val="008D6E96"/>
    <w:rsid w:val="008D6F6A"/>
    <w:rsid w:val="008D6F78"/>
    <w:rsid w:val="008E0E90"/>
    <w:rsid w:val="008E10D6"/>
    <w:rsid w:val="008E2B58"/>
    <w:rsid w:val="008E3D20"/>
    <w:rsid w:val="008E5EDA"/>
    <w:rsid w:val="008E6D00"/>
    <w:rsid w:val="008E7183"/>
    <w:rsid w:val="008F0415"/>
    <w:rsid w:val="008F195C"/>
    <w:rsid w:val="008F34CB"/>
    <w:rsid w:val="008F3986"/>
    <w:rsid w:val="008F4F59"/>
    <w:rsid w:val="008F7755"/>
    <w:rsid w:val="00900F62"/>
    <w:rsid w:val="00902289"/>
    <w:rsid w:val="009022BB"/>
    <w:rsid w:val="009045B3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5576"/>
    <w:rsid w:val="0091631F"/>
    <w:rsid w:val="00916A0F"/>
    <w:rsid w:val="00920528"/>
    <w:rsid w:val="0092368D"/>
    <w:rsid w:val="0092403C"/>
    <w:rsid w:val="0092474C"/>
    <w:rsid w:val="00925448"/>
    <w:rsid w:val="009271A2"/>
    <w:rsid w:val="0093378D"/>
    <w:rsid w:val="0093484E"/>
    <w:rsid w:val="00935A48"/>
    <w:rsid w:val="00937C0F"/>
    <w:rsid w:val="009404CE"/>
    <w:rsid w:val="00941C71"/>
    <w:rsid w:val="00941E99"/>
    <w:rsid w:val="0094299F"/>
    <w:rsid w:val="009472A1"/>
    <w:rsid w:val="00947E4E"/>
    <w:rsid w:val="00951A56"/>
    <w:rsid w:val="009543FD"/>
    <w:rsid w:val="0095708D"/>
    <w:rsid w:val="009570EC"/>
    <w:rsid w:val="00957325"/>
    <w:rsid w:val="00961D65"/>
    <w:rsid w:val="00962341"/>
    <w:rsid w:val="009647DB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96F"/>
    <w:rsid w:val="009836D7"/>
    <w:rsid w:val="0098562F"/>
    <w:rsid w:val="00985C9B"/>
    <w:rsid w:val="009860B5"/>
    <w:rsid w:val="00992B90"/>
    <w:rsid w:val="00994D96"/>
    <w:rsid w:val="009A0736"/>
    <w:rsid w:val="009A1376"/>
    <w:rsid w:val="009A24E1"/>
    <w:rsid w:val="009A4C61"/>
    <w:rsid w:val="009A6D2F"/>
    <w:rsid w:val="009A74A7"/>
    <w:rsid w:val="009A792A"/>
    <w:rsid w:val="009B1C0A"/>
    <w:rsid w:val="009B320B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70C1"/>
    <w:rsid w:val="009E7177"/>
    <w:rsid w:val="009F0EB0"/>
    <w:rsid w:val="009F1090"/>
    <w:rsid w:val="009F18E0"/>
    <w:rsid w:val="009F35DF"/>
    <w:rsid w:val="009F3CF9"/>
    <w:rsid w:val="009F3DA9"/>
    <w:rsid w:val="009F4195"/>
    <w:rsid w:val="00A00218"/>
    <w:rsid w:val="00A0035B"/>
    <w:rsid w:val="00A060B3"/>
    <w:rsid w:val="00A06C70"/>
    <w:rsid w:val="00A07539"/>
    <w:rsid w:val="00A10CF5"/>
    <w:rsid w:val="00A119B4"/>
    <w:rsid w:val="00A11CDE"/>
    <w:rsid w:val="00A11E17"/>
    <w:rsid w:val="00A14996"/>
    <w:rsid w:val="00A16685"/>
    <w:rsid w:val="00A17447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36F39"/>
    <w:rsid w:val="00A37526"/>
    <w:rsid w:val="00A419CE"/>
    <w:rsid w:val="00A423C3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6994"/>
    <w:rsid w:val="00A67103"/>
    <w:rsid w:val="00A73828"/>
    <w:rsid w:val="00A74590"/>
    <w:rsid w:val="00A75004"/>
    <w:rsid w:val="00A76BD3"/>
    <w:rsid w:val="00A80523"/>
    <w:rsid w:val="00A81A72"/>
    <w:rsid w:val="00A85320"/>
    <w:rsid w:val="00A85322"/>
    <w:rsid w:val="00A919D2"/>
    <w:rsid w:val="00A92C88"/>
    <w:rsid w:val="00A93193"/>
    <w:rsid w:val="00A94105"/>
    <w:rsid w:val="00A9414F"/>
    <w:rsid w:val="00A94444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33D0"/>
    <w:rsid w:val="00AC41A8"/>
    <w:rsid w:val="00AC4E44"/>
    <w:rsid w:val="00AC7CE7"/>
    <w:rsid w:val="00AD02E0"/>
    <w:rsid w:val="00AD0474"/>
    <w:rsid w:val="00AD0FC1"/>
    <w:rsid w:val="00AD1B16"/>
    <w:rsid w:val="00AD1CF2"/>
    <w:rsid w:val="00AD308A"/>
    <w:rsid w:val="00AD677F"/>
    <w:rsid w:val="00AD69AC"/>
    <w:rsid w:val="00AD6C85"/>
    <w:rsid w:val="00AD6E0C"/>
    <w:rsid w:val="00AD725A"/>
    <w:rsid w:val="00AE3B29"/>
    <w:rsid w:val="00AE46D2"/>
    <w:rsid w:val="00AF16EF"/>
    <w:rsid w:val="00AF2A35"/>
    <w:rsid w:val="00AF39C0"/>
    <w:rsid w:val="00AF6471"/>
    <w:rsid w:val="00AF71DC"/>
    <w:rsid w:val="00B022B2"/>
    <w:rsid w:val="00B02D66"/>
    <w:rsid w:val="00B039A4"/>
    <w:rsid w:val="00B0449D"/>
    <w:rsid w:val="00B063C0"/>
    <w:rsid w:val="00B10371"/>
    <w:rsid w:val="00B12E31"/>
    <w:rsid w:val="00B12FFF"/>
    <w:rsid w:val="00B144B8"/>
    <w:rsid w:val="00B215A7"/>
    <w:rsid w:val="00B21B23"/>
    <w:rsid w:val="00B2229B"/>
    <w:rsid w:val="00B2447D"/>
    <w:rsid w:val="00B2654F"/>
    <w:rsid w:val="00B27D61"/>
    <w:rsid w:val="00B30BC0"/>
    <w:rsid w:val="00B36D48"/>
    <w:rsid w:val="00B40133"/>
    <w:rsid w:val="00B41E7A"/>
    <w:rsid w:val="00B434CF"/>
    <w:rsid w:val="00B440C5"/>
    <w:rsid w:val="00B46ABF"/>
    <w:rsid w:val="00B47CAB"/>
    <w:rsid w:val="00B50021"/>
    <w:rsid w:val="00B50CF4"/>
    <w:rsid w:val="00B53433"/>
    <w:rsid w:val="00B600D9"/>
    <w:rsid w:val="00B6394D"/>
    <w:rsid w:val="00B63FBA"/>
    <w:rsid w:val="00B6519A"/>
    <w:rsid w:val="00B663B8"/>
    <w:rsid w:val="00B71665"/>
    <w:rsid w:val="00B71C0B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6C1"/>
    <w:rsid w:val="00BA0B65"/>
    <w:rsid w:val="00BA1F78"/>
    <w:rsid w:val="00BA6FEF"/>
    <w:rsid w:val="00BB24C2"/>
    <w:rsid w:val="00BB40F6"/>
    <w:rsid w:val="00BB60B2"/>
    <w:rsid w:val="00BB785F"/>
    <w:rsid w:val="00BB7D3F"/>
    <w:rsid w:val="00BC1BBF"/>
    <w:rsid w:val="00BC2E39"/>
    <w:rsid w:val="00BC4BB9"/>
    <w:rsid w:val="00BC6076"/>
    <w:rsid w:val="00BC6E86"/>
    <w:rsid w:val="00BC76FE"/>
    <w:rsid w:val="00BD0C9A"/>
    <w:rsid w:val="00BD30D2"/>
    <w:rsid w:val="00BE2E1E"/>
    <w:rsid w:val="00BE47BD"/>
    <w:rsid w:val="00BE5B52"/>
    <w:rsid w:val="00BE6E6D"/>
    <w:rsid w:val="00BF0ACC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7DA"/>
    <w:rsid w:val="00C0788A"/>
    <w:rsid w:val="00C131FA"/>
    <w:rsid w:val="00C13F58"/>
    <w:rsid w:val="00C14571"/>
    <w:rsid w:val="00C1491F"/>
    <w:rsid w:val="00C157D1"/>
    <w:rsid w:val="00C20E5A"/>
    <w:rsid w:val="00C22E55"/>
    <w:rsid w:val="00C23729"/>
    <w:rsid w:val="00C25367"/>
    <w:rsid w:val="00C26844"/>
    <w:rsid w:val="00C2734A"/>
    <w:rsid w:val="00C321B7"/>
    <w:rsid w:val="00C34184"/>
    <w:rsid w:val="00C34AC1"/>
    <w:rsid w:val="00C35CAA"/>
    <w:rsid w:val="00C37B69"/>
    <w:rsid w:val="00C40CFD"/>
    <w:rsid w:val="00C41BAB"/>
    <w:rsid w:val="00C41D78"/>
    <w:rsid w:val="00C42122"/>
    <w:rsid w:val="00C42838"/>
    <w:rsid w:val="00C4601D"/>
    <w:rsid w:val="00C46235"/>
    <w:rsid w:val="00C47275"/>
    <w:rsid w:val="00C50494"/>
    <w:rsid w:val="00C51BC7"/>
    <w:rsid w:val="00C53A70"/>
    <w:rsid w:val="00C565D2"/>
    <w:rsid w:val="00C576EA"/>
    <w:rsid w:val="00C57CD2"/>
    <w:rsid w:val="00C603DE"/>
    <w:rsid w:val="00C6164F"/>
    <w:rsid w:val="00C62171"/>
    <w:rsid w:val="00C6348A"/>
    <w:rsid w:val="00C6406C"/>
    <w:rsid w:val="00C64636"/>
    <w:rsid w:val="00C652CE"/>
    <w:rsid w:val="00C6630B"/>
    <w:rsid w:val="00C701AF"/>
    <w:rsid w:val="00C7256D"/>
    <w:rsid w:val="00C72651"/>
    <w:rsid w:val="00C72C89"/>
    <w:rsid w:val="00C74B05"/>
    <w:rsid w:val="00C75F0D"/>
    <w:rsid w:val="00C75F73"/>
    <w:rsid w:val="00C80520"/>
    <w:rsid w:val="00C81007"/>
    <w:rsid w:val="00C85EA2"/>
    <w:rsid w:val="00C86D66"/>
    <w:rsid w:val="00C87E02"/>
    <w:rsid w:val="00C909BF"/>
    <w:rsid w:val="00C9152B"/>
    <w:rsid w:val="00C93D87"/>
    <w:rsid w:val="00C93DA1"/>
    <w:rsid w:val="00C9626E"/>
    <w:rsid w:val="00CA211C"/>
    <w:rsid w:val="00CA44ED"/>
    <w:rsid w:val="00CA7C68"/>
    <w:rsid w:val="00CA7C77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E518B"/>
    <w:rsid w:val="00CF0D75"/>
    <w:rsid w:val="00CF4E1E"/>
    <w:rsid w:val="00CF5FA3"/>
    <w:rsid w:val="00D0131E"/>
    <w:rsid w:val="00D01C27"/>
    <w:rsid w:val="00D0344E"/>
    <w:rsid w:val="00D0409E"/>
    <w:rsid w:val="00D0655B"/>
    <w:rsid w:val="00D06D66"/>
    <w:rsid w:val="00D0711F"/>
    <w:rsid w:val="00D10F1E"/>
    <w:rsid w:val="00D134CD"/>
    <w:rsid w:val="00D15C59"/>
    <w:rsid w:val="00D17067"/>
    <w:rsid w:val="00D20419"/>
    <w:rsid w:val="00D20CDA"/>
    <w:rsid w:val="00D222E7"/>
    <w:rsid w:val="00D253F6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44ED9"/>
    <w:rsid w:val="00D45256"/>
    <w:rsid w:val="00D47D6A"/>
    <w:rsid w:val="00D50FD4"/>
    <w:rsid w:val="00D51C00"/>
    <w:rsid w:val="00D51E0A"/>
    <w:rsid w:val="00D52AB9"/>
    <w:rsid w:val="00D55775"/>
    <w:rsid w:val="00D564C8"/>
    <w:rsid w:val="00D57413"/>
    <w:rsid w:val="00D60D35"/>
    <w:rsid w:val="00D61692"/>
    <w:rsid w:val="00D63D37"/>
    <w:rsid w:val="00D64F6E"/>
    <w:rsid w:val="00D710FD"/>
    <w:rsid w:val="00D71690"/>
    <w:rsid w:val="00D733AC"/>
    <w:rsid w:val="00D73AA8"/>
    <w:rsid w:val="00D75F50"/>
    <w:rsid w:val="00D76A94"/>
    <w:rsid w:val="00D7718A"/>
    <w:rsid w:val="00D803C1"/>
    <w:rsid w:val="00D848EE"/>
    <w:rsid w:val="00D85C94"/>
    <w:rsid w:val="00D8651E"/>
    <w:rsid w:val="00D91904"/>
    <w:rsid w:val="00D92C91"/>
    <w:rsid w:val="00D94466"/>
    <w:rsid w:val="00D96B77"/>
    <w:rsid w:val="00D96CD3"/>
    <w:rsid w:val="00DA35C2"/>
    <w:rsid w:val="00DA372E"/>
    <w:rsid w:val="00DB0D61"/>
    <w:rsid w:val="00DB2EE2"/>
    <w:rsid w:val="00DB3E5E"/>
    <w:rsid w:val="00DB4A28"/>
    <w:rsid w:val="00DB55E7"/>
    <w:rsid w:val="00DB561E"/>
    <w:rsid w:val="00DB7C5D"/>
    <w:rsid w:val="00DC006E"/>
    <w:rsid w:val="00DC1184"/>
    <w:rsid w:val="00DC3690"/>
    <w:rsid w:val="00DC48C0"/>
    <w:rsid w:val="00DC4AD1"/>
    <w:rsid w:val="00DD230D"/>
    <w:rsid w:val="00DD351E"/>
    <w:rsid w:val="00DD5A8F"/>
    <w:rsid w:val="00DD756A"/>
    <w:rsid w:val="00DE0595"/>
    <w:rsid w:val="00DE1A7C"/>
    <w:rsid w:val="00DE2C31"/>
    <w:rsid w:val="00DE4794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B04"/>
    <w:rsid w:val="00E01F45"/>
    <w:rsid w:val="00E02E82"/>
    <w:rsid w:val="00E03367"/>
    <w:rsid w:val="00E04E50"/>
    <w:rsid w:val="00E05C49"/>
    <w:rsid w:val="00E06855"/>
    <w:rsid w:val="00E143F2"/>
    <w:rsid w:val="00E14901"/>
    <w:rsid w:val="00E157D0"/>
    <w:rsid w:val="00E20800"/>
    <w:rsid w:val="00E237D9"/>
    <w:rsid w:val="00E249A9"/>
    <w:rsid w:val="00E27F19"/>
    <w:rsid w:val="00E30184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53FC"/>
    <w:rsid w:val="00E456CD"/>
    <w:rsid w:val="00E4745C"/>
    <w:rsid w:val="00E51282"/>
    <w:rsid w:val="00E523EF"/>
    <w:rsid w:val="00E54993"/>
    <w:rsid w:val="00E565C1"/>
    <w:rsid w:val="00E56648"/>
    <w:rsid w:val="00E56972"/>
    <w:rsid w:val="00E56E69"/>
    <w:rsid w:val="00E57695"/>
    <w:rsid w:val="00E57725"/>
    <w:rsid w:val="00E610DC"/>
    <w:rsid w:val="00E64AA5"/>
    <w:rsid w:val="00E64E93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1311"/>
    <w:rsid w:val="00E92380"/>
    <w:rsid w:val="00E95A95"/>
    <w:rsid w:val="00EA2FB5"/>
    <w:rsid w:val="00EA43D5"/>
    <w:rsid w:val="00EA5738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167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EF737D"/>
    <w:rsid w:val="00F00B04"/>
    <w:rsid w:val="00F01200"/>
    <w:rsid w:val="00F03604"/>
    <w:rsid w:val="00F03B06"/>
    <w:rsid w:val="00F04386"/>
    <w:rsid w:val="00F04AF5"/>
    <w:rsid w:val="00F053FC"/>
    <w:rsid w:val="00F064DC"/>
    <w:rsid w:val="00F10750"/>
    <w:rsid w:val="00F1178A"/>
    <w:rsid w:val="00F1270D"/>
    <w:rsid w:val="00F13EE1"/>
    <w:rsid w:val="00F176FB"/>
    <w:rsid w:val="00F21847"/>
    <w:rsid w:val="00F21D60"/>
    <w:rsid w:val="00F231BA"/>
    <w:rsid w:val="00F24232"/>
    <w:rsid w:val="00F24992"/>
    <w:rsid w:val="00F26EE8"/>
    <w:rsid w:val="00F27924"/>
    <w:rsid w:val="00F3219F"/>
    <w:rsid w:val="00F32E78"/>
    <w:rsid w:val="00F36375"/>
    <w:rsid w:val="00F37E59"/>
    <w:rsid w:val="00F4184F"/>
    <w:rsid w:val="00F4195C"/>
    <w:rsid w:val="00F41ABF"/>
    <w:rsid w:val="00F50CDD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620F"/>
    <w:rsid w:val="00F67252"/>
    <w:rsid w:val="00F70CC9"/>
    <w:rsid w:val="00F72EE3"/>
    <w:rsid w:val="00F737D1"/>
    <w:rsid w:val="00F74097"/>
    <w:rsid w:val="00F743B0"/>
    <w:rsid w:val="00F81AF7"/>
    <w:rsid w:val="00F81F17"/>
    <w:rsid w:val="00F8680A"/>
    <w:rsid w:val="00F911BE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495F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AB9"/>
    <w:rsid w:val="00FD6D73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ESI%20po%20zemlja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AppData\Local\Microsoft\Windows\Temporary%20Internet%20Files\Content.Outlook\7XU0HJLS\ogl%207%202013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stanko.jeknic\Desktop\Dropbox\MINISTARSTVO%20FINANSIJA%20(1)\SEP\MMI\MMI%202013\MMI_2013_08\mmi-2013%20_8.xlsx" TargetMode="External"/><Relationship Id="rId1" Type="http://schemas.openxmlformats.org/officeDocument/2006/relationships/image" Target="../media/image3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marija.novosel\Desktop\mmi-07\mmi-2013%20_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My%20Documents\Dropbox\MINISTARSTVO%20FINANSIJA\SEP\MMI\MMI%202013\MMI_2013_08\mmi-2013%20_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900"/>
            </a:pPr>
            <a:r>
              <a:rPr lang="en-US" sz="900"/>
              <a:t>Stope rasta BDP-a u drugom kvartalu</a:t>
            </a:r>
          </a:p>
        </c:rich>
      </c:tx>
      <c:layout>
        <c:manualLayout>
          <c:xMode val="edge"/>
          <c:yMode val="edge"/>
          <c:x val="0.17206077117384003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9.9054172282522696E-2"/>
          <c:y val="0.12618296529967934"/>
          <c:w val="0.58408928613653521"/>
          <c:h val="0.69863285228150418"/>
        </c:manualLayout>
      </c:layout>
      <c:barChart>
        <c:barDir val="bar"/>
        <c:grouping val="clustered"/>
        <c:ser>
          <c:idx val="0"/>
          <c:order val="0"/>
          <c:cat>
            <c:strRef>
              <c:f>Sheet3!$B$3:$B$13</c:f>
              <c:strCache>
                <c:ptCount val="11"/>
                <c:pt idx="0">
                  <c:v>Portugal</c:v>
                </c:pt>
                <c:pt idx="1">
                  <c:v>Češka</c:v>
                </c:pt>
                <c:pt idx="2">
                  <c:v>Njemačka</c:v>
                </c:pt>
                <c:pt idx="3">
                  <c:v>V. Brtitanija</c:v>
                </c:pt>
                <c:pt idx="4">
                  <c:v>Francuska</c:v>
                </c:pt>
                <c:pt idx="5">
                  <c:v>Poljska</c:v>
                </c:pt>
                <c:pt idx="6">
                  <c:v>Austrija</c:v>
                </c:pt>
                <c:pt idx="7">
                  <c:v>Španija</c:v>
                </c:pt>
                <c:pt idx="8">
                  <c:v>Holandija</c:v>
                </c:pt>
                <c:pt idx="9">
                  <c:v>Italija </c:v>
                </c:pt>
                <c:pt idx="10">
                  <c:v>Kipar</c:v>
                </c:pt>
              </c:strCache>
            </c:strRef>
          </c:cat>
          <c:val>
            <c:numRef>
              <c:f>Sheet3!$C$3:$C$13</c:f>
              <c:numCache>
                <c:formatCode>General</c:formatCode>
                <c:ptCount val="11"/>
                <c:pt idx="0">
                  <c:v>1.1000000000000001</c:v>
                </c:pt>
                <c:pt idx="1">
                  <c:v>0.70000000000000062</c:v>
                </c:pt>
                <c:pt idx="2">
                  <c:v>0.70000000000000062</c:v>
                </c:pt>
                <c:pt idx="3">
                  <c:v>0.60000000000000064</c:v>
                </c:pt>
                <c:pt idx="4">
                  <c:v>0.5</c:v>
                </c:pt>
                <c:pt idx="5">
                  <c:v>0.4</c:v>
                </c:pt>
                <c:pt idx="6">
                  <c:v>0.2</c:v>
                </c:pt>
                <c:pt idx="7">
                  <c:v>-0.1</c:v>
                </c:pt>
                <c:pt idx="8">
                  <c:v>-0.2</c:v>
                </c:pt>
                <c:pt idx="9">
                  <c:v>-0.2</c:v>
                </c:pt>
                <c:pt idx="10">
                  <c:v>-1.4</c:v>
                </c:pt>
              </c:numCache>
            </c:numRef>
          </c:val>
        </c:ser>
        <c:gapWidth val="30"/>
        <c:axId val="81609472"/>
        <c:axId val="81611392"/>
      </c:barChart>
      <c:catAx>
        <c:axId val="81609472"/>
        <c:scaling>
          <c:orientation val="minMax"/>
        </c:scaling>
        <c:axPos val="l"/>
        <c:tickLblPos val="high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81611392"/>
        <c:crosses val="autoZero"/>
        <c:auto val="1"/>
        <c:lblAlgn val="ctr"/>
        <c:lblOffset val="100"/>
      </c:catAx>
      <c:valAx>
        <c:axId val="81611392"/>
        <c:scaling>
          <c:orientation val="minMax"/>
          <c:max val="1.1000000000000001"/>
          <c:min val="-1.4"/>
        </c:scaling>
        <c:axPos val="b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81609472"/>
        <c:crosses val="autoZero"/>
        <c:crossBetween val="between"/>
        <c:majorUnit val="0.30000000000000032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3977894561227894"/>
          <c:y val="0.25576943991299617"/>
          <c:w val="0.81564151877905455"/>
          <c:h val="0.65282443008791113"/>
        </c:manualLayout>
      </c:layout>
      <c:lineChart>
        <c:grouping val="standard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Industrijska proizvodnja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indikatori'!$V$27:$AH$27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indikatori'!$V$12:$AH$12</c:f>
              <c:numCache>
                <c:formatCode>0.0</c:formatCode>
                <c:ptCount val="13"/>
                <c:pt idx="0">
                  <c:v>-16.100000000000001</c:v>
                </c:pt>
                <c:pt idx="1">
                  <c:v>-5.5</c:v>
                </c:pt>
                <c:pt idx="2">
                  <c:v>-16.100000000000001</c:v>
                </c:pt>
                <c:pt idx="3">
                  <c:v>-24.4</c:v>
                </c:pt>
                <c:pt idx="4">
                  <c:v>-6</c:v>
                </c:pt>
                <c:pt idx="5">
                  <c:v>17</c:v>
                </c:pt>
                <c:pt idx="6">
                  <c:v>1.7000000000000002</c:v>
                </c:pt>
                <c:pt idx="7">
                  <c:v>-3</c:v>
                </c:pt>
                <c:pt idx="8">
                  <c:v>10.4</c:v>
                </c:pt>
                <c:pt idx="9">
                  <c:v>14.2</c:v>
                </c:pt>
                <c:pt idx="10">
                  <c:v>22.4</c:v>
                </c:pt>
                <c:pt idx="11">
                  <c:v>19.600000000000001</c:v>
                </c:pt>
                <c:pt idx="12">
                  <c:v>5.0999999999999996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indikatori'!$V$27:$AH$27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indikatori'!$V$13:$AG$13</c:f>
              <c:numCache>
                <c:formatCode>0.0</c:formatCode>
                <c:ptCount val="12"/>
                <c:pt idx="0">
                  <c:v>-20.399999999999999</c:v>
                </c:pt>
                <c:pt idx="1">
                  <c:v>-13</c:v>
                </c:pt>
                <c:pt idx="2">
                  <c:v>-20.399999999999999</c:v>
                </c:pt>
                <c:pt idx="3">
                  <c:v>-40.5</c:v>
                </c:pt>
                <c:pt idx="4">
                  <c:v>-28.1</c:v>
                </c:pt>
                <c:pt idx="5">
                  <c:v>-20.3</c:v>
                </c:pt>
                <c:pt idx="6">
                  <c:v>-36.4</c:v>
                </c:pt>
                <c:pt idx="7">
                  <c:v>-32.800000000000004</c:v>
                </c:pt>
                <c:pt idx="8">
                  <c:v>-34.4</c:v>
                </c:pt>
                <c:pt idx="9">
                  <c:v>-28.2</c:v>
                </c:pt>
                <c:pt idx="10">
                  <c:v>-11.5</c:v>
                </c:pt>
                <c:pt idx="11">
                  <c:v>-11.1</c:v>
                </c:pt>
              </c:numCache>
            </c:numRef>
          </c:val>
          <c:smooth val="1"/>
        </c:ser>
        <c:marker val="1"/>
        <c:axId val="89403776"/>
        <c:axId val="89406464"/>
      </c:lineChart>
      <c:catAx>
        <c:axId val="894037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/>
            </a:pPr>
            <a:endParaRPr lang="sr-Latn-CS"/>
          </a:p>
        </c:txPr>
        <c:crossAx val="89406464"/>
        <c:crosses val="autoZero"/>
        <c:auto val="1"/>
        <c:lblAlgn val="ctr"/>
        <c:lblOffset val="100"/>
      </c:catAx>
      <c:valAx>
        <c:axId val="89406464"/>
        <c:scaling>
          <c:orientation val="minMax"/>
        </c:scaling>
        <c:axPos val="l"/>
        <c:numFmt formatCode="#,##0.0" sourceLinked="0"/>
        <c:majorTickMark val="none"/>
        <c:tickLblPos val="nextTo"/>
        <c:txPr>
          <a:bodyPr/>
          <a:lstStyle/>
          <a:p>
            <a:pPr>
              <a:defRPr lang="en-US"/>
            </a:pPr>
            <a:endParaRPr lang="sr-Latn-CS"/>
          </a:p>
        </c:txPr>
        <c:crossAx val="8940377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8.8480678969783705E-2"/>
          <c:y val="3.876651265202629E-2"/>
          <c:w val="0.80553595261930033"/>
          <c:h val="0.17169657422512236"/>
        </c:manualLayout>
      </c:layout>
      <c:txPr>
        <a:bodyPr/>
        <a:lstStyle/>
        <a:p>
          <a:pPr>
            <a:defRPr lang="en-US"/>
          </a:pPr>
          <a:endParaRPr lang="sr-Latn-CS"/>
        </a:p>
      </c:txPr>
    </c:legend>
    <c:plotVisOnly val="1"/>
  </c:chart>
  <c:spPr>
    <a:ln>
      <a:noFill/>
    </a:ln>
  </c:spPr>
  <c:txPr>
    <a:bodyPr/>
    <a:lstStyle/>
    <a:p>
      <a:pPr>
        <a:defRPr sz="600"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1000"/>
            </a:pPr>
            <a:r>
              <a:rPr lang="en-US" sz="10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6668083156272523"/>
          <c:y val="0.2050592813829368"/>
          <c:w val="0.80155042444058722"/>
          <c:h val="0.43440484369361393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indikatori'!$V$27:$AH$27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indikatori'!$V$19:$AH$19</c:f>
              <c:numCache>
                <c:formatCode>0.0</c:formatCode>
                <c:ptCount val="13"/>
                <c:pt idx="0">
                  <c:v>4.4000000000000004</c:v>
                </c:pt>
                <c:pt idx="1">
                  <c:v>4</c:v>
                </c:pt>
                <c:pt idx="2">
                  <c:v>4.4000000000000004</c:v>
                </c:pt>
                <c:pt idx="3">
                  <c:v>5.2</c:v>
                </c:pt>
                <c:pt idx="4">
                  <c:v>5.2</c:v>
                </c:pt>
                <c:pt idx="5">
                  <c:v>5.0999999999999996</c:v>
                </c:pt>
                <c:pt idx="6">
                  <c:v>4.2</c:v>
                </c:pt>
                <c:pt idx="7">
                  <c:v>3.3</c:v>
                </c:pt>
                <c:pt idx="8">
                  <c:v>3.3</c:v>
                </c:pt>
                <c:pt idx="9">
                  <c:v>3.2</c:v>
                </c:pt>
                <c:pt idx="10">
                  <c:v>3</c:v>
                </c:pt>
                <c:pt idx="11">
                  <c:v>2.2000000000000002</c:v>
                </c:pt>
                <c:pt idx="12">
                  <c:v>2.7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indikatori'!$C$20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indikatori'!$V$27:$AH$27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indikatori'!$V$20:$AH$20</c:f>
              <c:numCache>
                <c:formatCode>#,##0.0</c:formatCode>
                <c:ptCount val="13"/>
                <c:pt idx="0">
                  <c:v>4.5999999999999996</c:v>
                </c:pt>
                <c:pt idx="1">
                  <c:v>5</c:v>
                </c:pt>
                <c:pt idx="2">
                  <c:v>4.5999999999999996</c:v>
                </c:pt>
                <c:pt idx="3">
                  <c:v>4.9000000000000004</c:v>
                </c:pt>
                <c:pt idx="4">
                  <c:v>4.8</c:v>
                </c:pt>
                <c:pt idx="5">
                  <c:v>4.4000000000000004</c:v>
                </c:pt>
                <c:pt idx="6">
                  <c:v>3.8</c:v>
                </c:pt>
                <c:pt idx="7">
                  <c:v>3.1</c:v>
                </c:pt>
                <c:pt idx="8">
                  <c:v>3</c:v>
                </c:pt>
                <c:pt idx="9">
                  <c:v>2.4</c:v>
                </c:pt>
                <c:pt idx="10">
                  <c:v>2.1</c:v>
                </c:pt>
                <c:pt idx="11">
                  <c:v>1.5</c:v>
                </c:pt>
                <c:pt idx="12">
                  <c:v>2.2000000000000002</c:v>
                </c:pt>
              </c:numCache>
            </c:numRef>
          </c:val>
          <c:smooth val="1"/>
        </c:ser>
        <c:marker val="1"/>
        <c:axId val="90075904"/>
        <c:axId val="96670848"/>
      </c:lineChart>
      <c:catAx>
        <c:axId val="900759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96670848"/>
        <c:crosses val="autoZero"/>
        <c:auto val="1"/>
        <c:lblAlgn val="ctr"/>
        <c:lblOffset val="100"/>
      </c:catAx>
      <c:valAx>
        <c:axId val="96670848"/>
        <c:scaling>
          <c:orientation val="minMax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900759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3903988070802812E-2"/>
          <c:y val="0.79031834307140958"/>
          <c:w val="0.87956980240265414"/>
          <c:h val="0.18218166595089688"/>
        </c:manualLayout>
      </c:layout>
      <c:txPr>
        <a:bodyPr/>
        <a:lstStyle/>
        <a:p>
          <a:pPr>
            <a:defRPr lang="en-US" sz="6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0432174103237137"/>
          <c:y val="3.7101442501163401E-2"/>
          <c:w val="0.47938101487314222"/>
          <c:h val="0.79834964311771894"/>
        </c:manualLayout>
      </c:layout>
      <c:barChart>
        <c:barDir val="bar"/>
        <c:grouping val="clustered"/>
        <c:ser>
          <c:idx val="0"/>
          <c:order val="0"/>
          <c:tx>
            <c:strRef>
              <c:f>Sheet1!$V$62:$Y$62</c:f>
              <c:strCache>
                <c:ptCount val="1"/>
                <c:pt idx="0">
                  <c:v>Oglašena slobodna radna mjesta</c:v>
                </c:pt>
              </c:strCache>
            </c:strRef>
          </c:tx>
          <c:cat>
            <c:strRef>
              <c:f>Sheet1!$Z$61:$AL$61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Sheet1!$Z$62:$AL$62</c:f>
              <c:numCache>
                <c:formatCode>General</c:formatCode>
                <c:ptCount val="13"/>
                <c:pt idx="0">
                  <c:v>2651</c:v>
                </c:pt>
                <c:pt idx="1">
                  <c:v>1081</c:v>
                </c:pt>
                <c:pt idx="2">
                  <c:v>725</c:v>
                </c:pt>
                <c:pt idx="3">
                  <c:v>2005</c:v>
                </c:pt>
                <c:pt idx="4">
                  <c:v>2766</c:v>
                </c:pt>
                <c:pt idx="5">
                  <c:v>72</c:v>
                </c:pt>
                <c:pt idx="6">
                  <c:v>515</c:v>
                </c:pt>
                <c:pt idx="7">
                  <c:v>583</c:v>
                </c:pt>
                <c:pt idx="8">
                  <c:v>1182</c:v>
                </c:pt>
                <c:pt idx="9">
                  <c:v>2826</c:v>
                </c:pt>
                <c:pt idx="10">
                  <c:v>1719</c:v>
                </c:pt>
                <c:pt idx="11">
                  <c:v>1430</c:v>
                </c:pt>
                <c:pt idx="12">
                  <c:v>853</c:v>
                </c:pt>
              </c:numCache>
            </c:numRef>
          </c:val>
        </c:ser>
        <c:ser>
          <c:idx val="1"/>
          <c:order val="1"/>
          <c:tx>
            <c:strRef>
              <c:f>Sheet1!$V$63:$Y$63</c:f>
              <c:strCache>
                <c:ptCount val="1"/>
                <c:pt idx="0">
                  <c:v>izd.dozvole za rad strancima</c:v>
                </c:pt>
              </c:strCache>
            </c:strRef>
          </c:tx>
          <c:cat>
            <c:strRef>
              <c:f>Sheet1!$Z$61:$AL$61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Sheet1!$Z$63:$AL$63</c:f>
              <c:numCache>
                <c:formatCode>General</c:formatCode>
                <c:ptCount val="13"/>
                <c:pt idx="0">
                  <c:v>2534</c:v>
                </c:pt>
                <c:pt idx="1">
                  <c:v>1643</c:v>
                </c:pt>
                <c:pt idx="2">
                  <c:v>1293</c:v>
                </c:pt>
                <c:pt idx="3">
                  <c:v>1431</c:v>
                </c:pt>
                <c:pt idx="4">
                  <c:v>1345</c:v>
                </c:pt>
                <c:pt idx="5">
                  <c:v>1454</c:v>
                </c:pt>
                <c:pt idx="6">
                  <c:v>1224</c:v>
                </c:pt>
                <c:pt idx="7">
                  <c:v>1416</c:v>
                </c:pt>
                <c:pt idx="8">
                  <c:v>2280</c:v>
                </c:pt>
                <c:pt idx="9">
                  <c:v>2212</c:v>
                </c:pt>
                <c:pt idx="10">
                  <c:v>3080</c:v>
                </c:pt>
                <c:pt idx="11">
                  <c:v>3929</c:v>
                </c:pt>
                <c:pt idx="12">
                  <c:v>2323</c:v>
                </c:pt>
              </c:numCache>
            </c:numRef>
          </c:val>
        </c:ser>
        <c:axId val="97819648"/>
        <c:axId val="97891456"/>
      </c:barChart>
      <c:catAx>
        <c:axId val="97819648"/>
        <c:scaling>
          <c:orientation val="minMax"/>
        </c:scaling>
        <c:axPos val="l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7891456"/>
        <c:crosses val="autoZero"/>
        <c:auto val="1"/>
        <c:lblAlgn val="ctr"/>
        <c:lblOffset val="100"/>
      </c:catAx>
      <c:valAx>
        <c:axId val="978914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781964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lang="sr-Latn-CS" sz="700"/>
            </a:pPr>
            <a:endParaRPr lang="sr-Latn-CS"/>
          </a:p>
        </c:txPr>
      </c:legendEntry>
      <c:legendEntry>
        <c:idx val="1"/>
        <c:txPr>
          <a:bodyPr/>
          <a:lstStyle/>
          <a:p>
            <a:pPr>
              <a:defRPr lang="sr-Latn-CS" sz="700"/>
            </a:pPr>
            <a:endParaRPr lang="sr-Latn-CS"/>
          </a:p>
        </c:txPr>
      </c:legendEntry>
      <c:txPr>
        <a:bodyPr/>
        <a:lstStyle/>
        <a:p>
          <a:pPr>
            <a:defRPr lang="sr-Latn-CS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  <c:layout>
        <c:manualLayout>
          <c:xMode val="edge"/>
          <c:yMode val="edge"/>
          <c:x val="0.34282584242187125"/>
          <c:y val="3.5175879396984931E-2"/>
        </c:manualLayout>
      </c:layout>
    </c:title>
    <c:plotArea>
      <c:layout>
        <c:manualLayout>
          <c:layoutTarget val="inner"/>
          <c:xMode val="edge"/>
          <c:yMode val="edge"/>
          <c:x val="0.15749991899225743"/>
          <c:y val="0.1416752454531548"/>
          <c:w val="0.68935401978269339"/>
          <c:h val="0.61043103134696042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(07)'!$BF$20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pictureOptions>
            <c:pictureFormat val="stretch"/>
          </c:pictureOptions>
          <c:cat>
            <c:strRef>
              <c:f>'Fiskalni indikatori (07)'!$CE$6:$CK$6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'Fiskalni indikatori (07)'!$CE$20:$CK$20</c:f>
              <c:numCache>
                <c:formatCode>0.00,,</c:formatCode>
                <c:ptCount val="7"/>
                <c:pt idx="0">
                  <c:v>-26278908.770000011</c:v>
                </c:pt>
                <c:pt idx="1">
                  <c:v>-19655387.129999995</c:v>
                </c:pt>
                <c:pt idx="2">
                  <c:v>-16094603.739488453</c:v>
                </c:pt>
                <c:pt idx="3">
                  <c:v>-16579320.979057282</c:v>
                </c:pt>
                <c:pt idx="4">
                  <c:v>-2281533.7802222082</c:v>
                </c:pt>
                <c:pt idx="5">
                  <c:v>-1150925.664792031</c:v>
                </c:pt>
                <c:pt idx="6">
                  <c:v>-38091562.151030391</c:v>
                </c:pt>
              </c:numCache>
            </c:numRef>
          </c:val>
        </c:ser>
        <c:gapWidth val="17"/>
        <c:overlap val="-21"/>
        <c:axId val="101794176"/>
        <c:axId val="101796096"/>
      </c:barChart>
      <c:lineChart>
        <c:grouping val="standard"/>
        <c:ser>
          <c:idx val="0"/>
          <c:order val="0"/>
          <c:tx>
            <c:strRef>
              <c:f>'Fiskalni indikatori (07)'!$BF$28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 (07)'!$CE$6:$CK$6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'Fiskalni indikatori (07)'!$CE$7:$CK$7</c:f>
              <c:numCache>
                <c:formatCode>0.00,,</c:formatCode>
                <c:ptCount val="7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99463336.86999999</c:v>
                </c:pt>
                <c:pt idx="6">
                  <c:v>121967418.41000022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(07)'!$BF$29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 (07)'!$CE$6:$CK$6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'Fiskalni indikatori (07)'!$CE$13:$CK$13</c:f>
              <c:numCache>
                <c:formatCode>0.00,,</c:formatCode>
                <c:ptCount val="7"/>
                <c:pt idx="0">
                  <c:v>81035266.75</c:v>
                </c:pt>
                <c:pt idx="1">
                  <c:v>95331117.189999998</c:v>
                </c:pt>
                <c:pt idx="2">
                  <c:v>104390849.31948878</c:v>
                </c:pt>
                <c:pt idx="3">
                  <c:v>120528158.97905727</c:v>
                </c:pt>
                <c:pt idx="4">
                  <c:v>96279363.380222172</c:v>
                </c:pt>
                <c:pt idx="5">
                  <c:v>100614262.53479201</c:v>
                </c:pt>
                <c:pt idx="6">
                  <c:v>160058980.56103039</c:v>
                </c:pt>
              </c:numCache>
            </c:numRef>
          </c:val>
          <c:smooth val="1"/>
        </c:ser>
        <c:marker val="1"/>
        <c:axId val="100786560"/>
        <c:axId val="100788864"/>
      </c:lineChart>
      <c:catAx>
        <c:axId val="100786560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0788864"/>
        <c:crosses val="autoZero"/>
        <c:auto val="1"/>
        <c:lblAlgn val="ctr"/>
        <c:lblOffset val="100"/>
      </c:catAx>
      <c:valAx>
        <c:axId val="100788864"/>
        <c:scaling>
          <c:orientation val="minMax"/>
          <c:min val="0"/>
        </c:scaling>
        <c:axPos val="l"/>
        <c:majorGridlines/>
        <c:numFmt formatCode="0.0,,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sr-Latn-CS"/>
          </a:p>
        </c:txPr>
        <c:crossAx val="100786560"/>
        <c:crosses val="autoZero"/>
        <c:crossBetween val="between"/>
      </c:valAx>
      <c:catAx>
        <c:axId val="101794176"/>
        <c:scaling>
          <c:orientation val="minMax"/>
        </c:scaling>
        <c:delete val="1"/>
        <c:axPos val="b"/>
        <c:numFmt formatCode="General" sourceLinked="1"/>
        <c:tickLblPos val="none"/>
        <c:crossAx val="101796096"/>
        <c:crosses val="autoZero"/>
        <c:auto val="1"/>
        <c:lblAlgn val="ctr"/>
        <c:lblOffset val="100"/>
      </c:catAx>
      <c:valAx>
        <c:axId val="101796096"/>
        <c:scaling>
          <c:orientation val="minMax"/>
          <c:max val="100000000"/>
          <c:min val="-70000000"/>
        </c:scaling>
        <c:axPos val="r"/>
        <c:numFmt formatCode="0.0,," sourceLinked="0"/>
        <c:tickLblPos val="nextTo"/>
        <c:spPr>
          <a:noFill/>
        </c:spPr>
        <c:txPr>
          <a:bodyPr rot="0" vert="horz" anchor="ctr" anchorCtr="0"/>
          <a:lstStyle/>
          <a:p>
            <a:pPr>
              <a:defRPr lang="en-US" sz="700"/>
            </a:pPr>
            <a:endParaRPr lang="sr-Latn-CS"/>
          </a:p>
        </c:txPr>
        <c:crossAx val="101794176"/>
        <c:crosses val="max"/>
        <c:crossBetween val="between"/>
      </c:valAx>
    </c:plotArea>
    <c:legend>
      <c:legendPos val="b"/>
      <c:legendEntry>
        <c:idx val="2"/>
        <c:txPr>
          <a:bodyPr/>
          <a:lstStyle/>
          <a:p>
            <a:pPr>
              <a:defRPr sz="800"/>
            </a:pPr>
            <a:endParaRPr lang="sr-Latn-CS"/>
          </a:p>
        </c:txPr>
      </c:legendEntry>
      <c:layout>
        <c:manualLayout>
          <c:xMode val="edge"/>
          <c:yMode val="edge"/>
          <c:x val="0.14817863983218321"/>
          <c:y val="0.82442819647544063"/>
          <c:w val="0.76269439293061814"/>
          <c:h val="0.13977090363704581"/>
        </c:manualLayout>
      </c:layout>
      <c:txPr>
        <a:bodyPr/>
        <a:lstStyle/>
        <a:p>
          <a:pPr>
            <a:defRPr lang="en-US"/>
          </a:pPr>
          <a:endParaRPr lang="sr-Latn-C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 baseline="0"/>
      </a:pPr>
      <a:endParaRPr lang="sr-Latn-CS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0.17755684614627901"/>
          <c:y val="3.121214534314529E-2"/>
          <c:w val="0.73678864734299565"/>
          <c:h val="0.79461829501915704"/>
        </c:manualLayout>
      </c:layout>
      <c:lineChart>
        <c:grouping val="standard"/>
        <c:ser>
          <c:idx val="0"/>
          <c:order val="0"/>
          <c:tx>
            <c:strRef>
              <c:f>'Makroekonomski indikatori'!$C$37</c:f>
              <c:strCache>
                <c:ptCount val="1"/>
                <c:pt idx="0">
                  <c:v>Krediti privredi (kumulativ, u mil €)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-0.19448816509485164"/>
                  <c:y val="-0.12861800573547599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Krediti privrede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strRef>
              <c:f>'Makroekonomski indikatori'!$V$59:$AH$59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indikatori'!$V$37:$AH$37</c:f>
              <c:numCache>
                <c:formatCode>#,##0.0,,</c:formatCode>
                <c:ptCount val="13"/>
                <c:pt idx="0">
                  <c:v>971481000</c:v>
                </c:pt>
                <c:pt idx="1">
                  <c:v>950468000</c:v>
                </c:pt>
                <c:pt idx="2">
                  <c:v>941103000</c:v>
                </c:pt>
                <c:pt idx="3">
                  <c:v>923561000</c:v>
                </c:pt>
                <c:pt idx="4">
                  <c:v>936596000</c:v>
                </c:pt>
                <c:pt idx="5">
                  <c:v>930425000</c:v>
                </c:pt>
                <c:pt idx="6">
                  <c:v>1013195000</c:v>
                </c:pt>
                <c:pt idx="7">
                  <c:v>1018996000</c:v>
                </c:pt>
                <c:pt idx="8">
                  <c:v>1026510000</c:v>
                </c:pt>
                <c:pt idx="9">
                  <c:v>1029095000</c:v>
                </c:pt>
                <c:pt idx="10">
                  <c:v>1027926460.6433954</c:v>
                </c:pt>
                <c:pt idx="11">
                  <c:v>990503000</c:v>
                </c:pt>
                <c:pt idx="12">
                  <c:v>970241000</c:v>
                </c:pt>
              </c:numCache>
            </c:numRef>
          </c:val>
          <c:smooth val="1"/>
        </c:ser>
        <c:marker val="1"/>
        <c:axId val="102438016"/>
        <c:axId val="102478976"/>
      </c:lineChart>
      <c:lineChart>
        <c:grouping val="standard"/>
        <c:ser>
          <c:idx val="1"/>
          <c:order val="1"/>
          <c:tx>
            <c:strRef>
              <c:f>'Makroekonomski indikatori'!$C$39</c:f>
              <c:strCache>
                <c:ptCount val="1"/>
                <c:pt idx="0">
                  <c:v>Depoziti privrede (kumulativ, u mil €)</c:v>
                </c:pt>
              </c:strCache>
            </c:strRef>
          </c:tx>
          <c:spPr>
            <a:ln w="28575">
              <a:prstDash val="sysDash"/>
            </a:ln>
          </c:spPr>
          <c:marker>
            <c:symbol val="none"/>
          </c:marker>
          <c:dLbls>
            <c:dLbl>
              <c:idx val="3"/>
              <c:layout>
                <c:manualLayout>
                  <c:x val="0.13205600748341453"/>
                  <c:y val="-7.6394624221039292E-2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Depoziti</a:t>
                    </a:r>
                    <a:r>
                      <a:rPr lang="x-none" sz="800" baseline="0"/>
                      <a:t> privrede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'Makroekonomski indikatori'!$V$59:$AH$59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indikatori'!$V$39:$AH$39</c:f>
              <c:numCache>
                <c:formatCode>#,##0.0,,</c:formatCode>
                <c:ptCount val="13"/>
                <c:pt idx="0">
                  <c:v>527383000</c:v>
                </c:pt>
                <c:pt idx="1">
                  <c:v>552080000</c:v>
                </c:pt>
                <c:pt idx="2">
                  <c:v>569228000</c:v>
                </c:pt>
                <c:pt idx="3">
                  <c:v>549548000</c:v>
                </c:pt>
                <c:pt idx="4">
                  <c:v>546428000</c:v>
                </c:pt>
                <c:pt idx="5">
                  <c:v>526525000</c:v>
                </c:pt>
                <c:pt idx="6">
                  <c:v>507787000</c:v>
                </c:pt>
                <c:pt idx="7">
                  <c:v>518687000</c:v>
                </c:pt>
                <c:pt idx="8">
                  <c:v>525396000</c:v>
                </c:pt>
                <c:pt idx="9">
                  <c:v>489805000</c:v>
                </c:pt>
                <c:pt idx="10">
                  <c:v>509806000</c:v>
                </c:pt>
                <c:pt idx="11">
                  <c:v>539330000</c:v>
                </c:pt>
                <c:pt idx="12">
                  <c:v>576247000</c:v>
                </c:pt>
              </c:numCache>
            </c:numRef>
          </c:val>
          <c:smooth val="1"/>
        </c:ser>
        <c:marker val="1"/>
        <c:axId val="102589952"/>
        <c:axId val="102566912"/>
      </c:lineChart>
      <c:catAx>
        <c:axId val="1024380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/>
            </a:pPr>
            <a:endParaRPr lang="sr-Latn-CS"/>
          </a:p>
        </c:txPr>
        <c:crossAx val="102478976"/>
        <c:crosses val="autoZero"/>
        <c:auto val="1"/>
        <c:lblAlgn val="ctr"/>
        <c:lblOffset val="100"/>
        <c:tickLblSkip val="3"/>
      </c:catAx>
      <c:valAx>
        <c:axId val="102478976"/>
        <c:scaling>
          <c:orientation val="minMax"/>
          <c:max val="1100000000"/>
          <c:min val="900000000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2438016"/>
        <c:crosses val="autoZero"/>
        <c:crossBetween val="between"/>
        <c:majorUnit val="100000000"/>
        <c:minorUnit val="30000000"/>
      </c:valAx>
      <c:valAx>
        <c:axId val="102566912"/>
        <c:scaling>
          <c:orientation val="minMax"/>
          <c:min val="459999999.99999619"/>
        </c:scaling>
        <c:axPos val="r"/>
        <c:numFmt formatCode="#,##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02589952"/>
        <c:crosses val="max"/>
        <c:crossBetween val="between"/>
      </c:valAx>
      <c:catAx>
        <c:axId val="102589952"/>
        <c:scaling>
          <c:orientation val="minMax"/>
        </c:scaling>
        <c:delete val="1"/>
        <c:axPos val="b"/>
        <c:tickLblPos val="none"/>
        <c:crossAx val="102566912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Spoljnotrgovinski bilans i strane direktne investicije</a:t>
            </a:r>
            <a:endParaRPr lang="en-US" sz="800"/>
          </a:p>
        </c:rich>
      </c:tx>
      <c:layout>
        <c:manualLayout>
          <c:xMode val="edge"/>
          <c:yMode val="edge"/>
          <c:x val="0.12948635306597395"/>
          <c:y val="7.4711806398650004E-3"/>
        </c:manualLayout>
      </c:layout>
      <c:overlay val="1"/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indikatori'!$C$46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indikatori'!$V$59:$AH$59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indikatori'!$J$46:$AH$46</c:f>
              <c:numCache>
                <c:formatCode>#,##0.0,,</c:formatCode>
                <c:ptCount val="13"/>
                <c:pt idx="0">
                  <c:v>-146318000</c:v>
                </c:pt>
                <c:pt idx="1">
                  <c:v>-141610000</c:v>
                </c:pt>
                <c:pt idx="2">
                  <c:v>-117580000</c:v>
                </c:pt>
                <c:pt idx="3">
                  <c:v>-132168000</c:v>
                </c:pt>
                <c:pt idx="4">
                  <c:v>-104251000</c:v>
                </c:pt>
                <c:pt idx="5">
                  <c:v>-107036000</c:v>
                </c:pt>
                <c:pt idx="6">
                  <c:v>-82235000</c:v>
                </c:pt>
                <c:pt idx="7">
                  <c:v>-82684000</c:v>
                </c:pt>
                <c:pt idx="8">
                  <c:v>-108527000</c:v>
                </c:pt>
                <c:pt idx="9">
                  <c:v>-125409000</c:v>
                </c:pt>
                <c:pt idx="10">
                  <c:v>-112785000</c:v>
                </c:pt>
                <c:pt idx="11">
                  <c:v>-139901000</c:v>
                </c:pt>
                <c:pt idx="12">
                  <c:v>-139901000</c:v>
                </c:pt>
              </c:numCache>
            </c:numRef>
          </c:val>
        </c:ser>
        <c:gapWidth val="75"/>
        <c:axId val="104325120"/>
        <c:axId val="104327040"/>
      </c:barChart>
      <c:lineChart>
        <c:grouping val="standard"/>
        <c:ser>
          <c:idx val="1"/>
          <c:order val="1"/>
          <c:tx>
            <c:strRef>
              <c:f>'Makroekonomski indikatori'!$C$47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indikatori'!$K$59:$W$59</c:f>
              <c:strCache>
                <c:ptCount val="2"/>
                <c:pt idx="0">
                  <c:v>VII</c:v>
                </c:pt>
                <c:pt idx="1">
                  <c:v>VIII</c:v>
                </c:pt>
              </c:strCache>
            </c:strRef>
          </c:cat>
          <c:val>
            <c:numRef>
              <c:f>'Makroekonomski indikatori'!$H$47:$AG$47</c:f>
              <c:numCache>
                <c:formatCode>0.0,,</c:formatCode>
                <c:ptCount val="12"/>
                <c:pt idx="0">
                  <c:v>58873608</c:v>
                </c:pt>
                <c:pt idx="1">
                  <c:v>18342439</c:v>
                </c:pt>
                <c:pt idx="2">
                  <c:v>92710259</c:v>
                </c:pt>
                <c:pt idx="3">
                  <c:v>20879718</c:v>
                </c:pt>
                <c:pt idx="4">
                  <c:v>77309162</c:v>
                </c:pt>
                <c:pt idx="5">
                  <c:v>40094285.800000004</c:v>
                </c:pt>
                <c:pt idx="6">
                  <c:v>6560302.5300000003</c:v>
                </c:pt>
                <c:pt idx="7">
                  <c:v>19458256.93</c:v>
                </c:pt>
                <c:pt idx="8">
                  <c:v>39496029.809999995</c:v>
                </c:pt>
                <c:pt idx="9">
                  <c:v>17076705.57</c:v>
                </c:pt>
                <c:pt idx="10">
                  <c:v>29527082.32</c:v>
                </c:pt>
                <c:pt idx="11">
                  <c:v>38820915.670000002</c:v>
                </c:pt>
              </c:numCache>
            </c:numRef>
          </c:val>
          <c:smooth val="1"/>
        </c:ser>
        <c:marker val="1"/>
        <c:axId val="104328576"/>
        <c:axId val="104395520"/>
      </c:lineChart>
      <c:catAx>
        <c:axId val="10432512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sr-Latn-CS"/>
          </a:p>
        </c:txPr>
        <c:crossAx val="104327040"/>
        <c:crosses val="autoZero"/>
        <c:auto val="1"/>
        <c:lblAlgn val="ctr"/>
        <c:lblOffset val="100"/>
        <c:tickLblSkip val="2"/>
      </c:catAx>
      <c:valAx>
        <c:axId val="104327040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04325120"/>
        <c:crosses val="autoZero"/>
        <c:crossBetween val="between"/>
      </c:valAx>
      <c:catAx>
        <c:axId val="104328576"/>
        <c:scaling>
          <c:orientation val="minMax"/>
        </c:scaling>
        <c:delete val="1"/>
        <c:axPos val="b"/>
        <c:tickLblPos val="none"/>
        <c:crossAx val="104395520"/>
        <c:crosses val="autoZero"/>
        <c:auto val="1"/>
        <c:lblAlgn val="ctr"/>
        <c:lblOffset val="100"/>
      </c:catAx>
      <c:valAx>
        <c:axId val="104395520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0432857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13989637305699881"/>
          <c:y val="0.15170550917316244"/>
          <c:w val="0.65803108808290167"/>
          <c:h val="0.17694931349662249"/>
        </c:manualLayout>
      </c:layout>
      <c:txPr>
        <a:bodyPr/>
        <a:lstStyle/>
        <a:p>
          <a:pPr>
            <a:defRPr lang="en-US" sz="600"/>
          </a:pPr>
          <a:endParaRPr lang="sr-Latn-C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0.01832</cdr:y>
    </cdr:from>
    <cdr:to>
      <cdr:x>0.41041</cdr:x>
      <cdr:y>0.14416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46329"/>
          <a:ext cx="893068" cy="3182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x-none" sz="700"/>
            <a:t>Prihod</a:t>
          </a:r>
          <a:r>
            <a:rPr lang="hr-BA" sz="700"/>
            <a:t>/</a:t>
          </a:r>
          <a:r>
            <a:rPr lang="x-none" sz="700"/>
            <a:t>Ras</a:t>
          </a:r>
          <a:r>
            <a:rPr lang="sr-Latn-RS" sz="700"/>
            <a:t>hodi</a:t>
          </a:r>
        </a:p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sr-Latn-RS" sz="700"/>
            <a:t>mil. </a:t>
          </a:r>
          <a:r>
            <a:rPr lang="sr-Latn-RS" sz="700">
              <a:latin typeface="+mn-lt"/>
              <a:ea typeface="+mn-ea"/>
              <a:cs typeface="+mn-cs"/>
            </a:rPr>
            <a:t>€</a:t>
          </a:r>
          <a:endParaRPr lang="sr-Latn-CS" sz="1100">
            <a:latin typeface="+mn-lt"/>
            <a:ea typeface="+mn-ea"/>
            <a:cs typeface="+mn-cs"/>
          </a:endParaRPr>
        </a:p>
        <a:p xmlns:a="http://schemas.openxmlformats.org/drawingml/2006/main">
          <a:endParaRPr lang="en-US" sz="800"/>
        </a:p>
      </cdr:txBody>
    </cdr:sp>
  </cdr:relSizeAnchor>
  <cdr:relSizeAnchor xmlns:cdr="http://schemas.openxmlformats.org/drawingml/2006/chartDrawing">
    <cdr:from>
      <cdr:x>3.54685E-7</cdr:x>
      <cdr:y>0.00408</cdr:y>
    </cdr:from>
    <cdr:to>
      <cdr:x>0.27258</cdr:x>
      <cdr:y>0.18041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13767"/>
          <a:ext cx="768525" cy="594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0.78402</cdr:x>
      <cdr:y>0.0207</cdr:y>
    </cdr:from>
    <cdr:to>
      <cdr:x>0.99914</cdr:x>
      <cdr:y>0.15399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03094" y="52315"/>
          <a:ext cx="439838" cy="3368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x-none" sz="700"/>
            <a:t>Suficit/</a:t>
          </a:r>
        </a:p>
        <a:p xmlns:a="http://schemas.openxmlformats.org/drawingml/2006/main">
          <a:r>
            <a:rPr lang="x-none" sz="700"/>
            <a:t>Deficit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0.64637</cdr:x>
      <cdr:y>0.16034</cdr:y>
    </cdr:from>
    <cdr:to>
      <cdr:x>0.94522</cdr:x>
      <cdr:y>0.20125</cdr:y>
    </cdr:to>
    <cdr:sp macro="" textlink="">
      <cdr:nvSpPr>
        <cdr:cNvPr id="3" name="Elbow Connector 2"/>
        <cdr:cNvSpPr/>
      </cdr:nvSpPr>
      <cdr:spPr>
        <a:xfrm xmlns:a="http://schemas.openxmlformats.org/drawingml/2006/main">
          <a:off x="1619689" y="371590"/>
          <a:ext cx="748861" cy="94809"/>
        </a:xfrm>
        <a:prstGeom xmlns:a="http://schemas.openxmlformats.org/drawingml/2006/main" prst="bentConnector3">
          <a:avLst>
            <a:gd name="adj1" fmla="val 50000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0.129</cdr:x>
      <cdr:y>0.46803</cdr:y>
    </cdr:from>
    <cdr:to>
      <cdr:x>0.24643</cdr:x>
      <cdr:y>0.53442</cdr:y>
    </cdr:to>
    <cdr:sp macro="" textlink="">
      <cdr:nvSpPr>
        <cdr:cNvPr id="4" name="Elbow Connector 3"/>
        <cdr:cNvSpPr/>
      </cdr:nvSpPr>
      <cdr:spPr>
        <a:xfrm xmlns:a="http://schemas.openxmlformats.org/drawingml/2006/main" flipH="1" flipV="1">
          <a:off x="323246" y="1084660"/>
          <a:ext cx="294257" cy="153859"/>
        </a:xfrm>
        <a:prstGeom xmlns:a="http://schemas.openxmlformats.org/drawingml/2006/main" prst="bentConnector3">
          <a:avLst>
            <a:gd name="adj1" fmla="val 64103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A8BF9-FC80-462A-B20D-4BC584FD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radovan.zivkovic</cp:lastModifiedBy>
  <cp:revision>9</cp:revision>
  <cp:lastPrinted>2013-09-18T13:59:00Z</cp:lastPrinted>
  <dcterms:created xsi:type="dcterms:W3CDTF">2013-09-17T09:51:00Z</dcterms:created>
  <dcterms:modified xsi:type="dcterms:W3CDTF">2013-09-19T08:47:00Z</dcterms:modified>
</cp:coreProperties>
</file>