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8F0" w:rsidRPr="00A26CE1" w:rsidRDefault="006428F0" w:rsidP="00FA6DA5">
      <w:pPr>
        <w:spacing w:after="0"/>
        <w:jc w:val="center"/>
        <w:rPr>
          <w:rFonts w:ascii="Arial" w:hAnsi="Arial" w:cs="Arial"/>
          <w:b/>
        </w:rPr>
      </w:pPr>
      <w:r w:rsidRPr="00A26CE1">
        <w:rPr>
          <w:rFonts w:ascii="Arial" w:hAnsi="Arial" w:cs="Arial"/>
          <w:b/>
        </w:rPr>
        <w:t>NACRT PLANA DAVANJA KONCESIJA ZA DETALJNA GEOLOŠKA ISTRAŽIVANJA I EKSPLOATACIJU MINERALNIH SIROVINA ZA 2019. GODINU</w:t>
      </w:r>
    </w:p>
    <w:p w:rsidR="006428F0" w:rsidRPr="00A26CE1" w:rsidRDefault="006428F0" w:rsidP="001B4358">
      <w:pPr>
        <w:spacing w:after="0"/>
        <w:jc w:val="both"/>
        <w:rPr>
          <w:rFonts w:ascii="Arial" w:hAnsi="Arial" w:cs="Arial"/>
          <w:b/>
        </w:rPr>
      </w:pPr>
    </w:p>
    <w:p w:rsidR="006428F0" w:rsidRPr="00A26CE1" w:rsidRDefault="006428F0" w:rsidP="001B4358">
      <w:pPr>
        <w:spacing w:after="0"/>
        <w:jc w:val="both"/>
        <w:rPr>
          <w:rFonts w:ascii="Arial" w:hAnsi="Arial" w:cs="Arial"/>
        </w:rPr>
      </w:pPr>
      <w:r w:rsidRPr="00A26CE1">
        <w:rPr>
          <w:rFonts w:ascii="Arial" w:hAnsi="Arial" w:cs="Arial"/>
        </w:rPr>
        <w:t>Na osnovu člana 7 stav 1 Zakona o koncesijama („Sl.lis</w:t>
      </w:r>
      <w:r w:rsidR="00CC1AD7" w:rsidRPr="00A26CE1">
        <w:rPr>
          <w:rFonts w:ascii="Arial" w:hAnsi="Arial" w:cs="Arial"/>
        </w:rPr>
        <w:t xml:space="preserve">t CG“, br.08/09) Vlada donosi </w:t>
      </w:r>
      <w:r w:rsidRPr="00A26CE1">
        <w:rPr>
          <w:rFonts w:ascii="Arial" w:hAnsi="Arial" w:cs="Arial"/>
        </w:rPr>
        <w:t xml:space="preserve">godišnji Plan koncesija za detaljna geološka istraživanja i eksploataciju mineralnih sirovina za 2019. </w:t>
      </w:r>
      <w:proofErr w:type="gramStart"/>
      <w:r w:rsidRPr="00A26CE1">
        <w:rPr>
          <w:rFonts w:ascii="Arial" w:hAnsi="Arial" w:cs="Arial"/>
        </w:rPr>
        <w:t>godinu</w:t>
      </w:r>
      <w:proofErr w:type="gramEnd"/>
      <w:r w:rsidRPr="00A26CE1">
        <w:rPr>
          <w:rFonts w:ascii="Arial" w:hAnsi="Arial" w:cs="Arial"/>
        </w:rPr>
        <w:t>.</w:t>
      </w:r>
    </w:p>
    <w:p w:rsidR="006428F0" w:rsidRPr="00A26CE1" w:rsidRDefault="006428F0" w:rsidP="001B4358">
      <w:pPr>
        <w:spacing w:after="0"/>
        <w:jc w:val="both"/>
        <w:rPr>
          <w:rFonts w:ascii="Arial" w:hAnsi="Arial" w:cs="Arial"/>
        </w:rPr>
      </w:pPr>
    </w:p>
    <w:p w:rsidR="006428F0" w:rsidRPr="00A26CE1" w:rsidRDefault="006428F0" w:rsidP="001B4358">
      <w:pPr>
        <w:spacing w:after="0"/>
        <w:jc w:val="both"/>
        <w:rPr>
          <w:rFonts w:ascii="Arial" w:hAnsi="Arial" w:cs="Arial"/>
        </w:rPr>
      </w:pPr>
      <w:r w:rsidRPr="00A26CE1">
        <w:rPr>
          <w:rFonts w:ascii="Arial" w:hAnsi="Arial" w:cs="Arial"/>
        </w:rPr>
        <w:t>Koncesije za detaljna geološka istraživanja i eksploataciju mineralnih sirovina definisana su Zakonom o geološkim istraživanjima („Sl.list RCG“, br. 28/93, 27/94, 42/94 i 26/07 i „Sl.list CG“, br. 28/11), Zakonom o rudarstvu („Sl.list CG“, br. 65/08, 74/10, 40/11) i Zakonom o koncesijama („Sl.list CG“, br. 8/09), kojima je uređen način i postupak dobijanja koncesija za korišćenje prirodnog bogatstva-mineralnog resursa.</w:t>
      </w:r>
    </w:p>
    <w:p w:rsidR="006428F0" w:rsidRPr="00A26CE1" w:rsidRDefault="006428F0" w:rsidP="001B4358">
      <w:pPr>
        <w:spacing w:after="0"/>
        <w:jc w:val="both"/>
        <w:rPr>
          <w:rFonts w:ascii="Arial" w:hAnsi="Arial" w:cs="Arial"/>
        </w:rPr>
      </w:pPr>
    </w:p>
    <w:p w:rsidR="006428F0" w:rsidRPr="00A26CE1" w:rsidRDefault="006428F0" w:rsidP="001B4358">
      <w:pPr>
        <w:spacing w:after="0"/>
        <w:jc w:val="both"/>
        <w:rPr>
          <w:rFonts w:ascii="Arial" w:hAnsi="Arial" w:cs="Arial"/>
          <w:b/>
          <w:i/>
        </w:rPr>
      </w:pPr>
      <w:r w:rsidRPr="00A26CE1">
        <w:rPr>
          <w:rFonts w:ascii="Arial" w:hAnsi="Arial" w:cs="Arial"/>
          <w:b/>
          <w:i/>
        </w:rPr>
        <w:t xml:space="preserve">Opravdanost javnog interesa za davanje koncesija za detaljna geološka istraživanja i eksploataciju mineralnih sirovina </w:t>
      </w:r>
    </w:p>
    <w:p w:rsidR="00FB3841" w:rsidRPr="00A26CE1" w:rsidRDefault="00FB3841" w:rsidP="00D8360E">
      <w:pPr>
        <w:spacing w:before="120" w:after="0"/>
        <w:jc w:val="both"/>
        <w:rPr>
          <w:rFonts w:ascii="Arial" w:hAnsi="Arial" w:cs="Arial"/>
          <w:lang w:val="sr-Latn-CS"/>
        </w:rPr>
      </w:pPr>
      <w:r w:rsidRPr="00A26CE1">
        <w:rPr>
          <w:rFonts w:ascii="Arial" w:hAnsi="Arial" w:cs="Arial"/>
        </w:rPr>
        <w:t xml:space="preserve">Geološka istraživanja u Crnoj Gori su intenzivna zahvaljujući godišnjim programima koje utvrđuje Ministarstvo ekonomije, a realizuje ih JU Zavod za geološka istraživanja – Podgorica. Većina projekata je višegodišnja i finansiraju se iz Budžeta Crne Gore. Među mnogim projektima je i Projekat: Prikupljanje i analiza podataka, izrada informacione baze i ocjena potencijalnosti kao osnove za planiranje proizvodnje i snabdijevanje primarnim kamenim agregatima u Crnoj Gori, koji je Ministarstvo ekonomije 2015. </w:t>
      </w:r>
      <w:proofErr w:type="gramStart"/>
      <w:r w:rsidRPr="00A26CE1">
        <w:rPr>
          <w:rFonts w:ascii="Arial" w:hAnsi="Arial" w:cs="Arial"/>
        </w:rPr>
        <w:t>godine</w:t>
      </w:r>
      <w:proofErr w:type="gramEnd"/>
      <w:r w:rsidRPr="00A26CE1">
        <w:rPr>
          <w:rFonts w:ascii="Arial" w:hAnsi="Arial" w:cs="Arial"/>
        </w:rPr>
        <w:t xml:space="preserve"> uvrstilo u Program geoloških istraživanja od interesa za Crnu Goru, kao višegodišnji Projekat. </w:t>
      </w:r>
      <w:r w:rsidRPr="00A26CE1">
        <w:rPr>
          <w:rFonts w:ascii="Arial" w:hAnsi="Arial" w:cs="Arial"/>
          <w:lang w:val="sr-Latn-CS"/>
        </w:rPr>
        <w:t>Predmet ovog Projekta su dvije značajne vrste sirovina iz grupe nemetaličnih mineralnih sirovina koje imaju široku primjenu u građevinarstvu: tehničko-građevi</w:t>
      </w:r>
      <w:r w:rsidR="00CC1AD7" w:rsidRPr="00A26CE1">
        <w:rPr>
          <w:rFonts w:ascii="Arial" w:hAnsi="Arial" w:cs="Arial"/>
          <w:lang w:val="sr-Latn-CS"/>
        </w:rPr>
        <w:t xml:space="preserve">nski kamen i šljunak i pijesak </w:t>
      </w:r>
      <w:r w:rsidRPr="00A26CE1">
        <w:rPr>
          <w:rFonts w:ascii="Arial" w:hAnsi="Arial" w:cs="Arial"/>
          <w:lang w:val="sr-Latn-CS"/>
        </w:rPr>
        <w:t>glacijalnog i glaciofluvijalnog porijekla (primarni kameni agregati).</w:t>
      </w:r>
    </w:p>
    <w:p w:rsidR="00FB3841" w:rsidRPr="00A26CE1" w:rsidRDefault="00FA6DA5" w:rsidP="00D8360E">
      <w:pPr>
        <w:spacing w:before="120" w:after="0"/>
        <w:jc w:val="both"/>
        <w:rPr>
          <w:rFonts w:ascii="Arial" w:hAnsi="Arial" w:cs="Arial"/>
          <w:lang w:val="sr-Latn-CS"/>
        </w:rPr>
      </w:pPr>
      <w:r w:rsidRPr="00A26CE1">
        <w:rPr>
          <w:rFonts w:ascii="Arial" w:hAnsi="Arial" w:cs="Arial"/>
          <w:lang w:val="sr-Latn-CS"/>
        </w:rPr>
        <w:t>Cilj izrade navedenog</w:t>
      </w:r>
      <w:r w:rsidR="00FB3841" w:rsidRPr="00A26CE1">
        <w:rPr>
          <w:rFonts w:ascii="Arial" w:hAnsi="Arial" w:cs="Arial"/>
          <w:lang w:val="sr-Latn-CS"/>
        </w:rPr>
        <w:t xml:space="preserve"> Projekta je ocjena značaja i kapaciteta postojećih ležišta, napuštenih</w:t>
      </w:r>
      <w:r w:rsidR="009720AB" w:rsidRPr="00A26CE1">
        <w:rPr>
          <w:rFonts w:ascii="Arial" w:hAnsi="Arial" w:cs="Arial"/>
          <w:lang w:val="sr-Latn-CS"/>
        </w:rPr>
        <w:t xml:space="preserve"> površinskih kopova</w:t>
      </w:r>
      <w:r w:rsidR="00FB3841" w:rsidRPr="00A26CE1">
        <w:rPr>
          <w:rFonts w:ascii="Arial" w:hAnsi="Arial" w:cs="Arial"/>
          <w:lang w:val="sr-Latn-CS"/>
        </w:rPr>
        <w:t>, kao i definisanje i determinacija potencijalnih prostora za dokazivanje novih rezervi primarnih kamenih agregata. Planiranim radovima će biti prikupljeni i obrađeni adekvatni podaci za formiranje baze podataka u GIS formatu, a koja se može ažurirati, revidovati i prilagoditi da odgovara planiranim potrebama države, lokalnih zajednica i privrednim društvima. Različiti tipovi podataka će omogućiti stvaranje podloge za proces održivog planiranja proizvodnje, upravljanja i snabdijevanja primarnim kamenim agregatima (tehničko-građevi</w:t>
      </w:r>
      <w:r w:rsidR="00CC1AD7" w:rsidRPr="00A26CE1">
        <w:rPr>
          <w:rFonts w:ascii="Arial" w:hAnsi="Arial" w:cs="Arial"/>
          <w:lang w:val="sr-Latn-CS"/>
        </w:rPr>
        <w:t xml:space="preserve">nski kamen i šljunak i pijesak </w:t>
      </w:r>
      <w:r w:rsidR="00FB3841" w:rsidRPr="00A26CE1">
        <w:rPr>
          <w:rFonts w:ascii="Arial" w:hAnsi="Arial" w:cs="Arial"/>
          <w:lang w:val="sr-Latn-CS"/>
        </w:rPr>
        <w:t>glacijalnog i glaciofluvijalnog porijekla). Izrada održivog nacionalnog plana za primarne kamene agregate zahtijeva identifikaciju cijelog niza podataka koji omogućava efikasno upravljanje resursima. Primarni kameni agregati, u koje ubrajamo tehničko-građevinski kamen, pijesak i šljunak, su bitni za stambenu, socijalnu i komercijalnu infrastrukturu svake zemlje.</w:t>
      </w:r>
    </w:p>
    <w:p w:rsidR="00FB3841" w:rsidRPr="00A26CE1" w:rsidRDefault="00FB3841" w:rsidP="00D8360E">
      <w:pPr>
        <w:spacing w:before="120" w:after="0"/>
        <w:jc w:val="both"/>
        <w:rPr>
          <w:rFonts w:ascii="Arial" w:hAnsi="Arial" w:cs="Arial"/>
          <w:lang w:val="sr-Latn-CS"/>
        </w:rPr>
      </w:pPr>
      <w:r w:rsidRPr="00A26CE1">
        <w:rPr>
          <w:rFonts w:ascii="Arial" w:hAnsi="Arial" w:cs="Arial"/>
          <w:lang w:val="sr-Latn-CS"/>
        </w:rPr>
        <w:t>U okviru ovog P</w:t>
      </w:r>
      <w:r w:rsidR="009720AB" w:rsidRPr="00A26CE1">
        <w:rPr>
          <w:rFonts w:ascii="Arial" w:hAnsi="Arial" w:cs="Arial"/>
          <w:lang w:val="sr-Latn-CS"/>
        </w:rPr>
        <w:t xml:space="preserve">rojekta prikupljaju se podaci koji predstavljaju </w:t>
      </w:r>
      <w:r w:rsidRPr="00A26CE1">
        <w:rPr>
          <w:rFonts w:ascii="Arial" w:hAnsi="Arial" w:cs="Arial"/>
          <w:lang w:val="sr-Latn-CS"/>
        </w:rPr>
        <w:t xml:space="preserve">polaznu osnovu za planiranje proizvodnje i snabdijevanja primarnim </w:t>
      </w:r>
      <w:r w:rsidR="00CC1AD7" w:rsidRPr="00A26CE1">
        <w:rPr>
          <w:rFonts w:ascii="Arial" w:hAnsi="Arial" w:cs="Arial"/>
          <w:lang w:val="sr-Latn-CS"/>
        </w:rPr>
        <w:t xml:space="preserve">kamenim agregatima u Crnoj Gori, odnosno </w:t>
      </w:r>
      <w:r w:rsidRPr="00A26CE1">
        <w:rPr>
          <w:rFonts w:ascii="Arial" w:hAnsi="Arial" w:cs="Arial"/>
          <w:lang w:val="sr-Latn-CS"/>
        </w:rPr>
        <w:t>za pripremu dokumenata o razvoju mineralnog sektora Crne Gore, kako u kontekstu definisanja područja za buduću eksploataciju, tako i za dugoročni cilj čuvanja važnih mineralnih resursa od potpunog iskorišćenja.</w:t>
      </w:r>
    </w:p>
    <w:p w:rsidR="00FB3841" w:rsidRPr="00A26CE1" w:rsidRDefault="00FB3841" w:rsidP="00D8360E">
      <w:pPr>
        <w:spacing w:before="120" w:after="0"/>
        <w:jc w:val="both"/>
        <w:rPr>
          <w:rFonts w:ascii="Arial" w:hAnsi="Arial" w:cs="Arial"/>
        </w:rPr>
      </w:pPr>
      <w:r w:rsidRPr="00A26CE1">
        <w:rPr>
          <w:rFonts w:ascii="Arial" w:hAnsi="Arial" w:cs="Arial"/>
        </w:rPr>
        <w:t xml:space="preserve">Primarni kameni agregati (tehničko-građevinski kamen) utvrđeni su, između ostalih i u Opštini Bar </w:t>
      </w:r>
      <w:proofErr w:type="gramStart"/>
      <w:r w:rsidRPr="00A26CE1">
        <w:rPr>
          <w:rFonts w:ascii="Arial" w:hAnsi="Arial" w:cs="Arial"/>
        </w:rPr>
        <w:t>sa</w:t>
      </w:r>
      <w:proofErr w:type="gramEnd"/>
      <w:r w:rsidRPr="00A26CE1">
        <w:rPr>
          <w:rFonts w:ascii="Arial" w:hAnsi="Arial" w:cs="Arial"/>
        </w:rPr>
        <w:t xml:space="preserve"> znatnim rezervama na više lokaliteta. Posebno treba istaći da u ovoj Opštini </w:t>
      </w:r>
      <w:proofErr w:type="gramStart"/>
      <w:r w:rsidRPr="00A26CE1">
        <w:rPr>
          <w:rFonts w:ascii="Arial" w:hAnsi="Arial" w:cs="Arial"/>
        </w:rPr>
        <w:t>nema</w:t>
      </w:r>
      <w:proofErr w:type="gramEnd"/>
      <w:r w:rsidRPr="00A26CE1">
        <w:rPr>
          <w:rFonts w:ascii="Arial" w:hAnsi="Arial" w:cs="Arial"/>
        </w:rPr>
        <w:t xml:space="preserve"> nijedan zaključen Ugovor o koncesiji za eksploataciju tehničko-građevinskog kamena. Davanjem novih koncesija obezbjediće se tržišna konkurencija kao podsticaj razvoja privrednih aktivnosti u Opštini Bar.</w:t>
      </w:r>
    </w:p>
    <w:p w:rsidR="009720AB" w:rsidRPr="00A26CE1" w:rsidRDefault="009720AB" w:rsidP="00D8360E">
      <w:pPr>
        <w:spacing w:before="120" w:after="0"/>
        <w:jc w:val="both"/>
        <w:rPr>
          <w:rFonts w:ascii="Arial" w:hAnsi="Arial" w:cs="Arial"/>
        </w:rPr>
      </w:pPr>
      <w:r w:rsidRPr="00A26CE1">
        <w:rPr>
          <w:rFonts w:ascii="Arial" w:hAnsi="Arial" w:cs="Arial"/>
        </w:rPr>
        <w:t xml:space="preserve">Registrom mineralni sirovina u Crnoj Gori su obuhvaćena 4 ležišta i pojave bentonita (montmorionitske gline) – 2 </w:t>
      </w:r>
      <w:proofErr w:type="gramStart"/>
      <w:r w:rsidRPr="00A26CE1">
        <w:rPr>
          <w:rFonts w:ascii="Arial" w:hAnsi="Arial" w:cs="Arial"/>
        </w:rPr>
        <w:t>na</w:t>
      </w:r>
      <w:proofErr w:type="gramEnd"/>
      <w:r w:rsidRPr="00A26CE1">
        <w:rPr>
          <w:rFonts w:ascii="Arial" w:hAnsi="Arial" w:cs="Arial"/>
        </w:rPr>
        <w:t xml:space="preserve"> području Crmnice (jedna je predmet ovog plana), a 2 u blizini Šavnika. Ovaj broj </w:t>
      </w:r>
      <w:proofErr w:type="gramStart"/>
      <w:r w:rsidRPr="00A26CE1">
        <w:rPr>
          <w:rFonts w:ascii="Arial" w:hAnsi="Arial" w:cs="Arial"/>
        </w:rPr>
        <w:t>će</w:t>
      </w:r>
      <w:proofErr w:type="gramEnd"/>
      <w:r w:rsidRPr="00A26CE1">
        <w:rPr>
          <w:rFonts w:ascii="Arial" w:hAnsi="Arial" w:cs="Arial"/>
        </w:rPr>
        <w:t xml:space="preserve"> se povećavati, jer brojne pojave bentonita (Gornjepoljski vir, Saljani i dr.), konstatovane mahom pri istraživanju bentonita ili pri izradi geoloških karata, nijesu obrađene kao rudne pojave, niti istražene da bi u slučaju pozitivnih rezultata zadobile status ležišta. </w:t>
      </w:r>
    </w:p>
    <w:p w:rsidR="009720AB" w:rsidRPr="00A26CE1" w:rsidRDefault="009720AB" w:rsidP="00D8360E">
      <w:pPr>
        <w:spacing w:before="120" w:after="0"/>
        <w:jc w:val="both"/>
        <w:rPr>
          <w:rFonts w:ascii="Arial" w:hAnsi="Arial" w:cs="Arial"/>
        </w:rPr>
      </w:pPr>
    </w:p>
    <w:p w:rsidR="009720AB" w:rsidRPr="00A26CE1" w:rsidRDefault="009720AB" w:rsidP="00D8360E">
      <w:pPr>
        <w:spacing w:before="120" w:after="0"/>
        <w:jc w:val="both"/>
        <w:rPr>
          <w:rFonts w:ascii="Arial" w:hAnsi="Arial" w:cs="Arial"/>
        </w:rPr>
      </w:pPr>
      <w:r w:rsidRPr="00A26CE1">
        <w:rPr>
          <w:rFonts w:ascii="Arial" w:hAnsi="Arial" w:cs="Arial"/>
        </w:rPr>
        <w:t xml:space="preserve">Shodno dosadašnjim ispitivanjima, osnovna orjentacija primjene </w:t>
      </w:r>
      <w:proofErr w:type="gramStart"/>
      <w:r w:rsidRPr="00A26CE1">
        <w:rPr>
          <w:rFonts w:ascii="Arial" w:hAnsi="Arial" w:cs="Arial"/>
        </w:rPr>
        <w:t>bentonita  usmjerena</w:t>
      </w:r>
      <w:proofErr w:type="gramEnd"/>
      <w:r w:rsidRPr="00A26CE1">
        <w:rPr>
          <w:rFonts w:ascii="Arial" w:hAnsi="Arial" w:cs="Arial"/>
        </w:rPr>
        <w:t xml:space="preserve"> je ka proizvodima za dubinsko bušenje i injektiranje, za proizvodnju punila, pesticida i sredstava za bistrenje pića.</w:t>
      </w:r>
    </w:p>
    <w:p w:rsidR="00FB3841" w:rsidRPr="00A26CE1" w:rsidRDefault="00FB3841" w:rsidP="00D8360E">
      <w:pPr>
        <w:spacing w:before="120" w:after="0"/>
        <w:jc w:val="both"/>
        <w:rPr>
          <w:rFonts w:ascii="Arial" w:hAnsi="Arial" w:cs="Arial"/>
        </w:rPr>
      </w:pPr>
      <w:r w:rsidRPr="00A26CE1">
        <w:rPr>
          <w:rFonts w:ascii="Arial" w:hAnsi="Arial" w:cs="Arial"/>
        </w:rPr>
        <w:t xml:space="preserve">Davanjem koncesija u Opštini Bar obezbjeđuje se odgovarajući javni interes, unaprjeđenje rudarske djelatnosti, obezbjeđenje održivog korišćenja neobnovljivog mineralnog resursa zasnovanog </w:t>
      </w:r>
      <w:proofErr w:type="gramStart"/>
      <w:r w:rsidRPr="00A26CE1">
        <w:rPr>
          <w:rFonts w:ascii="Arial" w:hAnsi="Arial" w:cs="Arial"/>
        </w:rPr>
        <w:t>na</w:t>
      </w:r>
      <w:proofErr w:type="gramEnd"/>
      <w:r w:rsidRPr="00A26CE1">
        <w:rPr>
          <w:rFonts w:ascii="Arial" w:hAnsi="Arial" w:cs="Arial"/>
        </w:rPr>
        <w:t xml:space="preserve"> njegovom dugoročnom korišćenju, veće zaposlenosti, kao i racionalnog, ekonomičnog, pravilnog i efikasnog korišćenja ovog prirodnog resursa, tehničko-tehnološkog unaprjeđenja i očuvanja životne sredine. </w:t>
      </w:r>
    </w:p>
    <w:p w:rsidR="00FB3841" w:rsidRPr="00A26CE1" w:rsidRDefault="00FB3841" w:rsidP="00D8360E">
      <w:pPr>
        <w:spacing w:before="120" w:after="0"/>
        <w:jc w:val="both"/>
        <w:rPr>
          <w:rFonts w:ascii="Arial" w:hAnsi="Arial" w:cs="Arial"/>
        </w:rPr>
      </w:pPr>
      <w:r w:rsidRPr="00A26CE1">
        <w:rPr>
          <w:rFonts w:ascii="Arial" w:hAnsi="Arial" w:cs="Arial"/>
        </w:rPr>
        <w:t xml:space="preserve">Prilikom odabira istražno-eksploatacionih prostora u Opštini Bar vodilo se računa o prostorno-planskoj dokumentaciji, kako ne bi došlo do konflikta plana eksploatacije i planskih dokumenata, o samoj poziciji prostora, o vlasništvu zemljišta, kao i o zainteresovanosti određenih investitora za dodjelu koncesija. </w:t>
      </w:r>
    </w:p>
    <w:p w:rsidR="00FB3841" w:rsidRPr="00A26CE1" w:rsidRDefault="00FB3841" w:rsidP="00D8360E">
      <w:pPr>
        <w:spacing w:before="120" w:after="0"/>
        <w:jc w:val="both"/>
        <w:rPr>
          <w:rFonts w:ascii="Arial" w:hAnsi="Arial" w:cs="Arial"/>
        </w:rPr>
      </w:pPr>
      <w:r w:rsidRPr="00A26CE1">
        <w:rPr>
          <w:rFonts w:ascii="Arial" w:hAnsi="Arial" w:cs="Arial"/>
        </w:rPr>
        <w:t xml:space="preserve">Cilj </w:t>
      </w:r>
      <w:r w:rsidR="009720AB" w:rsidRPr="00A26CE1">
        <w:rPr>
          <w:rFonts w:ascii="Arial" w:hAnsi="Arial" w:cs="Arial"/>
        </w:rPr>
        <w:t xml:space="preserve">Ministarstva ekonomije je da se davanjem koncesija </w:t>
      </w:r>
      <w:r w:rsidRPr="00A26CE1">
        <w:rPr>
          <w:rFonts w:ascii="Arial" w:hAnsi="Arial" w:cs="Arial"/>
        </w:rPr>
        <w:t xml:space="preserve">stvara </w:t>
      </w:r>
      <w:r w:rsidR="00A26CE1" w:rsidRPr="00A26CE1">
        <w:rPr>
          <w:rFonts w:ascii="Arial" w:hAnsi="Arial" w:cs="Arial"/>
        </w:rPr>
        <w:t>osnove ekonomskog razvoja lokalne zajednice i Crne Gore</w:t>
      </w:r>
      <w:r w:rsidRPr="00A26CE1">
        <w:rPr>
          <w:rFonts w:ascii="Arial" w:hAnsi="Arial" w:cs="Arial"/>
        </w:rPr>
        <w:t xml:space="preserve"> u cjelini</w:t>
      </w:r>
      <w:proofErr w:type="gramStart"/>
      <w:r w:rsidRPr="00A26CE1">
        <w:rPr>
          <w:rFonts w:ascii="Arial" w:hAnsi="Arial" w:cs="Arial"/>
        </w:rPr>
        <w:t>,  kroz</w:t>
      </w:r>
      <w:proofErr w:type="gramEnd"/>
      <w:r w:rsidRPr="00A26CE1">
        <w:rPr>
          <w:rFonts w:ascii="Arial" w:hAnsi="Arial" w:cs="Arial"/>
        </w:rPr>
        <w:t xml:space="preserve"> razvoj i održivu eksploataciju ekonomski isplativih ležišta mineralnih sirovina.</w:t>
      </w:r>
    </w:p>
    <w:p w:rsidR="001B4358" w:rsidRPr="00A26CE1" w:rsidRDefault="00A26CE1" w:rsidP="00D8360E">
      <w:pPr>
        <w:spacing w:before="120" w:after="0"/>
        <w:jc w:val="both"/>
        <w:rPr>
          <w:rFonts w:ascii="Arial" w:hAnsi="Arial" w:cs="Arial"/>
        </w:rPr>
      </w:pPr>
      <w:r w:rsidRPr="00A26CE1">
        <w:rPr>
          <w:rFonts w:ascii="Arial" w:hAnsi="Arial" w:cs="Arial"/>
        </w:rPr>
        <w:t xml:space="preserve">Javni </w:t>
      </w:r>
      <w:r w:rsidR="00FB3841" w:rsidRPr="00A26CE1">
        <w:rPr>
          <w:rFonts w:ascii="Arial" w:hAnsi="Arial" w:cs="Arial"/>
        </w:rPr>
        <w:t>interes se ogleda u korišćenju mineralnih sirovina u partnerstvu svih učesnika u procesu geoloških istraživanja, eksploatacije i prerade.</w:t>
      </w:r>
    </w:p>
    <w:p w:rsidR="00600773" w:rsidRPr="00A26CE1" w:rsidRDefault="00600773" w:rsidP="001B4358">
      <w:pPr>
        <w:spacing w:after="0"/>
        <w:jc w:val="both"/>
        <w:rPr>
          <w:rFonts w:ascii="Arial" w:hAnsi="Arial" w:cs="Arial"/>
        </w:rPr>
      </w:pPr>
    </w:p>
    <w:p w:rsidR="006428F0" w:rsidRPr="00A26CE1" w:rsidRDefault="00FA6DA5" w:rsidP="001B4358">
      <w:pPr>
        <w:spacing w:after="0"/>
        <w:jc w:val="both"/>
        <w:rPr>
          <w:rFonts w:ascii="Arial" w:hAnsi="Arial" w:cs="Arial"/>
        </w:rPr>
      </w:pPr>
      <w:r w:rsidRPr="00A26CE1">
        <w:rPr>
          <w:rFonts w:ascii="Arial" w:hAnsi="Arial" w:cs="Arial"/>
        </w:rPr>
        <w:t xml:space="preserve">Na osnovu </w:t>
      </w:r>
      <w:r w:rsidR="00FB3841" w:rsidRPr="00A26CE1">
        <w:rPr>
          <w:rFonts w:ascii="Arial" w:hAnsi="Arial" w:cs="Arial"/>
        </w:rPr>
        <w:t xml:space="preserve">naprijed navedenog, Ministarstvo ekonomije </w:t>
      </w:r>
      <w:r w:rsidR="006428F0" w:rsidRPr="00A26CE1">
        <w:rPr>
          <w:rFonts w:ascii="Arial" w:hAnsi="Arial" w:cs="Arial"/>
        </w:rPr>
        <w:t>predla</w:t>
      </w:r>
      <w:r w:rsidR="00FB3841" w:rsidRPr="00A26CE1">
        <w:rPr>
          <w:rFonts w:ascii="Arial" w:hAnsi="Arial" w:cs="Arial"/>
        </w:rPr>
        <w:t xml:space="preserve">že </w:t>
      </w:r>
      <w:r w:rsidR="006428F0" w:rsidRPr="00A26CE1">
        <w:rPr>
          <w:rFonts w:ascii="Arial" w:hAnsi="Arial" w:cs="Arial"/>
        </w:rPr>
        <w:t xml:space="preserve">Vladi Crne Gore da se sljedeće lokacije uvrste </w:t>
      </w:r>
      <w:r w:rsidR="00FB3841" w:rsidRPr="00A26CE1">
        <w:rPr>
          <w:rFonts w:ascii="Arial" w:hAnsi="Arial" w:cs="Arial"/>
        </w:rPr>
        <w:t>u Plan davanja koncesija za 2019</w:t>
      </w:r>
      <w:r w:rsidR="006428F0" w:rsidRPr="00A26CE1">
        <w:rPr>
          <w:rFonts w:ascii="Arial" w:hAnsi="Arial" w:cs="Arial"/>
        </w:rPr>
        <w:t xml:space="preserve">. </w:t>
      </w:r>
      <w:proofErr w:type="gramStart"/>
      <w:r w:rsidR="006428F0" w:rsidRPr="00A26CE1">
        <w:rPr>
          <w:rFonts w:ascii="Arial" w:hAnsi="Arial" w:cs="Arial"/>
        </w:rPr>
        <w:t>godinu</w:t>
      </w:r>
      <w:proofErr w:type="gramEnd"/>
      <w:r w:rsidR="006428F0" w:rsidRPr="00A26CE1">
        <w:rPr>
          <w:rFonts w:ascii="Arial" w:hAnsi="Arial" w:cs="Arial"/>
        </w:rPr>
        <w:t>, i to:</w:t>
      </w:r>
    </w:p>
    <w:p w:rsidR="006428F0" w:rsidRPr="00A26CE1" w:rsidRDefault="006428F0" w:rsidP="00600773">
      <w:pPr>
        <w:pStyle w:val="ListParagraph"/>
        <w:numPr>
          <w:ilvl w:val="0"/>
          <w:numId w:val="30"/>
        </w:numPr>
        <w:spacing w:before="120" w:after="0"/>
        <w:jc w:val="both"/>
        <w:rPr>
          <w:rFonts w:ascii="Arial" w:hAnsi="Arial" w:cs="Arial"/>
        </w:rPr>
      </w:pPr>
      <w:r w:rsidRPr="00A26CE1">
        <w:rPr>
          <w:rFonts w:ascii="Arial" w:hAnsi="Arial" w:cs="Arial"/>
        </w:rPr>
        <w:t>Ležište tehničko-građevinskog kamena “Volujica”, opština Bar,</w:t>
      </w:r>
    </w:p>
    <w:p w:rsidR="006428F0" w:rsidRPr="00A26CE1" w:rsidRDefault="006428F0" w:rsidP="00600773">
      <w:pPr>
        <w:pStyle w:val="ListParagraph"/>
        <w:numPr>
          <w:ilvl w:val="0"/>
          <w:numId w:val="30"/>
        </w:numPr>
        <w:spacing w:before="120" w:after="0"/>
        <w:jc w:val="both"/>
        <w:rPr>
          <w:rFonts w:ascii="Arial" w:hAnsi="Arial" w:cs="Arial"/>
        </w:rPr>
      </w:pPr>
      <w:r w:rsidRPr="00A26CE1">
        <w:rPr>
          <w:rFonts w:ascii="Arial" w:hAnsi="Arial" w:cs="Arial"/>
        </w:rPr>
        <w:t>Pojava tehničko-građevinskog kam</w:t>
      </w:r>
      <w:r w:rsidR="009720AB" w:rsidRPr="00A26CE1">
        <w:rPr>
          <w:rFonts w:ascii="Arial" w:hAnsi="Arial" w:cs="Arial"/>
        </w:rPr>
        <w:t>ena “Velja Gorana”, opština Bar i</w:t>
      </w:r>
    </w:p>
    <w:p w:rsidR="00672026" w:rsidRPr="00A26CE1" w:rsidRDefault="00672026" w:rsidP="00600773">
      <w:pPr>
        <w:pStyle w:val="ListParagraph"/>
        <w:numPr>
          <w:ilvl w:val="0"/>
          <w:numId w:val="30"/>
        </w:numPr>
        <w:spacing w:before="120" w:after="0"/>
        <w:jc w:val="both"/>
        <w:rPr>
          <w:rFonts w:ascii="Arial" w:hAnsi="Arial" w:cs="Arial"/>
        </w:rPr>
      </w:pPr>
      <w:r w:rsidRPr="00A26CE1">
        <w:rPr>
          <w:rFonts w:ascii="Arial" w:hAnsi="Arial" w:cs="Arial"/>
        </w:rPr>
        <w:t>Ležište „Bijele šume“ (bentoniti), opština Bar,</w:t>
      </w:r>
    </w:p>
    <w:p w:rsidR="006428F0" w:rsidRPr="00A26CE1" w:rsidRDefault="006428F0" w:rsidP="001B4358">
      <w:pPr>
        <w:spacing w:after="0"/>
        <w:jc w:val="both"/>
        <w:rPr>
          <w:rFonts w:ascii="Arial" w:hAnsi="Arial" w:cs="Arial"/>
          <w:b/>
        </w:rPr>
      </w:pPr>
    </w:p>
    <w:p w:rsidR="006428F0" w:rsidRPr="008106BF" w:rsidRDefault="006428F0" w:rsidP="001B4358">
      <w:pPr>
        <w:spacing w:after="0"/>
        <w:jc w:val="both"/>
        <w:rPr>
          <w:rFonts w:ascii="Arial" w:hAnsi="Arial" w:cs="Arial"/>
          <w:b/>
        </w:rPr>
      </w:pPr>
      <w:r w:rsidRPr="008106BF">
        <w:rPr>
          <w:rFonts w:ascii="Arial" w:hAnsi="Arial" w:cs="Arial"/>
          <w:b/>
        </w:rPr>
        <w:t>Položaj i osnovne karakteristike istražno-eksploatacionih prostora mineralnih sirovina čija se detaljna geološka istraživanja i eksploatacija predviđa</w:t>
      </w:r>
    </w:p>
    <w:p w:rsidR="00C21F03" w:rsidRPr="00A26CE1" w:rsidRDefault="00C21F03" w:rsidP="001B4358">
      <w:pPr>
        <w:spacing w:after="0"/>
        <w:jc w:val="both"/>
        <w:rPr>
          <w:rFonts w:ascii="Arial" w:hAnsi="Arial" w:cs="Arial"/>
        </w:rPr>
      </w:pPr>
    </w:p>
    <w:p w:rsidR="00EE206D" w:rsidRPr="00A26CE1" w:rsidRDefault="00EE206D" w:rsidP="001B4358">
      <w:pPr>
        <w:spacing w:after="0"/>
        <w:jc w:val="both"/>
        <w:rPr>
          <w:rFonts w:ascii="Arial" w:hAnsi="Arial" w:cs="Arial"/>
          <w:b/>
        </w:rPr>
      </w:pPr>
      <w:r w:rsidRPr="00A26CE1">
        <w:rPr>
          <w:rFonts w:ascii="Arial" w:hAnsi="Arial" w:cs="Arial"/>
          <w:b/>
        </w:rPr>
        <w:t>1. Ležište tehničko-građevinskog kamena “Volujica”, opština Bar</w:t>
      </w:r>
    </w:p>
    <w:p w:rsidR="00EE206D" w:rsidRPr="00A26CE1" w:rsidRDefault="00EE206D" w:rsidP="001B4358">
      <w:pPr>
        <w:spacing w:after="0"/>
        <w:jc w:val="both"/>
        <w:rPr>
          <w:rFonts w:ascii="Arial" w:hAnsi="Arial" w:cs="Arial"/>
          <w:b/>
        </w:rPr>
      </w:pPr>
    </w:p>
    <w:p w:rsidR="00EE206D" w:rsidRPr="008106BF" w:rsidRDefault="00EE206D" w:rsidP="001B4358">
      <w:pPr>
        <w:spacing w:after="0"/>
        <w:jc w:val="both"/>
        <w:rPr>
          <w:rFonts w:ascii="Arial" w:hAnsi="Arial" w:cs="Arial"/>
          <w:b/>
          <w:i/>
        </w:rPr>
      </w:pPr>
      <w:r w:rsidRPr="008106BF">
        <w:rPr>
          <w:rFonts w:ascii="Arial" w:hAnsi="Arial" w:cs="Arial"/>
          <w:b/>
          <w:i/>
        </w:rPr>
        <w:t>Položaj i opis lokacije istražno-eksploatacionog prostora</w:t>
      </w:r>
    </w:p>
    <w:p w:rsidR="00EE206D" w:rsidRPr="00A26CE1" w:rsidRDefault="00EE206D" w:rsidP="00600773">
      <w:pPr>
        <w:spacing w:before="120" w:after="0"/>
        <w:jc w:val="both"/>
        <w:rPr>
          <w:rFonts w:ascii="Arial" w:eastAsia="Calibri" w:hAnsi="Arial" w:cs="Arial"/>
        </w:rPr>
      </w:pPr>
      <w:r w:rsidRPr="00A26CE1">
        <w:rPr>
          <w:rFonts w:ascii="Arial" w:eastAsia="Calibri" w:hAnsi="Arial" w:cs="Arial"/>
        </w:rPr>
        <w:t xml:space="preserve">Ležište tehničko-građevinskog kamena „Volujica“, se nalazi </w:t>
      </w:r>
      <w:proofErr w:type="gramStart"/>
      <w:r w:rsidRPr="00A26CE1">
        <w:rPr>
          <w:rFonts w:ascii="Arial" w:eastAsia="Calibri" w:hAnsi="Arial" w:cs="Arial"/>
        </w:rPr>
        <w:t>na</w:t>
      </w:r>
      <w:proofErr w:type="gramEnd"/>
      <w:r w:rsidRPr="00A26CE1">
        <w:rPr>
          <w:rFonts w:ascii="Arial" w:eastAsia="Calibri" w:hAnsi="Arial" w:cs="Arial"/>
        </w:rPr>
        <w:t xml:space="preserve"> sjevernoj strani poluostrva Volujice, u operativnoj zoni Luke Bar. Administrativno pripada teritoriji Opštine Bar.</w:t>
      </w:r>
    </w:p>
    <w:p w:rsidR="00EE206D" w:rsidRPr="00A26CE1" w:rsidRDefault="00EE206D" w:rsidP="00600773">
      <w:pPr>
        <w:spacing w:before="120" w:after="0"/>
        <w:jc w:val="both"/>
        <w:rPr>
          <w:rFonts w:ascii="Arial" w:eastAsia="Calibri" w:hAnsi="Arial" w:cs="Arial"/>
        </w:rPr>
      </w:pPr>
      <w:r w:rsidRPr="00A26CE1">
        <w:rPr>
          <w:rFonts w:ascii="Arial" w:eastAsia="Calibri" w:hAnsi="Arial" w:cs="Arial"/>
        </w:rPr>
        <w:t xml:space="preserve">Šire područje ležišta tehničko-građevinskog kamena „Volujica“, pripada južnom dijelu lista </w:t>
      </w:r>
      <w:r w:rsidRPr="00A26CE1">
        <w:rPr>
          <w:rFonts w:ascii="Arial" w:hAnsi="Arial" w:cs="Arial"/>
        </w:rPr>
        <w:t>„</w:t>
      </w:r>
      <w:r w:rsidRPr="00A26CE1">
        <w:rPr>
          <w:rFonts w:ascii="Arial" w:eastAsia="Calibri" w:hAnsi="Arial" w:cs="Arial"/>
        </w:rPr>
        <w:t>Bar</w:t>
      </w:r>
      <w:r w:rsidRPr="00A26CE1">
        <w:rPr>
          <w:rFonts w:ascii="Arial" w:hAnsi="Arial" w:cs="Arial"/>
        </w:rPr>
        <w:t>“,</w:t>
      </w:r>
      <w:r w:rsidR="00D8360E" w:rsidRPr="00A26CE1">
        <w:rPr>
          <w:rFonts w:ascii="Arial" w:hAnsi="Arial" w:cs="Arial"/>
        </w:rPr>
        <w:t xml:space="preserve">           </w:t>
      </w:r>
      <w:r w:rsidRPr="00A26CE1">
        <w:rPr>
          <w:rFonts w:ascii="Arial" w:eastAsia="Calibri" w:hAnsi="Arial" w:cs="Arial"/>
        </w:rPr>
        <w:t xml:space="preserve"> 1:100 000.</w:t>
      </w:r>
    </w:p>
    <w:p w:rsidR="00EE206D" w:rsidRPr="00A26CE1" w:rsidRDefault="00EE206D" w:rsidP="00600773">
      <w:pPr>
        <w:spacing w:before="120" w:after="0"/>
        <w:jc w:val="both"/>
        <w:rPr>
          <w:rFonts w:ascii="Arial" w:eastAsia="Calibri" w:hAnsi="Arial" w:cs="Arial"/>
        </w:rPr>
      </w:pPr>
      <w:r w:rsidRPr="00A26CE1">
        <w:rPr>
          <w:rFonts w:ascii="Arial" w:eastAsia="Calibri" w:hAnsi="Arial" w:cs="Arial"/>
        </w:rPr>
        <w:t xml:space="preserve">Brdo Volujica, u morfološkom smislu, predstavlja poluostrvo, </w:t>
      </w:r>
      <w:proofErr w:type="gramStart"/>
      <w:r w:rsidRPr="00A26CE1">
        <w:rPr>
          <w:rFonts w:ascii="Arial" w:eastAsia="Calibri" w:hAnsi="Arial" w:cs="Arial"/>
        </w:rPr>
        <w:t>sa</w:t>
      </w:r>
      <w:proofErr w:type="gramEnd"/>
      <w:r w:rsidRPr="00A26CE1">
        <w:rPr>
          <w:rFonts w:ascii="Arial" w:eastAsia="Calibri" w:hAnsi="Arial" w:cs="Arial"/>
        </w:rPr>
        <w:t xml:space="preserve"> najvisočijom kotom od 256 m.n.v. i završava se istoimenim rtom. Brdo se pruža pravcem SZ-JI, čija se sjeverna padina strmo spušta prema ravni Barskog polja. </w:t>
      </w:r>
    </w:p>
    <w:p w:rsidR="00EE206D" w:rsidRPr="00A26CE1" w:rsidRDefault="00EE206D" w:rsidP="00600773">
      <w:pPr>
        <w:spacing w:before="120" w:after="0"/>
        <w:jc w:val="both"/>
        <w:rPr>
          <w:rFonts w:ascii="Arial" w:eastAsia="Calibri" w:hAnsi="Arial" w:cs="Arial"/>
        </w:rPr>
      </w:pPr>
      <w:r w:rsidRPr="00A26CE1">
        <w:rPr>
          <w:rFonts w:ascii="Arial" w:eastAsia="Calibri" w:hAnsi="Arial" w:cs="Arial"/>
        </w:rPr>
        <w:t>Značajni morfološki oblici koji se pojavljuju u ovom kraju su vrtače i manje jame, tipični predstavnici morfologije karsta.</w:t>
      </w:r>
    </w:p>
    <w:p w:rsidR="00EE206D" w:rsidRPr="00A26CE1" w:rsidRDefault="00EE206D" w:rsidP="00600773">
      <w:pPr>
        <w:spacing w:before="120" w:after="0"/>
        <w:jc w:val="both"/>
        <w:rPr>
          <w:rFonts w:ascii="Arial" w:eastAsia="Calibri" w:hAnsi="Arial" w:cs="Arial"/>
        </w:rPr>
      </w:pPr>
      <w:r w:rsidRPr="00A26CE1">
        <w:rPr>
          <w:rFonts w:ascii="Arial" w:eastAsia="Calibri" w:hAnsi="Arial" w:cs="Arial"/>
        </w:rPr>
        <w:t xml:space="preserve">Poluostrvo Volujica </w:t>
      </w:r>
      <w:proofErr w:type="gramStart"/>
      <w:r w:rsidRPr="00A26CE1">
        <w:rPr>
          <w:rFonts w:ascii="Arial" w:eastAsia="Calibri" w:hAnsi="Arial" w:cs="Arial"/>
        </w:rPr>
        <w:t>sa</w:t>
      </w:r>
      <w:proofErr w:type="gramEnd"/>
      <w:r w:rsidRPr="00A26CE1">
        <w:rPr>
          <w:rFonts w:ascii="Arial" w:eastAsia="Calibri" w:hAnsi="Arial" w:cs="Arial"/>
        </w:rPr>
        <w:t xml:space="preserve"> izraženim osnovnim grebenom, strmim jugozapadnim i sjeveroistočnim padinama, slabo razuđenom obalom, geološko-tektonskim sklopom i relativno malom površinom koju zahvata, nema uslova za pojavu</w:t>
      </w:r>
      <w:r w:rsidRPr="00A26CE1">
        <w:rPr>
          <w:rFonts w:ascii="Arial" w:hAnsi="Arial" w:cs="Arial"/>
        </w:rPr>
        <w:t>,</w:t>
      </w:r>
      <w:r w:rsidRPr="00A26CE1">
        <w:rPr>
          <w:rFonts w:ascii="Arial" w:eastAsia="Calibri" w:hAnsi="Arial" w:cs="Arial"/>
        </w:rPr>
        <w:t xml:space="preserve"> kako površinskih</w:t>
      </w:r>
      <w:r w:rsidRPr="00A26CE1">
        <w:rPr>
          <w:rFonts w:ascii="Arial" w:hAnsi="Arial" w:cs="Arial"/>
        </w:rPr>
        <w:t>,</w:t>
      </w:r>
      <w:r w:rsidRPr="00A26CE1">
        <w:rPr>
          <w:rFonts w:ascii="Arial" w:eastAsia="Calibri" w:hAnsi="Arial" w:cs="Arial"/>
        </w:rPr>
        <w:t xml:space="preserve"> tako i podzemnih voda.</w:t>
      </w:r>
    </w:p>
    <w:p w:rsidR="00EE206D" w:rsidRPr="00A26CE1" w:rsidRDefault="00EE206D" w:rsidP="00600773">
      <w:pPr>
        <w:spacing w:before="120" w:after="0"/>
        <w:jc w:val="both"/>
        <w:rPr>
          <w:rFonts w:ascii="Arial" w:hAnsi="Arial" w:cs="Arial"/>
        </w:rPr>
      </w:pPr>
      <w:r w:rsidRPr="00A26CE1">
        <w:rPr>
          <w:rFonts w:ascii="Arial" w:hAnsi="Arial" w:cs="Arial"/>
        </w:rPr>
        <w:lastRenderedPageBreak/>
        <w:t>Površina</w:t>
      </w:r>
      <w:r w:rsidRPr="00A26CE1">
        <w:rPr>
          <w:rFonts w:ascii="Arial" w:eastAsia="Calibri" w:hAnsi="Arial" w:cs="Arial"/>
        </w:rPr>
        <w:t xml:space="preserve"> prostora</w:t>
      </w:r>
      <w:r w:rsidRPr="00A26CE1">
        <w:rPr>
          <w:rFonts w:ascii="Arial" w:hAnsi="Arial" w:cs="Arial"/>
        </w:rPr>
        <w:t>, na koji se daje koncesija za eksploataciju mineralne sirovine,</w:t>
      </w:r>
      <w:r w:rsidRPr="00A26CE1">
        <w:rPr>
          <w:rFonts w:ascii="Arial" w:eastAsia="Calibri" w:hAnsi="Arial" w:cs="Arial"/>
        </w:rPr>
        <w:t xml:space="preserve"> iznosi 20</w:t>
      </w:r>
      <w:proofErr w:type="gramStart"/>
      <w:r w:rsidRPr="00A26CE1">
        <w:rPr>
          <w:rFonts w:ascii="Arial" w:eastAsia="Calibri" w:hAnsi="Arial" w:cs="Arial"/>
        </w:rPr>
        <w:t>,1</w:t>
      </w:r>
      <w:proofErr w:type="gramEnd"/>
      <w:r w:rsidRPr="00A26CE1">
        <w:rPr>
          <w:rFonts w:ascii="Arial" w:eastAsia="Calibri" w:hAnsi="Arial" w:cs="Arial"/>
        </w:rPr>
        <w:t xml:space="preserve"> ha i ograničeno je tačkama</w:t>
      </w:r>
      <w:r w:rsidRPr="00A26CE1">
        <w:rPr>
          <w:rFonts w:ascii="Arial" w:hAnsi="Arial" w:cs="Arial"/>
        </w:rPr>
        <w:t xml:space="preserve"> A’, B’/B, C’/C, D’, E’,</w:t>
      </w:r>
      <w:r w:rsidR="008E2D67" w:rsidRPr="00A26CE1">
        <w:rPr>
          <w:rFonts w:ascii="Arial" w:hAnsi="Arial" w:cs="Arial"/>
        </w:rPr>
        <w:t xml:space="preserve"> F’, G’ i H’ sa </w:t>
      </w:r>
      <w:r w:rsidRPr="00A26CE1">
        <w:rPr>
          <w:rFonts w:ascii="Arial" w:hAnsi="Arial" w:cs="Arial"/>
        </w:rPr>
        <w:t>koordinatama,</w:t>
      </w:r>
      <w:r w:rsidRPr="00A26CE1">
        <w:rPr>
          <w:rFonts w:ascii="Arial" w:eastAsia="Calibri" w:hAnsi="Arial" w:cs="Arial"/>
        </w:rPr>
        <w:t xml:space="preserve"> </w:t>
      </w:r>
      <w:r w:rsidRPr="00A26CE1">
        <w:rPr>
          <w:rFonts w:ascii="Arial" w:hAnsi="Arial" w:cs="Arial"/>
        </w:rPr>
        <w:t>kako je dato u sljedećoj tabeli:</w:t>
      </w:r>
    </w:p>
    <w:p w:rsidR="00EE206D" w:rsidRPr="00A26CE1" w:rsidRDefault="00EE206D" w:rsidP="001B4358">
      <w:pPr>
        <w:spacing w:after="0"/>
        <w:jc w:val="both"/>
        <w:rPr>
          <w:rFonts w:ascii="Arial" w:hAnsi="Arial" w:cs="Arial"/>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1"/>
        <w:gridCol w:w="2126"/>
        <w:gridCol w:w="2127"/>
        <w:gridCol w:w="1842"/>
      </w:tblGrid>
      <w:tr w:rsidR="008E2D67" w:rsidRPr="00A26CE1" w:rsidTr="007D7B9A">
        <w:trPr>
          <w:trHeight w:val="300"/>
        </w:trPr>
        <w:tc>
          <w:tcPr>
            <w:tcW w:w="2551" w:type="dxa"/>
            <w:vMerge w:val="restart"/>
            <w:tcBorders>
              <w:top w:val="single" w:sz="12" w:space="0" w:color="auto"/>
              <w:left w:val="single" w:sz="12" w:space="0" w:color="auto"/>
              <w:right w:val="single" w:sz="12" w:space="0" w:color="auto"/>
            </w:tcBorders>
            <w:shd w:val="clear" w:color="auto" w:fill="FFFFFF" w:themeFill="background1"/>
            <w:vAlign w:val="center"/>
          </w:tcPr>
          <w:p w:rsidR="008E2D67" w:rsidRPr="00A26CE1" w:rsidRDefault="008E2D67" w:rsidP="001B4358">
            <w:pPr>
              <w:spacing w:after="0"/>
              <w:jc w:val="center"/>
              <w:rPr>
                <w:rFonts w:ascii="Arial" w:hAnsi="Arial" w:cs="Arial"/>
                <w:b/>
                <w:i/>
              </w:rPr>
            </w:pPr>
            <w:r w:rsidRPr="00A26CE1">
              <w:rPr>
                <w:rFonts w:ascii="Arial" w:hAnsi="Arial" w:cs="Arial"/>
                <w:b/>
                <w:i/>
              </w:rPr>
              <w:t>Tačka</w:t>
            </w:r>
          </w:p>
        </w:tc>
        <w:tc>
          <w:tcPr>
            <w:tcW w:w="4253" w:type="dxa"/>
            <w:gridSpan w:val="2"/>
            <w:tcBorders>
              <w:top w:val="single" w:sz="12" w:space="0" w:color="auto"/>
              <w:left w:val="single" w:sz="12" w:space="0" w:color="auto"/>
              <w:right w:val="single" w:sz="12" w:space="0" w:color="auto"/>
            </w:tcBorders>
            <w:shd w:val="clear" w:color="auto" w:fill="FFFFFF" w:themeFill="background1"/>
            <w:vAlign w:val="center"/>
          </w:tcPr>
          <w:p w:rsidR="008E2D67" w:rsidRPr="00A26CE1" w:rsidRDefault="008E2D67" w:rsidP="001B4358">
            <w:pPr>
              <w:spacing w:after="0"/>
              <w:jc w:val="center"/>
              <w:rPr>
                <w:rFonts w:ascii="Arial" w:hAnsi="Arial" w:cs="Arial"/>
                <w:b/>
                <w:i/>
              </w:rPr>
            </w:pPr>
            <w:r w:rsidRPr="00A26CE1">
              <w:rPr>
                <w:rFonts w:ascii="Arial" w:hAnsi="Arial" w:cs="Arial"/>
                <w:b/>
                <w:i/>
              </w:rPr>
              <w:t>K O O R D I N A T E</w:t>
            </w:r>
          </w:p>
        </w:tc>
        <w:tc>
          <w:tcPr>
            <w:tcW w:w="1842" w:type="dxa"/>
            <w:vMerge w:val="restart"/>
            <w:tcBorders>
              <w:top w:val="single" w:sz="12" w:space="0" w:color="auto"/>
              <w:left w:val="single" w:sz="12" w:space="0" w:color="auto"/>
              <w:right w:val="single" w:sz="12" w:space="0" w:color="auto"/>
            </w:tcBorders>
            <w:shd w:val="clear" w:color="auto" w:fill="FFFFFF" w:themeFill="background1"/>
            <w:vAlign w:val="center"/>
          </w:tcPr>
          <w:p w:rsidR="008E2D67" w:rsidRPr="00A26CE1" w:rsidRDefault="008E2D67" w:rsidP="001B4358">
            <w:pPr>
              <w:spacing w:after="0"/>
              <w:jc w:val="center"/>
              <w:rPr>
                <w:rFonts w:ascii="Arial" w:hAnsi="Arial" w:cs="Arial"/>
                <w:b/>
                <w:i/>
              </w:rPr>
            </w:pPr>
            <w:r w:rsidRPr="00A26CE1">
              <w:rPr>
                <w:rFonts w:ascii="Arial" w:hAnsi="Arial" w:cs="Arial"/>
                <w:b/>
                <w:i/>
              </w:rPr>
              <w:t>Površina</w:t>
            </w:r>
          </w:p>
          <w:p w:rsidR="008E2D67" w:rsidRPr="00A26CE1" w:rsidRDefault="008E2D67" w:rsidP="001B4358">
            <w:pPr>
              <w:spacing w:after="0"/>
              <w:jc w:val="center"/>
              <w:rPr>
                <w:rFonts w:ascii="Arial" w:hAnsi="Arial" w:cs="Arial"/>
                <w:b/>
                <w:i/>
              </w:rPr>
            </w:pPr>
            <w:r w:rsidRPr="00A26CE1">
              <w:rPr>
                <w:rFonts w:ascii="Arial" w:hAnsi="Arial" w:cs="Arial"/>
                <w:b/>
                <w:i/>
              </w:rPr>
              <w:t>(ha)</w:t>
            </w:r>
          </w:p>
        </w:tc>
      </w:tr>
      <w:tr w:rsidR="008E2D67" w:rsidRPr="00A26CE1" w:rsidTr="007D7B9A">
        <w:trPr>
          <w:trHeight w:val="267"/>
        </w:trPr>
        <w:tc>
          <w:tcPr>
            <w:tcW w:w="2551" w:type="dxa"/>
            <w:vMerge/>
            <w:tcBorders>
              <w:left w:val="single" w:sz="12" w:space="0" w:color="auto"/>
              <w:bottom w:val="single" w:sz="12" w:space="0" w:color="auto"/>
              <w:right w:val="single" w:sz="12" w:space="0" w:color="auto"/>
            </w:tcBorders>
            <w:shd w:val="clear" w:color="auto" w:fill="FFFFFF" w:themeFill="background1"/>
            <w:vAlign w:val="center"/>
          </w:tcPr>
          <w:p w:rsidR="008E2D67" w:rsidRPr="00A26CE1" w:rsidRDefault="008E2D67" w:rsidP="001B4358">
            <w:pPr>
              <w:spacing w:after="0"/>
              <w:jc w:val="center"/>
              <w:rPr>
                <w:rFonts w:ascii="Arial" w:hAnsi="Arial" w:cs="Arial"/>
                <w:b/>
                <w:i/>
              </w:rPr>
            </w:pPr>
          </w:p>
        </w:tc>
        <w:tc>
          <w:tcPr>
            <w:tcW w:w="2126" w:type="dxa"/>
            <w:tcBorders>
              <w:left w:val="single" w:sz="12" w:space="0" w:color="auto"/>
              <w:bottom w:val="single" w:sz="12" w:space="0" w:color="auto"/>
              <w:right w:val="single" w:sz="12" w:space="0" w:color="auto"/>
            </w:tcBorders>
            <w:shd w:val="clear" w:color="auto" w:fill="FFFFFF" w:themeFill="background1"/>
            <w:vAlign w:val="center"/>
          </w:tcPr>
          <w:p w:rsidR="008E2D67" w:rsidRPr="00A26CE1" w:rsidRDefault="008E2D67" w:rsidP="001B4358">
            <w:pPr>
              <w:spacing w:after="0"/>
              <w:jc w:val="center"/>
              <w:rPr>
                <w:rFonts w:ascii="Arial" w:hAnsi="Arial" w:cs="Arial"/>
                <w:b/>
                <w:i/>
              </w:rPr>
            </w:pPr>
            <w:r w:rsidRPr="00A26CE1">
              <w:rPr>
                <w:rFonts w:ascii="Arial" w:hAnsi="Arial" w:cs="Arial"/>
                <w:b/>
                <w:i/>
              </w:rPr>
              <w:t>X</w:t>
            </w:r>
          </w:p>
        </w:tc>
        <w:tc>
          <w:tcPr>
            <w:tcW w:w="2127" w:type="dxa"/>
            <w:tcBorders>
              <w:left w:val="single" w:sz="12" w:space="0" w:color="auto"/>
              <w:bottom w:val="single" w:sz="12" w:space="0" w:color="auto"/>
              <w:right w:val="single" w:sz="12" w:space="0" w:color="auto"/>
            </w:tcBorders>
            <w:shd w:val="clear" w:color="auto" w:fill="FFFFFF" w:themeFill="background1"/>
            <w:vAlign w:val="center"/>
          </w:tcPr>
          <w:p w:rsidR="008E2D67" w:rsidRPr="00A26CE1" w:rsidRDefault="008E2D67" w:rsidP="001B4358">
            <w:pPr>
              <w:spacing w:after="0"/>
              <w:jc w:val="center"/>
              <w:rPr>
                <w:rFonts w:ascii="Arial" w:hAnsi="Arial" w:cs="Arial"/>
                <w:b/>
                <w:i/>
              </w:rPr>
            </w:pPr>
            <w:r w:rsidRPr="00A26CE1">
              <w:rPr>
                <w:rFonts w:ascii="Arial" w:hAnsi="Arial" w:cs="Arial"/>
                <w:b/>
                <w:i/>
              </w:rPr>
              <w:t>Y</w:t>
            </w:r>
          </w:p>
        </w:tc>
        <w:tc>
          <w:tcPr>
            <w:tcW w:w="1842" w:type="dxa"/>
            <w:vMerge/>
            <w:tcBorders>
              <w:left w:val="single" w:sz="12" w:space="0" w:color="auto"/>
              <w:bottom w:val="single" w:sz="12" w:space="0" w:color="auto"/>
              <w:right w:val="single" w:sz="12" w:space="0" w:color="auto"/>
            </w:tcBorders>
            <w:shd w:val="clear" w:color="auto" w:fill="FFFFFF" w:themeFill="background1"/>
            <w:vAlign w:val="center"/>
          </w:tcPr>
          <w:p w:rsidR="008E2D67" w:rsidRPr="00A26CE1" w:rsidRDefault="008E2D67" w:rsidP="001B4358">
            <w:pPr>
              <w:spacing w:after="0"/>
              <w:jc w:val="center"/>
              <w:rPr>
                <w:rFonts w:ascii="Arial" w:hAnsi="Arial" w:cs="Arial"/>
                <w:b/>
                <w:i/>
              </w:rPr>
            </w:pPr>
          </w:p>
        </w:tc>
      </w:tr>
      <w:tr w:rsidR="00EE206D" w:rsidRPr="00A26CE1" w:rsidTr="007D7B9A">
        <w:tc>
          <w:tcPr>
            <w:tcW w:w="2551" w:type="dxa"/>
            <w:tcBorders>
              <w:top w:val="single" w:sz="12" w:space="0" w:color="auto"/>
              <w:left w:val="single" w:sz="12" w:space="0" w:color="auto"/>
              <w:right w:val="single" w:sz="12" w:space="0" w:color="auto"/>
            </w:tcBorders>
            <w:shd w:val="clear" w:color="auto" w:fill="FFFFFF" w:themeFill="background1"/>
            <w:vAlign w:val="center"/>
          </w:tcPr>
          <w:p w:rsidR="00EE206D" w:rsidRPr="00A26CE1" w:rsidRDefault="00EE206D" w:rsidP="001B4358">
            <w:pPr>
              <w:spacing w:after="0"/>
              <w:jc w:val="center"/>
              <w:rPr>
                <w:rFonts w:ascii="Arial" w:hAnsi="Arial" w:cs="Arial"/>
                <w:b/>
                <w:i/>
              </w:rPr>
            </w:pPr>
            <w:r w:rsidRPr="00A26CE1">
              <w:rPr>
                <w:rFonts w:ascii="Arial" w:hAnsi="Arial" w:cs="Arial"/>
                <w:b/>
                <w:i/>
              </w:rPr>
              <w:t>A’</w:t>
            </w:r>
          </w:p>
        </w:tc>
        <w:tc>
          <w:tcPr>
            <w:tcW w:w="2126" w:type="dxa"/>
            <w:tcBorders>
              <w:top w:val="single" w:sz="12" w:space="0" w:color="auto"/>
              <w:left w:val="single" w:sz="12" w:space="0" w:color="auto"/>
              <w:right w:val="single" w:sz="12" w:space="0" w:color="auto"/>
            </w:tcBorders>
            <w:vAlign w:val="center"/>
          </w:tcPr>
          <w:p w:rsidR="00EE206D" w:rsidRPr="00A26CE1" w:rsidRDefault="00EE206D" w:rsidP="001B4358">
            <w:pPr>
              <w:spacing w:after="0"/>
              <w:jc w:val="center"/>
              <w:rPr>
                <w:rFonts w:ascii="Arial" w:hAnsi="Arial" w:cs="Arial"/>
              </w:rPr>
            </w:pPr>
            <w:r w:rsidRPr="00A26CE1">
              <w:rPr>
                <w:rFonts w:ascii="Arial" w:hAnsi="Arial" w:cs="Arial"/>
              </w:rPr>
              <w:t>4 660 895</w:t>
            </w:r>
          </w:p>
        </w:tc>
        <w:tc>
          <w:tcPr>
            <w:tcW w:w="2127" w:type="dxa"/>
            <w:tcBorders>
              <w:top w:val="single" w:sz="12" w:space="0" w:color="auto"/>
              <w:left w:val="single" w:sz="12" w:space="0" w:color="auto"/>
              <w:right w:val="single" w:sz="12" w:space="0" w:color="auto"/>
            </w:tcBorders>
            <w:vAlign w:val="center"/>
          </w:tcPr>
          <w:p w:rsidR="00EE206D" w:rsidRPr="00A26CE1" w:rsidRDefault="00EE206D" w:rsidP="001B4358">
            <w:pPr>
              <w:spacing w:after="0"/>
              <w:jc w:val="center"/>
              <w:rPr>
                <w:rFonts w:ascii="Arial" w:hAnsi="Arial" w:cs="Arial"/>
              </w:rPr>
            </w:pPr>
            <w:r w:rsidRPr="00A26CE1">
              <w:rPr>
                <w:rFonts w:ascii="Arial" w:hAnsi="Arial" w:cs="Arial"/>
              </w:rPr>
              <w:t>6 589 180</w:t>
            </w:r>
          </w:p>
        </w:tc>
        <w:tc>
          <w:tcPr>
            <w:tcW w:w="1842" w:type="dxa"/>
            <w:vMerge w:val="restart"/>
            <w:tcBorders>
              <w:top w:val="single" w:sz="12" w:space="0" w:color="auto"/>
              <w:left w:val="single" w:sz="12" w:space="0" w:color="auto"/>
              <w:right w:val="single" w:sz="12" w:space="0" w:color="auto"/>
            </w:tcBorders>
            <w:vAlign w:val="center"/>
          </w:tcPr>
          <w:p w:rsidR="00EE206D" w:rsidRPr="00A26CE1" w:rsidRDefault="00EE206D" w:rsidP="001B4358">
            <w:pPr>
              <w:spacing w:after="0"/>
              <w:jc w:val="center"/>
              <w:rPr>
                <w:rFonts w:ascii="Arial" w:hAnsi="Arial" w:cs="Arial"/>
              </w:rPr>
            </w:pPr>
            <w:r w:rsidRPr="00A26CE1">
              <w:rPr>
                <w:rFonts w:ascii="Arial" w:hAnsi="Arial" w:cs="Arial"/>
              </w:rPr>
              <w:t>20,1</w:t>
            </w:r>
          </w:p>
        </w:tc>
      </w:tr>
      <w:tr w:rsidR="00EE206D" w:rsidRPr="00A26CE1" w:rsidTr="007D7B9A">
        <w:tc>
          <w:tcPr>
            <w:tcW w:w="2551" w:type="dxa"/>
            <w:tcBorders>
              <w:left w:val="single" w:sz="12" w:space="0" w:color="auto"/>
              <w:right w:val="single" w:sz="12" w:space="0" w:color="auto"/>
            </w:tcBorders>
            <w:shd w:val="clear" w:color="auto" w:fill="FFFFFF" w:themeFill="background1"/>
            <w:vAlign w:val="center"/>
          </w:tcPr>
          <w:p w:rsidR="00EE206D" w:rsidRPr="00A26CE1" w:rsidRDefault="00EE206D" w:rsidP="001B4358">
            <w:pPr>
              <w:spacing w:after="0"/>
              <w:jc w:val="center"/>
              <w:rPr>
                <w:rFonts w:ascii="Arial" w:hAnsi="Arial" w:cs="Arial"/>
                <w:b/>
                <w:i/>
              </w:rPr>
            </w:pPr>
            <w:r w:rsidRPr="00A26CE1">
              <w:rPr>
                <w:rFonts w:ascii="Arial" w:hAnsi="Arial" w:cs="Arial"/>
                <w:b/>
                <w:i/>
              </w:rPr>
              <w:t>B’/B</w:t>
            </w:r>
          </w:p>
        </w:tc>
        <w:tc>
          <w:tcPr>
            <w:tcW w:w="2126" w:type="dxa"/>
            <w:tcBorders>
              <w:left w:val="single" w:sz="12" w:space="0" w:color="auto"/>
              <w:right w:val="single" w:sz="12" w:space="0" w:color="auto"/>
            </w:tcBorders>
            <w:vAlign w:val="center"/>
          </w:tcPr>
          <w:p w:rsidR="00EE206D" w:rsidRPr="00A26CE1" w:rsidRDefault="00EE206D" w:rsidP="001B4358">
            <w:pPr>
              <w:spacing w:after="0"/>
              <w:jc w:val="center"/>
              <w:rPr>
                <w:rFonts w:ascii="Arial" w:hAnsi="Arial" w:cs="Arial"/>
              </w:rPr>
            </w:pPr>
            <w:r w:rsidRPr="00A26CE1">
              <w:rPr>
                <w:rFonts w:ascii="Arial" w:hAnsi="Arial" w:cs="Arial"/>
              </w:rPr>
              <w:t>4 660 829</w:t>
            </w:r>
          </w:p>
        </w:tc>
        <w:tc>
          <w:tcPr>
            <w:tcW w:w="2127" w:type="dxa"/>
            <w:tcBorders>
              <w:left w:val="single" w:sz="12" w:space="0" w:color="auto"/>
              <w:right w:val="single" w:sz="12" w:space="0" w:color="auto"/>
            </w:tcBorders>
            <w:vAlign w:val="center"/>
          </w:tcPr>
          <w:p w:rsidR="00EE206D" w:rsidRPr="00A26CE1" w:rsidRDefault="00EE206D" w:rsidP="001B4358">
            <w:pPr>
              <w:spacing w:after="0"/>
              <w:jc w:val="center"/>
              <w:rPr>
                <w:rFonts w:ascii="Arial" w:hAnsi="Arial" w:cs="Arial"/>
              </w:rPr>
            </w:pPr>
            <w:r w:rsidRPr="00A26CE1">
              <w:rPr>
                <w:rFonts w:ascii="Arial" w:hAnsi="Arial" w:cs="Arial"/>
              </w:rPr>
              <w:t>6 589 440</w:t>
            </w:r>
          </w:p>
        </w:tc>
        <w:tc>
          <w:tcPr>
            <w:tcW w:w="1842" w:type="dxa"/>
            <w:vMerge/>
            <w:tcBorders>
              <w:left w:val="single" w:sz="12" w:space="0" w:color="auto"/>
              <w:right w:val="single" w:sz="12" w:space="0" w:color="auto"/>
            </w:tcBorders>
            <w:vAlign w:val="center"/>
          </w:tcPr>
          <w:p w:rsidR="00EE206D" w:rsidRPr="00A26CE1" w:rsidRDefault="00EE206D" w:rsidP="001B4358">
            <w:pPr>
              <w:spacing w:after="0"/>
              <w:jc w:val="both"/>
              <w:rPr>
                <w:rFonts w:ascii="Arial" w:hAnsi="Arial" w:cs="Arial"/>
              </w:rPr>
            </w:pPr>
          </w:p>
        </w:tc>
      </w:tr>
      <w:tr w:rsidR="00EE206D" w:rsidRPr="00A26CE1" w:rsidTr="007D7B9A">
        <w:tc>
          <w:tcPr>
            <w:tcW w:w="2551" w:type="dxa"/>
            <w:tcBorders>
              <w:left w:val="single" w:sz="12" w:space="0" w:color="auto"/>
              <w:right w:val="single" w:sz="12" w:space="0" w:color="auto"/>
            </w:tcBorders>
            <w:shd w:val="clear" w:color="auto" w:fill="FFFFFF" w:themeFill="background1"/>
            <w:vAlign w:val="center"/>
          </w:tcPr>
          <w:p w:rsidR="00EE206D" w:rsidRPr="00A26CE1" w:rsidRDefault="00EE206D" w:rsidP="001B4358">
            <w:pPr>
              <w:spacing w:after="0"/>
              <w:jc w:val="center"/>
              <w:rPr>
                <w:rFonts w:ascii="Arial" w:hAnsi="Arial" w:cs="Arial"/>
                <w:b/>
                <w:i/>
              </w:rPr>
            </w:pPr>
            <w:r w:rsidRPr="00A26CE1">
              <w:rPr>
                <w:rFonts w:ascii="Arial" w:hAnsi="Arial" w:cs="Arial"/>
                <w:b/>
                <w:i/>
              </w:rPr>
              <w:t>C’/C</w:t>
            </w:r>
          </w:p>
        </w:tc>
        <w:tc>
          <w:tcPr>
            <w:tcW w:w="2126" w:type="dxa"/>
            <w:tcBorders>
              <w:left w:val="single" w:sz="12" w:space="0" w:color="auto"/>
              <w:right w:val="single" w:sz="12" w:space="0" w:color="auto"/>
            </w:tcBorders>
            <w:vAlign w:val="center"/>
          </w:tcPr>
          <w:p w:rsidR="00EE206D" w:rsidRPr="00A26CE1" w:rsidRDefault="00EE206D" w:rsidP="001B4358">
            <w:pPr>
              <w:spacing w:after="0"/>
              <w:jc w:val="center"/>
              <w:rPr>
                <w:rFonts w:ascii="Arial" w:hAnsi="Arial" w:cs="Arial"/>
              </w:rPr>
            </w:pPr>
            <w:r w:rsidRPr="00A26CE1">
              <w:rPr>
                <w:rFonts w:ascii="Arial" w:hAnsi="Arial" w:cs="Arial"/>
              </w:rPr>
              <w:t>4 660 670</w:t>
            </w:r>
          </w:p>
        </w:tc>
        <w:tc>
          <w:tcPr>
            <w:tcW w:w="2127" w:type="dxa"/>
            <w:tcBorders>
              <w:left w:val="single" w:sz="12" w:space="0" w:color="auto"/>
              <w:right w:val="single" w:sz="12" w:space="0" w:color="auto"/>
            </w:tcBorders>
            <w:vAlign w:val="center"/>
          </w:tcPr>
          <w:p w:rsidR="00EE206D" w:rsidRPr="00A26CE1" w:rsidRDefault="00EE206D" w:rsidP="001B4358">
            <w:pPr>
              <w:spacing w:after="0"/>
              <w:jc w:val="center"/>
              <w:rPr>
                <w:rFonts w:ascii="Arial" w:hAnsi="Arial" w:cs="Arial"/>
              </w:rPr>
            </w:pPr>
            <w:r w:rsidRPr="00A26CE1">
              <w:rPr>
                <w:rFonts w:ascii="Arial" w:hAnsi="Arial" w:cs="Arial"/>
              </w:rPr>
              <w:t>6 589 968</w:t>
            </w:r>
          </w:p>
        </w:tc>
        <w:tc>
          <w:tcPr>
            <w:tcW w:w="1842" w:type="dxa"/>
            <w:vMerge/>
            <w:tcBorders>
              <w:left w:val="single" w:sz="12" w:space="0" w:color="auto"/>
              <w:right w:val="single" w:sz="12" w:space="0" w:color="auto"/>
            </w:tcBorders>
            <w:vAlign w:val="center"/>
          </w:tcPr>
          <w:p w:rsidR="00EE206D" w:rsidRPr="00A26CE1" w:rsidRDefault="00EE206D" w:rsidP="001B4358">
            <w:pPr>
              <w:spacing w:after="0"/>
              <w:jc w:val="both"/>
              <w:rPr>
                <w:rFonts w:ascii="Arial" w:hAnsi="Arial" w:cs="Arial"/>
              </w:rPr>
            </w:pPr>
          </w:p>
        </w:tc>
      </w:tr>
      <w:tr w:rsidR="00EE206D" w:rsidRPr="00A26CE1" w:rsidTr="007D7B9A">
        <w:tc>
          <w:tcPr>
            <w:tcW w:w="2551" w:type="dxa"/>
            <w:tcBorders>
              <w:left w:val="single" w:sz="12" w:space="0" w:color="auto"/>
              <w:right w:val="single" w:sz="12" w:space="0" w:color="auto"/>
            </w:tcBorders>
            <w:shd w:val="clear" w:color="auto" w:fill="FFFFFF" w:themeFill="background1"/>
            <w:vAlign w:val="center"/>
          </w:tcPr>
          <w:p w:rsidR="00EE206D" w:rsidRPr="00A26CE1" w:rsidRDefault="00EE206D" w:rsidP="001B4358">
            <w:pPr>
              <w:spacing w:after="0"/>
              <w:jc w:val="center"/>
              <w:rPr>
                <w:rFonts w:ascii="Arial" w:hAnsi="Arial" w:cs="Arial"/>
                <w:b/>
                <w:i/>
              </w:rPr>
            </w:pPr>
            <w:r w:rsidRPr="00A26CE1">
              <w:rPr>
                <w:rFonts w:ascii="Arial" w:hAnsi="Arial" w:cs="Arial"/>
                <w:b/>
                <w:i/>
              </w:rPr>
              <w:t>D’</w:t>
            </w:r>
          </w:p>
        </w:tc>
        <w:tc>
          <w:tcPr>
            <w:tcW w:w="2126" w:type="dxa"/>
            <w:tcBorders>
              <w:left w:val="single" w:sz="12" w:space="0" w:color="auto"/>
              <w:right w:val="single" w:sz="12" w:space="0" w:color="auto"/>
            </w:tcBorders>
            <w:vAlign w:val="center"/>
          </w:tcPr>
          <w:p w:rsidR="00EE206D" w:rsidRPr="00A26CE1" w:rsidRDefault="00EE206D" w:rsidP="001B4358">
            <w:pPr>
              <w:spacing w:after="0"/>
              <w:jc w:val="center"/>
              <w:rPr>
                <w:rFonts w:ascii="Arial" w:hAnsi="Arial" w:cs="Arial"/>
              </w:rPr>
            </w:pPr>
            <w:r w:rsidRPr="00A26CE1">
              <w:rPr>
                <w:rFonts w:ascii="Arial" w:hAnsi="Arial" w:cs="Arial"/>
              </w:rPr>
              <w:t>4 660 575</w:t>
            </w:r>
          </w:p>
        </w:tc>
        <w:tc>
          <w:tcPr>
            <w:tcW w:w="2127" w:type="dxa"/>
            <w:tcBorders>
              <w:left w:val="single" w:sz="12" w:space="0" w:color="auto"/>
              <w:right w:val="single" w:sz="12" w:space="0" w:color="auto"/>
            </w:tcBorders>
            <w:vAlign w:val="center"/>
          </w:tcPr>
          <w:p w:rsidR="00EE206D" w:rsidRPr="00A26CE1" w:rsidRDefault="00EE206D" w:rsidP="001B4358">
            <w:pPr>
              <w:spacing w:after="0"/>
              <w:jc w:val="center"/>
              <w:rPr>
                <w:rFonts w:ascii="Arial" w:hAnsi="Arial" w:cs="Arial"/>
              </w:rPr>
            </w:pPr>
            <w:r w:rsidRPr="00A26CE1">
              <w:rPr>
                <w:rFonts w:ascii="Arial" w:hAnsi="Arial" w:cs="Arial"/>
              </w:rPr>
              <w:t>6 590 160</w:t>
            </w:r>
          </w:p>
        </w:tc>
        <w:tc>
          <w:tcPr>
            <w:tcW w:w="1842" w:type="dxa"/>
            <w:vMerge/>
            <w:tcBorders>
              <w:left w:val="single" w:sz="12" w:space="0" w:color="auto"/>
              <w:right w:val="single" w:sz="12" w:space="0" w:color="auto"/>
            </w:tcBorders>
            <w:vAlign w:val="center"/>
          </w:tcPr>
          <w:p w:rsidR="00EE206D" w:rsidRPr="00A26CE1" w:rsidRDefault="00EE206D" w:rsidP="001B4358">
            <w:pPr>
              <w:spacing w:after="0"/>
              <w:jc w:val="both"/>
              <w:rPr>
                <w:rFonts w:ascii="Arial" w:hAnsi="Arial" w:cs="Arial"/>
              </w:rPr>
            </w:pPr>
          </w:p>
        </w:tc>
      </w:tr>
      <w:tr w:rsidR="00EE206D" w:rsidRPr="00A26CE1" w:rsidTr="007D7B9A">
        <w:tc>
          <w:tcPr>
            <w:tcW w:w="2551" w:type="dxa"/>
            <w:tcBorders>
              <w:left w:val="single" w:sz="12" w:space="0" w:color="auto"/>
              <w:right w:val="single" w:sz="12" w:space="0" w:color="auto"/>
            </w:tcBorders>
            <w:shd w:val="clear" w:color="auto" w:fill="FFFFFF" w:themeFill="background1"/>
            <w:vAlign w:val="center"/>
          </w:tcPr>
          <w:p w:rsidR="00EE206D" w:rsidRPr="00A26CE1" w:rsidRDefault="00EE206D" w:rsidP="001B4358">
            <w:pPr>
              <w:spacing w:after="0"/>
              <w:jc w:val="center"/>
              <w:rPr>
                <w:rFonts w:ascii="Arial" w:hAnsi="Arial" w:cs="Arial"/>
                <w:b/>
                <w:i/>
              </w:rPr>
            </w:pPr>
            <w:r w:rsidRPr="00A26CE1">
              <w:rPr>
                <w:rFonts w:ascii="Arial" w:hAnsi="Arial" w:cs="Arial"/>
                <w:b/>
                <w:i/>
              </w:rPr>
              <w:t>E’</w:t>
            </w:r>
          </w:p>
        </w:tc>
        <w:tc>
          <w:tcPr>
            <w:tcW w:w="2126" w:type="dxa"/>
            <w:tcBorders>
              <w:left w:val="single" w:sz="12" w:space="0" w:color="auto"/>
              <w:right w:val="single" w:sz="12" w:space="0" w:color="auto"/>
            </w:tcBorders>
            <w:vAlign w:val="center"/>
          </w:tcPr>
          <w:p w:rsidR="00EE206D" w:rsidRPr="00A26CE1" w:rsidRDefault="00EE206D" w:rsidP="001B4358">
            <w:pPr>
              <w:spacing w:after="0"/>
              <w:jc w:val="center"/>
              <w:rPr>
                <w:rFonts w:ascii="Arial" w:hAnsi="Arial" w:cs="Arial"/>
              </w:rPr>
            </w:pPr>
            <w:r w:rsidRPr="00A26CE1">
              <w:rPr>
                <w:rFonts w:ascii="Arial" w:hAnsi="Arial" w:cs="Arial"/>
              </w:rPr>
              <w:t>4 660 450</w:t>
            </w:r>
          </w:p>
        </w:tc>
        <w:tc>
          <w:tcPr>
            <w:tcW w:w="2127" w:type="dxa"/>
            <w:tcBorders>
              <w:left w:val="single" w:sz="12" w:space="0" w:color="auto"/>
              <w:right w:val="single" w:sz="12" w:space="0" w:color="auto"/>
            </w:tcBorders>
            <w:vAlign w:val="center"/>
          </w:tcPr>
          <w:p w:rsidR="00EE206D" w:rsidRPr="00A26CE1" w:rsidRDefault="00EE206D" w:rsidP="001B4358">
            <w:pPr>
              <w:spacing w:after="0"/>
              <w:jc w:val="center"/>
              <w:rPr>
                <w:rFonts w:ascii="Arial" w:hAnsi="Arial" w:cs="Arial"/>
              </w:rPr>
            </w:pPr>
            <w:r w:rsidRPr="00A26CE1">
              <w:rPr>
                <w:rFonts w:ascii="Arial" w:hAnsi="Arial" w:cs="Arial"/>
              </w:rPr>
              <w:t>6 590 085</w:t>
            </w:r>
          </w:p>
        </w:tc>
        <w:tc>
          <w:tcPr>
            <w:tcW w:w="1842" w:type="dxa"/>
            <w:vMerge/>
            <w:tcBorders>
              <w:left w:val="single" w:sz="12" w:space="0" w:color="auto"/>
              <w:right w:val="single" w:sz="12" w:space="0" w:color="auto"/>
            </w:tcBorders>
            <w:vAlign w:val="center"/>
          </w:tcPr>
          <w:p w:rsidR="00EE206D" w:rsidRPr="00A26CE1" w:rsidRDefault="00EE206D" w:rsidP="001B4358">
            <w:pPr>
              <w:spacing w:after="0"/>
              <w:jc w:val="both"/>
              <w:rPr>
                <w:rFonts w:ascii="Arial" w:hAnsi="Arial" w:cs="Arial"/>
              </w:rPr>
            </w:pPr>
          </w:p>
        </w:tc>
      </w:tr>
      <w:tr w:rsidR="00EE206D" w:rsidRPr="00A26CE1" w:rsidTr="007D7B9A">
        <w:tc>
          <w:tcPr>
            <w:tcW w:w="2551" w:type="dxa"/>
            <w:tcBorders>
              <w:left w:val="single" w:sz="12" w:space="0" w:color="auto"/>
              <w:right w:val="single" w:sz="12" w:space="0" w:color="auto"/>
            </w:tcBorders>
            <w:shd w:val="clear" w:color="auto" w:fill="FFFFFF" w:themeFill="background1"/>
            <w:vAlign w:val="center"/>
          </w:tcPr>
          <w:p w:rsidR="00EE206D" w:rsidRPr="00A26CE1" w:rsidRDefault="00EE206D" w:rsidP="001B4358">
            <w:pPr>
              <w:spacing w:after="0"/>
              <w:jc w:val="center"/>
              <w:rPr>
                <w:rFonts w:ascii="Arial" w:hAnsi="Arial" w:cs="Arial"/>
                <w:b/>
                <w:i/>
              </w:rPr>
            </w:pPr>
            <w:r w:rsidRPr="00A26CE1">
              <w:rPr>
                <w:rFonts w:ascii="Arial" w:hAnsi="Arial" w:cs="Arial"/>
                <w:b/>
                <w:i/>
              </w:rPr>
              <w:t>F’</w:t>
            </w:r>
          </w:p>
        </w:tc>
        <w:tc>
          <w:tcPr>
            <w:tcW w:w="2126" w:type="dxa"/>
            <w:tcBorders>
              <w:left w:val="single" w:sz="12" w:space="0" w:color="auto"/>
              <w:right w:val="single" w:sz="12" w:space="0" w:color="auto"/>
            </w:tcBorders>
            <w:vAlign w:val="center"/>
          </w:tcPr>
          <w:p w:rsidR="00EE206D" w:rsidRPr="00A26CE1" w:rsidRDefault="00EE206D" w:rsidP="001B4358">
            <w:pPr>
              <w:spacing w:after="0"/>
              <w:jc w:val="center"/>
              <w:rPr>
                <w:rFonts w:ascii="Arial" w:hAnsi="Arial" w:cs="Arial"/>
              </w:rPr>
            </w:pPr>
            <w:r w:rsidRPr="00A26CE1">
              <w:rPr>
                <w:rFonts w:ascii="Arial" w:hAnsi="Arial" w:cs="Arial"/>
              </w:rPr>
              <w:t>4 660 450</w:t>
            </w:r>
          </w:p>
        </w:tc>
        <w:tc>
          <w:tcPr>
            <w:tcW w:w="2127" w:type="dxa"/>
            <w:tcBorders>
              <w:left w:val="single" w:sz="12" w:space="0" w:color="auto"/>
              <w:right w:val="single" w:sz="12" w:space="0" w:color="auto"/>
            </w:tcBorders>
            <w:vAlign w:val="center"/>
          </w:tcPr>
          <w:p w:rsidR="00EE206D" w:rsidRPr="00A26CE1" w:rsidRDefault="00EE206D" w:rsidP="001B4358">
            <w:pPr>
              <w:spacing w:after="0"/>
              <w:jc w:val="center"/>
              <w:rPr>
                <w:rFonts w:ascii="Arial" w:hAnsi="Arial" w:cs="Arial"/>
              </w:rPr>
            </w:pPr>
            <w:r w:rsidRPr="00A26CE1">
              <w:rPr>
                <w:rFonts w:ascii="Arial" w:hAnsi="Arial" w:cs="Arial"/>
              </w:rPr>
              <w:t>6 589 825</w:t>
            </w:r>
          </w:p>
        </w:tc>
        <w:tc>
          <w:tcPr>
            <w:tcW w:w="1842" w:type="dxa"/>
            <w:vMerge/>
            <w:tcBorders>
              <w:left w:val="single" w:sz="12" w:space="0" w:color="auto"/>
              <w:right w:val="single" w:sz="12" w:space="0" w:color="auto"/>
            </w:tcBorders>
            <w:vAlign w:val="center"/>
          </w:tcPr>
          <w:p w:rsidR="00EE206D" w:rsidRPr="00A26CE1" w:rsidRDefault="00EE206D" w:rsidP="001B4358">
            <w:pPr>
              <w:spacing w:after="0"/>
              <w:jc w:val="both"/>
              <w:rPr>
                <w:rFonts w:ascii="Arial" w:hAnsi="Arial" w:cs="Arial"/>
              </w:rPr>
            </w:pPr>
          </w:p>
        </w:tc>
      </w:tr>
      <w:tr w:rsidR="00EE206D" w:rsidRPr="00A26CE1" w:rsidTr="007D7B9A">
        <w:tc>
          <w:tcPr>
            <w:tcW w:w="2551" w:type="dxa"/>
            <w:tcBorders>
              <w:left w:val="single" w:sz="12" w:space="0" w:color="auto"/>
              <w:right w:val="single" w:sz="12" w:space="0" w:color="auto"/>
            </w:tcBorders>
            <w:shd w:val="clear" w:color="auto" w:fill="FFFFFF" w:themeFill="background1"/>
            <w:vAlign w:val="center"/>
          </w:tcPr>
          <w:p w:rsidR="00EE206D" w:rsidRPr="00A26CE1" w:rsidRDefault="00EE206D" w:rsidP="001B4358">
            <w:pPr>
              <w:spacing w:after="0"/>
              <w:jc w:val="center"/>
              <w:rPr>
                <w:rFonts w:ascii="Arial" w:hAnsi="Arial" w:cs="Arial"/>
                <w:b/>
                <w:i/>
              </w:rPr>
            </w:pPr>
            <w:r w:rsidRPr="00A26CE1">
              <w:rPr>
                <w:rFonts w:ascii="Arial" w:hAnsi="Arial" w:cs="Arial"/>
                <w:b/>
                <w:i/>
              </w:rPr>
              <w:t>G’</w:t>
            </w:r>
          </w:p>
        </w:tc>
        <w:tc>
          <w:tcPr>
            <w:tcW w:w="2126" w:type="dxa"/>
            <w:tcBorders>
              <w:left w:val="single" w:sz="12" w:space="0" w:color="auto"/>
              <w:right w:val="single" w:sz="12" w:space="0" w:color="auto"/>
            </w:tcBorders>
            <w:vAlign w:val="center"/>
          </w:tcPr>
          <w:p w:rsidR="00EE206D" w:rsidRPr="00A26CE1" w:rsidRDefault="00EE206D" w:rsidP="001B4358">
            <w:pPr>
              <w:spacing w:after="0"/>
              <w:jc w:val="center"/>
              <w:rPr>
                <w:rFonts w:ascii="Arial" w:hAnsi="Arial" w:cs="Arial"/>
              </w:rPr>
            </w:pPr>
            <w:r w:rsidRPr="00A26CE1">
              <w:rPr>
                <w:rFonts w:ascii="Arial" w:hAnsi="Arial" w:cs="Arial"/>
              </w:rPr>
              <w:t>4 660 510</w:t>
            </w:r>
          </w:p>
        </w:tc>
        <w:tc>
          <w:tcPr>
            <w:tcW w:w="2127" w:type="dxa"/>
            <w:tcBorders>
              <w:left w:val="single" w:sz="12" w:space="0" w:color="auto"/>
              <w:right w:val="single" w:sz="12" w:space="0" w:color="auto"/>
            </w:tcBorders>
            <w:vAlign w:val="center"/>
          </w:tcPr>
          <w:p w:rsidR="00EE206D" w:rsidRPr="00A26CE1" w:rsidRDefault="00EE206D" w:rsidP="001B4358">
            <w:pPr>
              <w:spacing w:after="0"/>
              <w:jc w:val="center"/>
              <w:rPr>
                <w:rFonts w:ascii="Arial" w:hAnsi="Arial" w:cs="Arial"/>
              </w:rPr>
            </w:pPr>
            <w:r w:rsidRPr="00A26CE1">
              <w:rPr>
                <w:rFonts w:ascii="Arial" w:hAnsi="Arial" w:cs="Arial"/>
              </w:rPr>
              <w:t>6 589 555</w:t>
            </w:r>
          </w:p>
        </w:tc>
        <w:tc>
          <w:tcPr>
            <w:tcW w:w="1842" w:type="dxa"/>
            <w:vMerge/>
            <w:tcBorders>
              <w:left w:val="single" w:sz="12" w:space="0" w:color="auto"/>
              <w:right w:val="single" w:sz="12" w:space="0" w:color="auto"/>
            </w:tcBorders>
            <w:vAlign w:val="center"/>
          </w:tcPr>
          <w:p w:rsidR="00EE206D" w:rsidRPr="00A26CE1" w:rsidRDefault="00EE206D" w:rsidP="001B4358">
            <w:pPr>
              <w:spacing w:after="0"/>
              <w:jc w:val="both"/>
              <w:rPr>
                <w:rFonts w:ascii="Arial" w:hAnsi="Arial" w:cs="Arial"/>
              </w:rPr>
            </w:pPr>
          </w:p>
        </w:tc>
      </w:tr>
      <w:tr w:rsidR="00EE206D" w:rsidRPr="00A26CE1" w:rsidTr="007D7B9A">
        <w:tc>
          <w:tcPr>
            <w:tcW w:w="2551" w:type="dxa"/>
            <w:tcBorders>
              <w:left w:val="single" w:sz="12" w:space="0" w:color="auto"/>
              <w:bottom w:val="single" w:sz="12" w:space="0" w:color="auto"/>
              <w:right w:val="single" w:sz="12" w:space="0" w:color="auto"/>
            </w:tcBorders>
            <w:shd w:val="clear" w:color="auto" w:fill="FFFFFF" w:themeFill="background1"/>
            <w:vAlign w:val="center"/>
          </w:tcPr>
          <w:p w:rsidR="00EE206D" w:rsidRPr="00A26CE1" w:rsidRDefault="00EE206D" w:rsidP="001B4358">
            <w:pPr>
              <w:spacing w:after="0"/>
              <w:jc w:val="center"/>
              <w:rPr>
                <w:rFonts w:ascii="Arial" w:hAnsi="Arial" w:cs="Arial"/>
                <w:b/>
                <w:i/>
              </w:rPr>
            </w:pPr>
            <w:r w:rsidRPr="00A26CE1">
              <w:rPr>
                <w:rFonts w:ascii="Arial" w:hAnsi="Arial" w:cs="Arial"/>
                <w:b/>
                <w:i/>
              </w:rPr>
              <w:t>H’</w:t>
            </w:r>
          </w:p>
        </w:tc>
        <w:tc>
          <w:tcPr>
            <w:tcW w:w="2126" w:type="dxa"/>
            <w:tcBorders>
              <w:left w:val="single" w:sz="12" w:space="0" w:color="auto"/>
              <w:bottom w:val="single" w:sz="12" w:space="0" w:color="auto"/>
              <w:right w:val="single" w:sz="12" w:space="0" w:color="auto"/>
            </w:tcBorders>
            <w:vAlign w:val="center"/>
          </w:tcPr>
          <w:p w:rsidR="00EE206D" w:rsidRPr="00A26CE1" w:rsidRDefault="00EE206D" w:rsidP="001B4358">
            <w:pPr>
              <w:spacing w:after="0"/>
              <w:jc w:val="center"/>
              <w:rPr>
                <w:rFonts w:ascii="Arial" w:hAnsi="Arial" w:cs="Arial"/>
              </w:rPr>
            </w:pPr>
            <w:r w:rsidRPr="00A26CE1">
              <w:rPr>
                <w:rFonts w:ascii="Arial" w:hAnsi="Arial" w:cs="Arial"/>
              </w:rPr>
              <w:t>4 660 535</w:t>
            </w:r>
          </w:p>
        </w:tc>
        <w:tc>
          <w:tcPr>
            <w:tcW w:w="2127" w:type="dxa"/>
            <w:tcBorders>
              <w:left w:val="single" w:sz="12" w:space="0" w:color="auto"/>
              <w:bottom w:val="single" w:sz="12" w:space="0" w:color="auto"/>
              <w:right w:val="single" w:sz="12" w:space="0" w:color="auto"/>
            </w:tcBorders>
            <w:vAlign w:val="center"/>
          </w:tcPr>
          <w:p w:rsidR="00EE206D" w:rsidRPr="00A26CE1" w:rsidRDefault="00EE206D" w:rsidP="001B4358">
            <w:pPr>
              <w:spacing w:after="0"/>
              <w:jc w:val="center"/>
              <w:rPr>
                <w:rFonts w:ascii="Arial" w:hAnsi="Arial" w:cs="Arial"/>
              </w:rPr>
            </w:pPr>
            <w:r w:rsidRPr="00A26CE1">
              <w:rPr>
                <w:rFonts w:ascii="Arial" w:hAnsi="Arial" w:cs="Arial"/>
              </w:rPr>
              <w:t>6 589 385</w:t>
            </w:r>
          </w:p>
        </w:tc>
        <w:tc>
          <w:tcPr>
            <w:tcW w:w="1842" w:type="dxa"/>
            <w:vMerge/>
            <w:tcBorders>
              <w:left w:val="single" w:sz="12" w:space="0" w:color="auto"/>
              <w:bottom w:val="single" w:sz="12" w:space="0" w:color="auto"/>
              <w:right w:val="single" w:sz="12" w:space="0" w:color="auto"/>
            </w:tcBorders>
            <w:vAlign w:val="center"/>
          </w:tcPr>
          <w:p w:rsidR="00EE206D" w:rsidRPr="00A26CE1" w:rsidRDefault="00EE206D" w:rsidP="001B4358">
            <w:pPr>
              <w:spacing w:after="0"/>
              <w:jc w:val="both"/>
              <w:rPr>
                <w:rFonts w:ascii="Arial" w:hAnsi="Arial" w:cs="Arial"/>
              </w:rPr>
            </w:pPr>
          </w:p>
        </w:tc>
      </w:tr>
    </w:tbl>
    <w:p w:rsidR="00EE206D" w:rsidRPr="00A26CE1" w:rsidRDefault="00EE206D" w:rsidP="001B4358">
      <w:pPr>
        <w:spacing w:after="0"/>
        <w:jc w:val="both"/>
        <w:rPr>
          <w:rFonts w:ascii="Arial" w:hAnsi="Arial" w:cs="Arial"/>
          <w:b/>
        </w:rPr>
      </w:pPr>
    </w:p>
    <w:p w:rsidR="00EE206D" w:rsidRPr="008106BF" w:rsidRDefault="00EE206D" w:rsidP="001B4358">
      <w:pPr>
        <w:pStyle w:val="Heading2"/>
        <w:spacing w:before="0"/>
        <w:jc w:val="both"/>
        <w:rPr>
          <w:rFonts w:ascii="Arial" w:eastAsia="Times New Roman" w:hAnsi="Arial" w:cs="Arial"/>
          <w:i/>
          <w:color w:val="auto"/>
          <w:sz w:val="22"/>
          <w:szCs w:val="22"/>
        </w:rPr>
      </w:pPr>
      <w:bookmarkStart w:id="0" w:name="_Toc402262928"/>
      <w:r w:rsidRPr="008106BF">
        <w:rPr>
          <w:rFonts w:ascii="Arial" w:eastAsia="Times New Roman" w:hAnsi="Arial" w:cs="Arial"/>
          <w:i/>
          <w:color w:val="auto"/>
          <w:sz w:val="22"/>
          <w:szCs w:val="22"/>
        </w:rPr>
        <w:t>Podaci o imovinsko-pravnim odnosima</w:t>
      </w:r>
      <w:bookmarkEnd w:id="0"/>
    </w:p>
    <w:p w:rsidR="00EE206D" w:rsidRPr="00A26CE1" w:rsidRDefault="00EE206D" w:rsidP="001B4358">
      <w:pPr>
        <w:spacing w:after="0"/>
        <w:jc w:val="both"/>
        <w:rPr>
          <w:rFonts w:ascii="Arial" w:hAnsi="Arial" w:cs="Arial"/>
          <w:b/>
        </w:rPr>
      </w:pPr>
      <w:r w:rsidRPr="00A26CE1">
        <w:rPr>
          <w:rFonts w:ascii="Arial" w:hAnsi="Arial" w:cs="Arial"/>
          <w:b/>
        </w:rPr>
        <w:t xml:space="preserve"> </w:t>
      </w:r>
    </w:p>
    <w:p w:rsidR="00D205B2" w:rsidRPr="00A26CE1" w:rsidRDefault="00EE206D" w:rsidP="009607B8">
      <w:pPr>
        <w:spacing w:after="0"/>
        <w:jc w:val="both"/>
        <w:rPr>
          <w:rFonts w:ascii="Arial" w:hAnsi="Arial" w:cs="Arial"/>
        </w:rPr>
      </w:pPr>
      <w:r w:rsidRPr="00A26CE1">
        <w:rPr>
          <w:rFonts w:ascii="Arial" w:hAnsi="Arial" w:cs="Arial"/>
        </w:rPr>
        <w:t>Istražno-eksploatacioni prostor “Vol</w:t>
      </w:r>
      <w:r w:rsidR="00B00B34" w:rsidRPr="00A26CE1">
        <w:rPr>
          <w:rFonts w:ascii="Arial" w:hAnsi="Arial" w:cs="Arial"/>
        </w:rPr>
        <w:t>ujica” administrativno pripada O</w:t>
      </w:r>
      <w:r w:rsidRPr="00A26CE1">
        <w:rPr>
          <w:rFonts w:ascii="Arial" w:hAnsi="Arial" w:cs="Arial"/>
        </w:rPr>
        <w:t>pštini Bar, a prema katastarskoj podjeli pripada</w:t>
      </w:r>
      <w:r w:rsidR="004D5147" w:rsidRPr="00A26CE1">
        <w:rPr>
          <w:rFonts w:ascii="Arial" w:hAnsi="Arial" w:cs="Arial"/>
        </w:rPr>
        <w:t xml:space="preserve"> </w:t>
      </w:r>
      <w:r w:rsidR="004D5147" w:rsidRPr="00A26CE1">
        <w:rPr>
          <w:rFonts w:ascii="Arial" w:hAnsi="Arial" w:cs="Arial"/>
          <w:lang w:val="sv-SE"/>
        </w:rPr>
        <w:t>LN 3036 KO Novi Bar, LN 3144 KO Novi Bar, LN 2349 KO Novi Bar.</w:t>
      </w:r>
      <w:r w:rsidR="004D5147" w:rsidRPr="00A26CE1">
        <w:rPr>
          <w:rFonts w:ascii="Arial" w:hAnsi="Arial" w:cs="Arial"/>
        </w:rPr>
        <w:t xml:space="preserve"> </w:t>
      </w:r>
      <w:r w:rsidRPr="00A26CE1">
        <w:rPr>
          <w:rFonts w:ascii="Arial" w:hAnsi="Arial" w:cs="Arial"/>
        </w:rPr>
        <w:t>Prema podacima Uprave za nekretnine, Podr</w:t>
      </w:r>
      <w:r w:rsidR="005036AC" w:rsidRPr="00A26CE1">
        <w:rPr>
          <w:rFonts w:ascii="Arial" w:hAnsi="Arial" w:cs="Arial"/>
        </w:rPr>
        <w:t>učna jedinica</w:t>
      </w:r>
      <w:r w:rsidRPr="00A26CE1">
        <w:rPr>
          <w:rFonts w:ascii="Arial" w:hAnsi="Arial" w:cs="Arial"/>
        </w:rPr>
        <w:t xml:space="preserve"> Bar,</w:t>
      </w:r>
      <w:r w:rsidR="005036AC" w:rsidRPr="00A26CE1">
        <w:rPr>
          <w:rFonts w:ascii="Arial" w:hAnsi="Arial" w:cs="Arial"/>
        </w:rPr>
        <w:t xml:space="preserve"> akt br. </w:t>
      </w:r>
      <w:r w:rsidR="00672026" w:rsidRPr="00A26CE1">
        <w:rPr>
          <w:rFonts w:ascii="Arial" w:hAnsi="Arial" w:cs="Arial"/>
        </w:rPr>
        <w:t>460-dj-2176/18</w:t>
      </w:r>
      <w:r w:rsidR="005036AC" w:rsidRPr="00A26CE1">
        <w:rPr>
          <w:rFonts w:ascii="Arial" w:hAnsi="Arial" w:cs="Arial"/>
        </w:rPr>
        <w:t xml:space="preserve"> </w:t>
      </w:r>
      <w:proofErr w:type="gramStart"/>
      <w:r w:rsidR="005036AC" w:rsidRPr="00A26CE1">
        <w:rPr>
          <w:rFonts w:ascii="Arial" w:hAnsi="Arial" w:cs="Arial"/>
        </w:rPr>
        <w:t>od</w:t>
      </w:r>
      <w:proofErr w:type="gramEnd"/>
      <w:r w:rsidR="00672026" w:rsidRPr="00A26CE1">
        <w:rPr>
          <w:rFonts w:ascii="Arial" w:hAnsi="Arial" w:cs="Arial"/>
        </w:rPr>
        <w:t xml:space="preserve"> 14.11.2018. </w:t>
      </w:r>
      <w:proofErr w:type="gramStart"/>
      <w:r w:rsidR="00672026" w:rsidRPr="00A26CE1">
        <w:rPr>
          <w:rFonts w:ascii="Arial" w:hAnsi="Arial" w:cs="Arial"/>
        </w:rPr>
        <w:t>godine</w:t>
      </w:r>
      <w:proofErr w:type="gramEnd"/>
      <w:r w:rsidR="00672026" w:rsidRPr="00A26CE1">
        <w:rPr>
          <w:rFonts w:ascii="Arial" w:hAnsi="Arial" w:cs="Arial"/>
        </w:rPr>
        <w:t>, zemljište na kojem se lokalitet nalazi</w:t>
      </w:r>
      <w:r w:rsidR="00C50FAD" w:rsidRPr="00A26CE1">
        <w:rPr>
          <w:rFonts w:ascii="Arial" w:hAnsi="Arial" w:cs="Arial"/>
        </w:rPr>
        <w:t xml:space="preserve"> je u državnom vlasništvu, veći dio prostora je predmet ugovora o korišćenju Morskog dobra.</w:t>
      </w:r>
      <w:bookmarkStart w:id="1" w:name="_Toc402262929"/>
    </w:p>
    <w:p w:rsidR="009607B8" w:rsidRPr="00A26CE1" w:rsidRDefault="009607B8" w:rsidP="009607B8">
      <w:pPr>
        <w:spacing w:after="0"/>
        <w:jc w:val="both"/>
        <w:rPr>
          <w:rFonts w:ascii="Arial" w:hAnsi="Arial" w:cs="Arial"/>
          <w:b/>
          <w:bCs/>
          <w:i/>
          <w:u w:val="single"/>
        </w:rPr>
      </w:pPr>
    </w:p>
    <w:p w:rsidR="00EE206D" w:rsidRPr="008106BF" w:rsidRDefault="00EE206D" w:rsidP="001B4358">
      <w:pPr>
        <w:pStyle w:val="Heading2"/>
        <w:spacing w:before="0"/>
        <w:jc w:val="both"/>
        <w:rPr>
          <w:rFonts w:ascii="Arial" w:eastAsia="Times New Roman" w:hAnsi="Arial" w:cs="Arial"/>
          <w:i/>
          <w:color w:val="auto"/>
          <w:sz w:val="22"/>
          <w:szCs w:val="22"/>
        </w:rPr>
      </w:pPr>
      <w:r w:rsidRPr="008106BF">
        <w:rPr>
          <w:rFonts w:ascii="Arial" w:eastAsia="Times New Roman" w:hAnsi="Arial" w:cs="Arial"/>
          <w:i/>
          <w:color w:val="auto"/>
          <w:sz w:val="22"/>
          <w:szCs w:val="22"/>
        </w:rPr>
        <w:t>Podaci iz prostorno–planske dokumentacije</w:t>
      </w:r>
      <w:bookmarkEnd w:id="1"/>
    </w:p>
    <w:p w:rsidR="003B29F7" w:rsidRPr="00A26CE1" w:rsidRDefault="002C74D8" w:rsidP="00600773">
      <w:pPr>
        <w:pStyle w:val="Heading2"/>
        <w:spacing w:before="120"/>
        <w:jc w:val="both"/>
        <w:rPr>
          <w:rFonts w:ascii="Arial" w:hAnsi="Arial" w:cs="Arial"/>
          <w:b w:val="0"/>
          <w:color w:val="auto"/>
          <w:sz w:val="22"/>
          <w:szCs w:val="22"/>
        </w:rPr>
      </w:pPr>
      <w:bookmarkStart w:id="2" w:name="_Toc402262930"/>
      <w:r w:rsidRPr="00A26CE1">
        <w:rPr>
          <w:rFonts w:ascii="Arial" w:eastAsia="Times New Roman" w:hAnsi="Arial" w:cs="Arial"/>
          <w:b w:val="0"/>
          <w:color w:val="auto"/>
          <w:sz w:val="22"/>
          <w:szCs w:val="22"/>
        </w:rPr>
        <w:t>U aktu Ministarstva održivog razvoja i turizma, br. 104-83/378</w:t>
      </w:r>
      <w:r w:rsidR="005036AC" w:rsidRPr="00A26CE1">
        <w:rPr>
          <w:rFonts w:ascii="Arial" w:eastAsia="Times New Roman" w:hAnsi="Arial" w:cs="Arial"/>
          <w:b w:val="0"/>
          <w:color w:val="auto"/>
          <w:sz w:val="22"/>
          <w:szCs w:val="22"/>
        </w:rPr>
        <w:t>-</w:t>
      </w:r>
      <w:r w:rsidRPr="00A26CE1">
        <w:rPr>
          <w:rFonts w:ascii="Arial" w:eastAsia="Times New Roman" w:hAnsi="Arial" w:cs="Arial"/>
          <w:b w:val="0"/>
          <w:color w:val="auto"/>
          <w:sz w:val="22"/>
          <w:szCs w:val="22"/>
        </w:rPr>
        <w:t xml:space="preserve">1, </w:t>
      </w:r>
      <w:proofErr w:type="gramStart"/>
      <w:r w:rsidRPr="00A26CE1">
        <w:rPr>
          <w:rFonts w:ascii="Arial" w:eastAsia="Times New Roman" w:hAnsi="Arial" w:cs="Arial"/>
          <w:b w:val="0"/>
          <w:color w:val="auto"/>
          <w:sz w:val="22"/>
          <w:szCs w:val="22"/>
        </w:rPr>
        <w:t>od</w:t>
      </w:r>
      <w:proofErr w:type="gramEnd"/>
      <w:r w:rsidRPr="00A26CE1">
        <w:rPr>
          <w:rFonts w:ascii="Arial" w:eastAsia="Times New Roman" w:hAnsi="Arial" w:cs="Arial"/>
          <w:b w:val="0"/>
          <w:color w:val="auto"/>
          <w:sz w:val="22"/>
          <w:szCs w:val="22"/>
        </w:rPr>
        <w:t xml:space="preserve"> 17.09.2018. </w:t>
      </w:r>
      <w:proofErr w:type="gramStart"/>
      <w:r w:rsidRPr="00A26CE1">
        <w:rPr>
          <w:rFonts w:ascii="Arial" w:eastAsia="Times New Roman" w:hAnsi="Arial" w:cs="Arial"/>
          <w:b w:val="0"/>
          <w:color w:val="auto"/>
          <w:sz w:val="22"/>
          <w:szCs w:val="22"/>
        </w:rPr>
        <w:t>godine</w:t>
      </w:r>
      <w:proofErr w:type="gramEnd"/>
      <w:r w:rsidRPr="00A26CE1">
        <w:rPr>
          <w:rFonts w:ascii="Arial" w:eastAsia="Times New Roman" w:hAnsi="Arial" w:cs="Arial"/>
          <w:b w:val="0"/>
          <w:color w:val="auto"/>
          <w:sz w:val="22"/>
          <w:szCs w:val="22"/>
        </w:rPr>
        <w:t xml:space="preserve">, arhiviran u Ministarstvu ekonomije pod br. 970-320/2018-1, od 19.09.2018. godine, navedeno je </w:t>
      </w:r>
      <w:r w:rsidR="003B29F7" w:rsidRPr="00A26CE1">
        <w:rPr>
          <w:rFonts w:ascii="Arial" w:eastAsia="Times New Roman" w:hAnsi="Arial" w:cs="Arial"/>
          <w:b w:val="0"/>
          <w:color w:val="auto"/>
          <w:sz w:val="22"/>
          <w:szCs w:val="22"/>
        </w:rPr>
        <w:t>da je, s</w:t>
      </w:r>
      <w:r w:rsidR="003B29F7" w:rsidRPr="00A26CE1">
        <w:rPr>
          <w:rFonts w:ascii="Arial" w:hAnsi="Arial" w:cs="Arial"/>
          <w:b w:val="0"/>
          <w:color w:val="auto"/>
          <w:sz w:val="22"/>
          <w:szCs w:val="22"/>
        </w:rPr>
        <w:t xml:space="preserve">hodno Prostornom planu posebne namjene za Obalno područje Crne Gore </w:t>
      </w:r>
      <w:r w:rsidR="003B29F7" w:rsidRPr="00A26CE1">
        <w:rPr>
          <w:rFonts w:ascii="Arial" w:hAnsi="Arial" w:cs="Arial"/>
          <w:b w:val="0"/>
          <w:i/>
          <w:color w:val="auto"/>
          <w:sz w:val="22"/>
          <w:szCs w:val="22"/>
        </w:rPr>
        <w:t xml:space="preserve">(„Službeni list Crne Gore, br. 56/18), </w:t>
      </w:r>
      <w:r w:rsidR="003B29F7" w:rsidRPr="00A26CE1">
        <w:rPr>
          <w:rFonts w:ascii="Arial" w:hAnsi="Arial" w:cs="Arial"/>
          <w:b w:val="0"/>
          <w:color w:val="auto"/>
          <w:sz w:val="22"/>
          <w:szCs w:val="22"/>
        </w:rPr>
        <w:t>u grafičkom prilogu</w:t>
      </w:r>
      <w:r w:rsidR="003B29F7" w:rsidRPr="00A26CE1">
        <w:rPr>
          <w:rFonts w:ascii="Arial" w:hAnsi="Arial" w:cs="Arial"/>
          <w:b w:val="0"/>
          <w:i/>
          <w:color w:val="auto"/>
          <w:sz w:val="22"/>
          <w:szCs w:val="22"/>
        </w:rPr>
        <w:t xml:space="preserve"> Plan namjene </w:t>
      </w:r>
      <w:r w:rsidR="003B29F7" w:rsidRPr="00A26CE1">
        <w:rPr>
          <w:rFonts w:ascii="Arial" w:hAnsi="Arial" w:cs="Arial"/>
          <w:b w:val="0"/>
          <w:color w:val="auto"/>
          <w:sz w:val="22"/>
          <w:szCs w:val="22"/>
        </w:rPr>
        <w:t>površina lokacija „Volujica“ je definisana kao koncesiono područje, ležište mineralne sirovine i površina eksploatacionog polja broj 3g.</w:t>
      </w:r>
    </w:p>
    <w:p w:rsidR="003B29F7" w:rsidRPr="00A26CE1" w:rsidRDefault="003B29F7" w:rsidP="00ED7398">
      <w:pPr>
        <w:pStyle w:val="Heading2"/>
        <w:spacing w:before="0" w:after="120"/>
        <w:jc w:val="both"/>
        <w:rPr>
          <w:rFonts w:ascii="Arial" w:hAnsi="Arial" w:cs="Arial"/>
          <w:b w:val="0"/>
          <w:color w:val="auto"/>
          <w:sz w:val="22"/>
          <w:szCs w:val="22"/>
        </w:rPr>
      </w:pPr>
      <w:r w:rsidRPr="00A26CE1">
        <w:rPr>
          <w:rFonts w:ascii="Arial" w:hAnsi="Arial" w:cs="Arial"/>
          <w:b w:val="0"/>
          <w:color w:val="auto"/>
          <w:sz w:val="22"/>
          <w:szCs w:val="22"/>
        </w:rPr>
        <w:t>U tekstualnom dijelu plana, poglavlju 7.3 Pregled ležišta mineralnih sirovina, lokalitet „Volujica</w:t>
      </w:r>
      <w:proofErr w:type="gramStart"/>
      <w:r w:rsidRPr="00A26CE1">
        <w:rPr>
          <w:rFonts w:ascii="Arial" w:hAnsi="Arial" w:cs="Arial"/>
          <w:b w:val="0"/>
          <w:color w:val="auto"/>
          <w:sz w:val="22"/>
          <w:szCs w:val="22"/>
        </w:rPr>
        <w:t>“ je</w:t>
      </w:r>
      <w:proofErr w:type="gramEnd"/>
      <w:r w:rsidRPr="00A26CE1">
        <w:rPr>
          <w:rFonts w:ascii="Arial" w:hAnsi="Arial" w:cs="Arial"/>
          <w:b w:val="0"/>
          <w:color w:val="auto"/>
          <w:sz w:val="22"/>
          <w:szCs w:val="22"/>
        </w:rPr>
        <w:t xml:space="preserve"> definisan kao ležište tehničko-građevinskog kamena. </w:t>
      </w:r>
    </w:p>
    <w:p w:rsidR="00D205B2" w:rsidRDefault="003B29F7" w:rsidP="00ED7398">
      <w:pPr>
        <w:pStyle w:val="Heading2"/>
        <w:spacing w:before="0" w:after="120"/>
        <w:jc w:val="both"/>
        <w:rPr>
          <w:rFonts w:ascii="Arial" w:hAnsi="Arial" w:cs="Arial"/>
          <w:b w:val="0"/>
          <w:color w:val="auto"/>
          <w:sz w:val="22"/>
          <w:szCs w:val="22"/>
        </w:rPr>
      </w:pPr>
      <w:proofErr w:type="gramStart"/>
      <w:r w:rsidRPr="00A26CE1">
        <w:rPr>
          <w:rFonts w:ascii="Arial" w:hAnsi="Arial" w:cs="Arial"/>
          <w:b w:val="0"/>
          <w:color w:val="auto"/>
          <w:sz w:val="22"/>
          <w:szCs w:val="22"/>
        </w:rPr>
        <w:t>Shodno navedenom, u citiranom aktu Ministarstva održivog razvoja i turizma</w:t>
      </w:r>
      <w:r w:rsidR="00D205B2" w:rsidRPr="00A26CE1">
        <w:rPr>
          <w:rFonts w:ascii="Arial" w:hAnsi="Arial" w:cs="Arial"/>
          <w:b w:val="0"/>
          <w:color w:val="auto"/>
          <w:sz w:val="22"/>
          <w:szCs w:val="22"/>
        </w:rPr>
        <w:t>, navedeno je „da sa aspekta prostorno-planske dokumentacije ne postoje prepreke za izdavanje urbanističko-tehničkih uslova za predmetnu lokaciju“.</w:t>
      </w:r>
      <w:proofErr w:type="gramEnd"/>
      <w:r w:rsidRPr="00A26CE1">
        <w:rPr>
          <w:rFonts w:ascii="Arial" w:hAnsi="Arial" w:cs="Arial"/>
          <w:b w:val="0"/>
          <w:color w:val="auto"/>
          <w:sz w:val="22"/>
          <w:szCs w:val="22"/>
        </w:rPr>
        <w:t xml:space="preserve"> </w:t>
      </w:r>
    </w:p>
    <w:p w:rsidR="007D7B9A" w:rsidRPr="007D7B9A" w:rsidRDefault="007D7B9A" w:rsidP="007D7B9A"/>
    <w:p w:rsidR="00D205B2" w:rsidRPr="008106BF" w:rsidRDefault="00D205B2" w:rsidP="001B4358">
      <w:pPr>
        <w:spacing w:after="0"/>
        <w:jc w:val="both"/>
        <w:rPr>
          <w:rFonts w:ascii="Arial" w:hAnsi="Arial" w:cs="Arial"/>
          <w:b/>
          <w:i/>
        </w:rPr>
      </w:pPr>
      <w:r w:rsidRPr="008106BF">
        <w:rPr>
          <w:rFonts w:ascii="Arial" w:hAnsi="Arial" w:cs="Arial"/>
          <w:b/>
          <w:i/>
        </w:rPr>
        <w:t>Mišljenje Uprave za zaštitu kulturnih dobara</w:t>
      </w:r>
    </w:p>
    <w:p w:rsidR="00D205B2" w:rsidRPr="00A26CE1" w:rsidRDefault="00D205B2" w:rsidP="001B4358">
      <w:pPr>
        <w:spacing w:after="0"/>
        <w:jc w:val="both"/>
        <w:rPr>
          <w:rFonts w:ascii="Arial" w:hAnsi="Arial" w:cs="Arial"/>
          <w:b/>
          <w:i/>
          <w:u w:val="single"/>
        </w:rPr>
      </w:pPr>
    </w:p>
    <w:p w:rsidR="00D205B2" w:rsidRPr="00A26CE1" w:rsidRDefault="0045162F" w:rsidP="001B4358">
      <w:pPr>
        <w:spacing w:after="0"/>
        <w:jc w:val="both"/>
        <w:rPr>
          <w:rFonts w:ascii="Arial" w:hAnsi="Arial" w:cs="Arial"/>
        </w:rPr>
      </w:pPr>
      <w:r w:rsidRPr="00A26CE1">
        <w:rPr>
          <w:rFonts w:ascii="Arial" w:hAnsi="Arial" w:cs="Arial"/>
        </w:rPr>
        <w:t>U aktu</w:t>
      </w:r>
      <w:r w:rsidR="00D205B2" w:rsidRPr="00A26CE1">
        <w:rPr>
          <w:rFonts w:ascii="Arial" w:hAnsi="Arial" w:cs="Arial"/>
        </w:rPr>
        <w:t xml:space="preserve"> Uprave za zaštitu kulturnih dobara, br. 03-276/2018-2, </w:t>
      </w:r>
      <w:proofErr w:type="gramStart"/>
      <w:r w:rsidR="00D205B2" w:rsidRPr="00A26CE1">
        <w:rPr>
          <w:rFonts w:ascii="Arial" w:hAnsi="Arial" w:cs="Arial"/>
        </w:rPr>
        <w:t>od</w:t>
      </w:r>
      <w:proofErr w:type="gramEnd"/>
      <w:r w:rsidR="00D205B2" w:rsidRPr="00A26CE1">
        <w:rPr>
          <w:rFonts w:ascii="Arial" w:hAnsi="Arial" w:cs="Arial"/>
        </w:rPr>
        <w:t xml:space="preserve"> 27.09.2018. </w:t>
      </w:r>
      <w:proofErr w:type="gramStart"/>
      <w:r w:rsidR="00D205B2" w:rsidRPr="00A26CE1">
        <w:rPr>
          <w:rFonts w:ascii="Arial" w:hAnsi="Arial" w:cs="Arial"/>
        </w:rPr>
        <w:t>godine</w:t>
      </w:r>
      <w:proofErr w:type="gramEnd"/>
      <w:r w:rsidR="00D205B2" w:rsidRPr="00A26CE1">
        <w:rPr>
          <w:rFonts w:ascii="Arial" w:hAnsi="Arial" w:cs="Arial"/>
        </w:rPr>
        <w:t>, arhiviran u Ministarstvu ekonomije pod br. 970-320/2018</w:t>
      </w:r>
      <w:r w:rsidRPr="00A26CE1">
        <w:rPr>
          <w:rFonts w:ascii="Arial" w:hAnsi="Arial" w:cs="Arial"/>
        </w:rPr>
        <w:t xml:space="preserve">-4, od 05.10.2018. </w:t>
      </w:r>
      <w:proofErr w:type="gramStart"/>
      <w:r w:rsidRPr="00A26CE1">
        <w:rPr>
          <w:rFonts w:ascii="Arial" w:hAnsi="Arial" w:cs="Arial"/>
        </w:rPr>
        <w:t>godine</w:t>
      </w:r>
      <w:proofErr w:type="gramEnd"/>
      <w:r w:rsidRPr="00A26CE1">
        <w:rPr>
          <w:rFonts w:ascii="Arial" w:hAnsi="Arial" w:cs="Arial"/>
        </w:rPr>
        <w:t>, navedeno je da je uvidom u dokumentaciju ove Uprave, konstatovano da u predmetnom zahvatu nema zakonom zaštićenih kulturnih dobara, kao ni dobara sa potencijalnim kulturnim vrijednostima. „Shodno navedenom, sa aspekta zaštite kulturnih dobara, konstatujemo da nema smetnji za realizaciju predmetne koncesije, uz obavezu da se u dokumentaciju unesu zakonske odredbe precizirane ovim aktom</w:t>
      </w:r>
      <w:proofErr w:type="gramStart"/>
      <w:r w:rsidRPr="00A26CE1">
        <w:rPr>
          <w:rFonts w:ascii="Arial" w:hAnsi="Arial" w:cs="Arial"/>
        </w:rPr>
        <w:t>“ (</w:t>
      </w:r>
      <w:proofErr w:type="gramEnd"/>
      <w:r w:rsidRPr="00A26CE1">
        <w:rPr>
          <w:rFonts w:ascii="Arial" w:hAnsi="Arial" w:cs="Arial"/>
        </w:rPr>
        <w:t xml:space="preserve">„obrađivač plana je u obavezi da u svim fazama izrade dokumentacije unese odredbe čl. 87 i 88 Zakona o zaštiti kulturnih dobara („Sl.list </w:t>
      </w:r>
      <w:r w:rsidRPr="00A26CE1">
        <w:rPr>
          <w:rFonts w:ascii="Arial" w:hAnsi="Arial" w:cs="Arial"/>
        </w:rPr>
        <w:lastRenderedPageBreak/>
        <w:t xml:space="preserve">CG“, br. 49/10, 40/11, 47/17), a sve u vezi slučajnih otkrića – nalaza </w:t>
      </w:r>
      <w:proofErr w:type="gramStart"/>
      <w:r w:rsidRPr="00A26CE1">
        <w:rPr>
          <w:rFonts w:ascii="Arial" w:hAnsi="Arial" w:cs="Arial"/>
        </w:rPr>
        <w:t>od</w:t>
      </w:r>
      <w:proofErr w:type="gramEnd"/>
      <w:r w:rsidRPr="00A26CE1">
        <w:rPr>
          <w:rFonts w:ascii="Arial" w:hAnsi="Arial" w:cs="Arial"/>
        </w:rPr>
        <w:t xml:space="preserve"> arheološkog značaja, ukoliko se u toku izvođenja radova naiđe na iste, o čemu je dužan izvijestiti ovu Upravu“</w:t>
      </w:r>
      <w:r w:rsidR="00D94F72" w:rsidRPr="00A26CE1">
        <w:rPr>
          <w:rFonts w:ascii="Arial" w:hAnsi="Arial" w:cs="Arial"/>
        </w:rPr>
        <w:t>).</w:t>
      </w:r>
    </w:p>
    <w:p w:rsidR="00EE206D" w:rsidRPr="008106BF" w:rsidRDefault="00EE206D" w:rsidP="00600773">
      <w:pPr>
        <w:pStyle w:val="Heading2"/>
        <w:spacing w:before="120"/>
        <w:jc w:val="both"/>
        <w:rPr>
          <w:rFonts w:ascii="Arial" w:eastAsia="Times New Roman" w:hAnsi="Arial" w:cs="Arial"/>
          <w:i/>
          <w:color w:val="auto"/>
          <w:sz w:val="22"/>
          <w:szCs w:val="22"/>
        </w:rPr>
      </w:pPr>
      <w:r w:rsidRPr="008106BF">
        <w:rPr>
          <w:rFonts w:ascii="Arial" w:eastAsia="Times New Roman" w:hAnsi="Arial" w:cs="Arial"/>
          <w:i/>
          <w:color w:val="auto"/>
          <w:sz w:val="22"/>
          <w:szCs w:val="22"/>
        </w:rPr>
        <w:t xml:space="preserve">Infrastrukturni objekti </w:t>
      </w:r>
      <w:bookmarkEnd w:id="2"/>
    </w:p>
    <w:p w:rsidR="00EE206D" w:rsidRPr="00A26CE1" w:rsidRDefault="00EE206D" w:rsidP="00BA1A23">
      <w:pPr>
        <w:spacing w:before="120" w:after="0"/>
        <w:jc w:val="both"/>
        <w:rPr>
          <w:rFonts w:ascii="Arial" w:eastAsia="Calibri" w:hAnsi="Arial" w:cs="Arial"/>
        </w:rPr>
      </w:pPr>
      <w:r w:rsidRPr="00A26CE1">
        <w:rPr>
          <w:rFonts w:ascii="Arial" w:eastAsia="Calibri" w:hAnsi="Arial" w:cs="Arial"/>
        </w:rPr>
        <w:t xml:space="preserve">Luka Bar je lokalnim saobraćajnicama povezana </w:t>
      </w:r>
      <w:proofErr w:type="gramStart"/>
      <w:r w:rsidRPr="00A26CE1">
        <w:rPr>
          <w:rFonts w:ascii="Arial" w:eastAsia="Calibri" w:hAnsi="Arial" w:cs="Arial"/>
        </w:rPr>
        <w:t>sa</w:t>
      </w:r>
      <w:proofErr w:type="gramEnd"/>
      <w:r w:rsidRPr="00A26CE1">
        <w:rPr>
          <w:rFonts w:ascii="Arial" w:eastAsia="Calibri" w:hAnsi="Arial" w:cs="Arial"/>
        </w:rPr>
        <w:t xml:space="preserve"> magistralnim putem za Podgoricu, Herceg Novi i Ulcinj, kao i željezničkom prugom Bar - Beograd, tako da ležište tehničko-građevinskog kamena „Volujica“, zahvalj</w:t>
      </w:r>
      <w:r w:rsidRPr="00A26CE1">
        <w:rPr>
          <w:rFonts w:ascii="Arial" w:hAnsi="Arial" w:cs="Arial"/>
        </w:rPr>
        <w:t>ujući postojećoj infrastrukturi</w:t>
      </w:r>
      <w:r w:rsidRPr="00A26CE1">
        <w:rPr>
          <w:rFonts w:ascii="Arial" w:eastAsia="Calibri" w:hAnsi="Arial" w:cs="Arial"/>
        </w:rPr>
        <w:t xml:space="preserve"> (drumskoj, željezničkoj i pomorskoj), ima veoma povoljan geografski položaj.</w:t>
      </w:r>
    </w:p>
    <w:p w:rsidR="00EE206D" w:rsidRPr="00A26CE1" w:rsidRDefault="00EE206D" w:rsidP="00BA1A23">
      <w:pPr>
        <w:spacing w:before="120" w:after="0"/>
        <w:jc w:val="both"/>
        <w:rPr>
          <w:rFonts w:ascii="Arial" w:eastAsia="Calibri" w:hAnsi="Arial" w:cs="Arial"/>
        </w:rPr>
      </w:pPr>
      <w:r w:rsidRPr="00A26CE1">
        <w:rPr>
          <w:rFonts w:ascii="Arial" w:eastAsia="Calibri" w:hAnsi="Arial" w:cs="Arial"/>
        </w:rPr>
        <w:t xml:space="preserve">Ležište i istražno-eksploatacioni </w:t>
      </w:r>
      <w:proofErr w:type="gramStart"/>
      <w:r w:rsidRPr="00A26CE1">
        <w:rPr>
          <w:rFonts w:ascii="Arial" w:eastAsia="Calibri" w:hAnsi="Arial" w:cs="Arial"/>
        </w:rPr>
        <w:t>prostor ”</w:t>
      </w:r>
      <w:proofErr w:type="gramEnd"/>
      <w:r w:rsidRPr="00A26CE1">
        <w:rPr>
          <w:rFonts w:ascii="Arial" w:eastAsia="Calibri" w:hAnsi="Arial" w:cs="Arial"/>
        </w:rPr>
        <w:t>Volujica” nalazi se na sjevernoj strani brda „Volujica“ ispod koga su, u neposrednoj blizini, locirani značajni infrastrukturni objekti Luke Bar: asfaltni put, industrijski željeznički kolosjek, rezervoarski prostor za naftu i naftne derivate, instalacije za pretakanje nafte i njenih derivata, rezervoari lužine Kombinata aluminijuma, silos za žitarice i dr.</w:t>
      </w:r>
    </w:p>
    <w:p w:rsidR="00EE206D" w:rsidRPr="00A26CE1" w:rsidRDefault="00EE206D" w:rsidP="00BA1A23">
      <w:pPr>
        <w:spacing w:before="120" w:after="0"/>
        <w:jc w:val="both"/>
        <w:rPr>
          <w:rFonts w:ascii="Arial" w:eastAsia="Calibri" w:hAnsi="Arial" w:cs="Arial"/>
        </w:rPr>
      </w:pPr>
      <w:proofErr w:type="gramStart"/>
      <w:r w:rsidRPr="00A26CE1">
        <w:rPr>
          <w:rFonts w:ascii="Arial" w:eastAsia="Calibri" w:hAnsi="Arial" w:cs="Arial"/>
        </w:rPr>
        <w:t>Sa</w:t>
      </w:r>
      <w:proofErr w:type="gramEnd"/>
      <w:r w:rsidRPr="00A26CE1">
        <w:rPr>
          <w:rFonts w:ascii="Arial" w:eastAsia="Calibri" w:hAnsi="Arial" w:cs="Arial"/>
        </w:rPr>
        <w:t xml:space="preserve"> postojeće lučke saobraćajne infrastrukture postoji pristupni put do ležišta, koji je sastavni dio i istražno-eksploatacionog prostora. Ovom saobraćajnicom doprema se kamen iz ležišta do drobiličnog postrojenja za obradu. Drobilično postrojenje </w:t>
      </w:r>
      <w:proofErr w:type="gramStart"/>
      <w:r w:rsidRPr="00A26CE1">
        <w:rPr>
          <w:rFonts w:ascii="Arial" w:eastAsia="Calibri" w:hAnsi="Arial" w:cs="Arial"/>
        </w:rPr>
        <w:t>sa</w:t>
      </w:r>
      <w:proofErr w:type="gramEnd"/>
      <w:r w:rsidRPr="00A26CE1">
        <w:rPr>
          <w:rFonts w:ascii="Arial" w:eastAsia="Calibri" w:hAnsi="Arial" w:cs="Arial"/>
        </w:rPr>
        <w:t xml:space="preserve"> rampom i transporterima za utovar frakcionisanog kamenog agregata u brodove na doku za rasute terete se nalazi izvan okonturenog istražno-eksploatacionog prostora, u operativnoj zoni Luke Bar.</w:t>
      </w:r>
    </w:p>
    <w:p w:rsidR="00EE206D" w:rsidRPr="00A26CE1" w:rsidRDefault="00EE206D" w:rsidP="00BA1A23">
      <w:pPr>
        <w:spacing w:before="120" w:after="0"/>
        <w:jc w:val="both"/>
        <w:rPr>
          <w:rFonts w:ascii="Arial" w:eastAsia="Calibri" w:hAnsi="Arial" w:cs="Arial"/>
        </w:rPr>
      </w:pPr>
      <w:r w:rsidRPr="00A26CE1">
        <w:rPr>
          <w:rFonts w:ascii="Arial" w:eastAsia="Calibri" w:hAnsi="Arial" w:cs="Arial"/>
        </w:rPr>
        <w:t>Plato za deponovanje frakcionisanog kamenog agregata nalazi se u operativnoj zoni Luke uz dok za utovar-istovar rasutih tereta i izvan je istražno-eksploatacionog prostora.</w:t>
      </w:r>
    </w:p>
    <w:p w:rsidR="00EE206D" w:rsidRPr="00A26CE1" w:rsidRDefault="00EE206D" w:rsidP="00BA1A23">
      <w:pPr>
        <w:spacing w:before="120" w:after="0"/>
        <w:jc w:val="both"/>
        <w:rPr>
          <w:rFonts w:ascii="Arial" w:eastAsia="Calibri" w:hAnsi="Arial" w:cs="Arial"/>
        </w:rPr>
      </w:pPr>
      <w:r w:rsidRPr="00A26CE1">
        <w:rPr>
          <w:rFonts w:ascii="Arial" w:eastAsia="Calibri" w:hAnsi="Arial" w:cs="Arial"/>
        </w:rPr>
        <w:t xml:space="preserve">Električna mreža </w:t>
      </w:r>
      <w:proofErr w:type="gramStart"/>
      <w:r w:rsidRPr="00A26CE1">
        <w:rPr>
          <w:rFonts w:ascii="Arial" w:eastAsia="Calibri" w:hAnsi="Arial" w:cs="Arial"/>
        </w:rPr>
        <w:t>sa</w:t>
      </w:r>
      <w:proofErr w:type="gramEnd"/>
      <w:r w:rsidRPr="00A26CE1">
        <w:rPr>
          <w:rFonts w:ascii="Arial" w:eastAsia="Calibri" w:hAnsi="Arial" w:cs="Arial"/>
        </w:rPr>
        <w:t xml:space="preserve"> trafostanicom se nalazi u operativnoj zoni Luke, neposredno uz istražno-eksploatacioni prostor. Slično je i </w:t>
      </w:r>
      <w:proofErr w:type="gramStart"/>
      <w:r w:rsidRPr="00A26CE1">
        <w:rPr>
          <w:rFonts w:ascii="Arial" w:eastAsia="Calibri" w:hAnsi="Arial" w:cs="Arial"/>
        </w:rPr>
        <w:t>sa</w:t>
      </w:r>
      <w:proofErr w:type="gramEnd"/>
      <w:r w:rsidRPr="00A26CE1">
        <w:rPr>
          <w:rFonts w:ascii="Arial" w:eastAsia="Calibri" w:hAnsi="Arial" w:cs="Arial"/>
        </w:rPr>
        <w:t xml:space="preserve"> vodom, jer se nedaleko nalazi vodovodna mreža za potrebe Luke Bar.</w:t>
      </w:r>
    </w:p>
    <w:p w:rsidR="00EE206D" w:rsidRPr="00A26CE1" w:rsidRDefault="00EE206D" w:rsidP="001B4358">
      <w:pPr>
        <w:spacing w:after="0"/>
        <w:jc w:val="both"/>
        <w:rPr>
          <w:rFonts w:ascii="Arial" w:eastAsia="Calibri" w:hAnsi="Arial" w:cs="Arial"/>
        </w:rPr>
      </w:pPr>
    </w:p>
    <w:p w:rsidR="00D94F72" w:rsidRPr="008106BF" w:rsidRDefault="00D94F72" w:rsidP="001B4358">
      <w:pPr>
        <w:spacing w:after="0"/>
        <w:jc w:val="both"/>
        <w:rPr>
          <w:rFonts w:ascii="Arial" w:eastAsia="Calibri" w:hAnsi="Arial" w:cs="Arial"/>
          <w:b/>
          <w:i/>
        </w:rPr>
      </w:pPr>
      <w:r w:rsidRPr="008106BF">
        <w:rPr>
          <w:rFonts w:ascii="Arial" w:eastAsia="Calibri" w:hAnsi="Arial" w:cs="Arial"/>
          <w:b/>
          <w:i/>
        </w:rPr>
        <w:t>Klimatske karakteristike</w:t>
      </w:r>
    </w:p>
    <w:p w:rsidR="005036AC" w:rsidRPr="00A26CE1" w:rsidRDefault="005036AC" w:rsidP="001B4358">
      <w:pPr>
        <w:spacing w:after="0"/>
        <w:jc w:val="both"/>
        <w:rPr>
          <w:rFonts w:ascii="Arial" w:eastAsia="Calibri" w:hAnsi="Arial" w:cs="Arial"/>
          <w:b/>
          <w:i/>
          <w:u w:val="single"/>
        </w:rPr>
      </w:pPr>
    </w:p>
    <w:p w:rsidR="005036AC" w:rsidRPr="00A26CE1" w:rsidRDefault="005036AC" w:rsidP="001B4358">
      <w:pPr>
        <w:spacing w:after="0"/>
        <w:jc w:val="both"/>
        <w:rPr>
          <w:rFonts w:ascii="Arial" w:hAnsi="Arial" w:cs="Arial"/>
          <w:lang w:val="sr-Latn-CS"/>
        </w:rPr>
      </w:pPr>
      <w:r w:rsidRPr="00A26CE1">
        <w:rPr>
          <w:rFonts w:ascii="Arial" w:hAnsi="Arial" w:cs="Arial"/>
          <w:lang w:val="sr-Latn-CS"/>
        </w:rPr>
        <w:t>U klimatskom pogledu, područje pripada mediteranskom tipu sa bogatstvom padavina, velikom vlažnošću, temperaturama sa malim dnevnim i godišnjim kolebanjima, dok vjetrovi duvaju pretežno iz pravca sjevera, kad su hladni i suvi, a iz pravca juga topli i praćeni obilnim padavinama. Obilježja područja sa mediteranskom klimom su dugi, topli i sušni letnji periodi, a blagi i kišni zimski periodi. Ovakve klimatske karakteristike područja omogućavaju kontinuiranu eksploataciju, odnosno, rad na eksploataciji i obradi tehničko-građevinskog kamena tokom čitave kalendarske godine.</w:t>
      </w:r>
    </w:p>
    <w:p w:rsidR="00EE206D" w:rsidRPr="00A26CE1" w:rsidRDefault="00EE206D" w:rsidP="001B4358">
      <w:pPr>
        <w:spacing w:after="0"/>
        <w:jc w:val="both"/>
        <w:rPr>
          <w:rFonts w:ascii="Arial" w:eastAsia="Calibri" w:hAnsi="Arial" w:cs="Arial"/>
          <w:i/>
          <w:u w:val="single"/>
        </w:rPr>
      </w:pPr>
    </w:p>
    <w:p w:rsidR="00EE206D" w:rsidRPr="008106BF" w:rsidRDefault="00EE206D" w:rsidP="001B4358">
      <w:pPr>
        <w:pStyle w:val="Heading2"/>
        <w:spacing w:before="0"/>
        <w:jc w:val="both"/>
        <w:rPr>
          <w:rFonts w:ascii="Arial" w:eastAsia="Times New Roman" w:hAnsi="Arial" w:cs="Arial"/>
          <w:i/>
          <w:color w:val="auto"/>
          <w:sz w:val="22"/>
          <w:szCs w:val="22"/>
        </w:rPr>
      </w:pPr>
      <w:bookmarkStart w:id="3" w:name="_Toc402262931"/>
      <w:r w:rsidRPr="008106BF">
        <w:rPr>
          <w:rFonts w:ascii="Arial" w:eastAsia="Times New Roman" w:hAnsi="Arial" w:cs="Arial"/>
          <w:i/>
          <w:color w:val="auto"/>
          <w:sz w:val="22"/>
          <w:szCs w:val="22"/>
        </w:rPr>
        <w:t xml:space="preserve"> Podaci o izvršenim geološkim istraživanjima, rezervama i kvalitetu mineralne sirovine</w:t>
      </w:r>
      <w:bookmarkEnd w:id="3"/>
    </w:p>
    <w:p w:rsidR="00EE206D" w:rsidRPr="00A26CE1" w:rsidRDefault="00EE206D" w:rsidP="00BA1A23">
      <w:pPr>
        <w:pStyle w:val="ListParagraph"/>
        <w:spacing w:before="120" w:after="0"/>
        <w:ind w:left="0"/>
        <w:contextualSpacing w:val="0"/>
        <w:jc w:val="both"/>
        <w:rPr>
          <w:rFonts w:ascii="Arial" w:eastAsia="Calibri" w:hAnsi="Arial" w:cs="Arial"/>
        </w:rPr>
      </w:pPr>
      <w:r w:rsidRPr="00A26CE1">
        <w:rPr>
          <w:rFonts w:ascii="Arial" w:eastAsia="Calibri" w:hAnsi="Arial" w:cs="Arial"/>
        </w:rPr>
        <w:t>U geološkoj građi šireg područja ležišta tehničko-gra</w:t>
      </w:r>
      <w:r w:rsidRPr="00A26CE1">
        <w:rPr>
          <w:rFonts w:ascii="Arial" w:hAnsi="Arial" w:cs="Arial"/>
        </w:rPr>
        <w:t>đevinskog kamena „Volujica</w:t>
      </w:r>
      <w:proofErr w:type="gramStart"/>
      <w:r w:rsidRPr="00A26CE1">
        <w:rPr>
          <w:rFonts w:ascii="Arial" w:hAnsi="Arial" w:cs="Arial"/>
        </w:rPr>
        <w:t>“</w:t>
      </w:r>
      <w:r w:rsidRPr="00A26CE1">
        <w:rPr>
          <w:rFonts w:ascii="Arial" w:eastAsia="Calibri" w:hAnsi="Arial" w:cs="Arial"/>
        </w:rPr>
        <w:t xml:space="preserve"> učestvuju</w:t>
      </w:r>
      <w:proofErr w:type="gramEnd"/>
      <w:r w:rsidRPr="00A26CE1">
        <w:rPr>
          <w:rFonts w:ascii="Arial" w:eastAsia="Calibri" w:hAnsi="Arial" w:cs="Arial"/>
        </w:rPr>
        <w:t xml:space="preserve"> sedimenti gornje krede (K</w:t>
      </w:r>
      <w:r w:rsidRPr="00A26CE1">
        <w:rPr>
          <w:rFonts w:ascii="Arial" w:eastAsia="Calibri" w:hAnsi="Arial" w:cs="Arial"/>
          <w:vertAlign w:val="subscript"/>
        </w:rPr>
        <w:t>2</w:t>
      </w:r>
      <w:r w:rsidRPr="00A26CE1">
        <w:rPr>
          <w:rFonts w:ascii="Arial" w:eastAsia="Calibri" w:hAnsi="Arial" w:cs="Arial"/>
          <w:vertAlign w:val="superscript"/>
        </w:rPr>
        <w:t>3</w:t>
      </w:r>
      <w:r w:rsidRPr="00A26CE1">
        <w:rPr>
          <w:rFonts w:ascii="Arial" w:eastAsia="Calibri" w:hAnsi="Arial" w:cs="Arial"/>
        </w:rPr>
        <w:t>), srednjeg eocena (E</w:t>
      </w:r>
      <w:r w:rsidRPr="00A26CE1">
        <w:rPr>
          <w:rFonts w:ascii="Arial" w:eastAsia="Calibri" w:hAnsi="Arial" w:cs="Arial"/>
          <w:vertAlign w:val="subscript"/>
        </w:rPr>
        <w:t>2</w:t>
      </w:r>
      <w:r w:rsidRPr="00A26CE1">
        <w:rPr>
          <w:rFonts w:ascii="Arial" w:eastAsia="Calibri" w:hAnsi="Arial" w:cs="Arial"/>
        </w:rPr>
        <w:t>) i kvartara (Q).</w:t>
      </w:r>
    </w:p>
    <w:p w:rsidR="00EE206D" w:rsidRPr="00A26CE1" w:rsidRDefault="00EE206D" w:rsidP="00BA1A23">
      <w:pPr>
        <w:spacing w:before="120" w:after="0"/>
        <w:jc w:val="both"/>
        <w:rPr>
          <w:rFonts w:ascii="Arial" w:hAnsi="Arial" w:cs="Arial"/>
        </w:rPr>
      </w:pPr>
      <w:r w:rsidRPr="00A26CE1">
        <w:rPr>
          <w:rFonts w:ascii="Arial" w:hAnsi="Arial" w:cs="Arial"/>
        </w:rPr>
        <w:t>Geološke bilansne rezerve tehničko-građevinskog kamena, B i C</w:t>
      </w:r>
      <w:r w:rsidRPr="00A26CE1">
        <w:rPr>
          <w:rFonts w:ascii="Arial" w:hAnsi="Arial" w:cs="Arial"/>
          <w:vertAlign w:val="subscript"/>
        </w:rPr>
        <w:t>1</w:t>
      </w:r>
      <w:r w:rsidRPr="00A26CE1">
        <w:rPr>
          <w:rFonts w:ascii="Arial" w:hAnsi="Arial" w:cs="Arial"/>
        </w:rPr>
        <w:t xml:space="preserve"> kategorije, ležišta „Volujica“, prema Elaboratu o klasifikaciji, kategorizaciji i proračunu rezervi tehničko-građevinskog kamena ležišta „Volujica“, Bar, stanje 31.12.2008. </w:t>
      </w:r>
      <w:proofErr w:type="gramStart"/>
      <w:r w:rsidRPr="00A26CE1">
        <w:rPr>
          <w:rFonts w:ascii="Arial" w:hAnsi="Arial" w:cs="Arial"/>
        </w:rPr>
        <w:t>godine</w:t>
      </w:r>
      <w:proofErr w:type="gramEnd"/>
      <w:r w:rsidRPr="00A26CE1">
        <w:rPr>
          <w:rFonts w:ascii="Arial" w:hAnsi="Arial" w:cs="Arial"/>
        </w:rPr>
        <w:t>, iznose 9.996.609,30 m</w:t>
      </w:r>
      <w:r w:rsidRPr="00A26CE1">
        <w:rPr>
          <w:rFonts w:ascii="Arial" w:hAnsi="Arial" w:cs="Arial"/>
          <w:vertAlign w:val="superscript"/>
        </w:rPr>
        <w:t>3</w:t>
      </w:r>
      <w:r w:rsidRPr="00A26CE1">
        <w:rPr>
          <w:rFonts w:ascii="Arial" w:hAnsi="Arial" w:cs="Arial"/>
        </w:rPr>
        <w:t xml:space="preserve"> č.s.m.</w:t>
      </w:r>
      <w:r w:rsidR="00A4398B" w:rsidRPr="00A26CE1">
        <w:rPr>
          <w:rFonts w:ascii="Arial" w:hAnsi="Arial" w:cs="Arial"/>
        </w:rPr>
        <w:t>, a eksploatacione 8.996.948,40 č.s.m.</w:t>
      </w:r>
    </w:p>
    <w:p w:rsidR="00EE206D" w:rsidRPr="00A26CE1" w:rsidRDefault="00EE206D" w:rsidP="00BA1A23">
      <w:pPr>
        <w:spacing w:before="120" w:after="0"/>
        <w:jc w:val="both"/>
        <w:rPr>
          <w:rFonts w:ascii="Arial" w:hAnsi="Arial" w:cs="Arial"/>
        </w:rPr>
      </w:pPr>
      <w:r w:rsidRPr="00A26CE1">
        <w:rPr>
          <w:rFonts w:ascii="Arial" w:hAnsi="Arial" w:cs="Arial"/>
        </w:rPr>
        <w:t>Eksploatacione rezerve tehničko-građevinskog kamena ležišta „Volujica“, prema naprijed navedenom Elaboratu, iznose 8.996.948</w:t>
      </w:r>
      <w:proofErr w:type="gramStart"/>
      <w:r w:rsidRPr="00A26CE1">
        <w:rPr>
          <w:rFonts w:ascii="Arial" w:hAnsi="Arial" w:cs="Arial"/>
        </w:rPr>
        <w:t>,40</w:t>
      </w:r>
      <w:proofErr w:type="gramEnd"/>
      <w:r w:rsidRPr="00A26CE1">
        <w:rPr>
          <w:rFonts w:ascii="Arial" w:hAnsi="Arial" w:cs="Arial"/>
        </w:rPr>
        <w:t xml:space="preserve"> m</w:t>
      </w:r>
      <w:r w:rsidRPr="00A26CE1">
        <w:rPr>
          <w:rFonts w:ascii="Arial" w:hAnsi="Arial" w:cs="Arial"/>
          <w:vertAlign w:val="superscript"/>
        </w:rPr>
        <w:t>3</w:t>
      </w:r>
      <w:r w:rsidRPr="00A26CE1">
        <w:rPr>
          <w:rFonts w:ascii="Arial" w:hAnsi="Arial" w:cs="Arial"/>
        </w:rPr>
        <w:t xml:space="preserve"> č.s.m.</w:t>
      </w:r>
    </w:p>
    <w:p w:rsidR="00EE206D" w:rsidRPr="00A26CE1" w:rsidRDefault="00EE206D" w:rsidP="00BA1A23">
      <w:pPr>
        <w:spacing w:before="120" w:after="0"/>
        <w:jc w:val="both"/>
        <w:rPr>
          <w:rFonts w:ascii="Arial" w:hAnsi="Arial" w:cs="Arial"/>
        </w:rPr>
      </w:pPr>
      <w:r w:rsidRPr="00A26CE1">
        <w:rPr>
          <w:rFonts w:ascii="Arial" w:eastAsia="Calibri" w:hAnsi="Arial" w:cs="Arial"/>
        </w:rPr>
        <w:t>Na osnovu dobijenih rezultata laboratorijskih ispitivanja</w:t>
      </w:r>
      <w:r w:rsidRPr="00A26CE1">
        <w:rPr>
          <w:rFonts w:ascii="Arial" w:hAnsi="Arial" w:cs="Arial"/>
        </w:rPr>
        <w:t>, tehničko-građevinski kamen</w:t>
      </w:r>
      <w:r w:rsidRPr="00A26CE1">
        <w:rPr>
          <w:rFonts w:ascii="Arial" w:eastAsia="Calibri" w:hAnsi="Arial" w:cs="Arial"/>
        </w:rPr>
        <w:t xml:space="preserve"> </w:t>
      </w:r>
      <w:r w:rsidRPr="00A26CE1">
        <w:rPr>
          <w:rFonts w:ascii="Arial" w:hAnsi="Arial" w:cs="Arial"/>
        </w:rPr>
        <w:t>ležišta „Volujica</w:t>
      </w:r>
      <w:proofErr w:type="gramStart"/>
      <w:r w:rsidRPr="00A26CE1">
        <w:rPr>
          <w:rFonts w:ascii="Arial" w:hAnsi="Arial" w:cs="Arial"/>
        </w:rPr>
        <w:t>“</w:t>
      </w:r>
      <w:r w:rsidRPr="00A26CE1">
        <w:rPr>
          <w:rFonts w:ascii="Arial" w:eastAsia="Calibri" w:hAnsi="Arial" w:cs="Arial"/>
        </w:rPr>
        <w:t xml:space="preserve"> može</w:t>
      </w:r>
      <w:proofErr w:type="gramEnd"/>
      <w:r w:rsidRPr="00A26CE1">
        <w:rPr>
          <w:rFonts w:ascii="Arial" w:eastAsia="Calibri" w:hAnsi="Arial" w:cs="Arial"/>
        </w:rPr>
        <w:t xml:space="preserve"> se upotrijebiti kao građevinski kamen za proizvodnju:</w:t>
      </w:r>
      <w:r w:rsidRPr="00A26CE1">
        <w:rPr>
          <w:rFonts w:ascii="Arial" w:hAnsi="Arial" w:cs="Arial"/>
        </w:rPr>
        <w:t xml:space="preserve"> </w:t>
      </w:r>
    </w:p>
    <w:p w:rsidR="00EE206D" w:rsidRPr="00A26CE1" w:rsidRDefault="00EE206D" w:rsidP="00BA1A23">
      <w:pPr>
        <w:pStyle w:val="ListParagraph"/>
        <w:numPr>
          <w:ilvl w:val="0"/>
          <w:numId w:val="26"/>
        </w:numPr>
        <w:spacing w:after="0"/>
        <w:contextualSpacing w:val="0"/>
        <w:jc w:val="both"/>
        <w:rPr>
          <w:rFonts w:ascii="Arial" w:hAnsi="Arial" w:cs="Arial"/>
        </w:rPr>
      </w:pPr>
      <w:r w:rsidRPr="00A26CE1">
        <w:rPr>
          <w:rFonts w:ascii="Arial" w:eastAsia="Calibri" w:hAnsi="Arial" w:cs="Arial"/>
        </w:rPr>
        <w:t>agregata za izradu betona</w:t>
      </w:r>
      <w:r w:rsidRPr="00A26CE1">
        <w:rPr>
          <w:rFonts w:ascii="Arial" w:hAnsi="Arial" w:cs="Arial"/>
        </w:rPr>
        <w:t xml:space="preserve">; </w:t>
      </w:r>
    </w:p>
    <w:p w:rsidR="00EE206D" w:rsidRPr="00A26CE1" w:rsidRDefault="00EE206D" w:rsidP="00BA1A23">
      <w:pPr>
        <w:pStyle w:val="ListParagraph"/>
        <w:numPr>
          <w:ilvl w:val="0"/>
          <w:numId w:val="26"/>
        </w:numPr>
        <w:spacing w:after="0"/>
        <w:contextualSpacing w:val="0"/>
        <w:jc w:val="both"/>
        <w:rPr>
          <w:rFonts w:ascii="Arial" w:hAnsi="Arial" w:cs="Arial"/>
        </w:rPr>
      </w:pPr>
      <w:r w:rsidRPr="00A26CE1">
        <w:rPr>
          <w:rFonts w:ascii="Arial" w:eastAsia="Calibri" w:hAnsi="Arial" w:cs="Arial"/>
        </w:rPr>
        <w:lastRenderedPageBreak/>
        <w:t>agregata za izradu asfalt betona za puteve trećih i nižih razreda saobraćajnog optere</w:t>
      </w:r>
      <w:r w:rsidRPr="00A26CE1">
        <w:rPr>
          <w:rFonts w:ascii="Arial" w:hAnsi="Arial" w:cs="Arial"/>
        </w:rPr>
        <w:t xml:space="preserve">ćenja; </w:t>
      </w:r>
    </w:p>
    <w:p w:rsidR="00EE206D" w:rsidRPr="00A26CE1" w:rsidRDefault="00EE206D" w:rsidP="00BA1A23">
      <w:pPr>
        <w:pStyle w:val="ListParagraph"/>
        <w:numPr>
          <w:ilvl w:val="0"/>
          <w:numId w:val="26"/>
        </w:numPr>
        <w:spacing w:after="0"/>
        <w:contextualSpacing w:val="0"/>
        <w:jc w:val="both"/>
        <w:rPr>
          <w:rFonts w:ascii="Arial" w:hAnsi="Arial" w:cs="Arial"/>
        </w:rPr>
      </w:pPr>
      <w:r w:rsidRPr="00A26CE1">
        <w:rPr>
          <w:rFonts w:ascii="Arial" w:eastAsia="Calibri" w:hAnsi="Arial" w:cs="Arial"/>
        </w:rPr>
        <w:t>agregata za izradu klasičnih i savremenih podloga za puteve sa teškim saobraćajnim opterećenjem</w:t>
      </w:r>
      <w:r w:rsidRPr="00A26CE1">
        <w:rPr>
          <w:rFonts w:ascii="Arial" w:hAnsi="Arial" w:cs="Arial"/>
        </w:rPr>
        <w:t xml:space="preserve">; </w:t>
      </w:r>
    </w:p>
    <w:p w:rsidR="00EE206D" w:rsidRPr="00A26CE1" w:rsidRDefault="00EE206D" w:rsidP="00BA1A23">
      <w:pPr>
        <w:pStyle w:val="ListParagraph"/>
        <w:numPr>
          <w:ilvl w:val="0"/>
          <w:numId w:val="26"/>
        </w:numPr>
        <w:spacing w:after="0"/>
        <w:contextualSpacing w:val="0"/>
        <w:jc w:val="both"/>
        <w:rPr>
          <w:rFonts w:ascii="Arial" w:eastAsia="Calibri" w:hAnsi="Arial" w:cs="Arial"/>
        </w:rPr>
      </w:pPr>
      <w:r w:rsidRPr="00A26CE1">
        <w:rPr>
          <w:rFonts w:ascii="Arial" w:eastAsia="Calibri" w:hAnsi="Arial" w:cs="Arial"/>
        </w:rPr>
        <w:t>ag</w:t>
      </w:r>
      <w:r w:rsidRPr="00A26CE1">
        <w:rPr>
          <w:rFonts w:ascii="Arial" w:hAnsi="Arial" w:cs="Arial"/>
        </w:rPr>
        <w:t>regata za gornje i donje</w:t>
      </w:r>
      <w:r w:rsidRPr="00A26CE1">
        <w:rPr>
          <w:rFonts w:ascii="Arial" w:eastAsia="Calibri" w:hAnsi="Arial" w:cs="Arial"/>
        </w:rPr>
        <w:t xml:space="preserve"> noseće slojeve od bituminiziranog materijala u putogradnji</w:t>
      </w:r>
      <w:r w:rsidRPr="00A26CE1">
        <w:rPr>
          <w:rFonts w:ascii="Arial" w:hAnsi="Arial" w:cs="Arial"/>
        </w:rPr>
        <w:t>;</w:t>
      </w:r>
    </w:p>
    <w:p w:rsidR="00EE206D" w:rsidRPr="00A26CE1" w:rsidRDefault="00EE206D" w:rsidP="00BA1A23">
      <w:pPr>
        <w:pStyle w:val="ListParagraph"/>
        <w:numPr>
          <w:ilvl w:val="0"/>
          <w:numId w:val="26"/>
        </w:numPr>
        <w:spacing w:after="0"/>
        <w:contextualSpacing w:val="0"/>
        <w:jc w:val="both"/>
        <w:rPr>
          <w:rFonts w:ascii="Arial" w:hAnsi="Arial" w:cs="Arial"/>
        </w:rPr>
      </w:pPr>
      <w:r w:rsidRPr="00A26CE1">
        <w:rPr>
          <w:rFonts w:ascii="Arial" w:hAnsi="Arial" w:cs="Arial"/>
        </w:rPr>
        <w:t>tucanika</w:t>
      </w:r>
      <w:r w:rsidRPr="00A26CE1">
        <w:rPr>
          <w:rFonts w:ascii="Arial" w:eastAsia="Calibri" w:hAnsi="Arial" w:cs="Arial"/>
        </w:rPr>
        <w:t xml:space="preserve"> za zastor željezničkih pruga</w:t>
      </w:r>
      <w:r w:rsidRPr="00A26CE1">
        <w:rPr>
          <w:rFonts w:ascii="Arial" w:hAnsi="Arial" w:cs="Arial"/>
        </w:rPr>
        <w:t xml:space="preserve"> i </w:t>
      </w:r>
    </w:p>
    <w:p w:rsidR="00EE206D" w:rsidRPr="00A26CE1" w:rsidRDefault="00EE206D" w:rsidP="00BA1A23">
      <w:pPr>
        <w:pStyle w:val="ListParagraph"/>
        <w:numPr>
          <w:ilvl w:val="0"/>
          <w:numId w:val="26"/>
        </w:numPr>
        <w:spacing w:after="0"/>
        <w:contextualSpacing w:val="0"/>
        <w:jc w:val="both"/>
        <w:rPr>
          <w:rFonts w:ascii="Arial" w:eastAsia="Calibri" w:hAnsi="Arial" w:cs="Arial"/>
        </w:rPr>
      </w:pPr>
      <w:proofErr w:type="gramStart"/>
      <w:r w:rsidRPr="00A26CE1">
        <w:rPr>
          <w:rFonts w:ascii="Arial" w:hAnsi="Arial" w:cs="Arial"/>
        </w:rPr>
        <w:t>proizvodnju</w:t>
      </w:r>
      <w:proofErr w:type="gramEnd"/>
      <w:r w:rsidRPr="00A26CE1">
        <w:rPr>
          <w:rFonts w:ascii="Arial" w:hAnsi="Arial" w:cs="Arial"/>
        </w:rPr>
        <w:t xml:space="preserve"> </w:t>
      </w:r>
      <w:r w:rsidRPr="00A26CE1">
        <w:rPr>
          <w:rFonts w:ascii="Arial" w:eastAsia="Calibri" w:hAnsi="Arial" w:cs="Arial"/>
        </w:rPr>
        <w:t>tucanika i lomljenog kamena za gruba zidanja u niskogradnji i hidrogradnji, uključujući lukobrane.</w:t>
      </w:r>
    </w:p>
    <w:p w:rsidR="00EE206D" w:rsidRPr="00A26CE1" w:rsidRDefault="00EE206D" w:rsidP="001B4358">
      <w:pPr>
        <w:spacing w:after="0"/>
        <w:jc w:val="both"/>
        <w:rPr>
          <w:rFonts w:ascii="Arial" w:hAnsi="Arial" w:cs="Arial"/>
          <w:b/>
        </w:rPr>
      </w:pPr>
    </w:p>
    <w:p w:rsidR="008E2D67" w:rsidRPr="00A26CE1" w:rsidRDefault="008E2D67" w:rsidP="001B4358">
      <w:pPr>
        <w:pStyle w:val="Heading2"/>
        <w:spacing w:before="0"/>
        <w:jc w:val="both"/>
        <w:rPr>
          <w:rFonts w:ascii="Arial" w:eastAsia="Times New Roman" w:hAnsi="Arial" w:cs="Arial"/>
          <w:color w:val="auto"/>
          <w:sz w:val="22"/>
          <w:szCs w:val="22"/>
        </w:rPr>
      </w:pPr>
      <w:r w:rsidRPr="00A26CE1">
        <w:rPr>
          <w:rFonts w:ascii="Arial" w:eastAsia="Times New Roman" w:hAnsi="Arial" w:cs="Arial"/>
          <w:color w:val="auto"/>
          <w:sz w:val="22"/>
          <w:szCs w:val="22"/>
        </w:rPr>
        <w:t>Napomena:</w:t>
      </w:r>
    </w:p>
    <w:p w:rsidR="008E2D67" w:rsidRPr="00A26CE1" w:rsidRDefault="008E2D67" w:rsidP="001B4358">
      <w:pPr>
        <w:pStyle w:val="Heading2"/>
        <w:spacing w:before="0"/>
        <w:jc w:val="both"/>
        <w:rPr>
          <w:rFonts w:ascii="Arial" w:eastAsia="Times New Roman" w:hAnsi="Arial" w:cs="Arial"/>
          <w:b w:val="0"/>
          <w:color w:val="auto"/>
          <w:sz w:val="22"/>
          <w:szCs w:val="22"/>
        </w:rPr>
      </w:pPr>
      <w:r w:rsidRPr="00A26CE1">
        <w:rPr>
          <w:rFonts w:ascii="Arial" w:eastAsia="Times New Roman" w:hAnsi="Arial" w:cs="Arial"/>
          <w:b w:val="0"/>
          <w:color w:val="auto"/>
          <w:sz w:val="22"/>
          <w:szCs w:val="22"/>
        </w:rPr>
        <w:t>Eksploatacijom tehničko-građevinskog kamena na ležištu „Volujica</w:t>
      </w:r>
      <w:proofErr w:type="gramStart"/>
      <w:r w:rsidRPr="00A26CE1">
        <w:rPr>
          <w:rFonts w:ascii="Arial" w:eastAsia="Times New Roman" w:hAnsi="Arial" w:cs="Arial"/>
          <w:b w:val="0"/>
          <w:color w:val="auto"/>
          <w:sz w:val="22"/>
          <w:szCs w:val="22"/>
        </w:rPr>
        <w:t>“ izvršila</w:t>
      </w:r>
      <w:proofErr w:type="gramEnd"/>
      <w:r w:rsidRPr="00A26CE1">
        <w:rPr>
          <w:rFonts w:ascii="Arial" w:eastAsia="Times New Roman" w:hAnsi="Arial" w:cs="Arial"/>
          <w:b w:val="0"/>
          <w:color w:val="auto"/>
          <w:sz w:val="22"/>
          <w:szCs w:val="22"/>
        </w:rPr>
        <w:t xml:space="preserve"> bi se trajna sanacija sjeverne padine brda Volujica i izvršila zaštita infrastrukturnih i suprastrukturnih objekata koji se nalaze u podnožju brda, </w:t>
      </w:r>
      <w:r w:rsidR="00BA1A23" w:rsidRPr="00A26CE1">
        <w:rPr>
          <w:rFonts w:ascii="Arial" w:eastAsia="Times New Roman" w:hAnsi="Arial" w:cs="Arial"/>
          <w:b w:val="0"/>
          <w:color w:val="auto"/>
          <w:sz w:val="22"/>
          <w:szCs w:val="22"/>
        </w:rPr>
        <w:t>a sa druge strane b</w:t>
      </w:r>
      <w:r w:rsidRPr="00A26CE1">
        <w:rPr>
          <w:rFonts w:ascii="Arial" w:eastAsia="Times New Roman" w:hAnsi="Arial" w:cs="Arial"/>
          <w:b w:val="0"/>
          <w:color w:val="auto"/>
          <w:sz w:val="22"/>
          <w:szCs w:val="22"/>
        </w:rPr>
        <w:t xml:space="preserve">i se eksploatacijom tehničko-građevinskog kamena stvorili uslovi za razvoj lučkih kapaciteta za pretovar i skladištenje suvih rasutih tereta. </w:t>
      </w:r>
    </w:p>
    <w:p w:rsidR="005F0AA3" w:rsidRPr="00A26CE1" w:rsidRDefault="005F0AA3" w:rsidP="001B4358">
      <w:pPr>
        <w:spacing w:after="0"/>
        <w:jc w:val="both"/>
        <w:rPr>
          <w:rFonts w:ascii="Arial" w:hAnsi="Arial" w:cs="Arial"/>
          <w:lang w:val="sr-Latn-CS"/>
        </w:rPr>
      </w:pPr>
    </w:p>
    <w:p w:rsidR="005F0AA3" w:rsidRPr="00A26CE1" w:rsidRDefault="00FA6DA5" w:rsidP="001B4358">
      <w:pPr>
        <w:spacing w:after="0"/>
        <w:jc w:val="both"/>
        <w:rPr>
          <w:rFonts w:ascii="Arial" w:hAnsi="Arial" w:cs="Arial"/>
          <w:b/>
        </w:rPr>
      </w:pPr>
      <w:r w:rsidRPr="00A26CE1">
        <w:rPr>
          <w:rFonts w:ascii="Arial" w:hAnsi="Arial" w:cs="Arial"/>
          <w:b/>
        </w:rPr>
        <w:t>2</w:t>
      </w:r>
      <w:r w:rsidR="005F0AA3" w:rsidRPr="00A26CE1">
        <w:rPr>
          <w:rFonts w:ascii="Arial" w:hAnsi="Arial" w:cs="Arial"/>
          <w:b/>
        </w:rPr>
        <w:t>. Pojava tehničko-građevinskog kamena “Velja Gorana”, opština Bar</w:t>
      </w:r>
    </w:p>
    <w:p w:rsidR="005F0AA3" w:rsidRPr="00A26CE1" w:rsidRDefault="005F0AA3" w:rsidP="001B4358">
      <w:pPr>
        <w:spacing w:after="0"/>
        <w:jc w:val="both"/>
        <w:rPr>
          <w:rFonts w:ascii="Arial" w:hAnsi="Arial" w:cs="Arial"/>
          <w:i/>
          <w:u w:val="single"/>
          <w:lang w:val="sr-Latn-CS"/>
        </w:rPr>
      </w:pPr>
    </w:p>
    <w:p w:rsidR="005F0AA3" w:rsidRDefault="005F0AA3" w:rsidP="001B4358">
      <w:pPr>
        <w:spacing w:after="0"/>
        <w:jc w:val="both"/>
        <w:rPr>
          <w:rFonts w:ascii="Arial" w:hAnsi="Arial" w:cs="Arial"/>
          <w:b/>
          <w:i/>
          <w:lang w:val="sv-SE"/>
        </w:rPr>
      </w:pPr>
      <w:r w:rsidRPr="008106BF">
        <w:rPr>
          <w:rFonts w:ascii="Arial" w:hAnsi="Arial" w:cs="Arial"/>
          <w:b/>
          <w:i/>
          <w:lang w:val="sv-SE"/>
        </w:rPr>
        <w:t>Položaj i op</w:t>
      </w:r>
      <w:r w:rsidR="00E01158" w:rsidRPr="008106BF">
        <w:rPr>
          <w:rFonts w:ascii="Arial" w:hAnsi="Arial" w:cs="Arial"/>
          <w:b/>
          <w:i/>
          <w:lang w:val="sv-SE"/>
        </w:rPr>
        <w:t>i</w:t>
      </w:r>
      <w:r w:rsidRPr="008106BF">
        <w:rPr>
          <w:rFonts w:ascii="Arial" w:hAnsi="Arial" w:cs="Arial"/>
          <w:b/>
          <w:i/>
          <w:lang w:val="sv-SE"/>
        </w:rPr>
        <w:t xml:space="preserve">s lokacije istražno-eksploatacionog prostora </w:t>
      </w:r>
    </w:p>
    <w:p w:rsidR="007D7B9A" w:rsidRPr="008106BF" w:rsidRDefault="007D7B9A" w:rsidP="001B4358">
      <w:pPr>
        <w:spacing w:after="0"/>
        <w:jc w:val="both"/>
        <w:rPr>
          <w:rFonts w:ascii="Arial" w:hAnsi="Arial" w:cs="Arial"/>
          <w:b/>
          <w:i/>
          <w:lang w:val="sv-SE"/>
        </w:rPr>
      </w:pPr>
    </w:p>
    <w:p w:rsidR="005F0AA3" w:rsidRPr="00A26CE1" w:rsidRDefault="005F0AA3" w:rsidP="00FC61D6">
      <w:pPr>
        <w:spacing w:before="120" w:after="0"/>
        <w:jc w:val="both"/>
        <w:rPr>
          <w:rFonts w:ascii="Arial" w:hAnsi="Arial" w:cs="Arial"/>
        </w:rPr>
      </w:pPr>
      <w:r w:rsidRPr="00A26CE1">
        <w:rPr>
          <w:rFonts w:ascii="Arial" w:hAnsi="Arial" w:cs="Arial"/>
        </w:rPr>
        <w:t xml:space="preserve">Pojava tehničko-građevinskog kamena „Velja Gorana“ nalazi se na oko 10 km sjeverno od Ulcinja, u klisuri Brdela, na oko 1 km jugoistočno od naselja Velja Gorana, po kojem je predmetni lokalitet nazvan. Istražno-eksploatacioni prostor zahvata jugoistočne granice Opštine Bar, kojoj administrativno i pripada. </w:t>
      </w:r>
    </w:p>
    <w:p w:rsidR="005F0AA3" w:rsidRPr="00A26CE1" w:rsidRDefault="005F0AA3" w:rsidP="00FC61D6">
      <w:pPr>
        <w:spacing w:before="120" w:after="0"/>
        <w:jc w:val="both"/>
        <w:rPr>
          <w:rFonts w:ascii="Arial" w:hAnsi="Arial" w:cs="Arial"/>
        </w:rPr>
      </w:pPr>
      <w:r w:rsidRPr="00A26CE1">
        <w:rPr>
          <w:rFonts w:ascii="Arial" w:hAnsi="Arial" w:cs="Arial"/>
        </w:rPr>
        <w:t xml:space="preserve">Do istražno-eksploatacionog prostora “Velja Gorana” postoje pristupni kolski put </w:t>
      </w:r>
      <w:proofErr w:type="gramStart"/>
      <w:r w:rsidRPr="00A26CE1">
        <w:rPr>
          <w:rFonts w:ascii="Arial" w:hAnsi="Arial" w:cs="Arial"/>
        </w:rPr>
        <w:t>sa</w:t>
      </w:r>
      <w:proofErr w:type="gramEnd"/>
      <w:r w:rsidRPr="00A26CE1">
        <w:rPr>
          <w:rFonts w:ascii="Arial" w:hAnsi="Arial" w:cs="Arial"/>
        </w:rPr>
        <w:t xml:space="preserve"> sjeverne strane od Pečurica i sa južne strane od Kruča, a iz Bara pristup je omogućen starim putem Bar - Ulcinj. Do predmetnog lokaliteta, iz pravca </w:t>
      </w:r>
      <w:proofErr w:type="gramStart"/>
      <w:r w:rsidRPr="00A26CE1">
        <w:rPr>
          <w:rFonts w:ascii="Arial" w:hAnsi="Arial" w:cs="Arial"/>
        </w:rPr>
        <w:t>Ulcinja,</w:t>
      </w:r>
      <w:proofErr w:type="gramEnd"/>
      <w:r w:rsidRPr="00A26CE1">
        <w:rPr>
          <w:rFonts w:ascii="Arial" w:hAnsi="Arial" w:cs="Arial"/>
        </w:rPr>
        <w:t xml:space="preserve"> vodi asfaltni put koji povezuje Ulcinj sa zaleđem (Krute, Vladimir, Ostros).</w:t>
      </w:r>
    </w:p>
    <w:p w:rsidR="005F0AA3" w:rsidRPr="00A26CE1" w:rsidRDefault="005F0AA3" w:rsidP="00FC61D6">
      <w:pPr>
        <w:spacing w:before="120" w:after="0"/>
        <w:jc w:val="both"/>
        <w:rPr>
          <w:rFonts w:ascii="Arial" w:hAnsi="Arial" w:cs="Arial"/>
        </w:rPr>
      </w:pPr>
      <w:r w:rsidRPr="00A26CE1">
        <w:rPr>
          <w:rFonts w:ascii="Arial" w:hAnsi="Arial" w:cs="Arial"/>
        </w:rPr>
        <w:t>Područje istražno-eksploatacionog prostora “Velja Gorana” i šire, uglavnom, je brdovito i karakteristično za kraške terene Jadranske obale. Dominantan je masiv Možure (546 m.n.m), zatim, Kobilica (622 m.n.m) i Štrbina (589 m.n.m.).</w:t>
      </w:r>
    </w:p>
    <w:p w:rsidR="005F0AA3" w:rsidRPr="00A26CE1" w:rsidRDefault="005F0AA3" w:rsidP="00FC61D6">
      <w:pPr>
        <w:pStyle w:val="ListParagraph"/>
        <w:spacing w:before="120" w:after="0"/>
        <w:ind w:left="0"/>
        <w:contextualSpacing w:val="0"/>
        <w:jc w:val="both"/>
        <w:rPr>
          <w:rFonts w:ascii="Arial" w:hAnsi="Arial" w:cs="Arial"/>
        </w:rPr>
      </w:pPr>
      <w:r w:rsidRPr="00A26CE1">
        <w:rPr>
          <w:rFonts w:ascii="Arial" w:hAnsi="Arial" w:cs="Arial"/>
        </w:rPr>
        <w:t>Pojava tehničko-građevinskog kamena „Velja Gorana“ nalazi se na nadmorskoj visini od 90 do 220 m.n.m.</w:t>
      </w:r>
      <w:r w:rsidR="00A06408" w:rsidRPr="00A26CE1">
        <w:rPr>
          <w:rFonts w:ascii="Arial" w:hAnsi="Arial" w:cs="Arial"/>
        </w:rPr>
        <w:t xml:space="preserve"> </w:t>
      </w:r>
      <w:r w:rsidRPr="00A26CE1">
        <w:rPr>
          <w:rFonts w:ascii="Arial" w:hAnsi="Arial" w:cs="Arial"/>
        </w:rPr>
        <w:t>Istražno-eksploatacioni prostor tehničko-građevinskog kamena „Velja Gorana“ pripada topografskoj sekciji “Ulcinj</w:t>
      </w:r>
      <w:r w:rsidR="00A06408" w:rsidRPr="00A26CE1">
        <w:rPr>
          <w:rFonts w:ascii="Arial" w:hAnsi="Arial" w:cs="Arial"/>
        </w:rPr>
        <w:t>”, 1:25 000</w:t>
      </w:r>
      <w:r w:rsidRPr="00A26CE1">
        <w:rPr>
          <w:rFonts w:ascii="Arial" w:hAnsi="Arial" w:cs="Arial"/>
        </w:rPr>
        <w:t>.</w:t>
      </w:r>
    </w:p>
    <w:p w:rsidR="005F0AA3" w:rsidRPr="00A26CE1" w:rsidRDefault="005F0AA3" w:rsidP="001B4358">
      <w:pPr>
        <w:spacing w:after="0"/>
        <w:jc w:val="both"/>
        <w:rPr>
          <w:rFonts w:ascii="Arial" w:hAnsi="Arial" w:cs="Arial"/>
        </w:rPr>
      </w:pPr>
      <w:r w:rsidRPr="00A26CE1">
        <w:rPr>
          <w:rFonts w:ascii="Arial" w:hAnsi="Arial" w:cs="Arial"/>
        </w:rPr>
        <w:t>Koordinate graničnih tačaka i površina istražno-eksploatac</w:t>
      </w:r>
      <w:r w:rsidR="00CB6B70">
        <w:rPr>
          <w:rFonts w:ascii="Arial" w:hAnsi="Arial" w:cs="Arial"/>
        </w:rPr>
        <w:t xml:space="preserve">ionog prostora „Velja Gorana“, </w:t>
      </w:r>
      <w:r w:rsidRPr="00A26CE1">
        <w:rPr>
          <w:rFonts w:ascii="Arial" w:hAnsi="Arial" w:cs="Arial"/>
        </w:rPr>
        <w:t>dati su u sljedećoj tabeli:</w:t>
      </w:r>
    </w:p>
    <w:p w:rsidR="005F0AA3" w:rsidRPr="00A26CE1" w:rsidRDefault="005F0AA3" w:rsidP="001B4358">
      <w:pPr>
        <w:spacing w:after="0"/>
        <w:jc w:val="both"/>
        <w:rPr>
          <w:rFonts w:ascii="Arial" w:hAnsi="Arial" w:cs="Arial"/>
        </w:rPr>
      </w:pPr>
    </w:p>
    <w:tbl>
      <w:tblPr>
        <w:tblStyle w:val="TableGrid"/>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gridCol w:w="2394"/>
      </w:tblGrid>
      <w:tr w:rsidR="005F0AA3" w:rsidRPr="00A26CE1" w:rsidTr="007D7B9A">
        <w:trPr>
          <w:trHeight w:val="345"/>
        </w:trPr>
        <w:tc>
          <w:tcPr>
            <w:tcW w:w="2394" w:type="dxa"/>
            <w:vMerge w:val="restart"/>
            <w:tcBorders>
              <w:top w:val="single" w:sz="12" w:space="0" w:color="auto"/>
              <w:left w:val="single" w:sz="12" w:space="0" w:color="auto"/>
              <w:right w:val="single" w:sz="12" w:space="0" w:color="auto"/>
            </w:tcBorders>
            <w:shd w:val="clear" w:color="auto" w:fill="FFFFFF" w:themeFill="background1"/>
          </w:tcPr>
          <w:p w:rsidR="005F0AA3" w:rsidRPr="00A26CE1" w:rsidRDefault="005F0AA3" w:rsidP="001B4358">
            <w:pPr>
              <w:spacing w:line="276" w:lineRule="auto"/>
              <w:jc w:val="center"/>
              <w:rPr>
                <w:rFonts w:ascii="Arial" w:hAnsi="Arial" w:cs="Arial"/>
                <w:sz w:val="22"/>
                <w:szCs w:val="22"/>
              </w:rPr>
            </w:pPr>
          </w:p>
          <w:p w:rsidR="005F0AA3" w:rsidRPr="00A26CE1" w:rsidRDefault="005F0AA3" w:rsidP="001B4358">
            <w:pPr>
              <w:spacing w:line="276" w:lineRule="auto"/>
              <w:jc w:val="center"/>
              <w:rPr>
                <w:rFonts w:ascii="Arial" w:hAnsi="Arial" w:cs="Arial"/>
                <w:b/>
                <w:color w:val="E36C0A" w:themeColor="accent6" w:themeShade="BF"/>
                <w:sz w:val="22"/>
                <w:szCs w:val="22"/>
              </w:rPr>
            </w:pPr>
            <w:r w:rsidRPr="00A26CE1">
              <w:rPr>
                <w:rFonts w:ascii="Arial" w:hAnsi="Arial" w:cs="Arial"/>
                <w:b/>
                <w:sz w:val="22"/>
                <w:szCs w:val="22"/>
              </w:rPr>
              <w:t>T A Č K A</w:t>
            </w:r>
          </w:p>
        </w:tc>
        <w:tc>
          <w:tcPr>
            <w:tcW w:w="4788" w:type="dxa"/>
            <w:gridSpan w:val="2"/>
            <w:tcBorders>
              <w:top w:val="single" w:sz="12" w:space="0" w:color="auto"/>
              <w:left w:val="single" w:sz="12" w:space="0" w:color="auto"/>
              <w:right w:val="single" w:sz="12" w:space="0" w:color="auto"/>
            </w:tcBorders>
            <w:shd w:val="clear" w:color="auto" w:fill="FFFFFF" w:themeFill="background1"/>
          </w:tcPr>
          <w:p w:rsidR="005F0AA3" w:rsidRPr="00A26CE1" w:rsidRDefault="005F0AA3" w:rsidP="001B4358">
            <w:pPr>
              <w:spacing w:line="276" w:lineRule="auto"/>
              <w:jc w:val="center"/>
              <w:rPr>
                <w:rFonts w:ascii="Arial" w:hAnsi="Arial" w:cs="Arial"/>
                <w:b/>
                <w:sz w:val="22"/>
                <w:szCs w:val="22"/>
              </w:rPr>
            </w:pPr>
            <w:r w:rsidRPr="00A26CE1">
              <w:rPr>
                <w:rFonts w:ascii="Arial" w:hAnsi="Arial" w:cs="Arial"/>
                <w:b/>
                <w:sz w:val="22"/>
                <w:szCs w:val="22"/>
              </w:rPr>
              <w:t>K O O R D I N A T E</w:t>
            </w:r>
          </w:p>
        </w:tc>
        <w:tc>
          <w:tcPr>
            <w:tcW w:w="2394" w:type="dxa"/>
            <w:vMerge w:val="restart"/>
            <w:tcBorders>
              <w:top w:val="single" w:sz="12" w:space="0" w:color="auto"/>
              <w:left w:val="single" w:sz="12" w:space="0" w:color="auto"/>
              <w:right w:val="single" w:sz="12" w:space="0" w:color="auto"/>
            </w:tcBorders>
            <w:shd w:val="clear" w:color="auto" w:fill="FFFFFF" w:themeFill="background1"/>
          </w:tcPr>
          <w:p w:rsidR="005F0AA3" w:rsidRPr="00A26CE1" w:rsidRDefault="005F0AA3" w:rsidP="001B4358">
            <w:pPr>
              <w:spacing w:line="276" w:lineRule="auto"/>
              <w:jc w:val="center"/>
              <w:rPr>
                <w:rFonts w:ascii="Arial" w:hAnsi="Arial" w:cs="Arial"/>
                <w:b/>
                <w:sz w:val="22"/>
                <w:szCs w:val="22"/>
              </w:rPr>
            </w:pPr>
          </w:p>
          <w:p w:rsidR="005F0AA3" w:rsidRPr="00A26CE1" w:rsidRDefault="005F0AA3" w:rsidP="001B4358">
            <w:pPr>
              <w:spacing w:line="276" w:lineRule="auto"/>
              <w:jc w:val="center"/>
              <w:rPr>
                <w:rFonts w:ascii="Arial" w:hAnsi="Arial" w:cs="Arial"/>
                <w:b/>
                <w:sz w:val="22"/>
                <w:szCs w:val="22"/>
              </w:rPr>
            </w:pPr>
            <w:r w:rsidRPr="00A26CE1">
              <w:rPr>
                <w:rFonts w:ascii="Arial" w:hAnsi="Arial" w:cs="Arial"/>
                <w:b/>
                <w:sz w:val="22"/>
                <w:szCs w:val="22"/>
              </w:rPr>
              <w:t>P O V R Š I N A (ha)</w:t>
            </w:r>
          </w:p>
        </w:tc>
      </w:tr>
      <w:tr w:rsidR="005F0AA3" w:rsidRPr="00A26CE1" w:rsidTr="007D7B9A">
        <w:trPr>
          <w:trHeight w:val="300"/>
        </w:trPr>
        <w:tc>
          <w:tcPr>
            <w:tcW w:w="2394" w:type="dxa"/>
            <w:vMerge/>
            <w:tcBorders>
              <w:left w:val="single" w:sz="12" w:space="0" w:color="auto"/>
              <w:bottom w:val="single" w:sz="12" w:space="0" w:color="auto"/>
              <w:right w:val="single" w:sz="12" w:space="0" w:color="auto"/>
            </w:tcBorders>
            <w:shd w:val="clear" w:color="auto" w:fill="E36C0A" w:themeFill="accent6" w:themeFillShade="BF"/>
          </w:tcPr>
          <w:p w:rsidR="005F0AA3" w:rsidRPr="00A26CE1" w:rsidRDefault="005F0AA3" w:rsidP="001B4358">
            <w:pPr>
              <w:spacing w:line="276" w:lineRule="auto"/>
              <w:jc w:val="center"/>
              <w:rPr>
                <w:rFonts w:ascii="Arial" w:hAnsi="Arial" w:cs="Arial"/>
                <w:sz w:val="22"/>
                <w:szCs w:val="22"/>
              </w:rPr>
            </w:pPr>
          </w:p>
        </w:tc>
        <w:tc>
          <w:tcPr>
            <w:tcW w:w="2394" w:type="dxa"/>
            <w:tcBorders>
              <w:left w:val="single" w:sz="12" w:space="0" w:color="auto"/>
              <w:bottom w:val="single" w:sz="12" w:space="0" w:color="auto"/>
              <w:right w:val="single" w:sz="12" w:space="0" w:color="auto"/>
            </w:tcBorders>
            <w:shd w:val="clear" w:color="auto" w:fill="FFFFFF" w:themeFill="background1"/>
          </w:tcPr>
          <w:p w:rsidR="005F0AA3" w:rsidRPr="00A26CE1" w:rsidRDefault="005F0AA3" w:rsidP="001B4358">
            <w:pPr>
              <w:spacing w:line="276" w:lineRule="auto"/>
              <w:jc w:val="center"/>
              <w:rPr>
                <w:rFonts w:ascii="Arial" w:hAnsi="Arial" w:cs="Arial"/>
                <w:b/>
                <w:sz w:val="22"/>
                <w:szCs w:val="22"/>
              </w:rPr>
            </w:pPr>
            <w:r w:rsidRPr="00A26CE1">
              <w:rPr>
                <w:rFonts w:ascii="Arial" w:hAnsi="Arial" w:cs="Arial"/>
                <w:b/>
                <w:sz w:val="22"/>
                <w:szCs w:val="22"/>
              </w:rPr>
              <w:t>X</w:t>
            </w:r>
          </w:p>
        </w:tc>
        <w:tc>
          <w:tcPr>
            <w:tcW w:w="2394" w:type="dxa"/>
            <w:tcBorders>
              <w:left w:val="single" w:sz="12" w:space="0" w:color="auto"/>
              <w:bottom w:val="single" w:sz="12" w:space="0" w:color="auto"/>
              <w:right w:val="single" w:sz="12" w:space="0" w:color="auto"/>
            </w:tcBorders>
            <w:shd w:val="clear" w:color="auto" w:fill="FFFFFF" w:themeFill="background1"/>
          </w:tcPr>
          <w:p w:rsidR="005F0AA3" w:rsidRPr="00A26CE1" w:rsidRDefault="005F0AA3" w:rsidP="001B4358">
            <w:pPr>
              <w:spacing w:line="276" w:lineRule="auto"/>
              <w:jc w:val="center"/>
              <w:rPr>
                <w:rFonts w:ascii="Arial" w:hAnsi="Arial" w:cs="Arial"/>
                <w:b/>
                <w:sz w:val="22"/>
                <w:szCs w:val="22"/>
              </w:rPr>
            </w:pPr>
            <w:r w:rsidRPr="00A26CE1">
              <w:rPr>
                <w:rFonts w:ascii="Arial" w:hAnsi="Arial" w:cs="Arial"/>
                <w:b/>
                <w:sz w:val="22"/>
                <w:szCs w:val="22"/>
              </w:rPr>
              <w:t>Y</w:t>
            </w:r>
          </w:p>
        </w:tc>
        <w:tc>
          <w:tcPr>
            <w:tcW w:w="2394" w:type="dxa"/>
            <w:vMerge/>
            <w:tcBorders>
              <w:left w:val="single" w:sz="12" w:space="0" w:color="auto"/>
              <w:bottom w:val="single" w:sz="12" w:space="0" w:color="auto"/>
              <w:right w:val="single" w:sz="12" w:space="0" w:color="auto"/>
            </w:tcBorders>
            <w:shd w:val="clear" w:color="auto" w:fill="FFFFFF" w:themeFill="background1"/>
          </w:tcPr>
          <w:p w:rsidR="005F0AA3" w:rsidRPr="00A26CE1" w:rsidRDefault="005F0AA3" w:rsidP="001B4358">
            <w:pPr>
              <w:spacing w:line="276" w:lineRule="auto"/>
              <w:jc w:val="center"/>
              <w:rPr>
                <w:rFonts w:ascii="Arial" w:hAnsi="Arial" w:cs="Arial"/>
                <w:sz w:val="22"/>
                <w:szCs w:val="22"/>
              </w:rPr>
            </w:pPr>
          </w:p>
        </w:tc>
      </w:tr>
      <w:tr w:rsidR="005F0AA3" w:rsidRPr="00A26CE1" w:rsidTr="007D7B9A">
        <w:tc>
          <w:tcPr>
            <w:tcW w:w="2394" w:type="dxa"/>
            <w:tcBorders>
              <w:top w:val="single" w:sz="12" w:space="0" w:color="auto"/>
              <w:left w:val="single" w:sz="12" w:space="0" w:color="auto"/>
              <w:right w:val="single" w:sz="12" w:space="0" w:color="auto"/>
            </w:tcBorders>
          </w:tcPr>
          <w:p w:rsidR="005F0AA3" w:rsidRPr="00A26CE1" w:rsidRDefault="005F0AA3" w:rsidP="001B4358">
            <w:pPr>
              <w:spacing w:line="276" w:lineRule="auto"/>
              <w:jc w:val="center"/>
              <w:rPr>
                <w:rFonts w:ascii="Arial" w:hAnsi="Arial" w:cs="Arial"/>
                <w:b/>
                <w:sz w:val="22"/>
                <w:szCs w:val="22"/>
              </w:rPr>
            </w:pPr>
            <w:r w:rsidRPr="00A26CE1">
              <w:rPr>
                <w:rFonts w:ascii="Arial" w:hAnsi="Arial" w:cs="Arial"/>
                <w:b/>
                <w:sz w:val="22"/>
                <w:szCs w:val="22"/>
              </w:rPr>
              <w:t>A</w:t>
            </w:r>
          </w:p>
        </w:tc>
        <w:tc>
          <w:tcPr>
            <w:tcW w:w="2394" w:type="dxa"/>
            <w:tcBorders>
              <w:top w:val="single" w:sz="12" w:space="0" w:color="auto"/>
              <w:left w:val="single" w:sz="12" w:space="0" w:color="auto"/>
              <w:right w:val="single" w:sz="12" w:space="0" w:color="auto"/>
            </w:tcBorders>
          </w:tcPr>
          <w:p w:rsidR="005F0AA3" w:rsidRPr="00A26CE1" w:rsidRDefault="005F0AA3" w:rsidP="001B4358">
            <w:pPr>
              <w:spacing w:line="276" w:lineRule="auto"/>
              <w:jc w:val="center"/>
              <w:rPr>
                <w:rFonts w:ascii="Arial" w:hAnsi="Arial" w:cs="Arial"/>
                <w:sz w:val="22"/>
                <w:szCs w:val="22"/>
              </w:rPr>
            </w:pPr>
            <w:r w:rsidRPr="00A26CE1">
              <w:rPr>
                <w:rFonts w:ascii="Arial" w:hAnsi="Arial" w:cs="Arial"/>
                <w:sz w:val="22"/>
                <w:szCs w:val="22"/>
              </w:rPr>
              <w:t>4 649 490.92</w:t>
            </w:r>
          </w:p>
        </w:tc>
        <w:tc>
          <w:tcPr>
            <w:tcW w:w="2394" w:type="dxa"/>
            <w:tcBorders>
              <w:top w:val="single" w:sz="12" w:space="0" w:color="auto"/>
              <w:left w:val="single" w:sz="12" w:space="0" w:color="auto"/>
              <w:right w:val="single" w:sz="12" w:space="0" w:color="auto"/>
            </w:tcBorders>
          </w:tcPr>
          <w:p w:rsidR="005F0AA3" w:rsidRPr="00A26CE1" w:rsidRDefault="005F0AA3" w:rsidP="001B4358">
            <w:pPr>
              <w:spacing w:line="276" w:lineRule="auto"/>
              <w:jc w:val="center"/>
              <w:rPr>
                <w:rFonts w:ascii="Arial" w:hAnsi="Arial" w:cs="Arial"/>
                <w:sz w:val="22"/>
                <w:szCs w:val="22"/>
              </w:rPr>
            </w:pPr>
            <w:r w:rsidRPr="00A26CE1">
              <w:rPr>
                <w:rFonts w:ascii="Arial" w:hAnsi="Arial" w:cs="Arial"/>
                <w:sz w:val="22"/>
                <w:szCs w:val="22"/>
              </w:rPr>
              <w:t>6 604 317.40</w:t>
            </w:r>
          </w:p>
        </w:tc>
        <w:tc>
          <w:tcPr>
            <w:tcW w:w="2394" w:type="dxa"/>
            <w:vMerge w:val="restart"/>
            <w:tcBorders>
              <w:top w:val="single" w:sz="12" w:space="0" w:color="auto"/>
              <w:left w:val="single" w:sz="12" w:space="0" w:color="auto"/>
              <w:right w:val="single" w:sz="12" w:space="0" w:color="auto"/>
            </w:tcBorders>
          </w:tcPr>
          <w:p w:rsidR="005F0AA3" w:rsidRPr="00A26CE1" w:rsidRDefault="005F0AA3" w:rsidP="001B4358">
            <w:pPr>
              <w:spacing w:line="276" w:lineRule="auto"/>
              <w:jc w:val="center"/>
              <w:rPr>
                <w:rFonts w:ascii="Arial" w:hAnsi="Arial" w:cs="Arial"/>
                <w:sz w:val="22"/>
                <w:szCs w:val="22"/>
              </w:rPr>
            </w:pPr>
          </w:p>
          <w:p w:rsidR="005F0AA3" w:rsidRPr="00A26CE1" w:rsidRDefault="005F0AA3" w:rsidP="001B4358">
            <w:pPr>
              <w:spacing w:line="276" w:lineRule="auto"/>
              <w:jc w:val="center"/>
              <w:rPr>
                <w:rFonts w:ascii="Arial" w:hAnsi="Arial" w:cs="Arial"/>
                <w:sz w:val="22"/>
                <w:szCs w:val="22"/>
              </w:rPr>
            </w:pPr>
          </w:p>
          <w:p w:rsidR="005F0AA3" w:rsidRPr="00A26CE1" w:rsidRDefault="005F0AA3" w:rsidP="001B4358">
            <w:pPr>
              <w:spacing w:line="276" w:lineRule="auto"/>
              <w:jc w:val="center"/>
              <w:rPr>
                <w:rFonts w:ascii="Arial" w:hAnsi="Arial" w:cs="Arial"/>
                <w:sz w:val="22"/>
                <w:szCs w:val="22"/>
              </w:rPr>
            </w:pPr>
            <w:r w:rsidRPr="00A26CE1">
              <w:rPr>
                <w:rFonts w:ascii="Arial" w:hAnsi="Arial" w:cs="Arial"/>
                <w:sz w:val="22"/>
                <w:szCs w:val="22"/>
              </w:rPr>
              <w:t>8,4</w:t>
            </w:r>
          </w:p>
        </w:tc>
      </w:tr>
      <w:tr w:rsidR="005F0AA3" w:rsidRPr="00A26CE1" w:rsidTr="007D7B9A">
        <w:tc>
          <w:tcPr>
            <w:tcW w:w="2394" w:type="dxa"/>
            <w:tcBorders>
              <w:left w:val="single" w:sz="12" w:space="0" w:color="auto"/>
              <w:right w:val="single" w:sz="12" w:space="0" w:color="auto"/>
            </w:tcBorders>
          </w:tcPr>
          <w:p w:rsidR="005F0AA3" w:rsidRPr="00A26CE1" w:rsidRDefault="005F0AA3" w:rsidP="001B4358">
            <w:pPr>
              <w:spacing w:line="276" w:lineRule="auto"/>
              <w:jc w:val="center"/>
              <w:rPr>
                <w:rFonts w:ascii="Arial" w:hAnsi="Arial" w:cs="Arial"/>
                <w:b/>
                <w:sz w:val="22"/>
                <w:szCs w:val="22"/>
              </w:rPr>
            </w:pPr>
            <w:r w:rsidRPr="00A26CE1">
              <w:rPr>
                <w:rFonts w:ascii="Arial" w:hAnsi="Arial" w:cs="Arial"/>
                <w:b/>
                <w:sz w:val="22"/>
                <w:szCs w:val="22"/>
              </w:rPr>
              <w:t>B</w:t>
            </w:r>
          </w:p>
        </w:tc>
        <w:tc>
          <w:tcPr>
            <w:tcW w:w="2394" w:type="dxa"/>
            <w:tcBorders>
              <w:left w:val="single" w:sz="12" w:space="0" w:color="auto"/>
              <w:right w:val="single" w:sz="12" w:space="0" w:color="auto"/>
            </w:tcBorders>
          </w:tcPr>
          <w:p w:rsidR="005F0AA3" w:rsidRPr="00A26CE1" w:rsidRDefault="005F0AA3" w:rsidP="001B4358">
            <w:pPr>
              <w:spacing w:line="276" w:lineRule="auto"/>
              <w:jc w:val="center"/>
              <w:rPr>
                <w:rFonts w:ascii="Arial" w:hAnsi="Arial" w:cs="Arial"/>
                <w:sz w:val="22"/>
                <w:szCs w:val="22"/>
              </w:rPr>
            </w:pPr>
            <w:r w:rsidRPr="00A26CE1">
              <w:rPr>
                <w:rFonts w:ascii="Arial" w:hAnsi="Arial" w:cs="Arial"/>
                <w:sz w:val="22"/>
                <w:szCs w:val="22"/>
              </w:rPr>
              <w:t>4 649 195.49</w:t>
            </w:r>
          </w:p>
        </w:tc>
        <w:tc>
          <w:tcPr>
            <w:tcW w:w="2394" w:type="dxa"/>
            <w:tcBorders>
              <w:left w:val="single" w:sz="12" w:space="0" w:color="auto"/>
              <w:right w:val="single" w:sz="12" w:space="0" w:color="auto"/>
            </w:tcBorders>
          </w:tcPr>
          <w:p w:rsidR="005F0AA3" w:rsidRPr="00A26CE1" w:rsidRDefault="005F0AA3" w:rsidP="001B4358">
            <w:pPr>
              <w:spacing w:line="276" w:lineRule="auto"/>
              <w:jc w:val="center"/>
              <w:rPr>
                <w:rFonts w:ascii="Arial" w:hAnsi="Arial" w:cs="Arial"/>
                <w:sz w:val="22"/>
                <w:szCs w:val="22"/>
              </w:rPr>
            </w:pPr>
            <w:r w:rsidRPr="00A26CE1">
              <w:rPr>
                <w:rFonts w:ascii="Arial" w:hAnsi="Arial" w:cs="Arial"/>
                <w:sz w:val="22"/>
                <w:szCs w:val="22"/>
              </w:rPr>
              <w:t>6 604 619.34</w:t>
            </w:r>
          </w:p>
        </w:tc>
        <w:tc>
          <w:tcPr>
            <w:tcW w:w="2394" w:type="dxa"/>
            <w:vMerge/>
            <w:tcBorders>
              <w:left w:val="single" w:sz="12" w:space="0" w:color="auto"/>
              <w:right w:val="single" w:sz="12" w:space="0" w:color="auto"/>
            </w:tcBorders>
          </w:tcPr>
          <w:p w:rsidR="005F0AA3" w:rsidRPr="00A26CE1" w:rsidRDefault="005F0AA3" w:rsidP="001B4358">
            <w:pPr>
              <w:spacing w:line="276" w:lineRule="auto"/>
              <w:jc w:val="both"/>
              <w:rPr>
                <w:rFonts w:ascii="Arial" w:hAnsi="Arial" w:cs="Arial"/>
                <w:sz w:val="22"/>
                <w:szCs w:val="22"/>
              </w:rPr>
            </w:pPr>
          </w:p>
        </w:tc>
      </w:tr>
      <w:tr w:rsidR="005F0AA3" w:rsidRPr="00A26CE1" w:rsidTr="007D7B9A">
        <w:tc>
          <w:tcPr>
            <w:tcW w:w="2394" w:type="dxa"/>
            <w:tcBorders>
              <w:left w:val="single" w:sz="12" w:space="0" w:color="auto"/>
              <w:right w:val="single" w:sz="12" w:space="0" w:color="auto"/>
            </w:tcBorders>
          </w:tcPr>
          <w:p w:rsidR="005F0AA3" w:rsidRPr="00A26CE1" w:rsidRDefault="005F0AA3" w:rsidP="001B4358">
            <w:pPr>
              <w:spacing w:line="276" w:lineRule="auto"/>
              <w:jc w:val="center"/>
              <w:rPr>
                <w:rFonts w:ascii="Arial" w:hAnsi="Arial" w:cs="Arial"/>
                <w:b/>
                <w:sz w:val="22"/>
                <w:szCs w:val="22"/>
              </w:rPr>
            </w:pPr>
            <w:r w:rsidRPr="00A26CE1">
              <w:rPr>
                <w:rFonts w:ascii="Arial" w:hAnsi="Arial" w:cs="Arial"/>
                <w:b/>
                <w:sz w:val="22"/>
                <w:szCs w:val="22"/>
              </w:rPr>
              <w:t>C</w:t>
            </w:r>
          </w:p>
        </w:tc>
        <w:tc>
          <w:tcPr>
            <w:tcW w:w="2394" w:type="dxa"/>
            <w:tcBorders>
              <w:left w:val="single" w:sz="12" w:space="0" w:color="auto"/>
              <w:right w:val="single" w:sz="12" w:space="0" w:color="auto"/>
            </w:tcBorders>
          </w:tcPr>
          <w:p w:rsidR="005F0AA3" w:rsidRPr="00A26CE1" w:rsidRDefault="005F0AA3" w:rsidP="001B4358">
            <w:pPr>
              <w:spacing w:line="276" w:lineRule="auto"/>
              <w:jc w:val="center"/>
              <w:rPr>
                <w:rFonts w:ascii="Arial" w:hAnsi="Arial" w:cs="Arial"/>
                <w:sz w:val="22"/>
                <w:szCs w:val="22"/>
              </w:rPr>
            </w:pPr>
            <w:r w:rsidRPr="00A26CE1">
              <w:rPr>
                <w:rFonts w:ascii="Arial" w:hAnsi="Arial" w:cs="Arial"/>
                <w:sz w:val="22"/>
                <w:szCs w:val="22"/>
              </w:rPr>
              <w:t>4 649 017.76</w:t>
            </w:r>
          </w:p>
        </w:tc>
        <w:tc>
          <w:tcPr>
            <w:tcW w:w="2394" w:type="dxa"/>
            <w:tcBorders>
              <w:left w:val="single" w:sz="12" w:space="0" w:color="auto"/>
              <w:right w:val="single" w:sz="12" w:space="0" w:color="auto"/>
            </w:tcBorders>
          </w:tcPr>
          <w:p w:rsidR="005F0AA3" w:rsidRPr="00A26CE1" w:rsidRDefault="005F0AA3" w:rsidP="001B4358">
            <w:pPr>
              <w:spacing w:line="276" w:lineRule="auto"/>
              <w:jc w:val="center"/>
              <w:rPr>
                <w:rFonts w:ascii="Arial" w:hAnsi="Arial" w:cs="Arial"/>
                <w:sz w:val="22"/>
                <w:szCs w:val="22"/>
              </w:rPr>
            </w:pPr>
            <w:r w:rsidRPr="00A26CE1">
              <w:rPr>
                <w:rFonts w:ascii="Arial" w:hAnsi="Arial" w:cs="Arial"/>
                <w:sz w:val="22"/>
                <w:szCs w:val="22"/>
              </w:rPr>
              <w:t>6 604 492.50</w:t>
            </w:r>
          </w:p>
        </w:tc>
        <w:tc>
          <w:tcPr>
            <w:tcW w:w="2394" w:type="dxa"/>
            <w:vMerge/>
            <w:tcBorders>
              <w:left w:val="single" w:sz="12" w:space="0" w:color="auto"/>
              <w:right w:val="single" w:sz="12" w:space="0" w:color="auto"/>
            </w:tcBorders>
          </w:tcPr>
          <w:p w:rsidR="005F0AA3" w:rsidRPr="00A26CE1" w:rsidRDefault="005F0AA3" w:rsidP="001B4358">
            <w:pPr>
              <w:spacing w:line="276" w:lineRule="auto"/>
              <w:jc w:val="both"/>
              <w:rPr>
                <w:rFonts w:ascii="Arial" w:hAnsi="Arial" w:cs="Arial"/>
                <w:sz w:val="22"/>
                <w:szCs w:val="22"/>
              </w:rPr>
            </w:pPr>
          </w:p>
        </w:tc>
      </w:tr>
      <w:tr w:rsidR="005F0AA3" w:rsidRPr="00A26CE1" w:rsidTr="007D7B9A">
        <w:tc>
          <w:tcPr>
            <w:tcW w:w="2394" w:type="dxa"/>
            <w:tcBorders>
              <w:left w:val="single" w:sz="12" w:space="0" w:color="auto"/>
              <w:right w:val="single" w:sz="12" w:space="0" w:color="auto"/>
            </w:tcBorders>
          </w:tcPr>
          <w:p w:rsidR="005F0AA3" w:rsidRPr="00A26CE1" w:rsidRDefault="005F0AA3" w:rsidP="001B4358">
            <w:pPr>
              <w:spacing w:line="276" w:lineRule="auto"/>
              <w:jc w:val="center"/>
              <w:rPr>
                <w:rFonts w:ascii="Arial" w:hAnsi="Arial" w:cs="Arial"/>
                <w:b/>
                <w:sz w:val="22"/>
                <w:szCs w:val="22"/>
              </w:rPr>
            </w:pPr>
            <w:r w:rsidRPr="00A26CE1">
              <w:rPr>
                <w:rFonts w:ascii="Arial" w:hAnsi="Arial" w:cs="Arial"/>
                <w:b/>
                <w:sz w:val="22"/>
                <w:szCs w:val="22"/>
              </w:rPr>
              <w:t>D</w:t>
            </w:r>
          </w:p>
        </w:tc>
        <w:tc>
          <w:tcPr>
            <w:tcW w:w="2394" w:type="dxa"/>
            <w:tcBorders>
              <w:left w:val="single" w:sz="12" w:space="0" w:color="auto"/>
              <w:right w:val="single" w:sz="12" w:space="0" w:color="auto"/>
            </w:tcBorders>
          </w:tcPr>
          <w:p w:rsidR="005F0AA3" w:rsidRPr="00A26CE1" w:rsidRDefault="005F0AA3" w:rsidP="001B4358">
            <w:pPr>
              <w:spacing w:line="276" w:lineRule="auto"/>
              <w:jc w:val="center"/>
              <w:rPr>
                <w:rFonts w:ascii="Arial" w:hAnsi="Arial" w:cs="Arial"/>
                <w:sz w:val="22"/>
                <w:szCs w:val="22"/>
              </w:rPr>
            </w:pPr>
            <w:r w:rsidRPr="00A26CE1">
              <w:rPr>
                <w:rFonts w:ascii="Arial" w:hAnsi="Arial" w:cs="Arial"/>
                <w:sz w:val="22"/>
                <w:szCs w:val="22"/>
              </w:rPr>
              <w:t>4 649 075.07</w:t>
            </w:r>
          </w:p>
        </w:tc>
        <w:tc>
          <w:tcPr>
            <w:tcW w:w="2394" w:type="dxa"/>
            <w:tcBorders>
              <w:left w:val="single" w:sz="12" w:space="0" w:color="auto"/>
              <w:right w:val="single" w:sz="12" w:space="0" w:color="auto"/>
            </w:tcBorders>
          </w:tcPr>
          <w:p w:rsidR="005F0AA3" w:rsidRPr="00A26CE1" w:rsidRDefault="005F0AA3" w:rsidP="001B4358">
            <w:pPr>
              <w:spacing w:line="276" w:lineRule="auto"/>
              <w:jc w:val="center"/>
              <w:rPr>
                <w:rFonts w:ascii="Arial" w:hAnsi="Arial" w:cs="Arial"/>
                <w:sz w:val="22"/>
                <w:szCs w:val="22"/>
              </w:rPr>
            </w:pPr>
            <w:r w:rsidRPr="00A26CE1">
              <w:rPr>
                <w:rFonts w:ascii="Arial" w:hAnsi="Arial" w:cs="Arial"/>
                <w:sz w:val="22"/>
                <w:szCs w:val="22"/>
              </w:rPr>
              <w:t>6 604 427.49</w:t>
            </w:r>
          </w:p>
        </w:tc>
        <w:tc>
          <w:tcPr>
            <w:tcW w:w="2394" w:type="dxa"/>
            <w:vMerge/>
            <w:tcBorders>
              <w:left w:val="single" w:sz="12" w:space="0" w:color="auto"/>
              <w:right w:val="single" w:sz="12" w:space="0" w:color="auto"/>
            </w:tcBorders>
          </w:tcPr>
          <w:p w:rsidR="005F0AA3" w:rsidRPr="00A26CE1" w:rsidRDefault="005F0AA3" w:rsidP="001B4358">
            <w:pPr>
              <w:spacing w:line="276" w:lineRule="auto"/>
              <w:jc w:val="both"/>
              <w:rPr>
                <w:rFonts w:ascii="Arial" w:hAnsi="Arial" w:cs="Arial"/>
                <w:sz w:val="22"/>
                <w:szCs w:val="22"/>
              </w:rPr>
            </w:pPr>
          </w:p>
        </w:tc>
      </w:tr>
      <w:tr w:rsidR="005F0AA3" w:rsidRPr="00A26CE1" w:rsidTr="007D7B9A">
        <w:tc>
          <w:tcPr>
            <w:tcW w:w="2394" w:type="dxa"/>
            <w:tcBorders>
              <w:left w:val="single" w:sz="12" w:space="0" w:color="auto"/>
              <w:right w:val="single" w:sz="12" w:space="0" w:color="auto"/>
            </w:tcBorders>
          </w:tcPr>
          <w:p w:rsidR="005F0AA3" w:rsidRPr="00A26CE1" w:rsidRDefault="005F0AA3" w:rsidP="001B4358">
            <w:pPr>
              <w:spacing w:line="276" w:lineRule="auto"/>
              <w:jc w:val="center"/>
              <w:rPr>
                <w:rFonts w:ascii="Arial" w:hAnsi="Arial" w:cs="Arial"/>
                <w:b/>
                <w:sz w:val="22"/>
                <w:szCs w:val="22"/>
              </w:rPr>
            </w:pPr>
            <w:r w:rsidRPr="00A26CE1">
              <w:rPr>
                <w:rFonts w:ascii="Arial" w:hAnsi="Arial" w:cs="Arial"/>
                <w:b/>
                <w:sz w:val="22"/>
                <w:szCs w:val="22"/>
              </w:rPr>
              <w:t>E</w:t>
            </w:r>
          </w:p>
        </w:tc>
        <w:tc>
          <w:tcPr>
            <w:tcW w:w="2394" w:type="dxa"/>
            <w:tcBorders>
              <w:left w:val="single" w:sz="12" w:space="0" w:color="auto"/>
              <w:right w:val="single" w:sz="12" w:space="0" w:color="auto"/>
            </w:tcBorders>
          </w:tcPr>
          <w:p w:rsidR="005F0AA3" w:rsidRPr="00A26CE1" w:rsidRDefault="005F0AA3" w:rsidP="001B4358">
            <w:pPr>
              <w:spacing w:line="276" w:lineRule="auto"/>
              <w:jc w:val="center"/>
              <w:rPr>
                <w:rFonts w:ascii="Arial" w:hAnsi="Arial" w:cs="Arial"/>
                <w:sz w:val="22"/>
                <w:szCs w:val="22"/>
              </w:rPr>
            </w:pPr>
            <w:r w:rsidRPr="00A26CE1">
              <w:rPr>
                <w:rFonts w:ascii="Arial" w:hAnsi="Arial" w:cs="Arial"/>
                <w:sz w:val="22"/>
                <w:szCs w:val="22"/>
              </w:rPr>
              <w:t>4 649 077.38</w:t>
            </w:r>
          </w:p>
        </w:tc>
        <w:tc>
          <w:tcPr>
            <w:tcW w:w="2394" w:type="dxa"/>
            <w:tcBorders>
              <w:left w:val="single" w:sz="12" w:space="0" w:color="auto"/>
              <w:right w:val="single" w:sz="12" w:space="0" w:color="auto"/>
            </w:tcBorders>
          </w:tcPr>
          <w:p w:rsidR="005F0AA3" w:rsidRPr="00A26CE1" w:rsidRDefault="005F0AA3" w:rsidP="001B4358">
            <w:pPr>
              <w:spacing w:line="276" w:lineRule="auto"/>
              <w:jc w:val="center"/>
              <w:rPr>
                <w:rFonts w:ascii="Arial" w:hAnsi="Arial" w:cs="Arial"/>
                <w:sz w:val="22"/>
                <w:szCs w:val="22"/>
              </w:rPr>
            </w:pPr>
            <w:r w:rsidRPr="00A26CE1">
              <w:rPr>
                <w:rFonts w:ascii="Arial" w:hAnsi="Arial" w:cs="Arial"/>
                <w:sz w:val="22"/>
                <w:szCs w:val="22"/>
              </w:rPr>
              <w:t>6 604 332.24</w:t>
            </w:r>
          </w:p>
        </w:tc>
        <w:tc>
          <w:tcPr>
            <w:tcW w:w="2394" w:type="dxa"/>
            <w:vMerge/>
            <w:tcBorders>
              <w:left w:val="single" w:sz="12" w:space="0" w:color="auto"/>
              <w:right w:val="single" w:sz="12" w:space="0" w:color="auto"/>
            </w:tcBorders>
          </w:tcPr>
          <w:p w:rsidR="005F0AA3" w:rsidRPr="00A26CE1" w:rsidRDefault="005F0AA3" w:rsidP="001B4358">
            <w:pPr>
              <w:spacing w:line="276" w:lineRule="auto"/>
              <w:jc w:val="both"/>
              <w:rPr>
                <w:rFonts w:ascii="Arial" w:hAnsi="Arial" w:cs="Arial"/>
                <w:sz w:val="22"/>
                <w:szCs w:val="22"/>
              </w:rPr>
            </w:pPr>
          </w:p>
        </w:tc>
      </w:tr>
      <w:tr w:rsidR="005F0AA3" w:rsidRPr="00A26CE1" w:rsidTr="007D7B9A">
        <w:tc>
          <w:tcPr>
            <w:tcW w:w="2394" w:type="dxa"/>
            <w:tcBorders>
              <w:left w:val="single" w:sz="12" w:space="0" w:color="auto"/>
              <w:bottom w:val="single" w:sz="12" w:space="0" w:color="auto"/>
              <w:right w:val="single" w:sz="12" w:space="0" w:color="auto"/>
            </w:tcBorders>
          </w:tcPr>
          <w:p w:rsidR="005F0AA3" w:rsidRPr="00A26CE1" w:rsidRDefault="005F0AA3" w:rsidP="001B4358">
            <w:pPr>
              <w:spacing w:line="276" w:lineRule="auto"/>
              <w:jc w:val="center"/>
              <w:rPr>
                <w:rFonts w:ascii="Arial" w:hAnsi="Arial" w:cs="Arial"/>
                <w:b/>
                <w:sz w:val="22"/>
                <w:szCs w:val="22"/>
              </w:rPr>
            </w:pPr>
            <w:r w:rsidRPr="00A26CE1">
              <w:rPr>
                <w:rFonts w:ascii="Arial" w:hAnsi="Arial" w:cs="Arial"/>
                <w:b/>
                <w:sz w:val="22"/>
                <w:szCs w:val="22"/>
              </w:rPr>
              <w:t>F</w:t>
            </w:r>
          </w:p>
        </w:tc>
        <w:tc>
          <w:tcPr>
            <w:tcW w:w="2394" w:type="dxa"/>
            <w:tcBorders>
              <w:left w:val="single" w:sz="12" w:space="0" w:color="auto"/>
              <w:bottom w:val="single" w:sz="12" w:space="0" w:color="auto"/>
              <w:right w:val="single" w:sz="12" w:space="0" w:color="auto"/>
            </w:tcBorders>
          </w:tcPr>
          <w:p w:rsidR="005F0AA3" w:rsidRPr="00A26CE1" w:rsidRDefault="005F0AA3" w:rsidP="001B4358">
            <w:pPr>
              <w:spacing w:line="276" w:lineRule="auto"/>
              <w:jc w:val="center"/>
              <w:rPr>
                <w:rFonts w:ascii="Arial" w:hAnsi="Arial" w:cs="Arial"/>
                <w:sz w:val="22"/>
                <w:szCs w:val="22"/>
              </w:rPr>
            </w:pPr>
            <w:r w:rsidRPr="00A26CE1">
              <w:rPr>
                <w:rFonts w:ascii="Arial" w:hAnsi="Arial" w:cs="Arial"/>
                <w:sz w:val="22"/>
                <w:szCs w:val="22"/>
              </w:rPr>
              <w:t>4 649 407.14</w:t>
            </w:r>
          </w:p>
        </w:tc>
        <w:tc>
          <w:tcPr>
            <w:tcW w:w="2394" w:type="dxa"/>
            <w:tcBorders>
              <w:left w:val="single" w:sz="12" w:space="0" w:color="auto"/>
              <w:bottom w:val="single" w:sz="12" w:space="0" w:color="auto"/>
              <w:right w:val="single" w:sz="12" w:space="0" w:color="auto"/>
            </w:tcBorders>
          </w:tcPr>
          <w:p w:rsidR="005F0AA3" w:rsidRPr="00A26CE1" w:rsidRDefault="005F0AA3" w:rsidP="001B4358">
            <w:pPr>
              <w:spacing w:line="276" w:lineRule="auto"/>
              <w:jc w:val="center"/>
              <w:rPr>
                <w:rFonts w:ascii="Arial" w:hAnsi="Arial" w:cs="Arial"/>
                <w:sz w:val="22"/>
                <w:szCs w:val="22"/>
              </w:rPr>
            </w:pPr>
            <w:r w:rsidRPr="00A26CE1">
              <w:rPr>
                <w:rFonts w:ascii="Arial" w:hAnsi="Arial" w:cs="Arial"/>
                <w:sz w:val="22"/>
                <w:szCs w:val="22"/>
              </w:rPr>
              <w:t>6 604 280.50</w:t>
            </w:r>
          </w:p>
        </w:tc>
        <w:tc>
          <w:tcPr>
            <w:tcW w:w="2394" w:type="dxa"/>
            <w:vMerge/>
            <w:tcBorders>
              <w:left w:val="single" w:sz="12" w:space="0" w:color="auto"/>
              <w:bottom w:val="single" w:sz="12" w:space="0" w:color="auto"/>
              <w:right w:val="single" w:sz="12" w:space="0" w:color="auto"/>
            </w:tcBorders>
          </w:tcPr>
          <w:p w:rsidR="005F0AA3" w:rsidRPr="00A26CE1" w:rsidRDefault="005F0AA3" w:rsidP="001B4358">
            <w:pPr>
              <w:spacing w:line="276" w:lineRule="auto"/>
              <w:jc w:val="both"/>
              <w:rPr>
                <w:rFonts w:ascii="Arial" w:hAnsi="Arial" w:cs="Arial"/>
                <w:sz w:val="22"/>
                <w:szCs w:val="22"/>
              </w:rPr>
            </w:pPr>
          </w:p>
        </w:tc>
      </w:tr>
    </w:tbl>
    <w:p w:rsidR="00A06408" w:rsidRPr="00A26CE1" w:rsidRDefault="00A06408" w:rsidP="001B4358">
      <w:pPr>
        <w:pStyle w:val="Heading2"/>
        <w:spacing w:before="0"/>
        <w:jc w:val="both"/>
        <w:rPr>
          <w:rFonts w:ascii="Arial" w:hAnsi="Arial" w:cs="Arial"/>
          <w:i/>
          <w:color w:val="auto"/>
          <w:sz w:val="22"/>
          <w:szCs w:val="22"/>
          <w:u w:val="single"/>
          <w:lang w:val="sr-Latn-CS"/>
        </w:rPr>
      </w:pPr>
    </w:p>
    <w:p w:rsidR="00A06408" w:rsidRPr="008106BF" w:rsidRDefault="00A06408" w:rsidP="001B4358">
      <w:pPr>
        <w:pStyle w:val="Heading2"/>
        <w:spacing w:before="0"/>
        <w:jc w:val="both"/>
        <w:rPr>
          <w:rFonts w:ascii="Arial" w:hAnsi="Arial" w:cs="Arial"/>
          <w:i/>
          <w:color w:val="auto"/>
          <w:sz w:val="22"/>
          <w:szCs w:val="22"/>
          <w:lang w:val="sr-Latn-CS"/>
        </w:rPr>
      </w:pPr>
      <w:r w:rsidRPr="008106BF">
        <w:rPr>
          <w:rFonts w:ascii="Arial" w:hAnsi="Arial" w:cs="Arial"/>
          <w:i/>
          <w:color w:val="auto"/>
          <w:sz w:val="22"/>
          <w:szCs w:val="22"/>
          <w:lang w:val="sr-Latn-CS"/>
        </w:rPr>
        <w:t>Podaci o imovinsko-pravnim odnosima</w:t>
      </w:r>
    </w:p>
    <w:p w:rsidR="00A06408" w:rsidRDefault="00A06408" w:rsidP="001B4358">
      <w:pPr>
        <w:spacing w:after="0"/>
        <w:jc w:val="both"/>
        <w:rPr>
          <w:rFonts w:ascii="Arial" w:hAnsi="Arial" w:cs="Arial"/>
          <w:lang w:val="sv-SE"/>
        </w:rPr>
      </w:pPr>
      <w:r w:rsidRPr="00A26CE1">
        <w:rPr>
          <w:rFonts w:ascii="Arial" w:hAnsi="Arial" w:cs="Arial"/>
          <w:lang w:val="sr-Latn-CS"/>
        </w:rPr>
        <w:t xml:space="preserve">Na osnovu akta Uprave za nekretnine, Područna jedinica Bar, br. </w:t>
      </w:r>
      <w:r w:rsidR="00FC61D6" w:rsidRPr="00A26CE1">
        <w:rPr>
          <w:rFonts w:ascii="Arial" w:hAnsi="Arial" w:cs="Arial"/>
          <w:lang w:val="sr-Latn-CS"/>
        </w:rPr>
        <w:t xml:space="preserve">460-dj-2176/18 od 14.11.2018. godine, </w:t>
      </w:r>
      <w:r w:rsidRPr="00A26CE1">
        <w:rPr>
          <w:rFonts w:ascii="Arial" w:hAnsi="Arial" w:cs="Arial"/>
          <w:lang w:val="pl-PL"/>
        </w:rPr>
        <w:t xml:space="preserve">zemljište na kojem se nalazi istražno-eksploatacioni prostor „Velja Gorana” </w:t>
      </w:r>
      <w:r w:rsidR="006E358E" w:rsidRPr="00A26CE1">
        <w:rPr>
          <w:rFonts w:ascii="Arial" w:hAnsi="Arial" w:cs="Arial"/>
          <w:lang w:val="pl-PL"/>
        </w:rPr>
        <w:t>pripada</w:t>
      </w:r>
      <w:r w:rsidR="006E358E" w:rsidRPr="00A26CE1">
        <w:rPr>
          <w:rFonts w:ascii="Arial" w:hAnsi="Arial" w:cs="Arial"/>
          <w:lang w:val="sv-SE"/>
        </w:rPr>
        <w:t xml:space="preserve"> KO Velja Gorana, </w:t>
      </w:r>
      <w:r w:rsidR="006B2A03" w:rsidRPr="00A26CE1">
        <w:rPr>
          <w:rFonts w:ascii="Arial" w:hAnsi="Arial" w:cs="Arial"/>
          <w:lang w:val="sv-SE"/>
        </w:rPr>
        <w:t xml:space="preserve">LN 197 </w:t>
      </w:r>
      <w:r w:rsidR="006E358E" w:rsidRPr="00A26CE1">
        <w:rPr>
          <w:rFonts w:ascii="Arial" w:hAnsi="Arial" w:cs="Arial"/>
          <w:lang w:val="sv-SE"/>
        </w:rPr>
        <w:t>katastarska parcela br.</w:t>
      </w:r>
      <w:r w:rsidR="006B2A03" w:rsidRPr="00A26CE1">
        <w:rPr>
          <w:rFonts w:ascii="Arial" w:hAnsi="Arial" w:cs="Arial"/>
          <w:lang w:val="sv-SE"/>
        </w:rPr>
        <w:t xml:space="preserve"> 235/2 i u državnom je vlasništvu, osnov prava korišćenje</w:t>
      </w:r>
      <w:r w:rsidR="005268E8" w:rsidRPr="00A26CE1">
        <w:rPr>
          <w:rFonts w:ascii="Arial" w:hAnsi="Arial" w:cs="Arial"/>
          <w:lang w:val="sv-SE"/>
        </w:rPr>
        <w:t>, obim</w:t>
      </w:r>
      <w:r w:rsidR="006B2A03" w:rsidRPr="00A26CE1">
        <w:rPr>
          <w:rFonts w:ascii="Arial" w:hAnsi="Arial" w:cs="Arial"/>
          <w:lang w:val="sv-SE"/>
        </w:rPr>
        <w:t xml:space="preserve"> prava 1/1 Opština Bar. </w:t>
      </w:r>
    </w:p>
    <w:p w:rsidR="008634B4" w:rsidRPr="00A26CE1" w:rsidRDefault="008634B4" w:rsidP="001B4358">
      <w:pPr>
        <w:spacing w:after="0"/>
        <w:jc w:val="both"/>
        <w:rPr>
          <w:rFonts w:ascii="Arial" w:hAnsi="Arial" w:cs="Arial"/>
          <w:lang w:val="sr-Latn-CS"/>
        </w:rPr>
      </w:pPr>
    </w:p>
    <w:p w:rsidR="00D61557" w:rsidRPr="008106BF" w:rsidRDefault="00A06408" w:rsidP="001B4358">
      <w:pPr>
        <w:spacing w:after="0"/>
        <w:jc w:val="both"/>
        <w:rPr>
          <w:rFonts w:ascii="Arial" w:hAnsi="Arial" w:cs="Arial"/>
          <w:b/>
          <w:i/>
          <w:lang w:val="pl-PL"/>
        </w:rPr>
      </w:pPr>
      <w:r w:rsidRPr="008106BF">
        <w:rPr>
          <w:rFonts w:ascii="Arial" w:hAnsi="Arial" w:cs="Arial"/>
          <w:b/>
          <w:i/>
          <w:lang w:val="pl-PL"/>
        </w:rPr>
        <w:t xml:space="preserve">Podaci iz prostorno–urbanističke dokumentacije </w:t>
      </w:r>
    </w:p>
    <w:p w:rsidR="00A06408" w:rsidRPr="008634B4" w:rsidRDefault="00A06408" w:rsidP="00902B99">
      <w:pPr>
        <w:spacing w:before="120" w:after="0"/>
        <w:jc w:val="both"/>
        <w:rPr>
          <w:rFonts w:ascii="Arial" w:hAnsi="Arial" w:cs="Arial"/>
        </w:rPr>
      </w:pPr>
      <w:r w:rsidRPr="00A26CE1">
        <w:rPr>
          <w:rFonts w:ascii="Arial" w:hAnsi="Arial" w:cs="Arial"/>
        </w:rPr>
        <w:t xml:space="preserve">U aktu Ministarstva održivog razvoja i turizma, br. 104-83/378-1, </w:t>
      </w:r>
      <w:proofErr w:type="gramStart"/>
      <w:r w:rsidRPr="00A26CE1">
        <w:rPr>
          <w:rFonts w:ascii="Arial" w:hAnsi="Arial" w:cs="Arial"/>
        </w:rPr>
        <w:t>od</w:t>
      </w:r>
      <w:proofErr w:type="gramEnd"/>
      <w:r w:rsidRPr="00A26CE1">
        <w:rPr>
          <w:rFonts w:ascii="Arial" w:hAnsi="Arial" w:cs="Arial"/>
        </w:rPr>
        <w:t xml:space="preserve"> 17.09.2018. </w:t>
      </w:r>
      <w:proofErr w:type="gramStart"/>
      <w:r w:rsidRPr="00A26CE1">
        <w:rPr>
          <w:rFonts w:ascii="Arial" w:hAnsi="Arial" w:cs="Arial"/>
        </w:rPr>
        <w:t>godine</w:t>
      </w:r>
      <w:proofErr w:type="gramEnd"/>
      <w:r w:rsidRPr="00A26CE1">
        <w:rPr>
          <w:rFonts w:ascii="Arial" w:hAnsi="Arial" w:cs="Arial"/>
        </w:rPr>
        <w:t xml:space="preserve">, arhiviran u Ministarstvu ekonomije pod br. 970-320/2018-1, od 19.09.2018. godine, navedeno je da je, shodno </w:t>
      </w:r>
      <w:r w:rsidRPr="008634B4">
        <w:rPr>
          <w:rFonts w:ascii="Arial" w:hAnsi="Arial" w:cs="Arial"/>
        </w:rPr>
        <w:t xml:space="preserve">Prostornom planu posebne namjene za Obalno područje Crne Gore </w:t>
      </w:r>
      <w:r w:rsidRPr="008634B4">
        <w:rPr>
          <w:rFonts w:ascii="Arial" w:hAnsi="Arial" w:cs="Arial"/>
          <w:i/>
        </w:rPr>
        <w:t xml:space="preserve">(„Službeni list Crne Gore, br. 56/18), </w:t>
      </w:r>
      <w:r w:rsidRPr="008634B4">
        <w:rPr>
          <w:rFonts w:ascii="Arial" w:hAnsi="Arial" w:cs="Arial"/>
        </w:rPr>
        <w:t>u grafičkom prilogu</w:t>
      </w:r>
      <w:r w:rsidRPr="008634B4">
        <w:rPr>
          <w:rFonts w:ascii="Arial" w:hAnsi="Arial" w:cs="Arial"/>
          <w:i/>
        </w:rPr>
        <w:t xml:space="preserve"> Plan namjene </w:t>
      </w:r>
      <w:r w:rsidRPr="008634B4">
        <w:rPr>
          <w:rFonts w:ascii="Arial" w:hAnsi="Arial" w:cs="Arial"/>
        </w:rPr>
        <w:t>površina lokacija „Velja Gorana“ je definisana kao koncesiono područje, ležište mineralne sirovine i površina eksploatacionog polja broj 3m.</w:t>
      </w:r>
    </w:p>
    <w:p w:rsidR="00A06408" w:rsidRPr="008634B4" w:rsidRDefault="00A06408" w:rsidP="00902B99">
      <w:pPr>
        <w:spacing w:before="120" w:after="0"/>
        <w:jc w:val="both"/>
        <w:rPr>
          <w:rFonts w:ascii="Arial" w:hAnsi="Arial" w:cs="Arial"/>
        </w:rPr>
      </w:pPr>
      <w:r w:rsidRPr="008634B4">
        <w:rPr>
          <w:rFonts w:ascii="Arial" w:hAnsi="Arial" w:cs="Arial"/>
        </w:rPr>
        <w:t>U tekstualnom dijelu plana, poglavlju 7.3 Pregled ležišta mineralni</w:t>
      </w:r>
      <w:r w:rsidR="006E358E" w:rsidRPr="008634B4">
        <w:rPr>
          <w:rFonts w:ascii="Arial" w:hAnsi="Arial" w:cs="Arial"/>
        </w:rPr>
        <w:t>h sirovina, lokalitet „Velja Gorana</w:t>
      </w:r>
      <w:proofErr w:type="gramStart"/>
      <w:r w:rsidRPr="008634B4">
        <w:rPr>
          <w:rFonts w:ascii="Arial" w:hAnsi="Arial" w:cs="Arial"/>
        </w:rPr>
        <w:t>“ je</w:t>
      </w:r>
      <w:proofErr w:type="gramEnd"/>
      <w:r w:rsidRPr="008634B4">
        <w:rPr>
          <w:rFonts w:ascii="Arial" w:hAnsi="Arial" w:cs="Arial"/>
        </w:rPr>
        <w:t xml:space="preserve"> definisan kao </w:t>
      </w:r>
      <w:r w:rsidR="006E358E" w:rsidRPr="008634B4">
        <w:rPr>
          <w:rFonts w:ascii="Arial" w:hAnsi="Arial" w:cs="Arial"/>
        </w:rPr>
        <w:t xml:space="preserve">koncesioni prostor. </w:t>
      </w:r>
      <w:r w:rsidRPr="008634B4">
        <w:rPr>
          <w:rFonts w:ascii="Arial" w:hAnsi="Arial" w:cs="Arial"/>
        </w:rPr>
        <w:t>Shodno navedenom, u citiranom aktu Ministarstva održivog razvoja i turizma, navedeno je „da sa aspekta prostorno-planske dokumentacije ne postoje prepreke za izdavanje urbanističko-tehničkih uslova za predmetnu lokaciju“.</w:t>
      </w:r>
    </w:p>
    <w:p w:rsidR="00CD094A" w:rsidRPr="008634B4" w:rsidRDefault="00CD094A" w:rsidP="001B4358">
      <w:pPr>
        <w:spacing w:after="0"/>
        <w:jc w:val="both"/>
        <w:rPr>
          <w:rFonts w:ascii="Arial" w:hAnsi="Arial" w:cs="Arial"/>
        </w:rPr>
      </w:pPr>
    </w:p>
    <w:p w:rsidR="00A06408" w:rsidRPr="008106BF" w:rsidRDefault="00A06408" w:rsidP="001B4358">
      <w:pPr>
        <w:spacing w:after="0"/>
        <w:jc w:val="both"/>
        <w:rPr>
          <w:rFonts w:ascii="Arial" w:hAnsi="Arial" w:cs="Arial"/>
          <w:b/>
          <w:i/>
        </w:rPr>
      </w:pPr>
      <w:r w:rsidRPr="008106BF">
        <w:rPr>
          <w:rFonts w:ascii="Arial" w:hAnsi="Arial" w:cs="Arial"/>
          <w:b/>
          <w:i/>
        </w:rPr>
        <w:t>Mišljenje Uprave za zaštitu kulturnih dobara</w:t>
      </w:r>
    </w:p>
    <w:p w:rsidR="00A06408" w:rsidRPr="00A26CE1" w:rsidRDefault="00A06408" w:rsidP="001B4358">
      <w:pPr>
        <w:spacing w:after="0"/>
        <w:jc w:val="both"/>
        <w:rPr>
          <w:rFonts w:ascii="Arial" w:hAnsi="Arial" w:cs="Arial"/>
          <w:b/>
          <w:i/>
          <w:u w:val="single"/>
        </w:rPr>
      </w:pPr>
    </w:p>
    <w:p w:rsidR="00A06408" w:rsidRPr="008634B4" w:rsidRDefault="00A06408" w:rsidP="001B4358">
      <w:pPr>
        <w:spacing w:after="0"/>
        <w:jc w:val="both"/>
        <w:rPr>
          <w:rFonts w:ascii="Arial" w:hAnsi="Arial" w:cs="Arial"/>
        </w:rPr>
      </w:pPr>
      <w:r w:rsidRPr="008634B4">
        <w:rPr>
          <w:rFonts w:ascii="Arial" w:hAnsi="Arial" w:cs="Arial"/>
        </w:rPr>
        <w:t xml:space="preserve">U aktu Uprave za zaštitu kulturnih dobara, br. 03-276/2018-2, </w:t>
      </w:r>
      <w:proofErr w:type="gramStart"/>
      <w:r w:rsidRPr="008634B4">
        <w:rPr>
          <w:rFonts w:ascii="Arial" w:hAnsi="Arial" w:cs="Arial"/>
        </w:rPr>
        <w:t>od</w:t>
      </w:r>
      <w:proofErr w:type="gramEnd"/>
      <w:r w:rsidRPr="008634B4">
        <w:rPr>
          <w:rFonts w:ascii="Arial" w:hAnsi="Arial" w:cs="Arial"/>
        </w:rPr>
        <w:t xml:space="preserve"> 27.09.2018. </w:t>
      </w:r>
      <w:proofErr w:type="gramStart"/>
      <w:r w:rsidRPr="008634B4">
        <w:rPr>
          <w:rFonts w:ascii="Arial" w:hAnsi="Arial" w:cs="Arial"/>
        </w:rPr>
        <w:t>godine</w:t>
      </w:r>
      <w:proofErr w:type="gramEnd"/>
      <w:r w:rsidRPr="008634B4">
        <w:rPr>
          <w:rFonts w:ascii="Arial" w:hAnsi="Arial" w:cs="Arial"/>
        </w:rPr>
        <w:t xml:space="preserve">, arhiviran u Ministarstvu ekonomije pod br. 970-320/2018-4, od 05.10.2018. </w:t>
      </w:r>
      <w:proofErr w:type="gramStart"/>
      <w:r w:rsidRPr="008634B4">
        <w:rPr>
          <w:rFonts w:ascii="Arial" w:hAnsi="Arial" w:cs="Arial"/>
        </w:rPr>
        <w:t>godine</w:t>
      </w:r>
      <w:proofErr w:type="gramEnd"/>
      <w:r w:rsidRPr="008634B4">
        <w:rPr>
          <w:rFonts w:ascii="Arial" w:hAnsi="Arial" w:cs="Arial"/>
        </w:rPr>
        <w:t>, navedeno je da je uvidom u dokumentaciju ove Uprave, konstatovano da u predmetnom zahvatu nema zakonom zaštićenih kulturnih dobara, kao ni dobara sa potencijalnim kulturnim vrijednostima. „Shodno navedenom, sa aspekta zaštite kulturnih dobara, konstatujemo da nema smetnji za realizaciju predmetne koncesije, uz obavezu da se u dokumentaciju unesu zakonske odredbe precizirane ovim aktom</w:t>
      </w:r>
      <w:proofErr w:type="gramStart"/>
      <w:r w:rsidRPr="008634B4">
        <w:rPr>
          <w:rFonts w:ascii="Arial" w:hAnsi="Arial" w:cs="Arial"/>
        </w:rPr>
        <w:t>“ (</w:t>
      </w:r>
      <w:proofErr w:type="gramEnd"/>
      <w:r w:rsidRPr="008634B4">
        <w:rPr>
          <w:rFonts w:ascii="Arial" w:hAnsi="Arial" w:cs="Arial"/>
        </w:rPr>
        <w:t xml:space="preserve">„obrađivač plana je u obavezi da u svim fazama izrade dokumentacije unese odredbe čl. 87 i 88 Zakona o zaštiti kulturnih dobara („Sl.list CG“, br. 49/10, 40/11, 47/17), a sve u vezi slučajnih otkrića – nalaza </w:t>
      </w:r>
      <w:proofErr w:type="gramStart"/>
      <w:r w:rsidRPr="008634B4">
        <w:rPr>
          <w:rFonts w:ascii="Arial" w:hAnsi="Arial" w:cs="Arial"/>
        </w:rPr>
        <w:t>od</w:t>
      </w:r>
      <w:proofErr w:type="gramEnd"/>
      <w:r w:rsidRPr="008634B4">
        <w:rPr>
          <w:rFonts w:ascii="Arial" w:hAnsi="Arial" w:cs="Arial"/>
        </w:rPr>
        <w:t xml:space="preserve"> arheološkog značaja, ukoliko se u toku izvođenja radova naiđe na iste, o čemu je dužan izvijestiti ovu Upravu“).</w:t>
      </w:r>
    </w:p>
    <w:p w:rsidR="00A06408" w:rsidRPr="00A26CE1" w:rsidRDefault="00A06408" w:rsidP="001B4358">
      <w:pPr>
        <w:spacing w:after="0"/>
        <w:jc w:val="both"/>
        <w:rPr>
          <w:rFonts w:ascii="Arial" w:hAnsi="Arial" w:cs="Arial"/>
        </w:rPr>
      </w:pPr>
    </w:p>
    <w:p w:rsidR="00A06408" w:rsidRPr="008106BF" w:rsidRDefault="00A06408" w:rsidP="001B4358">
      <w:pPr>
        <w:pStyle w:val="Heading2"/>
        <w:spacing w:before="0"/>
        <w:jc w:val="both"/>
        <w:rPr>
          <w:rFonts w:ascii="Arial" w:hAnsi="Arial" w:cs="Arial"/>
          <w:i/>
          <w:color w:val="auto"/>
          <w:sz w:val="22"/>
          <w:szCs w:val="22"/>
          <w:lang w:val="sv-SE"/>
        </w:rPr>
      </w:pPr>
      <w:r w:rsidRPr="008106BF">
        <w:rPr>
          <w:rFonts w:ascii="Arial" w:hAnsi="Arial" w:cs="Arial"/>
          <w:i/>
          <w:color w:val="auto"/>
          <w:sz w:val="22"/>
          <w:szCs w:val="22"/>
          <w:lang w:val="sv-SE"/>
        </w:rPr>
        <w:t xml:space="preserve">Infrastrukturni objekti </w:t>
      </w:r>
    </w:p>
    <w:p w:rsidR="00A06408" w:rsidRPr="00A26CE1" w:rsidRDefault="00A06408" w:rsidP="00902B99">
      <w:pPr>
        <w:spacing w:before="120" w:after="0"/>
        <w:jc w:val="both"/>
        <w:rPr>
          <w:rFonts w:ascii="Arial" w:hAnsi="Arial" w:cs="Arial"/>
        </w:rPr>
      </w:pPr>
      <w:r w:rsidRPr="00A26CE1">
        <w:rPr>
          <w:rFonts w:ascii="Arial" w:hAnsi="Arial" w:cs="Arial"/>
        </w:rPr>
        <w:t xml:space="preserve">Do istražno-eksploatacionog prostora “Velja Gorana” postoje pristupni kolski put </w:t>
      </w:r>
      <w:proofErr w:type="gramStart"/>
      <w:r w:rsidRPr="00A26CE1">
        <w:rPr>
          <w:rFonts w:ascii="Arial" w:hAnsi="Arial" w:cs="Arial"/>
        </w:rPr>
        <w:t>sa</w:t>
      </w:r>
      <w:proofErr w:type="gramEnd"/>
      <w:r w:rsidRPr="00A26CE1">
        <w:rPr>
          <w:rFonts w:ascii="Arial" w:hAnsi="Arial" w:cs="Arial"/>
        </w:rPr>
        <w:t xml:space="preserve"> sjeverne strane od Pečurica i sa južne strane od Kruča, a iz Bara pristup je omogućen starim putem Bar - Ulcinj. Do predmetnog lokaliteta, iz pravca </w:t>
      </w:r>
      <w:proofErr w:type="gramStart"/>
      <w:r w:rsidRPr="00A26CE1">
        <w:rPr>
          <w:rFonts w:ascii="Arial" w:hAnsi="Arial" w:cs="Arial"/>
        </w:rPr>
        <w:t>Ulcinja,</w:t>
      </w:r>
      <w:proofErr w:type="gramEnd"/>
      <w:r w:rsidRPr="00A26CE1">
        <w:rPr>
          <w:rFonts w:ascii="Arial" w:hAnsi="Arial" w:cs="Arial"/>
        </w:rPr>
        <w:t xml:space="preserve"> vodi asfaltni put koji povezuje Ulcinj sa zaleđem (Krute, Vladimir, Ostros).</w:t>
      </w:r>
    </w:p>
    <w:p w:rsidR="00A06408" w:rsidRPr="00A26CE1" w:rsidRDefault="00A06408" w:rsidP="00902B99">
      <w:pPr>
        <w:pStyle w:val="ListParagraph"/>
        <w:spacing w:before="120" w:after="0"/>
        <w:ind w:left="0"/>
        <w:contextualSpacing w:val="0"/>
        <w:jc w:val="both"/>
        <w:rPr>
          <w:rFonts w:ascii="Arial" w:hAnsi="Arial" w:cs="Arial"/>
        </w:rPr>
      </w:pPr>
      <w:r w:rsidRPr="00A26CE1">
        <w:rPr>
          <w:rFonts w:ascii="Arial" w:hAnsi="Arial" w:cs="Arial"/>
        </w:rPr>
        <w:t xml:space="preserve">Neposredno uz predmetni lokalitet, </w:t>
      </w:r>
      <w:proofErr w:type="gramStart"/>
      <w:r w:rsidRPr="00A26CE1">
        <w:rPr>
          <w:rFonts w:ascii="Arial" w:hAnsi="Arial" w:cs="Arial"/>
        </w:rPr>
        <w:t>na</w:t>
      </w:r>
      <w:proofErr w:type="gramEnd"/>
      <w:r w:rsidRPr="00A26CE1">
        <w:rPr>
          <w:rFonts w:ascii="Arial" w:hAnsi="Arial" w:cs="Arial"/>
        </w:rPr>
        <w:t xml:space="preserve"> oko 20 do 50 m istočno, prolazi lokalna niskonaponska električna mreža, preko koje se područje ulcinjskog zaleđa snabdijeva električnom</w:t>
      </w:r>
      <w:r w:rsidRPr="00A26CE1">
        <w:rPr>
          <w:rFonts w:ascii="Arial" w:hAnsi="Arial" w:cs="Arial"/>
          <w:color w:val="FF0000"/>
        </w:rPr>
        <w:t xml:space="preserve"> </w:t>
      </w:r>
      <w:r w:rsidRPr="00A26CE1">
        <w:rPr>
          <w:rFonts w:ascii="Arial" w:hAnsi="Arial" w:cs="Arial"/>
        </w:rPr>
        <w:t>energijom. S obzirom na navedeno,</w:t>
      </w:r>
      <w:r w:rsidR="00CD094A" w:rsidRPr="00A26CE1">
        <w:rPr>
          <w:rFonts w:ascii="Arial" w:hAnsi="Arial" w:cs="Arial"/>
        </w:rPr>
        <w:t xml:space="preserve"> </w:t>
      </w:r>
      <w:r w:rsidRPr="00A26CE1">
        <w:rPr>
          <w:rFonts w:ascii="Arial" w:hAnsi="Arial" w:cs="Arial"/>
        </w:rPr>
        <w:t xml:space="preserve">mreža </w:t>
      </w:r>
      <w:r w:rsidR="00CD094A" w:rsidRPr="00A26CE1">
        <w:rPr>
          <w:rFonts w:ascii="Arial" w:hAnsi="Arial" w:cs="Arial"/>
        </w:rPr>
        <w:t xml:space="preserve">se </w:t>
      </w:r>
      <w:r w:rsidRPr="00A26CE1">
        <w:rPr>
          <w:rFonts w:ascii="Arial" w:hAnsi="Arial" w:cs="Arial"/>
        </w:rPr>
        <w:t xml:space="preserve">mora „izbjeći“, odnosno, </w:t>
      </w:r>
      <w:proofErr w:type="gramStart"/>
      <w:r w:rsidRPr="00A26CE1">
        <w:rPr>
          <w:rFonts w:ascii="Arial" w:hAnsi="Arial" w:cs="Arial"/>
        </w:rPr>
        <w:t>da  granice</w:t>
      </w:r>
      <w:proofErr w:type="gramEnd"/>
      <w:r w:rsidRPr="00A26CE1">
        <w:rPr>
          <w:rFonts w:ascii="Arial" w:hAnsi="Arial" w:cs="Arial"/>
        </w:rPr>
        <w:t xml:space="preserve"> istražno-eksploatacioniog prostora budu van iste, a što je i urađeno definisanjem prostora na topografskoj osnovi, 1:25 000, graničnim tačkama i njihovim koordinatama.</w:t>
      </w:r>
      <w:r w:rsidR="00CD094A" w:rsidRPr="00A26CE1">
        <w:rPr>
          <w:rFonts w:ascii="Arial" w:hAnsi="Arial" w:cs="Arial"/>
        </w:rPr>
        <w:t xml:space="preserve"> </w:t>
      </w:r>
      <w:r w:rsidRPr="00A26CE1">
        <w:rPr>
          <w:rFonts w:ascii="Arial" w:hAnsi="Arial" w:cs="Arial"/>
        </w:rPr>
        <w:t>P</w:t>
      </w:r>
      <w:r w:rsidR="00CD094A" w:rsidRPr="00A26CE1">
        <w:rPr>
          <w:rFonts w:ascii="Arial" w:hAnsi="Arial" w:cs="Arial"/>
        </w:rPr>
        <w:t>rema tome, istražno-eksploatacioni prostor</w:t>
      </w:r>
      <w:r w:rsidRPr="00A26CE1">
        <w:rPr>
          <w:rFonts w:ascii="Arial" w:hAnsi="Arial" w:cs="Arial"/>
        </w:rPr>
        <w:t xml:space="preserve"> „Velja Gorana“, </w:t>
      </w:r>
      <w:proofErr w:type="gramStart"/>
      <w:r w:rsidRPr="00A26CE1">
        <w:rPr>
          <w:rFonts w:ascii="Arial" w:hAnsi="Arial" w:cs="Arial"/>
        </w:rPr>
        <w:t>na</w:t>
      </w:r>
      <w:proofErr w:type="gramEnd"/>
      <w:r w:rsidRPr="00A26CE1">
        <w:rPr>
          <w:rFonts w:ascii="Arial" w:hAnsi="Arial" w:cs="Arial"/>
        </w:rPr>
        <w:t xml:space="preserve"> t</w:t>
      </w:r>
      <w:r w:rsidR="00CD094A" w:rsidRPr="00A26CE1">
        <w:rPr>
          <w:rFonts w:ascii="Arial" w:hAnsi="Arial" w:cs="Arial"/>
        </w:rPr>
        <w:t xml:space="preserve">opografskoj osnovi 1:25 000, </w:t>
      </w:r>
      <w:r w:rsidRPr="00A26CE1">
        <w:rPr>
          <w:rFonts w:ascii="Arial" w:hAnsi="Arial" w:cs="Arial"/>
        </w:rPr>
        <w:t>lokalna niskonaponska mreža je ostavljena van granica ovog prostora, pa ista ne može biti smetnja za obavljanje budućih rudarskih radova.</w:t>
      </w:r>
    </w:p>
    <w:p w:rsidR="00A06408" w:rsidRPr="00A26CE1" w:rsidRDefault="00A06408" w:rsidP="00902B99">
      <w:pPr>
        <w:spacing w:before="120" w:after="0"/>
        <w:jc w:val="both"/>
        <w:rPr>
          <w:rFonts w:ascii="Arial" w:hAnsi="Arial" w:cs="Arial"/>
        </w:rPr>
      </w:pPr>
      <w:r w:rsidRPr="00A26CE1">
        <w:rPr>
          <w:rFonts w:ascii="Arial" w:hAnsi="Arial" w:cs="Arial"/>
        </w:rPr>
        <w:t xml:space="preserve">Za potrebe vodosnabdijevanja može se koristiti voda iz gradskog vodovoda (u neposrednoj blizini lokaliteta prolazi cjevovod kojim se vrši vodosnabdijevanje ulcinjskog zaleđa), uz uslov dobijanja saglasnosti </w:t>
      </w:r>
      <w:proofErr w:type="gramStart"/>
      <w:r w:rsidRPr="00A26CE1">
        <w:rPr>
          <w:rFonts w:ascii="Arial" w:hAnsi="Arial" w:cs="Arial"/>
        </w:rPr>
        <w:t>od</w:t>
      </w:r>
      <w:proofErr w:type="gramEnd"/>
      <w:r w:rsidRPr="00A26CE1">
        <w:rPr>
          <w:rFonts w:ascii="Arial" w:hAnsi="Arial" w:cs="Arial"/>
        </w:rPr>
        <w:t xml:space="preserve"> vlasnika vodovoda.</w:t>
      </w:r>
    </w:p>
    <w:p w:rsidR="00A06408" w:rsidRPr="00A26CE1" w:rsidRDefault="00A06408" w:rsidP="00902B99">
      <w:pPr>
        <w:spacing w:before="120" w:after="0"/>
        <w:jc w:val="both"/>
        <w:rPr>
          <w:rFonts w:ascii="Arial" w:hAnsi="Arial" w:cs="Arial"/>
        </w:rPr>
      </w:pPr>
      <w:r w:rsidRPr="00A26CE1">
        <w:rPr>
          <w:rFonts w:ascii="Arial" w:hAnsi="Arial" w:cs="Arial"/>
        </w:rPr>
        <w:lastRenderedPageBreak/>
        <w:t xml:space="preserve">Najbliže naselje je Velja Gorana, koje se nalazi jugoistočno </w:t>
      </w:r>
      <w:proofErr w:type="gramStart"/>
      <w:r w:rsidRPr="00A26CE1">
        <w:rPr>
          <w:rFonts w:ascii="Arial" w:hAnsi="Arial" w:cs="Arial"/>
        </w:rPr>
        <w:t>od</w:t>
      </w:r>
      <w:proofErr w:type="gramEnd"/>
      <w:r w:rsidRPr="00A26CE1">
        <w:rPr>
          <w:rFonts w:ascii="Arial" w:hAnsi="Arial" w:cs="Arial"/>
        </w:rPr>
        <w:t xml:space="preserve"> predmetnog istražno-eksploatacionog prostora na udaljenosti od oko 1 km (vazdušnom linijom). </w:t>
      </w:r>
    </w:p>
    <w:p w:rsidR="006E358E" w:rsidRPr="008106BF" w:rsidRDefault="00CD094A" w:rsidP="00E01158">
      <w:pPr>
        <w:spacing w:before="120" w:after="0"/>
        <w:jc w:val="both"/>
        <w:rPr>
          <w:rFonts w:ascii="Arial" w:hAnsi="Arial" w:cs="Arial"/>
          <w:b/>
          <w:i/>
          <w:lang w:val="sr-Latn-CS"/>
        </w:rPr>
      </w:pPr>
      <w:r w:rsidRPr="008106BF">
        <w:rPr>
          <w:rFonts w:ascii="Arial" w:hAnsi="Arial" w:cs="Arial"/>
          <w:b/>
          <w:i/>
          <w:lang w:val="sr-Latn-CS"/>
        </w:rPr>
        <w:t xml:space="preserve">Klimatske prilike </w:t>
      </w:r>
    </w:p>
    <w:p w:rsidR="00CD094A" w:rsidRPr="00A26CE1" w:rsidRDefault="00CD094A" w:rsidP="001B4358">
      <w:pPr>
        <w:spacing w:after="0"/>
        <w:jc w:val="both"/>
        <w:rPr>
          <w:rFonts w:ascii="Arial" w:hAnsi="Arial" w:cs="Arial"/>
          <w:lang w:val="sr-Latn-CS"/>
        </w:rPr>
      </w:pPr>
      <w:r w:rsidRPr="00A26CE1">
        <w:rPr>
          <w:rFonts w:ascii="Arial" w:hAnsi="Arial" w:cs="Arial"/>
          <w:lang w:val="sr-Latn-CS"/>
        </w:rPr>
        <w:t>U klimatskom pogledu, područje pripada mediteranskom tipu sa bogatstvom padavina, velikom vlažnošću, temperaturama sa malim dnevnim i godišnjim kolebanjima, dok vjetrovi duvaju pretežno iz pravca sjevera, kad su hladni i suvi, a iz pravca juga topli i praćeni obilnim padavinama. Obilježja područja sa mediteranskom klimom su dugi, topli i sušni letnji periodi, a blagi i kišni zimski periodi. Ovakve klimatske karakteristike područja omogućavaju kontinualnu eksploataciju, odnosno, rad na eksploataciji i obradi tehničko-građevinskog kamena tokom čitave kalendarske godine.</w:t>
      </w:r>
    </w:p>
    <w:p w:rsidR="00D61557" w:rsidRPr="00A26CE1" w:rsidRDefault="00D61557" w:rsidP="001B4358">
      <w:pPr>
        <w:spacing w:after="0"/>
        <w:jc w:val="both"/>
        <w:rPr>
          <w:rFonts w:ascii="Arial" w:hAnsi="Arial" w:cs="Arial"/>
          <w:lang w:val="sr-Latn-CS"/>
        </w:rPr>
      </w:pPr>
    </w:p>
    <w:p w:rsidR="00CD094A" w:rsidRPr="008106BF" w:rsidRDefault="00CD094A" w:rsidP="001B4358">
      <w:pPr>
        <w:pStyle w:val="Heading2"/>
        <w:spacing w:before="0"/>
        <w:jc w:val="both"/>
        <w:rPr>
          <w:rFonts w:ascii="Arial" w:hAnsi="Arial" w:cs="Arial"/>
          <w:i/>
          <w:color w:val="auto"/>
          <w:sz w:val="22"/>
          <w:szCs w:val="22"/>
          <w:lang w:val="sv-SE"/>
        </w:rPr>
      </w:pPr>
      <w:r w:rsidRPr="008106BF">
        <w:rPr>
          <w:rFonts w:ascii="Arial" w:hAnsi="Arial" w:cs="Arial"/>
          <w:i/>
          <w:color w:val="auto"/>
          <w:sz w:val="22"/>
          <w:szCs w:val="22"/>
          <w:lang w:val="sv-SE"/>
        </w:rPr>
        <w:t>Podaci o izvršenim geološkim istraživanjima, rezervama i kvalitetu mineralne sirovine</w:t>
      </w:r>
    </w:p>
    <w:p w:rsidR="005F0AA3" w:rsidRPr="00A26CE1" w:rsidRDefault="005F0AA3" w:rsidP="00902B99">
      <w:pPr>
        <w:pStyle w:val="ListParagraph"/>
        <w:spacing w:before="120" w:after="0"/>
        <w:ind w:left="0"/>
        <w:contextualSpacing w:val="0"/>
        <w:jc w:val="both"/>
        <w:rPr>
          <w:rFonts w:ascii="Arial" w:hAnsi="Arial" w:cs="Arial"/>
        </w:rPr>
      </w:pPr>
      <w:r w:rsidRPr="00A26CE1">
        <w:rPr>
          <w:rFonts w:ascii="Arial" w:hAnsi="Arial" w:cs="Arial"/>
        </w:rPr>
        <w:t xml:space="preserve">Na ovom prostoru vršena su osnovna geološka istraživanja, a rezultati istraživanja prikazani su </w:t>
      </w:r>
      <w:proofErr w:type="gramStart"/>
      <w:r w:rsidRPr="00A26CE1">
        <w:rPr>
          <w:rFonts w:ascii="Arial" w:hAnsi="Arial" w:cs="Arial"/>
        </w:rPr>
        <w:t>na</w:t>
      </w:r>
      <w:proofErr w:type="gramEnd"/>
      <w:r w:rsidRPr="00A26CE1">
        <w:rPr>
          <w:rFonts w:ascii="Arial" w:hAnsi="Arial" w:cs="Arial"/>
        </w:rPr>
        <w:t xml:space="preserve"> Osnovnoj geološkoj karti SFRJ lista “Ulcinj”, 1:100 000 (K 34-75), sa Tumačem, koje je uradio Zavod za geološka istraživanja – Titograd, 1968. </w:t>
      </w:r>
      <w:proofErr w:type="gramStart"/>
      <w:r w:rsidRPr="00A26CE1">
        <w:rPr>
          <w:rFonts w:ascii="Arial" w:hAnsi="Arial" w:cs="Arial"/>
        </w:rPr>
        <w:t>godine</w:t>
      </w:r>
      <w:proofErr w:type="gramEnd"/>
      <w:r w:rsidRPr="00A26CE1">
        <w:rPr>
          <w:rFonts w:ascii="Arial" w:hAnsi="Arial" w:cs="Arial"/>
        </w:rPr>
        <w:t xml:space="preserve"> (autori: M. Mirković, M. Kalezić, M. Pajović, M. Živaljević I V. Đokić).</w:t>
      </w:r>
    </w:p>
    <w:p w:rsidR="005F0AA3" w:rsidRPr="00A26CE1" w:rsidRDefault="005F0AA3" w:rsidP="00902B99">
      <w:pPr>
        <w:spacing w:before="120" w:after="0"/>
        <w:jc w:val="both"/>
        <w:rPr>
          <w:rFonts w:ascii="Arial" w:hAnsi="Arial" w:cs="Arial"/>
        </w:rPr>
      </w:pPr>
      <w:r w:rsidRPr="00A26CE1">
        <w:rPr>
          <w:rFonts w:ascii="Arial" w:hAnsi="Arial" w:cs="Arial"/>
        </w:rPr>
        <w:t xml:space="preserve">U periodu </w:t>
      </w:r>
      <w:proofErr w:type="gramStart"/>
      <w:r w:rsidRPr="00A26CE1">
        <w:rPr>
          <w:rFonts w:ascii="Arial" w:hAnsi="Arial" w:cs="Arial"/>
        </w:rPr>
        <w:t>od</w:t>
      </w:r>
      <w:proofErr w:type="gramEnd"/>
      <w:r w:rsidRPr="00A26CE1">
        <w:rPr>
          <w:rFonts w:ascii="Arial" w:hAnsi="Arial" w:cs="Arial"/>
        </w:rPr>
        <w:t xml:space="preserve"> 1998. </w:t>
      </w:r>
      <w:proofErr w:type="gramStart"/>
      <w:r w:rsidRPr="00A26CE1">
        <w:rPr>
          <w:rFonts w:ascii="Arial" w:hAnsi="Arial" w:cs="Arial"/>
        </w:rPr>
        <w:t>do</w:t>
      </w:r>
      <w:proofErr w:type="gramEnd"/>
      <w:r w:rsidRPr="00A26CE1">
        <w:rPr>
          <w:rFonts w:ascii="Arial" w:hAnsi="Arial" w:cs="Arial"/>
        </w:rPr>
        <w:t xml:space="preserve"> 2002. godine, JU Republički zavod za geološka istraživanja – Podgorica (D. Ilić sa saradnicima) je, kroz Program geoloških istraživanja od interesa za Crnu Goru, vršila osnovna geološka istraživanja ukrasnog kamena na prostoru Bara i Ulcinja.</w:t>
      </w:r>
      <w:r w:rsidR="00CD094A" w:rsidRPr="00A26CE1">
        <w:rPr>
          <w:rFonts w:ascii="Arial" w:hAnsi="Arial" w:cs="Arial"/>
        </w:rPr>
        <w:t xml:space="preserve"> </w:t>
      </w:r>
      <w:r w:rsidRPr="00A26CE1">
        <w:rPr>
          <w:rFonts w:ascii="Arial" w:hAnsi="Arial" w:cs="Arial"/>
        </w:rPr>
        <w:t xml:space="preserve">Na </w:t>
      </w:r>
      <w:r w:rsidR="00CD094A" w:rsidRPr="00A26CE1">
        <w:rPr>
          <w:rFonts w:ascii="Arial" w:hAnsi="Arial" w:cs="Arial"/>
        </w:rPr>
        <w:t>osnovu podataka ovih istraživanja</w:t>
      </w:r>
      <w:r w:rsidRPr="00A26CE1">
        <w:rPr>
          <w:rFonts w:ascii="Arial" w:hAnsi="Arial" w:cs="Arial"/>
        </w:rPr>
        <w:t xml:space="preserve"> na širem području istražno-eksploatacionog prostora „Velja Goran</w:t>
      </w:r>
      <w:r w:rsidR="00CD094A" w:rsidRPr="00A26CE1">
        <w:rPr>
          <w:rFonts w:ascii="Arial" w:hAnsi="Arial" w:cs="Arial"/>
        </w:rPr>
        <w:t>a</w:t>
      </w:r>
      <w:proofErr w:type="gramStart"/>
      <w:r w:rsidRPr="00A26CE1">
        <w:rPr>
          <w:rFonts w:ascii="Arial" w:hAnsi="Arial" w:cs="Arial"/>
        </w:rPr>
        <w:t>“ konstatovano</w:t>
      </w:r>
      <w:proofErr w:type="gramEnd"/>
      <w:r w:rsidRPr="00A26CE1">
        <w:rPr>
          <w:rFonts w:ascii="Arial" w:hAnsi="Arial" w:cs="Arial"/>
        </w:rPr>
        <w:t xml:space="preserve"> je prisustvo gornjokrednih naslaga, paleogena i kvartarnih tvorevina.</w:t>
      </w:r>
    </w:p>
    <w:p w:rsidR="005F0AA3" w:rsidRPr="00A26CE1" w:rsidRDefault="005F0AA3" w:rsidP="00902B99">
      <w:pPr>
        <w:spacing w:before="120" w:after="0"/>
        <w:jc w:val="both"/>
        <w:rPr>
          <w:rFonts w:ascii="Arial" w:hAnsi="Arial" w:cs="Arial"/>
        </w:rPr>
      </w:pPr>
      <w:r w:rsidRPr="00A26CE1">
        <w:rPr>
          <w:rFonts w:ascii="Arial" w:hAnsi="Arial" w:cs="Arial"/>
        </w:rPr>
        <w:t xml:space="preserve">Uže područje pojave tehničko-građevinskog kamena </w:t>
      </w:r>
      <w:r w:rsidR="00CD094A" w:rsidRPr="00A26CE1">
        <w:rPr>
          <w:rFonts w:ascii="Arial" w:hAnsi="Arial" w:cs="Arial"/>
        </w:rPr>
        <w:t>„</w:t>
      </w:r>
      <w:r w:rsidRPr="00A26CE1">
        <w:rPr>
          <w:rFonts w:ascii="Arial" w:hAnsi="Arial" w:cs="Arial"/>
        </w:rPr>
        <w:t>Velja Gorana</w:t>
      </w:r>
      <w:proofErr w:type="gramStart"/>
      <w:r w:rsidR="007B3C53" w:rsidRPr="00A26CE1">
        <w:rPr>
          <w:rFonts w:ascii="Arial" w:hAnsi="Arial" w:cs="Arial"/>
        </w:rPr>
        <w:t>“</w:t>
      </w:r>
      <w:r w:rsidRPr="00A26CE1">
        <w:rPr>
          <w:rFonts w:ascii="Arial" w:hAnsi="Arial" w:cs="Arial"/>
        </w:rPr>
        <w:t xml:space="preserve"> izgrađuju</w:t>
      </w:r>
      <w:proofErr w:type="gramEnd"/>
      <w:r w:rsidRPr="00A26CE1">
        <w:rPr>
          <w:rFonts w:ascii="Arial" w:hAnsi="Arial" w:cs="Arial"/>
        </w:rPr>
        <w:t xml:space="preserve"> karbonatni sedimenti predstavljeni debelobankovitim do masivnim krečnjačkim brečama i brečiziranim krečnjacima, kao i slojevitim, debeloslojevitim i bankovitim krečnjacima santon-kampana, odnosno mastrihta.</w:t>
      </w:r>
    </w:p>
    <w:p w:rsidR="005F0AA3" w:rsidRDefault="005F0AA3" w:rsidP="00902B99">
      <w:pPr>
        <w:spacing w:before="120" w:after="0"/>
        <w:jc w:val="both"/>
        <w:rPr>
          <w:rFonts w:ascii="Arial" w:hAnsi="Arial" w:cs="Arial"/>
        </w:rPr>
      </w:pPr>
      <w:r w:rsidRPr="00A26CE1">
        <w:rPr>
          <w:rFonts w:ascii="Arial" w:hAnsi="Arial" w:cs="Arial"/>
        </w:rPr>
        <w:t xml:space="preserve">Na osnovu otkrivenosti profila naslaga, može se zaključiti da su prognozne rezerve tehničko-građevinskog kamena, računate </w:t>
      </w:r>
      <w:proofErr w:type="gramStart"/>
      <w:r w:rsidRPr="00A26CE1">
        <w:rPr>
          <w:rFonts w:ascii="Arial" w:hAnsi="Arial" w:cs="Arial"/>
        </w:rPr>
        <w:t>sa</w:t>
      </w:r>
      <w:proofErr w:type="gramEnd"/>
      <w:r w:rsidRPr="00A26CE1">
        <w:rPr>
          <w:rFonts w:ascii="Arial" w:hAnsi="Arial" w:cs="Arial"/>
        </w:rPr>
        <w:t xml:space="preserve"> nivoom od 100 m.n.m, oko 3.000.000 m</w:t>
      </w:r>
      <w:r w:rsidRPr="00A26CE1">
        <w:rPr>
          <w:rFonts w:ascii="Arial" w:hAnsi="Arial" w:cs="Arial"/>
          <w:vertAlign w:val="superscript"/>
        </w:rPr>
        <w:t>3</w:t>
      </w:r>
      <w:r w:rsidRPr="00A26CE1">
        <w:rPr>
          <w:rFonts w:ascii="Arial" w:hAnsi="Arial" w:cs="Arial"/>
        </w:rPr>
        <w:t xml:space="preserve">. </w:t>
      </w:r>
      <w:proofErr w:type="gramStart"/>
      <w:r w:rsidRPr="00A26CE1">
        <w:rPr>
          <w:rFonts w:ascii="Arial" w:hAnsi="Arial" w:cs="Arial"/>
        </w:rPr>
        <w:t>Procijenjene eksploatacione rezerve iznose oko 2.700.000 m</w:t>
      </w:r>
      <w:r w:rsidRPr="00A26CE1">
        <w:rPr>
          <w:rFonts w:ascii="Arial" w:hAnsi="Arial" w:cs="Arial"/>
          <w:vertAlign w:val="superscript"/>
        </w:rPr>
        <w:t xml:space="preserve">3 </w:t>
      </w:r>
      <w:r w:rsidRPr="00A26CE1">
        <w:rPr>
          <w:rFonts w:ascii="Arial" w:hAnsi="Arial" w:cs="Arial"/>
        </w:rPr>
        <w:t>č.s.m.</w:t>
      </w:r>
      <w:proofErr w:type="gramEnd"/>
    </w:p>
    <w:p w:rsidR="007D7B9A" w:rsidRPr="00A26CE1" w:rsidRDefault="007D7B9A" w:rsidP="00902B99">
      <w:pPr>
        <w:spacing w:before="120" w:after="0"/>
        <w:jc w:val="both"/>
        <w:rPr>
          <w:rFonts w:ascii="Arial" w:hAnsi="Arial" w:cs="Arial"/>
        </w:rPr>
      </w:pPr>
    </w:p>
    <w:p w:rsidR="005F0AA3" w:rsidRDefault="005F0AA3" w:rsidP="001B4358">
      <w:pPr>
        <w:spacing w:after="0"/>
        <w:jc w:val="both"/>
        <w:rPr>
          <w:rFonts w:ascii="Arial" w:hAnsi="Arial" w:cs="Arial"/>
        </w:rPr>
      </w:pPr>
      <w:r w:rsidRPr="00A26CE1">
        <w:rPr>
          <w:rFonts w:ascii="Arial" w:hAnsi="Arial" w:cs="Arial"/>
        </w:rPr>
        <w:t xml:space="preserve">Na osnovu izvršenih preliminarnih ispitivanja i analogije </w:t>
      </w:r>
      <w:proofErr w:type="gramStart"/>
      <w:r w:rsidRPr="00A26CE1">
        <w:rPr>
          <w:rFonts w:ascii="Arial" w:hAnsi="Arial" w:cs="Arial"/>
        </w:rPr>
        <w:t>sa</w:t>
      </w:r>
      <w:proofErr w:type="gramEnd"/>
      <w:r w:rsidRPr="00A26CE1">
        <w:rPr>
          <w:rFonts w:ascii="Arial" w:hAnsi="Arial" w:cs="Arial"/>
        </w:rPr>
        <w:t xml:space="preserve"> ležištima tehničko-građevinskog kamena sličnih geoloških karakteristika, konstatuje se da se krečnjak sa ovog lokaliteta može koristiti za:</w:t>
      </w:r>
    </w:p>
    <w:p w:rsidR="007D7B9A" w:rsidRPr="00A26CE1" w:rsidRDefault="007D7B9A" w:rsidP="001B4358">
      <w:pPr>
        <w:spacing w:after="0"/>
        <w:jc w:val="both"/>
        <w:rPr>
          <w:rFonts w:ascii="Arial" w:hAnsi="Arial" w:cs="Arial"/>
        </w:rPr>
      </w:pPr>
    </w:p>
    <w:p w:rsidR="005F0AA3" w:rsidRPr="00A26CE1" w:rsidRDefault="005F0AA3" w:rsidP="00600773">
      <w:pPr>
        <w:pStyle w:val="ListParagraph"/>
        <w:numPr>
          <w:ilvl w:val="0"/>
          <w:numId w:val="29"/>
        </w:numPr>
        <w:spacing w:after="0"/>
        <w:contextualSpacing w:val="0"/>
        <w:jc w:val="both"/>
        <w:rPr>
          <w:rFonts w:ascii="Arial" w:hAnsi="Arial" w:cs="Arial"/>
        </w:rPr>
      </w:pPr>
      <w:r w:rsidRPr="00A26CE1">
        <w:rPr>
          <w:rFonts w:ascii="Arial" w:hAnsi="Arial" w:cs="Arial"/>
        </w:rPr>
        <w:t>priozvodnju kamenih agregata za izradu betona,</w:t>
      </w:r>
    </w:p>
    <w:p w:rsidR="00D61557" w:rsidRPr="00A26CE1" w:rsidRDefault="005F0AA3" w:rsidP="00600773">
      <w:pPr>
        <w:pStyle w:val="ListParagraph"/>
        <w:numPr>
          <w:ilvl w:val="0"/>
          <w:numId w:val="29"/>
        </w:numPr>
        <w:spacing w:after="0"/>
        <w:contextualSpacing w:val="0"/>
        <w:jc w:val="both"/>
        <w:rPr>
          <w:rFonts w:ascii="Arial" w:hAnsi="Arial" w:cs="Arial"/>
        </w:rPr>
      </w:pPr>
      <w:r w:rsidRPr="00A26CE1">
        <w:rPr>
          <w:rFonts w:ascii="Arial" w:hAnsi="Arial" w:cs="Arial"/>
        </w:rPr>
        <w:t xml:space="preserve">proizvodnju kamenih agregata za klasične i savremene podloge za puteve, </w:t>
      </w:r>
    </w:p>
    <w:p w:rsidR="005F0AA3" w:rsidRPr="00A26CE1" w:rsidRDefault="005F0AA3" w:rsidP="00600773">
      <w:pPr>
        <w:pStyle w:val="ListParagraph"/>
        <w:numPr>
          <w:ilvl w:val="0"/>
          <w:numId w:val="29"/>
        </w:numPr>
        <w:spacing w:after="0"/>
        <w:contextualSpacing w:val="0"/>
        <w:jc w:val="both"/>
        <w:rPr>
          <w:rFonts w:ascii="Arial" w:hAnsi="Arial" w:cs="Arial"/>
        </w:rPr>
      </w:pPr>
      <w:r w:rsidRPr="00A26CE1">
        <w:rPr>
          <w:rFonts w:ascii="Arial" w:hAnsi="Arial" w:cs="Arial"/>
        </w:rPr>
        <w:t>proizvodnju agregata za donje i gornje noseće slojeve od bituminoznog materijala po vrućem postupku, kao i za</w:t>
      </w:r>
    </w:p>
    <w:p w:rsidR="005F0AA3" w:rsidRPr="00A26CE1" w:rsidRDefault="005F0AA3" w:rsidP="00600773">
      <w:pPr>
        <w:pStyle w:val="ListParagraph"/>
        <w:numPr>
          <w:ilvl w:val="0"/>
          <w:numId w:val="29"/>
        </w:numPr>
        <w:spacing w:after="0"/>
        <w:contextualSpacing w:val="0"/>
        <w:jc w:val="both"/>
        <w:rPr>
          <w:rFonts w:ascii="Arial" w:hAnsi="Arial" w:cs="Arial"/>
        </w:rPr>
      </w:pPr>
      <w:proofErr w:type="gramStart"/>
      <w:r w:rsidRPr="00A26CE1">
        <w:rPr>
          <w:rFonts w:ascii="Arial" w:hAnsi="Arial" w:cs="Arial"/>
        </w:rPr>
        <w:t>proizvodnju</w:t>
      </w:r>
      <w:proofErr w:type="gramEnd"/>
      <w:r w:rsidRPr="00A26CE1">
        <w:rPr>
          <w:rFonts w:ascii="Arial" w:hAnsi="Arial" w:cs="Arial"/>
        </w:rPr>
        <w:t xml:space="preserve"> lomljenog kamena i tesanika za gruba zidanja u ni</w:t>
      </w:r>
      <w:r w:rsidR="00902B99" w:rsidRPr="00A26CE1">
        <w:rPr>
          <w:rFonts w:ascii="Arial" w:hAnsi="Arial" w:cs="Arial"/>
        </w:rPr>
        <w:t>s</w:t>
      </w:r>
      <w:r w:rsidRPr="00A26CE1">
        <w:rPr>
          <w:rFonts w:ascii="Arial" w:hAnsi="Arial" w:cs="Arial"/>
        </w:rPr>
        <w:t>kogradnji i hidrogradnji.</w:t>
      </w:r>
    </w:p>
    <w:p w:rsidR="00316698" w:rsidRPr="00A26CE1" w:rsidRDefault="00316698" w:rsidP="001B4358">
      <w:pPr>
        <w:spacing w:after="0"/>
        <w:jc w:val="both"/>
        <w:rPr>
          <w:rFonts w:ascii="Arial" w:hAnsi="Arial" w:cs="Arial"/>
          <w:b/>
          <w:i/>
          <w:u w:val="single"/>
          <w:lang w:val="sr-Latn-CS"/>
        </w:rPr>
      </w:pPr>
    </w:p>
    <w:p w:rsidR="0033150F" w:rsidRDefault="0033150F" w:rsidP="0033150F">
      <w:pPr>
        <w:keepNext/>
        <w:keepLines/>
        <w:spacing w:after="5" w:line="266" w:lineRule="auto"/>
        <w:ind w:right="28"/>
        <w:jc w:val="both"/>
        <w:outlineLvl w:val="0"/>
        <w:rPr>
          <w:rFonts w:ascii="Arial" w:eastAsia="Arial" w:hAnsi="Arial" w:cs="Arial"/>
          <w:b/>
          <w:color w:val="000000"/>
          <w:lang w:val="en-US" w:eastAsia="en-US"/>
        </w:rPr>
      </w:pPr>
      <w:r w:rsidRPr="00A26CE1">
        <w:rPr>
          <w:rFonts w:ascii="Arial" w:eastAsia="Arial" w:hAnsi="Arial" w:cs="Arial"/>
          <w:b/>
          <w:color w:val="000000"/>
          <w:lang w:val="en-US" w:eastAsia="en-US"/>
        </w:rPr>
        <w:t xml:space="preserve">3. Ležište </w:t>
      </w:r>
      <w:proofErr w:type="gramStart"/>
      <w:r w:rsidRPr="00A26CE1">
        <w:rPr>
          <w:rFonts w:ascii="Arial" w:eastAsia="Arial" w:hAnsi="Arial" w:cs="Arial"/>
          <w:b/>
          <w:color w:val="000000"/>
          <w:lang w:val="en-US" w:eastAsia="en-US"/>
        </w:rPr>
        <w:t>bentonita ”</w:t>
      </w:r>
      <w:proofErr w:type="gramEnd"/>
      <w:r w:rsidRPr="00A26CE1">
        <w:rPr>
          <w:rFonts w:ascii="Arial" w:eastAsia="Arial" w:hAnsi="Arial" w:cs="Arial"/>
          <w:b/>
          <w:color w:val="000000"/>
          <w:lang w:val="en-US" w:eastAsia="en-US"/>
        </w:rPr>
        <w:t xml:space="preserve">Bijele šume”, opština Bar </w:t>
      </w:r>
    </w:p>
    <w:p w:rsidR="007D7B9A" w:rsidRPr="00A26CE1" w:rsidRDefault="007D7B9A" w:rsidP="0033150F">
      <w:pPr>
        <w:keepNext/>
        <w:keepLines/>
        <w:spacing w:after="5" w:line="266" w:lineRule="auto"/>
        <w:ind w:right="28"/>
        <w:jc w:val="both"/>
        <w:outlineLvl w:val="0"/>
        <w:rPr>
          <w:rFonts w:ascii="Arial" w:eastAsia="Arial" w:hAnsi="Arial" w:cs="Arial"/>
          <w:b/>
          <w:color w:val="000000"/>
          <w:lang w:val="en-US" w:eastAsia="en-US"/>
        </w:rPr>
      </w:pPr>
    </w:p>
    <w:p w:rsidR="0033150F" w:rsidRPr="00A26CE1" w:rsidRDefault="0033150F" w:rsidP="009A6D6C">
      <w:pPr>
        <w:spacing w:before="120" w:after="0" w:line="266" w:lineRule="auto"/>
        <w:ind w:right="28"/>
        <w:jc w:val="both"/>
        <w:rPr>
          <w:rFonts w:ascii="Arial" w:eastAsia="Arial" w:hAnsi="Arial" w:cs="Arial"/>
          <w:color w:val="000000"/>
          <w:lang w:val="en-US" w:eastAsia="en-US"/>
        </w:rPr>
      </w:pPr>
      <w:r w:rsidRPr="00A26CE1">
        <w:rPr>
          <w:rFonts w:ascii="Arial" w:eastAsia="Arial" w:hAnsi="Arial" w:cs="Arial"/>
          <w:color w:val="000000"/>
          <w:lang w:val="en-US" w:eastAsia="en-US"/>
        </w:rPr>
        <w:t xml:space="preserve">Ležište bentonita “Bijela šuma” nalazi se </w:t>
      </w:r>
      <w:proofErr w:type="gramStart"/>
      <w:r w:rsidRPr="00A26CE1">
        <w:rPr>
          <w:rFonts w:ascii="Arial" w:eastAsia="Arial" w:hAnsi="Arial" w:cs="Arial"/>
          <w:color w:val="000000"/>
          <w:lang w:val="en-US" w:eastAsia="en-US"/>
        </w:rPr>
        <w:t>na</w:t>
      </w:r>
      <w:proofErr w:type="gramEnd"/>
      <w:r w:rsidRPr="00A26CE1">
        <w:rPr>
          <w:rFonts w:ascii="Arial" w:eastAsia="Arial" w:hAnsi="Arial" w:cs="Arial"/>
          <w:color w:val="000000"/>
          <w:lang w:val="en-US" w:eastAsia="en-US"/>
        </w:rPr>
        <w:t xml:space="preserve"> području Crmnice (KO Gluhi do) u neposrednoj blizini magistralnog puta Podgorica – Bar, na oko 15 km sjeveroistočno od Petrovca i 13 km od Virpazara. </w:t>
      </w:r>
    </w:p>
    <w:p w:rsidR="0033150F" w:rsidRPr="00A26CE1" w:rsidRDefault="0033150F" w:rsidP="009A6D6C">
      <w:pPr>
        <w:spacing w:before="120" w:after="0" w:line="259" w:lineRule="auto"/>
        <w:ind w:right="28"/>
        <w:rPr>
          <w:rFonts w:ascii="Arial" w:eastAsia="Arial" w:hAnsi="Arial" w:cs="Arial"/>
          <w:color w:val="000000"/>
          <w:lang w:val="en-US" w:eastAsia="en-US"/>
        </w:rPr>
      </w:pPr>
      <w:r w:rsidRPr="00A26CE1">
        <w:rPr>
          <w:rFonts w:ascii="Arial" w:eastAsia="Arial" w:hAnsi="Arial" w:cs="Arial"/>
          <w:color w:val="000000"/>
          <w:lang w:val="en-US" w:eastAsia="en-US"/>
        </w:rPr>
        <w:t xml:space="preserve">Nalazi se u ataru sela Bijelo Polje, u području Korijen dubrave. </w:t>
      </w:r>
    </w:p>
    <w:p w:rsidR="009A6D6C" w:rsidRPr="00A26CE1" w:rsidRDefault="0033150F" w:rsidP="009A6D6C">
      <w:pPr>
        <w:spacing w:before="120" w:after="0" w:line="266" w:lineRule="auto"/>
        <w:ind w:right="28"/>
        <w:jc w:val="both"/>
        <w:rPr>
          <w:rFonts w:ascii="Arial" w:eastAsia="Arial" w:hAnsi="Arial" w:cs="Arial"/>
          <w:color w:val="000000"/>
          <w:lang w:val="en-US" w:eastAsia="en-US"/>
        </w:rPr>
      </w:pPr>
      <w:r w:rsidRPr="00A26CE1">
        <w:rPr>
          <w:rFonts w:ascii="Arial" w:eastAsia="Arial" w:hAnsi="Arial" w:cs="Arial"/>
          <w:color w:val="000000"/>
          <w:lang w:val="en-US" w:eastAsia="en-US"/>
        </w:rPr>
        <w:t>Samo ležište bentonita povezano je makadamskim kolskim putem dužine oko 300 m sa magistralnim putem i zahvata površinu od 12</w:t>
      </w:r>
      <w:proofErr w:type="gramStart"/>
      <w:r w:rsidRPr="00A26CE1">
        <w:rPr>
          <w:rFonts w:ascii="Arial" w:eastAsia="Arial" w:hAnsi="Arial" w:cs="Arial"/>
          <w:color w:val="000000"/>
          <w:lang w:val="en-US" w:eastAsia="en-US"/>
        </w:rPr>
        <w:t>,15</w:t>
      </w:r>
      <w:proofErr w:type="gramEnd"/>
      <w:r w:rsidRPr="00A26CE1">
        <w:rPr>
          <w:rFonts w:ascii="Arial" w:eastAsia="Arial" w:hAnsi="Arial" w:cs="Arial"/>
          <w:color w:val="000000"/>
          <w:lang w:val="en-US" w:eastAsia="en-US"/>
        </w:rPr>
        <w:t xml:space="preserve"> ha. Teren je, uglavnom, pokriven šumom, livadama i pašnjakom</w:t>
      </w:r>
      <w:r w:rsidR="009A6D6C" w:rsidRPr="00A26CE1">
        <w:rPr>
          <w:rFonts w:ascii="Arial" w:eastAsia="Arial" w:hAnsi="Arial" w:cs="Arial"/>
          <w:color w:val="000000"/>
          <w:lang w:val="en-US" w:eastAsia="en-US"/>
        </w:rPr>
        <w:t>.</w:t>
      </w:r>
    </w:p>
    <w:p w:rsidR="007D7B9A" w:rsidRPr="00A26CE1" w:rsidRDefault="0033150F" w:rsidP="009A6D6C">
      <w:pPr>
        <w:spacing w:before="120" w:after="0" w:line="266" w:lineRule="auto"/>
        <w:ind w:right="28"/>
        <w:jc w:val="both"/>
        <w:rPr>
          <w:rFonts w:ascii="Arial" w:eastAsia="Arial" w:hAnsi="Arial" w:cs="Arial"/>
          <w:color w:val="000000"/>
          <w:lang w:val="en-US" w:eastAsia="en-US"/>
        </w:rPr>
      </w:pPr>
      <w:r w:rsidRPr="00A26CE1">
        <w:rPr>
          <w:rFonts w:ascii="Arial" w:eastAsia="Arial" w:hAnsi="Arial" w:cs="Arial"/>
          <w:color w:val="000000"/>
          <w:lang w:val="en-US" w:eastAsia="en-US"/>
        </w:rPr>
        <w:lastRenderedPageBreak/>
        <w:t xml:space="preserve">Koordinate istražno-eksploatacionog prostora “Bijela šuma”: </w:t>
      </w:r>
    </w:p>
    <w:p w:rsidR="0033150F" w:rsidRPr="00A26CE1" w:rsidRDefault="0033150F" w:rsidP="0033150F">
      <w:pPr>
        <w:tabs>
          <w:tab w:val="left" w:pos="9630"/>
        </w:tabs>
        <w:spacing w:after="5" w:line="266" w:lineRule="auto"/>
        <w:ind w:right="560"/>
        <w:jc w:val="both"/>
        <w:rPr>
          <w:rFonts w:ascii="Arial" w:eastAsia="Arial" w:hAnsi="Arial" w:cs="Arial"/>
          <w:color w:val="000000"/>
          <w:lang w:val="en-US" w:eastAsia="en-US"/>
        </w:rPr>
      </w:pPr>
    </w:p>
    <w:tbl>
      <w:tblPr>
        <w:tblStyle w:val="TableGrid0"/>
        <w:tblW w:w="1017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 w:type="dxa"/>
          <w:left w:w="115" w:type="dxa"/>
          <w:right w:w="115" w:type="dxa"/>
        </w:tblCellMar>
        <w:tblLook w:val="04A0"/>
      </w:tblPr>
      <w:tblGrid>
        <w:gridCol w:w="1747"/>
        <w:gridCol w:w="2533"/>
        <w:gridCol w:w="1840"/>
        <w:gridCol w:w="2437"/>
        <w:gridCol w:w="1613"/>
      </w:tblGrid>
      <w:tr w:rsidR="0033150F" w:rsidRPr="00A26CE1" w:rsidTr="007D7B9A">
        <w:trPr>
          <w:trHeight w:val="315"/>
        </w:trPr>
        <w:tc>
          <w:tcPr>
            <w:tcW w:w="1747" w:type="dxa"/>
            <w:vMerge w:val="restart"/>
            <w:tcBorders>
              <w:top w:val="single" w:sz="12" w:space="0" w:color="auto"/>
              <w:left w:val="single" w:sz="12" w:space="0" w:color="auto"/>
              <w:right w:val="single" w:sz="12" w:space="0" w:color="auto"/>
            </w:tcBorders>
            <w:vAlign w:val="center"/>
          </w:tcPr>
          <w:p w:rsidR="0033150F" w:rsidRPr="00A26CE1" w:rsidRDefault="0033150F" w:rsidP="00464271">
            <w:pPr>
              <w:tabs>
                <w:tab w:val="left" w:pos="9630"/>
              </w:tabs>
              <w:spacing w:line="259" w:lineRule="auto"/>
              <w:jc w:val="center"/>
              <w:rPr>
                <w:rFonts w:ascii="Arial" w:eastAsia="Arial" w:hAnsi="Arial" w:cs="Arial"/>
                <w:color w:val="000000"/>
                <w:lang w:val="en-US" w:eastAsia="en-US"/>
              </w:rPr>
            </w:pPr>
            <w:r w:rsidRPr="00A26CE1">
              <w:rPr>
                <w:rFonts w:ascii="Arial" w:eastAsia="Arial" w:hAnsi="Arial" w:cs="Arial"/>
                <w:b/>
                <w:color w:val="000000"/>
                <w:lang w:val="en-US" w:eastAsia="en-US"/>
              </w:rPr>
              <w:t xml:space="preserve">T A Č K A </w:t>
            </w:r>
          </w:p>
        </w:tc>
        <w:tc>
          <w:tcPr>
            <w:tcW w:w="4373" w:type="dxa"/>
            <w:gridSpan w:val="2"/>
            <w:tcBorders>
              <w:top w:val="single" w:sz="12" w:space="0" w:color="auto"/>
              <w:left w:val="single" w:sz="12" w:space="0" w:color="auto"/>
              <w:right w:val="single" w:sz="12" w:space="0" w:color="auto"/>
            </w:tcBorders>
          </w:tcPr>
          <w:p w:rsidR="0033150F" w:rsidRPr="00A26CE1" w:rsidRDefault="0033150F" w:rsidP="00464271">
            <w:pPr>
              <w:tabs>
                <w:tab w:val="left" w:pos="9630"/>
              </w:tabs>
              <w:spacing w:line="259" w:lineRule="auto"/>
              <w:jc w:val="center"/>
              <w:rPr>
                <w:rFonts w:ascii="Arial" w:eastAsia="Arial" w:hAnsi="Arial" w:cs="Arial"/>
                <w:color w:val="000000"/>
                <w:lang w:val="en-US" w:eastAsia="en-US"/>
              </w:rPr>
            </w:pPr>
            <w:r w:rsidRPr="00A26CE1">
              <w:rPr>
                <w:rFonts w:ascii="Arial" w:eastAsia="Arial" w:hAnsi="Arial" w:cs="Arial"/>
                <w:b/>
                <w:color w:val="000000"/>
                <w:lang w:val="en-US" w:eastAsia="en-US"/>
              </w:rPr>
              <w:t xml:space="preserve">K O O R D I N A T E </w:t>
            </w:r>
          </w:p>
        </w:tc>
        <w:tc>
          <w:tcPr>
            <w:tcW w:w="2437" w:type="dxa"/>
            <w:vMerge w:val="restart"/>
            <w:tcBorders>
              <w:top w:val="single" w:sz="12" w:space="0" w:color="auto"/>
              <w:left w:val="single" w:sz="12" w:space="0" w:color="auto"/>
              <w:right w:val="single" w:sz="12" w:space="0" w:color="auto"/>
            </w:tcBorders>
          </w:tcPr>
          <w:p w:rsidR="0033150F" w:rsidRPr="00A26CE1" w:rsidRDefault="0033150F" w:rsidP="00464271">
            <w:pPr>
              <w:tabs>
                <w:tab w:val="left" w:pos="9630"/>
              </w:tabs>
              <w:spacing w:line="259" w:lineRule="auto"/>
              <w:ind w:right="164"/>
              <w:jc w:val="center"/>
              <w:rPr>
                <w:rFonts w:ascii="Arial" w:eastAsia="Arial" w:hAnsi="Arial" w:cs="Arial"/>
                <w:color w:val="000000"/>
                <w:lang w:val="en-US" w:eastAsia="en-US"/>
              </w:rPr>
            </w:pPr>
            <w:r w:rsidRPr="00A26CE1">
              <w:rPr>
                <w:rFonts w:ascii="Arial" w:eastAsia="Arial" w:hAnsi="Arial" w:cs="Arial"/>
                <w:b/>
                <w:color w:val="000000"/>
                <w:lang w:val="en-US" w:eastAsia="en-US"/>
              </w:rPr>
              <w:t>DUŽINA STRANA (m)</w:t>
            </w:r>
            <w:r w:rsidRPr="00A26CE1">
              <w:rPr>
                <w:rFonts w:ascii="Arial" w:eastAsia="Arial" w:hAnsi="Arial" w:cs="Arial"/>
                <w:color w:val="000000"/>
                <w:lang w:val="en-US" w:eastAsia="en-US"/>
              </w:rPr>
              <w:t xml:space="preserve"> </w:t>
            </w:r>
          </w:p>
        </w:tc>
        <w:tc>
          <w:tcPr>
            <w:tcW w:w="1613" w:type="dxa"/>
            <w:vMerge w:val="restart"/>
            <w:tcBorders>
              <w:top w:val="single" w:sz="12" w:space="0" w:color="auto"/>
              <w:left w:val="single" w:sz="12" w:space="0" w:color="auto"/>
              <w:right w:val="single" w:sz="12" w:space="0" w:color="auto"/>
            </w:tcBorders>
          </w:tcPr>
          <w:p w:rsidR="0033150F" w:rsidRPr="00A26CE1" w:rsidRDefault="0033150F" w:rsidP="00464271">
            <w:pPr>
              <w:tabs>
                <w:tab w:val="left" w:pos="9630"/>
              </w:tabs>
              <w:spacing w:line="259" w:lineRule="auto"/>
              <w:jc w:val="center"/>
              <w:rPr>
                <w:rFonts w:ascii="Arial" w:eastAsia="Arial" w:hAnsi="Arial" w:cs="Arial"/>
                <w:color w:val="000000"/>
                <w:lang w:val="en-US" w:eastAsia="en-US"/>
              </w:rPr>
            </w:pPr>
            <w:r w:rsidRPr="00A26CE1">
              <w:rPr>
                <w:rFonts w:ascii="Arial" w:eastAsia="Arial" w:hAnsi="Arial" w:cs="Arial"/>
                <w:b/>
                <w:color w:val="000000"/>
                <w:lang w:val="en-US" w:eastAsia="en-US"/>
              </w:rPr>
              <w:t xml:space="preserve">POVRŠINA </w:t>
            </w:r>
          </w:p>
          <w:p w:rsidR="0033150F" w:rsidRPr="00A26CE1" w:rsidRDefault="0033150F" w:rsidP="00464271">
            <w:pPr>
              <w:tabs>
                <w:tab w:val="left" w:pos="9630"/>
              </w:tabs>
              <w:spacing w:line="259" w:lineRule="auto"/>
              <w:ind w:right="1"/>
              <w:jc w:val="center"/>
              <w:rPr>
                <w:rFonts w:ascii="Arial" w:eastAsia="Arial" w:hAnsi="Arial" w:cs="Arial"/>
                <w:color w:val="000000"/>
                <w:lang w:val="en-US" w:eastAsia="en-US"/>
              </w:rPr>
            </w:pPr>
            <w:r w:rsidRPr="00A26CE1">
              <w:rPr>
                <w:rFonts w:ascii="Arial" w:eastAsia="Arial" w:hAnsi="Arial" w:cs="Arial"/>
                <w:b/>
                <w:color w:val="000000"/>
                <w:lang w:val="en-US" w:eastAsia="en-US"/>
              </w:rPr>
              <w:t>(ha)</w:t>
            </w:r>
            <w:r w:rsidRPr="00A26CE1">
              <w:rPr>
                <w:rFonts w:ascii="Arial" w:eastAsia="Arial" w:hAnsi="Arial" w:cs="Arial"/>
                <w:color w:val="000000"/>
                <w:lang w:val="en-US" w:eastAsia="en-US"/>
              </w:rPr>
              <w:t xml:space="preserve"> </w:t>
            </w:r>
          </w:p>
        </w:tc>
      </w:tr>
      <w:tr w:rsidR="0033150F" w:rsidRPr="00A26CE1" w:rsidTr="007D7B9A">
        <w:trPr>
          <w:trHeight w:val="274"/>
        </w:trPr>
        <w:tc>
          <w:tcPr>
            <w:tcW w:w="0" w:type="auto"/>
            <w:vMerge/>
            <w:tcBorders>
              <w:left w:val="single" w:sz="12" w:space="0" w:color="auto"/>
              <w:bottom w:val="single" w:sz="12" w:space="0" w:color="auto"/>
              <w:right w:val="single" w:sz="12" w:space="0" w:color="auto"/>
            </w:tcBorders>
          </w:tcPr>
          <w:p w:rsidR="0033150F" w:rsidRPr="00A26CE1" w:rsidRDefault="0033150F" w:rsidP="00464271">
            <w:pPr>
              <w:tabs>
                <w:tab w:val="left" w:pos="9630"/>
              </w:tabs>
              <w:spacing w:after="160" w:line="259" w:lineRule="auto"/>
              <w:rPr>
                <w:rFonts w:ascii="Arial" w:eastAsia="Arial" w:hAnsi="Arial" w:cs="Arial"/>
                <w:color w:val="000000"/>
                <w:lang w:val="en-US" w:eastAsia="en-US"/>
              </w:rPr>
            </w:pPr>
          </w:p>
        </w:tc>
        <w:tc>
          <w:tcPr>
            <w:tcW w:w="2533" w:type="dxa"/>
            <w:tcBorders>
              <w:left w:val="single" w:sz="12" w:space="0" w:color="auto"/>
              <w:bottom w:val="single" w:sz="12" w:space="0" w:color="auto"/>
            </w:tcBorders>
          </w:tcPr>
          <w:p w:rsidR="0033150F" w:rsidRPr="00A26CE1" w:rsidRDefault="0033150F" w:rsidP="00464271">
            <w:pPr>
              <w:tabs>
                <w:tab w:val="left" w:pos="9630"/>
              </w:tabs>
              <w:spacing w:line="259" w:lineRule="auto"/>
              <w:jc w:val="center"/>
              <w:rPr>
                <w:rFonts w:ascii="Arial" w:eastAsia="Arial" w:hAnsi="Arial" w:cs="Arial"/>
                <w:color w:val="000000"/>
                <w:lang w:val="en-US" w:eastAsia="en-US"/>
              </w:rPr>
            </w:pPr>
            <w:r w:rsidRPr="00A26CE1">
              <w:rPr>
                <w:rFonts w:ascii="Arial" w:eastAsia="Arial" w:hAnsi="Arial" w:cs="Arial"/>
                <w:b/>
                <w:color w:val="000000"/>
                <w:lang w:val="en-US" w:eastAsia="en-US"/>
              </w:rPr>
              <w:t xml:space="preserve">X </w:t>
            </w:r>
          </w:p>
        </w:tc>
        <w:tc>
          <w:tcPr>
            <w:tcW w:w="1840" w:type="dxa"/>
            <w:tcBorders>
              <w:bottom w:val="single" w:sz="12" w:space="0" w:color="auto"/>
              <w:right w:val="single" w:sz="12" w:space="0" w:color="auto"/>
            </w:tcBorders>
          </w:tcPr>
          <w:p w:rsidR="0033150F" w:rsidRPr="00A26CE1" w:rsidRDefault="0033150F" w:rsidP="00464271">
            <w:pPr>
              <w:tabs>
                <w:tab w:val="left" w:pos="9630"/>
              </w:tabs>
              <w:spacing w:line="259" w:lineRule="auto"/>
              <w:jc w:val="center"/>
              <w:rPr>
                <w:rFonts w:ascii="Arial" w:eastAsia="Arial" w:hAnsi="Arial" w:cs="Arial"/>
                <w:color w:val="000000"/>
                <w:lang w:val="en-US" w:eastAsia="en-US"/>
              </w:rPr>
            </w:pPr>
            <w:r w:rsidRPr="00A26CE1">
              <w:rPr>
                <w:rFonts w:ascii="Arial" w:eastAsia="Arial" w:hAnsi="Arial" w:cs="Arial"/>
                <w:b/>
                <w:color w:val="000000"/>
                <w:lang w:val="en-US" w:eastAsia="en-US"/>
              </w:rPr>
              <w:t xml:space="preserve">Y </w:t>
            </w:r>
          </w:p>
        </w:tc>
        <w:tc>
          <w:tcPr>
            <w:tcW w:w="0" w:type="auto"/>
            <w:vMerge/>
            <w:tcBorders>
              <w:left w:val="single" w:sz="12" w:space="0" w:color="auto"/>
              <w:bottom w:val="single" w:sz="12" w:space="0" w:color="auto"/>
              <w:right w:val="single" w:sz="12" w:space="0" w:color="auto"/>
            </w:tcBorders>
          </w:tcPr>
          <w:p w:rsidR="0033150F" w:rsidRPr="00A26CE1" w:rsidRDefault="0033150F" w:rsidP="00464271">
            <w:pPr>
              <w:tabs>
                <w:tab w:val="left" w:pos="9630"/>
              </w:tabs>
              <w:spacing w:after="160" w:line="259" w:lineRule="auto"/>
              <w:rPr>
                <w:rFonts w:ascii="Arial" w:eastAsia="Arial" w:hAnsi="Arial" w:cs="Arial"/>
                <w:color w:val="000000"/>
                <w:lang w:val="en-US" w:eastAsia="en-US"/>
              </w:rPr>
            </w:pPr>
          </w:p>
        </w:tc>
        <w:tc>
          <w:tcPr>
            <w:tcW w:w="1613" w:type="dxa"/>
            <w:vMerge/>
            <w:tcBorders>
              <w:left w:val="single" w:sz="12" w:space="0" w:color="auto"/>
              <w:bottom w:val="single" w:sz="12" w:space="0" w:color="auto"/>
              <w:right w:val="single" w:sz="12" w:space="0" w:color="auto"/>
            </w:tcBorders>
          </w:tcPr>
          <w:p w:rsidR="0033150F" w:rsidRPr="00A26CE1" w:rsidRDefault="0033150F" w:rsidP="00464271">
            <w:pPr>
              <w:tabs>
                <w:tab w:val="left" w:pos="9630"/>
              </w:tabs>
              <w:spacing w:after="160" w:line="259" w:lineRule="auto"/>
              <w:rPr>
                <w:rFonts w:ascii="Arial" w:eastAsia="Arial" w:hAnsi="Arial" w:cs="Arial"/>
                <w:color w:val="000000"/>
                <w:lang w:val="en-US" w:eastAsia="en-US"/>
              </w:rPr>
            </w:pPr>
          </w:p>
        </w:tc>
      </w:tr>
      <w:tr w:rsidR="0033150F" w:rsidRPr="00A26CE1" w:rsidTr="007D7B9A">
        <w:trPr>
          <w:trHeight w:val="274"/>
        </w:trPr>
        <w:tc>
          <w:tcPr>
            <w:tcW w:w="1747" w:type="dxa"/>
            <w:tcBorders>
              <w:top w:val="single" w:sz="12" w:space="0" w:color="auto"/>
              <w:left w:val="single" w:sz="12" w:space="0" w:color="auto"/>
              <w:right w:val="single" w:sz="12" w:space="0" w:color="auto"/>
            </w:tcBorders>
          </w:tcPr>
          <w:p w:rsidR="0033150F" w:rsidRPr="00A26CE1" w:rsidRDefault="0033150F" w:rsidP="00464271">
            <w:pPr>
              <w:tabs>
                <w:tab w:val="left" w:pos="9630"/>
              </w:tabs>
              <w:spacing w:line="259" w:lineRule="auto"/>
              <w:jc w:val="center"/>
              <w:rPr>
                <w:rFonts w:ascii="Arial" w:eastAsia="Arial" w:hAnsi="Arial" w:cs="Arial"/>
                <w:color w:val="000000"/>
                <w:lang w:val="en-US" w:eastAsia="en-US"/>
              </w:rPr>
            </w:pPr>
            <w:r w:rsidRPr="00A26CE1">
              <w:rPr>
                <w:rFonts w:ascii="Arial" w:eastAsia="Arial" w:hAnsi="Arial" w:cs="Arial"/>
                <w:b/>
                <w:color w:val="000000"/>
                <w:lang w:val="en-US" w:eastAsia="en-US"/>
              </w:rPr>
              <w:t xml:space="preserve">A </w:t>
            </w:r>
          </w:p>
        </w:tc>
        <w:tc>
          <w:tcPr>
            <w:tcW w:w="2533" w:type="dxa"/>
            <w:tcBorders>
              <w:top w:val="single" w:sz="12" w:space="0" w:color="auto"/>
              <w:left w:val="single" w:sz="12" w:space="0" w:color="auto"/>
            </w:tcBorders>
          </w:tcPr>
          <w:p w:rsidR="0033150F" w:rsidRPr="00A26CE1" w:rsidRDefault="0033150F" w:rsidP="00464271">
            <w:pPr>
              <w:tabs>
                <w:tab w:val="left" w:pos="9630"/>
              </w:tabs>
              <w:spacing w:line="259" w:lineRule="auto"/>
              <w:jc w:val="center"/>
              <w:rPr>
                <w:rFonts w:ascii="Arial" w:eastAsia="Arial" w:hAnsi="Arial" w:cs="Arial"/>
                <w:color w:val="000000"/>
                <w:lang w:val="en-US" w:eastAsia="en-US"/>
              </w:rPr>
            </w:pPr>
            <w:r w:rsidRPr="00A26CE1">
              <w:rPr>
                <w:rFonts w:ascii="Arial" w:eastAsia="Arial" w:hAnsi="Arial" w:cs="Arial"/>
                <w:color w:val="000000"/>
                <w:lang w:val="en-US" w:eastAsia="en-US"/>
              </w:rPr>
              <w:t xml:space="preserve">4 674 900 </w:t>
            </w:r>
          </w:p>
        </w:tc>
        <w:tc>
          <w:tcPr>
            <w:tcW w:w="1840" w:type="dxa"/>
            <w:tcBorders>
              <w:top w:val="single" w:sz="12" w:space="0" w:color="auto"/>
              <w:right w:val="single" w:sz="12" w:space="0" w:color="auto"/>
            </w:tcBorders>
          </w:tcPr>
          <w:p w:rsidR="0033150F" w:rsidRPr="00A26CE1" w:rsidRDefault="0033150F" w:rsidP="00464271">
            <w:pPr>
              <w:tabs>
                <w:tab w:val="left" w:pos="9630"/>
              </w:tabs>
              <w:spacing w:line="259" w:lineRule="auto"/>
              <w:jc w:val="center"/>
              <w:rPr>
                <w:rFonts w:ascii="Arial" w:eastAsia="Arial" w:hAnsi="Arial" w:cs="Arial"/>
                <w:color w:val="000000"/>
                <w:lang w:val="en-US" w:eastAsia="en-US"/>
              </w:rPr>
            </w:pPr>
            <w:r w:rsidRPr="00A26CE1">
              <w:rPr>
                <w:rFonts w:ascii="Arial" w:eastAsia="Arial" w:hAnsi="Arial" w:cs="Arial"/>
                <w:color w:val="000000"/>
                <w:lang w:val="en-US" w:eastAsia="en-US"/>
              </w:rPr>
              <w:t xml:space="preserve">6 583 500 </w:t>
            </w:r>
          </w:p>
        </w:tc>
        <w:tc>
          <w:tcPr>
            <w:tcW w:w="2437" w:type="dxa"/>
            <w:tcBorders>
              <w:top w:val="single" w:sz="12" w:space="0" w:color="auto"/>
              <w:left w:val="single" w:sz="12" w:space="0" w:color="auto"/>
              <w:right w:val="single" w:sz="12" w:space="0" w:color="auto"/>
            </w:tcBorders>
          </w:tcPr>
          <w:p w:rsidR="0033150F" w:rsidRPr="00A26CE1" w:rsidRDefault="0033150F" w:rsidP="00464271">
            <w:pPr>
              <w:tabs>
                <w:tab w:val="left" w:pos="9630"/>
              </w:tabs>
              <w:spacing w:line="259" w:lineRule="auto"/>
              <w:jc w:val="center"/>
              <w:rPr>
                <w:rFonts w:ascii="Arial" w:eastAsia="Arial" w:hAnsi="Arial" w:cs="Arial"/>
                <w:color w:val="000000"/>
                <w:lang w:val="en-US" w:eastAsia="en-US"/>
              </w:rPr>
            </w:pPr>
            <w:r w:rsidRPr="00A26CE1">
              <w:rPr>
                <w:rFonts w:ascii="Arial" w:eastAsia="Arial" w:hAnsi="Arial" w:cs="Arial"/>
                <w:color w:val="000000"/>
                <w:lang w:val="en-US" w:eastAsia="en-US"/>
              </w:rPr>
              <w:t xml:space="preserve">A – B = 300 </w:t>
            </w:r>
          </w:p>
        </w:tc>
        <w:tc>
          <w:tcPr>
            <w:tcW w:w="1613" w:type="dxa"/>
            <w:vMerge w:val="restart"/>
            <w:tcBorders>
              <w:top w:val="single" w:sz="12" w:space="0" w:color="auto"/>
              <w:left w:val="single" w:sz="12" w:space="0" w:color="auto"/>
              <w:right w:val="single" w:sz="12" w:space="0" w:color="auto"/>
            </w:tcBorders>
            <w:vAlign w:val="center"/>
          </w:tcPr>
          <w:p w:rsidR="0033150F" w:rsidRPr="00A26CE1" w:rsidRDefault="0033150F" w:rsidP="00464271">
            <w:pPr>
              <w:tabs>
                <w:tab w:val="left" w:pos="9630"/>
              </w:tabs>
              <w:spacing w:line="259" w:lineRule="auto"/>
              <w:jc w:val="center"/>
              <w:rPr>
                <w:rFonts w:ascii="Arial" w:eastAsia="Arial" w:hAnsi="Arial" w:cs="Arial"/>
                <w:color w:val="000000"/>
                <w:lang w:val="en-US" w:eastAsia="en-US"/>
              </w:rPr>
            </w:pPr>
            <w:r w:rsidRPr="00A26CE1">
              <w:rPr>
                <w:rFonts w:ascii="Arial" w:eastAsia="Arial" w:hAnsi="Arial" w:cs="Arial"/>
                <w:color w:val="000000"/>
                <w:lang w:val="en-US" w:eastAsia="en-US"/>
              </w:rPr>
              <w:t xml:space="preserve"> </w:t>
            </w:r>
          </w:p>
          <w:p w:rsidR="0033150F" w:rsidRPr="00A26CE1" w:rsidRDefault="0033150F" w:rsidP="00464271">
            <w:pPr>
              <w:tabs>
                <w:tab w:val="left" w:pos="9630"/>
              </w:tabs>
              <w:spacing w:line="259" w:lineRule="auto"/>
              <w:jc w:val="center"/>
              <w:rPr>
                <w:rFonts w:ascii="Arial" w:eastAsia="Arial" w:hAnsi="Arial" w:cs="Arial"/>
                <w:color w:val="000000"/>
                <w:lang w:val="en-US" w:eastAsia="en-US"/>
              </w:rPr>
            </w:pPr>
            <w:r w:rsidRPr="00A26CE1">
              <w:rPr>
                <w:rFonts w:ascii="Arial" w:eastAsia="Arial" w:hAnsi="Arial" w:cs="Arial"/>
                <w:color w:val="000000"/>
                <w:lang w:val="en-US" w:eastAsia="en-US"/>
              </w:rPr>
              <w:t xml:space="preserve"> </w:t>
            </w:r>
          </w:p>
          <w:p w:rsidR="0033150F" w:rsidRPr="00A26CE1" w:rsidRDefault="0033150F" w:rsidP="00464271">
            <w:pPr>
              <w:tabs>
                <w:tab w:val="left" w:pos="9630"/>
              </w:tabs>
              <w:spacing w:line="259" w:lineRule="auto"/>
              <w:jc w:val="center"/>
              <w:rPr>
                <w:rFonts w:ascii="Arial" w:eastAsia="Arial" w:hAnsi="Arial" w:cs="Arial"/>
                <w:color w:val="000000"/>
                <w:lang w:val="en-US" w:eastAsia="en-US"/>
              </w:rPr>
            </w:pPr>
            <w:r w:rsidRPr="00A26CE1">
              <w:rPr>
                <w:rFonts w:ascii="Arial" w:eastAsia="Arial" w:hAnsi="Arial" w:cs="Arial"/>
                <w:color w:val="000000"/>
                <w:lang w:val="en-US" w:eastAsia="en-US"/>
              </w:rPr>
              <w:t xml:space="preserve">12,15 </w:t>
            </w:r>
          </w:p>
        </w:tc>
      </w:tr>
      <w:tr w:rsidR="0033150F" w:rsidRPr="00A26CE1" w:rsidTr="007D7B9A">
        <w:trPr>
          <w:trHeight w:val="262"/>
        </w:trPr>
        <w:tc>
          <w:tcPr>
            <w:tcW w:w="1747" w:type="dxa"/>
            <w:tcBorders>
              <w:left w:val="single" w:sz="12" w:space="0" w:color="auto"/>
              <w:right w:val="single" w:sz="12" w:space="0" w:color="auto"/>
            </w:tcBorders>
          </w:tcPr>
          <w:p w:rsidR="0033150F" w:rsidRPr="00A26CE1" w:rsidRDefault="0033150F" w:rsidP="00464271">
            <w:pPr>
              <w:tabs>
                <w:tab w:val="left" w:pos="9630"/>
              </w:tabs>
              <w:spacing w:line="259" w:lineRule="auto"/>
              <w:jc w:val="center"/>
              <w:rPr>
                <w:rFonts w:ascii="Arial" w:eastAsia="Arial" w:hAnsi="Arial" w:cs="Arial"/>
                <w:color w:val="000000"/>
                <w:lang w:val="en-US" w:eastAsia="en-US"/>
              </w:rPr>
            </w:pPr>
            <w:r w:rsidRPr="00A26CE1">
              <w:rPr>
                <w:rFonts w:ascii="Arial" w:eastAsia="Arial" w:hAnsi="Arial" w:cs="Arial"/>
                <w:b/>
                <w:color w:val="000000"/>
                <w:lang w:val="en-US" w:eastAsia="en-US"/>
              </w:rPr>
              <w:t xml:space="preserve">B </w:t>
            </w:r>
          </w:p>
        </w:tc>
        <w:tc>
          <w:tcPr>
            <w:tcW w:w="2533" w:type="dxa"/>
            <w:tcBorders>
              <w:left w:val="single" w:sz="12" w:space="0" w:color="auto"/>
            </w:tcBorders>
          </w:tcPr>
          <w:p w:rsidR="0033150F" w:rsidRPr="00A26CE1" w:rsidRDefault="0033150F" w:rsidP="00464271">
            <w:pPr>
              <w:tabs>
                <w:tab w:val="left" w:pos="9630"/>
              </w:tabs>
              <w:spacing w:line="259" w:lineRule="auto"/>
              <w:jc w:val="center"/>
              <w:rPr>
                <w:rFonts w:ascii="Arial" w:eastAsia="Arial" w:hAnsi="Arial" w:cs="Arial"/>
                <w:color w:val="000000"/>
                <w:lang w:val="en-US" w:eastAsia="en-US"/>
              </w:rPr>
            </w:pPr>
            <w:r w:rsidRPr="00A26CE1">
              <w:rPr>
                <w:rFonts w:ascii="Arial" w:eastAsia="Arial" w:hAnsi="Arial" w:cs="Arial"/>
                <w:color w:val="000000"/>
                <w:lang w:val="en-US" w:eastAsia="en-US"/>
              </w:rPr>
              <w:t xml:space="preserve">4 675 210 </w:t>
            </w:r>
          </w:p>
        </w:tc>
        <w:tc>
          <w:tcPr>
            <w:tcW w:w="1840" w:type="dxa"/>
            <w:tcBorders>
              <w:right w:val="single" w:sz="12" w:space="0" w:color="auto"/>
            </w:tcBorders>
          </w:tcPr>
          <w:p w:rsidR="0033150F" w:rsidRPr="00A26CE1" w:rsidRDefault="0033150F" w:rsidP="00464271">
            <w:pPr>
              <w:tabs>
                <w:tab w:val="left" w:pos="9630"/>
              </w:tabs>
              <w:spacing w:line="259" w:lineRule="auto"/>
              <w:jc w:val="center"/>
              <w:rPr>
                <w:rFonts w:ascii="Arial" w:eastAsia="Arial" w:hAnsi="Arial" w:cs="Arial"/>
                <w:color w:val="000000"/>
                <w:lang w:val="en-US" w:eastAsia="en-US"/>
              </w:rPr>
            </w:pPr>
            <w:r w:rsidRPr="00A26CE1">
              <w:rPr>
                <w:rFonts w:ascii="Arial" w:eastAsia="Arial" w:hAnsi="Arial" w:cs="Arial"/>
                <w:color w:val="000000"/>
                <w:lang w:val="en-US" w:eastAsia="en-US"/>
              </w:rPr>
              <w:t xml:space="preserve">6 583 500 </w:t>
            </w:r>
          </w:p>
        </w:tc>
        <w:tc>
          <w:tcPr>
            <w:tcW w:w="2437" w:type="dxa"/>
            <w:tcBorders>
              <w:left w:val="single" w:sz="12" w:space="0" w:color="auto"/>
              <w:right w:val="single" w:sz="12" w:space="0" w:color="auto"/>
            </w:tcBorders>
          </w:tcPr>
          <w:p w:rsidR="0033150F" w:rsidRPr="00A26CE1" w:rsidRDefault="0033150F" w:rsidP="00464271">
            <w:pPr>
              <w:tabs>
                <w:tab w:val="left" w:pos="9630"/>
              </w:tabs>
              <w:spacing w:line="259" w:lineRule="auto"/>
              <w:jc w:val="center"/>
              <w:rPr>
                <w:rFonts w:ascii="Arial" w:eastAsia="Arial" w:hAnsi="Arial" w:cs="Arial"/>
                <w:color w:val="000000"/>
                <w:lang w:val="en-US" w:eastAsia="en-US"/>
              </w:rPr>
            </w:pPr>
            <w:r w:rsidRPr="00A26CE1">
              <w:rPr>
                <w:rFonts w:ascii="Arial" w:eastAsia="Arial" w:hAnsi="Arial" w:cs="Arial"/>
                <w:color w:val="000000"/>
                <w:lang w:val="en-US" w:eastAsia="en-US"/>
              </w:rPr>
              <w:t xml:space="preserve">B – C = 250 </w:t>
            </w:r>
          </w:p>
        </w:tc>
        <w:tc>
          <w:tcPr>
            <w:tcW w:w="1613" w:type="dxa"/>
            <w:vMerge/>
            <w:tcBorders>
              <w:left w:val="single" w:sz="12" w:space="0" w:color="auto"/>
              <w:right w:val="single" w:sz="12" w:space="0" w:color="auto"/>
            </w:tcBorders>
          </w:tcPr>
          <w:p w:rsidR="0033150F" w:rsidRPr="00A26CE1" w:rsidRDefault="0033150F" w:rsidP="00464271">
            <w:pPr>
              <w:tabs>
                <w:tab w:val="left" w:pos="9630"/>
              </w:tabs>
              <w:spacing w:after="160" w:line="259" w:lineRule="auto"/>
              <w:rPr>
                <w:rFonts w:ascii="Arial" w:eastAsia="Arial" w:hAnsi="Arial" w:cs="Arial"/>
                <w:color w:val="000000"/>
                <w:lang w:val="en-US" w:eastAsia="en-US"/>
              </w:rPr>
            </w:pPr>
          </w:p>
        </w:tc>
      </w:tr>
      <w:tr w:rsidR="0033150F" w:rsidRPr="00A26CE1" w:rsidTr="007D7B9A">
        <w:trPr>
          <w:trHeight w:val="264"/>
        </w:trPr>
        <w:tc>
          <w:tcPr>
            <w:tcW w:w="1747" w:type="dxa"/>
            <w:tcBorders>
              <w:left w:val="single" w:sz="12" w:space="0" w:color="auto"/>
              <w:right w:val="single" w:sz="12" w:space="0" w:color="auto"/>
            </w:tcBorders>
          </w:tcPr>
          <w:p w:rsidR="0033150F" w:rsidRPr="00A26CE1" w:rsidRDefault="0033150F" w:rsidP="00464271">
            <w:pPr>
              <w:tabs>
                <w:tab w:val="left" w:pos="9630"/>
              </w:tabs>
              <w:spacing w:line="259" w:lineRule="auto"/>
              <w:jc w:val="center"/>
              <w:rPr>
                <w:rFonts w:ascii="Arial" w:eastAsia="Arial" w:hAnsi="Arial" w:cs="Arial"/>
                <w:color w:val="000000"/>
                <w:lang w:val="en-US" w:eastAsia="en-US"/>
              </w:rPr>
            </w:pPr>
            <w:r w:rsidRPr="00A26CE1">
              <w:rPr>
                <w:rFonts w:ascii="Arial" w:eastAsia="Arial" w:hAnsi="Arial" w:cs="Arial"/>
                <w:b/>
                <w:color w:val="000000"/>
                <w:lang w:val="en-US" w:eastAsia="en-US"/>
              </w:rPr>
              <w:t xml:space="preserve">C </w:t>
            </w:r>
          </w:p>
        </w:tc>
        <w:tc>
          <w:tcPr>
            <w:tcW w:w="2533" w:type="dxa"/>
            <w:tcBorders>
              <w:left w:val="single" w:sz="12" w:space="0" w:color="auto"/>
            </w:tcBorders>
          </w:tcPr>
          <w:p w:rsidR="0033150F" w:rsidRPr="00A26CE1" w:rsidRDefault="0033150F" w:rsidP="00464271">
            <w:pPr>
              <w:tabs>
                <w:tab w:val="left" w:pos="9630"/>
              </w:tabs>
              <w:spacing w:line="259" w:lineRule="auto"/>
              <w:jc w:val="center"/>
              <w:rPr>
                <w:rFonts w:ascii="Arial" w:eastAsia="Arial" w:hAnsi="Arial" w:cs="Arial"/>
                <w:color w:val="000000"/>
                <w:lang w:val="en-US" w:eastAsia="en-US"/>
              </w:rPr>
            </w:pPr>
            <w:r w:rsidRPr="00A26CE1">
              <w:rPr>
                <w:rFonts w:ascii="Arial" w:eastAsia="Arial" w:hAnsi="Arial" w:cs="Arial"/>
                <w:color w:val="000000"/>
                <w:lang w:val="en-US" w:eastAsia="en-US"/>
              </w:rPr>
              <w:t xml:space="preserve">4 675 280 </w:t>
            </w:r>
          </w:p>
        </w:tc>
        <w:tc>
          <w:tcPr>
            <w:tcW w:w="1840" w:type="dxa"/>
            <w:tcBorders>
              <w:right w:val="single" w:sz="12" w:space="0" w:color="auto"/>
            </w:tcBorders>
          </w:tcPr>
          <w:p w:rsidR="0033150F" w:rsidRPr="00A26CE1" w:rsidRDefault="0033150F" w:rsidP="00464271">
            <w:pPr>
              <w:tabs>
                <w:tab w:val="left" w:pos="9630"/>
              </w:tabs>
              <w:spacing w:line="259" w:lineRule="auto"/>
              <w:jc w:val="center"/>
              <w:rPr>
                <w:rFonts w:ascii="Arial" w:eastAsia="Arial" w:hAnsi="Arial" w:cs="Arial"/>
                <w:color w:val="000000"/>
                <w:lang w:val="en-US" w:eastAsia="en-US"/>
              </w:rPr>
            </w:pPr>
            <w:r w:rsidRPr="00A26CE1">
              <w:rPr>
                <w:rFonts w:ascii="Arial" w:eastAsia="Arial" w:hAnsi="Arial" w:cs="Arial"/>
                <w:color w:val="000000"/>
                <w:lang w:val="en-US" w:eastAsia="en-US"/>
              </w:rPr>
              <w:t xml:space="preserve">6 583 280 </w:t>
            </w:r>
          </w:p>
        </w:tc>
        <w:tc>
          <w:tcPr>
            <w:tcW w:w="2437" w:type="dxa"/>
            <w:tcBorders>
              <w:left w:val="single" w:sz="12" w:space="0" w:color="auto"/>
              <w:right w:val="single" w:sz="12" w:space="0" w:color="auto"/>
            </w:tcBorders>
          </w:tcPr>
          <w:p w:rsidR="0033150F" w:rsidRPr="00A26CE1" w:rsidRDefault="0033150F" w:rsidP="00464271">
            <w:pPr>
              <w:tabs>
                <w:tab w:val="left" w:pos="9630"/>
              </w:tabs>
              <w:spacing w:line="259" w:lineRule="auto"/>
              <w:jc w:val="center"/>
              <w:rPr>
                <w:rFonts w:ascii="Arial" w:eastAsia="Arial" w:hAnsi="Arial" w:cs="Arial"/>
                <w:color w:val="000000"/>
                <w:lang w:val="en-US" w:eastAsia="en-US"/>
              </w:rPr>
            </w:pPr>
            <w:r w:rsidRPr="00A26CE1">
              <w:rPr>
                <w:rFonts w:ascii="Arial" w:eastAsia="Arial" w:hAnsi="Arial" w:cs="Arial"/>
                <w:color w:val="000000"/>
                <w:lang w:val="en-US" w:eastAsia="en-US"/>
              </w:rPr>
              <w:t xml:space="preserve">C – D = 175 </w:t>
            </w:r>
          </w:p>
        </w:tc>
        <w:tc>
          <w:tcPr>
            <w:tcW w:w="1613" w:type="dxa"/>
            <w:vMerge/>
            <w:tcBorders>
              <w:left w:val="single" w:sz="12" w:space="0" w:color="auto"/>
              <w:right w:val="single" w:sz="12" w:space="0" w:color="auto"/>
            </w:tcBorders>
          </w:tcPr>
          <w:p w:rsidR="0033150F" w:rsidRPr="00A26CE1" w:rsidRDefault="0033150F" w:rsidP="00464271">
            <w:pPr>
              <w:tabs>
                <w:tab w:val="left" w:pos="9630"/>
              </w:tabs>
              <w:spacing w:after="160" w:line="259" w:lineRule="auto"/>
              <w:rPr>
                <w:rFonts w:ascii="Arial" w:eastAsia="Arial" w:hAnsi="Arial" w:cs="Arial"/>
                <w:color w:val="000000"/>
                <w:lang w:val="en-US" w:eastAsia="en-US"/>
              </w:rPr>
            </w:pPr>
          </w:p>
        </w:tc>
      </w:tr>
      <w:tr w:rsidR="0033150F" w:rsidRPr="00A26CE1" w:rsidTr="007D7B9A">
        <w:trPr>
          <w:trHeight w:val="286"/>
        </w:trPr>
        <w:tc>
          <w:tcPr>
            <w:tcW w:w="1747" w:type="dxa"/>
            <w:tcBorders>
              <w:left w:val="single" w:sz="12" w:space="0" w:color="auto"/>
              <w:right w:val="single" w:sz="12" w:space="0" w:color="auto"/>
            </w:tcBorders>
          </w:tcPr>
          <w:p w:rsidR="0033150F" w:rsidRPr="00A26CE1" w:rsidRDefault="0033150F" w:rsidP="00464271">
            <w:pPr>
              <w:tabs>
                <w:tab w:val="left" w:pos="9630"/>
              </w:tabs>
              <w:spacing w:line="259" w:lineRule="auto"/>
              <w:jc w:val="center"/>
              <w:rPr>
                <w:rFonts w:ascii="Arial" w:eastAsia="Arial" w:hAnsi="Arial" w:cs="Arial"/>
                <w:color w:val="000000"/>
                <w:lang w:val="en-US" w:eastAsia="en-US"/>
              </w:rPr>
            </w:pPr>
            <w:r w:rsidRPr="00A26CE1">
              <w:rPr>
                <w:rFonts w:ascii="Arial" w:eastAsia="Arial" w:hAnsi="Arial" w:cs="Arial"/>
                <w:b/>
                <w:color w:val="000000"/>
                <w:lang w:val="en-US" w:eastAsia="en-US"/>
              </w:rPr>
              <w:t xml:space="preserve">D </w:t>
            </w:r>
          </w:p>
        </w:tc>
        <w:tc>
          <w:tcPr>
            <w:tcW w:w="2533" w:type="dxa"/>
            <w:tcBorders>
              <w:left w:val="single" w:sz="12" w:space="0" w:color="auto"/>
            </w:tcBorders>
          </w:tcPr>
          <w:p w:rsidR="0033150F" w:rsidRPr="00A26CE1" w:rsidRDefault="0033150F" w:rsidP="00464271">
            <w:pPr>
              <w:tabs>
                <w:tab w:val="left" w:pos="9630"/>
              </w:tabs>
              <w:spacing w:line="259" w:lineRule="auto"/>
              <w:jc w:val="center"/>
              <w:rPr>
                <w:rFonts w:ascii="Arial" w:eastAsia="Arial" w:hAnsi="Arial" w:cs="Arial"/>
                <w:color w:val="000000"/>
                <w:lang w:val="en-US" w:eastAsia="en-US"/>
              </w:rPr>
            </w:pPr>
            <w:r w:rsidRPr="00A26CE1">
              <w:rPr>
                <w:rFonts w:ascii="Arial" w:eastAsia="Arial" w:hAnsi="Arial" w:cs="Arial"/>
                <w:color w:val="000000"/>
                <w:lang w:val="en-US" w:eastAsia="en-US"/>
              </w:rPr>
              <w:t xml:space="preserve">4 675 230 </w:t>
            </w:r>
          </w:p>
        </w:tc>
        <w:tc>
          <w:tcPr>
            <w:tcW w:w="1840" w:type="dxa"/>
            <w:tcBorders>
              <w:right w:val="single" w:sz="12" w:space="0" w:color="auto"/>
            </w:tcBorders>
          </w:tcPr>
          <w:p w:rsidR="0033150F" w:rsidRPr="00A26CE1" w:rsidRDefault="0033150F" w:rsidP="00464271">
            <w:pPr>
              <w:tabs>
                <w:tab w:val="left" w:pos="9630"/>
              </w:tabs>
              <w:spacing w:line="259" w:lineRule="auto"/>
              <w:jc w:val="center"/>
              <w:rPr>
                <w:rFonts w:ascii="Arial" w:eastAsia="Arial" w:hAnsi="Arial" w:cs="Arial"/>
                <w:color w:val="000000"/>
                <w:lang w:val="en-US" w:eastAsia="en-US"/>
              </w:rPr>
            </w:pPr>
            <w:r w:rsidRPr="00A26CE1">
              <w:rPr>
                <w:rFonts w:ascii="Arial" w:eastAsia="Arial" w:hAnsi="Arial" w:cs="Arial"/>
                <w:color w:val="000000"/>
                <w:lang w:val="en-US" w:eastAsia="en-US"/>
              </w:rPr>
              <w:t xml:space="preserve">6 583 100 </w:t>
            </w:r>
          </w:p>
        </w:tc>
        <w:tc>
          <w:tcPr>
            <w:tcW w:w="2437" w:type="dxa"/>
            <w:tcBorders>
              <w:left w:val="single" w:sz="12" w:space="0" w:color="auto"/>
              <w:right w:val="single" w:sz="12" w:space="0" w:color="auto"/>
            </w:tcBorders>
          </w:tcPr>
          <w:p w:rsidR="0033150F" w:rsidRPr="00A26CE1" w:rsidRDefault="0033150F" w:rsidP="00464271">
            <w:pPr>
              <w:tabs>
                <w:tab w:val="left" w:pos="9630"/>
              </w:tabs>
              <w:spacing w:line="259" w:lineRule="auto"/>
              <w:jc w:val="center"/>
              <w:rPr>
                <w:rFonts w:ascii="Arial" w:eastAsia="Arial" w:hAnsi="Arial" w:cs="Arial"/>
                <w:color w:val="000000"/>
                <w:lang w:val="en-US" w:eastAsia="en-US"/>
              </w:rPr>
            </w:pPr>
            <w:r w:rsidRPr="00A26CE1">
              <w:rPr>
                <w:rFonts w:ascii="Arial" w:eastAsia="Arial" w:hAnsi="Arial" w:cs="Arial"/>
                <w:color w:val="000000"/>
                <w:lang w:val="en-US" w:eastAsia="en-US"/>
              </w:rPr>
              <w:t xml:space="preserve">D – E = 225 </w:t>
            </w:r>
          </w:p>
        </w:tc>
        <w:tc>
          <w:tcPr>
            <w:tcW w:w="1613" w:type="dxa"/>
            <w:vMerge/>
            <w:tcBorders>
              <w:left w:val="single" w:sz="12" w:space="0" w:color="auto"/>
              <w:right w:val="single" w:sz="12" w:space="0" w:color="auto"/>
            </w:tcBorders>
          </w:tcPr>
          <w:p w:rsidR="0033150F" w:rsidRPr="00A26CE1" w:rsidRDefault="0033150F" w:rsidP="00464271">
            <w:pPr>
              <w:tabs>
                <w:tab w:val="left" w:pos="9630"/>
              </w:tabs>
              <w:spacing w:after="160" w:line="259" w:lineRule="auto"/>
              <w:rPr>
                <w:rFonts w:ascii="Arial" w:eastAsia="Arial" w:hAnsi="Arial" w:cs="Arial"/>
                <w:color w:val="000000"/>
                <w:lang w:val="en-US" w:eastAsia="en-US"/>
              </w:rPr>
            </w:pPr>
          </w:p>
        </w:tc>
      </w:tr>
      <w:tr w:rsidR="0033150F" w:rsidRPr="00A26CE1" w:rsidTr="007D7B9A">
        <w:trPr>
          <w:trHeight w:val="296"/>
        </w:trPr>
        <w:tc>
          <w:tcPr>
            <w:tcW w:w="1747" w:type="dxa"/>
            <w:tcBorders>
              <w:left w:val="single" w:sz="12" w:space="0" w:color="auto"/>
              <w:bottom w:val="single" w:sz="12" w:space="0" w:color="auto"/>
              <w:right w:val="single" w:sz="12" w:space="0" w:color="auto"/>
            </w:tcBorders>
          </w:tcPr>
          <w:p w:rsidR="0033150F" w:rsidRPr="00A26CE1" w:rsidRDefault="0033150F" w:rsidP="00464271">
            <w:pPr>
              <w:tabs>
                <w:tab w:val="left" w:pos="9630"/>
              </w:tabs>
              <w:spacing w:line="259" w:lineRule="auto"/>
              <w:ind w:right="2"/>
              <w:jc w:val="center"/>
              <w:rPr>
                <w:rFonts w:ascii="Arial" w:eastAsia="Arial" w:hAnsi="Arial" w:cs="Arial"/>
                <w:color w:val="000000"/>
                <w:lang w:val="en-US" w:eastAsia="en-US"/>
              </w:rPr>
            </w:pPr>
            <w:r w:rsidRPr="00A26CE1">
              <w:rPr>
                <w:rFonts w:ascii="Arial" w:eastAsia="Arial" w:hAnsi="Arial" w:cs="Arial"/>
                <w:b/>
                <w:color w:val="000000"/>
                <w:lang w:val="en-US" w:eastAsia="en-US"/>
              </w:rPr>
              <w:t xml:space="preserve">E </w:t>
            </w:r>
          </w:p>
        </w:tc>
        <w:tc>
          <w:tcPr>
            <w:tcW w:w="2533" w:type="dxa"/>
            <w:tcBorders>
              <w:left w:val="single" w:sz="12" w:space="0" w:color="auto"/>
              <w:bottom w:val="single" w:sz="12" w:space="0" w:color="auto"/>
            </w:tcBorders>
          </w:tcPr>
          <w:p w:rsidR="0033150F" w:rsidRPr="00A26CE1" w:rsidRDefault="0033150F" w:rsidP="00464271">
            <w:pPr>
              <w:tabs>
                <w:tab w:val="left" w:pos="9630"/>
              </w:tabs>
              <w:spacing w:line="259" w:lineRule="auto"/>
              <w:jc w:val="center"/>
              <w:rPr>
                <w:rFonts w:ascii="Arial" w:eastAsia="Arial" w:hAnsi="Arial" w:cs="Arial"/>
                <w:color w:val="000000"/>
                <w:lang w:val="en-US" w:eastAsia="en-US"/>
              </w:rPr>
            </w:pPr>
            <w:r w:rsidRPr="00A26CE1">
              <w:rPr>
                <w:rFonts w:ascii="Arial" w:eastAsia="Arial" w:hAnsi="Arial" w:cs="Arial"/>
                <w:color w:val="000000"/>
                <w:lang w:val="en-US" w:eastAsia="en-US"/>
              </w:rPr>
              <w:t xml:space="preserve">4 675 000 </w:t>
            </w:r>
          </w:p>
        </w:tc>
        <w:tc>
          <w:tcPr>
            <w:tcW w:w="1840" w:type="dxa"/>
            <w:tcBorders>
              <w:bottom w:val="single" w:sz="12" w:space="0" w:color="auto"/>
              <w:right w:val="single" w:sz="12" w:space="0" w:color="auto"/>
            </w:tcBorders>
          </w:tcPr>
          <w:p w:rsidR="0033150F" w:rsidRPr="00A26CE1" w:rsidRDefault="0033150F" w:rsidP="00464271">
            <w:pPr>
              <w:tabs>
                <w:tab w:val="left" w:pos="9630"/>
              </w:tabs>
              <w:spacing w:line="259" w:lineRule="auto"/>
              <w:jc w:val="center"/>
              <w:rPr>
                <w:rFonts w:ascii="Arial" w:eastAsia="Arial" w:hAnsi="Arial" w:cs="Arial"/>
                <w:color w:val="000000"/>
                <w:lang w:val="en-US" w:eastAsia="en-US"/>
              </w:rPr>
            </w:pPr>
            <w:r w:rsidRPr="00A26CE1">
              <w:rPr>
                <w:rFonts w:ascii="Arial" w:eastAsia="Arial" w:hAnsi="Arial" w:cs="Arial"/>
                <w:color w:val="000000"/>
                <w:lang w:val="en-US" w:eastAsia="en-US"/>
              </w:rPr>
              <w:t xml:space="preserve">6 583 100 </w:t>
            </w:r>
          </w:p>
        </w:tc>
        <w:tc>
          <w:tcPr>
            <w:tcW w:w="2437" w:type="dxa"/>
            <w:tcBorders>
              <w:left w:val="single" w:sz="12" w:space="0" w:color="auto"/>
              <w:bottom w:val="single" w:sz="12" w:space="0" w:color="auto"/>
              <w:right w:val="single" w:sz="12" w:space="0" w:color="auto"/>
            </w:tcBorders>
          </w:tcPr>
          <w:p w:rsidR="0033150F" w:rsidRPr="00A26CE1" w:rsidRDefault="0033150F" w:rsidP="00464271">
            <w:pPr>
              <w:tabs>
                <w:tab w:val="left" w:pos="9630"/>
              </w:tabs>
              <w:spacing w:line="259" w:lineRule="auto"/>
              <w:jc w:val="center"/>
              <w:rPr>
                <w:rFonts w:ascii="Arial" w:eastAsia="Arial" w:hAnsi="Arial" w:cs="Arial"/>
                <w:color w:val="000000"/>
                <w:lang w:val="en-US" w:eastAsia="en-US"/>
              </w:rPr>
            </w:pPr>
            <w:r w:rsidRPr="00A26CE1">
              <w:rPr>
                <w:rFonts w:ascii="Arial" w:eastAsia="Arial" w:hAnsi="Arial" w:cs="Arial"/>
                <w:color w:val="000000"/>
                <w:lang w:val="en-US" w:eastAsia="en-US"/>
              </w:rPr>
              <w:t xml:space="preserve">E – A = 400 </w:t>
            </w:r>
          </w:p>
        </w:tc>
        <w:tc>
          <w:tcPr>
            <w:tcW w:w="1613" w:type="dxa"/>
            <w:vMerge/>
            <w:tcBorders>
              <w:left w:val="single" w:sz="12" w:space="0" w:color="auto"/>
              <w:bottom w:val="single" w:sz="12" w:space="0" w:color="auto"/>
              <w:right w:val="single" w:sz="12" w:space="0" w:color="auto"/>
            </w:tcBorders>
          </w:tcPr>
          <w:p w:rsidR="0033150F" w:rsidRPr="00A26CE1" w:rsidRDefault="0033150F" w:rsidP="00464271">
            <w:pPr>
              <w:tabs>
                <w:tab w:val="left" w:pos="9630"/>
              </w:tabs>
              <w:spacing w:after="160" w:line="259" w:lineRule="auto"/>
              <w:rPr>
                <w:rFonts w:ascii="Arial" w:eastAsia="Arial" w:hAnsi="Arial" w:cs="Arial"/>
                <w:color w:val="000000"/>
                <w:lang w:val="en-US" w:eastAsia="en-US"/>
              </w:rPr>
            </w:pPr>
          </w:p>
        </w:tc>
      </w:tr>
    </w:tbl>
    <w:p w:rsidR="0033150F" w:rsidRPr="00A26CE1" w:rsidRDefault="0033150F" w:rsidP="0033150F">
      <w:pPr>
        <w:tabs>
          <w:tab w:val="left" w:pos="9630"/>
        </w:tabs>
        <w:spacing w:after="0" w:line="259" w:lineRule="auto"/>
        <w:rPr>
          <w:rFonts w:ascii="Arial" w:eastAsia="Arial" w:hAnsi="Arial" w:cs="Arial"/>
          <w:color w:val="000000"/>
          <w:lang w:val="en-US" w:eastAsia="en-US"/>
        </w:rPr>
      </w:pPr>
      <w:r w:rsidRPr="00A26CE1">
        <w:rPr>
          <w:rFonts w:ascii="Arial" w:eastAsia="Arial" w:hAnsi="Arial" w:cs="Arial"/>
          <w:color w:val="000000"/>
          <w:lang w:val="en-US" w:eastAsia="en-US"/>
        </w:rPr>
        <w:t xml:space="preserve"> </w:t>
      </w:r>
    </w:p>
    <w:p w:rsidR="0033150F" w:rsidRPr="00A26CE1" w:rsidRDefault="0033150F" w:rsidP="00626FC8">
      <w:pPr>
        <w:spacing w:before="120" w:after="0" w:line="266" w:lineRule="auto"/>
        <w:ind w:right="28"/>
        <w:jc w:val="both"/>
        <w:rPr>
          <w:rFonts w:ascii="Arial" w:eastAsia="Arial" w:hAnsi="Arial" w:cs="Arial"/>
          <w:color w:val="000000"/>
          <w:lang w:val="en-US" w:eastAsia="en-US"/>
        </w:rPr>
      </w:pPr>
      <w:r w:rsidRPr="00A26CE1">
        <w:rPr>
          <w:rFonts w:ascii="Arial" w:eastAsia="Arial" w:hAnsi="Arial" w:cs="Arial"/>
          <w:color w:val="000000"/>
          <w:lang w:val="en-US" w:eastAsia="en-US"/>
        </w:rPr>
        <w:t>Na osnovu podataka sa zvaničnog sajta Uprave za nekretnine kroz on-line pristup podacima iz katastarskih evidencija u realnom vremenu putem web pregledača, kroz web aplikaciju e-Katastar, utvrđeno je da je veći dio zemljišta na kojem se nalazi istražno-eksploatacioni prostor</w:t>
      </w:r>
      <w:r w:rsidR="009A6D6C" w:rsidRPr="00A26CE1">
        <w:rPr>
          <w:rFonts w:ascii="Arial" w:eastAsia="Arial" w:hAnsi="Arial" w:cs="Arial"/>
          <w:color w:val="000000"/>
          <w:lang w:val="en-US" w:eastAsia="en-US"/>
        </w:rPr>
        <w:t xml:space="preserve"> u državnoj svojini.</w:t>
      </w:r>
    </w:p>
    <w:p w:rsidR="0033150F" w:rsidRPr="00A26CE1" w:rsidRDefault="0033150F" w:rsidP="00626FC8">
      <w:pPr>
        <w:spacing w:before="120" w:after="0" w:line="266" w:lineRule="auto"/>
        <w:ind w:right="28"/>
        <w:jc w:val="both"/>
        <w:rPr>
          <w:rFonts w:ascii="Arial" w:eastAsia="Arial" w:hAnsi="Arial" w:cs="Arial"/>
          <w:color w:val="000000"/>
          <w:lang w:val="en-US" w:eastAsia="en-US"/>
        </w:rPr>
      </w:pPr>
      <w:r w:rsidRPr="00A26CE1">
        <w:rPr>
          <w:rFonts w:ascii="Arial" w:eastAsia="Arial" w:hAnsi="Arial" w:cs="Arial"/>
          <w:color w:val="000000"/>
          <w:lang w:val="en-US" w:eastAsia="en-US"/>
        </w:rPr>
        <w:t xml:space="preserve">Veći dio zemljišta </w:t>
      </w:r>
      <w:proofErr w:type="gramStart"/>
      <w:r w:rsidRPr="00A26CE1">
        <w:rPr>
          <w:rFonts w:ascii="Arial" w:eastAsia="Arial" w:hAnsi="Arial" w:cs="Arial"/>
          <w:color w:val="000000"/>
          <w:lang w:val="en-US" w:eastAsia="en-US"/>
        </w:rPr>
        <w:t>na</w:t>
      </w:r>
      <w:proofErr w:type="gramEnd"/>
      <w:r w:rsidRPr="00A26CE1">
        <w:rPr>
          <w:rFonts w:ascii="Arial" w:eastAsia="Arial" w:hAnsi="Arial" w:cs="Arial"/>
          <w:color w:val="000000"/>
          <w:lang w:val="en-US" w:eastAsia="en-US"/>
        </w:rPr>
        <w:t xml:space="preserve"> kojem je predmetno le</w:t>
      </w:r>
      <w:r w:rsidR="009A6D6C" w:rsidRPr="00A26CE1">
        <w:rPr>
          <w:rFonts w:ascii="Arial" w:eastAsia="Arial" w:hAnsi="Arial" w:cs="Arial"/>
          <w:color w:val="000000"/>
          <w:lang w:val="en-US" w:eastAsia="en-US"/>
        </w:rPr>
        <w:t xml:space="preserve">žište je u državnom vlasništvu </w:t>
      </w:r>
      <w:r w:rsidRPr="00A26CE1">
        <w:rPr>
          <w:rFonts w:ascii="Arial" w:eastAsia="Arial" w:hAnsi="Arial" w:cs="Arial"/>
          <w:color w:val="000000"/>
          <w:lang w:val="en-US" w:eastAsia="en-US"/>
        </w:rPr>
        <w:t>posjedovni list br.331</w:t>
      </w:r>
      <w:r w:rsidR="00E01158">
        <w:rPr>
          <w:rFonts w:ascii="Arial" w:eastAsia="Arial" w:hAnsi="Arial" w:cs="Arial"/>
          <w:color w:val="000000"/>
          <w:lang w:val="en-US" w:eastAsia="en-US"/>
        </w:rPr>
        <w:t xml:space="preserve">, a cilj je </w:t>
      </w:r>
      <w:r w:rsidR="009A6D6C" w:rsidRPr="00A26CE1">
        <w:rPr>
          <w:rFonts w:ascii="Arial" w:eastAsia="Arial" w:hAnsi="Arial" w:cs="Arial"/>
          <w:color w:val="000000"/>
          <w:lang w:val="en-US" w:eastAsia="en-US"/>
        </w:rPr>
        <w:t xml:space="preserve">da se u kasnijim fazama </w:t>
      </w:r>
      <w:r w:rsidR="00CB29BF" w:rsidRPr="00A26CE1">
        <w:rPr>
          <w:rFonts w:ascii="Arial" w:eastAsia="Arial" w:hAnsi="Arial" w:cs="Arial"/>
          <w:color w:val="000000"/>
          <w:lang w:val="en-US" w:eastAsia="en-US"/>
        </w:rPr>
        <w:t>realizacije</w:t>
      </w:r>
      <w:r w:rsidR="00A379FF" w:rsidRPr="00A26CE1">
        <w:rPr>
          <w:rFonts w:ascii="Arial" w:eastAsia="Arial" w:hAnsi="Arial" w:cs="Arial"/>
          <w:color w:val="000000"/>
          <w:lang w:val="en-US" w:eastAsia="en-US"/>
        </w:rPr>
        <w:t>,</w:t>
      </w:r>
      <w:r w:rsidR="00CB29BF" w:rsidRPr="00A26CE1">
        <w:rPr>
          <w:rFonts w:ascii="Arial" w:eastAsia="Arial" w:hAnsi="Arial" w:cs="Arial"/>
          <w:color w:val="000000"/>
          <w:lang w:val="en-US" w:eastAsia="en-US"/>
        </w:rPr>
        <w:t xml:space="preserve"> </w:t>
      </w:r>
      <w:r w:rsidR="009A6D6C" w:rsidRPr="00A26CE1">
        <w:rPr>
          <w:rFonts w:ascii="Arial" w:eastAsia="Arial" w:hAnsi="Arial" w:cs="Arial"/>
          <w:color w:val="000000"/>
          <w:lang w:val="en-US" w:eastAsia="en-US"/>
        </w:rPr>
        <w:t xml:space="preserve">koriguju koordinate </w:t>
      </w:r>
      <w:r w:rsidR="00626FC8" w:rsidRPr="00A26CE1">
        <w:rPr>
          <w:rFonts w:ascii="Arial" w:eastAsia="Arial" w:hAnsi="Arial" w:cs="Arial"/>
          <w:color w:val="000000"/>
          <w:lang w:val="en-US" w:eastAsia="en-US"/>
        </w:rPr>
        <w:t>na način da se istražno-</w:t>
      </w:r>
      <w:r w:rsidR="009A6D6C" w:rsidRPr="00A26CE1">
        <w:rPr>
          <w:rFonts w:ascii="Arial" w:eastAsia="Arial" w:hAnsi="Arial" w:cs="Arial"/>
          <w:color w:val="000000"/>
          <w:lang w:val="en-US" w:eastAsia="en-US"/>
        </w:rPr>
        <w:t>ek</w:t>
      </w:r>
      <w:r w:rsidR="00CB29BF" w:rsidRPr="00A26CE1">
        <w:rPr>
          <w:rFonts w:ascii="Arial" w:eastAsia="Arial" w:hAnsi="Arial" w:cs="Arial"/>
          <w:color w:val="000000"/>
          <w:lang w:val="en-US" w:eastAsia="en-US"/>
        </w:rPr>
        <w:t>s</w:t>
      </w:r>
      <w:r w:rsidR="009A6D6C" w:rsidRPr="00A26CE1">
        <w:rPr>
          <w:rFonts w:ascii="Arial" w:eastAsia="Arial" w:hAnsi="Arial" w:cs="Arial"/>
          <w:color w:val="000000"/>
          <w:lang w:val="en-US" w:eastAsia="en-US"/>
        </w:rPr>
        <w:t xml:space="preserve">ploatacioni prostor </w:t>
      </w:r>
      <w:r w:rsidR="00A379FF" w:rsidRPr="00A26CE1">
        <w:rPr>
          <w:rFonts w:ascii="Arial" w:eastAsia="Arial" w:hAnsi="Arial" w:cs="Arial"/>
          <w:color w:val="000000"/>
          <w:lang w:val="en-US" w:eastAsia="en-US"/>
        </w:rPr>
        <w:t xml:space="preserve">najvećim dijelom </w:t>
      </w:r>
      <w:r w:rsidR="009A6D6C" w:rsidRPr="00A26CE1">
        <w:rPr>
          <w:rFonts w:ascii="Arial" w:eastAsia="Arial" w:hAnsi="Arial" w:cs="Arial"/>
          <w:color w:val="000000"/>
          <w:lang w:val="en-US" w:eastAsia="en-US"/>
        </w:rPr>
        <w:t>nalazi na državnom zemljištu.</w:t>
      </w:r>
    </w:p>
    <w:p w:rsidR="00626FC8" w:rsidRPr="00A26CE1" w:rsidRDefault="0033150F" w:rsidP="00626FC8">
      <w:pPr>
        <w:tabs>
          <w:tab w:val="left" w:pos="9630"/>
        </w:tabs>
        <w:spacing w:before="120" w:after="0" w:line="266" w:lineRule="auto"/>
        <w:ind w:right="28"/>
        <w:jc w:val="both"/>
        <w:rPr>
          <w:rFonts w:ascii="Arial" w:eastAsia="Arial" w:hAnsi="Arial" w:cs="Arial"/>
          <w:color w:val="000000"/>
          <w:lang w:val="en-US" w:eastAsia="en-US"/>
        </w:rPr>
      </w:pPr>
      <w:r w:rsidRPr="00A26CE1">
        <w:rPr>
          <w:rFonts w:ascii="Arial" w:eastAsia="Arial" w:hAnsi="Arial" w:cs="Arial"/>
          <w:color w:val="000000"/>
          <w:lang w:val="en-US" w:eastAsia="en-US"/>
        </w:rPr>
        <w:t xml:space="preserve">Na osnovu analogije </w:t>
      </w:r>
      <w:proofErr w:type="gramStart"/>
      <w:r w:rsidRPr="00A26CE1">
        <w:rPr>
          <w:rFonts w:ascii="Arial" w:eastAsia="Arial" w:hAnsi="Arial" w:cs="Arial"/>
          <w:color w:val="000000"/>
          <w:lang w:val="en-US" w:eastAsia="en-US"/>
        </w:rPr>
        <w:t>sa</w:t>
      </w:r>
      <w:proofErr w:type="gramEnd"/>
      <w:r w:rsidRPr="00A26CE1">
        <w:rPr>
          <w:rFonts w:ascii="Arial" w:eastAsia="Arial" w:hAnsi="Arial" w:cs="Arial"/>
          <w:color w:val="000000"/>
          <w:lang w:val="en-US" w:eastAsia="en-US"/>
        </w:rPr>
        <w:t xml:space="preserve"> bliskim ležištima, može se zaključiti da se radi o veoma perspektivnom ležištu kvalitetne mineralne sirovine, sa procijenjenim rezervama od 1.430.000 tona. </w:t>
      </w:r>
    </w:p>
    <w:p w:rsidR="0033150F" w:rsidRPr="00A26CE1" w:rsidRDefault="00626FC8" w:rsidP="00626FC8">
      <w:pPr>
        <w:tabs>
          <w:tab w:val="left" w:pos="9630"/>
        </w:tabs>
        <w:spacing w:before="120" w:after="0" w:line="266" w:lineRule="auto"/>
        <w:ind w:right="28"/>
        <w:jc w:val="both"/>
        <w:rPr>
          <w:rFonts w:ascii="Arial" w:eastAsia="Arial" w:hAnsi="Arial" w:cs="Arial"/>
          <w:color w:val="000000"/>
          <w:lang w:val="en-US" w:eastAsia="en-US"/>
        </w:rPr>
      </w:pPr>
      <w:r w:rsidRPr="00A26CE1">
        <w:rPr>
          <w:rFonts w:ascii="Arial" w:eastAsia="Arial" w:hAnsi="Arial" w:cs="Arial"/>
          <w:color w:val="000000"/>
          <w:lang w:val="en-US" w:eastAsia="en-US"/>
        </w:rPr>
        <w:t>Shodno dosadašnjim ispitivanjima, osnovna orjentacija primjene bentonita je usmjerena ka proizvodima za dubinsko bušenje i injektiranje, za proizvodnju punila, pesticida i sredstava za bistrenje pića.</w:t>
      </w:r>
    </w:p>
    <w:p w:rsidR="0033150F" w:rsidRPr="00A26CE1" w:rsidRDefault="0033150F" w:rsidP="0033150F">
      <w:pPr>
        <w:tabs>
          <w:tab w:val="left" w:pos="10170"/>
        </w:tabs>
        <w:spacing w:after="0" w:line="259" w:lineRule="auto"/>
        <w:rPr>
          <w:rFonts w:ascii="Arial" w:eastAsia="Arial" w:hAnsi="Arial" w:cs="Arial"/>
          <w:color w:val="000000"/>
          <w:lang w:val="en-US" w:eastAsia="en-US"/>
        </w:rPr>
      </w:pPr>
    </w:p>
    <w:p w:rsidR="0033150F" w:rsidRPr="008106BF" w:rsidRDefault="0033150F" w:rsidP="0033150F">
      <w:pPr>
        <w:tabs>
          <w:tab w:val="left" w:pos="9630"/>
        </w:tabs>
        <w:spacing w:after="0"/>
        <w:jc w:val="both"/>
        <w:rPr>
          <w:rFonts w:ascii="Arial" w:hAnsi="Arial" w:cs="Arial"/>
          <w:b/>
          <w:i/>
          <w:lang w:val="sr-Latn-CS"/>
        </w:rPr>
      </w:pPr>
      <w:r w:rsidRPr="008106BF">
        <w:rPr>
          <w:rFonts w:ascii="Arial" w:hAnsi="Arial" w:cs="Arial"/>
          <w:b/>
          <w:i/>
          <w:lang w:val="sr-Latn-CS"/>
        </w:rPr>
        <w:t>Prostorno-urbanistička dokumentacija</w:t>
      </w:r>
    </w:p>
    <w:p w:rsidR="009238F1" w:rsidRDefault="009238F1" w:rsidP="009238F1">
      <w:pPr>
        <w:spacing w:before="120" w:after="0"/>
        <w:jc w:val="both"/>
        <w:rPr>
          <w:rFonts w:ascii="Arial" w:hAnsi="Arial" w:cs="Arial"/>
          <w:b/>
        </w:rPr>
      </w:pPr>
      <w:r w:rsidRPr="00A26CE1">
        <w:rPr>
          <w:rFonts w:ascii="Arial" w:hAnsi="Arial" w:cs="Arial"/>
        </w:rPr>
        <w:t xml:space="preserve">Shodno Prostornom planu posebne namjene za Obalno područje Crne Gore </w:t>
      </w:r>
      <w:r w:rsidRPr="00A26CE1">
        <w:rPr>
          <w:rFonts w:ascii="Arial" w:hAnsi="Arial" w:cs="Arial"/>
          <w:i/>
        </w:rPr>
        <w:t xml:space="preserve">(„Službeni list Crne Gore, br. 56/18), </w:t>
      </w:r>
      <w:r w:rsidRPr="00A26CE1">
        <w:rPr>
          <w:rFonts w:ascii="Arial" w:hAnsi="Arial" w:cs="Arial"/>
        </w:rPr>
        <w:t>u tekstualnom dijelu plana, poglavlju 7.3 Pregled ležišta mineralnih sirovina, lokalitet „Bijele šume“ je definisan kao koncesioni prostor.</w:t>
      </w:r>
      <w:r w:rsidRPr="00A26CE1">
        <w:rPr>
          <w:rFonts w:ascii="Arial" w:hAnsi="Arial" w:cs="Arial"/>
          <w:b/>
        </w:rPr>
        <w:t xml:space="preserve"> </w:t>
      </w:r>
    </w:p>
    <w:p w:rsidR="009826EE" w:rsidRDefault="009826EE" w:rsidP="009238F1">
      <w:pPr>
        <w:spacing w:before="120" w:after="0"/>
        <w:jc w:val="both"/>
        <w:rPr>
          <w:rFonts w:ascii="Arial" w:hAnsi="Arial" w:cs="Arial"/>
        </w:rPr>
      </w:pPr>
      <w:r w:rsidRPr="009826EE">
        <w:rPr>
          <w:rFonts w:ascii="Arial" w:hAnsi="Arial" w:cs="Arial"/>
        </w:rPr>
        <w:t>Izvod iz pomenu</w:t>
      </w:r>
      <w:r>
        <w:rPr>
          <w:rFonts w:ascii="Arial" w:hAnsi="Arial" w:cs="Arial"/>
        </w:rPr>
        <w:t xml:space="preserve">tog Plana u dijelu potvrde namjene u prostoru Ministarstvo ekonomije </w:t>
      </w:r>
      <w:proofErr w:type="gramStart"/>
      <w:r>
        <w:rPr>
          <w:rFonts w:ascii="Arial" w:hAnsi="Arial" w:cs="Arial"/>
        </w:rPr>
        <w:t>će</w:t>
      </w:r>
      <w:proofErr w:type="gramEnd"/>
      <w:r>
        <w:rPr>
          <w:rFonts w:ascii="Arial" w:hAnsi="Arial" w:cs="Arial"/>
        </w:rPr>
        <w:t xml:space="preserve"> pribaviti tokom javne rasprave od nadležnog Ministarstva odrzivog razvoja i turizma.</w:t>
      </w:r>
    </w:p>
    <w:p w:rsidR="009826EE" w:rsidRPr="009826EE" w:rsidRDefault="009826EE" w:rsidP="009238F1">
      <w:pPr>
        <w:spacing w:before="120" w:after="0"/>
        <w:jc w:val="both"/>
        <w:rPr>
          <w:rFonts w:ascii="Arial" w:hAnsi="Arial" w:cs="Arial"/>
        </w:rPr>
      </w:pPr>
      <w:r>
        <w:rPr>
          <w:rFonts w:ascii="Arial" w:hAnsi="Arial" w:cs="Arial"/>
        </w:rPr>
        <w:t xml:space="preserve">Takođe, </w:t>
      </w:r>
      <w:proofErr w:type="gramStart"/>
      <w:r>
        <w:rPr>
          <w:rFonts w:ascii="Arial" w:hAnsi="Arial" w:cs="Arial"/>
        </w:rPr>
        <w:t>od</w:t>
      </w:r>
      <w:proofErr w:type="gramEnd"/>
      <w:r>
        <w:rPr>
          <w:rFonts w:ascii="Arial" w:hAnsi="Arial" w:cs="Arial"/>
        </w:rPr>
        <w:t xml:space="preserve"> Uprave za zaštitu kulturnih dobara Ministarstvo</w:t>
      </w:r>
      <w:r w:rsidRPr="009826EE">
        <w:rPr>
          <w:rFonts w:ascii="Arial" w:hAnsi="Arial" w:cs="Arial"/>
        </w:rPr>
        <w:t xml:space="preserve"> ekonomije </w:t>
      </w:r>
      <w:r>
        <w:rPr>
          <w:rFonts w:ascii="Arial" w:hAnsi="Arial" w:cs="Arial"/>
        </w:rPr>
        <w:t xml:space="preserve">će pribaviti mišljenje da li se u predmetnom zahvatu nalaze zakonom zaštićena kulturna dobra ili dobra sa </w:t>
      </w:r>
      <w:r w:rsidRPr="009826EE">
        <w:rPr>
          <w:rFonts w:ascii="Arial" w:hAnsi="Arial" w:cs="Arial"/>
        </w:rPr>
        <w:t>potencijalnim kulturnim vrijednostima</w:t>
      </w:r>
      <w:r>
        <w:rPr>
          <w:rFonts w:ascii="Arial" w:hAnsi="Arial" w:cs="Arial"/>
        </w:rPr>
        <w:t>.</w:t>
      </w:r>
    </w:p>
    <w:p w:rsidR="009238F1" w:rsidRPr="00A26CE1" w:rsidRDefault="009238F1" w:rsidP="001B4358">
      <w:pPr>
        <w:spacing w:after="0"/>
        <w:jc w:val="both"/>
        <w:rPr>
          <w:rFonts w:ascii="Arial" w:hAnsi="Arial" w:cs="Arial"/>
          <w:b/>
          <w:i/>
          <w:u w:val="single"/>
          <w:lang w:val="sr-Latn-CS"/>
        </w:rPr>
      </w:pPr>
    </w:p>
    <w:p w:rsidR="00316698" w:rsidRPr="008106BF" w:rsidRDefault="00316698" w:rsidP="001B4358">
      <w:pPr>
        <w:spacing w:after="0"/>
        <w:jc w:val="both"/>
        <w:rPr>
          <w:rFonts w:ascii="Arial" w:hAnsi="Arial" w:cs="Arial"/>
          <w:b/>
          <w:lang w:val="sr-Latn-CS"/>
        </w:rPr>
      </w:pPr>
      <w:r w:rsidRPr="008106BF">
        <w:rPr>
          <w:rFonts w:ascii="Arial" w:hAnsi="Arial" w:cs="Arial"/>
          <w:b/>
          <w:lang w:val="sr-Latn-CS"/>
        </w:rPr>
        <w:t>Tržište tehničko-građevinskog k</w:t>
      </w:r>
      <w:r w:rsidR="00223A3F" w:rsidRPr="008106BF">
        <w:rPr>
          <w:rFonts w:ascii="Arial" w:hAnsi="Arial" w:cs="Arial"/>
          <w:b/>
          <w:lang w:val="sr-Latn-CS"/>
        </w:rPr>
        <w:t xml:space="preserve">amena </w:t>
      </w:r>
      <w:r w:rsidR="00A379FF" w:rsidRPr="008106BF">
        <w:rPr>
          <w:rFonts w:ascii="Arial" w:hAnsi="Arial" w:cs="Arial"/>
          <w:b/>
          <w:lang w:val="sr-Latn-CS"/>
        </w:rPr>
        <w:t>i bentonita sa lokaliteta „Volujica“,</w:t>
      </w:r>
      <w:r w:rsidR="00223A3F" w:rsidRPr="008106BF">
        <w:rPr>
          <w:rFonts w:ascii="Arial" w:hAnsi="Arial" w:cs="Arial"/>
          <w:b/>
          <w:lang w:val="sr-Latn-CS"/>
        </w:rPr>
        <w:t xml:space="preserve"> </w:t>
      </w:r>
      <w:r w:rsidRPr="008106BF">
        <w:rPr>
          <w:rFonts w:ascii="Arial" w:hAnsi="Arial" w:cs="Arial"/>
          <w:b/>
          <w:lang w:val="sr-Latn-CS"/>
        </w:rPr>
        <w:t>„Velja Gorana“</w:t>
      </w:r>
      <w:r w:rsidR="00A379FF" w:rsidRPr="008106BF">
        <w:rPr>
          <w:rFonts w:ascii="Arial" w:hAnsi="Arial" w:cs="Arial"/>
          <w:b/>
          <w:lang w:val="sr-Latn-CS"/>
        </w:rPr>
        <w:t xml:space="preserve"> i „Bijele šume“</w:t>
      </w:r>
    </w:p>
    <w:p w:rsidR="00316698" w:rsidRPr="00A26CE1" w:rsidRDefault="00316698" w:rsidP="001B4358">
      <w:pPr>
        <w:spacing w:after="0"/>
        <w:jc w:val="both"/>
        <w:rPr>
          <w:rFonts w:ascii="Arial" w:hAnsi="Arial" w:cs="Arial"/>
          <w:lang w:val="sr-Latn-CS"/>
        </w:rPr>
      </w:pPr>
    </w:p>
    <w:p w:rsidR="00316698" w:rsidRPr="00A26CE1" w:rsidRDefault="00A36953" w:rsidP="001B4358">
      <w:pPr>
        <w:spacing w:after="0"/>
        <w:jc w:val="both"/>
        <w:rPr>
          <w:rFonts w:ascii="Arial" w:hAnsi="Arial" w:cs="Arial"/>
          <w:lang w:val="sr-Latn-CS"/>
        </w:rPr>
      </w:pPr>
      <w:r>
        <w:rPr>
          <w:rFonts w:ascii="Arial" w:hAnsi="Arial" w:cs="Arial"/>
          <w:lang w:val="sr-Latn-CS"/>
        </w:rPr>
        <w:t xml:space="preserve">Očekuje se </w:t>
      </w:r>
      <w:r w:rsidR="008C247B">
        <w:rPr>
          <w:rFonts w:ascii="Arial" w:hAnsi="Arial" w:cs="Arial"/>
          <w:lang w:val="sr-Latn-CS"/>
        </w:rPr>
        <w:t xml:space="preserve">da </w:t>
      </w:r>
      <w:r>
        <w:rPr>
          <w:rFonts w:ascii="Arial" w:hAnsi="Arial" w:cs="Arial"/>
          <w:lang w:val="sr-Latn-CS"/>
        </w:rPr>
        <w:t xml:space="preserve">tržišna potražnja </w:t>
      </w:r>
      <w:r w:rsidR="00316698" w:rsidRPr="00A26CE1">
        <w:rPr>
          <w:rFonts w:ascii="Arial" w:hAnsi="Arial" w:cs="Arial"/>
          <w:lang w:val="sr-Latn-CS"/>
        </w:rPr>
        <w:t>za kamenim agregatom</w:t>
      </w:r>
      <w:r w:rsidR="00600773" w:rsidRPr="00A26CE1">
        <w:rPr>
          <w:rFonts w:ascii="Arial" w:hAnsi="Arial" w:cs="Arial"/>
          <w:lang w:val="sr-Latn-CS"/>
        </w:rPr>
        <w:t xml:space="preserve"> i bentonitima</w:t>
      </w:r>
      <w:r w:rsidR="00316698" w:rsidRPr="00A26CE1">
        <w:rPr>
          <w:rFonts w:ascii="Arial" w:hAnsi="Arial" w:cs="Arial"/>
          <w:lang w:val="sr-Latn-CS"/>
        </w:rPr>
        <w:t xml:space="preserve"> neće biti ograničavajući faktor </w:t>
      </w:r>
      <w:r>
        <w:rPr>
          <w:rFonts w:ascii="Arial" w:hAnsi="Arial" w:cs="Arial"/>
          <w:lang w:val="sr-Latn-CS"/>
        </w:rPr>
        <w:t xml:space="preserve">eksploatacije tj. rudarske </w:t>
      </w:r>
      <w:r w:rsidR="00316698" w:rsidRPr="00A26CE1">
        <w:rPr>
          <w:rFonts w:ascii="Arial" w:hAnsi="Arial" w:cs="Arial"/>
          <w:lang w:val="sr-Latn-CS"/>
        </w:rPr>
        <w:t xml:space="preserve">proizvodnje. Naime, opšti društveno-ekonomski faktori ogledaju se u proizvodnji jedne tražene robe, mogućnostima zapošljavanja i obezbjeđivanja egzistencije dijela lokalnog stanovništva, kao i kroz finansijska sredstva </w:t>
      </w:r>
      <w:r w:rsidR="00CC1AD7" w:rsidRPr="00A26CE1">
        <w:rPr>
          <w:rFonts w:ascii="Arial" w:hAnsi="Arial" w:cs="Arial"/>
          <w:lang w:val="sr-Latn-CS"/>
        </w:rPr>
        <w:t>koja će budući k</w:t>
      </w:r>
      <w:r w:rsidR="00316698" w:rsidRPr="00A26CE1">
        <w:rPr>
          <w:rFonts w:ascii="Arial" w:hAnsi="Arial" w:cs="Arial"/>
          <w:lang w:val="sr-Latn-CS"/>
        </w:rPr>
        <w:t>oncesiona</w:t>
      </w:r>
      <w:r w:rsidR="006B7564">
        <w:rPr>
          <w:rFonts w:ascii="Arial" w:hAnsi="Arial" w:cs="Arial"/>
          <w:lang w:val="sr-Latn-CS"/>
        </w:rPr>
        <w:t>r</w:t>
      </w:r>
      <w:r w:rsidR="00CC1AD7" w:rsidRPr="00A26CE1">
        <w:rPr>
          <w:rFonts w:ascii="Arial" w:hAnsi="Arial" w:cs="Arial"/>
          <w:lang w:val="sr-Latn-CS"/>
        </w:rPr>
        <w:t>i</w:t>
      </w:r>
      <w:r w:rsidR="00316698" w:rsidRPr="00A26CE1">
        <w:rPr>
          <w:rFonts w:ascii="Arial" w:hAnsi="Arial" w:cs="Arial"/>
          <w:lang w:val="sr-Latn-CS"/>
        </w:rPr>
        <w:t xml:space="preserve"> izdvajati  iz ukupnog prihoda za razvoj lokalnog područja i šire društvene zajednice. Konkretan uticaj pojedinih faktora ocjene može se izraziti kroz pregled naturalnih pokazatelja (</w:t>
      </w:r>
      <w:r w:rsidR="00316698" w:rsidRPr="00A26CE1">
        <w:rPr>
          <w:rFonts w:ascii="Arial" w:hAnsi="Arial" w:cs="Arial"/>
          <w:lang w:val="hr-HR"/>
        </w:rPr>
        <w:t>rezerve mineralne sirovine, kvalitet mineralne sirovine, gubici mineralne sirovine, eksploatacione rezerve, kapacitet proizvodnje i vijek eksploatacije)</w:t>
      </w:r>
      <w:r w:rsidR="00316698" w:rsidRPr="00A26CE1">
        <w:rPr>
          <w:rFonts w:ascii="Arial" w:hAnsi="Arial" w:cs="Arial"/>
          <w:lang w:val="sr-Latn-CS"/>
        </w:rPr>
        <w:t xml:space="preserve">, vrijednosnih pokazatelja ocjene (troškovi geoloških istraživanja, troškovi proizvodnje, tržišna cijena i rentabilnost proizvodnje) i </w:t>
      </w:r>
      <w:r>
        <w:rPr>
          <w:rFonts w:ascii="Arial" w:hAnsi="Arial" w:cs="Arial"/>
          <w:lang w:val="sr-Latn-CS"/>
        </w:rPr>
        <w:t xml:space="preserve">sveobuhvatnih </w:t>
      </w:r>
      <w:r w:rsidR="00316698" w:rsidRPr="00A26CE1">
        <w:rPr>
          <w:rFonts w:ascii="Arial" w:hAnsi="Arial" w:cs="Arial"/>
          <w:lang w:val="sr-Latn-CS"/>
        </w:rPr>
        <w:t>pokazatelja ocjene. Dakle, ekonomska ocjena je pokazala da rezerve tehničko</w:t>
      </w:r>
      <w:r w:rsidR="00223A3F" w:rsidRPr="00A26CE1">
        <w:rPr>
          <w:rFonts w:ascii="Arial" w:hAnsi="Arial" w:cs="Arial"/>
          <w:lang w:val="sr-Latn-CS"/>
        </w:rPr>
        <w:t xml:space="preserve">-građevinskog kamena u ležištiu </w:t>
      </w:r>
      <w:r w:rsidR="00CC1AD7" w:rsidRPr="00A26CE1">
        <w:rPr>
          <w:rFonts w:ascii="Arial" w:hAnsi="Arial" w:cs="Arial"/>
          <w:lang w:val="sr-Latn-CS"/>
        </w:rPr>
        <w:t xml:space="preserve"> „Volujica“ </w:t>
      </w:r>
      <w:r w:rsidR="00316698" w:rsidRPr="00A26CE1">
        <w:rPr>
          <w:rFonts w:ascii="Arial" w:hAnsi="Arial" w:cs="Arial"/>
          <w:lang w:val="sr-Latn-CS"/>
        </w:rPr>
        <w:t xml:space="preserve"> pripada</w:t>
      </w:r>
      <w:r w:rsidR="00223A3F" w:rsidRPr="00A26CE1">
        <w:rPr>
          <w:rFonts w:ascii="Arial" w:hAnsi="Arial" w:cs="Arial"/>
          <w:lang w:val="sr-Latn-CS"/>
        </w:rPr>
        <w:t xml:space="preserve">ju klasi bilansnih rezervi (iz </w:t>
      </w:r>
      <w:r w:rsidR="00223A3F" w:rsidRPr="00A26CE1">
        <w:rPr>
          <w:rFonts w:ascii="Arial" w:hAnsi="Arial" w:cs="Arial"/>
          <w:lang w:val="sr-Latn-CS"/>
        </w:rPr>
        <w:lastRenderedPageBreak/>
        <w:t>E</w:t>
      </w:r>
      <w:r w:rsidR="00316698" w:rsidRPr="00A26CE1">
        <w:rPr>
          <w:rFonts w:ascii="Arial" w:hAnsi="Arial" w:cs="Arial"/>
          <w:lang w:val="sr-Latn-CS"/>
        </w:rPr>
        <w:t xml:space="preserve">laborata o klasifikaciji, kategorizaciji i proračunu rezervi tehničko-građevinskog kamena </w:t>
      </w:r>
      <w:r w:rsidR="001B4358" w:rsidRPr="00A26CE1">
        <w:rPr>
          <w:rFonts w:ascii="Arial" w:hAnsi="Arial" w:cs="Arial"/>
          <w:lang w:val="sr-Latn-CS"/>
        </w:rPr>
        <w:t xml:space="preserve">na </w:t>
      </w:r>
      <w:r w:rsidR="00223A3F" w:rsidRPr="00A26CE1">
        <w:rPr>
          <w:rFonts w:ascii="Arial" w:hAnsi="Arial" w:cs="Arial"/>
          <w:lang w:val="sr-Latn-CS"/>
        </w:rPr>
        <w:t>ležištu</w:t>
      </w:r>
      <w:r w:rsidR="00316698" w:rsidRPr="00A26CE1">
        <w:rPr>
          <w:rFonts w:ascii="Arial" w:hAnsi="Arial" w:cs="Arial"/>
          <w:lang w:val="sr-Latn-CS"/>
        </w:rPr>
        <w:t xml:space="preserve"> „Voljuica“) i da su procijenj</w:t>
      </w:r>
      <w:r w:rsidR="00CC1AD7" w:rsidRPr="00A26CE1">
        <w:rPr>
          <w:rFonts w:ascii="Arial" w:hAnsi="Arial" w:cs="Arial"/>
          <w:lang w:val="sr-Latn-CS"/>
        </w:rPr>
        <w:t>e</w:t>
      </w:r>
      <w:r w:rsidR="001B4358" w:rsidRPr="00A26CE1">
        <w:rPr>
          <w:rFonts w:ascii="Arial" w:hAnsi="Arial" w:cs="Arial"/>
          <w:lang w:val="sr-Latn-CS"/>
        </w:rPr>
        <w:t>ne</w:t>
      </w:r>
      <w:r w:rsidR="00CC1AD7" w:rsidRPr="00A26CE1">
        <w:rPr>
          <w:rFonts w:ascii="Arial" w:hAnsi="Arial" w:cs="Arial"/>
          <w:lang w:val="sr-Latn-CS"/>
        </w:rPr>
        <w:t xml:space="preserve"> rezerve </w:t>
      </w:r>
      <w:r w:rsidR="004D72F9" w:rsidRPr="00A26CE1">
        <w:rPr>
          <w:rFonts w:ascii="Arial" w:hAnsi="Arial" w:cs="Arial"/>
          <w:lang w:val="sr-Latn-CS"/>
        </w:rPr>
        <w:t xml:space="preserve">tehničko-građevinskog kamena </w:t>
      </w:r>
      <w:r w:rsidR="00CC1AD7" w:rsidRPr="00A26CE1">
        <w:rPr>
          <w:rFonts w:ascii="Arial" w:hAnsi="Arial" w:cs="Arial"/>
          <w:lang w:val="sr-Latn-CS"/>
        </w:rPr>
        <w:t xml:space="preserve">na lokalitetu </w:t>
      </w:r>
      <w:r w:rsidR="00CC1AD7" w:rsidRPr="00A26CE1">
        <w:rPr>
          <w:rFonts w:ascii="Arial" w:hAnsi="Arial" w:cs="Arial"/>
        </w:rPr>
        <w:t>“Velja Gorana”</w:t>
      </w:r>
      <w:r w:rsidR="004D72F9" w:rsidRPr="00A26CE1">
        <w:rPr>
          <w:rFonts w:ascii="Arial" w:hAnsi="Arial" w:cs="Arial"/>
        </w:rPr>
        <w:t xml:space="preserve"> i bentonite na lokalitetu “Bijele šume”</w:t>
      </w:r>
      <w:r w:rsidR="001B4358" w:rsidRPr="00A26CE1">
        <w:rPr>
          <w:rFonts w:ascii="Arial" w:hAnsi="Arial" w:cs="Arial"/>
        </w:rPr>
        <w:t>, koje su preliminarno ispitane, perspektivne sa aspekta buduće eksploatacije</w:t>
      </w:r>
      <w:r w:rsidR="00281024" w:rsidRPr="00281024">
        <w:t xml:space="preserve"> </w:t>
      </w:r>
      <w:r w:rsidR="00281024" w:rsidRPr="00281024">
        <w:rPr>
          <w:rFonts w:ascii="Arial" w:hAnsi="Arial" w:cs="Arial"/>
        </w:rPr>
        <w:t>tj. rudarske proizvodnje</w:t>
      </w:r>
      <w:bookmarkStart w:id="4" w:name="_GoBack"/>
      <w:bookmarkEnd w:id="4"/>
      <w:r w:rsidR="001B4358" w:rsidRPr="00A26CE1">
        <w:rPr>
          <w:rFonts w:ascii="Arial" w:hAnsi="Arial" w:cs="Arial"/>
        </w:rPr>
        <w:t>.</w:t>
      </w:r>
    </w:p>
    <w:p w:rsidR="00D560E5" w:rsidRPr="00A26CE1" w:rsidRDefault="00D560E5" w:rsidP="00D560E5">
      <w:pPr>
        <w:rPr>
          <w:rFonts w:ascii="Arial" w:hAnsi="Arial" w:cs="Arial"/>
        </w:rPr>
      </w:pPr>
    </w:p>
    <w:p w:rsidR="00FB3841" w:rsidRPr="00A26CE1" w:rsidRDefault="00FB3841" w:rsidP="00D560E5">
      <w:pPr>
        <w:rPr>
          <w:rFonts w:ascii="Arial" w:hAnsi="Arial" w:cs="Arial"/>
        </w:rPr>
      </w:pPr>
    </w:p>
    <w:sectPr w:rsidR="00FB3841" w:rsidRPr="00A26CE1" w:rsidSect="00CC1AD7">
      <w:footerReference w:type="default" r:id="rId8"/>
      <w:pgSz w:w="12240" w:h="15840"/>
      <w:pgMar w:top="851" w:right="1021" w:bottom="851" w:left="102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AB4" w:rsidRDefault="00BB4AB4" w:rsidP="00B773BB">
      <w:pPr>
        <w:spacing w:after="0" w:line="240" w:lineRule="auto"/>
      </w:pPr>
      <w:r>
        <w:separator/>
      </w:r>
    </w:p>
  </w:endnote>
  <w:endnote w:type="continuationSeparator" w:id="0">
    <w:p w:rsidR="00BB4AB4" w:rsidRDefault="00BB4AB4" w:rsidP="00B77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5760"/>
      <w:docPartObj>
        <w:docPartGallery w:val="Page Numbers (Bottom of Page)"/>
        <w:docPartUnique/>
      </w:docPartObj>
    </w:sdtPr>
    <w:sdtContent>
      <w:p w:rsidR="00CC1AD7" w:rsidRDefault="00354A99">
        <w:pPr>
          <w:pStyle w:val="Footer"/>
          <w:jc w:val="right"/>
        </w:pPr>
        <w:r>
          <w:fldChar w:fldCharType="begin"/>
        </w:r>
        <w:r w:rsidR="00AA7B0F">
          <w:instrText xml:space="preserve"> PAGE   \* MERGEFORMAT </w:instrText>
        </w:r>
        <w:r>
          <w:fldChar w:fldCharType="separate"/>
        </w:r>
        <w:r w:rsidR="007D7B9A">
          <w:rPr>
            <w:noProof/>
          </w:rPr>
          <w:t>8</w:t>
        </w:r>
        <w:r>
          <w:rPr>
            <w:noProof/>
          </w:rPr>
          <w:fldChar w:fldCharType="end"/>
        </w:r>
      </w:p>
    </w:sdtContent>
  </w:sdt>
  <w:p w:rsidR="00CC1AD7" w:rsidRDefault="00CC1A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AB4" w:rsidRDefault="00BB4AB4" w:rsidP="00B773BB">
      <w:pPr>
        <w:spacing w:after="0" w:line="240" w:lineRule="auto"/>
      </w:pPr>
      <w:r>
        <w:separator/>
      </w:r>
    </w:p>
  </w:footnote>
  <w:footnote w:type="continuationSeparator" w:id="0">
    <w:p w:rsidR="00BB4AB4" w:rsidRDefault="00BB4AB4" w:rsidP="00B773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980_"/>
      </v:shape>
    </w:pict>
  </w:numPicBullet>
  <w:abstractNum w:abstractNumId="0">
    <w:nsid w:val="00000013"/>
    <w:multiLevelType w:val="multilevel"/>
    <w:tmpl w:val="00000013"/>
    <w:name w:val="WWNum35"/>
    <w:lvl w:ilvl="0">
      <w:start w:val="885"/>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3BA3722"/>
    <w:multiLevelType w:val="hybridMultilevel"/>
    <w:tmpl w:val="752EEC90"/>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
    <w:nsid w:val="0E9C36F1"/>
    <w:multiLevelType w:val="hybridMultilevel"/>
    <w:tmpl w:val="F544F47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nsid w:val="0FCE7ECA"/>
    <w:multiLevelType w:val="hybridMultilevel"/>
    <w:tmpl w:val="098A3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6104F0"/>
    <w:multiLevelType w:val="hybridMultilevel"/>
    <w:tmpl w:val="AC9C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9E442F"/>
    <w:multiLevelType w:val="hybridMultilevel"/>
    <w:tmpl w:val="DDF0D30E"/>
    <w:lvl w:ilvl="0" w:tplc="A824E568">
      <w:start w:val="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9513A9"/>
    <w:multiLevelType w:val="hybridMultilevel"/>
    <w:tmpl w:val="04022CA4"/>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nsid w:val="1A50164D"/>
    <w:multiLevelType w:val="hybridMultilevel"/>
    <w:tmpl w:val="BAF023F0"/>
    <w:lvl w:ilvl="0" w:tplc="0C1A000F">
      <w:start w:val="1"/>
      <w:numFmt w:val="decimal"/>
      <w:lvlText w:val="%1."/>
      <w:lvlJc w:val="left"/>
      <w:pPr>
        <w:tabs>
          <w:tab w:val="num" w:pos="2062"/>
        </w:tabs>
        <w:ind w:left="2062" w:hanging="360"/>
      </w:pPr>
    </w:lvl>
    <w:lvl w:ilvl="1" w:tplc="0C1A0019" w:tentative="1">
      <w:start w:val="1"/>
      <w:numFmt w:val="lowerLetter"/>
      <w:lvlText w:val="%2."/>
      <w:lvlJc w:val="left"/>
      <w:pPr>
        <w:tabs>
          <w:tab w:val="num" w:pos="2782"/>
        </w:tabs>
        <w:ind w:left="2782" w:hanging="360"/>
      </w:pPr>
    </w:lvl>
    <w:lvl w:ilvl="2" w:tplc="0C1A001B" w:tentative="1">
      <w:start w:val="1"/>
      <w:numFmt w:val="lowerRoman"/>
      <w:lvlText w:val="%3."/>
      <w:lvlJc w:val="right"/>
      <w:pPr>
        <w:tabs>
          <w:tab w:val="num" w:pos="3502"/>
        </w:tabs>
        <w:ind w:left="3502" w:hanging="180"/>
      </w:pPr>
    </w:lvl>
    <w:lvl w:ilvl="3" w:tplc="0C1A000F" w:tentative="1">
      <w:start w:val="1"/>
      <w:numFmt w:val="decimal"/>
      <w:lvlText w:val="%4."/>
      <w:lvlJc w:val="left"/>
      <w:pPr>
        <w:tabs>
          <w:tab w:val="num" w:pos="4222"/>
        </w:tabs>
        <w:ind w:left="4222" w:hanging="360"/>
      </w:pPr>
    </w:lvl>
    <w:lvl w:ilvl="4" w:tplc="0C1A0019" w:tentative="1">
      <w:start w:val="1"/>
      <w:numFmt w:val="lowerLetter"/>
      <w:lvlText w:val="%5."/>
      <w:lvlJc w:val="left"/>
      <w:pPr>
        <w:tabs>
          <w:tab w:val="num" w:pos="4942"/>
        </w:tabs>
        <w:ind w:left="4942" w:hanging="360"/>
      </w:pPr>
    </w:lvl>
    <w:lvl w:ilvl="5" w:tplc="0C1A001B" w:tentative="1">
      <w:start w:val="1"/>
      <w:numFmt w:val="lowerRoman"/>
      <w:lvlText w:val="%6."/>
      <w:lvlJc w:val="right"/>
      <w:pPr>
        <w:tabs>
          <w:tab w:val="num" w:pos="5662"/>
        </w:tabs>
        <w:ind w:left="5662" w:hanging="180"/>
      </w:pPr>
    </w:lvl>
    <w:lvl w:ilvl="6" w:tplc="0C1A000F" w:tentative="1">
      <w:start w:val="1"/>
      <w:numFmt w:val="decimal"/>
      <w:lvlText w:val="%7."/>
      <w:lvlJc w:val="left"/>
      <w:pPr>
        <w:tabs>
          <w:tab w:val="num" w:pos="6382"/>
        </w:tabs>
        <w:ind w:left="6382" w:hanging="360"/>
      </w:pPr>
    </w:lvl>
    <w:lvl w:ilvl="7" w:tplc="0C1A0019" w:tentative="1">
      <w:start w:val="1"/>
      <w:numFmt w:val="lowerLetter"/>
      <w:lvlText w:val="%8."/>
      <w:lvlJc w:val="left"/>
      <w:pPr>
        <w:tabs>
          <w:tab w:val="num" w:pos="7102"/>
        </w:tabs>
        <w:ind w:left="7102" w:hanging="360"/>
      </w:pPr>
    </w:lvl>
    <w:lvl w:ilvl="8" w:tplc="0C1A001B" w:tentative="1">
      <w:start w:val="1"/>
      <w:numFmt w:val="lowerRoman"/>
      <w:lvlText w:val="%9."/>
      <w:lvlJc w:val="right"/>
      <w:pPr>
        <w:tabs>
          <w:tab w:val="num" w:pos="7822"/>
        </w:tabs>
        <w:ind w:left="7822" w:hanging="180"/>
      </w:pPr>
    </w:lvl>
  </w:abstractNum>
  <w:abstractNum w:abstractNumId="8">
    <w:nsid w:val="24C31648"/>
    <w:multiLevelType w:val="hybridMultilevel"/>
    <w:tmpl w:val="E7EC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7D7605"/>
    <w:multiLevelType w:val="hybridMultilevel"/>
    <w:tmpl w:val="885CA528"/>
    <w:lvl w:ilvl="0" w:tplc="34366560">
      <w:start w:val="5"/>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nsid w:val="2E3E3633"/>
    <w:multiLevelType w:val="hybridMultilevel"/>
    <w:tmpl w:val="23B65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CB649E"/>
    <w:multiLevelType w:val="hybridMultilevel"/>
    <w:tmpl w:val="81948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3842F3"/>
    <w:multiLevelType w:val="hybridMultilevel"/>
    <w:tmpl w:val="EFD69F5C"/>
    <w:lvl w:ilvl="0" w:tplc="A824E568">
      <w:start w:val="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D01801"/>
    <w:multiLevelType w:val="hybridMultilevel"/>
    <w:tmpl w:val="5B6EE7D6"/>
    <w:lvl w:ilvl="0" w:tplc="2040BE98">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423C2FC4"/>
    <w:multiLevelType w:val="hybridMultilevel"/>
    <w:tmpl w:val="496AC34A"/>
    <w:lvl w:ilvl="0" w:tplc="DB8AF532">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BB35F4"/>
    <w:multiLevelType w:val="hybridMultilevel"/>
    <w:tmpl w:val="8C38B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5D3104"/>
    <w:multiLevelType w:val="hybridMultilevel"/>
    <w:tmpl w:val="2FC4E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6D5BFD"/>
    <w:multiLevelType w:val="hybridMultilevel"/>
    <w:tmpl w:val="50148958"/>
    <w:lvl w:ilvl="0" w:tplc="9DE87B50">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0731997"/>
    <w:multiLevelType w:val="hybridMultilevel"/>
    <w:tmpl w:val="F7E23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7728FF"/>
    <w:multiLevelType w:val="hybridMultilevel"/>
    <w:tmpl w:val="FE3E26DC"/>
    <w:lvl w:ilvl="0" w:tplc="CE8A3254">
      <w:start w:val="1"/>
      <w:numFmt w:val="bullet"/>
      <w:lvlText w:val=""/>
      <w:lvlPicBulletId w:val="0"/>
      <w:lvlJc w:val="left"/>
      <w:pPr>
        <w:tabs>
          <w:tab w:val="num" w:pos="1068"/>
        </w:tabs>
        <w:ind w:left="1068" w:hanging="360"/>
      </w:pPr>
      <w:rPr>
        <w:rFonts w:ascii="Symbol" w:hAnsi="Symbol" w:hint="default"/>
        <w:color w:val="auto"/>
      </w:rPr>
    </w:lvl>
    <w:lvl w:ilvl="1" w:tplc="0C1A0003">
      <w:start w:val="1"/>
      <w:numFmt w:val="bullet"/>
      <w:lvlText w:val="o"/>
      <w:lvlJc w:val="left"/>
      <w:pPr>
        <w:tabs>
          <w:tab w:val="num" w:pos="1440"/>
        </w:tabs>
        <w:ind w:left="1440" w:hanging="360"/>
      </w:pPr>
      <w:rPr>
        <w:rFonts w:ascii="Courier New" w:hAnsi="Courier New" w:cs="Courier New" w:hint="default"/>
      </w:rPr>
    </w:lvl>
    <w:lvl w:ilvl="2" w:tplc="0C1A0005" w:tentative="1">
      <w:start w:val="1"/>
      <w:numFmt w:val="bullet"/>
      <w:lvlText w:val=""/>
      <w:lvlJc w:val="left"/>
      <w:pPr>
        <w:tabs>
          <w:tab w:val="num" w:pos="2160"/>
        </w:tabs>
        <w:ind w:left="2160" w:hanging="360"/>
      </w:pPr>
      <w:rPr>
        <w:rFonts w:ascii="Wingdings" w:hAnsi="Wingdings" w:hint="default"/>
      </w:rPr>
    </w:lvl>
    <w:lvl w:ilvl="3" w:tplc="0C1A0001" w:tentative="1">
      <w:start w:val="1"/>
      <w:numFmt w:val="bullet"/>
      <w:lvlText w:val=""/>
      <w:lvlJc w:val="left"/>
      <w:pPr>
        <w:tabs>
          <w:tab w:val="num" w:pos="2880"/>
        </w:tabs>
        <w:ind w:left="2880" w:hanging="360"/>
      </w:pPr>
      <w:rPr>
        <w:rFonts w:ascii="Symbol" w:hAnsi="Symbol" w:hint="default"/>
      </w:rPr>
    </w:lvl>
    <w:lvl w:ilvl="4" w:tplc="0C1A0003" w:tentative="1">
      <w:start w:val="1"/>
      <w:numFmt w:val="bullet"/>
      <w:lvlText w:val="o"/>
      <w:lvlJc w:val="left"/>
      <w:pPr>
        <w:tabs>
          <w:tab w:val="num" w:pos="3600"/>
        </w:tabs>
        <w:ind w:left="3600" w:hanging="360"/>
      </w:pPr>
      <w:rPr>
        <w:rFonts w:ascii="Courier New" w:hAnsi="Courier New" w:cs="Courier New" w:hint="default"/>
      </w:rPr>
    </w:lvl>
    <w:lvl w:ilvl="5" w:tplc="0C1A0005" w:tentative="1">
      <w:start w:val="1"/>
      <w:numFmt w:val="bullet"/>
      <w:lvlText w:val=""/>
      <w:lvlJc w:val="left"/>
      <w:pPr>
        <w:tabs>
          <w:tab w:val="num" w:pos="4320"/>
        </w:tabs>
        <w:ind w:left="4320" w:hanging="360"/>
      </w:pPr>
      <w:rPr>
        <w:rFonts w:ascii="Wingdings" w:hAnsi="Wingdings" w:hint="default"/>
      </w:rPr>
    </w:lvl>
    <w:lvl w:ilvl="6" w:tplc="0C1A0001" w:tentative="1">
      <w:start w:val="1"/>
      <w:numFmt w:val="bullet"/>
      <w:lvlText w:val=""/>
      <w:lvlJc w:val="left"/>
      <w:pPr>
        <w:tabs>
          <w:tab w:val="num" w:pos="5040"/>
        </w:tabs>
        <w:ind w:left="5040" w:hanging="360"/>
      </w:pPr>
      <w:rPr>
        <w:rFonts w:ascii="Symbol" w:hAnsi="Symbol" w:hint="default"/>
      </w:rPr>
    </w:lvl>
    <w:lvl w:ilvl="7" w:tplc="0C1A0003" w:tentative="1">
      <w:start w:val="1"/>
      <w:numFmt w:val="bullet"/>
      <w:lvlText w:val="o"/>
      <w:lvlJc w:val="left"/>
      <w:pPr>
        <w:tabs>
          <w:tab w:val="num" w:pos="5760"/>
        </w:tabs>
        <w:ind w:left="5760" w:hanging="360"/>
      </w:pPr>
      <w:rPr>
        <w:rFonts w:ascii="Courier New" w:hAnsi="Courier New" w:cs="Courier New" w:hint="default"/>
      </w:rPr>
    </w:lvl>
    <w:lvl w:ilvl="8" w:tplc="0C1A0005" w:tentative="1">
      <w:start w:val="1"/>
      <w:numFmt w:val="bullet"/>
      <w:lvlText w:val=""/>
      <w:lvlJc w:val="left"/>
      <w:pPr>
        <w:tabs>
          <w:tab w:val="num" w:pos="6480"/>
        </w:tabs>
        <w:ind w:left="6480" w:hanging="360"/>
      </w:pPr>
      <w:rPr>
        <w:rFonts w:ascii="Wingdings" w:hAnsi="Wingdings" w:hint="default"/>
      </w:rPr>
    </w:lvl>
  </w:abstractNum>
  <w:abstractNum w:abstractNumId="20">
    <w:nsid w:val="51C40B42"/>
    <w:multiLevelType w:val="hybridMultilevel"/>
    <w:tmpl w:val="4ECC7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A27DF1"/>
    <w:multiLevelType w:val="hybridMultilevel"/>
    <w:tmpl w:val="81062A38"/>
    <w:lvl w:ilvl="0" w:tplc="A824E568">
      <w:start w:val="2"/>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E71CA5"/>
    <w:multiLevelType w:val="hybridMultilevel"/>
    <w:tmpl w:val="4E662F3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6CAC5DC1"/>
    <w:multiLevelType w:val="hybridMultilevel"/>
    <w:tmpl w:val="F9F23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2366198"/>
    <w:multiLevelType w:val="hybridMultilevel"/>
    <w:tmpl w:val="B18CB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E2123F"/>
    <w:multiLevelType w:val="hybridMultilevel"/>
    <w:tmpl w:val="FF38C02C"/>
    <w:lvl w:ilvl="0" w:tplc="DB8AF532">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46E7249"/>
    <w:multiLevelType w:val="hybridMultilevel"/>
    <w:tmpl w:val="E72C2A9C"/>
    <w:lvl w:ilvl="0" w:tplc="6172C38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DB6C26"/>
    <w:multiLevelType w:val="hybridMultilevel"/>
    <w:tmpl w:val="6D360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D1615BF"/>
    <w:multiLevelType w:val="hybridMultilevel"/>
    <w:tmpl w:val="3B5A380C"/>
    <w:lvl w:ilvl="0" w:tplc="DB8AF532">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4C2976"/>
    <w:multiLevelType w:val="hybridMultilevel"/>
    <w:tmpl w:val="A86CE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6318A4"/>
    <w:multiLevelType w:val="hybridMultilevel"/>
    <w:tmpl w:val="F224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4"/>
  </w:num>
  <w:num w:numId="4">
    <w:abstractNumId w:val="5"/>
  </w:num>
  <w:num w:numId="5">
    <w:abstractNumId w:val="23"/>
  </w:num>
  <w:num w:numId="6">
    <w:abstractNumId w:val="8"/>
  </w:num>
  <w:num w:numId="7">
    <w:abstractNumId w:val="27"/>
  </w:num>
  <w:num w:numId="8">
    <w:abstractNumId w:val="13"/>
  </w:num>
  <w:num w:numId="9">
    <w:abstractNumId w:val="19"/>
  </w:num>
  <w:num w:numId="10">
    <w:abstractNumId w:val="7"/>
  </w:num>
  <w:num w:numId="11">
    <w:abstractNumId w:val="1"/>
  </w:num>
  <w:num w:numId="12">
    <w:abstractNumId w:val="3"/>
  </w:num>
  <w:num w:numId="13">
    <w:abstractNumId w:val="6"/>
  </w:num>
  <w:num w:numId="14">
    <w:abstractNumId w:val="16"/>
  </w:num>
  <w:num w:numId="15">
    <w:abstractNumId w:val="15"/>
  </w:num>
  <w:num w:numId="16">
    <w:abstractNumId w:val="24"/>
  </w:num>
  <w:num w:numId="17">
    <w:abstractNumId w:val="0"/>
  </w:num>
  <w:num w:numId="18">
    <w:abstractNumId w:val="22"/>
  </w:num>
  <w:num w:numId="19">
    <w:abstractNumId w:val="28"/>
  </w:num>
  <w:num w:numId="20">
    <w:abstractNumId w:val="30"/>
  </w:num>
  <w:num w:numId="21">
    <w:abstractNumId w:val="14"/>
  </w:num>
  <w:num w:numId="22">
    <w:abstractNumId w:val="17"/>
  </w:num>
  <w:num w:numId="23">
    <w:abstractNumId w:val="9"/>
  </w:num>
  <w:num w:numId="24">
    <w:abstractNumId w:val="25"/>
  </w:num>
  <w:num w:numId="25">
    <w:abstractNumId w:val="2"/>
  </w:num>
  <w:num w:numId="26">
    <w:abstractNumId w:val="26"/>
  </w:num>
  <w:num w:numId="27">
    <w:abstractNumId w:val="12"/>
  </w:num>
  <w:num w:numId="28">
    <w:abstractNumId w:val="18"/>
  </w:num>
  <w:num w:numId="29">
    <w:abstractNumId w:val="21"/>
  </w:num>
  <w:num w:numId="30">
    <w:abstractNumId w:val="11"/>
  </w:num>
  <w:num w:numId="3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428F0"/>
    <w:rsid w:val="00001D82"/>
    <w:rsid w:val="00082994"/>
    <w:rsid w:val="000B7F51"/>
    <w:rsid w:val="00143E70"/>
    <w:rsid w:val="00145183"/>
    <w:rsid w:val="001B4358"/>
    <w:rsid w:val="001E0CE9"/>
    <w:rsid w:val="00223A3F"/>
    <w:rsid w:val="00281024"/>
    <w:rsid w:val="002C74D8"/>
    <w:rsid w:val="002F25C3"/>
    <w:rsid w:val="00304A27"/>
    <w:rsid w:val="00316698"/>
    <w:rsid w:val="0033150F"/>
    <w:rsid w:val="00351B83"/>
    <w:rsid w:val="00354A99"/>
    <w:rsid w:val="00385952"/>
    <w:rsid w:val="00397BDE"/>
    <w:rsid w:val="003B29F7"/>
    <w:rsid w:val="003C211D"/>
    <w:rsid w:val="0045162F"/>
    <w:rsid w:val="004D5147"/>
    <w:rsid w:val="004D72F9"/>
    <w:rsid w:val="005036AC"/>
    <w:rsid w:val="005268E8"/>
    <w:rsid w:val="005F0AA3"/>
    <w:rsid w:val="00600773"/>
    <w:rsid w:val="00602E36"/>
    <w:rsid w:val="00610802"/>
    <w:rsid w:val="00626FC8"/>
    <w:rsid w:val="006278BD"/>
    <w:rsid w:val="006428F0"/>
    <w:rsid w:val="00672026"/>
    <w:rsid w:val="006B2A03"/>
    <w:rsid w:val="006B7564"/>
    <w:rsid w:val="006E358E"/>
    <w:rsid w:val="006F2B1D"/>
    <w:rsid w:val="007B3C53"/>
    <w:rsid w:val="007D7B9A"/>
    <w:rsid w:val="007F526E"/>
    <w:rsid w:val="008106BF"/>
    <w:rsid w:val="008634B4"/>
    <w:rsid w:val="008925D6"/>
    <w:rsid w:val="008C247B"/>
    <w:rsid w:val="008E2D67"/>
    <w:rsid w:val="00902B99"/>
    <w:rsid w:val="009238F1"/>
    <w:rsid w:val="00933D00"/>
    <w:rsid w:val="009607B8"/>
    <w:rsid w:val="009720AB"/>
    <w:rsid w:val="009826EE"/>
    <w:rsid w:val="009A6D6C"/>
    <w:rsid w:val="009F558D"/>
    <w:rsid w:val="00A06408"/>
    <w:rsid w:val="00A26CE1"/>
    <w:rsid w:val="00A32134"/>
    <w:rsid w:val="00A36953"/>
    <w:rsid w:val="00A379FF"/>
    <w:rsid w:val="00A4398B"/>
    <w:rsid w:val="00AA7B0F"/>
    <w:rsid w:val="00B00B34"/>
    <w:rsid w:val="00B33110"/>
    <w:rsid w:val="00B773BB"/>
    <w:rsid w:val="00B81295"/>
    <w:rsid w:val="00B96B2B"/>
    <w:rsid w:val="00BA1A23"/>
    <w:rsid w:val="00BB4AB4"/>
    <w:rsid w:val="00C21F03"/>
    <w:rsid w:val="00C50FAD"/>
    <w:rsid w:val="00CB29BF"/>
    <w:rsid w:val="00CB6B70"/>
    <w:rsid w:val="00CC1AD7"/>
    <w:rsid w:val="00CD094A"/>
    <w:rsid w:val="00D205B2"/>
    <w:rsid w:val="00D560E5"/>
    <w:rsid w:val="00D61557"/>
    <w:rsid w:val="00D8360E"/>
    <w:rsid w:val="00D94F72"/>
    <w:rsid w:val="00E01158"/>
    <w:rsid w:val="00E07227"/>
    <w:rsid w:val="00E459D7"/>
    <w:rsid w:val="00E548AA"/>
    <w:rsid w:val="00ED7398"/>
    <w:rsid w:val="00EE206D"/>
    <w:rsid w:val="00EE5D19"/>
    <w:rsid w:val="00FA6DA5"/>
    <w:rsid w:val="00FB3841"/>
    <w:rsid w:val="00FC61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8F1"/>
    <w:rPr>
      <w:rFonts w:ascii="Calibri" w:eastAsia="Times New Roman" w:hAnsi="Calibri" w:cs="Times New Roman"/>
      <w:lang w:val="en-GB" w:eastAsia="en-GB"/>
    </w:rPr>
  </w:style>
  <w:style w:type="paragraph" w:styleId="Heading1">
    <w:name w:val="heading 1"/>
    <w:basedOn w:val="Normal"/>
    <w:next w:val="Normal"/>
    <w:link w:val="Heading1Char"/>
    <w:qFormat/>
    <w:rsid w:val="006428F0"/>
    <w:pPr>
      <w:keepNext/>
      <w:spacing w:after="0" w:line="240" w:lineRule="auto"/>
      <w:jc w:val="center"/>
      <w:outlineLvl w:val="0"/>
    </w:pPr>
    <w:rPr>
      <w:rFonts w:ascii="Arial" w:hAnsi="Arial"/>
      <w:b/>
      <w:bCs/>
      <w:noProof/>
      <w:sz w:val="24"/>
      <w:szCs w:val="24"/>
      <w:lang w:val="sr-Latn-CS" w:eastAsia="en-US"/>
    </w:rPr>
  </w:style>
  <w:style w:type="paragraph" w:styleId="Heading2">
    <w:name w:val="heading 2"/>
    <w:basedOn w:val="Normal"/>
    <w:next w:val="Normal"/>
    <w:link w:val="Heading2Char"/>
    <w:uiPriority w:val="9"/>
    <w:unhideWhenUsed/>
    <w:qFormat/>
    <w:rsid w:val="00EE20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E20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28F0"/>
    <w:rPr>
      <w:rFonts w:ascii="Arial" w:eastAsia="Times New Roman" w:hAnsi="Arial" w:cs="Times New Roman"/>
      <w:b/>
      <w:bCs/>
      <w:noProof/>
      <w:sz w:val="24"/>
      <w:szCs w:val="24"/>
      <w:lang w:val="sr-Latn-CS"/>
    </w:rPr>
  </w:style>
  <w:style w:type="table" w:styleId="TableGrid">
    <w:name w:val="Table Grid"/>
    <w:basedOn w:val="TableNormal"/>
    <w:rsid w:val="006428F0"/>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
    <w:name w:val="a"/>
    <w:basedOn w:val="DefaultParagraphFont"/>
    <w:rsid w:val="006428F0"/>
  </w:style>
  <w:style w:type="character" w:customStyle="1" w:styleId="apple-converted-space">
    <w:name w:val="apple-converted-space"/>
    <w:basedOn w:val="DefaultParagraphFont"/>
    <w:rsid w:val="006428F0"/>
  </w:style>
  <w:style w:type="character" w:customStyle="1" w:styleId="l6">
    <w:name w:val="l6"/>
    <w:basedOn w:val="DefaultParagraphFont"/>
    <w:rsid w:val="006428F0"/>
  </w:style>
  <w:style w:type="character" w:customStyle="1" w:styleId="l7">
    <w:name w:val="l7"/>
    <w:basedOn w:val="DefaultParagraphFont"/>
    <w:rsid w:val="006428F0"/>
  </w:style>
  <w:style w:type="character" w:customStyle="1" w:styleId="l8">
    <w:name w:val="l8"/>
    <w:basedOn w:val="DefaultParagraphFont"/>
    <w:rsid w:val="006428F0"/>
  </w:style>
  <w:style w:type="paragraph" w:styleId="ListParagraph">
    <w:name w:val="List Paragraph"/>
    <w:basedOn w:val="Normal"/>
    <w:uiPriority w:val="34"/>
    <w:qFormat/>
    <w:rsid w:val="006428F0"/>
    <w:pPr>
      <w:ind w:left="720"/>
      <w:contextualSpacing/>
    </w:pPr>
  </w:style>
  <w:style w:type="paragraph" w:styleId="BodyTextIndent">
    <w:name w:val="Body Text Indent"/>
    <w:basedOn w:val="Normal"/>
    <w:link w:val="BodyTextIndentChar"/>
    <w:rsid w:val="006428F0"/>
    <w:pPr>
      <w:spacing w:after="0" w:line="240" w:lineRule="auto"/>
      <w:ind w:left="360"/>
      <w:jc w:val="both"/>
    </w:pPr>
    <w:rPr>
      <w:rFonts w:ascii="Times New Roman" w:hAnsi="Times New Roman"/>
      <w:sz w:val="24"/>
      <w:szCs w:val="20"/>
      <w:lang w:val="sr-Cyrl-CS" w:eastAsia="en-US"/>
    </w:rPr>
  </w:style>
  <w:style w:type="character" w:customStyle="1" w:styleId="BodyTextIndentChar">
    <w:name w:val="Body Text Indent Char"/>
    <w:basedOn w:val="DefaultParagraphFont"/>
    <w:link w:val="BodyTextIndent"/>
    <w:rsid w:val="006428F0"/>
    <w:rPr>
      <w:rFonts w:ascii="Times New Roman" w:eastAsia="Times New Roman" w:hAnsi="Times New Roman" w:cs="Times New Roman"/>
      <w:sz w:val="24"/>
      <w:szCs w:val="20"/>
      <w:lang w:val="sr-Cyrl-CS"/>
    </w:rPr>
  </w:style>
  <w:style w:type="character" w:styleId="Hyperlink">
    <w:name w:val="Hyperlink"/>
    <w:uiPriority w:val="99"/>
    <w:semiHidden/>
    <w:unhideWhenUsed/>
    <w:rsid w:val="006428F0"/>
    <w:rPr>
      <w:color w:val="0000FF"/>
      <w:u w:val="single"/>
    </w:rPr>
  </w:style>
  <w:style w:type="paragraph" w:styleId="BodyText">
    <w:name w:val="Body Text"/>
    <w:basedOn w:val="Normal"/>
    <w:link w:val="BodyTextChar"/>
    <w:uiPriority w:val="99"/>
    <w:semiHidden/>
    <w:unhideWhenUsed/>
    <w:rsid w:val="006428F0"/>
    <w:pPr>
      <w:spacing w:after="120"/>
    </w:pPr>
  </w:style>
  <w:style w:type="character" w:customStyle="1" w:styleId="BodyTextChar">
    <w:name w:val="Body Text Char"/>
    <w:basedOn w:val="DefaultParagraphFont"/>
    <w:link w:val="BodyText"/>
    <w:uiPriority w:val="99"/>
    <w:semiHidden/>
    <w:rsid w:val="006428F0"/>
    <w:rPr>
      <w:rFonts w:ascii="Calibri" w:eastAsia="Times New Roman" w:hAnsi="Calibri" w:cs="Times New Roman"/>
      <w:lang w:val="en-GB" w:eastAsia="en-GB"/>
    </w:rPr>
  </w:style>
  <w:style w:type="paragraph" w:styleId="BodyText2">
    <w:name w:val="Body Text 2"/>
    <w:basedOn w:val="Normal"/>
    <w:link w:val="BodyText2Char"/>
    <w:uiPriority w:val="99"/>
    <w:semiHidden/>
    <w:unhideWhenUsed/>
    <w:rsid w:val="006428F0"/>
    <w:pPr>
      <w:spacing w:after="120" w:line="480" w:lineRule="auto"/>
    </w:pPr>
  </w:style>
  <w:style w:type="character" w:customStyle="1" w:styleId="BodyText2Char">
    <w:name w:val="Body Text 2 Char"/>
    <w:basedOn w:val="DefaultParagraphFont"/>
    <w:link w:val="BodyText2"/>
    <w:uiPriority w:val="99"/>
    <w:semiHidden/>
    <w:rsid w:val="006428F0"/>
    <w:rPr>
      <w:rFonts w:ascii="Calibri" w:eastAsia="Times New Roman" w:hAnsi="Calibri" w:cs="Times New Roman"/>
      <w:lang w:val="en-GB" w:eastAsia="en-GB"/>
    </w:rPr>
  </w:style>
  <w:style w:type="paragraph" w:styleId="Header">
    <w:name w:val="header"/>
    <w:basedOn w:val="Normal"/>
    <w:link w:val="HeaderChar"/>
    <w:uiPriority w:val="99"/>
    <w:unhideWhenUsed/>
    <w:rsid w:val="00642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8F0"/>
    <w:rPr>
      <w:rFonts w:ascii="Calibri" w:eastAsia="Times New Roman" w:hAnsi="Calibri" w:cs="Times New Roman"/>
      <w:lang w:val="en-GB" w:eastAsia="en-GB"/>
    </w:rPr>
  </w:style>
  <w:style w:type="paragraph" w:styleId="Footer">
    <w:name w:val="footer"/>
    <w:basedOn w:val="Normal"/>
    <w:link w:val="FooterChar"/>
    <w:uiPriority w:val="99"/>
    <w:unhideWhenUsed/>
    <w:rsid w:val="00642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8F0"/>
    <w:rPr>
      <w:rFonts w:ascii="Calibri" w:eastAsia="Times New Roman" w:hAnsi="Calibri" w:cs="Times New Roman"/>
      <w:lang w:val="en-GB" w:eastAsia="en-GB"/>
    </w:rPr>
  </w:style>
  <w:style w:type="paragraph" w:customStyle="1" w:styleId="Default">
    <w:name w:val="Default"/>
    <w:rsid w:val="006428F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42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8F0"/>
    <w:rPr>
      <w:rFonts w:ascii="Segoe UI" w:eastAsia="Times New Roman" w:hAnsi="Segoe UI" w:cs="Segoe UI"/>
      <w:sz w:val="18"/>
      <w:szCs w:val="18"/>
      <w:lang w:val="en-GB" w:eastAsia="en-GB"/>
    </w:rPr>
  </w:style>
  <w:style w:type="character" w:customStyle="1" w:styleId="Heading2Char">
    <w:name w:val="Heading 2 Char"/>
    <w:basedOn w:val="DefaultParagraphFont"/>
    <w:link w:val="Heading2"/>
    <w:uiPriority w:val="9"/>
    <w:rsid w:val="00EE206D"/>
    <w:rPr>
      <w:rFonts w:asciiTheme="majorHAnsi" w:eastAsiaTheme="majorEastAsia" w:hAnsiTheme="majorHAnsi" w:cstheme="majorBidi"/>
      <w:b/>
      <w:bCs/>
      <w:color w:val="4F81BD" w:themeColor="accent1"/>
      <w:sz w:val="26"/>
      <w:szCs w:val="26"/>
      <w:lang w:val="en-GB" w:eastAsia="en-GB"/>
    </w:rPr>
  </w:style>
  <w:style w:type="character" w:customStyle="1" w:styleId="Heading3Char">
    <w:name w:val="Heading 3 Char"/>
    <w:basedOn w:val="DefaultParagraphFont"/>
    <w:link w:val="Heading3"/>
    <w:uiPriority w:val="9"/>
    <w:semiHidden/>
    <w:rsid w:val="00EE206D"/>
    <w:rPr>
      <w:rFonts w:asciiTheme="majorHAnsi" w:eastAsiaTheme="majorEastAsia" w:hAnsiTheme="majorHAnsi" w:cstheme="majorBidi"/>
      <w:b/>
      <w:bCs/>
      <w:color w:val="4F81BD" w:themeColor="accent1"/>
      <w:lang w:val="en-GB" w:eastAsia="en-GB"/>
    </w:rPr>
  </w:style>
  <w:style w:type="paragraph" w:styleId="BodyText3">
    <w:name w:val="Body Text 3"/>
    <w:basedOn w:val="Normal"/>
    <w:link w:val="BodyText3Char"/>
    <w:uiPriority w:val="99"/>
    <w:semiHidden/>
    <w:unhideWhenUsed/>
    <w:rsid w:val="005F0AA3"/>
    <w:pPr>
      <w:spacing w:after="120"/>
    </w:pPr>
    <w:rPr>
      <w:sz w:val="16"/>
      <w:szCs w:val="16"/>
    </w:rPr>
  </w:style>
  <w:style w:type="character" w:customStyle="1" w:styleId="BodyText3Char">
    <w:name w:val="Body Text 3 Char"/>
    <w:basedOn w:val="DefaultParagraphFont"/>
    <w:link w:val="BodyText3"/>
    <w:uiPriority w:val="99"/>
    <w:semiHidden/>
    <w:rsid w:val="005F0AA3"/>
    <w:rPr>
      <w:rFonts w:ascii="Calibri" w:eastAsia="Times New Roman" w:hAnsi="Calibri" w:cs="Times New Roman"/>
      <w:sz w:val="16"/>
      <w:szCs w:val="16"/>
      <w:lang w:val="en-GB" w:eastAsia="en-GB"/>
    </w:rPr>
  </w:style>
  <w:style w:type="table" w:customStyle="1" w:styleId="TableGrid0">
    <w:name w:val="TableGrid"/>
    <w:rsid w:val="0033150F"/>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18383E-EA20-47B6-A230-1BAD1D596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3725</Words>
  <Characters>21239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vesna.vujacic</dc:creator>
  <cp:lastModifiedBy>vesna.vujacic</cp:lastModifiedBy>
  <cp:revision>36</cp:revision>
  <cp:lastPrinted>2018-12-04T09:02:00Z</cp:lastPrinted>
  <dcterms:created xsi:type="dcterms:W3CDTF">2018-12-04T07:49:00Z</dcterms:created>
  <dcterms:modified xsi:type="dcterms:W3CDTF">2018-12-04T09:37:00Z</dcterms:modified>
</cp:coreProperties>
</file>