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715429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  <w:lang w:val="hr-BA"/>
        </w:rPr>
      </w:pPr>
      <w:r w:rsidRPr="00715429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CRNA GORA</w:t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MINISTARSTVO FINANSIJA</w:t>
      </w:r>
    </w:p>
    <w:p w:rsidR="0082570B" w:rsidRPr="00715429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Direktorat</w:t>
      </w:r>
      <w:r w:rsidR="0082570B" w:rsidRPr="00715429">
        <w:rPr>
          <w:b/>
          <w:bCs/>
          <w:noProof/>
          <w:sz w:val="28"/>
          <w:szCs w:val="28"/>
          <w:lang w:val="hr-BA"/>
        </w:rPr>
        <w:t xml:space="preserve"> za ekonomsku politiku i razvoj</w:t>
      </w:r>
    </w:p>
    <w:p w:rsidR="0082570B" w:rsidRPr="00715429" w:rsidRDefault="0082570B" w:rsidP="00D61692">
      <w:pPr>
        <w:rPr>
          <w:rFonts w:cs="Calibri"/>
          <w:noProof/>
          <w:lang w:val="hr-BA"/>
        </w:rPr>
      </w:pPr>
    </w:p>
    <w:p w:rsidR="0082570B" w:rsidRPr="00715429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  <w:lang w:val="hr-BA"/>
        </w:rPr>
      </w:pPr>
      <w:r w:rsidRPr="00715429">
        <w:rPr>
          <w:rFonts w:cs="Calibri"/>
          <w:b/>
          <w:bCs/>
          <w:iCs/>
          <w:noProof/>
          <w:sz w:val="52"/>
          <w:szCs w:val="52"/>
          <w:lang w:val="hr-BA"/>
        </w:rPr>
        <w:t>MJESEČNI MAKROEKONOMSKI INDIKATORI</w:t>
      </w:r>
    </w:p>
    <w:p w:rsidR="0082570B" w:rsidRPr="00715429" w:rsidRDefault="00C06AB7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  <w:lang w:val="hr-BA"/>
        </w:rPr>
      </w:pPr>
      <w:r>
        <w:rPr>
          <w:rFonts w:cs="Calibri"/>
          <w:b/>
          <w:bCs/>
          <w:noProof/>
          <w:sz w:val="32"/>
          <w:szCs w:val="32"/>
          <w:lang w:val="hr-BA"/>
        </w:rPr>
        <w:t>Avgust</w:t>
      </w:r>
      <w:r w:rsidR="007D0106" w:rsidRPr="00715429">
        <w:rPr>
          <w:rFonts w:cs="Calibri"/>
          <w:b/>
          <w:bCs/>
          <w:noProof/>
          <w:sz w:val="32"/>
          <w:szCs w:val="32"/>
          <w:lang w:val="hr-BA"/>
        </w:rPr>
        <w:t xml:space="preserve"> </w:t>
      </w:r>
      <w:r w:rsidR="006D2B20" w:rsidRPr="00715429">
        <w:rPr>
          <w:rFonts w:cs="Calibri"/>
          <w:b/>
          <w:bCs/>
          <w:noProof/>
          <w:sz w:val="32"/>
          <w:szCs w:val="32"/>
          <w:lang w:val="hr-BA"/>
        </w:rPr>
        <w:t>2014</w:t>
      </w:r>
      <w:r w:rsidR="0082570B" w:rsidRPr="00715429">
        <w:rPr>
          <w:rFonts w:cs="Calibri"/>
          <w:b/>
          <w:bCs/>
          <w:noProof/>
          <w:sz w:val="32"/>
          <w:szCs w:val="32"/>
          <w:lang w:val="hr-BA"/>
        </w:rPr>
        <w:t>.</w:t>
      </w: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D5331F" w:rsidP="00D20CDA">
      <w:pPr>
        <w:spacing w:after="0" w:line="240" w:lineRule="auto"/>
        <w:rPr>
          <w:rFonts w:cs="Calibri"/>
          <w:bCs/>
          <w:noProof/>
          <w:sz w:val="28"/>
          <w:szCs w:val="28"/>
          <w:lang w:val="hr-BA"/>
        </w:rPr>
      </w:pPr>
      <w:r w:rsidRPr="00D5331F">
        <w:rPr>
          <w:noProof/>
          <w:lang w:val="hr-B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1pt;margin-top:363pt;width:234.35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9851E4" w:rsidRDefault="009851E4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9851E4" w:rsidRDefault="009851E4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8E33EA" w:rsidRDefault="008E33EA" w:rsidP="008E33EA">
                  <w:pPr>
                    <w:pStyle w:val="NoSpacing"/>
                    <w:numPr>
                      <w:ilvl w:val="0"/>
                      <w:numId w:val="28"/>
                    </w:numPr>
                    <w:spacing w:after="160"/>
                    <w:ind w:left="425" w:hanging="357"/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</w:pPr>
                  <w:r w:rsidRPr="000F6673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Zapadne zemlje uvele sankcije Rusiji, koja je odgovorila kontramjerama</w:t>
                  </w:r>
                  <w:r w:rsidR="00340909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.</w:t>
                  </w:r>
                </w:p>
                <w:p w:rsidR="008E33EA" w:rsidRDefault="008E33EA" w:rsidP="008E33EA">
                  <w:pPr>
                    <w:pStyle w:val="NoSpacing"/>
                    <w:numPr>
                      <w:ilvl w:val="0"/>
                      <w:numId w:val="28"/>
                    </w:numPr>
                    <w:spacing w:after="160"/>
                    <w:ind w:left="425" w:hanging="357"/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</w:pPr>
                  <w:r w:rsidRPr="000F6673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Neuo</w:t>
                  </w:r>
                  <w:r w:rsidR="00DC74BC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 xml:space="preserve">bičajeno loši vremenski uslovi </w:t>
                  </w:r>
                  <w:r w:rsidRPr="000F6673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uticali su na pad dol</w:t>
                  </w:r>
                  <w:r w:rsidR="009A7E4A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azaka turista u julu 2014.</w:t>
                  </w:r>
                </w:p>
                <w:p w:rsidR="008E33EA" w:rsidRDefault="008E33EA" w:rsidP="008E33EA">
                  <w:pPr>
                    <w:pStyle w:val="NoSpacing"/>
                    <w:numPr>
                      <w:ilvl w:val="0"/>
                      <w:numId w:val="28"/>
                    </w:numPr>
                    <w:spacing w:after="160"/>
                    <w:ind w:left="425" w:hanging="357"/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</w:pPr>
                  <w:r w:rsidRPr="00543E60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Potrošačke cijene (HICP) u julu niže za 0,9%.</w:t>
                  </w:r>
                </w:p>
                <w:p w:rsidR="008E33EA" w:rsidRDefault="00DC74BC" w:rsidP="008E33EA">
                  <w:pPr>
                    <w:pStyle w:val="NoSpacing"/>
                    <w:numPr>
                      <w:ilvl w:val="0"/>
                      <w:numId w:val="28"/>
                    </w:numPr>
                    <w:spacing w:after="160"/>
                    <w:ind w:left="425" w:hanging="357"/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 xml:space="preserve">Izvorni prihodi budžeta </w:t>
                  </w:r>
                  <w:r w:rsidR="008E33EA" w:rsidRPr="00543E60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u julu 2014. niži za 1,5 % u odnosu na jul 2013. godine</w:t>
                  </w:r>
                </w:p>
                <w:p w:rsidR="008E33EA" w:rsidRPr="000F6673" w:rsidRDefault="00D965EE" w:rsidP="008E33EA">
                  <w:pPr>
                    <w:pStyle w:val="NoSpacing"/>
                    <w:numPr>
                      <w:ilvl w:val="0"/>
                      <w:numId w:val="28"/>
                    </w:numPr>
                    <w:spacing w:after="160"/>
                    <w:ind w:left="425" w:hanging="357"/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U</w:t>
                  </w:r>
                  <w:r w:rsidR="008E33EA" w:rsidRPr="00543E60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kupan</w:t>
                  </w:r>
                  <w:r w:rsidR="00DC74BC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 xml:space="preserve"> priliv SDI, </w:t>
                  </w:r>
                  <w:r w:rsidR="008E33EA" w:rsidRPr="00543E60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u junu iznosio  50,3 mil.€</w:t>
                  </w:r>
                  <w:r w:rsidR="00340909"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  <w:t>.</w:t>
                  </w:r>
                </w:p>
                <w:p w:rsidR="009851E4" w:rsidRPr="00E2362B" w:rsidRDefault="009851E4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715429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  <w:lang w:val="hr-BA"/>
        </w:rPr>
      </w:pPr>
    </w:p>
    <w:p w:rsidR="0082570B" w:rsidRPr="00715429" w:rsidRDefault="0085138D" w:rsidP="00D61692">
      <w:pPr>
        <w:pStyle w:val="NoSpacing"/>
        <w:rPr>
          <w:bCs/>
          <w:iCs/>
          <w:noProof/>
          <w:sz w:val="26"/>
          <w:szCs w:val="26"/>
          <w:lang w:val="hr-BA"/>
        </w:rPr>
      </w:pPr>
      <w:r>
        <w:rPr>
          <w:bCs/>
          <w:iCs/>
          <w:noProof/>
          <w:sz w:val="26"/>
          <w:szCs w:val="26"/>
          <w:lang w:val="hr-BA"/>
        </w:rPr>
        <w:t xml:space="preserve">          </w:t>
      </w:r>
    </w:p>
    <w:p w:rsidR="0082570B" w:rsidRPr="00715429" w:rsidRDefault="0085138D" w:rsidP="00694445">
      <w:pPr>
        <w:pStyle w:val="NoSpacing"/>
        <w:rPr>
          <w:bCs/>
          <w:noProof/>
          <w:sz w:val="28"/>
          <w:szCs w:val="20"/>
          <w:lang w:val="hr-BA"/>
        </w:rPr>
      </w:pPr>
      <w:r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  <w:r w:rsidRPr="00715429">
        <w:rPr>
          <w:b/>
          <w:bCs/>
          <w:noProof/>
          <w:color w:val="000000"/>
          <w:sz w:val="16"/>
          <w:szCs w:val="16"/>
          <w:lang w:val="hr-BA"/>
        </w:rPr>
        <w:t xml:space="preserve">Autori priloga: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Radovan Živković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 Radojka Martinović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, Olja Tomanović, </w:t>
      </w:r>
      <w:r w:rsidR="00074D6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Stanko Jeknić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B5F63" w:rsidRPr="00715429">
        <w:rPr>
          <w:bCs/>
          <w:noProof/>
          <w:color w:val="000000"/>
          <w:sz w:val="16"/>
          <w:szCs w:val="16"/>
          <w:lang w:val="hr-BA"/>
        </w:rPr>
        <w:t>Marija Novosel</w:t>
      </w:r>
      <w:r w:rsidR="00A423C3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 xml:space="preserve"> Zdenka</w:t>
      </w:r>
      <w:r w:rsidR="00F03604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Dabović</w:t>
      </w:r>
      <w:r w:rsidR="00E2362B">
        <w:rPr>
          <w:bCs/>
          <w:noProof/>
          <w:color w:val="000000"/>
          <w:sz w:val="16"/>
          <w:szCs w:val="16"/>
          <w:lang w:val="hr-BA"/>
        </w:rPr>
        <w:t>, Milanka Jovanović</w:t>
      </w: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noProof/>
          <w:lang w:val="hr-BA"/>
        </w:rPr>
      </w:pPr>
    </w:p>
    <w:tbl>
      <w:tblPr>
        <w:tblpPr w:leftFromText="180" w:rightFromText="180" w:vertAnchor="text" w:tblpX="108" w:tblpY="1"/>
        <w:tblOverlap w:val="never"/>
        <w:tblW w:w="1074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46"/>
        <w:gridCol w:w="3652"/>
        <w:gridCol w:w="142"/>
      </w:tblGrid>
      <w:tr w:rsidR="0082570B" w:rsidRPr="00715429" w:rsidTr="002C4845">
        <w:trPr>
          <w:gridAfter w:val="1"/>
          <w:wAfter w:w="14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715429" w:rsidRDefault="002127F9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  <w:r w:rsidRPr="002127F9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268000" cy="21600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715429" w:rsidTr="002C4845">
        <w:trPr>
          <w:gridAfter w:val="1"/>
          <w:wAfter w:w="142" w:type="dxa"/>
          <w:trHeight w:hRule="exact" w:val="3226"/>
        </w:trPr>
        <w:tc>
          <w:tcPr>
            <w:tcW w:w="6946" w:type="dxa"/>
            <w:tcBorders>
              <w:top w:val="single" w:sz="4" w:space="0" w:color="auto"/>
            </w:tcBorders>
          </w:tcPr>
          <w:p w:rsidR="00B73FD4" w:rsidRPr="00715429" w:rsidRDefault="00022F81" w:rsidP="00A22FCE">
            <w:pPr>
              <w:spacing w:line="240" w:lineRule="auto"/>
              <w:jc w:val="both"/>
              <w:rPr>
                <w:noProof/>
                <w:sz w:val="20"/>
                <w:szCs w:val="20"/>
                <w:lang w:val="hr-BA"/>
              </w:rPr>
            </w:pPr>
            <w:r>
              <w:rPr>
                <w:noProof/>
                <w:sz w:val="20"/>
                <w:szCs w:val="20"/>
                <w:lang w:val="hr-BA"/>
              </w:rPr>
              <w:t>Kao odgovor na uvođenje sankcija, Rusija je uzvratila kontramjerama u vidu zabrane uvoza mesa, voća, povrća, sira i mliječnih proizvoda iz zemalja koje su uvele sankcije kao i onih koje su ih podržale. Rusko tržište mora da se preorjentiše brzo, jer je Rusija uvoznik skoro polovine potreba za hranom s obzirom na neefikasnu poljoprivrednu proizvodnju i sporu modernizaciju. Vrijednost ruskog uvoza koji se odnosi na ovaj segment iznosi  oko 5 mlrd.€. S obzirom da uvoz pića nije obuhvaćen sankcijama Rusije, Crna Gora neće preptrpj</w:t>
            </w:r>
            <w:r w:rsidR="00340909">
              <w:rPr>
                <w:noProof/>
                <w:sz w:val="20"/>
                <w:szCs w:val="20"/>
                <w:lang w:val="hr-BA"/>
              </w:rPr>
              <w:t>eti štetu iako je među zemljama</w:t>
            </w:r>
            <w:r>
              <w:rPr>
                <w:noProof/>
                <w:sz w:val="20"/>
                <w:szCs w:val="20"/>
                <w:lang w:val="hr-BA"/>
              </w:rPr>
              <w:t xml:space="preserve"> obuhvaćenim ruskim sankcijama. Vrijednost izvoza vina (Plantaže) iznosila je oko 1,7 mil.€ u prethodnoj godini.  Sankcije su izazvale oštar pad rublje i pad cijena ruskih akcija, na jednoj strani,  a na drugoj se u EU  očekuje stagnacija ekonomske aktivnosti u trećem kvartalu, posle slabog rasta u drugom kvartalu. Njemačka je zabilježila pad BDP-a od 0,6%, Italija 0,8% i Francuska 0,1%, dok je Španija zabilježila rast od 2,4%.</w:t>
            </w: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715429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</w:p>
        </w:tc>
      </w:tr>
      <w:tr w:rsidR="0082570B" w:rsidRPr="00715429" w:rsidTr="002C484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8A31C0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  <w:noProof/>
                <w:lang w:val="hr-BA"/>
              </w:rPr>
            </w:pPr>
            <w:r w:rsidRPr="00715429">
              <w:rPr>
                <w:rStyle w:val="CaptionChar"/>
                <w:noProof/>
                <w:lang w:val="hr-BA"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715429" w:rsidRDefault="00DE587D" w:rsidP="001D21BD">
            <w:pPr>
              <w:spacing w:after="0" w:line="240" w:lineRule="auto"/>
              <w:ind w:left="-250"/>
              <w:jc w:val="center"/>
              <w:rPr>
                <w:noProof/>
                <w:lang w:val="hr-BA"/>
              </w:rPr>
            </w:pPr>
            <w:r w:rsidRPr="00DE587D">
              <w:rPr>
                <w:noProof/>
              </w:rPr>
              <w:drawing>
                <wp:inline distT="0" distB="0" distL="0" distR="0">
                  <wp:extent cx="2228850" cy="2190750"/>
                  <wp:effectExtent l="0" t="0" r="0" b="0"/>
                  <wp:docPr id="9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E587D" w:rsidRPr="00715429" w:rsidTr="002C4845">
        <w:trPr>
          <w:gridAfter w:val="1"/>
          <w:wAfter w:w="142" w:type="dxa"/>
          <w:trHeight w:hRule="exact" w:val="3862"/>
        </w:trPr>
        <w:tc>
          <w:tcPr>
            <w:tcW w:w="6946" w:type="dxa"/>
            <w:tcBorders>
              <w:top w:val="single" w:sz="4" w:space="0" w:color="auto"/>
            </w:tcBorders>
          </w:tcPr>
          <w:p w:rsidR="009729C4" w:rsidRPr="004F72E6" w:rsidRDefault="009729C4" w:rsidP="009729C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Neuobičajeno loši vremenski uslovi uticali su na pad dolazaka turista u julu 2014, </w:t>
            </w:r>
            <w:r w:rsidRPr="00174BB8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pri čemu su turisti iz Rusije i Ukrajine, koji čine oko 1/3 ukupnog broja, uprkos krizi u tim zemljama, ostvarili rast dolazaka od 5,5% g-n-g. </w:t>
            </w:r>
            <w:r w:rsidRPr="00243EE7">
              <w:rPr>
                <w:sz w:val="20"/>
                <w:szCs w:val="20"/>
              </w:rPr>
              <w:t xml:space="preserve">Pad dolazaka </w:t>
            </w:r>
            <w:r>
              <w:rPr>
                <w:sz w:val="20"/>
                <w:szCs w:val="20"/>
              </w:rPr>
              <w:t xml:space="preserve">(5,7%) </w:t>
            </w:r>
            <w:r w:rsidRPr="00243EE7">
              <w:rPr>
                <w:sz w:val="20"/>
                <w:szCs w:val="20"/>
              </w:rPr>
              <w:t>registrovan je kod turista iz Srbije koji čine oko 1/4 ukupnog broja i domaćih turista</w:t>
            </w:r>
            <w:r>
              <w:rPr>
                <w:sz w:val="20"/>
                <w:szCs w:val="20"/>
              </w:rPr>
              <w:t xml:space="preserve"> (2,9%) koji čine oko 9,0</w:t>
            </w:r>
            <w:r w:rsidRPr="00243EE7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ukupnog broja dolazaka.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74BB8">
              <w:rPr>
                <w:sz w:val="20"/>
                <w:szCs w:val="20"/>
              </w:rPr>
              <w:t xml:space="preserve">Crnu Goru je u julu posjetilo 343,5 hilj.turista, što je pad od 1,3% g-n-g, dok je ostvareno 2,3 mil.noćenja ili 0,9% više g-n-g. </w:t>
            </w:r>
            <w:r>
              <w:rPr>
                <w:sz w:val="20"/>
                <w:szCs w:val="20"/>
              </w:rPr>
              <w:t>Industrijska proizvodnja u julu 2014. g-n-g bilježi pad od 16,5%, pri čemu su pad ostvarili sektori „prerađivačka industrija“ 24,6% i „snabdijevanje el.energijom, gasom i parom“ 3,7%, dok je u sektoru „vađenje rude i kamena“ zabilježen rast od 3,3%. U okviru prerađivačke industrije značajan pad u julu g-n-g, bilježi proizvodnja pića (25,8%), farmaceutskih proizvoda (65,2%) i osnovnih metala (27,5%), dok je rast ostvaren kod proizvodnje prehrambenih proizvoda (1,2%), ostalih nemetalnih minerala (4,3%) i mašina i opreme na drugom mjestu nepomenute (3,6%). Vrijednost izvršenih građevinskih radova u II kvartalu 2014. veća je za 3,3% g-n-g, dok je za šest mjeseci g-n-g, iznosio 14,9%.</w:t>
            </w:r>
          </w:p>
          <w:p w:rsidR="00DE587D" w:rsidRPr="00715429" w:rsidRDefault="00DE587D" w:rsidP="009729C4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vAlign w:val="center"/>
          </w:tcPr>
          <w:p w:rsidR="00DE587D" w:rsidRPr="00715429" w:rsidRDefault="00DE587D" w:rsidP="00DE587D">
            <w:pPr>
              <w:spacing w:after="119" w:line="240" w:lineRule="auto"/>
              <w:jc w:val="center"/>
              <w:rPr>
                <w:noProof/>
                <w:lang w:val="hr-BA"/>
              </w:rPr>
            </w:pPr>
          </w:p>
        </w:tc>
      </w:tr>
      <w:tr w:rsidR="00DE587D" w:rsidRPr="00715429" w:rsidTr="002C484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DE587D" w:rsidRPr="00715429" w:rsidRDefault="00DE587D" w:rsidP="00DE587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DE587D" w:rsidRPr="00715429" w:rsidRDefault="009F327D" w:rsidP="00DE587D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  <w:lang w:val="hr-BA"/>
              </w:rPr>
            </w:pPr>
            <w:r w:rsidRPr="009F327D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084576" cy="1886350"/>
                  <wp:effectExtent l="0" t="0" r="0" b="0"/>
                  <wp:docPr id="10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DE587D" w:rsidRPr="00715429" w:rsidTr="002C4845">
        <w:trPr>
          <w:gridAfter w:val="1"/>
          <w:wAfter w:w="142" w:type="dxa"/>
          <w:trHeight w:hRule="exact" w:val="3005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E587D" w:rsidRDefault="009F327D" w:rsidP="000712B9">
            <w:pPr>
              <w:spacing w:line="240" w:lineRule="auto"/>
              <w:jc w:val="both"/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Potrošačke cijene (HICP) u julu 2014. ostale su na istom nivou kao prethodnog mjeseca, dok su u odnosu na jul 2013. niže za 0,9%. </w:t>
            </w:r>
            <w:r w:rsidRPr="009F2C1D">
              <w:rPr>
                <w:rFonts w:asciiTheme="minorHAnsi" w:hAnsiTheme="minorHAnsi"/>
                <w:sz w:val="20"/>
                <w:szCs w:val="20"/>
              </w:rPr>
              <w:t>Stopa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i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>nflacij</w:t>
            </w:r>
            <w:r w:rsidR="00AA6286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>, mjerena harmonizovanim indeksom potrošačkih cijena,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 xml:space="preserve"> u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julu 2014. 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 xml:space="preserve">bilježi </w:t>
            </w:r>
            <w:r>
              <w:rPr>
                <w:rFonts w:asciiTheme="minorHAnsi" w:hAnsiTheme="minorHAnsi"/>
                <w:sz w:val="20"/>
                <w:szCs w:val="20"/>
              </w:rPr>
              <w:t>pad od 0,9% g-n-g. Najznač</w:t>
            </w:r>
            <w:r w:rsidR="00AF7CF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jniji uticaj na pad godišnje stope inflacije imala je grupa „hrana i bezalkoholna pića“ sa padom cijena 3,3%, pri čemu je najveći pad zabilježen kod cijena ulja i masti 20,9%, voća 10,9% i povrća </w:t>
            </w:r>
            <w:r w:rsidR="00AE745C">
              <w:rPr>
                <w:rFonts w:asciiTheme="minorHAnsi" w:hAnsiTheme="minorHAnsi"/>
                <w:sz w:val="20"/>
                <w:szCs w:val="20"/>
              </w:rPr>
              <w:t>9,3%.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Uticaj ovih podgrupa u procentnim poenima na zabilježenu godišnju inflaciju u julu iznosio je -0,65p.p. Inflacija, mjerena indeksom potrošačkih cijena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(CPI)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u julu 2014. pokazuje pad od 1,2% g-n-g i pad 0,4% m-n-m, dok je za period januar-jul, pad iznosio 0,8% g-n-g.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Cijene proizvođača industrijskih proizvoda u </w:t>
            </w:r>
            <w:r>
              <w:rPr>
                <w:rFonts w:asciiTheme="minorHAnsi" w:hAnsiTheme="minorHAnsi"/>
                <w:sz w:val="20"/>
                <w:szCs w:val="20"/>
              </w:rPr>
              <w:t>julu 2014. ostale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su na istom nivou kao prethodnog mjeseca i porasle 0,1% u odnosu na jul 2013. Inflacija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u Evropskoj Uniji u </w:t>
            </w:r>
            <w:r>
              <w:rPr>
                <w:rFonts w:asciiTheme="minorHAnsi" w:hAnsiTheme="minorHAnsi"/>
                <w:sz w:val="20"/>
                <w:szCs w:val="20"/>
              </w:rPr>
              <w:t>julu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2014. </w:t>
            </w:r>
            <w:r>
              <w:rPr>
                <w:rFonts w:asciiTheme="minorHAnsi" w:hAnsiTheme="minorHAnsi"/>
                <w:sz w:val="20"/>
                <w:szCs w:val="20"/>
              </w:rPr>
              <w:t>g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odine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iznosila je </w:t>
            </w:r>
            <w:r>
              <w:rPr>
                <w:rFonts w:asciiTheme="minorHAnsi" w:hAnsiTheme="minorHAnsi"/>
                <w:sz w:val="20"/>
                <w:szCs w:val="20"/>
              </w:rPr>
              <w:t>0,6%, dok je u Eu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zoni </w:t>
            </w:r>
            <w:r>
              <w:rPr>
                <w:rFonts w:asciiTheme="minorHAnsi" w:hAnsiTheme="minorHAnsi"/>
                <w:sz w:val="20"/>
                <w:szCs w:val="20"/>
              </w:rPr>
              <w:t>iznosila 0,4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%.</w:t>
            </w:r>
          </w:p>
          <w:p w:rsidR="00DE587D" w:rsidRPr="00CF4446" w:rsidRDefault="00DE587D" w:rsidP="009F327D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DE587D" w:rsidRPr="00715429" w:rsidRDefault="00DE587D" w:rsidP="009F327D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  <w:lang w:val="hr-BA"/>
              </w:rPr>
            </w:pPr>
          </w:p>
          <w:p w:rsidR="00DE587D" w:rsidRPr="00715429" w:rsidRDefault="00DE587D" w:rsidP="009F327D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DE587D" w:rsidRPr="00715429" w:rsidRDefault="00DE587D" w:rsidP="00DE587D">
            <w:pPr>
              <w:pStyle w:val="NoSpacing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</w:tr>
      <w:tr w:rsidR="00DE587D" w:rsidRPr="00715429" w:rsidTr="002C4845">
        <w:trPr>
          <w:gridAfter w:val="1"/>
          <w:wAfter w:w="142" w:type="dxa"/>
          <w:trHeight w:hRule="exact" w:val="3799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E587D" w:rsidRPr="00A3560C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  <w:lang w:val="hr-BA"/>
              </w:rPr>
            </w:pPr>
            <w:r w:rsidRPr="00A3560C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Zaposlenost i zarade</w:t>
            </w:r>
          </w:p>
          <w:p w:rsidR="00DE587D" w:rsidRPr="00E34692" w:rsidRDefault="00446DA9" w:rsidP="000712B9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eastAsia="PMingLiU" w:cs="Calibri"/>
                <w:sz w:val="20"/>
                <w:szCs w:val="20"/>
                <w:lang w:eastAsia="zh-TW"/>
              </w:rPr>
            </w:pPr>
            <w:r w:rsidRPr="000712B9">
              <w:rPr>
                <w:b/>
                <w:sz w:val="20"/>
                <w:szCs w:val="18"/>
                <w:lang w:val="sr-Latn-CS"/>
              </w:rPr>
              <w:t>Na tržištu rada zaposlenost se u julu u odnosu na jun povećala (0,9%), a nezaposlenost smanjila (1,4%), što je rezultat uticaja sezone.</w:t>
            </w:r>
            <w:r w:rsidRPr="000712B9">
              <w:rPr>
                <w:sz w:val="20"/>
                <w:szCs w:val="18"/>
                <w:lang w:val="sr-Latn-CS"/>
              </w:rPr>
              <w:t xml:space="preserve"> Broj zaposlenih u julu 2014. je iznosio 141.408 ili 1,5% više nego u julu 2013, dok je uporedo za sedmomje</w:t>
            </w:r>
            <w:r w:rsidR="00B3132A">
              <w:rPr>
                <w:sz w:val="20"/>
                <w:szCs w:val="18"/>
                <w:lang w:val="sr-Latn-CS"/>
              </w:rPr>
              <w:t>sečni period povećana 0,8%. Pri</w:t>
            </w:r>
            <w:r w:rsidRPr="000712B9">
              <w:rPr>
                <w:sz w:val="20"/>
                <w:szCs w:val="18"/>
                <w:lang w:val="sr-Latn-CS"/>
              </w:rPr>
              <w:t xml:space="preserve">tom, broj nezaposlenih je iznosio 31.115 ili 3,4% </w:t>
            </w:r>
            <w:r w:rsidR="00E32881">
              <w:rPr>
                <w:sz w:val="20"/>
                <w:szCs w:val="18"/>
                <w:lang w:val="sr-Latn-CS"/>
              </w:rPr>
              <w:t>više nego u julu 2013, i</w:t>
            </w:r>
            <w:r w:rsidRPr="000712B9">
              <w:rPr>
                <w:sz w:val="20"/>
                <w:szCs w:val="18"/>
                <w:lang w:val="sr-Latn-CS"/>
              </w:rPr>
              <w:t xml:space="preserve"> 5,2%</w:t>
            </w:r>
            <w:r w:rsidR="00A96249">
              <w:rPr>
                <w:sz w:val="20"/>
                <w:szCs w:val="18"/>
                <w:lang w:val="sr-Latn-CS"/>
              </w:rPr>
              <w:t xml:space="preserve"> više nego u istom periodu 2013.</w:t>
            </w:r>
            <w:r w:rsidR="00B3132A">
              <w:rPr>
                <w:sz w:val="20"/>
                <w:szCs w:val="18"/>
                <w:lang w:val="sr-Latn-CS"/>
              </w:rPr>
              <w:t xml:space="preserve"> Stopa</w:t>
            </w:r>
            <w:r w:rsidRPr="000712B9">
              <w:rPr>
                <w:sz w:val="20"/>
                <w:szCs w:val="18"/>
                <w:lang w:val="sr-Latn-CS"/>
              </w:rPr>
              <w:t xml:space="preserve"> nezaposlenosti u julu 2014. je iznosi</w:t>
            </w:r>
            <w:r w:rsidR="00B3132A">
              <w:rPr>
                <w:sz w:val="20"/>
                <w:szCs w:val="18"/>
                <w:lang w:val="sr-Latn-CS"/>
              </w:rPr>
              <w:t>la 3,4% i povećala</w:t>
            </w:r>
            <w:r w:rsidRPr="000712B9">
              <w:rPr>
                <w:sz w:val="20"/>
                <w:szCs w:val="18"/>
                <w:lang w:val="sr-Latn-CS"/>
              </w:rPr>
              <w:t xml:space="preserve"> se za 0,4 p.p. </w:t>
            </w:r>
            <w:r w:rsidR="00D737CD">
              <w:rPr>
                <w:sz w:val="20"/>
                <w:szCs w:val="18"/>
                <w:lang w:val="sr-Latn-CS"/>
              </w:rPr>
              <w:t xml:space="preserve">u odnosu na </w:t>
            </w:r>
            <w:r w:rsidR="00C41B46">
              <w:rPr>
                <w:sz w:val="20"/>
                <w:szCs w:val="18"/>
                <w:lang w:val="sr-Latn-CS"/>
              </w:rPr>
              <w:t>isti mjesec</w:t>
            </w:r>
            <w:r w:rsidR="00D737CD">
              <w:rPr>
                <w:sz w:val="20"/>
                <w:szCs w:val="18"/>
                <w:lang w:val="sr-Latn-CS"/>
              </w:rPr>
              <w:t xml:space="preserve"> prošle godine.</w:t>
            </w:r>
            <w:r w:rsidRPr="000712B9">
              <w:rPr>
                <w:sz w:val="20"/>
                <w:szCs w:val="18"/>
                <w:lang w:val="sr-Latn-CS"/>
              </w:rPr>
              <w:t xml:space="preserve"> Broj oglašenih slobodnih radnih mjesta za sedam mjeseci 2014. je iznosio 25</w:t>
            </w:r>
            <w:r w:rsidR="00AC28E1">
              <w:rPr>
                <w:sz w:val="20"/>
                <w:szCs w:val="18"/>
                <w:lang w:val="sr-Latn-CS"/>
              </w:rPr>
              <w:t>.</w:t>
            </w:r>
            <w:r w:rsidRPr="000712B9">
              <w:rPr>
                <w:sz w:val="20"/>
                <w:szCs w:val="18"/>
                <w:lang w:val="sr-Latn-CS"/>
              </w:rPr>
              <w:t xml:space="preserve">466 ili 2,8 puta više </w:t>
            </w:r>
            <w:r w:rsidR="00CC7595">
              <w:rPr>
                <w:sz w:val="20"/>
                <w:szCs w:val="18"/>
                <w:lang w:val="sr-Latn-CS"/>
              </w:rPr>
              <w:t>g-n-g</w:t>
            </w:r>
            <w:r w:rsidRPr="000712B9">
              <w:rPr>
                <w:sz w:val="20"/>
                <w:szCs w:val="18"/>
                <w:lang w:val="sr-Latn-CS"/>
              </w:rPr>
              <w:t>, dok je broj izdatih radnih dozvola strancima iznosio 1</w:t>
            </w:r>
            <w:r w:rsidR="00AA728A">
              <w:rPr>
                <w:sz w:val="20"/>
                <w:szCs w:val="18"/>
                <w:lang w:val="sr-Latn-CS"/>
              </w:rPr>
              <w:t>5</w:t>
            </w:r>
            <w:r w:rsidR="00AC28E1">
              <w:rPr>
                <w:sz w:val="20"/>
                <w:szCs w:val="18"/>
                <w:lang w:val="sr-Latn-CS"/>
              </w:rPr>
              <w:t>.</w:t>
            </w:r>
            <w:r w:rsidR="00AA728A">
              <w:rPr>
                <w:sz w:val="20"/>
                <w:szCs w:val="18"/>
                <w:lang w:val="sr-Latn-CS"/>
              </w:rPr>
              <w:t>953 ili</w:t>
            </w:r>
            <w:r w:rsidR="00F037C2">
              <w:rPr>
                <w:sz w:val="20"/>
                <w:szCs w:val="18"/>
                <w:lang w:val="sr-Latn-CS"/>
              </w:rPr>
              <w:t xml:space="preserve"> za 1,3% manje</w:t>
            </w:r>
            <w:r w:rsidR="00AC28E1">
              <w:rPr>
                <w:sz w:val="20"/>
                <w:szCs w:val="18"/>
                <w:lang w:val="sr-Latn-CS"/>
              </w:rPr>
              <w:t xml:space="preserve"> </w:t>
            </w:r>
            <w:r w:rsidR="00AA728A">
              <w:rPr>
                <w:sz w:val="20"/>
                <w:szCs w:val="18"/>
                <w:lang w:val="sr-Latn-CS"/>
              </w:rPr>
              <w:t>g-n-g</w:t>
            </w:r>
            <w:r w:rsidR="00AC28E1">
              <w:rPr>
                <w:sz w:val="20"/>
                <w:szCs w:val="18"/>
                <w:lang w:val="sr-Latn-CS"/>
              </w:rPr>
              <w:t xml:space="preserve">. </w:t>
            </w:r>
            <w:r w:rsidRPr="000712B9">
              <w:rPr>
                <w:sz w:val="20"/>
                <w:szCs w:val="18"/>
                <w:lang w:val="sr-Latn-CS"/>
              </w:rPr>
              <w:t xml:space="preserve">Prosječna zarada </w:t>
            </w:r>
            <w:r w:rsidR="00F92FB6">
              <w:rPr>
                <w:sz w:val="20"/>
                <w:szCs w:val="18"/>
                <w:lang w:val="sr-Latn-CS"/>
              </w:rPr>
              <w:t>u julu 2014. je iznosila 713€, i</w:t>
            </w:r>
            <w:r w:rsidRPr="000712B9">
              <w:rPr>
                <w:sz w:val="20"/>
                <w:szCs w:val="18"/>
                <w:lang w:val="sr-Latn-CS"/>
              </w:rPr>
              <w:t xml:space="preserve"> manja je 1,7% u odnosu na jun, a za uporedni sedmomjesečni period manja </w:t>
            </w:r>
            <w:r w:rsidR="00303F02">
              <w:rPr>
                <w:sz w:val="20"/>
                <w:szCs w:val="18"/>
                <w:lang w:val="sr-Latn-CS"/>
              </w:rPr>
              <w:t xml:space="preserve">je </w:t>
            </w:r>
            <w:r w:rsidRPr="000712B9">
              <w:rPr>
                <w:sz w:val="20"/>
                <w:szCs w:val="18"/>
                <w:lang w:val="sr-Latn-CS"/>
              </w:rPr>
              <w:t xml:space="preserve">za 0,4%. Neto zarade u julu 2014.  iznosile </w:t>
            </w:r>
            <w:r w:rsidR="00303F02">
              <w:rPr>
                <w:sz w:val="20"/>
                <w:szCs w:val="18"/>
                <w:lang w:val="sr-Latn-CS"/>
              </w:rPr>
              <w:t xml:space="preserve">su </w:t>
            </w:r>
            <w:r w:rsidRPr="000712B9">
              <w:rPr>
                <w:sz w:val="20"/>
                <w:szCs w:val="18"/>
                <w:lang w:val="sr-Latn-CS"/>
              </w:rPr>
              <w:t xml:space="preserve">470€, </w:t>
            </w:r>
            <w:r w:rsidR="006B21AB">
              <w:rPr>
                <w:sz w:val="20"/>
                <w:szCs w:val="18"/>
                <w:lang w:val="sr-Latn-CS"/>
              </w:rPr>
              <w:t>i smanjene su 1,7% g-n-g, dok su u pe</w:t>
            </w:r>
            <w:r w:rsidR="00CF7392">
              <w:rPr>
                <w:sz w:val="20"/>
                <w:szCs w:val="18"/>
                <w:lang w:val="sr-Latn-CS"/>
              </w:rPr>
              <w:t>riodu januar-jul, smanjene 0,8%</w:t>
            </w:r>
            <w:r w:rsidR="00CC7595">
              <w:rPr>
                <w:sz w:val="20"/>
                <w:szCs w:val="18"/>
                <w:lang w:val="sr-Latn-CS"/>
              </w:rPr>
              <w:t xml:space="preserve"> g-n-g</w:t>
            </w:r>
            <w:r w:rsidR="00CF7392">
              <w:rPr>
                <w:sz w:val="20"/>
                <w:szCs w:val="18"/>
                <w:lang w:val="sr-Latn-CS"/>
              </w:rPr>
              <w:t>.</w:t>
            </w:r>
            <w:r w:rsidRPr="000712B9">
              <w:rPr>
                <w:sz w:val="20"/>
                <w:szCs w:val="18"/>
                <w:lang w:val="sr-Latn-CS"/>
              </w:rPr>
              <w:t xml:space="preserve"> Neto zarada u</w:t>
            </w:r>
            <w:r w:rsidR="005B32A9">
              <w:rPr>
                <w:sz w:val="20"/>
                <w:szCs w:val="18"/>
                <w:lang w:val="sr-Latn-CS"/>
              </w:rPr>
              <w:t xml:space="preserve"> julu 2014</w:t>
            </w:r>
            <w:r w:rsidRPr="000712B9">
              <w:rPr>
                <w:sz w:val="20"/>
                <w:szCs w:val="18"/>
                <w:lang w:val="sr-Latn-CS"/>
              </w:rPr>
              <w:t>. realno je smanjena za 1,3%</w:t>
            </w:r>
            <w:r w:rsidR="005B32A9">
              <w:rPr>
                <w:sz w:val="20"/>
                <w:szCs w:val="18"/>
                <w:lang w:val="sr-Latn-CS"/>
              </w:rPr>
              <w:t xml:space="preserve"> g-n-g</w:t>
            </w:r>
            <w:r w:rsidRPr="000712B9">
              <w:rPr>
                <w:sz w:val="20"/>
                <w:szCs w:val="18"/>
                <w:lang w:val="sr-Latn-CS"/>
              </w:rPr>
              <w:t xml:space="preserve">, a u periodu januar-jul 2014. je na istom nivou kao u </w:t>
            </w:r>
            <w:r w:rsidR="00E1390E">
              <w:rPr>
                <w:sz w:val="20"/>
                <w:szCs w:val="18"/>
                <w:lang w:val="sr-Latn-CS"/>
              </w:rPr>
              <w:t xml:space="preserve">uporednom </w:t>
            </w:r>
            <w:r w:rsidRPr="000712B9">
              <w:rPr>
                <w:sz w:val="20"/>
                <w:szCs w:val="18"/>
                <w:lang w:val="sr-Latn-CS"/>
              </w:rPr>
              <w:t>periodu  2013.</w:t>
            </w:r>
          </w:p>
          <w:p w:rsidR="00DE587D" w:rsidRPr="00E34692" w:rsidRDefault="00DE587D" w:rsidP="00DE587D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DE587D" w:rsidRPr="00E34692" w:rsidRDefault="00DE587D" w:rsidP="00DE587D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DE587D" w:rsidRPr="00715429" w:rsidRDefault="00DE587D" w:rsidP="00DE587D">
            <w:pPr>
              <w:pStyle w:val="NoSpacing"/>
              <w:jc w:val="center"/>
              <w:rPr>
                <w:noProof/>
                <w:sz w:val="20"/>
                <w:szCs w:val="20"/>
                <w:lang w:val="hr-BA"/>
              </w:rPr>
            </w:pPr>
            <w:r w:rsidRPr="00C237D7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985848" cy="1844043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DE587D" w:rsidRPr="00715429" w:rsidTr="008F56AC">
        <w:trPr>
          <w:trHeight w:hRule="exact" w:val="4613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3A6A2F" w:rsidRDefault="00DE587D" w:rsidP="003A6A2F">
            <w:pPr>
              <w:pStyle w:val="NormalWeb"/>
              <w:numPr>
                <w:ilvl w:val="0"/>
                <w:numId w:val="1"/>
              </w:numPr>
              <w:pBdr>
                <w:bottom w:val="single" w:sz="4" w:space="1" w:color="auto"/>
              </w:pBd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3A6A2F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Javne finansije</w:t>
            </w:r>
          </w:p>
          <w:p w:rsidR="00DE587D" w:rsidRPr="002A1639" w:rsidRDefault="00FB3CC6" w:rsidP="00340909">
            <w:pPr>
              <w:spacing w:after="0" w:line="240" w:lineRule="auto"/>
              <w:jc w:val="both"/>
              <w:rPr>
                <w:rFonts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3A6A2F">
              <w:rPr>
                <w:rFonts w:asciiTheme="minorHAnsi" w:hAnsiTheme="minorHAnsi" w:cstheme="minorHAnsi"/>
                <w:b/>
                <w:sz w:val="20"/>
                <w:szCs w:val="20"/>
              </w:rPr>
              <w:t>Izvorni prihodi budžeta Crne Gore u julu 2014.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ostvareni su u iznosu od 120,7 mil</w:t>
            </w:r>
            <w:r w:rsidR="009C6D28">
              <w:rPr>
                <w:rFonts w:asciiTheme="minorHAnsi" w:hAnsiTheme="minorHAnsi" w:cstheme="minorHAnsi"/>
                <w:sz w:val="20"/>
                <w:szCs w:val="20"/>
              </w:rPr>
              <w:t>.€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>, što je za 1,5 % ma</w:t>
            </w:r>
            <w:r w:rsidR="009C6D28">
              <w:rPr>
                <w:rFonts w:asciiTheme="minorHAnsi" w:hAnsiTheme="minorHAnsi" w:cstheme="minorHAnsi"/>
                <w:sz w:val="20"/>
                <w:szCs w:val="20"/>
              </w:rPr>
              <w:t>nje u odnosu na jul 2013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>. Pritom, naplata prihoda po osnovu PDV-a manja je 3,</w:t>
            </w:r>
            <w:r w:rsidR="009C6D28">
              <w:rPr>
                <w:rFonts w:asciiTheme="minorHAnsi" w:hAnsiTheme="minorHAnsi" w:cstheme="minorHAnsi"/>
                <w:sz w:val="20"/>
                <w:szCs w:val="20"/>
              </w:rPr>
              <w:t>3 % u odnosu na jul 2013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>. Ovo  je posljedica niže potrošnje u sektoru turizma u odnosu na prošlu god</w:t>
            </w:r>
            <w:r w:rsidR="004E12DB">
              <w:rPr>
                <w:rFonts w:asciiTheme="minorHAnsi" w:hAnsiTheme="minorHAnsi" w:cstheme="minorHAnsi"/>
                <w:sz w:val="20"/>
                <w:szCs w:val="20"/>
              </w:rPr>
              <w:t>inu. Naplata prihoda od poreza i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d</w:t>
            </w:r>
            <w:r w:rsidR="00340909">
              <w:rPr>
                <w:rFonts w:asciiTheme="minorHAnsi" w:hAnsiTheme="minorHAnsi" w:cstheme="minorHAnsi"/>
                <w:sz w:val="20"/>
                <w:szCs w:val="20"/>
              </w:rPr>
              <w:t>oprinosa u ovom mjesecu povećana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40909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za 2,5% u odnosu na isti mjesec prošle godine. </w:t>
            </w:r>
            <w:r w:rsidRPr="003A6A2F">
              <w:rPr>
                <w:rFonts w:asciiTheme="minorHAnsi" w:hAnsiTheme="minorHAnsi" w:cstheme="minorHAnsi"/>
                <w:b/>
                <w:sz w:val="20"/>
                <w:szCs w:val="20"/>
              </w:rPr>
              <w:t>Izdaci budžeta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u ju</w:t>
            </w:r>
            <w:r w:rsidR="009C6D28">
              <w:rPr>
                <w:rFonts w:asciiTheme="minorHAnsi" w:hAnsiTheme="minorHAnsi" w:cstheme="minorHAnsi"/>
                <w:sz w:val="20"/>
                <w:szCs w:val="20"/>
              </w:rPr>
              <w:t>lu 2014.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iznosili su 101,5 mi</w:t>
            </w:r>
            <w:r w:rsidR="00050101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340909">
              <w:rPr>
                <w:rFonts w:asciiTheme="minorHAnsi" w:hAnsiTheme="minorHAnsi" w:cstheme="minorHAnsi"/>
                <w:sz w:val="20"/>
                <w:szCs w:val="20"/>
              </w:rPr>
              <w:t>iona eura i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niži su u od</w:t>
            </w:r>
            <w:r w:rsidR="009C6D28">
              <w:rPr>
                <w:rFonts w:asciiTheme="minorHAnsi" w:hAnsiTheme="minorHAnsi" w:cstheme="minorHAnsi"/>
                <w:sz w:val="20"/>
                <w:szCs w:val="20"/>
              </w:rPr>
              <w:t>nosu na isti mjesec 2013.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za 58,8 miliona eura, ili 36,7 %,</w:t>
            </w:r>
            <w:r w:rsidR="00F16D4D">
              <w:rPr>
                <w:rFonts w:asciiTheme="minorHAnsi" w:hAnsiTheme="minorHAnsi" w:cstheme="minorHAnsi"/>
                <w:sz w:val="20"/>
                <w:szCs w:val="20"/>
              </w:rPr>
              <w:t xml:space="preserve"> (kao posljedica plaćenih garancija u iznosu </w:t>
            </w:r>
            <w:r w:rsidR="008F56AC">
              <w:rPr>
                <w:rFonts w:asciiTheme="minorHAnsi" w:hAnsiTheme="minorHAnsi" w:cstheme="minorHAnsi"/>
                <w:sz w:val="20"/>
                <w:szCs w:val="20"/>
              </w:rPr>
              <w:t>od 60,1 mil. € u julu 2013.</w:t>
            </w:r>
            <w:r w:rsidR="00F16D4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3409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430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6A2F">
              <w:rPr>
                <w:rFonts w:asciiTheme="minorHAnsi" w:hAnsiTheme="minorHAnsi" w:cstheme="minorHAnsi"/>
                <w:b/>
                <w:sz w:val="20"/>
                <w:szCs w:val="20"/>
              </w:rPr>
              <w:t>Suficit budžeta</w:t>
            </w:r>
            <w:r w:rsidR="008F56AC">
              <w:rPr>
                <w:rFonts w:asciiTheme="minorHAnsi" w:hAnsiTheme="minorHAnsi" w:cstheme="minorHAnsi"/>
                <w:sz w:val="20"/>
                <w:szCs w:val="20"/>
              </w:rPr>
              <w:t xml:space="preserve"> u julu 2014.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iznosio je 19,1 mil</w:t>
            </w:r>
            <w:r w:rsidR="009C6D28">
              <w:rPr>
                <w:rFonts w:asciiTheme="minorHAnsi" w:hAnsiTheme="minorHAnsi" w:cstheme="minorHAnsi"/>
                <w:sz w:val="20"/>
                <w:szCs w:val="20"/>
              </w:rPr>
              <w:t>.€,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dok je u periodu januar-jul 2014. budžetski deficit iznosio 44,8 mil</w:t>
            </w:r>
            <w:r w:rsidR="008D6E5C">
              <w:rPr>
                <w:rFonts w:asciiTheme="minorHAnsi" w:hAnsiTheme="minorHAnsi" w:cstheme="minorHAnsi"/>
                <w:sz w:val="20"/>
                <w:szCs w:val="20"/>
              </w:rPr>
              <w:t>.€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7335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niži je za 60,8% u odnosu na isti period 2013</w:t>
            </w:r>
            <w:r w:rsidR="00340909">
              <w:rPr>
                <w:rFonts w:asciiTheme="minorHAnsi" w:hAnsiTheme="minorHAnsi" w:cstheme="minorHAnsi"/>
                <w:sz w:val="20"/>
                <w:szCs w:val="20"/>
              </w:rPr>
              <w:t>. usljed plaćenih garancija u 2013</w:t>
            </w:r>
            <w:r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430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489" w:rsidRPr="00912CF8">
              <w:rPr>
                <w:rFonts w:asciiTheme="minorHAnsi" w:hAnsiTheme="minorHAnsi" w:cstheme="minorHAnsi"/>
                <w:b/>
                <w:sz w:val="20"/>
                <w:szCs w:val="20"/>
              </w:rPr>
              <w:t>Državni dug</w:t>
            </w:r>
            <w:r w:rsidR="004A3489" w:rsidRPr="004A3489">
              <w:rPr>
                <w:rFonts w:asciiTheme="minorHAnsi" w:hAnsiTheme="minorHAnsi" w:cstheme="minorHAnsi"/>
                <w:sz w:val="20"/>
                <w:szCs w:val="20"/>
              </w:rPr>
              <w:t xml:space="preserve"> na kraju juna 2014. iznosio je 2.022,1 mil</w:t>
            </w:r>
            <w:r w:rsidR="008D6E5C">
              <w:rPr>
                <w:rFonts w:asciiTheme="minorHAnsi" w:hAnsiTheme="minorHAnsi" w:cstheme="minorHAnsi"/>
                <w:sz w:val="20"/>
                <w:szCs w:val="20"/>
              </w:rPr>
              <w:t>.€,</w:t>
            </w:r>
            <w:r w:rsidR="004A3489" w:rsidRPr="004A3489">
              <w:rPr>
                <w:rFonts w:asciiTheme="minorHAnsi" w:hAnsiTheme="minorHAnsi" w:cstheme="minorHAnsi"/>
                <w:sz w:val="20"/>
                <w:szCs w:val="20"/>
              </w:rPr>
              <w:t xml:space="preserve"> što predstavlja </w:t>
            </w:r>
            <w:r w:rsidR="00340909">
              <w:rPr>
                <w:rFonts w:asciiTheme="minorHAnsi" w:hAnsiTheme="minorHAnsi" w:cstheme="minorHAnsi"/>
                <w:sz w:val="20"/>
                <w:szCs w:val="20"/>
              </w:rPr>
              <w:t>57,5</w:t>
            </w:r>
            <w:r w:rsidR="004A3489" w:rsidRPr="004A3489">
              <w:rPr>
                <w:rFonts w:asciiTheme="minorHAnsi" w:hAnsiTheme="minorHAnsi" w:cstheme="minorHAnsi"/>
                <w:sz w:val="20"/>
                <w:szCs w:val="20"/>
              </w:rPr>
              <w:t xml:space="preserve"> % procijenjenog BDP-a Crne Gore i povećan je za 1,4 p.p. u odnosu na kraj 2013, kao rezultat nominalnog rasta zaduženja, </w:t>
            </w:r>
            <w:r w:rsidR="00340909">
              <w:rPr>
                <w:rFonts w:asciiTheme="minorHAnsi" w:hAnsiTheme="minorHAnsi" w:cstheme="minorHAnsi"/>
                <w:sz w:val="20"/>
                <w:szCs w:val="20"/>
              </w:rPr>
              <w:t xml:space="preserve">i smanjen je </w:t>
            </w:r>
            <w:r w:rsidR="00340909" w:rsidRPr="003A6A2F">
              <w:rPr>
                <w:rFonts w:asciiTheme="minorHAnsi" w:hAnsiTheme="minorHAnsi" w:cstheme="minorHAnsi"/>
                <w:sz w:val="20"/>
                <w:szCs w:val="20"/>
              </w:rPr>
              <w:t xml:space="preserve"> za 0,5 p.p. u odnosu na kraj 2013.  </w:t>
            </w:r>
            <w:r w:rsidR="004A3489" w:rsidRPr="004A3489">
              <w:rPr>
                <w:rFonts w:asciiTheme="minorHAnsi" w:hAnsiTheme="minorHAnsi" w:cstheme="minorHAnsi"/>
                <w:sz w:val="20"/>
                <w:szCs w:val="20"/>
              </w:rPr>
              <w:t>Unutrašnji dug iznosio je 438,3 mil</w:t>
            </w:r>
            <w:r w:rsidR="008D6E5C">
              <w:rPr>
                <w:rFonts w:asciiTheme="minorHAnsi" w:hAnsiTheme="minorHAnsi" w:cstheme="minorHAnsi"/>
                <w:sz w:val="20"/>
                <w:szCs w:val="20"/>
              </w:rPr>
              <w:t>.€</w:t>
            </w:r>
            <w:r w:rsidR="004A3489" w:rsidRPr="004A3489">
              <w:rPr>
                <w:rFonts w:asciiTheme="minorHAnsi" w:hAnsiTheme="minorHAnsi" w:cstheme="minorHAnsi"/>
                <w:sz w:val="20"/>
                <w:szCs w:val="20"/>
              </w:rPr>
              <w:t>, a dug prema nerezidentima 1.583,8 mil</w:t>
            </w:r>
            <w:r w:rsidR="008D6E5C">
              <w:rPr>
                <w:rFonts w:asciiTheme="minorHAnsi" w:hAnsiTheme="minorHAnsi" w:cstheme="minorHAnsi"/>
                <w:sz w:val="20"/>
                <w:szCs w:val="20"/>
              </w:rPr>
              <w:t>.€</w:t>
            </w:r>
            <w:r w:rsidR="004A348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3C1215" w:rsidRDefault="00FB3CC6" w:rsidP="00DE587D">
            <w:pPr>
              <w:rPr>
                <w:noProof/>
                <w:sz w:val="17"/>
                <w:szCs w:val="17"/>
                <w:lang w:val="sr-Latn-CS" w:eastAsia="sr-Latn-CS"/>
              </w:rPr>
            </w:pPr>
            <w:r w:rsidRPr="00FB3CC6">
              <w:rPr>
                <w:noProof/>
                <w:sz w:val="17"/>
                <w:szCs w:val="17"/>
              </w:rPr>
              <w:drawing>
                <wp:inline distT="0" distB="0" distL="0" distR="0">
                  <wp:extent cx="2285609" cy="2232962"/>
                  <wp:effectExtent l="19050" t="0" r="19441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DE587D" w:rsidRPr="00715429" w:rsidTr="002C4845">
        <w:trPr>
          <w:trHeight w:hRule="exact" w:val="4527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0712B9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0712B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Monetarni sektor</w:t>
            </w:r>
          </w:p>
          <w:p w:rsidR="00DE587D" w:rsidRPr="003C543D" w:rsidRDefault="00DE587D" w:rsidP="00DE587D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Julska kretanja obilježio je rast kreditne aktivnosti na mjesečnom nivou i povećanje ukupnih depozita i kapitala.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 w:rsidRPr="004512FD">
              <w:rPr>
                <w:b/>
                <w:noProof/>
                <w:sz w:val="20"/>
                <w:szCs w:val="20"/>
              </w:rPr>
              <w:t>depozit</w:t>
            </w:r>
            <w:r>
              <w:rPr>
                <w:b/>
                <w:noProof/>
                <w:sz w:val="20"/>
                <w:szCs w:val="20"/>
              </w:rPr>
              <w:t>i</w:t>
            </w:r>
            <w:r w:rsidRPr="00436828">
              <w:rPr>
                <w:noProof/>
                <w:sz w:val="20"/>
                <w:szCs w:val="20"/>
              </w:rPr>
              <w:t xml:space="preserve"> su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436828">
              <w:rPr>
                <w:noProof/>
                <w:sz w:val="20"/>
                <w:szCs w:val="20"/>
              </w:rPr>
              <w:t>iznosili</w:t>
            </w:r>
            <w:r>
              <w:rPr>
                <w:noProof/>
                <w:sz w:val="20"/>
                <w:szCs w:val="20"/>
              </w:rPr>
              <w:t xml:space="preserve"> 2.188,2 mil.€ i na mjesečnom nivou su ostvarili rast od 1,9% i na godišnjem 5,4%. Rastu depozita najviše je doprinio sektor stanovništva i privrede, pri čemu je sektor stanovništva, kao najznačajniji deponent bankarskog sistema, ostvario neto štednju od 376,5 mil.€, što je za 21,3% više u odnosu na isti mjesec prethodne godine.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Ukupno odobreni</w:t>
            </w:r>
            <w:r w:rsidRPr="00E91677">
              <w:rPr>
                <w:b/>
                <w:noProof/>
                <w:sz w:val="20"/>
                <w:szCs w:val="20"/>
              </w:rPr>
              <w:t xml:space="preserve"> krediti</w:t>
            </w:r>
            <w:r w:rsidRPr="00ED7ABA"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banaka</w:t>
            </w:r>
            <w:r w:rsidRPr="003C543D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su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krajem jula iznosili 2.402,7mil. € i povećani su za 1,1% ili 26,4 mil.€ na mjesečnom nivou, dok su za 4,1% smanjeni u odnosu na isti mjesec prethodne godine.</w:t>
            </w:r>
            <w:r w:rsidR="00DA40A3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Pritom, za sedam mjeseci ove godine odobreno</w:t>
            </w:r>
            <w:r w:rsidR="0098375C">
              <w:rPr>
                <w:noProof/>
                <w:sz w:val="20"/>
                <w:szCs w:val="20"/>
              </w:rPr>
              <w:t xml:space="preserve"> je</w:t>
            </w:r>
            <w:r>
              <w:rPr>
                <w:noProof/>
                <w:sz w:val="20"/>
                <w:szCs w:val="20"/>
              </w:rPr>
              <w:t xml:space="preserve"> 415,7 mil.€ novih kreditnih plasmana, što predstavlja rast od 3,9% ili 15,5 mil.€ u odnosu na isti period prethodne godine. </w:t>
            </w:r>
            <w:r w:rsidRPr="00DB0286">
              <w:rPr>
                <w:b/>
                <w:noProof/>
                <w:sz w:val="20"/>
                <w:szCs w:val="20"/>
              </w:rPr>
              <w:t>Nelikvidnost</w:t>
            </w:r>
            <w:r>
              <w:rPr>
                <w:noProof/>
                <w:sz w:val="20"/>
                <w:szCs w:val="20"/>
              </w:rPr>
              <w:t xml:space="preserve"> realnog sektora se ogleda kroz broj blokiranih pravnih lica, koji </w:t>
            </w:r>
            <w:r w:rsidR="004E12DB">
              <w:rPr>
                <w:noProof/>
                <w:sz w:val="20"/>
                <w:szCs w:val="20"/>
              </w:rPr>
              <w:t>je</w:t>
            </w:r>
            <w:r>
              <w:rPr>
                <w:noProof/>
                <w:sz w:val="20"/>
                <w:szCs w:val="20"/>
              </w:rPr>
              <w:t xml:space="preserve"> u julu </w:t>
            </w:r>
            <w:r w:rsidR="004E12DB">
              <w:rPr>
                <w:noProof/>
                <w:sz w:val="20"/>
                <w:szCs w:val="20"/>
              </w:rPr>
              <w:t>ove godine iznosio</w:t>
            </w:r>
            <w:r>
              <w:rPr>
                <w:noProof/>
                <w:sz w:val="20"/>
                <w:szCs w:val="20"/>
              </w:rPr>
              <w:t xml:space="preserve"> 13.653, što je u odnosu na stanje</w:t>
            </w:r>
            <w:r w:rsidR="0023090D">
              <w:rPr>
                <w:noProof/>
                <w:sz w:val="20"/>
                <w:szCs w:val="20"/>
              </w:rPr>
              <w:t xml:space="preserve"> iz prethodnog mjeseca više za </w:t>
            </w:r>
            <w:r>
              <w:rPr>
                <w:noProof/>
                <w:sz w:val="20"/>
                <w:szCs w:val="20"/>
              </w:rPr>
              <w:t xml:space="preserve">38 kompanija ili 0,73%, dok je ukupan dug sa iznosom od 445,7 mil.€, smanjen za 8,7% u odnosu na prethodni mjesec. Aktivne </w:t>
            </w:r>
            <w:r w:rsidRPr="00F7742A">
              <w:rPr>
                <w:b/>
                <w:noProof/>
                <w:sz w:val="20"/>
                <w:szCs w:val="20"/>
              </w:rPr>
              <w:t>kamatne stope</w:t>
            </w:r>
            <w:r>
              <w:rPr>
                <w:noProof/>
                <w:sz w:val="20"/>
                <w:szCs w:val="20"/>
              </w:rPr>
              <w:t xml:space="preserve"> su i dalje visoke, tako da je kamatna stopa na ukupne kredite iznosila 9,55% i bila je na nivou iz prethodnog mjeseca,</w:t>
            </w:r>
            <w:r w:rsidR="00A35630">
              <w:rPr>
                <w:noProof/>
                <w:sz w:val="20"/>
                <w:szCs w:val="20"/>
              </w:rPr>
              <w:t xml:space="preserve"> dok je pasivna kamatna stopa </w:t>
            </w:r>
            <w:r>
              <w:rPr>
                <w:noProof/>
                <w:sz w:val="20"/>
                <w:szCs w:val="20"/>
              </w:rPr>
              <w:t>iznosila 2,08% i zabilježila je pad od 0,11 p. p. na mjesečnom nivou.</w:t>
            </w:r>
          </w:p>
          <w:p w:rsidR="00DE587D" w:rsidRPr="00715429" w:rsidRDefault="00DE587D" w:rsidP="00DE587D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715429" w:rsidRDefault="00DE587D" w:rsidP="00DE587D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562086">
              <w:rPr>
                <w:noProof/>
                <w:sz w:val="17"/>
                <w:szCs w:val="17"/>
              </w:rPr>
              <w:drawing>
                <wp:inline distT="0" distB="0" distL="0" distR="0">
                  <wp:extent cx="2307167" cy="1957917"/>
                  <wp:effectExtent l="0" t="0" r="0" b="0"/>
                  <wp:docPr id="7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E587D" w:rsidRPr="00715429" w:rsidTr="002C4845">
        <w:trPr>
          <w:trHeight w:hRule="exact" w:val="6091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354DDA" w:rsidRDefault="00DE587D" w:rsidP="008902D3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0712B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 xml:space="preserve">Spoljnotrgovinska razmjena </w:t>
            </w:r>
          </w:p>
          <w:p w:rsidR="000712B9" w:rsidRDefault="00B74693" w:rsidP="004C2EA5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BD7F0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0712B9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Veći procentualni pad izvoza od uvoza uticao je na povećanje deficita </w:t>
            </w:r>
            <w:r w:rsidR="0089194A">
              <w:rPr>
                <w:rFonts w:asciiTheme="minorHAnsi" w:hAnsiTheme="minorHAnsi" w:cstheme="minorHAnsi"/>
                <w:b/>
                <w:sz w:val="20"/>
                <w:szCs w:val="18"/>
              </w:rPr>
              <w:t>robne razmjene za period januar–</w:t>
            </w:r>
            <w:r w:rsidRPr="000712B9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jul 2014.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Spoljnotrgovinski deficit je povećan za 5,3% i iznosio je 834,6mil.€, usljed pada izvoza za 21,8% i uvoza 0,8%. Ukupna robna razmjena</w:t>
            </w:r>
            <w:r w:rsidRPr="000712B9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iznosila je 1.19</w:t>
            </w:r>
            <w:r w:rsidR="00A63DB2">
              <w:rPr>
                <w:rFonts w:asciiTheme="minorHAnsi" w:hAnsiTheme="minorHAnsi" w:cstheme="minorHAnsi"/>
                <w:sz w:val="20"/>
                <w:szCs w:val="18"/>
              </w:rPr>
              <w:t>1,3mil.€, što je za 4,6% manje g-n-g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. Ukupan izvoz je iznosio 178,3 mil.€, dok je uvoz vrijedio 1.012,9 mil.€. Pokrivenost uvoza izvozom </w:t>
            </w:r>
            <w:r w:rsidR="004C2EA5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630010">
              <w:rPr>
                <w:rFonts w:asciiTheme="minorHAnsi" w:hAnsiTheme="minorHAnsi" w:cstheme="minorHAnsi"/>
                <w:sz w:val="20"/>
                <w:szCs w:val="18"/>
              </w:rPr>
              <w:t xml:space="preserve">(17,6%)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smanjena</w:t>
            </w:r>
            <w:r w:rsidR="00736C15">
              <w:rPr>
                <w:rFonts w:asciiTheme="minorHAnsi" w:hAnsiTheme="minorHAnsi" w:cstheme="minorHAnsi"/>
                <w:sz w:val="20"/>
                <w:szCs w:val="18"/>
              </w:rPr>
              <w:t xml:space="preserve"> je za </w:t>
            </w:r>
            <w:r w:rsidR="00B45BDC">
              <w:rPr>
                <w:rFonts w:asciiTheme="minorHAnsi" w:hAnsiTheme="minorHAnsi" w:cstheme="minorHAnsi"/>
                <w:sz w:val="20"/>
                <w:szCs w:val="18"/>
              </w:rPr>
              <w:t>4,7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p</w:t>
            </w:r>
            <w:r w:rsidR="00361C27">
              <w:rPr>
                <w:rFonts w:asciiTheme="minorHAnsi" w:hAnsiTheme="minorHAnsi" w:cstheme="minorHAnsi"/>
                <w:sz w:val="20"/>
                <w:szCs w:val="18"/>
              </w:rPr>
              <w:t>.p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.</w:t>
            </w:r>
            <w:r w:rsidR="00736C15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Pr="000712B9">
              <w:rPr>
                <w:rFonts w:asciiTheme="minorHAnsi" w:hAnsiTheme="minorHAnsi"/>
                <w:sz w:val="20"/>
                <w:szCs w:val="18"/>
              </w:rPr>
              <w:t xml:space="preserve">Smanjenju </w:t>
            </w:r>
            <w:r w:rsidRPr="000712B9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izvoza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najviše je doprinio </w:t>
            </w:r>
            <w:r w:rsidR="0017563A">
              <w:rPr>
                <w:rFonts w:asciiTheme="minorHAnsi" w:hAnsiTheme="minorHAnsi" w:cstheme="minorHAnsi"/>
                <w:sz w:val="20"/>
                <w:szCs w:val="18"/>
              </w:rPr>
              <w:t>pad dominantnih kategorija u strukturi izvoza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, aluminijum</w:t>
            </w:r>
            <w:r w:rsidR="000712B9">
              <w:rPr>
                <w:rFonts w:asciiTheme="minorHAnsi" w:hAnsiTheme="minorHAnsi" w:cstheme="minorHAnsi"/>
                <w:sz w:val="20"/>
                <w:szCs w:val="18"/>
              </w:rPr>
              <w:t xml:space="preserve"> (19,5%) i električn</w:t>
            </w:r>
            <w:r w:rsidR="0017563A">
              <w:rPr>
                <w:rFonts w:asciiTheme="minorHAnsi" w:hAnsiTheme="minorHAnsi" w:cstheme="minorHAnsi"/>
                <w:sz w:val="20"/>
                <w:szCs w:val="18"/>
              </w:rPr>
              <w:t>a</w:t>
            </w:r>
            <w:r w:rsidR="000712B9">
              <w:rPr>
                <w:rFonts w:asciiTheme="minorHAnsi" w:hAnsiTheme="minorHAnsi" w:cstheme="minorHAnsi"/>
                <w:sz w:val="20"/>
                <w:szCs w:val="18"/>
              </w:rPr>
              <w:t xml:space="preserve"> energij</w:t>
            </w:r>
            <w:r w:rsidR="0017563A">
              <w:rPr>
                <w:rFonts w:asciiTheme="minorHAnsi" w:hAnsiTheme="minorHAnsi" w:cstheme="minorHAnsi"/>
                <w:sz w:val="20"/>
                <w:szCs w:val="18"/>
              </w:rPr>
              <w:t>a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 (64,0%). </w:t>
            </w:r>
            <w:r w:rsidR="000712B9">
              <w:rPr>
                <w:rFonts w:asciiTheme="minorHAnsi" w:hAnsiTheme="minorHAnsi" w:cstheme="minorHAnsi"/>
                <w:sz w:val="20"/>
                <w:szCs w:val="18"/>
              </w:rPr>
              <w:t>P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ozitivan uticaj na kretanje izvoza imala je kategorija hrana i žive životinje </w:t>
            </w:r>
            <w:r w:rsidR="0017563A">
              <w:rPr>
                <w:rFonts w:asciiTheme="minorHAnsi" w:hAnsiTheme="minorHAnsi" w:cstheme="minorHAnsi"/>
                <w:sz w:val="20"/>
                <w:szCs w:val="18"/>
              </w:rPr>
              <w:t xml:space="preserve">sa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rast</w:t>
            </w:r>
            <w:r w:rsidR="0017563A">
              <w:rPr>
                <w:rFonts w:asciiTheme="minorHAnsi" w:hAnsiTheme="minorHAnsi" w:cstheme="minorHAnsi"/>
                <w:sz w:val="20"/>
                <w:szCs w:val="18"/>
              </w:rPr>
              <w:t>om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 od 107,0%. U </w:t>
            </w:r>
            <w:r w:rsidRPr="000712B9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uvozu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dominiraju proizvodi sektora hrana i žive životinje (21,7%), mašine i transportna sredstva (19,0%) i proizvodi svrstani po materijalu (15,5%). Smanjenju </w:t>
            </w:r>
            <w:r w:rsidRPr="000712B9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uvoza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najviše je doprinio</w:t>
            </w:r>
            <w:r w:rsidRPr="000712B9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>pad uvoza kategorije ostala transportna sredstva za 85,0%, el</w:t>
            </w:r>
            <w:r w:rsidR="00B45BDC">
              <w:rPr>
                <w:rFonts w:asciiTheme="minorHAnsi" w:hAnsiTheme="minorHAnsi" w:cstheme="minorHAnsi"/>
                <w:sz w:val="20"/>
                <w:szCs w:val="18"/>
              </w:rPr>
              <w:t>.</w:t>
            </w:r>
            <w:r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 energij</w:t>
            </w:r>
            <w:r w:rsidR="00A478AD" w:rsidRPr="000712B9">
              <w:rPr>
                <w:rFonts w:asciiTheme="minorHAnsi" w:hAnsiTheme="minorHAnsi" w:cstheme="minorHAnsi"/>
                <w:sz w:val="20"/>
                <w:szCs w:val="18"/>
              </w:rPr>
              <w:t>a</w:t>
            </w:r>
            <w:r w:rsidR="00ED7615"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 18,0% i naft</w:t>
            </w:r>
            <w:r w:rsidR="00A478AD" w:rsidRPr="000712B9">
              <w:rPr>
                <w:rFonts w:asciiTheme="minorHAnsi" w:hAnsiTheme="minorHAnsi" w:cstheme="minorHAnsi"/>
                <w:sz w:val="20"/>
                <w:szCs w:val="18"/>
              </w:rPr>
              <w:t>a</w:t>
            </w:r>
            <w:r w:rsidR="00ED7615"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A478AD"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i naftni </w:t>
            </w:r>
            <w:r w:rsidR="00ED7615" w:rsidRPr="000712B9">
              <w:rPr>
                <w:rFonts w:asciiTheme="minorHAnsi" w:hAnsiTheme="minorHAnsi" w:cstheme="minorHAnsi"/>
                <w:sz w:val="20"/>
                <w:szCs w:val="18"/>
              </w:rPr>
              <w:t>derivat</w:t>
            </w:r>
            <w:r w:rsidR="00A478AD" w:rsidRPr="000712B9">
              <w:rPr>
                <w:rFonts w:asciiTheme="minorHAnsi" w:hAnsiTheme="minorHAnsi" w:cstheme="minorHAnsi"/>
                <w:sz w:val="20"/>
                <w:szCs w:val="18"/>
              </w:rPr>
              <w:t>i</w:t>
            </w:r>
            <w:r w:rsidR="00ED7615" w:rsidRPr="000712B9">
              <w:rPr>
                <w:rFonts w:asciiTheme="minorHAnsi" w:hAnsiTheme="minorHAnsi" w:cstheme="minorHAnsi"/>
                <w:sz w:val="20"/>
                <w:szCs w:val="18"/>
              </w:rPr>
              <w:t xml:space="preserve"> 4,0%. </w:t>
            </w:r>
          </w:p>
          <w:p w:rsidR="00DE587D" w:rsidRDefault="00B74693" w:rsidP="008902D3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  <w:r w:rsidRPr="008B6F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 </w:t>
            </w:r>
            <w:r w:rsidR="00DE587D" w:rsidRPr="008B6F16">
              <w:rPr>
                <w:rFonts w:asciiTheme="minorHAnsi" w:hAnsiTheme="minorHAnsi"/>
                <w:b/>
                <w:bCs/>
                <w:noProof/>
                <w:sz w:val="20"/>
                <w:szCs w:val="20"/>
                <w:lang w:val="hr-BA"/>
              </w:rPr>
              <w:t>periodu januar-jun 2014.godine evidentan je trend rasta priliva SDI, koji je iznosio 163,7 mil.€, što je više za 5,5% u poređenju sa istim periodom predhodne godine (155,2 mil.€).</w:t>
            </w:r>
            <w:r w:rsidR="00DE587D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 xml:space="preserve"> </w:t>
            </w:r>
            <w:r w:rsidR="000712B9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>N</w:t>
            </w:r>
            <w:r w:rsidR="00DE587D" w:rsidRPr="006E11E0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>ajznačajniji rast u</w:t>
            </w:r>
            <w:r w:rsidR="0023090D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 xml:space="preserve">kupnog priliva kao i neto SDI, </w:t>
            </w:r>
            <w:r w:rsidR="000712B9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>ostvaren je u junu i iznosio je</w:t>
            </w:r>
            <w:r w:rsidR="00DE587D" w:rsidRPr="006E11E0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 xml:space="preserve"> 50,3 mil.€ i 39,7 mil.€</w:t>
            </w:r>
            <w:r w:rsidR="00DE587D" w:rsidRPr="006E11E0">
              <w:rPr>
                <w:rFonts w:asciiTheme="minorHAnsi" w:hAnsiTheme="minorHAnsi"/>
                <w:bCs/>
                <w:noProof/>
                <w:lang w:val="hr-BA"/>
              </w:rPr>
              <w:t>.</w:t>
            </w:r>
            <w:r w:rsidR="00DE587D">
              <w:rPr>
                <w:rFonts w:asciiTheme="minorHAnsi" w:hAnsiTheme="minorHAnsi"/>
                <w:bCs/>
                <w:noProof/>
                <w:lang w:val="hr-BA"/>
              </w:rPr>
              <w:t xml:space="preserve"> </w:t>
            </w:r>
            <w:r w:rsidR="00DE587D" w:rsidRPr="00354DDA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>Ukupan priliv SDI iznosio je 217,1 mil.€, sa učešćem vlasničkih ulaganja od 44,9% ili 3,4% više nego u 2013. Struktura: investicije u preduzeć</w:t>
            </w:r>
            <w:r w:rsidR="00DE587D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>a i banke 11,4%, što je za oko 2</w:t>
            </w:r>
            <w:r w:rsidR="000C7278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>,5</w:t>
            </w:r>
            <w:r w:rsidR="00F01A24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 xml:space="preserve"> puta više nego u 2013,</w:t>
            </w:r>
            <w:r w:rsidR="00DE587D" w:rsidRPr="00354DDA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 xml:space="preserve"> investicije u nekretnine 33,5% (16,8% manje), interkompanijski dug 53,4% (17,8% više) i ostalo 1,7% (47,8% manje). Ukupan odliv SDI iznosio je 53,4 mil.€ što je za 19,4% više nego u 2013.(44,7 mil.€). U strukturi odliva najveći dio se odnosio na povlačenje sredstava nerezidenata 87,8%, dok su ulaganja rezidenata u inostranstvo 12,2 %.</w:t>
            </w:r>
          </w:p>
          <w:p w:rsidR="00DE587D" w:rsidRPr="00354DDA" w:rsidRDefault="00B74693" w:rsidP="000712B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r-BA"/>
              </w:rPr>
            </w:pPr>
            <w:r w:rsidRPr="00BD7F0E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715429" w:rsidRDefault="00A23A9A" w:rsidP="00DE587D">
            <w:pPr>
              <w:jc w:val="center"/>
              <w:rPr>
                <w:noProof/>
                <w:sz w:val="17"/>
                <w:szCs w:val="17"/>
                <w:lang w:val="hr-BA" w:eastAsia="sr-Latn-CS"/>
              </w:rPr>
            </w:pPr>
            <w:r w:rsidRPr="00A23A9A">
              <w:rPr>
                <w:noProof/>
                <w:sz w:val="17"/>
                <w:szCs w:val="17"/>
              </w:rPr>
              <w:drawing>
                <wp:inline distT="0" distB="0" distL="0" distR="0">
                  <wp:extent cx="2187976" cy="2348564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Pr="004A3489" w:rsidRDefault="0082570B" w:rsidP="00D51C00">
      <w:pPr>
        <w:rPr>
          <w:rFonts w:asciiTheme="minorHAnsi" w:hAnsiTheme="minorHAnsi" w:cstheme="minorHAnsi"/>
          <w:sz w:val="20"/>
          <w:szCs w:val="20"/>
        </w:rPr>
        <w:sectPr w:rsidR="0082570B" w:rsidRPr="004A3489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715429" w:rsidRDefault="0082570B" w:rsidP="00332574">
      <w:pPr>
        <w:jc w:val="center"/>
        <w:outlineLvl w:val="0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t xml:space="preserve">Tabela 1: </w:t>
      </w:r>
      <w:r w:rsidRPr="00715429">
        <w:rPr>
          <w:b/>
          <w:bCs/>
          <w:noProof/>
          <w:sz w:val="17"/>
          <w:szCs w:val="16"/>
          <w:lang w:val="hr-BA"/>
        </w:rPr>
        <w:t>MAKROEKONOMSKI INDIKATORI</w:t>
      </w:r>
      <w:r w:rsidRPr="00715429">
        <w:rPr>
          <w:noProof/>
          <w:sz w:val="17"/>
          <w:szCs w:val="16"/>
          <w:lang w:val="hr-BA"/>
        </w:rPr>
        <w:t xml:space="preserve"> – </w:t>
      </w:r>
      <w:r w:rsidR="003A6F63">
        <w:rPr>
          <w:noProof/>
          <w:sz w:val="17"/>
          <w:szCs w:val="16"/>
          <w:lang w:val="hr-BA"/>
        </w:rPr>
        <w:t>jul</w:t>
      </w:r>
      <w:r w:rsidR="00725E16">
        <w:rPr>
          <w:noProof/>
          <w:sz w:val="17"/>
          <w:szCs w:val="16"/>
          <w:lang w:val="hr-BA"/>
        </w:rPr>
        <w:t xml:space="preserve"> </w:t>
      </w:r>
      <w:r w:rsidRPr="00715429">
        <w:rPr>
          <w:noProof/>
          <w:sz w:val="17"/>
          <w:szCs w:val="16"/>
          <w:lang w:val="hr-BA"/>
        </w:rPr>
        <w:t>201</w:t>
      </w:r>
      <w:r w:rsidR="00B355D6" w:rsidRPr="00715429">
        <w:rPr>
          <w:noProof/>
          <w:sz w:val="17"/>
          <w:szCs w:val="16"/>
          <w:lang w:val="hr-BA"/>
        </w:rPr>
        <w:t>4</w:t>
      </w:r>
      <w:r w:rsidRPr="00715429">
        <w:rPr>
          <w:noProof/>
          <w:sz w:val="17"/>
          <w:szCs w:val="16"/>
          <w:lang w:val="hr-BA"/>
        </w:rPr>
        <w:t>.</w:t>
      </w:r>
      <w:bookmarkStart w:id="0" w:name="_GoBack"/>
      <w:bookmarkEnd w:id="0"/>
    </w:p>
    <w:p w:rsidR="0082570B" w:rsidRPr="00715429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784DAE" w:rsidRPr="00715429" w:rsidRDefault="00784DAE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332574" w:rsidRPr="00715429" w:rsidRDefault="00332574" w:rsidP="00332574">
      <w:pPr>
        <w:spacing w:after="0" w:line="240" w:lineRule="auto"/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MONSTAT, Centralna Banka, Zavod za zapošljavanje Crne Gore</w:t>
      </w:r>
    </w:p>
    <w:p w:rsidR="00332574" w:rsidRPr="00715429" w:rsidRDefault="00332574" w:rsidP="00332574">
      <w:pPr>
        <w:spacing w:after="0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Svi indikatori su prikazani kao godišnje stope rasta (stopa promjene indikatora u posmatranom mjesecu u odnosu na isti mjesec prethodne godine u %) ukoliko nije drugačije naznačeno u nazivu</w:t>
      </w:r>
    </w:p>
    <w:p w:rsidR="0083011C" w:rsidRDefault="00332574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M-n-M označava mjesečnu promjenu (stopa promjene indikatora u posmatranom mjesecu u odnosu na prethodni mjesec u %)</w:t>
      </w:r>
      <w:r w:rsidR="00B012FF">
        <w:rPr>
          <w:i/>
          <w:iCs/>
          <w:noProof/>
          <w:sz w:val="12"/>
          <w:szCs w:val="12"/>
          <w:lang w:val="hr-BA"/>
        </w:rPr>
        <w:t xml:space="preserve"> </w:t>
      </w:r>
      <w:r w:rsidR="00E2362B">
        <w:rPr>
          <w:i/>
          <w:iCs/>
          <w:noProof/>
          <w:sz w:val="12"/>
          <w:szCs w:val="12"/>
          <w:lang w:val="hr-BA"/>
        </w:rPr>
        <w:t>g-n-g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označava </w:t>
      </w:r>
      <w:r w:rsidR="00E2362B">
        <w:rPr>
          <w:i/>
          <w:iCs/>
          <w:noProof/>
          <w:sz w:val="12"/>
          <w:szCs w:val="12"/>
          <w:lang w:val="hr-BA"/>
        </w:rPr>
        <w:t>godišnju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promjenu (stopa promjene indikatora u posmatranom mjesecu</w:t>
      </w:r>
      <w:r w:rsidR="00E2362B">
        <w:rPr>
          <w:i/>
          <w:iCs/>
          <w:noProof/>
          <w:sz w:val="12"/>
          <w:szCs w:val="12"/>
          <w:lang w:val="hr-BA"/>
        </w:rPr>
        <w:t xml:space="preserve">ili periodu 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u odnosu na </w:t>
      </w:r>
      <w:r w:rsidR="00E2362B">
        <w:rPr>
          <w:i/>
          <w:iCs/>
          <w:noProof/>
          <w:sz w:val="12"/>
          <w:szCs w:val="12"/>
          <w:lang w:val="hr-BA"/>
        </w:rPr>
        <w:t>isti mmjesec ili periodprethodne godine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u %)</w:t>
      </w:r>
    </w:p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413FFD" w:rsidRDefault="00413FFD" w:rsidP="00413FFD">
      <w:pPr>
        <w:pStyle w:val="Caption"/>
        <w:keepNext/>
      </w:pPr>
      <w:r>
        <w:t xml:space="preserve">Tabela </w:t>
      </w:r>
      <w:fldSimple w:instr=" SEQ Tabela \* ARABIC ">
        <w:r w:rsidR="0085098F">
          <w:rPr>
            <w:noProof/>
          </w:rPr>
          <w:t>1</w:t>
        </w:r>
      </w:fldSimple>
    </w:p>
    <w:tbl>
      <w:tblPr>
        <w:tblW w:w="16160" w:type="dxa"/>
        <w:tblCellMar>
          <w:left w:w="0" w:type="dxa"/>
          <w:right w:w="0" w:type="dxa"/>
        </w:tblCellMar>
        <w:tblLook w:val="04A0"/>
      </w:tblPr>
      <w:tblGrid>
        <w:gridCol w:w="4680"/>
        <w:gridCol w:w="620"/>
        <w:gridCol w:w="620"/>
        <w:gridCol w:w="620"/>
        <w:gridCol w:w="640"/>
        <w:gridCol w:w="860"/>
        <w:gridCol w:w="680"/>
        <w:gridCol w:w="720"/>
        <w:gridCol w:w="680"/>
        <w:gridCol w:w="680"/>
        <w:gridCol w:w="680"/>
        <w:gridCol w:w="680"/>
        <w:gridCol w:w="680"/>
        <w:gridCol w:w="680"/>
        <w:gridCol w:w="860"/>
        <w:gridCol w:w="800"/>
        <w:gridCol w:w="980"/>
      </w:tblGrid>
      <w:tr w:rsidR="00413FFD" w:rsidRPr="00413FFD" w:rsidTr="00413FFD">
        <w:trPr>
          <w:divId w:val="535197218"/>
          <w:trHeight w:val="4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jul '14 / jul '13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 - jul '14 / jan - jul '13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-16,3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-15,5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-24,6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131,9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2,7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27,9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178.815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176.588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169.044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169.044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167.607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167.173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167.616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30.102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30.947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33.271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33.271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34.680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34.514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34.804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31.570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5,2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17,8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6.311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-42,7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323,9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179,6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2.505,8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2.538,3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2.463,9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2.407,9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447,0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441,9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438,6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438,6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428,3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423,2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425,6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2.075,0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2.144,3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2.084,9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2.098,6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2.096,7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970,2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947,6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951,1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951,1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955,2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948,4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942,6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-3,9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886,8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576,2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612,3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572,8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572,8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553,9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554,8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554,0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3,5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1.192,9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1.218,1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1.218,1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1.218,1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1.221,0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1.237,7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1.235,1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6,5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-0,85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28,4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-21,8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164,9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161,4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130,7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149,0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83,1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112,7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158,2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157,6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183,9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7,7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-140,8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-136,5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-136,9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-136,9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-99,6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-114,5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-60,5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-90,5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-135,1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-132,0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-142,4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-152,1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8,0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5,2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-19,8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39,7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37,1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115,7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111,5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107,8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-6,1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1.769,6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1.816,2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1.814,6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1.814,6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1.748,0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1.739,8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1.740,8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5,9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10,1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-5,9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-0,04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0,01</w:t>
            </w:r>
          </w:p>
        </w:tc>
      </w:tr>
      <w:tr w:rsidR="00413FFD" w:rsidRPr="00413FFD" w:rsidTr="00413FFD">
        <w:trPr>
          <w:divId w:val="535197218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13FF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13FFD" w:rsidRPr="00413FFD" w:rsidRDefault="00413FFD" w:rsidP="00413FFD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413FFD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</w:tr>
    </w:tbl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CD707C" w:rsidRPr="0065398C" w:rsidRDefault="00A30E95" w:rsidP="00784DAE">
      <w:pPr>
        <w:spacing w:after="0" w:line="240" w:lineRule="auto"/>
        <w:ind w:firstLine="142"/>
        <w:jc w:val="center"/>
        <w:rPr>
          <w:noProof/>
          <w:sz w:val="18"/>
          <w:szCs w:val="18"/>
          <w:lang w:val="hr-BA"/>
        </w:rPr>
      </w:pPr>
      <w:r w:rsidRPr="0065398C">
        <w:rPr>
          <w:noProof/>
          <w:sz w:val="18"/>
          <w:szCs w:val="18"/>
          <w:lang w:val="hr-BA"/>
        </w:rPr>
        <w:t>T</w:t>
      </w:r>
      <w:r w:rsidR="00784DAE" w:rsidRPr="0065398C">
        <w:rPr>
          <w:noProof/>
          <w:sz w:val="18"/>
          <w:szCs w:val="18"/>
          <w:lang w:val="hr-BA"/>
        </w:rPr>
        <w:t xml:space="preserve">abela 2: </w:t>
      </w:r>
      <w:r w:rsidR="00784DAE" w:rsidRPr="0065398C">
        <w:rPr>
          <w:b/>
          <w:bCs/>
          <w:noProof/>
          <w:sz w:val="18"/>
          <w:szCs w:val="18"/>
          <w:lang w:val="hr-BA"/>
        </w:rPr>
        <w:t>BUDŽET CRNE GORE</w:t>
      </w:r>
      <w:r w:rsidR="00784DAE" w:rsidRPr="0065398C">
        <w:rPr>
          <w:noProof/>
          <w:sz w:val="18"/>
          <w:szCs w:val="18"/>
          <w:lang w:val="hr-BA"/>
        </w:rPr>
        <w:t xml:space="preserve"> –</w:t>
      </w:r>
      <w:r w:rsidR="003A6F63">
        <w:rPr>
          <w:noProof/>
          <w:sz w:val="18"/>
          <w:szCs w:val="18"/>
          <w:lang w:val="hr-BA"/>
        </w:rPr>
        <w:t xml:space="preserve"> jul</w:t>
      </w:r>
      <w:r w:rsidR="009C5011" w:rsidRPr="0065398C">
        <w:rPr>
          <w:noProof/>
          <w:sz w:val="18"/>
          <w:szCs w:val="18"/>
          <w:lang w:val="hr-BA"/>
        </w:rPr>
        <w:t xml:space="preserve"> 2014</w:t>
      </w:r>
    </w:p>
    <w:tbl>
      <w:tblPr>
        <w:tblW w:w="0" w:type="auto"/>
        <w:tblInd w:w="103" w:type="dxa"/>
        <w:tblLook w:val="04A0"/>
      </w:tblPr>
      <w:tblGrid>
        <w:gridCol w:w="2634"/>
        <w:gridCol w:w="607"/>
        <w:gridCol w:w="677"/>
        <w:gridCol w:w="677"/>
        <w:gridCol w:w="677"/>
        <w:gridCol w:w="677"/>
        <w:gridCol w:w="677"/>
        <w:gridCol w:w="678"/>
        <w:gridCol w:w="678"/>
        <w:gridCol w:w="678"/>
        <w:gridCol w:w="678"/>
        <w:gridCol w:w="678"/>
        <w:gridCol w:w="678"/>
        <w:gridCol w:w="607"/>
        <w:gridCol w:w="867"/>
        <w:gridCol w:w="933"/>
        <w:gridCol w:w="1168"/>
        <w:gridCol w:w="1134"/>
      </w:tblGrid>
      <w:tr w:rsidR="00533C4D" w:rsidRPr="00533C4D" w:rsidTr="00533C4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2013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plan 2014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533C4D">
              <w:rPr>
                <w:rFonts w:cs="Calibri"/>
                <w:b/>
                <w:sz w:val="16"/>
                <w:szCs w:val="16"/>
              </w:rPr>
              <w:t>Analitika-JU</w:t>
            </w:r>
            <w:r w:rsidR="00340909">
              <w:rPr>
                <w:rFonts w:cs="Calibri"/>
                <w:b/>
                <w:sz w:val="16"/>
                <w:szCs w:val="16"/>
              </w:rPr>
              <w:t>L</w:t>
            </w:r>
          </w:p>
        </w:tc>
      </w:tr>
      <w:tr w:rsidR="00533C4D" w:rsidRPr="00533C4D" w:rsidTr="00533C4D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533C4D">
              <w:rPr>
                <w:rFonts w:cs="Calibri"/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XII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VII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jul 2014/jul 2013 (%)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jan-jul 2014/jan-jul 2013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jul 2014/jul 2014 plan (%)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533C4D">
              <w:rPr>
                <w:rFonts w:cs="Calibri"/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122,52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125,05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116,34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117,28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95,78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142,43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70,78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82,13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100,71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109,08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102,20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109,85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120,66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sz w:val="14"/>
                <w:szCs w:val="14"/>
              </w:rPr>
              <w:t>123,94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-1,52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-2,65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Porezi i doprinosi na  zarade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54,03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37,52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75,77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37,91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40,59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2,47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2,56</w:t>
            </w:r>
          </w:p>
        </w:tc>
      </w:tr>
      <w:tr w:rsidR="00533C4D" w:rsidRPr="00533C4D" w:rsidTr="00533C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Porez na dobit pravnih 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4,22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52,98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40,03</w:t>
            </w:r>
          </w:p>
        </w:tc>
      </w:tr>
      <w:tr w:rsidR="00533C4D" w:rsidRPr="00533C4D" w:rsidTr="00533C4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Porez na dodatu vrijednost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33,51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48,61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-3,33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-6,16</w:t>
            </w:r>
          </w:p>
        </w:tc>
      </w:tr>
      <w:tr w:rsidR="00533C4D" w:rsidRPr="00533C4D" w:rsidTr="00533C4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Akcize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13,08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16,79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-4,09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-6,16</w:t>
            </w:r>
          </w:p>
        </w:tc>
      </w:tr>
      <w:tr w:rsidR="00533C4D" w:rsidRPr="00533C4D" w:rsidTr="00533C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Porez na medj trgovinu i transak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2,63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4,86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-1,61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533C4D">
              <w:rPr>
                <w:rFonts w:cs="Calibri"/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160,33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141,28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99,42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98,49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150,13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94,32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88,93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115,88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122,33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101,78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115,45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101,54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111,47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-36,67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-8,91</w:t>
            </w:r>
          </w:p>
        </w:tc>
      </w:tr>
      <w:tr w:rsidR="00533C4D" w:rsidRPr="00533C4D" w:rsidTr="00533C4D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Bruto zarade i doprinosi na teret posl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30,66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30,67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32,21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4,55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-1,77</w:t>
            </w:r>
          </w:p>
        </w:tc>
      </w:tr>
      <w:tr w:rsidR="00533C4D" w:rsidRPr="00533C4D" w:rsidTr="00533C4D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Rashodi za materijal i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6,48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7,43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5,24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1,11</w:t>
            </w:r>
          </w:p>
        </w:tc>
      </w:tr>
      <w:tr w:rsidR="00533C4D" w:rsidRPr="00533C4D" w:rsidTr="00533C4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Kamate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0,75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6,11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11,71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4,94</w:t>
            </w:r>
          </w:p>
        </w:tc>
      </w:tr>
      <w:tr w:rsidR="00533C4D" w:rsidRPr="00533C4D" w:rsidTr="00533C4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Transferi za socijalnu zaštitu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39,18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39,83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41,52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6,45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2,00</w:t>
            </w:r>
          </w:p>
        </w:tc>
      </w:tr>
      <w:tr w:rsidR="00533C4D" w:rsidRPr="00533C4D" w:rsidTr="00533C4D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Transferi instit, pojed i NVO sektoru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8,42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25,30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-12,78</w:t>
            </w:r>
          </w:p>
        </w:tc>
      </w:tr>
      <w:tr w:rsidR="00533C4D" w:rsidRPr="00533C4D" w:rsidTr="00533C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Kapitalni izdaci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6,49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9,36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29,78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-31,67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533C4D">
              <w:rPr>
                <w:rFonts w:cs="Calibri"/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-37,82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-16,22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-2,66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17,86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-2,71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-23,54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-6,80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-15,17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-13,25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12,47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-150,55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-60,82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53,28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Primarni deficit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-32,08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-14,12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18,66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-1,96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-10,55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18,58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-179,58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-101,10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37,38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Otplata dugova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34,60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24,39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17,57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71,64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38,71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60,61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14,29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21,97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76,57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195,45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533C4D">
              <w:rPr>
                <w:rFonts w:cs="Calibri"/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1810,4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1844,90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1846,50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1832,00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1886,30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1873,15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1950,10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1950,70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2005,80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1990,30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2080,07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2022,06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533C4D" w:rsidRPr="00533C4D" w:rsidTr="00533C4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Domaći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442,8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433,80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480,90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471,70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440,40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440,13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517,60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513,40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572,40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588,10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481,75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438,25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533C4D" w:rsidRPr="00533C4D" w:rsidTr="00533C4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3C4D">
              <w:rPr>
                <w:rFonts w:cs="Calibri"/>
                <w:sz w:val="16"/>
                <w:szCs w:val="16"/>
              </w:rPr>
              <w:t>Inostrani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1367,6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1411,10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1365,60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1360,30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1445,90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color w:val="000000"/>
                <w:sz w:val="14"/>
                <w:szCs w:val="14"/>
              </w:rPr>
              <w:t>1433,02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1432,50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1437,30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1433,40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1402,20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1598,32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1583,81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533C4D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3C4D" w:rsidRPr="00533C4D" w:rsidRDefault="00533C4D" w:rsidP="00533C4D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533C4D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</w:tbl>
    <w:p w:rsidR="00CD707C" w:rsidRPr="00715429" w:rsidRDefault="00CD707C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332574" w:rsidRPr="0065398C" w:rsidRDefault="00332574" w:rsidP="00332574">
      <w:pPr>
        <w:outlineLvl w:val="0"/>
        <w:rPr>
          <w:b/>
          <w:i/>
          <w:noProof/>
          <w:sz w:val="18"/>
          <w:szCs w:val="18"/>
          <w:lang w:val="hr-BA"/>
        </w:rPr>
      </w:pPr>
      <w:r w:rsidRPr="0065398C">
        <w:rPr>
          <w:b/>
          <w:i/>
          <w:noProof/>
          <w:sz w:val="18"/>
          <w:szCs w:val="18"/>
          <w:lang w:val="hr-BA"/>
        </w:rPr>
        <w:t>Izvor: Ministarstvo finansija Crne Gore</w:t>
      </w:r>
    </w:p>
    <w:p w:rsidR="00A30E95" w:rsidRPr="00715429" w:rsidRDefault="00A30E95" w:rsidP="00332574">
      <w:pPr>
        <w:outlineLvl w:val="0"/>
        <w:rPr>
          <w:b/>
          <w:i/>
          <w:noProof/>
          <w:sz w:val="16"/>
          <w:szCs w:val="16"/>
          <w:lang w:val="hr-BA"/>
        </w:rPr>
      </w:pPr>
    </w:p>
    <w:p w:rsidR="0082570B" w:rsidRPr="00715429" w:rsidRDefault="0082570B" w:rsidP="005025EC">
      <w:pPr>
        <w:ind w:left="-142"/>
        <w:jc w:val="both"/>
        <w:rPr>
          <w:noProof/>
          <w:sz w:val="14"/>
          <w:szCs w:val="14"/>
          <w:lang w:val="hr-BA"/>
        </w:rPr>
      </w:pPr>
    </w:p>
    <w:sectPr w:rsidR="0082570B" w:rsidRPr="00715429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908" w:rsidRDefault="00E62908" w:rsidP="00965FCD">
      <w:pPr>
        <w:spacing w:after="0" w:line="240" w:lineRule="auto"/>
      </w:pPr>
      <w:r>
        <w:separator/>
      </w:r>
    </w:p>
  </w:endnote>
  <w:endnote w:type="continuationSeparator" w:id="1">
    <w:p w:rsidR="00E62908" w:rsidRDefault="00E62908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908" w:rsidRDefault="00E62908" w:rsidP="00965FCD">
      <w:pPr>
        <w:spacing w:after="0" w:line="240" w:lineRule="auto"/>
      </w:pPr>
      <w:r>
        <w:separator/>
      </w:r>
    </w:p>
  </w:footnote>
  <w:footnote w:type="continuationSeparator" w:id="1">
    <w:p w:rsidR="00E62908" w:rsidRDefault="00E62908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6"/>
  </w:num>
  <w:num w:numId="3">
    <w:abstractNumId w:val="26"/>
  </w:num>
  <w:num w:numId="4">
    <w:abstractNumId w:val="1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9"/>
  </w:num>
  <w:num w:numId="8">
    <w:abstractNumId w:val="2"/>
  </w:num>
  <w:num w:numId="9">
    <w:abstractNumId w:val="0"/>
  </w:num>
  <w:num w:numId="10">
    <w:abstractNumId w:val="25"/>
  </w:num>
  <w:num w:numId="11">
    <w:abstractNumId w:val="1"/>
  </w:num>
  <w:num w:numId="12">
    <w:abstractNumId w:val="24"/>
  </w:num>
  <w:num w:numId="13">
    <w:abstractNumId w:val="21"/>
  </w:num>
  <w:num w:numId="14">
    <w:abstractNumId w:val="7"/>
  </w:num>
  <w:num w:numId="15">
    <w:abstractNumId w:val="5"/>
  </w:num>
  <w:num w:numId="16">
    <w:abstractNumId w:val="14"/>
  </w:num>
  <w:num w:numId="17">
    <w:abstractNumId w:val="9"/>
  </w:num>
  <w:num w:numId="18">
    <w:abstractNumId w:val="17"/>
  </w:num>
  <w:num w:numId="19">
    <w:abstractNumId w:val="8"/>
  </w:num>
  <w:num w:numId="20">
    <w:abstractNumId w:val="15"/>
  </w:num>
  <w:num w:numId="21">
    <w:abstractNumId w:val="16"/>
  </w:num>
  <w:num w:numId="22">
    <w:abstractNumId w:val="12"/>
  </w:num>
  <w:num w:numId="23">
    <w:abstractNumId w:val="11"/>
  </w:num>
  <w:num w:numId="24">
    <w:abstractNumId w:val="23"/>
  </w:num>
  <w:num w:numId="25">
    <w:abstractNumId w:val="4"/>
  </w:num>
  <w:num w:numId="26">
    <w:abstractNumId w:val="10"/>
  </w:num>
  <w:num w:numId="27">
    <w:abstractNumId w:val="20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D78"/>
    <w:rsid w:val="00004B56"/>
    <w:rsid w:val="00005D5A"/>
    <w:rsid w:val="0000742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2F81"/>
    <w:rsid w:val="0002327A"/>
    <w:rsid w:val="00024DC9"/>
    <w:rsid w:val="0002564B"/>
    <w:rsid w:val="00025AC0"/>
    <w:rsid w:val="000263A4"/>
    <w:rsid w:val="000300F0"/>
    <w:rsid w:val="000314E5"/>
    <w:rsid w:val="00031722"/>
    <w:rsid w:val="00031FAD"/>
    <w:rsid w:val="00032524"/>
    <w:rsid w:val="00032D34"/>
    <w:rsid w:val="000341DE"/>
    <w:rsid w:val="00034923"/>
    <w:rsid w:val="0003497A"/>
    <w:rsid w:val="00034D42"/>
    <w:rsid w:val="00034F07"/>
    <w:rsid w:val="0003544A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EAB"/>
    <w:rsid w:val="00052732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12B9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B67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1159"/>
    <w:rsid w:val="000A14DA"/>
    <w:rsid w:val="000A2350"/>
    <w:rsid w:val="000A2F52"/>
    <w:rsid w:val="000A33CB"/>
    <w:rsid w:val="000A4226"/>
    <w:rsid w:val="000A43CE"/>
    <w:rsid w:val="000A47FF"/>
    <w:rsid w:val="000A4E37"/>
    <w:rsid w:val="000A787A"/>
    <w:rsid w:val="000B19D0"/>
    <w:rsid w:val="000B1DD7"/>
    <w:rsid w:val="000B2B16"/>
    <w:rsid w:val="000B34E4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3655"/>
    <w:rsid w:val="000C36DB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773"/>
    <w:rsid w:val="00165DE6"/>
    <w:rsid w:val="00167281"/>
    <w:rsid w:val="001672AB"/>
    <w:rsid w:val="001678F1"/>
    <w:rsid w:val="00170C82"/>
    <w:rsid w:val="00170CCE"/>
    <w:rsid w:val="00172816"/>
    <w:rsid w:val="00172D59"/>
    <w:rsid w:val="001730BE"/>
    <w:rsid w:val="00174836"/>
    <w:rsid w:val="0017540F"/>
    <w:rsid w:val="0017563A"/>
    <w:rsid w:val="00177AD9"/>
    <w:rsid w:val="00181309"/>
    <w:rsid w:val="001824C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1C2"/>
    <w:rsid w:val="00193785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90D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3A7"/>
    <w:rsid w:val="002723D9"/>
    <w:rsid w:val="00274EBC"/>
    <w:rsid w:val="00275609"/>
    <w:rsid w:val="00280105"/>
    <w:rsid w:val="00282488"/>
    <w:rsid w:val="00282DBE"/>
    <w:rsid w:val="00283704"/>
    <w:rsid w:val="002843B8"/>
    <w:rsid w:val="00285B0F"/>
    <w:rsid w:val="00287A18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CED"/>
    <w:rsid w:val="002A4910"/>
    <w:rsid w:val="002A5C73"/>
    <w:rsid w:val="002A68B8"/>
    <w:rsid w:val="002B10AE"/>
    <w:rsid w:val="002B318C"/>
    <w:rsid w:val="002B3824"/>
    <w:rsid w:val="002B552A"/>
    <w:rsid w:val="002B74C5"/>
    <w:rsid w:val="002C010C"/>
    <w:rsid w:val="002C1A52"/>
    <w:rsid w:val="002C1FBF"/>
    <w:rsid w:val="002C25C6"/>
    <w:rsid w:val="002C4737"/>
    <w:rsid w:val="002C47B8"/>
    <w:rsid w:val="002C4845"/>
    <w:rsid w:val="002C4A81"/>
    <w:rsid w:val="002C6888"/>
    <w:rsid w:val="002C78FB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6"/>
    <w:rsid w:val="002D4CDE"/>
    <w:rsid w:val="002D5187"/>
    <w:rsid w:val="002D5865"/>
    <w:rsid w:val="002D6F60"/>
    <w:rsid w:val="002D77A7"/>
    <w:rsid w:val="002D7BA6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07E"/>
    <w:rsid w:val="002F7C7C"/>
    <w:rsid w:val="003004B8"/>
    <w:rsid w:val="003022A7"/>
    <w:rsid w:val="00303D85"/>
    <w:rsid w:val="00303F02"/>
    <w:rsid w:val="0030680B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24FD"/>
    <w:rsid w:val="00354DDA"/>
    <w:rsid w:val="003561B8"/>
    <w:rsid w:val="003568F4"/>
    <w:rsid w:val="00357182"/>
    <w:rsid w:val="00357B8D"/>
    <w:rsid w:val="00357E66"/>
    <w:rsid w:val="00360100"/>
    <w:rsid w:val="00360197"/>
    <w:rsid w:val="00361C27"/>
    <w:rsid w:val="003625F1"/>
    <w:rsid w:val="003634DC"/>
    <w:rsid w:val="003638CF"/>
    <w:rsid w:val="00363C84"/>
    <w:rsid w:val="00364D14"/>
    <w:rsid w:val="00365311"/>
    <w:rsid w:val="003655B6"/>
    <w:rsid w:val="00365E46"/>
    <w:rsid w:val="00366F41"/>
    <w:rsid w:val="00376523"/>
    <w:rsid w:val="0037726C"/>
    <w:rsid w:val="00377697"/>
    <w:rsid w:val="00377A53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732"/>
    <w:rsid w:val="00391CC7"/>
    <w:rsid w:val="0039257B"/>
    <w:rsid w:val="003935B1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8D5"/>
    <w:rsid w:val="003B4F8C"/>
    <w:rsid w:val="003B5512"/>
    <w:rsid w:val="003B62EC"/>
    <w:rsid w:val="003B6749"/>
    <w:rsid w:val="003B6844"/>
    <w:rsid w:val="003B75FC"/>
    <w:rsid w:val="003B7F5E"/>
    <w:rsid w:val="003C0B90"/>
    <w:rsid w:val="003C1215"/>
    <w:rsid w:val="003C14C9"/>
    <w:rsid w:val="003C15EF"/>
    <w:rsid w:val="003C1D23"/>
    <w:rsid w:val="003C4817"/>
    <w:rsid w:val="003C5E7B"/>
    <w:rsid w:val="003C6A22"/>
    <w:rsid w:val="003C7870"/>
    <w:rsid w:val="003C79AC"/>
    <w:rsid w:val="003D1EDB"/>
    <w:rsid w:val="003D4359"/>
    <w:rsid w:val="003D4739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19B"/>
    <w:rsid w:val="003E757E"/>
    <w:rsid w:val="003F0052"/>
    <w:rsid w:val="003F0CAE"/>
    <w:rsid w:val="003F0EA8"/>
    <w:rsid w:val="003F250B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3FF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2E20"/>
    <w:rsid w:val="0044465C"/>
    <w:rsid w:val="0044550D"/>
    <w:rsid w:val="00445736"/>
    <w:rsid w:val="00446DA9"/>
    <w:rsid w:val="004471B9"/>
    <w:rsid w:val="00447221"/>
    <w:rsid w:val="004509F6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90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1368"/>
    <w:rsid w:val="00492CE5"/>
    <w:rsid w:val="004932C1"/>
    <w:rsid w:val="00493B63"/>
    <w:rsid w:val="004940E0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F63"/>
    <w:rsid w:val="004B7800"/>
    <w:rsid w:val="004B7883"/>
    <w:rsid w:val="004B7C4B"/>
    <w:rsid w:val="004C0135"/>
    <w:rsid w:val="004C0541"/>
    <w:rsid w:val="004C16F3"/>
    <w:rsid w:val="004C1D3E"/>
    <w:rsid w:val="004C206D"/>
    <w:rsid w:val="004C2EA5"/>
    <w:rsid w:val="004C373F"/>
    <w:rsid w:val="004C3C31"/>
    <w:rsid w:val="004C659C"/>
    <w:rsid w:val="004D49A0"/>
    <w:rsid w:val="004D4E0F"/>
    <w:rsid w:val="004D7775"/>
    <w:rsid w:val="004E02D3"/>
    <w:rsid w:val="004E12DB"/>
    <w:rsid w:val="004E28B9"/>
    <w:rsid w:val="004E4063"/>
    <w:rsid w:val="004E475F"/>
    <w:rsid w:val="004E5F03"/>
    <w:rsid w:val="004E6169"/>
    <w:rsid w:val="004E6C21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11F1F"/>
    <w:rsid w:val="0051201B"/>
    <w:rsid w:val="0051345D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2086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764FB"/>
    <w:rsid w:val="00580172"/>
    <w:rsid w:val="00580859"/>
    <w:rsid w:val="00581749"/>
    <w:rsid w:val="005818A8"/>
    <w:rsid w:val="00581D4E"/>
    <w:rsid w:val="005829D9"/>
    <w:rsid w:val="00583591"/>
    <w:rsid w:val="005838F0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054F"/>
    <w:rsid w:val="005A0B3D"/>
    <w:rsid w:val="005A13E6"/>
    <w:rsid w:val="005A17DE"/>
    <w:rsid w:val="005A1C61"/>
    <w:rsid w:val="005A4AB8"/>
    <w:rsid w:val="005A5064"/>
    <w:rsid w:val="005A5229"/>
    <w:rsid w:val="005B0DB1"/>
    <w:rsid w:val="005B18F4"/>
    <w:rsid w:val="005B25F8"/>
    <w:rsid w:val="005B2BF5"/>
    <w:rsid w:val="005B32A9"/>
    <w:rsid w:val="005B5CB7"/>
    <w:rsid w:val="005B5F21"/>
    <w:rsid w:val="005B7040"/>
    <w:rsid w:val="005C19AB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BC4"/>
    <w:rsid w:val="005D5D14"/>
    <w:rsid w:val="005D5E2D"/>
    <w:rsid w:val="005D6EEB"/>
    <w:rsid w:val="005D751B"/>
    <w:rsid w:val="005E0358"/>
    <w:rsid w:val="005E038B"/>
    <w:rsid w:val="005E150E"/>
    <w:rsid w:val="005E199C"/>
    <w:rsid w:val="005E2852"/>
    <w:rsid w:val="005E2B06"/>
    <w:rsid w:val="005E35C9"/>
    <w:rsid w:val="005E4CD1"/>
    <w:rsid w:val="005E55DD"/>
    <w:rsid w:val="005E5941"/>
    <w:rsid w:val="005E6D35"/>
    <w:rsid w:val="005F060E"/>
    <w:rsid w:val="005F13D5"/>
    <w:rsid w:val="005F50EA"/>
    <w:rsid w:val="005F568D"/>
    <w:rsid w:val="005F66B5"/>
    <w:rsid w:val="006006C6"/>
    <w:rsid w:val="006050EA"/>
    <w:rsid w:val="006070E0"/>
    <w:rsid w:val="006071F2"/>
    <w:rsid w:val="00607217"/>
    <w:rsid w:val="00607500"/>
    <w:rsid w:val="00607541"/>
    <w:rsid w:val="0061084D"/>
    <w:rsid w:val="00610DDD"/>
    <w:rsid w:val="00611BC2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ED4"/>
    <w:rsid w:val="00647463"/>
    <w:rsid w:val="00647B12"/>
    <w:rsid w:val="006509EE"/>
    <w:rsid w:val="00650AC3"/>
    <w:rsid w:val="00651027"/>
    <w:rsid w:val="0065108A"/>
    <w:rsid w:val="006534C5"/>
    <w:rsid w:val="0065398C"/>
    <w:rsid w:val="00653CF3"/>
    <w:rsid w:val="00654A8A"/>
    <w:rsid w:val="0065518C"/>
    <w:rsid w:val="00655E97"/>
    <w:rsid w:val="0065775B"/>
    <w:rsid w:val="00657F58"/>
    <w:rsid w:val="00661339"/>
    <w:rsid w:val="00661C7E"/>
    <w:rsid w:val="00663690"/>
    <w:rsid w:val="00664DE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7730D"/>
    <w:rsid w:val="006807FE"/>
    <w:rsid w:val="00680A78"/>
    <w:rsid w:val="00681351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66E3"/>
    <w:rsid w:val="006971AF"/>
    <w:rsid w:val="00697A91"/>
    <w:rsid w:val="006A0B4A"/>
    <w:rsid w:val="006A144B"/>
    <w:rsid w:val="006A174E"/>
    <w:rsid w:val="006A1C8D"/>
    <w:rsid w:val="006A290B"/>
    <w:rsid w:val="006A478E"/>
    <w:rsid w:val="006A4801"/>
    <w:rsid w:val="006A5DE6"/>
    <w:rsid w:val="006A5F7F"/>
    <w:rsid w:val="006A6C58"/>
    <w:rsid w:val="006A6FB2"/>
    <w:rsid w:val="006B159D"/>
    <w:rsid w:val="006B21AB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5096"/>
    <w:rsid w:val="006C5F17"/>
    <w:rsid w:val="006C6303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5B24"/>
    <w:rsid w:val="006D7398"/>
    <w:rsid w:val="006D74DB"/>
    <w:rsid w:val="006E11AC"/>
    <w:rsid w:val="006E11E0"/>
    <w:rsid w:val="006E4128"/>
    <w:rsid w:val="006E4746"/>
    <w:rsid w:val="006E4B91"/>
    <w:rsid w:val="006E6751"/>
    <w:rsid w:val="006E7282"/>
    <w:rsid w:val="006F0752"/>
    <w:rsid w:val="006F1525"/>
    <w:rsid w:val="006F1AFE"/>
    <w:rsid w:val="006F2861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07E96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19C8"/>
    <w:rsid w:val="00731BF4"/>
    <w:rsid w:val="007326D7"/>
    <w:rsid w:val="00733BCB"/>
    <w:rsid w:val="0073431B"/>
    <w:rsid w:val="00734688"/>
    <w:rsid w:val="00734729"/>
    <w:rsid w:val="00736A98"/>
    <w:rsid w:val="00736C15"/>
    <w:rsid w:val="00736E76"/>
    <w:rsid w:val="0073706D"/>
    <w:rsid w:val="007375FD"/>
    <w:rsid w:val="00737DB4"/>
    <w:rsid w:val="007406F2"/>
    <w:rsid w:val="00742C04"/>
    <w:rsid w:val="00743684"/>
    <w:rsid w:val="007452A1"/>
    <w:rsid w:val="00745BCE"/>
    <w:rsid w:val="00745F91"/>
    <w:rsid w:val="00746132"/>
    <w:rsid w:val="007469F9"/>
    <w:rsid w:val="00747828"/>
    <w:rsid w:val="00750866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413B"/>
    <w:rsid w:val="00764D09"/>
    <w:rsid w:val="007652FD"/>
    <w:rsid w:val="0076645A"/>
    <w:rsid w:val="007675AF"/>
    <w:rsid w:val="00770772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A25"/>
    <w:rsid w:val="00787E88"/>
    <w:rsid w:val="00791DC2"/>
    <w:rsid w:val="00793A27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D78E3"/>
    <w:rsid w:val="007E0203"/>
    <w:rsid w:val="007E056C"/>
    <w:rsid w:val="007E0761"/>
    <w:rsid w:val="007E081D"/>
    <w:rsid w:val="007E1AB8"/>
    <w:rsid w:val="007E293C"/>
    <w:rsid w:val="007E36EB"/>
    <w:rsid w:val="007E380A"/>
    <w:rsid w:val="007E5CC1"/>
    <w:rsid w:val="007E7DDD"/>
    <w:rsid w:val="007F182C"/>
    <w:rsid w:val="007F33E9"/>
    <w:rsid w:val="007F388B"/>
    <w:rsid w:val="007F4571"/>
    <w:rsid w:val="007F4D55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5A2F"/>
    <w:rsid w:val="00815E6D"/>
    <w:rsid w:val="00817A6A"/>
    <w:rsid w:val="0082070B"/>
    <w:rsid w:val="0082084A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553F"/>
    <w:rsid w:val="008355A8"/>
    <w:rsid w:val="00836A00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7B5B"/>
    <w:rsid w:val="00847C9F"/>
    <w:rsid w:val="00847EBF"/>
    <w:rsid w:val="0085098F"/>
    <w:rsid w:val="0085138D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1C0B"/>
    <w:rsid w:val="00882650"/>
    <w:rsid w:val="00883754"/>
    <w:rsid w:val="008842AB"/>
    <w:rsid w:val="008844C7"/>
    <w:rsid w:val="008855BC"/>
    <w:rsid w:val="00886302"/>
    <w:rsid w:val="00886930"/>
    <w:rsid w:val="00886F12"/>
    <w:rsid w:val="008902D3"/>
    <w:rsid w:val="0089194A"/>
    <w:rsid w:val="0089243B"/>
    <w:rsid w:val="00892AFB"/>
    <w:rsid w:val="0089368B"/>
    <w:rsid w:val="00893A0A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EDA"/>
    <w:rsid w:val="008E636B"/>
    <w:rsid w:val="008E6D00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8A2"/>
    <w:rsid w:val="00900F62"/>
    <w:rsid w:val="0090210D"/>
    <w:rsid w:val="0090227C"/>
    <w:rsid w:val="00902289"/>
    <w:rsid w:val="009022BB"/>
    <w:rsid w:val="009045B3"/>
    <w:rsid w:val="0090493D"/>
    <w:rsid w:val="00904C72"/>
    <w:rsid w:val="00904D4B"/>
    <w:rsid w:val="00904F52"/>
    <w:rsid w:val="00905430"/>
    <w:rsid w:val="00905BF5"/>
    <w:rsid w:val="00905F6A"/>
    <w:rsid w:val="00907FE0"/>
    <w:rsid w:val="00910CBD"/>
    <w:rsid w:val="0091144B"/>
    <w:rsid w:val="00912260"/>
    <w:rsid w:val="009126D6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2341"/>
    <w:rsid w:val="00962426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9C4"/>
    <w:rsid w:val="00972F5D"/>
    <w:rsid w:val="00973022"/>
    <w:rsid w:val="0097377E"/>
    <w:rsid w:val="00974320"/>
    <w:rsid w:val="00974AD2"/>
    <w:rsid w:val="00974F42"/>
    <w:rsid w:val="00975511"/>
    <w:rsid w:val="00980D4F"/>
    <w:rsid w:val="0098296F"/>
    <w:rsid w:val="00982E62"/>
    <w:rsid w:val="009836D7"/>
    <w:rsid w:val="0098375C"/>
    <w:rsid w:val="009851E4"/>
    <w:rsid w:val="0098562F"/>
    <w:rsid w:val="00985C9B"/>
    <w:rsid w:val="009860B5"/>
    <w:rsid w:val="00992420"/>
    <w:rsid w:val="00992B90"/>
    <w:rsid w:val="00993E5A"/>
    <w:rsid w:val="00994D96"/>
    <w:rsid w:val="009960CD"/>
    <w:rsid w:val="00997454"/>
    <w:rsid w:val="009A0736"/>
    <w:rsid w:val="009A1376"/>
    <w:rsid w:val="009A24E1"/>
    <w:rsid w:val="009A2EA5"/>
    <w:rsid w:val="009A4C61"/>
    <w:rsid w:val="009A4CA6"/>
    <w:rsid w:val="009A5640"/>
    <w:rsid w:val="009A63D0"/>
    <w:rsid w:val="009A6AC7"/>
    <w:rsid w:val="009A6D2F"/>
    <w:rsid w:val="009A74A7"/>
    <w:rsid w:val="009A792A"/>
    <w:rsid w:val="009A7E4A"/>
    <w:rsid w:val="009B1049"/>
    <w:rsid w:val="009B159E"/>
    <w:rsid w:val="009B1B81"/>
    <w:rsid w:val="009B1C0A"/>
    <w:rsid w:val="009B320B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EAF"/>
    <w:rsid w:val="009C5011"/>
    <w:rsid w:val="009C5462"/>
    <w:rsid w:val="009C62C0"/>
    <w:rsid w:val="009C6D28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0D1B"/>
    <w:rsid w:val="00A22776"/>
    <w:rsid w:val="00A22911"/>
    <w:rsid w:val="00A22FCE"/>
    <w:rsid w:val="00A233F2"/>
    <w:rsid w:val="00A23A9A"/>
    <w:rsid w:val="00A2480A"/>
    <w:rsid w:val="00A24849"/>
    <w:rsid w:val="00A2559B"/>
    <w:rsid w:val="00A25D5F"/>
    <w:rsid w:val="00A30660"/>
    <w:rsid w:val="00A30E95"/>
    <w:rsid w:val="00A3121D"/>
    <w:rsid w:val="00A324F2"/>
    <w:rsid w:val="00A33860"/>
    <w:rsid w:val="00A34E49"/>
    <w:rsid w:val="00A34E9D"/>
    <w:rsid w:val="00A3560C"/>
    <w:rsid w:val="00A35630"/>
    <w:rsid w:val="00A35C10"/>
    <w:rsid w:val="00A360C2"/>
    <w:rsid w:val="00A36F39"/>
    <w:rsid w:val="00A37526"/>
    <w:rsid w:val="00A3777A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CDB"/>
    <w:rsid w:val="00A6220E"/>
    <w:rsid w:val="00A62711"/>
    <w:rsid w:val="00A63167"/>
    <w:rsid w:val="00A63DB2"/>
    <w:rsid w:val="00A66994"/>
    <w:rsid w:val="00A66BEC"/>
    <w:rsid w:val="00A67103"/>
    <w:rsid w:val="00A67F78"/>
    <w:rsid w:val="00A719D1"/>
    <w:rsid w:val="00A72B22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0134"/>
    <w:rsid w:val="00A919D2"/>
    <w:rsid w:val="00A92C88"/>
    <w:rsid w:val="00A93193"/>
    <w:rsid w:val="00A94105"/>
    <w:rsid w:val="00A9414F"/>
    <w:rsid w:val="00A94444"/>
    <w:rsid w:val="00A944B7"/>
    <w:rsid w:val="00A96249"/>
    <w:rsid w:val="00A965E6"/>
    <w:rsid w:val="00A96B95"/>
    <w:rsid w:val="00A975A4"/>
    <w:rsid w:val="00AA1568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3D0"/>
    <w:rsid w:val="00AC41A8"/>
    <w:rsid w:val="00AC4D78"/>
    <w:rsid w:val="00AC4E44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C4C"/>
    <w:rsid w:val="00AE2FC9"/>
    <w:rsid w:val="00AE3B29"/>
    <w:rsid w:val="00AE3EC8"/>
    <w:rsid w:val="00AE46D2"/>
    <w:rsid w:val="00AE745C"/>
    <w:rsid w:val="00AF16EF"/>
    <w:rsid w:val="00AF2A35"/>
    <w:rsid w:val="00AF39C0"/>
    <w:rsid w:val="00AF3F13"/>
    <w:rsid w:val="00AF62DF"/>
    <w:rsid w:val="00AF6471"/>
    <w:rsid w:val="00AF71DC"/>
    <w:rsid w:val="00AF7CF3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20DEE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32A"/>
    <w:rsid w:val="00B355D6"/>
    <w:rsid w:val="00B36D48"/>
    <w:rsid w:val="00B40133"/>
    <w:rsid w:val="00B41E7A"/>
    <w:rsid w:val="00B42AAB"/>
    <w:rsid w:val="00B434CF"/>
    <w:rsid w:val="00B43B1F"/>
    <w:rsid w:val="00B45BDC"/>
    <w:rsid w:val="00B46ABF"/>
    <w:rsid w:val="00B47CAB"/>
    <w:rsid w:val="00B50021"/>
    <w:rsid w:val="00B50CF4"/>
    <w:rsid w:val="00B5154B"/>
    <w:rsid w:val="00B51806"/>
    <w:rsid w:val="00B52271"/>
    <w:rsid w:val="00B5329A"/>
    <w:rsid w:val="00B53433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838"/>
    <w:rsid w:val="00B77D13"/>
    <w:rsid w:val="00B801BF"/>
    <w:rsid w:val="00B810E2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D47"/>
    <w:rsid w:val="00B96894"/>
    <w:rsid w:val="00BA06C1"/>
    <w:rsid w:val="00BA0B65"/>
    <w:rsid w:val="00BA1E04"/>
    <w:rsid w:val="00BA1F78"/>
    <w:rsid w:val="00BA54D0"/>
    <w:rsid w:val="00BA6C18"/>
    <w:rsid w:val="00BA6F69"/>
    <w:rsid w:val="00BA6FEF"/>
    <w:rsid w:val="00BB058C"/>
    <w:rsid w:val="00BB24C2"/>
    <w:rsid w:val="00BB30FF"/>
    <w:rsid w:val="00BB360B"/>
    <w:rsid w:val="00BB40F6"/>
    <w:rsid w:val="00BB573E"/>
    <w:rsid w:val="00BB5FE7"/>
    <w:rsid w:val="00BB60B2"/>
    <w:rsid w:val="00BB68A6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57D1"/>
    <w:rsid w:val="00C15E22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844"/>
    <w:rsid w:val="00C2734A"/>
    <w:rsid w:val="00C309B8"/>
    <w:rsid w:val="00C31ABA"/>
    <w:rsid w:val="00C31D0E"/>
    <w:rsid w:val="00C321B7"/>
    <w:rsid w:val="00C32DED"/>
    <w:rsid w:val="00C34184"/>
    <w:rsid w:val="00C34787"/>
    <w:rsid w:val="00C34AC1"/>
    <w:rsid w:val="00C35CAA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50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FC1"/>
    <w:rsid w:val="00C6406C"/>
    <w:rsid w:val="00C64636"/>
    <w:rsid w:val="00C646AC"/>
    <w:rsid w:val="00C64C5D"/>
    <w:rsid w:val="00C652CE"/>
    <w:rsid w:val="00C6630B"/>
    <w:rsid w:val="00C663B6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D87"/>
    <w:rsid w:val="00C93DA1"/>
    <w:rsid w:val="00C94C39"/>
    <w:rsid w:val="00C9626E"/>
    <w:rsid w:val="00C97975"/>
    <w:rsid w:val="00CA211C"/>
    <w:rsid w:val="00CA2C46"/>
    <w:rsid w:val="00CA2DC5"/>
    <w:rsid w:val="00CA3070"/>
    <w:rsid w:val="00CA44ED"/>
    <w:rsid w:val="00CA5469"/>
    <w:rsid w:val="00CA6E7C"/>
    <w:rsid w:val="00CA7C68"/>
    <w:rsid w:val="00CA7C77"/>
    <w:rsid w:val="00CB0013"/>
    <w:rsid w:val="00CB01AB"/>
    <w:rsid w:val="00CB04AC"/>
    <w:rsid w:val="00CB0D35"/>
    <w:rsid w:val="00CB1B20"/>
    <w:rsid w:val="00CB1EA7"/>
    <w:rsid w:val="00CB2C84"/>
    <w:rsid w:val="00CB311F"/>
    <w:rsid w:val="00CB3B77"/>
    <w:rsid w:val="00CB407D"/>
    <w:rsid w:val="00CB4560"/>
    <w:rsid w:val="00CB47DE"/>
    <w:rsid w:val="00CB776C"/>
    <w:rsid w:val="00CB7966"/>
    <w:rsid w:val="00CC16C7"/>
    <w:rsid w:val="00CC199B"/>
    <w:rsid w:val="00CC2AAE"/>
    <w:rsid w:val="00CC51BF"/>
    <w:rsid w:val="00CC53C4"/>
    <w:rsid w:val="00CC577F"/>
    <w:rsid w:val="00CC67DD"/>
    <w:rsid w:val="00CC6A54"/>
    <w:rsid w:val="00CC7595"/>
    <w:rsid w:val="00CC7811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4E1E"/>
    <w:rsid w:val="00CF586D"/>
    <w:rsid w:val="00CF5FA3"/>
    <w:rsid w:val="00CF7392"/>
    <w:rsid w:val="00D00156"/>
    <w:rsid w:val="00D004D6"/>
    <w:rsid w:val="00D0057C"/>
    <w:rsid w:val="00D00D24"/>
    <w:rsid w:val="00D0131E"/>
    <w:rsid w:val="00D01C27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6B12"/>
    <w:rsid w:val="00D26EB8"/>
    <w:rsid w:val="00D27200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1AE3"/>
    <w:rsid w:val="00D44ED9"/>
    <w:rsid w:val="00D45256"/>
    <w:rsid w:val="00D47D6A"/>
    <w:rsid w:val="00D501DA"/>
    <w:rsid w:val="00D506A3"/>
    <w:rsid w:val="00D50FD4"/>
    <w:rsid w:val="00D51C00"/>
    <w:rsid w:val="00D51E0A"/>
    <w:rsid w:val="00D527AF"/>
    <w:rsid w:val="00D52AB9"/>
    <w:rsid w:val="00D5331F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2029"/>
    <w:rsid w:val="00D64F6E"/>
    <w:rsid w:val="00D64FD3"/>
    <w:rsid w:val="00D66F3C"/>
    <w:rsid w:val="00D67D95"/>
    <w:rsid w:val="00D710FD"/>
    <w:rsid w:val="00D71690"/>
    <w:rsid w:val="00D719A0"/>
    <w:rsid w:val="00D733AC"/>
    <w:rsid w:val="00D737CD"/>
    <w:rsid w:val="00D73AA8"/>
    <w:rsid w:val="00D75F50"/>
    <w:rsid w:val="00D76A94"/>
    <w:rsid w:val="00D7718A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466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FE3"/>
    <w:rsid w:val="00DB4A28"/>
    <w:rsid w:val="00DB51B0"/>
    <w:rsid w:val="00DB55E7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4BC"/>
    <w:rsid w:val="00DC7E28"/>
    <w:rsid w:val="00DD0300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587D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0677"/>
    <w:rsid w:val="00E1390E"/>
    <w:rsid w:val="00E139E6"/>
    <w:rsid w:val="00E143F2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4AA5"/>
    <w:rsid w:val="00E64E93"/>
    <w:rsid w:val="00E660EE"/>
    <w:rsid w:val="00E671BD"/>
    <w:rsid w:val="00E72541"/>
    <w:rsid w:val="00E72808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7BA7"/>
    <w:rsid w:val="00E9031B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2D02"/>
    <w:rsid w:val="00EA2FB5"/>
    <w:rsid w:val="00EA43D5"/>
    <w:rsid w:val="00EA5738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6068"/>
    <w:rsid w:val="00EB64B9"/>
    <w:rsid w:val="00EB7CD3"/>
    <w:rsid w:val="00EC0C1D"/>
    <w:rsid w:val="00EC0D33"/>
    <w:rsid w:val="00EC1003"/>
    <w:rsid w:val="00EC3691"/>
    <w:rsid w:val="00EC3842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01D"/>
    <w:rsid w:val="00ED3980"/>
    <w:rsid w:val="00ED3FE9"/>
    <w:rsid w:val="00ED4AD3"/>
    <w:rsid w:val="00ED4E43"/>
    <w:rsid w:val="00ED66A9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F0D"/>
    <w:rsid w:val="00F1270D"/>
    <w:rsid w:val="00F13EE1"/>
    <w:rsid w:val="00F1493B"/>
    <w:rsid w:val="00F16D4D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4794F"/>
    <w:rsid w:val="00F500C1"/>
    <w:rsid w:val="00F52271"/>
    <w:rsid w:val="00F52987"/>
    <w:rsid w:val="00F54342"/>
    <w:rsid w:val="00F54BF8"/>
    <w:rsid w:val="00F550CB"/>
    <w:rsid w:val="00F55573"/>
    <w:rsid w:val="00F5720E"/>
    <w:rsid w:val="00F5737B"/>
    <w:rsid w:val="00F61509"/>
    <w:rsid w:val="00F619FF"/>
    <w:rsid w:val="00F6365F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3B3C"/>
    <w:rsid w:val="00F8680A"/>
    <w:rsid w:val="00F911BE"/>
    <w:rsid w:val="00F9185B"/>
    <w:rsid w:val="00F92862"/>
    <w:rsid w:val="00F92BD8"/>
    <w:rsid w:val="00F92EB4"/>
    <w:rsid w:val="00F92FB6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D1"/>
    <w:rsid w:val="00FB3CC6"/>
    <w:rsid w:val="00FB495F"/>
    <w:rsid w:val="00FB54D1"/>
    <w:rsid w:val="00FB55B2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2F04"/>
    <w:rsid w:val="00FD40CE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1471"/>
    <w:rsid w:val="00FF2BA5"/>
    <w:rsid w:val="00FF2D0B"/>
    <w:rsid w:val="00FF390E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%202014\MMI_2014_08\mmi%202014-0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MMI%208\mmi%202014-08-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4-0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ilanka.jovanovic\Desktop\SDI%20grafici\Jan-jun%202013,201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en-US" sz="900"/>
              <a:t>Rast BDP-a u dr</a:t>
            </a:r>
            <a:r>
              <a:rPr lang="x-none" sz="900"/>
              <a:t>u</a:t>
            </a:r>
            <a:r>
              <a:rPr lang="en-US" sz="900"/>
              <a:t>gom kvartalu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4.9528659611992952E-2"/>
          <c:y val="0.10060185185185209"/>
          <c:w val="0.87729761904761905"/>
          <c:h val="0.72462561971421291"/>
        </c:manualLayout>
      </c:layout>
      <c:barChart>
        <c:barDir val="bar"/>
        <c:grouping val="clustered"/>
        <c:ser>
          <c:idx val="0"/>
          <c:order val="0"/>
          <c:dLbls>
            <c:dLbl>
              <c:idx val="0"/>
              <c:layout>
                <c:manualLayout>
                  <c:x val="-0.30798015873015888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0.26878306878306885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0.16238977072310387"/>
                  <c:y val="5.3895982327288433E-17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700"/>
                      <a:t>2,4</a:t>
                    </a:r>
                  </a:p>
                </c:rich>
              </c:tx>
              <c:showVal val="1"/>
            </c:dLbl>
            <c:spPr>
              <a:ln>
                <a:solidFill>
                  <a:schemeClr val="accent1"/>
                </a:solidFill>
              </a:ln>
            </c:spPr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Val val="1"/>
          </c:dLbls>
          <c:cat>
            <c:strRef>
              <c:f>Sheet1!$E$2:$E$7</c:f>
              <c:strCache>
                <c:ptCount val="6"/>
                <c:pt idx="0">
                  <c:v>Italija </c:v>
                </c:pt>
                <c:pt idx="1">
                  <c:v>Njemačka </c:v>
                </c:pt>
                <c:pt idx="2">
                  <c:v>Francuska</c:v>
                </c:pt>
                <c:pt idx="3">
                  <c:v>Eurozona</c:v>
                </c:pt>
                <c:pt idx="4">
                  <c:v>Holandija </c:v>
                </c:pt>
                <c:pt idx="5">
                  <c:v>Španija 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-0.8</c:v>
                </c:pt>
                <c:pt idx="1">
                  <c:v>-0.60000000000000064</c:v>
                </c:pt>
                <c:pt idx="2">
                  <c:v>-0.1</c:v>
                </c:pt>
                <c:pt idx="3">
                  <c:v>0.2</c:v>
                </c:pt>
                <c:pt idx="4">
                  <c:v>2.2000000000000002</c:v>
                </c:pt>
                <c:pt idx="5">
                  <c:v>2.4</c:v>
                </c:pt>
              </c:numCache>
            </c:numRef>
          </c:val>
        </c:ser>
        <c:gapWidth val="60"/>
        <c:axId val="159092096"/>
        <c:axId val="159102464"/>
      </c:barChart>
      <c:catAx>
        <c:axId val="159092096"/>
        <c:scaling>
          <c:orientation val="minMax"/>
        </c:scaling>
        <c:axPos val="l"/>
        <c:tickLblPos val="low"/>
        <c:txPr>
          <a:bodyPr anchor="ctr" anchorCtr="0"/>
          <a:lstStyle/>
          <a:p>
            <a:pPr>
              <a:defRPr lang="sr-Latn-CS" sz="900"/>
            </a:pPr>
            <a:endParaRPr lang="en-US"/>
          </a:p>
        </c:txPr>
        <c:crossAx val="159102464"/>
        <c:crosses val="autoZero"/>
        <c:auto val="1"/>
        <c:lblAlgn val="ctr"/>
        <c:lblOffset val="0"/>
      </c:catAx>
      <c:valAx>
        <c:axId val="159102464"/>
        <c:scaling>
          <c:orientation val="minMax"/>
          <c:max val="2.5"/>
          <c:min val="-1"/>
        </c:scaling>
        <c:axPos val="b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#,##0.0" sourceLinked="0"/>
        <c:tickLblPos val="nextTo"/>
        <c:spPr>
          <a:ln w="6350">
            <a:solidFill>
              <a:schemeClr val="tx1"/>
            </a:solidFill>
            <a:prstDash val="sysDot"/>
          </a:ln>
        </c:spPr>
        <c:txPr>
          <a:bodyPr/>
          <a:lstStyle/>
          <a:p>
            <a:pPr>
              <a:defRPr lang="sr-Latn-CS" sz="700"/>
            </a:pPr>
            <a:endParaRPr lang="en-US"/>
          </a:p>
        </c:txPr>
        <c:crossAx val="15909209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100"/>
            </a:pPr>
            <a:r>
              <a:rPr lang="en-US" sz="1100"/>
              <a:t>turizam</a:t>
            </a:r>
          </a:p>
        </c:rich>
      </c:tx>
    </c:title>
    <c:plotArea>
      <c:layout>
        <c:manualLayout>
          <c:layoutTarget val="inner"/>
          <c:xMode val="edge"/>
          <c:yMode val="edge"/>
          <c:x val="0.17840860215053791"/>
          <c:y val="0.21742267054904471"/>
          <c:w val="0.75900179211470609"/>
          <c:h val="0.41395645951094362"/>
        </c:manualLayout>
      </c:layout>
      <c:lineChart>
        <c:grouping val="standard"/>
        <c:ser>
          <c:idx val="0"/>
          <c:order val="0"/>
          <c:tx>
            <c:strRef>
              <c:f>'Makroekonomski indikatori'!$C$16</c:f>
              <c:strCache>
                <c:ptCount val="1"/>
                <c:pt idx="0">
                  <c:v>Noćenja turista (stopa rasta)</c:v>
                </c:pt>
              </c:strCache>
            </c:strRef>
          </c:tx>
          <c:spPr>
            <a:ln>
              <a:solidFill>
                <a:srgbClr val="5D2FDD"/>
              </a:solidFill>
            </a:ln>
          </c:spPr>
          <c:marker>
            <c:symbol val="none"/>
          </c:marker>
          <c:cat>
            <c:strRef>
              <c:f>'Makroekonomski indikatori'!$AH$30:$AU$30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2014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'Makroekonomski indikatori'!$AH$16:$AU$16</c:f>
              <c:numCache>
                <c:formatCode>0.0</c:formatCode>
                <c:ptCount val="13"/>
                <c:pt idx="0">
                  <c:v>-3.6</c:v>
                </c:pt>
                <c:pt idx="1">
                  <c:v>4.3</c:v>
                </c:pt>
                <c:pt idx="2">
                  <c:v>5.6</c:v>
                </c:pt>
                <c:pt idx="3">
                  <c:v>30.3</c:v>
                </c:pt>
                <c:pt idx="4">
                  <c:v>1.1000000000000001</c:v>
                </c:pt>
                <c:pt idx="5">
                  <c:v>22.1</c:v>
                </c:pt>
                <c:pt idx="6">
                  <c:v>2</c:v>
                </c:pt>
                <c:pt idx="7" formatCode="General">
                  <c:v>2.7</c:v>
                </c:pt>
                <c:pt idx="8" formatCode="General">
                  <c:v>5.3</c:v>
                </c:pt>
                <c:pt idx="9" formatCode="General">
                  <c:v>2.1</c:v>
                </c:pt>
                <c:pt idx="10" formatCode="General">
                  <c:v>-4.2</c:v>
                </c:pt>
                <c:pt idx="11" formatCode="General">
                  <c:v>-1.3</c:v>
                </c:pt>
                <c:pt idx="12" formatCode="General">
                  <c:v>0.9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indikatori'!$C$17</c:f>
              <c:strCache>
                <c:ptCount val="1"/>
                <c:pt idx="0">
                  <c:v>Dolasci turista (stopa rasta)</c:v>
                </c:pt>
              </c:strCache>
            </c:strRef>
          </c:tx>
          <c:spPr>
            <a:ln>
              <a:solidFill>
                <a:srgbClr val="29E367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indikatori'!$AH$30:$AU$30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2014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'Makroekonomski indikatori'!$AH$17:$AU$17</c:f>
              <c:numCache>
                <c:formatCode>0.0</c:formatCode>
                <c:ptCount val="13"/>
                <c:pt idx="0">
                  <c:v>-3.1</c:v>
                </c:pt>
                <c:pt idx="1">
                  <c:v>5.2</c:v>
                </c:pt>
                <c:pt idx="2">
                  <c:v>3.8</c:v>
                </c:pt>
                <c:pt idx="3">
                  <c:v>21.2</c:v>
                </c:pt>
                <c:pt idx="4">
                  <c:v>6.8</c:v>
                </c:pt>
                <c:pt idx="5">
                  <c:v>13.8</c:v>
                </c:pt>
                <c:pt idx="6">
                  <c:v>2.9</c:v>
                </c:pt>
                <c:pt idx="7" formatCode="General">
                  <c:v>6.1</c:v>
                </c:pt>
                <c:pt idx="8" formatCode="General">
                  <c:v>-4.5</c:v>
                </c:pt>
                <c:pt idx="9" formatCode="General">
                  <c:v>11.1</c:v>
                </c:pt>
                <c:pt idx="10" formatCode="General">
                  <c:v>2.4</c:v>
                </c:pt>
                <c:pt idx="11" formatCode="General">
                  <c:v>-0.8</c:v>
                </c:pt>
                <c:pt idx="12" formatCode="General">
                  <c:v>-1.3</c:v>
                </c:pt>
              </c:numCache>
            </c:numRef>
          </c:val>
          <c:smooth val="1"/>
        </c:ser>
        <c:marker val="1"/>
        <c:axId val="158455680"/>
        <c:axId val="158457216"/>
      </c:lineChart>
      <c:catAx>
        <c:axId val="158455680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158457216"/>
        <c:crosses val="autoZero"/>
        <c:auto val="1"/>
        <c:lblAlgn val="ctr"/>
        <c:lblOffset val="100"/>
      </c:catAx>
      <c:valAx>
        <c:axId val="158457216"/>
        <c:scaling>
          <c:orientation val="minMax"/>
          <c:min val="-10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5845568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1291263440860375"/>
          <c:y val="0.77807168458782217"/>
          <c:w val="0.53098745519713253"/>
          <c:h val="0.15343833020378644"/>
        </c:manualLayout>
      </c:layout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900"/>
            </a:pPr>
            <a:r>
              <a:rPr lang="en-US" sz="900"/>
              <a:t>HICP</a:t>
            </a:r>
          </a:p>
        </c:rich>
      </c:tx>
    </c:title>
    <c:plotArea>
      <c:layout>
        <c:manualLayout>
          <c:layoutTarget val="inner"/>
          <c:xMode val="edge"/>
          <c:yMode val="edge"/>
          <c:x val="0.1611111111111112"/>
          <c:y val="0.17630376344086021"/>
          <c:w val="0.77777921595418686"/>
          <c:h val="0.52818996415770558"/>
        </c:manualLayout>
      </c:layout>
      <c:lineChart>
        <c:grouping val="standard"/>
        <c:ser>
          <c:idx val="0"/>
          <c:order val="0"/>
          <c:tx>
            <c:strRef>
              <c:f>'Makroekonomski indikatori'!$C$23</c:f>
              <c:strCache>
                <c:ptCount val="1"/>
                <c:pt idx="0">
                  <c:v>HICP-godišnje stope rasta</c:v>
                </c:pt>
              </c:strCache>
            </c:strRef>
          </c:tx>
          <c:spPr>
            <a:ln>
              <a:solidFill>
                <a:srgbClr val="612FDD"/>
              </a:solidFill>
            </a:ln>
          </c:spPr>
          <c:marker>
            <c:symbol val="none"/>
          </c:marker>
          <c:cat>
            <c:strRef>
              <c:f>'Makroekonomski indikatori'!$AH$30:$AU$30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2014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'Makroekonomski indikatori'!$AH$23:$AU$23</c:f>
              <c:numCache>
                <c:formatCode>#,##0.0</c:formatCode>
                <c:ptCount val="13"/>
                <c:pt idx="0">
                  <c:v>2.2000000000000002</c:v>
                </c:pt>
                <c:pt idx="1">
                  <c:v>1.7000000000000002</c:v>
                </c:pt>
                <c:pt idx="2">
                  <c:v>1.5</c:v>
                </c:pt>
                <c:pt idx="3">
                  <c:v>0.30000000000000032</c:v>
                </c:pt>
                <c:pt idx="4">
                  <c:v>0</c:v>
                </c:pt>
                <c:pt idx="5">
                  <c:v>0.4</c:v>
                </c:pt>
                <c:pt idx="6" formatCode="General">
                  <c:v>0.1</c:v>
                </c:pt>
                <c:pt idx="7" formatCode="0.0">
                  <c:v>0</c:v>
                </c:pt>
                <c:pt idx="8" formatCode="General">
                  <c:v>-0.4</c:v>
                </c:pt>
                <c:pt idx="9" formatCode="General">
                  <c:v>-0.8</c:v>
                </c:pt>
                <c:pt idx="10" formatCode="General">
                  <c:v>-0.70000000000000062</c:v>
                </c:pt>
                <c:pt idx="11" formatCode="General">
                  <c:v>0.2</c:v>
                </c:pt>
                <c:pt idx="12" formatCode="General">
                  <c:v>-0.9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indikatori'!$C$24</c:f>
              <c:strCache>
                <c:ptCount val="1"/>
                <c:pt idx="0">
                  <c:v>cijene hrane</c:v>
                </c:pt>
              </c:strCache>
            </c:strRef>
          </c:tx>
          <c:spPr>
            <a:ln>
              <a:solidFill>
                <a:srgbClr val="50C24A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indikatori'!$AH$30:$AU$30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2014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'Makroekonomski indikatori'!$AH$24:$AU$24</c:f>
              <c:numCache>
                <c:formatCode>0.0</c:formatCode>
                <c:ptCount val="13"/>
                <c:pt idx="0">
                  <c:v>6.2</c:v>
                </c:pt>
                <c:pt idx="1">
                  <c:v>6</c:v>
                </c:pt>
                <c:pt idx="2">
                  <c:v>3.3</c:v>
                </c:pt>
                <c:pt idx="3">
                  <c:v>-0.2</c:v>
                </c:pt>
                <c:pt idx="4">
                  <c:v>-1</c:v>
                </c:pt>
                <c:pt idx="5">
                  <c:v>-0.60000000000000064</c:v>
                </c:pt>
                <c:pt idx="6" formatCode="General">
                  <c:v>-0.9</c:v>
                </c:pt>
                <c:pt idx="7" formatCode="General">
                  <c:v>-1</c:v>
                </c:pt>
                <c:pt idx="8" formatCode="General">
                  <c:v>-1.2</c:v>
                </c:pt>
                <c:pt idx="9" formatCode="General">
                  <c:v>-3.4</c:v>
                </c:pt>
                <c:pt idx="10" formatCode="General">
                  <c:v>-3.4</c:v>
                </c:pt>
                <c:pt idx="11" formatCode="General">
                  <c:v>-1.6</c:v>
                </c:pt>
                <c:pt idx="12" formatCode="General">
                  <c:v>-3.3</c:v>
                </c:pt>
              </c:numCache>
            </c:numRef>
          </c:val>
          <c:smooth val="1"/>
        </c:ser>
        <c:marker val="1"/>
        <c:axId val="158478336"/>
        <c:axId val="158479872"/>
      </c:lineChart>
      <c:catAx>
        <c:axId val="158478336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158479872"/>
        <c:crosses val="autoZero"/>
        <c:auto val="1"/>
        <c:lblAlgn val="ctr"/>
        <c:lblOffset val="100"/>
      </c:catAx>
      <c:valAx>
        <c:axId val="158479872"/>
        <c:scaling>
          <c:orientation val="minMax"/>
        </c:scaling>
        <c:axPos val="l"/>
        <c:numFmt formatCode="#,##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584783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83839478357674879"/>
          <c:w val="1"/>
          <c:h val="0.12120974368489409"/>
        </c:manualLayout>
      </c:layout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2489989163319649"/>
          <c:y val="7.5757452510597664E-2"/>
          <c:w val="0.57290386776832869"/>
          <c:h val="0.70512943570188913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indikatori'!$AG$9:$AT$9</c:f>
              <c:strCache>
                <c:ptCount val="14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2014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  <c:pt idx="13">
                  <c:v>VII</c:v>
                </c:pt>
              </c:strCache>
            </c:strRef>
          </c:cat>
          <c:val>
            <c:numRef>
              <c:f>'Makroekonomski indikatori'!$AG$21:$AT$21</c:f>
              <c:numCache>
                <c:formatCode>#,##0</c:formatCode>
                <c:ptCount val="14"/>
                <c:pt idx="0">
                  <c:v>179861</c:v>
                </c:pt>
                <c:pt idx="1">
                  <c:v>178815</c:v>
                </c:pt>
                <c:pt idx="2">
                  <c:v>176588</c:v>
                </c:pt>
                <c:pt idx="3">
                  <c:v>169044</c:v>
                </c:pt>
                <c:pt idx="4">
                  <c:v>169044</c:v>
                </c:pt>
                <c:pt idx="5">
                  <c:v>167607</c:v>
                </c:pt>
                <c:pt idx="6">
                  <c:v>167173</c:v>
                </c:pt>
                <c:pt idx="7">
                  <c:v>167616</c:v>
                </c:pt>
                <c:pt idx="8">
                  <c:v>168805</c:v>
                </c:pt>
                <c:pt idx="9">
                  <c:v>170177</c:v>
                </c:pt>
                <c:pt idx="10">
                  <c:v>172202</c:v>
                </c:pt>
                <c:pt idx="11">
                  <c:v>174917</c:v>
                </c:pt>
                <c:pt idx="12">
                  <c:v>179774</c:v>
                </c:pt>
                <c:pt idx="13">
                  <c:v>181408</c:v>
                </c:pt>
              </c:numCache>
            </c:numRef>
          </c:val>
        </c:ser>
        <c:marker val="1"/>
        <c:axId val="158534656"/>
        <c:axId val="158544640"/>
      </c:lineChart>
      <c:lineChart>
        <c:grouping val="standard"/>
        <c:ser>
          <c:idx val="1"/>
          <c:order val="1"/>
          <c:spPr>
            <a:ln>
              <a:prstDash val="sysDot"/>
            </a:ln>
          </c:spPr>
          <c:marker>
            <c:symbol val="none"/>
          </c:marker>
          <c:cat>
            <c:strRef>
              <c:f>'Makroekonomski indikatori'!$AG$9:$AT$9</c:f>
              <c:strCache>
                <c:ptCount val="14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2014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  <c:pt idx="13">
                  <c:v>VII</c:v>
                </c:pt>
              </c:strCache>
            </c:strRef>
          </c:cat>
          <c:val>
            <c:numRef>
              <c:f>'Makroekonomski indikatori'!$AG$22:$AT$22</c:f>
              <c:numCache>
                <c:formatCode>#,##0</c:formatCode>
                <c:ptCount val="14"/>
                <c:pt idx="0">
                  <c:v>30337</c:v>
                </c:pt>
                <c:pt idx="1">
                  <c:v>30102</c:v>
                </c:pt>
                <c:pt idx="2">
                  <c:v>30947</c:v>
                </c:pt>
                <c:pt idx="3">
                  <c:v>33271</c:v>
                </c:pt>
                <c:pt idx="4">
                  <c:v>33271</c:v>
                </c:pt>
                <c:pt idx="5">
                  <c:v>34680</c:v>
                </c:pt>
                <c:pt idx="6">
                  <c:v>34514</c:v>
                </c:pt>
                <c:pt idx="7">
                  <c:v>34804</c:v>
                </c:pt>
                <c:pt idx="8">
                  <c:v>34664</c:v>
                </c:pt>
                <c:pt idx="9">
                  <c:v>34671</c:v>
                </c:pt>
                <c:pt idx="10">
                  <c:v>33906</c:v>
                </c:pt>
                <c:pt idx="11">
                  <c:v>32763</c:v>
                </c:pt>
                <c:pt idx="12">
                  <c:v>31570</c:v>
                </c:pt>
                <c:pt idx="13">
                  <c:v>31115</c:v>
                </c:pt>
              </c:numCache>
            </c:numRef>
          </c:val>
        </c:ser>
        <c:marker val="1"/>
        <c:axId val="158556928"/>
        <c:axId val="158546560"/>
      </c:lineChart>
      <c:catAx>
        <c:axId val="158534656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58544640"/>
        <c:crosses val="autoZero"/>
        <c:auto val="1"/>
        <c:lblAlgn val="ctr"/>
        <c:lblOffset val="100"/>
      </c:catAx>
      <c:valAx>
        <c:axId val="158544640"/>
        <c:scaling>
          <c:orientation val="minMax"/>
          <c:min val="164000"/>
        </c:scaling>
        <c:axPos val="l"/>
        <c:majorGridlines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58534656"/>
        <c:crosses val="autoZero"/>
        <c:crossBetween val="between"/>
        <c:dispUnits>
          <c:builtInUnit val="thousands"/>
        </c:dispUnits>
      </c:valAx>
      <c:valAx>
        <c:axId val="158546560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58556928"/>
        <c:crosses val="max"/>
        <c:crossBetween val="between"/>
        <c:dispUnits>
          <c:builtInUnit val="thousands"/>
        </c:dispUnits>
      </c:valAx>
      <c:catAx>
        <c:axId val="158556928"/>
        <c:scaling>
          <c:orientation val="minMax"/>
        </c:scaling>
        <c:delete val="1"/>
        <c:axPos val="t"/>
        <c:tickLblPos val="none"/>
        <c:crossAx val="158546560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523877646207445"/>
          <c:y val="4.1424676898629394E-2"/>
          <c:w val="0.64460499846746366"/>
          <c:h val="0.71317252062959924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 (4)'!$BF$30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'Fiskalni indikatori (3)'!$CD$6:$CN$6</c:f>
              <c:strCache>
                <c:ptCount val="11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</c:strCache>
            </c:strRef>
          </c:cat>
          <c:val>
            <c:numRef>
              <c:f>'Fiskalni indikatori (4)'!$CK$20:$CW$20</c:f>
              <c:numCache>
                <c:formatCode>0.00,,</c:formatCode>
                <c:ptCount val="13"/>
                <c:pt idx="0">
                  <c:v>-37817120.375714526</c:v>
                </c:pt>
                <c:pt idx="1">
                  <c:v>-16221972.00090231</c:v>
                </c:pt>
                <c:pt idx="2">
                  <c:v>-2657604.3090550057</c:v>
                </c:pt>
                <c:pt idx="3">
                  <c:v>17862496.387521476</c:v>
                </c:pt>
                <c:pt idx="4">
                  <c:v>-2710356.1671831482</c:v>
                </c:pt>
                <c:pt idx="5">
                  <c:v>-7703230.0812701583</c:v>
                </c:pt>
                <c:pt idx="6">
                  <c:v>-23541980.639999989</c:v>
                </c:pt>
                <c:pt idx="7">
                  <c:v>-6801498.5899999607</c:v>
                </c:pt>
                <c:pt idx="8">
                  <c:v>-15174581.920000017</c:v>
                </c:pt>
                <c:pt idx="9">
                  <c:v>-13245329.880000032</c:v>
                </c:pt>
                <c:pt idx="10">
                  <c:v>413809.78000000125</c:v>
                </c:pt>
                <c:pt idx="11">
                  <c:v>-5601575.4311751602</c:v>
                </c:pt>
                <c:pt idx="12">
                  <c:v>19117673.599999979</c:v>
                </c:pt>
              </c:numCache>
            </c:numRef>
          </c:val>
        </c:ser>
        <c:axId val="158649344"/>
        <c:axId val="158647808"/>
      </c:barChart>
      <c:lineChart>
        <c:grouping val="standard"/>
        <c:ser>
          <c:idx val="0"/>
          <c:order val="0"/>
          <c:tx>
            <c:strRef>
              <c:f>'Fiskalni indikatori (4)'!$BF$29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diamond"/>
            <c:size val="4"/>
            <c:spPr>
              <a:solidFill>
                <a:schemeClr val="tx2">
                  <a:lumMod val="75000"/>
                </a:schemeClr>
              </a:solidFill>
              <a:ln cap="flat">
                <a:solidFill>
                  <a:sysClr val="windowText" lastClr="000000"/>
                </a:solidFill>
                <a:round/>
              </a:ln>
            </c:spPr>
          </c:marker>
          <c:cat>
            <c:strRef>
              <c:f>'Fiskalni indikatori (4)'!$CK$6:$CW$6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'Fiskalni indikatori (4)'!$CK$13:$CW$13</c:f>
              <c:numCache>
                <c:formatCode>0.00,,</c:formatCode>
                <c:ptCount val="13"/>
                <c:pt idx="0">
                  <c:v>160333676.54571453</c:v>
                </c:pt>
                <c:pt idx="1">
                  <c:v>141275399.6509023</c:v>
                </c:pt>
                <c:pt idx="2">
                  <c:v>118999622.08905503</c:v>
                </c:pt>
                <c:pt idx="3">
                  <c:v>99421131.212479636</c:v>
                </c:pt>
                <c:pt idx="4">
                  <c:v>98492109.327183142</c:v>
                </c:pt>
                <c:pt idx="5">
                  <c:v>150132599.31127</c:v>
                </c:pt>
                <c:pt idx="6">
                  <c:v>94324014.019999981</c:v>
                </c:pt>
                <c:pt idx="7">
                  <c:v>88934834.459999964</c:v>
                </c:pt>
                <c:pt idx="8">
                  <c:v>115882745.85000001</c:v>
                </c:pt>
                <c:pt idx="9">
                  <c:v>122329978.45999999</c:v>
                </c:pt>
                <c:pt idx="10">
                  <c:v>101783889</c:v>
                </c:pt>
                <c:pt idx="11">
                  <c:v>115448396.8511752</c:v>
                </c:pt>
                <c:pt idx="12">
                  <c:v>101539267.11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 (4)'!$BF$28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 (4)'!$CK$6:$CW$6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'Fiskalni indikatori (4)'!$CK$7:$CW$7</c:f>
              <c:numCache>
                <c:formatCode>0.00,,</c:formatCode>
                <c:ptCount val="13"/>
                <c:pt idx="0">
                  <c:v>122516556.16999999</c:v>
                </c:pt>
                <c:pt idx="1">
                  <c:v>125053427.64999999</c:v>
                </c:pt>
                <c:pt idx="2">
                  <c:v>116342017.78000002</c:v>
                </c:pt>
                <c:pt idx="3">
                  <c:v>117283627.60000001</c:v>
                </c:pt>
                <c:pt idx="4">
                  <c:v>95781753.159999892</c:v>
                </c:pt>
                <c:pt idx="5">
                  <c:v>142429369.22999999</c:v>
                </c:pt>
                <c:pt idx="6">
                  <c:v>70782033.379999891</c:v>
                </c:pt>
                <c:pt idx="7">
                  <c:v>82133335.86999999</c:v>
                </c:pt>
                <c:pt idx="8">
                  <c:v>100708163.93000002</c:v>
                </c:pt>
                <c:pt idx="9">
                  <c:v>109084648.57999997</c:v>
                </c:pt>
                <c:pt idx="10">
                  <c:v>102197698.78</c:v>
                </c:pt>
                <c:pt idx="11">
                  <c:v>109846821.42</c:v>
                </c:pt>
                <c:pt idx="12">
                  <c:v>120656940.70999998</c:v>
                </c:pt>
              </c:numCache>
            </c:numRef>
          </c:val>
          <c:smooth val="1"/>
        </c:ser>
        <c:marker val="1"/>
        <c:axId val="158615808"/>
        <c:axId val="158646272"/>
      </c:lineChart>
      <c:dateAx>
        <c:axId val="158615808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50" baseline="0"/>
            </a:pPr>
            <a:endParaRPr lang="en-US"/>
          </a:p>
        </c:txPr>
        <c:crossAx val="158646272"/>
        <c:crosses val="autoZero"/>
        <c:lblOffset val="100"/>
        <c:baseTimeUnit val="days"/>
      </c:dateAx>
      <c:valAx>
        <c:axId val="158646272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58615808"/>
        <c:crosses val="autoZero"/>
        <c:crossBetween val="between"/>
      </c:valAx>
      <c:valAx>
        <c:axId val="158647808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58649344"/>
        <c:crosses val="max"/>
        <c:crossBetween val="between"/>
        <c:majorUnit val="20000000"/>
      </c:valAx>
      <c:catAx>
        <c:axId val="158649344"/>
        <c:scaling>
          <c:orientation val="minMax"/>
        </c:scaling>
        <c:delete val="1"/>
        <c:axPos val="b"/>
        <c:numFmt formatCode="General" sourceLinked="1"/>
        <c:tickLblPos val="none"/>
        <c:crossAx val="158647808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3.2864326313030795E-2"/>
          <c:y val="0.85542969383267664"/>
          <c:w val="0.82869729686923765"/>
          <c:h val="0.12182025489014146"/>
        </c:manualLayout>
      </c:layout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x-none"/>
              <a:t>kamatni spred,%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krediti</c:v>
          </c:tx>
          <c:cat>
            <c:strRef>
              <c:f>'Database za makro'!$AK$9:$AW$9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'Database za makro'!$AK$37:$AW$37</c:f>
              <c:numCache>
                <c:formatCode>0.00</c:formatCode>
                <c:ptCount val="13"/>
                <c:pt idx="0">
                  <c:v>9.3800000000000008</c:v>
                </c:pt>
                <c:pt idx="1">
                  <c:v>9.33</c:v>
                </c:pt>
                <c:pt idx="2">
                  <c:v>9.33</c:v>
                </c:pt>
                <c:pt idx="3">
                  <c:v>9.33</c:v>
                </c:pt>
                <c:pt idx="4">
                  <c:v>9.33</c:v>
                </c:pt>
                <c:pt idx="5">
                  <c:v>9.3600000000000048</c:v>
                </c:pt>
                <c:pt idx="6">
                  <c:v>9.4</c:v>
                </c:pt>
                <c:pt idx="7">
                  <c:v>9.42</c:v>
                </c:pt>
                <c:pt idx="8">
                  <c:v>9.42</c:v>
                </c:pt>
                <c:pt idx="9">
                  <c:v>9.4500000000000028</c:v>
                </c:pt>
                <c:pt idx="10">
                  <c:v>9.51</c:v>
                </c:pt>
                <c:pt idx="11">
                  <c:v>9.5400000000000009</c:v>
                </c:pt>
                <c:pt idx="12">
                  <c:v>9.5500000000000007</c:v>
                </c:pt>
              </c:numCache>
            </c:numRef>
          </c:val>
        </c:ser>
        <c:ser>
          <c:idx val="1"/>
          <c:order val="1"/>
          <c:tx>
            <c:v>depoziti</c:v>
          </c:tx>
          <c:cat>
            <c:strRef>
              <c:f>'Database za makro'!$AK$9:$AW$9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'Database za makro'!$AK$38:$AW$38</c:f>
              <c:numCache>
                <c:formatCode>0.00</c:formatCode>
                <c:ptCount val="13"/>
                <c:pt idx="0">
                  <c:v>2.9299999999999997</c:v>
                </c:pt>
                <c:pt idx="1">
                  <c:v>2.8299999999999987</c:v>
                </c:pt>
                <c:pt idx="2">
                  <c:v>2.67</c:v>
                </c:pt>
                <c:pt idx="3">
                  <c:v>2.67</c:v>
                </c:pt>
                <c:pt idx="4">
                  <c:v>2.6</c:v>
                </c:pt>
                <c:pt idx="5">
                  <c:v>2.5499999999999998</c:v>
                </c:pt>
                <c:pt idx="6">
                  <c:v>2.4099999999999997</c:v>
                </c:pt>
                <c:pt idx="7">
                  <c:v>2.4499999999999997</c:v>
                </c:pt>
                <c:pt idx="8">
                  <c:v>2.34</c:v>
                </c:pt>
                <c:pt idx="9">
                  <c:v>2.3099999999999987</c:v>
                </c:pt>
                <c:pt idx="10">
                  <c:v>2.25</c:v>
                </c:pt>
                <c:pt idx="11">
                  <c:v>2.19</c:v>
                </c:pt>
                <c:pt idx="12">
                  <c:v>2.08</c:v>
                </c:pt>
              </c:numCache>
            </c:numRef>
          </c:val>
        </c:ser>
        <c:gapWidth val="75"/>
        <c:axId val="158949760"/>
        <c:axId val="158951296"/>
      </c:barChart>
      <c:lineChart>
        <c:grouping val="standard"/>
        <c:ser>
          <c:idx val="2"/>
          <c:order val="2"/>
          <c:tx>
            <c:v>spred</c:v>
          </c:tx>
          <c:marker>
            <c:symbol val="none"/>
          </c:marker>
          <c:val>
            <c:numRef>
              <c:f>'Database za makro'!$AK$49:$AW$49</c:f>
              <c:numCache>
                <c:formatCode>0.00</c:formatCode>
                <c:ptCount val="13"/>
                <c:pt idx="0">
                  <c:v>6.45</c:v>
                </c:pt>
                <c:pt idx="1">
                  <c:v>6.5</c:v>
                </c:pt>
                <c:pt idx="2">
                  <c:v>6.6599999999999975</c:v>
                </c:pt>
                <c:pt idx="3">
                  <c:v>6.6599999999999975</c:v>
                </c:pt>
                <c:pt idx="4">
                  <c:v>6.73</c:v>
                </c:pt>
                <c:pt idx="5">
                  <c:v>6.81</c:v>
                </c:pt>
                <c:pt idx="6">
                  <c:v>6.99</c:v>
                </c:pt>
                <c:pt idx="7">
                  <c:v>6.9700000000000024</c:v>
                </c:pt>
                <c:pt idx="8">
                  <c:v>7.08</c:v>
                </c:pt>
                <c:pt idx="9">
                  <c:v>7.14</c:v>
                </c:pt>
                <c:pt idx="10">
                  <c:v>7.26</c:v>
                </c:pt>
                <c:pt idx="11">
                  <c:v>7.35</c:v>
                </c:pt>
                <c:pt idx="12">
                  <c:v>7.4700000000000024</c:v>
                </c:pt>
              </c:numCache>
            </c:numRef>
          </c:val>
        </c:ser>
        <c:marker val="1"/>
        <c:axId val="158949760"/>
        <c:axId val="158951296"/>
      </c:lineChart>
      <c:catAx>
        <c:axId val="1589497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58951296"/>
        <c:crosses val="autoZero"/>
        <c:auto val="1"/>
        <c:lblAlgn val="ctr"/>
        <c:lblOffset val="100"/>
      </c:catAx>
      <c:valAx>
        <c:axId val="158951296"/>
        <c:scaling>
          <c:orientation val="minMax"/>
        </c:scaling>
        <c:axPos val="l"/>
        <c:numFmt formatCode="0.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r-Latn-CS"/>
            </a:pPr>
            <a:endParaRPr lang="en-US"/>
          </a:p>
        </c:txPr>
        <c:crossAx val="158949760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100"/>
            </a:pPr>
            <a:r>
              <a:rPr lang="en-US" sz="1100"/>
              <a:t>Struktura SDI </a:t>
            </a:r>
            <a:endParaRPr lang="sr-Latn-CS" sz="1100"/>
          </a:p>
          <a:p>
            <a:pPr>
              <a:defRPr lang="sr-Latn-CS" sz="1100"/>
            </a:pPr>
            <a:endParaRPr lang="en-US" sz="1100"/>
          </a:p>
        </c:rich>
      </c:tx>
    </c:title>
    <c:plotArea>
      <c:layout>
        <c:manualLayout>
          <c:layoutTarget val="inner"/>
          <c:xMode val="edge"/>
          <c:yMode val="edge"/>
          <c:x val="0.21108271756267941"/>
          <c:y val="0.31836154627013086"/>
          <c:w val="0.7243064933506006"/>
          <c:h val="0.35956934536279173"/>
        </c:manualLayout>
      </c:layout>
      <c:barChart>
        <c:barDir val="col"/>
        <c:grouping val="clustered"/>
        <c:ser>
          <c:idx val="0"/>
          <c:order val="0"/>
          <c:tx>
            <c:strRef>
              <c:f>'SDI 2013-2014'!$G$29:$G$30</c:f>
              <c:strCache>
                <c:ptCount val="1"/>
                <c:pt idx="0">
                  <c:v>jan-jun 2013</c:v>
                </c:pt>
              </c:strCache>
            </c:strRef>
          </c:tx>
          <c:cat>
            <c:strRef>
              <c:f>'SDI 2013-2014'!$A$31:$A$34</c:f>
              <c:strCache>
                <c:ptCount val="4"/>
                <c:pt idx="0">
                  <c:v>Invest. u komp. i banke</c:v>
                </c:pt>
                <c:pt idx="1">
                  <c:v>Interkompanijski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'SDI 2013-2014'!$G$31:$G$34</c:f>
              <c:numCache>
                <c:formatCode>#,##0.0</c:formatCode>
                <c:ptCount val="4"/>
                <c:pt idx="0">
                  <c:v>6680.9</c:v>
                </c:pt>
                <c:pt idx="1">
                  <c:v>98428.6</c:v>
                </c:pt>
                <c:pt idx="2">
                  <c:v>87515</c:v>
                </c:pt>
                <c:pt idx="3">
                  <c:v>7255</c:v>
                </c:pt>
              </c:numCache>
            </c:numRef>
          </c:val>
        </c:ser>
        <c:ser>
          <c:idx val="1"/>
          <c:order val="1"/>
          <c:tx>
            <c:strRef>
              <c:f>'SDI 2013-2014'!$H$29:$H$30</c:f>
              <c:strCache>
                <c:ptCount val="1"/>
                <c:pt idx="0">
                  <c:v>jan-jun 2014</c:v>
                </c:pt>
              </c:strCache>
            </c:strRef>
          </c:tx>
          <c:cat>
            <c:strRef>
              <c:f>'SDI 2013-2014'!$A$31:$A$34</c:f>
              <c:strCache>
                <c:ptCount val="4"/>
                <c:pt idx="0">
                  <c:v>Invest. u komp. i banke</c:v>
                </c:pt>
                <c:pt idx="1">
                  <c:v>Interkompanijski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'SDI 2013-2014'!$H$31:$H$34</c:f>
              <c:numCache>
                <c:formatCode>#,##0.0</c:formatCode>
                <c:ptCount val="4"/>
                <c:pt idx="0">
                  <c:v>24649.3</c:v>
                </c:pt>
                <c:pt idx="1">
                  <c:v>115936.4</c:v>
                </c:pt>
                <c:pt idx="2">
                  <c:v>72773.3</c:v>
                </c:pt>
                <c:pt idx="3">
                  <c:v>3788.5</c:v>
                </c:pt>
              </c:numCache>
            </c:numRef>
          </c:val>
        </c:ser>
        <c:axId val="159070464"/>
        <c:axId val="159457280"/>
      </c:barChart>
      <c:catAx>
        <c:axId val="1590704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59457280"/>
        <c:crosses val="autoZero"/>
        <c:auto val="1"/>
        <c:lblAlgn val="ctr"/>
        <c:lblOffset val="100"/>
      </c:catAx>
      <c:valAx>
        <c:axId val="159457280"/>
        <c:scaling>
          <c:orientation val="minMax"/>
        </c:scaling>
        <c:axPos val="l"/>
        <c:numFmt formatCode="#,##0.0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59070464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3.0695965115178792E-2"/>
                <c:y val="0.41911908323060826"/>
              </c:manualLayout>
            </c:layout>
            <c:tx>
              <c:rich>
                <a:bodyPr/>
                <a:lstStyle/>
                <a:p>
                  <a:pPr>
                    <a:defRPr lang="sr-Latn-CS" sz="700"/>
                  </a:pPr>
                  <a:r>
                    <a:rPr lang="en-US" sz="700"/>
                    <a:t>mil.</a:t>
                  </a:r>
                  <a:r>
                    <a:rPr lang="sr-Latn-CS" sz="700"/>
                    <a:t>€</a:t>
                  </a:r>
                  <a:endParaRPr lang="en-US" sz="700"/>
                </a:p>
              </c:rich>
            </c:tx>
          </c:dispUnitsLbl>
        </c:dispUnits>
      </c:valAx>
    </c:plotArea>
    <c:legend>
      <c:legendPos val="t"/>
      <c:layout>
        <c:manualLayout>
          <c:xMode val="edge"/>
          <c:yMode val="edge"/>
          <c:x val="0.15140871243337437"/>
          <c:y val="0.14326769670869874"/>
          <c:w val="0.69718257513324977"/>
          <c:h val="7.5171508911965376E-2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0.3075</cdr:x>
      <cdr:y>0.65214</cdr:y>
    </cdr:from>
    <cdr:to>
      <cdr:x>0.7603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610648" y="1202573"/>
          <a:ext cx="899192" cy="2430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</a:t>
          </a:r>
          <a:r>
            <a:rPr lang="sr-Latn-CS" sz="800" baseline="0"/>
            <a:t>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F411E-69FA-4B5D-8EBF-DA19BD98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2505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iva.vukovic</cp:lastModifiedBy>
  <cp:revision>2</cp:revision>
  <cp:lastPrinted>2014-09-08T13:18:00Z</cp:lastPrinted>
  <dcterms:created xsi:type="dcterms:W3CDTF">2014-09-10T13:12:00Z</dcterms:created>
  <dcterms:modified xsi:type="dcterms:W3CDTF">2014-09-10T13:12:00Z</dcterms:modified>
</cp:coreProperties>
</file>