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02-100/23-2543/3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04.08.2023.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Fonda za zdravstveno osiguranje Crne Gore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Samostalni/a savjetnik/ica III - Područna jedinica NIkšić,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- pravo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Zaposleni kome je isplaćena otpremnina po osnovu sporazumnog prestanka radnog odnosa u privrednom društvu, javnoj ustanovi i drugoj javnoj službi, čiji je većinski vlasnik država. odnosno jedinica lokalne samouprave ili država, odnosno jedinica lokalne samouprave ima učešće u kapitalu, ne može da zasnuje radni odnos u državnom organu i organu države uprave, u periodu od pet godina od dana isplate otpremnine.</w:t>
      </w:r>
    </w:p>
    <w:p>
      <w:pPr>
        <w:jc w:val="both"/>
        <w:spacing w:after="0"/>
      </w:pPr>
      <w:br/>
      <w:r>
        <w:rPr>
          <w:rFonts w:ascii="Arial" w:hAnsi="Arial" w:eastAsia="Arial" w:cs="Arial"/>
        </w:rPr>
        <w:t xml:space="preserve">Zaposleni kome je isplaćena otpremina po osnovu prestanka potrebe za njegovim radom u privrednom društvu, javnoj ustanovi i drugoj javnoj službi, čiji je većinski vlasnik država, odnosno jedinica lokalne samouprave ili država, odnosno jedinica lokalne samouprave ima učešće u kapitalu, osim zaposlenog koji je lice sa invaliditetom, ne može da zasnuje radni odnos u državnom organu i organu državne uprave u periodu od godine dana od dana isplate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  <w:spacing w:after="0"/>
      </w:pPr>
      <w:r>
        <w:rPr>
          <w:rFonts w:ascii="Arial" w:hAnsi="Arial" w:eastAsia="Arial" w:cs="Arial"/>
        </w:rPr>
        <w:t xml:space="preserve">Ograničenje se ne odnosi na zaposlenog koji vrati cjelokupni iznos isplaćene otpremnine.</w:t>
      </w:r>
    </w:p>
    <w:p>
      <w:pPr>
        <w:jc w:val="both"/>
        <w:spacing w:after="0"/>
      </w:pPr>
      <w:r>
        <w:rPr/>
        <w:t xml:space="preserve"> 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Fonda za zdravstveno osiguranje Crne Gore</w:t>
      </w:r>
    </w:p>
    <w:p>
      <w:pPr>
        <w:pStyle w:val="p2Style_2"/>
      </w:pPr>
      <w:r>
        <w:rPr>
          <w:rStyle w:val="r2Style_2"/>
        </w:rPr>
        <w:t xml:space="preserve">Kontakt osoba koja daje informacije u vezi oglasa</w:t>
      </w:r>
    </w:p>
    <w:p>
      <w:pPr>
        <w:pStyle w:val="p2Style_2"/>
      </w:pPr>
      <w:r>
        <w:rPr>
          <w:rStyle w:val="r2Style_2"/>
        </w:rPr>
        <w:t xml:space="preserve">tel: 020/202-291 (oglasavanje@hrma.me);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2023-08-03T09:55:24+02:00</dcterms:created>
  <dcterms:modified xsi:type="dcterms:W3CDTF">2023-08-03T09:55:24+02:00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