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-114300</wp:posOffset>
                </wp:positionV>
                <wp:extent cx="4000500" cy="1276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65pt;margin-top:-9pt;width:31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" stroked="f">
                <v:textbox>
                  <w:txbxContent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Theme="minorHAnsi" w:hAnsiTheme="minorHAnsi" w:cstheme="minorBidi"/>
                          <w:sz w:val="22"/>
                          <w:szCs w:val="22"/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 m</w:t>
      </w:r>
      <w:r w:rsidR="00571B4A">
        <w:rPr>
          <w:rFonts w:ascii="Arial" w:hAnsi="Arial" w:cs="Arial"/>
          <w:sz w:val="21"/>
          <w:szCs w:val="21"/>
        </w:rPr>
        <w:t>aj</w:t>
      </w:r>
      <w:r>
        <w:rPr>
          <w:rFonts w:ascii="Arial" w:hAnsi="Arial" w:cs="Arial"/>
          <w:sz w:val="21"/>
          <w:szCs w:val="21"/>
        </w:rPr>
        <w:t xml:space="preserve"> 2026.godine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571B4A" w:rsidRPr="00735B88" w:rsidRDefault="00571B4A" w:rsidP="00571B4A">
      <w:pPr>
        <w:spacing w:after="160" w:line="252" w:lineRule="auto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35B88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571B4A" w:rsidRPr="00735B88" w:rsidRDefault="00571B4A" w:rsidP="00571B4A">
      <w:p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35B88">
        <w:rPr>
          <w:rFonts w:ascii="Arial" w:hAnsi="Arial" w:cs="Arial"/>
          <w:b/>
          <w:bCs/>
          <w:sz w:val="22"/>
          <w:szCs w:val="22"/>
          <w:lang w:val="sr-Latn-ME"/>
        </w:rPr>
        <w:t>■ Kontrole – provjere (z</w:t>
      </w:r>
      <w:r w:rsidRPr="00735B88">
        <w:rPr>
          <w:rFonts w:ascii="Arial" w:hAnsi="Arial" w:cs="Arial"/>
          <w:b/>
          <w:sz w:val="22"/>
          <w:szCs w:val="22"/>
          <w:lang w:val="sr-Latn-ME"/>
        </w:rPr>
        <w:t>avršeni postupci)</w:t>
      </w:r>
    </w:p>
    <w:p w:rsidR="00571B4A" w:rsidRPr="00735B88" w:rsidRDefault="00571B4A" w:rsidP="00571B4A">
      <w:pPr>
        <w:shd w:val="clear" w:color="auto" w:fill="FFFFFF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571B4A" w:rsidRPr="00735B88" w:rsidRDefault="00571B4A" w:rsidP="00571B4A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 xml:space="preserve">Službenici Odjeljenja za unutrašnju kontrolu policije su tokom </w:t>
      </w:r>
      <w:r>
        <w:rPr>
          <w:rFonts w:ascii="Arial" w:hAnsi="Arial" w:cs="Arial"/>
          <w:sz w:val="22"/>
          <w:szCs w:val="22"/>
          <w:lang w:val="sr-Latn-ME"/>
        </w:rPr>
        <w:t>maja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2026.godine, izvršili </w:t>
      </w:r>
      <w:r>
        <w:rPr>
          <w:rFonts w:ascii="Arial" w:hAnsi="Arial" w:cs="Arial"/>
          <w:sz w:val="22"/>
          <w:szCs w:val="22"/>
          <w:lang w:val="sr-Latn-ME"/>
        </w:rPr>
        <w:t xml:space="preserve"> 13 </w:t>
      </w:r>
      <w:r w:rsidRPr="00735B88">
        <w:rPr>
          <w:rFonts w:ascii="Arial" w:hAnsi="Arial" w:cs="Arial"/>
          <w:sz w:val="22"/>
          <w:szCs w:val="22"/>
          <w:lang w:val="sr-Latn-ME"/>
        </w:rPr>
        <w:t>kontrola – provjera zakonitosti postupanja policijskih službenika na osnovu operativnih i drugih saznanja o mogućim nezakonitostima i nepravilnostima u radu i postupanju policijskih službenika.</w:t>
      </w:r>
    </w:p>
    <w:p w:rsidR="00571B4A" w:rsidRPr="00735B88" w:rsidRDefault="00571B4A" w:rsidP="00571B4A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571B4A" w:rsidRDefault="00571B4A" w:rsidP="00571B4A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►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735B88">
        <w:rPr>
          <w:rFonts w:ascii="Arial" w:hAnsi="Arial" w:cs="Arial"/>
          <w:iCs/>
          <w:sz w:val="22"/>
          <w:szCs w:val="22"/>
          <w:lang w:val="sr-Latn-ME"/>
        </w:rPr>
        <w:t>Na osnovu činjenica i dokaza utvrđenih u po</w:t>
      </w:r>
      <w:r>
        <w:rPr>
          <w:rFonts w:ascii="Arial" w:hAnsi="Arial" w:cs="Arial"/>
          <w:iCs/>
          <w:sz w:val="22"/>
          <w:szCs w:val="22"/>
          <w:lang w:val="sr-Latn-ME"/>
        </w:rPr>
        <w:t xml:space="preserve">stupku unutrašnje kontrole u  tri </w:t>
      </w:r>
      <w:r w:rsidRPr="00735B88">
        <w:rPr>
          <w:rFonts w:ascii="Arial" w:hAnsi="Arial" w:cs="Arial"/>
          <w:iCs/>
          <w:sz w:val="22"/>
          <w:szCs w:val="22"/>
          <w:lang w:val="sr-Latn-ME"/>
        </w:rPr>
        <w:t xml:space="preserve"> slučaja kontrola – provjera zakonitosti postupanja policijskih službenika, </w:t>
      </w:r>
      <w:r w:rsidRPr="00735B88">
        <w:rPr>
          <w:rFonts w:ascii="Arial" w:hAnsi="Arial"/>
          <w:sz w:val="22"/>
          <w:szCs w:val="22"/>
          <w:lang w:val="sr-Latn-ME"/>
        </w:rPr>
        <w:t>u postupcima unutrašnje kontrole, utvrđ</w:t>
      </w:r>
      <w:r>
        <w:rPr>
          <w:rFonts w:ascii="Arial" w:hAnsi="Arial"/>
          <w:sz w:val="22"/>
          <w:szCs w:val="22"/>
          <w:lang w:val="sr-Latn-ME"/>
        </w:rPr>
        <w:t>ene su činjenice i dokazi koji su</w:t>
      </w:r>
      <w:r w:rsidRPr="00735B88">
        <w:rPr>
          <w:rFonts w:ascii="Arial" w:hAnsi="Arial"/>
          <w:sz w:val="22"/>
          <w:szCs w:val="22"/>
          <w:lang w:val="sr-Latn-ME"/>
        </w:rPr>
        <w:t xml:space="preserve"> ukazali na nezakonito ili neprofesionalno postupanje policijskih službenika, usljed čega su preduzete sljedeće mjere:</w:t>
      </w:r>
    </w:p>
    <w:p w:rsidR="00571B4A" w:rsidRDefault="00571B4A" w:rsidP="00571B4A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571B4A" w:rsidRPr="00A01C33" w:rsidRDefault="00571B4A" w:rsidP="00571B4A">
      <w:pPr>
        <w:pStyle w:val="ListParagraph"/>
        <w:numPr>
          <w:ilvl w:val="0"/>
          <w:numId w:val="4"/>
        </w:numPr>
        <w:ind w:left="709" w:right="178"/>
        <w:jc w:val="both"/>
        <w:rPr>
          <w:rFonts w:ascii="Arial" w:hAnsi="Arial"/>
          <w:sz w:val="22"/>
          <w:szCs w:val="22"/>
          <w:lang w:val="sr-Latn-ME"/>
        </w:rPr>
      </w:pPr>
      <w:r w:rsidRPr="00A01C33">
        <w:rPr>
          <w:rFonts w:ascii="Arial" w:hAnsi="Arial"/>
          <w:sz w:val="22"/>
          <w:szCs w:val="22"/>
          <w:lang w:val="sr-Latn-ME"/>
        </w:rPr>
        <w:t>u jednom slučaju</w:t>
      </w:r>
      <w:r>
        <w:rPr>
          <w:rFonts w:ascii="Arial" w:hAnsi="Arial"/>
          <w:sz w:val="22"/>
          <w:szCs w:val="22"/>
          <w:lang w:val="sr-Latn-ME"/>
        </w:rPr>
        <w:t>, n</w:t>
      </w:r>
      <w:r w:rsidRPr="00A01C33">
        <w:rPr>
          <w:rFonts w:ascii="Arial" w:hAnsi="Arial"/>
          <w:sz w:val="22"/>
          <w:szCs w:val="22"/>
          <w:lang w:val="sr-Latn-ME"/>
        </w:rPr>
        <w:t xml:space="preserve">a osnovu činjenica i dokaza utvrđenih u postupku unutrašnje kontrole, konstatovano je da postoji osnovana sumnja da su policijski službenici Odjeljenja bezbjednosti Podgorica počinili teže povrede službene dužnosti i to: </w:t>
      </w:r>
      <w:r>
        <w:rPr>
          <w:rFonts w:ascii="Arial" w:hAnsi="Arial"/>
          <w:sz w:val="22"/>
          <w:szCs w:val="22"/>
          <w:lang w:val="sr-Latn-ME"/>
        </w:rPr>
        <w:t>jedan p</w:t>
      </w:r>
      <w:r w:rsidRPr="00A01C33">
        <w:rPr>
          <w:rFonts w:ascii="Arial" w:hAnsi="Arial"/>
          <w:sz w:val="22"/>
          <w:szCs w:val="22"/>
          <w:lang w:val="sr-Latn-ME"/>
        </w:rPr>
        <w:t xml:space="preserve">olicijski službenik težu povredu službene dužnosti iz člana 173 stav 1 tačka 3  Zakona o unutrašnjim poslovima (preduzimanje ili nepreduzimanje radnje kojom se onemogućava ili otežava obavljanje policijskih poslova i izvršavanje službenih zadataka) i </w:t>
      </w:r>
      <w:r>
        <w:rPr>
          <w:rFonts w:ascii="Arial" w:hAnsi="Arial"/>
          <w:sz w:val="22"/>
          <w:szCs w:val="22"/>
          <w:lang w:val="sr-Latn-ME"/>
        </w:rPr>
        <w:t xml:space="preserve">drugi </w:t>
      </w:r>
      <w:r w:rsidRPr="00A01C33">
        <w:rPr>
          <w:rFonts w:ascii="Arial" w:hAnsi="Arial"/>
          <w:sz w:val="22"/>
          <w:szCs w:val="22"/>
          <w:lang w:val="sr-Latn-ME"/>
        </w:rPr>
        <w:t>policijski službenik težu povredu službene dužnosti iz člana 173 stav 1 tačka 23 Zakona o unutrašnjim poslovima (nesačinjavanje ili neblagovremeno, nepotpuno ili neuredno sačinjavanje službenog dokumenta o preduzimanju službene radnje ili primjeni policijskog ovlašćenja), usljed čega je Izvještaj o izvršenoj kontroli sa spisima predmeta dostavljen direktoru Uprave policije na dalji postupak.</w:t>
      </w:r>
    </w:p>
    <w:p w:rsidR="00571B4A" w:rsidRDefault="00571B4A" w:rsidP="00571B4A">
      <w:pPr>
        <w:ind w:left="709" w:right="178"/>
        <w:jc w:val="both"/>
        <w:rPr>
          <w:rFonts w:ascii="Arial" w:hAnsi="Arial"/>
          <w:sz w:val="22"/>
          <w:szCs w:val="22"/>
          <w:lang w:val="sr-Latn-ME"/>
        </w:rPr>
      </w:pPr>
      <w:r w:rsidRPr="00292AA7">
        <w:rPr>
          <w:rFonts w:ascii="Arial" w:hAnsi="Arial"/>
          <w:sz w:val="22"/>
          <w:szCs w:val="22"/>
          <w:lang w:val="sr-Latn-ME"/>
        </w:rPr>
        <w:t>Takođe, Izvještaj o izvršenoj kontroli sa spisima predmeta dostavljen je i Osnovnom državnom tužilaštvu u Podgorici na konačnu ocjenu o postojanju elemenata krivičnog djela u radnjama i postupanju policijskih službenika</w:t>
      </w:r>
      <w:r w:rsidRPr="00292AA7">
        <w:rPr>
          <w:rFonts w:ascii="Arial" w:hAnsi="Arial"/>
          <w:lang w:val="sr-Latn-ME"/>
        </w:rPr>
        <w:t xml:space="preserve"> </w:t>
      </w:r>
      <w:r w:rsidRPr="00292AA7">
        <w:rPr>
          <w:rFonts w:ascii="Arial" w:hAnsi="Arial"/>
          <w:sz w:val="22"/>
          <w:szCs w:val="22"/>
          <w:lang w:val="sr-Latn-ME"/>
        </w:rPr>
        <w:t>za koje se</w:t>
      </w:r>
      <w:r>
        <w:rPr>
          <w:rFonts w:ascii="Arial" w:hAnsi="Arial"/>
          <w:lang w:val="sr-Latn-ME"/>
        </w:rPr>
        <w:t xml:space="preserve"> </w:t>
      </w:r>
      <w:r w:rsidRPr="00292AA7">
        <w:rPr>
          <w:rFonts w:ascii="Arial" w:hAnsi="Arial"/>
          <w:sz w:val="22"/>
          <w:szCs w:val="22"/>
          <w:lang w:val="sr-Latn-ME"/>
        </w:rPr>
        <w:t>gonjenje preduzima po službenoj dužnosti.</w:t>
      </w:r>
    </w:p>
    <w:p w:rsidR="00571B4A" w:rsidRDefault="00571B4A" w:rsidP="00571B4A">
      <w:pPr>
        <w:ind w:left="709" w:right="178"/>
        <w:jc w:val="both"/>
        <w:rPr>
          <w:rFonts w:ascii="Arial" w:hAnsi="Arial"/>
          <w:sz w:val="22"/>
          <w:szCs w:val="22"/>
          <w:lang w:val="sr-Latn-ME"/>
        </w:rPr>
      </w:pPr>
    </w:p>
    <w:p w:rsidR="00571B4A" w:rsidRPr="00A01C33" w:rsidRDefault="00571B4A" w:rsidP="00571B4A">
      <w:pPr>
        <w:pStyle w:val="ListParagraph"/>
        <w:numPr>
          <w:ilvl w:val="0"/>
          <w:numId w:val="4"/>
        </w:numPr>
        <w:ind w:right="178"/>
        <w:jc w:val="both"/>
        <w:rPr>
          <w:rFonts w:ascii="Arial" w:hAnsi="Arial"/>
          <w:iCs/>
          <w:sz w:val="22"/>
          <w:szCs w:val="22"/>
          <w:lang w:val="sr-Latn-ME"/>
        </w:rPr>
      </w:pPr>
      <w:r w:rsidRPr="00A01C33">
        <w:rPr>
          <w:rFonts w:ascii="Arial" w:hAnsi="Arial"/>
          <w:sz w:val="22"/>
          <w:szCs w:val="22"/>
          <w:lang w:val="sr-Latn-ME"/>
        </w:rPr>
        <w:t xml:space="preserve">u drugom slučaju, na osnovu činjenica i dokaza utvrđenih u postupku unutrašnje kontrole, konstatovano je da postoji osnovana sumnja da su </w:t>
      </w:r>
      <w:r>
        <w:rPr>
          <w:rFonts w:ascii="Arial" w:hAnsi="Arial"/>
          <w:sz w:val="22"/>
          <w:szCs w:val="22"/>
          <w:lang w:val="sr-Latn-ME"/>
        </w:rPr>
        <w:t xml:space="preserve">dva </w:t>
      </w:r>
      <w:r w:rsidRPr="00A01C33">
        <w:rPr>
          <w:rFonts w:ascii="Arial" w:hAnsi="Arial"/>
          <w:sz w:val="22"/>
          <w:szCs w:val="22"/>
          <w:lang w:val="sr-Latn-ME"/>
        </w:rPr>
        <w:t>policijsk</w:t>
      </w:r>
      <w:r>
        <w:rPr>
          <w:rFonts w:ascii="Arial" w:hAnsi="Arial"/>
          <w:sz w:val="22"/>
          <w:szCs w:val="22"/>
          <w:lang w:val="sr-Latn-ME"/>
        </w:rPr>
        <w:t>a</w:t>
      </w:r>
      <w:r w:rsidRPr="00A01C33">
        <w:rPr>
          <w:rFonts w:ascii="Arial" w:hAnsi="Arial"/>
          <w:sz w:val="22"/>
          <w:szCs w:val="22"/>
          <w:lang w:val="sr-Latn-ME"/>
        </w:rPr>
        <w:t xml:space="preserve"> službeni</w:t>
      </w:r>
      <w:r>
        <w:rPr>
          <w:rFonts w:ascii="Arial" w:hAnsi="Arial"/>
          <w:sz w:val="22"/>
          <w:szCs w:val="22"/>
          <w:lang w:val="sr-Latn-ME"/>
        </w:rPr>
        <w:t>ka</w:t>
      </w:r>
      <w:r w:rsidRPr="00A01C33">
        <w:rPr>
          <w:rFonts w:ascii="Arial" w:hAnsi="Arial"/>
          <w:sz w:val="22"/>
          <w:szCs w:val="22"/>
          <w:lang w:val="sr-Latn-ME"/>
        </w:rPr>
        <w:t xml:space="preserve">  policije Regionalnog centra bezbjednosti „Centar“ Stanice kriminalističke policije </w:t>
      </w:r>
      <w:r>
        <w:rPr>
          <w:rFonts w:ascii="Arial" w:hAnsi="Arial"/>
          <w:sz w:val="22"/>
          <w:szCs w:val="22"/>
          <w:lang w:val="sr-Latn-ME"/>
        </w:rPr>
        <w:t>OB Podgorica</w:t>
      </w:r>
      <w:r w:rsidRPr="00A01C33">
        <w:rPr>
          <w:rFonts w:ascii="Arial" w:hAnsi="Arial"/>
          <w:sz w:val="22"/>
          <w:szCs w:val="22"/>
          <w:lang w:val="sr-Latn-ME"/>
        </w:rPr>
        <w:t>, počlinili teže povrede službene dužnosti iz člana 173 stav 1 tačka 3 Zakona o unutrašnjim poslovima (preduzimanje ili nepreduzimanje radnje kojom se onemogućava ili otežava obavljanje policijskih poslova i izvršavanje službenih zadataka, usljed čega je izvještaj sa spisima sačinjenim u postupku unutrašnje kontrole dostavljen direktoru Uprave policije na dalju nadležnost u cilju pokretanja disciplinskog postupka protiv policijskih službenika.</w:t>
      </w:r>
    </w:p>
    <w:p w:rsidR="00571B4A" w:rsidRDefault="00571B4A" w:rsidP="00571B4A">
      <w:pPr>
        <w:pStyle w:val="ListParagraph"/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571B4A" w:rsidRPr="00C01B17" w:rsidRDefault="00571B4A" w:rsidP="00571B4A">
      <w:pPr>
        <w:pStyle w:val="ListParagraph"/>
        <w:numPr>
          <w:ilvl w:val="0"/>
          <w:numId w:val="4"/>
        </w:numPr>
        <w:ind w:right="178"/>
        <w:jc w:val="both"/>
        <w:rPr>
          <w:rFonts w:ascii="Arial" w:hAnsi="Arial"/>
          <w:iCs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>u</w:t>
      </w:r>
      <w:r w:rsidRPr="00C01B17">
        <w:rPr>
          <w:rFonts w:ascii="Arial" w:eastAsia="Calibri" w:hAnsi="Arial" w:cs="Arial"/>
          <w:sz w:val="22"/>
          <w:szCs w:val="22"/>
          <w:lang w:val="sr-Latn-ME"/>
        </w:rPr>
        <w:t xml:space="preserve"> jednom slučaju, s</w:t>
      </w:r>
      <w:r w:rsidRPr="00C01B17">
        <w:rPr>
          <w:rFonts w:ascii="Arial" w:hAnsi="Arial"/>
          <w:sz w:val="22"/>
          <w:szCs w:val="22"/>
          <w:lang w:val="sr-Latn-ME"/>
        </w:rPr>
        <w:t>pisi predmeta sačinjeni u postupku unutrašnje kontrole, sa Službenom zabilješkom o utvrđenom činjeničnom stanju u postupku unutrašnje kontrole, dostavljeni su nadležnom Odjeljenju za antikorupciju, koje je već za policijskog službenika otvorilo predmet i postupa u istom.</w:t>
      </w:r>
    </w:p>
    <w:p w:rsidR="00571B4A" w:rsidRPr="00C01B17" w:rsidRDefault="00571B4A" w:rsidP="00571B4A">
      <w:pPr>
        <w:ind w:left="360" w:right="178"/>
        <w:jc w:val="both"/>
        <w:rPr>
          <w:rFonts w:ascii="Arial" w:hAnsi="Arial"/>
          <w:sz w:val="22"/>
          <w:szCs w:val="22"/>
          <w:lang w:val="sr-Latn-ME"/>
        </w:rPr>
      </w:pPr>
    </w:p>
    <w:p w:rsidR="00571B4A" w:rsidRDefault="00571B4A" w:rsidP="00571B4A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</w:p>
    <w:p w:rsidR="00571B4A" w:rsidRDefault="00571B4A" w:rsidP="00571B4A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►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/>
          <w:sz w:val="22"/>
          <w:szCs w:val="22"/>
          <w:lang w:val="sr-Latn-ME"/>
        </w:rPr>
        <w:t xml:space="preserve">U preostalih 10 slučajeva </w:t>
      </w:r>
      <w:r>
        <w:rPr>
          <w:rFonts w:ascii="Arial" w:hAnsi="Arial" w:cs="Arial"/>
          <w:sz w:val="22"/>
          <w:szCs w:val="22"/>
          <w:lang w:val="sr-Latn-ME"/>
        </w:rPr>
        <w:t xml:space="preserve">u </w:t>
      </w:r>
      <w:r w:rsidRPr="00735B88">
        <w:rPr>
          <w:rFonts w:ascii="Arial" w:hAnsi="Arial"/>
          <w:bCs/>
          <w:sz w:val="22"/>
          <w:szCs w:val="22"/>
          <w:lang w:val="sr-Latn-ME"/>
        </w:rPr>
        <w:t>postup</w:t>
      </w:r>
      <w:r>
        <w:rPr>
          <w:rFonts w:ascii="Arial" w:hAnsi="Arial"/>
          <w:bCs/>
          <w:sz w:val="22"/>
          <w:szCs w:val="22"/>
          <w:lang w:val="sr-Latn-ME"/>
        </w:rPr>
        <w:t>cima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 unutrašnje kontrole</w:t>
      </w:r>
      <w:r>
        <w:rPr>
          <w:rFonts w:ascii="Arial" w:hAnsi="Arial"/>
          <w:bCs/>
          <w:sz w:val="22"/>
          <w:szCs w:val="22"/>
          <w:lang w:val="sr-Latn-ME"/>
        </w:rPr>
        <w:t xml:space="preserve">, 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nijesu se mogle utvrditi činjenice i dokazi </w:t>
      </w:r>
      <w:r w:rsidRPr="00735B88">
        <w:rPr>
          <w:rFonts w:ascii="Arial" w:hAnsi="Arial"/>
          <w:sz w:val="22"/>
          <w:szCs w:val="22"/>
          <w:lang w:val="sr-Latn-ME"/>
        </w:rPr>
        <w:t>koji bi ukazivali na postojanje elemenata dis</w:t>
      </w:r>
      <w:r w:rsidR="00C70D21">
        <w:rPr>
          <w:rFonts w:ascii="Arial" w:hAnsi="Arial"/>
          <w:sz w:val="22"/>
          <w:szCs w:val="22"/>
          <w:lang w:val="sr-Latn-ME"/>
        </w:rPr>
        <w:t>c</w:t>
      </w:r>
      <w:r w:rsidRPr="00735B88">
        <w:rPr>
          <w:rFonts w:ascii="Arial" w:hAnsi="Arial"/>
          <w:sz w:val="22"/>
          <w:szCs w:val="22"/>
          <w:lang w:val="sr-Latn-ME"/>
        </w:rPr>
        <w:t>iplinske ili druge odgovornosti policijskih službenika u preduzimanju službenih radnji u predmetn</w:t>
      </w:r>
      <w:r>
        <w:rPr>
          <w:rFonts w:ascii="Arial" w:hAnsi="Arial"/>
          <w:sz w:val="22"/>
          <w:szCs w:val="22"/>
          <w:lang w:val="sr-Latn-ME"/>
        </w:rPr>
        <w:t>i</w:t>
      </w:r>
      <w:r w:rsidRPr="00735B88">
        <w:rPr>
          <w:rFonts w:ascii="Arial" w:hAnsi="Arial"/>
          <w:sz w:val="22"/>
          <w:szCs w:val="22"/>
          <w:lang w:val="sr-Latn-ME"/>
        </w:rPr>
        <w:t>m slučaj</w:t>
      </w:r>
      <w:r>
        <w:rPr>
          <w:rFonts w:ascii="Arial" w:hAnsi="Arial"/>
          <w:sz w:val="22"/>
          <w:szCs w:val="22"/>
          <w:lang w:val="sr-Latn-ME"/>
        </w:rPr>
        <w:t>evima.</w:t>
      </w:r>
    </w:p>
    <w:p w:rsidR="00571B4A" w:rsidRDefault="00571B4A" w:rsidP="00571B4A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</w:p>
    <w:p w:rsidR="00571B4A" w:rsidRDefault="00571B4A" w:rsidP="00571B4A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  <w:r>
        <w:rPr>
          <w:rFonts w:ascii="Arial" w:hAnsi="Arial"/>
          <w:sz w:val="22"/>
          <w:szCs w:val="22"/>
          <w:lang w:val="sr-Latn-ME"/>
        </w:rPr>
        <w:t xml:space="preserve"> Međutim,  u osam od pomenutih 10 slučajeva u kojima se </w:t>
      </w:r>
      <w:r>
        <w:rPr>
          <w:rFonts w:ascii="Arial" w:hAnsi="Arial" w:cs="Arial"/>
          <w:sz w:val="22"/>
          <w:szCs w:val="22"/>
          <w:lang w:val="sr-Latn-ME"/>
        </w:rPr>
        <w:t xml:space="preserve">u </w:t>
      </w:r>
      <w:r w:rsidRPr="00735B88">
        <w:rPr>
          <w:rFonts w:ascii="Arial" w:hAnsi="Arial"/>
          <w:bCs/>
          <w:sz w:val="22"/>
          <w:szCs w:val="22"/>
          <w:lang w:val="sr-Latn-ME"/>
        </w:rPr>
        <w:t>postup</w:t>
      </w:r>
      <w:r>
        <w:rPr>
          <w:rFonts w:ascii="Arial" w:hAnsi="Arial"/>
          <w:bCs/>
          <w:sz w:val="22"/>
          <w:szCs w:val="22"/>
          <w:lang w:val="sr-Latn-ME"/>
        </w:rPr>
        <w:t>cima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 unutrašnje kontrole</w:t>
      </w:r>
      <w:r>
        <w:rPr>
          <w:rFonts w:ascii="Arial" w:hAnsi="Arial"/>
          <w:bCs/>
          <w:sz w:val="22"/>
          <w:szCs w:val="22"/>
          <w:lang w:val="sr-Latn-ME"/>
        </w:rPr>
        <w:t xml:space="preserve">, </w:t>
      </w:r>
      <w:r w:rsidRPr="00735B88">
        <w:rPr>
          <w:rFonts w:ascii="Arial" w:hAnsi="Arial"/>
          <w:bCs/>
          <w:sz w:val="22"/>
          <w:szCs w:val="22"/>
          <w:lang w:val="sr-Latn-ME"/>
        </w:rPr>
        <w:t>nijesu</w:t>
      </w:r>
      <w:r w:rsidRPr="00511B7E">
        <w:rPr>
          <w:rFonts w:ascii="Arial" w:hAnsi="Arial"/>
          <w:bCs/>
          <w:sz w:val="22"/>
          <w:szCs w:val="22"/>
          <w:lang w:val="sr-Latn-ME"/>
        </w:rPr>
        <w:t xml:space="preserve"> 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mogle utvrditi činjenice i dokazi </w:t>
      </w:r>
      <w:r w:rsidRPr="00735B88">
        <w:rPr>
          <w:rFonts w:ascii="Arial" w:hAnsi="Arial"/>
          <w:sz w:val="22"/>
          <w:szCs w:val="22"/>
          <w:lang w:val="sr-Latn-ME"/>
        </w:rPr>
        <w:t>koji bi ukazivali na postojanje elemenata dis</w:t>
      </w:r>
      <w:r w:rsidR="000E4A89">
        <w:rPr>
          <w:rFonts w:ascii="Arial" w:hAnsi="Arial"/>
          <w:sz w:val="22"/>
          <w:szCs w:val="22"/>
          <w:lang w:val="sr-Latn-ME"/>
        </w:rPr>
        <w:t>c</w:t>
      </w:r>
      <w:r w:rsidRPr="00735B88">
        <w:rPr>
          <w:rFonts w:ascii="Arial" w:hAnsi="Arial"/>
          <w:sz w:val="22"/>
          <w:szCs w:val="22"/>
          <w:lang w:val="sr-Latn-ME"/>
        </w:rPr>
        <w:t>iplinske ili druge odgovornosti policijskih službenika u preduzimanju službenih radnji u predmetn</w:t>
      </w:r>
      <w:r>
        <w:rPr>
          <w:rFonts w:ascii="Arial" w:hAnsi="Arial"/>
          <w:sz w:val="22"/>
          <w:szCs w:val="22"/>
          <w:lang w:val="sr-Latn-ME"/>
        </w:rPr>
        <w:t>i</w:t>
      </w:r>
      <w:r w:rsidRPr="00735B88">
        <w:rPr>
          <w:rFonts w:ascii="Arial" w:hAnsi="Arial"/>
          <w:sz w:val="22"/>
          <w:szCs w:val="22"/>
          <w:lang w:val="sr-Latn-ME"/>
        </w:rPr>
        <w:t>m slučaj</w:t>
      </w:r>
      <w:r>
        <w:rPr>
          <w:rFonts w:ascii="Arial" w:hAnsi="Arial"/>
          <w:sz w:val="22"/>
          <w:szCs w:val="22"/>
          <w:lang w:val="sr-Latn-ME"/>
        </w:rPr>
        <w:t>evima, i</w:t>
      </w:r>
      <w:r w:rsidRPr="00E01070">
        <w:rPr>
          <w:rFonts w:ascii="Arial" w:hAnsi="Arial"/>
          <w:sz w:val="22"/>
          <w:szCs w:val="22"/>
          <w:lang w:val="sr-Latn-ME"/>
        </w:rPr>
        <w:t>zvještaj</w:t>
      </w:r>
      <w:r>
        <w:rPr>
          <w:rFonts w:ascii="Arial" w:hAnsi="Arial"/>
          <w:sz w:val="22"/>
          <w:szCs w:val="22"/>
          <w:lang w:val="sr-Latn-ME"/>
        </w:rPr>
        <w:t>i</w:t>
      </w:r>
      <w:r w:rsidRPr="00E01070">
        <w:rPr>
          <w:rFonts w:ascii="Arial" w:hAnsi="Arial"/>
          <w:sz w:val="22"/>
          <w:szCs w:val="22"/>
          <w:lang w:val="sr-Latn-ME"/>
        </w:rPr>
        <w:t xml:space="preserve"> o izvršenoj unutrašnjoj kontroli sa spisima predmeta sačinjenim u postup</w:t>
      </w:r>
      <w:r>
        <w:rPr>
          <w:rFonts w:ascii="Arial" w:hAnsi="Arial"/>
          <w:sz w:val="22"/>
          <w:szCs w:val="22"/>
          <w:lang w:val="sr-Latn-ME"/>
        </w:rPr>
        <w:t>cima</w:t>
      </w:r>
      <w:r w:rsidRPr="00E01070">
        <w:rPr>
          <w:rFonts w:ascii="Arial" w:hAnsi="Arial"/>
          <w:sz w:val="22"/>
          <w:szCs w:val="22"/>
          <w:lang w:val="sr-Latn-ME"/>
        </w:rPr>
        <w:t xml:space="preserve"> unutrašnje kontrole dostavljen</w:t>
      </w:r>
      <w:r>
        <w:rPr>
          <w:rFonts w:ascii="Arial" w:hAnsi="Arial"/>
          <w:sz w:val="22"/>
          <w:szCs w:val="22"/>
          <w:lang w:val="sr-Latn-ME"/>
        </w:rPr>
        <w:t>i</w:t>
      </w:r>
      <w:r w:rsidRPr="00E01070">
        <w:rPr>
          <w:rFonts w:ascii="Arial" w:hAnsi="Arial"/>
          <w:sz w:val="22"/>
          <w:szCs w:val="22"/>
          <w:lang w:val="sr-Latn-ME"/>
        </w:rPr>
        <w:t xml:space="preserve"> </w:t>
      </w:r>
      <w:r>
        <w:rPr>
          <w:rFonts w:ascii="Arial" w:hAnsi="Arial"/>
          <w:sz w:val="22"/>
          <w:szCs w:val="22"/>
          <w:lang w:val="sr-Latn-ME"/>
        </w:rPr>
        <w:t>su</w:t>
      </w:r>
      <w:r w:rsidRPr="00E01070">
        <w:rPr>
          <w:rFonts w:ascii="Arial" w:hAnsi="Arial"/>
          <w:sz w:val="22"/>
          <w:szCs w:val="22"/>
          <w:lang w:val="sr-Latn-ME"/>
        </w:rPr>
        <w:t xml:space="preserve"> nadležn</w:t>
      </w:r>
      <w:r>
        <w:rPr>
          <w:rFonts w:ascii="Arial" w:hAnsi="Arial"/>
          <w:sz w:val="22"/>
          <w:szCs w:val="22"/>
          <w:lang w:val="sr-Latn-ME"/>
        </w:rPr>
        <w:t>i</w:t>
      </w:r>
      <w:r w:rsidRPr="00E01070">
        <w:rPr>
          <w:rFonts w:ascii="Arial" w:hAnsi="Arial"/>
          <w:sz w:val="22"/>
          <w:szCs w:val="22"/>
          <w:lang w:val="sr-Latn-ME"/>
        </w:rPr>
        <w:t>m državn</w:t>
      </w:r>
      <w:r>
        <w:rPr>
          <w:rFonts w:ascii="Arial" w:hAnsi="Arial"/>
          <w:sz w:val="22"/>
          <w:szCs w:val="22"/>
          <w:lang w:val="sr-Latn-ME"/>
        </w:rPr>
        <w:t>i</w:t>
      </w:r>
      <w:r w:rsidRPr="00E01070">
        <w:rPr>
          <w:rFonts w:ascii="Arial" w:hAnsi="Arial"/>
          <w:sz w:val="22"/>
          <w:szCs w:val="22"/>
          <w:lang w:val="sr-Latn-ME"/>
        </w:rPr>
        <w:t>m tužilaštv</w:t>
      </w:r>
      <w:r>
        <w:rPr>
          <w:rFonts w:ascii="Arial" w:hAnsi="Arial"/>
          <w:sz w:val="22"/>
          <w:szCs w:val="22"/>
          <w:lang w:val="sr-Latn-ME"/>
        </w:rPr>
        <w:t>ima</w:t>
      </w:r>
      <w:r w:rsidRPr="00E01070">
        <w:rPr>
          <w:rFonts w:ascii="Arial" w:hAnsi="Arial"/>
          <w:sz w:val="22"/>
          <w:szCs w:val="22"/>
          <w:lang w:val="sr-Latn-ME"/>
        </w:rPr>
        <w:t>, sa konstatacijom da se u postupku unutrašnje kontrole nijesu nesporno mogle potvrditi činjenice o nezakonitom i neprofesionalnom postupanju policijsk</w:t>
      </w:r>
      <w:r>
        <w:rPr>
          <w:rFonts w:ascii="Arial" w:hAnsi="Arial"/>
          <w:sz w:val="22"/>
          <w:szCs w:val="22"/>
          <w:lang w:val="sr-Latn-ME"/>
        </w:rPr>
        <w:t>ih</w:t>
      </w:r>
      <w:r w:rsidRPr="00E01070">
        <w:rPr>
          <w:rFonts w:ascii="Arial" w:hAnsi="Arial"/>
          <w:sz w:val="22"/>
          <w:szCs w:val="22"/>
          <w:lang w:val="sr-Latn-ME"/>
        </w:rPr>
        <w:t xml:space="preserve"> službenika,</w:t>
      </w:r>
      <w:r>
        <w:rPr>
          <w:rFonts w:ascii="Arial" w:hAnsi="Arial"/>
          <w:sz w:val="22"/>
          <w:szCs w:val="22"/>
          <w:lang w:val="sr-Latn-ME"/>
        </w:rPr>
        <w:t xml:space="preserve"> kako bi nadležna tužilaštva dala</w:t>
      </w:r>
      <w:r w:rsidRPr="00E01070">
        <w:rPr>
          <w:rFonts w:ascii="Arial" w:hAnsi="Arial"/>
          <w:sz w:val="22"/>
          <w:szCs w:val="22"/>
          <w:lang w:val="sr-Latn-ME"/>
        </w:rPr>
        <w:t xml:space="preserve"> konačnu ocjenu o eventualnom postojanju elemenata krivičn</w:t>
      </w:r>
      <w:r>
        <w:rPr>
          <w:rFonts w:ascii="Arial" w:hAnsi="Arial"/>
          <w:sz w:val="22"/>
          <w:szCs w:val="22"/>
          <w:lang w:val="sr-Latn-ME"/>
        </w:rPr>
        <w:t>ih</w:t>
      </w:r>
      <w:r w:rsidRPr="00E01070">
        <w:rPr>
          <w:rFonts w:ascii="Arial" w:hAnsi="Arial"/>
          <w:sz w:val="22"/>
          <w:szCs w:val="22"/>
          <w:lang w:val="sr-Latn-ME"/>
        </w:rPr>
        <w:t xml:space="preserve"> djela za koje se gonjenje</w:t>
      </w:r>
      <w:r>
        <w:rPr>
          <w:rFonts w:ascii="Arial" w:hAnsi="Arial"/>
          <w:sz w:val="22"/>
          <w:szCs w:val="22"/>
          <w:lang w:val="sr-Latn-ME"/>
        </w:rPr>
        <w:t xml:space="preserve"> preduzima po službenoj dužnosti</w:t>
      </w:r>
      <w:r w:rsidRPr="00E01070">
        <w:rPr>
          <w:rFonts w:ascii="Arial" w:hAnsi="Arial"/>
          <w:sz w:val="22"/>
          <w:szCs w:val="22"/>
          <w:lang w:val="sr-Latn-ME"/>
        </w:rPr>
        <w:t>.</w:t>
      </w:r>
    </w:p>
    <w:p w:rsidR="00571B4A" w:rsidRPr="00E766B8" w:rsidRDefault="00571B4A" w:rsidP="00571B4A">
      <w:pPr>
        <w:pStyle w:val="ListParagraph"/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571B4A" w:rsidRDefault="00571B4A" w:rsidP="00571B4A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>
        <w:rPr>
          <w:rFonts w:ascii="Arial" w:eastAsia="Calibri" w:hAnsi="Arial" w:cs="Arial"/>
          <w:sz w:val="22"/>
          <w:szCs w:val="22"/>
          <w:lang w:val="sr-Latn-ME"/>
        </w:rPr>
        <w:t xml:space="preserve">U jednom slučaju (od naznačenih 10 slučajeva)  je konstatovano da </w:t>
      </w:r>
      <w:r>
        <w:rPr>
          <w:rFonts w:ascii="Arial" w:hAnsi="Arial"/>
          <w:sz w:val="22"/>
          <w:szCs w:val="22"/>
          <w:lang w:val="sr-Latn-ME"/>
        </w:rPr>
        <w:t>n</w:t>
      </w:r>
      <w:r w:rsidRPr="00005CDE">
        <w:rPr>
          <w:rFonts w:ascii="Arial" w:hAnsi="Arial"/>
          <w:sz w:val="22"/>
          <w:szCs w:val="22"/>
          <w:lang w:val="sr-Latn-ME"/>
        </w:rPr>
        <w:t>ije bilo moguće postupati u istoj pravnoj stvari u kojoj se pred nadležnim pravosudnim organima već vodi postupak, jer je u od</w:t>
      </w:r>
      <w:r>
        <w:rPr>
          <w:rFonts w:ascii="Arial" w:hAnsi="Arial"/>
          <w:sz w:val="22"/>
          <w:szCs w:val="22"/>
          <w:lang w:val="sr-Latn-ME"/>
        </w:rPr>
        <w:t>nosu na predmetni slučaj već</w:t>
      </w:r>
      <w:r w:rsidRPr="00005CDE">
        <w:rPr>
          <w:rFonts w:ascii="Arial" w:hAnsi="Arial"/>
          <w:sz w:val="22"/>
          <w:szCs w:val="22"/>
          <w:lang w:val="sr-Latn-ME"/>
        </w:rPr>
        <w:t xml:space="preserve"> postupano od strane nadležne organizacione jedinice Ministar</w:t>
      </w:r>
      <w:r>
        <w:rPr>
          <w:rFonts w:ascii="Arial" w:hAnsi="Arial"/>
          <w:sz w:val="22"/>
          <w:szCs w:val="22"/>
          <w:lang w:val="sr-Latn-ME"/>
        </w:rPr>
        <w:t>s</w:t>
      </w:r>
      <w:r w:rsidRPr="00005CDE">
        <w:rPr>
          <w:rFonts w:ascii="Arial" w:hAnsi="Arial"/>
          <w:sz w:val="22"/>
          <w:szCs w:val="22"/>
          <w:lang w:val="sr-Latn-ME"/>
        </w:rPr>
        <w:t>tva unutrašnjih poslova – Direktorata za bezbjednosno – nadzorne poslove, te da je u vezi sa predmetnim događajem sproveden bezbjednosni nadzor i sačinjen odgovarajući izvještaj koji je dostavljen nadležnim pravosudnim organima.</w:t>
      </w:r>
    </w:p>
    <w:p w:rsidR="00571B4A" w:rsidRDefault="00571B4A" w:rsidP="00571B4A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571B4A" w:rsidRPr="00FB45AD" w:rsidRDefault="00571B4A" w:rsidP="00571B4A">
      <w:pPr>
        <w:ind w:right="178"/>
        <w:jc w:val="both"/>
        <w:rPr>
          <w:rFonts w:ascii="Arial" w:hAnsi="Arial"/>
          <w:iCs/>
          <w:sz w:val="22"/>
          <w:szCs w:val="22"/>
          <w:lang w:val="sr-Latn-ME"/>
        </w:rPr>
      </w:pPr>
      <w:r>
        <w:rPr>
          <w:rFonts w:ascii="Arial" w:hAnsi="Arial"/>
          <w:sz w:val="22"/>
          <w:szCs w:val="22"/>
          <w:lang w:val="sr-Latn-ME"/>
        </w:rPr>
        <w:t xml:space="preserve">U jednom slučaju </w:t>
      </w:r>
      <w:r>
        <w:rPr>
          <w:rFonts w:ascii="Arial" w:eastAsia="Calibri" w:hAnsi="Arial" w:cs="Arial"/>
          <w:sz w:val="22"/>
          <w:szCs w:val="22"/>
          <w:lang w:val="sr-Latn-ME"/>
        </w:rPr>
        <w:t xml:space="preserve">(od naznačenih 10 slučajeva)  </w:t>
      </w:r>
      <w:r>
        <w:rPr>
          <w:rFonts w:ascii="Arial" w:hAnsi="Arial"/>
          <w:sz w:val="22"/>
          <w:szCs w:val="22"/>
          <w:lang w:val="sr-Latn-ME"/>
        </w:rPr>
        <w:t>u kojem u</w:t>
      </w:r>
      <w:r w:rsidRPr="00FB45AD">
        <w:rPr>
          <w:rFonts w:ascii="Arial" w:hAnsi="Arial"/>
          <w:sz w:val="22"/>
          <w:szCs w:val="22"/>
          <w:lang w:val="sr-Latn-ME"/>
        </w:rPr>
        <w:t xml:space="preserve"> postupku unutrašnje kontrole nijesu utvrđene činjenice i dokazi kojima bi se mogli potvrditi navodi o naezakonitom postupanju  policijskog službenika Stanice </w:t>
      </w:r>
      <w:r>
        <w:rPr>
          <w:rFonts w:ascii="Arial" w:hAnsi="Arial"/>
          <w:sz w:val="22"/>
          <w:szCs w:val="22"/>
          <w:lang w:val="sr-Latn-ME"/>
        </w:rPr>
        <w:t>granične policije I Herceg Novi, ali i</w:t>
      </w:r>
      <w:r w:rsidRPr="00FB45AD">
        <w:rPr>
          <w:rFonts w:ascii="Arial" w:hAnsi="Arial"/>
          <w:sz w:val="22"/>
          <w:szCs w:val="22"/>
          <w:lang w:val="sr-Latn-ME"/>
        </w:rPr>
        <w:t xml:space="preserve"> pored svega navednog, imajući u vidu sadržinu navoda iz dopisa ocijenjeno je da se Izvještaj sa spisima sačinjenim u postupku unutrašnje kontrole dostave Etičkom odboru kao nadležnom tijelu koje utvrđuje etičnost postupanja i ponašanja policijskih službenika, na konačnu ocjenu i mišljenje.   </w:t>
      </w:r>
    </w:p>
    <w:p w:rsidR="00571B4A" w:rsidRDefault="00571B4A" w:rsidP="00571B4A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975123" w:rsidRDefault="00975123" w:rsidP="00975123">
      <w:pPr>
        <w:shd w:val="clear" w:color="auto" w:fill="FFFFFF" w:themeFill="background1"/>
        <w:jc w:val="both"/>
        <w:rPr>
          <w:rFonts w:ascii="Arial" w:hAnsi="Arial"/>
          <w:sz w:val="22"/>
          <w:szCs w:val="22"/>
          <w:lang w:val="sr-Latn-ME"/>
        </w:rPr>
      </w:pPr>
    </w:p>
    <w:p w:rsidR="00D04A9E" w:rsidRPr="00735B88" w:rsidRDefault="00D04A9E" w:rsidP="00D04A9E">
      <w:pPr>
        <w:ind w:right="178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35B88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D04A9E" w:rsidRPr="00735B88" w:rsidRDefault="00D04A9E" w:rsidP="00D04A9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35B88">
        <w:rPr>
          <w:rFonts w:ascii="Arial" w:hAnsi="Arial" w:cs="Arial"/>
          <w:b/>
          <w:bCs/>
          <w:sz w:val="22"/>
          <w:szCs w:val="22"/>
          <w:lang w:val="sr-Latn-ME"/>
        </w:rPr>
        <w:t xml:space="preserve">■Pritužbe – žalbe građana </w:t>
      </w:r>
    </w:p>
    <w:p w:rsidR="002168D5" w:rsidRPr="00735B88" w:rsidRDefault="00D04A9E" w:rsidP="002168D5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color w:val="5B9BD5" w:themeColor="accent1"/>
          <w:sz w:val="22"/>
          <w:szCs w:val="22"/>
          <w:lang w:val="sr-Latn-ME"/>
        </w:rPr>
        <w:tab/>
      </w:r>
      <w:r w:rsidR="002168D5" w:rsidRPr="00735B88">
        <w:rPr>
          <w:rFonts w:ascii="Arial" w:hAnsi="Arial" w:cs="Arial"/>
          <w:sz w:val="22"/>
          <w:szCs w:val="22"/>
          <w:lang w:val="sr-Latn-ME"/>
        </w:rPr>
        <w:t>Službenici Odjeljenja za unutraš</w:t>
      </w:r>
      <w:r w:rsidR="002168D5">
        <w:rPr>
          <w:rFonts w:ascii="Arial" w:hAnsi="Arial" w:cs="Arial"/>
          <w:sz w:val="22"/>
          <w:szCs w:val="22"/>
          <w:lang w:val="sr-Latn-ME"/>
        </w:rPr>
        <w:t>nju kontrolu policije su tokom maja</w:t>
      </w:r>
      <w:r w:rsidR="002168D5" w:rsidRPr="00735B88">
        <w:rPr>
          <w:rFonts w:ascii="Arial" w:hAnsi="Arial" w:cs="Arial"/>
          <w:sz w:val="22"/>
          <w:szCs w:val="22"/>
          <w:lang w:val="sr-Latn-ME"/>
        </w:rPr>
        <w:t xml:space="preserve"> 2026.godine, izvršili kontrole zakonitosti postupanja policijskih službenika na osnovu </w:t>
      </w:r>
      <w:r w:rsidR="002168D5">
        <w:rPr>
          <w:rFonts w:ascii="Arial" w:hAnsi="Arial" w:cs="Arial"/>
          <w:sz w:val="22"/>
          <w:szCs w:val="22"/>
          <w:lang w:val="sr-Latn-ME"/>
        </w:rPr>
        <w:t xml:space="preserve">13 </w:t>
      </w:r>
      <w:r w:rsidR="002168D5" w:rsidRPr="00735B88">
        <w:rPr>
          <w:rFonts w:ascii="Arial" w:hAnsi="Arial" w:cs="Arial"/>
          <w:sz w:val="22"/>
          <w:szCs w:val="22"/>
          <w:lang w:val="sr-Latn-ME"/>
        </w:rPr>
        <w:t>pritužb</w:t>
      </w:r>
      <w:r w:rsidR="002168D5">
        <w:rPr>
          <w:rFonts w:ascii="Arial" w:hAnsi="Arial" w:cs="Arial"/>
          <w:sz w:val="22"/>
          <w:szCs w:val="22"/>
          <w:lang w:val="sr-Latn-ME"/>
        </w:rPr>
        <w:t>i</w:t>
      </w:r>
      <w:r w:rsidR="002168D5" w:rsidRPr="00735B88">
        <w:rPr>
          <w:rFonts w:ascii="Arial" w:hAnsi="Arial" w:cs="Arial"/>
          <w:sz w:val="22"/>
          <w:szCs w:val="22"/>
          <w:lang w:val="sr-Latn-ME"/>
        </w:rPr>
        <w:t xml:space="preserve"> građana na postupanje policijskih službenika.</w:t>
      </w:r>
    </w:p>
    <w:p w:rsidR="002168D5" w:rsidRPr="00735B88" w:rsidRDefault="002168D5" w:rsidP="002168D5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2168D5" w:rsidRDefault="002168D5" w:rsidP="002168D5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Pritužbe su se sadržinski odnosile na način vršenja policijskih poslova i primjenu policijskih ovlašćenja.</w:t>
      </w:r>
    </w:p>
    <w:p w:rsidR="002168D5" w:rsidRDefault="002168D5" w:rsidP="002168D5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2168D5" w:rsidRDefault="002168D5" w:rsidP="002168D5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U dva slučaja unutrašnjih kontrola povodom pritužbi građana utvrđeno je postojanje elemenata disciplinske odgovornosti, kao i prekršaja Kodeksa policijske etike, usljed čega je:</w:t>
      </w:r>
    </w:p>
    <w:p w:rsidR="002168D5" w:rsidRPr="00F6379F" w:rsidRDefault="002168D5" w:rsidP="002168D5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2168D5" w:rsidRPr="00F6379F" w:rsidRDefault="002168D5" w:rsidP="002168D5">
      <w:pPr>
        <w:pStyle w:val="ListParagraph"/>
        <w:numPr>
          <w:ilvl w:val="0"/>
          <w:numId w:val="4"/>
        </w:numPr>
        <w:shd w:val="clear" w:color="auto" w:fill="FFFFFF" w:themeFill="background1"/>
        <w:jc w:val="bot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  <w:r w:rsidRPr="00F6379F">
        <w:rPr>
          <w:rFonts w:ascii="Arial" w:hAnsi="Arial"/>
          <w:bCs/>
          <w:color w:val="000000" w:themeColor="text1"/>
          <w:sz w:val="22"/>
          <w:szCs w:val="22"/>
          <w:lang w:val="sr-Latn-ME"/>
        </w:rPr>
        <w:t>u jednom slučaju</w:t>
      </w:r>
      <w:r>
        <w:rPr>
          <w:rFonts w:ascii="Arial" w:hAnsi="Arial"/>
          <w:bCs/>
          <w:color w:val="000000" w:themeColor="text1"/>
          <w:sz w:val="22"/>
          <w:szCs w:val="22"/>
          <w:lang w:val="sr-Latn-ME"/>
        </w:rPr>
        <w:t>, n</w:t>
      </w:r>
      <w:r w:rsidRPr="00F6379F">
        <w:rPr>
          <w:rFonts w:ascii="Arial" w:hAnsi="Arial"/>
          <w:sz w:val="22"/>
          <w:szCs w:val="22"/>
          <w:lang w:val="sr-Latn-ME"/>
        </w:rPr>
        <w:t xml:space="preserve">a osnovu činjenica i okolnosti utvrđenih u postupku unutrašnje kontrole, utvrđeno je da su </w:t>
      </w:r>
      <w:r w:rsidR="00065F9E">
        <w:rPr>
          <w:rFonts w:ascii="Arial" w:hAnsi="Arial"/>
          <w:sz w:val="22"/>
          <w:szCs w:val="22"/>
          <w:lang w:val="sr-Latn-ME"/>
        </w:rPr>
        <w:t xml:space="preserve">dva </w:t>
      </w:r>
      <w:r w:rsidRPr="00F6379F">
        <w:rPr>
          <w:rFonts w:ascii="Arial" w:hAnsi="Arial"/>
          <w:sz w:val="22"/>
          <w:szCs w:val="22"/>
          <w:lang w:val="sr-Latn-ME"/>
        </w:rPr>
        <w:t>policijsk</w:t>
      </w:r>
      <w:r w:rsidR="00065F9E">
        <w:rPr>
          <w:rFonts w:ascii="Arial" w:hAnsi="Arial"/>
          <w:sz w:val="22"/>
          <w:szCs w:val="22"/>
          <w:lang w:val="sr-Latn-ME"/>
        </w:rPr>
        <w:t>a</w:t>
      </w:r>
      <w:r w:rsidRPr="00F6379F">
        <w:rPr>
          <w:rFonts w:ascii="Arial" w:hAnsi="Arial"/>
          <w:sz w:val="22"/>
          <w:szCs w:val="22"/>
          <w:lang w:val="sr-Latn-ME"/>
        </w:rPr>
        <w:t xml:space="preserve"> službeni</w:t>
      </w:r>
      <w:r w:rsidR="00065F9E">
        <w:rPr>
          <w:rFonts w:ascii="Arial" w:hAnsi="Arial"/>
          <w:sz w:val="22"/>
          <w:szCs w:val="22"/>
          <w:lang w:val="sr-Latn-ME"/>
        </w:rPr>
        <w:t>ka</w:t>
      </w:r>
      <w:r w:rsidRPr="00F6379F">
        <w:rPr>
          <w:rFonts w:ascii="Arial" w:hAnsi="Arial"/>
          <w:sz w:val="22"/>
          <w:szCs w:val="22"/>
          <w:lang w:val="sr-Latn-ME"/>
        </w:rPr>
        <w:t xml:space="preserve"> počinili težu povredu službene dužnosti iz člana 173 stav 1 tačka 4 Zakona o unutrašnjim poslovima (nepreduzimanje </w:t>
      </w:r>
      <w:r w:rsidRPr="00F6379F">
        <w:rPr>
          <w:rFonts w:ascii="Arial" w:hAnsi="Arial"/>
          <w:sz w:val="22"/>
          <w:szCs w:val="22"/>
          <w:lang w:val="sr-Latn-ME"/>
        </w:rPr>
        <w:lastRenderedPageBreak/>
        <w:t xml:space="preserve">mjera za zaštitu bezbjednosti lica, imovine i povjerenih stvari, zbog čega su nastupile teže posljedice), kao i da je pored ove </w:t>
      </w:r>
      <w:r w:rsidR="00065F9E">
        <w:rPr>
          <w:rFonts w:ascii="Arial" w:hAnsi="Arial"/>
          <w:sz w:val="22"/>
          <w:szCs w:val="22"/>
          <w:lang w:val="sr-Latn-ME"/>
        </w:rPr>
        <w:t>jedan</w:t>
      </w:r>
      <w:r w:rsidR="005477F5">
        <w:rPr>
          <w:rFonts w:ascii="Arial" w:hAnsi="Arial"/>
          <w:sz w:val="22"/>
          <w:szCs w:val="22"/>
          <w:lang w:val="sr-Latn-ME"/>
        </w:rPr>
        <w:t xml:space="preserve"> policijski službenik počinio, pored pomenute, počinio </w:t>
      </w:r>
      <w:r w:rsidRPr="00F6379F">
        <w:rPr>
          <w:rFonts w:ascii="Arial" w:hAnsi="Arial"/>
          <w:sz w:val="22"/>
          <w:szCs w:val="22"/>
          <w:lang w:val="sr-Latn-ME"/>
        </w:rPr>
        <w:t>i težu povredu službene dužnosti iz člana 173 stav 1 tačka 3 Zakona o unutrašnjim poslovima (preduzimanje ili nepreduzimanje radnje kojom se onemogućava ili otežava ov</w:t>
      </w:r>
      <w:r w:rsidR="000E4A89">
        <w:rPr>
          <w:rFonts w:ascii="Arial" w:hAnsi="Arial"/>
          <w:sz w:val="22"/>
          <w:szCs w:val="22"/>
          <w:lang w:val="sr-Latn-ME"/>
        </w:rPr>
        <w:t>a</w:t>
      </w:r>
      <w:r w:rsidRPr="00F6379F">
        <w:rPr>
          <w:rFonts w:ascii="Arial" w:hAnsi="Arial"/>
          <w:sz w:val="22"/>
          <w:szCs w:val="22"/>
          <w:lang w:val="sr-Latn-ME"/>
        </w:rPr>
        <w:t>bavljanje policijskih poslova i izvršavanje službenih zadataka), usljed čega je Izvještaj unutrašnje kontrole dostavljen ditrektoru Uprave policije na dalju nadležnost i pokretanje disciplinskog postupka. Takođe, Izvještaj unutrašnje kontrole dostavljen je i Osnovnom državnom tužiocu u Podgorici na konačnu ocjenu i odlučivanje o postojanju elemenata krivičnog djela za koje se goni po službenoj dužnosti u radnjama i postupanju  policijskih službenika.</w:t>
      </w:r>
    </w:p>
    <w:p w:rsidR="002168D5" w:rsidRPr="00F6379F" w:rsidRDefault="002168D5" w:rsidP="002168D5">
      <w:pPr>
        <w:pStyle w:val="ListParagraph"/>
        <w:shd w:val="clear" w:color="auto" w:fill="FFFFFF" w:themeFill="background1"/>
        <w:jc w:val="bot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</w:p>
    <w:p w:rsidR="002168D5" w:rsidRPr="005915F6" w:rsidRDefault="002168D5" w:rsidP="002168D5">
      <w:pPr>
        <w:pStyle w:val="ListParagraph"/>
        <w:numPr>
          <w:ilvl w:val="0"/>
          <w:numId w:val="4"/>
        </w:numPr>
        <w:shd w:val="clear" w:color="auto" w:fill="FFFFFF" w:themeFill="background1"/>
        <w:jc w:val="bot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  <w:r w:rsidRPr="00F6379F">
        <w:rPr>
          <w:rFonts w:ascii="Arial" w:hAnsi="Arial" w:cs="Arial"/>
          <w:bCs/>
          <w:iCs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drugom</w:t>
      </w:r>
      <w:proofErr w:type="spellEnd"/>
      <w:r w:rsidRPr="00F6379F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6379F">
        <w:rPr>
          <w:rFonts w:ascii="Arial" w:hAnsi="Arial" w:cs="Arial"/>
          <w:bCs/>
          <w:iCs/>
          <w:sz w:val="22"/>
          <w:szCs w:val="22"/>
        </w:rPr>
        <w:t>slučaju</w:t>
      </w:r>
      <w:proofErr w:type="spellEnd"/>
      <w:r w:rsidRPr="00F6379F">
        <w:rPr>
          <w:rFonts w:ascii="Arial" w:hAnsi="Arial" w:cs="Arial"/>
          <w:bCs/>
          <w:iCs/>
          <w:sz w:val="22"/>
          <w:szCs w:val="22"/>
        </w:rPr>
        <w:t>, n</w:t>
      </w:r>
      <w:r w:rsidRPr="00F6379F">
        <w:rPr>
          <w:rFonts w:ascii="Arial" w:hAnsi="Arial"/>
          <w:sz w:val="22"/>
          <w:szCs w:val="22"/>
          <w:lang w:val="sr-Latn-ME"/>
        </w:rPr>
        <w:t xml:space="preserve">a osnovu činjenica i dokaza utvrđenih u postupku unutrašnje kontrole Izvještaj sa spisima predemta sačinjenim u postupku unutrašnje kontrole dostavljen je Etičkom odboru na ocjenu etičnosti postupanja policijskog </w:t>
      </w:r>
      <w:r w:rsidR="005477F5">
        <w:rPr>
          <w:rFonts w:ascii="Arial" w:hAnsi="Arial"/>
          <w:sz w:val="22"/>
          <w:szCs w:val="22"/>
          <w:lang w:val="sr-Latn-ME"/>
        </w:rPr>
        <w:t>službenika</w:t>
      </w:r>
      <w:r w:rsidRPr="00F6379F">
        <w:rPr>
          <w:rFonts w:ascii="Arial" w:hAnsi="Arial"/>
          <w:sz w:val="22"/>
          <w:szCs w:val="22"/>
          <w:lang w:val="sr-Latn-ME"/>
        </w:rPr>
        <w:t xml:space="preserve"> Odjeljenja bezbjednosti Cetinje.</w:t>
      </w:r>
      <w:r w:rsidRPr="005915F6">
        <w:rPr>
          <w:rFonts w:ascii="Arial" w:hAnsi="Arial"/>
          <w:sz w:val="22"/>
          <w:szCs w:val="22"/>
          <w:lang w:val="sr-Latn-ME"/>
        </w:rPr>
        <w:t>Takođe,</w:t>
      </w:r>
      <w:r>
        <w:rPr>
          <w:rFonts w:ascii="Arial" w:hAnsi="Arial"/>
          <w:sz w:val="22"/>
          <w:szCs w:val="22"/>
          <w:lang w:val="sr-Latn-ME"/>
        </w:rPr>
        <w:t xml:space="preserve"> </w:t>
      </w:r>
      <w:r w:rsidRPr="005915F6">
        <w:rPr>
          <w:rFonts w:ascii="Arial" w:hAnsi="Arial"/>
          <w:sz w:val="22"/>
          <w:szCs w:val="22"/>
          <w:lang w:val="sr-Latn-ME"/>
        </w:rPr>
        <w:t xml:space="preserve">Direktoratu za bezbjednosno – nadzorne poslove upućen je dopis za unaprjeđenje stanja u dijelu sadržine i načina izvještavanja </w:t>
      </w:r>
      <w:r w:rsidR="005477F5">
        <w:rPr>
          <w:rFonts w:ascii="Arial" w:hAnsi="Arial"/>
          <w:sz w:val="22"/>
          <w:szCs w:val="22"/>
          <w:lang w:val="sr-Latn-ME"/>
        </w:rPr>
        <w:t>u određenim situacijama</w:t>
      </w:r>
      <w:r w:rsidRPr="005915F6">
        <w:rPr>
          <w:rFonts w:ascii="Arial" w:hAnsi="Arial"/>
          <w:sz w:val="22"/>
          <w:szCs w:val="22"/>
          <w:lang w:val="sr-Latn-ME"/>
        </w:rPr>
        <w:t>.</w:t>
      </w:r>
    </w:p>
    <w:p w:rsidR="002168D5" w:rsidRPr="00F6379F" w:rsidRDefault="002168D5" w:rsidP="002168D5">
      <w:pPr>
        <w:pStyle w:val="ListParagraph"/>
        <w:ind w:right="-108"/>
        <w:jc w:val="both"/>
        <w:rPr>
          <w:rFonts w:ascii="Arial" w:hAnsi="Arial" w:cs="Arial"/>
          <w:sz w:val="22"/>
          <w:szCs w:val="22"/>
          <w:lang w:val="sr-Latn-ME"/>
        </w:rPr>
      </w:pPr>
    </w:p>
    <w:p w:rsidR="002168D5" w:rsidRDefault="002168D5" w:rsidP="002168D5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2168D5" w:rsidRDefault="002168D5" w:rsidP="002168D5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 xml:space="preserve">► 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U </w:t>
      </w:r>
      <w:r>
        <w:rPr>
          <w:rFonts w:ascii="Arial" w:hAnsi="Arial" w:cs="Arial"/>
          <w:sz w:val="22"/>
          <w:szCs w:val="22"/>
          <w:lang w:val="sr-Latn-ME"/>
        </w:rPr>
        <w:t xml:space="preserve">preostalih 11 </w:t>
      </w:r>
      <w:r w:rsidRPr="00735B88">
        <w:rPr>
          <w:rFonts w:ascii="Arial" w:hAnsi="Arial"/>
          <w:bCs/>
          <w:sz w:val="22"/>
          <w:szCs w:val="22"/>
          <w:lang w:val="sr-Latn-ME"/>
        </w:rPr>
        <w:t>postupa</w:t>
      </w:r>
      <w:r>
        <w:rPr>
          <w:rFonts w:ascii="Arial" w:hAnsi="Arial"/>
          <w:bCs/>
          <w:sz w:val="22"/>
          <w:szCs w:val="22"/>
          <w:lang w:val="sr-Latn-ME"/>
        </w:rPr>
        <w:t>ka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 unutrašnje kontrole</w:t>
      </w:r>
      <w:r>
        <w:rPr>
          <w:rFonts w:ascii="Arial" w:hAnsi="Arial"/>
          <w:bCs/>
          <w:sz w:val="22"/>
          <w:szCs w:val="22"/>
          <w:lang w:val="sr-Latn-ME"/>
        </w:rPr>
        <w:t xml:space="preserve">, 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nijesu se mogle utvrditi činjenice i dokazi </w:t>
      </w:r>
      <w:r w:rsidRPr="00735B88">
        <w:rPr>
          <w:rFonts w:ascii="Arial" w:hAnsi="Arial"/>
          <w:sz w:val="22"/>
          <w:szCs w:val="22"/>
          <w:lang w:val="sr-Latn-ME"/>
        </w:rPr>
        <w:t>koji bi ukazivali na postojanje elemenata dis</w:t>
      </w:r>
      <w:r w:rsidR="00C83592">
        <w:rPr>
          <w:rFonts w:ascii="Arial" w:hAnsi="Arial"/>
          <w:sz w:val="22"/>
          <w:szCs w:val="22"/>
          <w:lang w:val="sr-Latn-ME"/>
        </w:rPr>
        <w:t>c</w:t>
      </w:r>
      <w:bookmarkStart w:id="0" w:name="_GoBack"/>
      <w:bookmarkEnd w:id="0"/>
      <w:r w:rsidRPr="00735B88">
        <w:rPr>
          <w:rFonts w:ascii="Arial" w:hAnsi="Arial"/>
          <w:sz w:val="22"/>
          <w:szCs w:val="22"/>
          <w:lang w:val="sr-Latn-ME"/>
        </w:rPr>
        <w:t>iplinske ili druge odgovornosti policijskih službenika u preduzimanju službenih radnji u predmetnim slučajevima.</w:t>
      </w:r>
    </w:p>
    <w:p w:rsidR="002168D5" w:rsidRDefault="002168D5" w:rsidP="002168D5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</w:p>
    <w:p w:rsidR="002168D5" w:rsidRDefault="002168D5" w:rsidP="002168D5">
      <w:pPr>
        <w:keepNext/>
        <w:shd w:val="clear" w:color="auto" w:fill="FFFFFF" w:themeFill="background1"/>
        <w:ind w:right="-57" w:firstLine="720"/>
        <w:jc w:val="both"/>
        <w:outlineLvl w:val="1"/>
        <w:rPr>
          <w:rFonts w:ascii="Arial" w:hAnsi="Arial"/>
          <w:sz w:val="22"/>
          <w:szCs w:val="22"/>
          <w:lang w:val="sr-Latn-ME"/>
        </w:rPr>
      </w:pPr>
      <w:r>
        <w:rPr>
          <w:rFonts w:ascii="Arial" w:hAnsi="Arial"/>
          <w:sz w:val="22"/>
          <w:szCs w:val="22"/>
          <w:lang w:val="sr-Latn-ME"/>
        </w:rPr>
        <w:t xml:space="preserve">Međutim, u jednom od pomenutih 11 slučajeva u kojima se </w:t>
      </w:r>
      <w:r>
        <w:rPr>
          <w:rFonts w:ascii="Arial" w:hAnsi="Arial" w:cs="Arial"/>
          <w:sz w:val="22"/>
          <w:szCs w:val="22"/>
          <w:lang w:val="sr-Latn-ME"/>
        </w:rPr>
        <w:t xml:space="preserve">u </w:t>
      </w:r>
      <w:r w:rsidRPr="00735B88">
        <w:rPr>
          <w:rFonts w:ascii="Arial" w:hAnsi="Arial"/>
          <w:bCs/>
          <w:sz w:val="22"/>
          <w:szCs w:val="22"/>
          <w:lang w:val="sr-Latn-ME"/>
        </w:rPr>
        <w:t>postup</w:t>
      </w:r>
      <w:r>
        <w:rPr>
          <w:rFonts w:ascii="Arial" w:hAnsi="Arial"/>
          <w:bCs/>
          <w:sz w:val="22"/>
          <w:szCs w:val="22"/>
          <w:lang w:val="sr-Latn-ME"/>
        </w:rPr>
        <w:t>ku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 unutrašnje kontrole</w:t>
      </w:r>
      <w:r>
        <w:rPr>
          <w:rFonts w:ascii="Arial" w:hAnsi="Arial"/>
          <w:bCs/>
          <w:sz w:val="22"/>
          <w:szCs w:val="22"/>
          <w:lang w:val="sr-Latn-ME"/>
        </w:rPr>
        <w:t xml:space="preserve">, </w:t>
      </w:r>
      <w:r w:rsidRPr="00735B88">
        <w:rPr>
          <w:rFonts w:ascii="Arial" w:hAnsi="Arial"/>
          <w:bCs/>
          <w:sz w:val="22"/>
          <w:szCs w:val="22"/>
          <w:lang w:val="sr-Latn-ME"/>
        </w:rPr>
        <w:t>nijesu</w:t>
      </w:r>
      <w:r w:rsidRPr="00511B7E">
        <w:rPr>
          <w:rFonts w:ascii="Arial" w:hAnsi="Arial"/>
          <w:bCs/>
          <w:sz w:val="22"/>
          <w:szCs w:val="22"/>
          <w:lang w:val="sr-Latn-ME"/>
        </w:rPr>
        <w:t xml:space="preserve"> 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mogle utvrditi činjenice i dokazi </w:t>
      </w:r>
      <w:r w:rsidRPr="00735B88">
        <w:rPr>
          <w:rFonts w:ascii="Arial" w:hAnsi="Arial"/>
          <w:sz w:val="22"/>
          <w:szCs w:val="22"/>
          <w:lang w:val="sr-Latn-ME"/>
        </w:rPr>
        <w:t>koji bi ukazivali na postojanje elemenata disiplinske ili druge odgovornosti policijskih službenika u preduzimanju službenih radnji u predmetn</w:t>
      </w:r>
      <w:r>
        <w:rPr>
          <w:rFonts w:ascii="Arial" w:hAnsi="Arial"/>
          <w:sz w:val="22"/>
          <w:szCs w:val="22"/>
          <w:lang w:val="sr-Latn-ME"/>
        </w:rPr>
        <w:t>o</w:t>
      </w:r>
      <w:r w:rsidRPr="00735B88">
        <w:rPr>
          <w:rFonts w:ascii="Arial" w:hAnsi="Arial"/>
          <w:sz w:val="22"/>
          <w:szCs w:val="22"/>
          <w:lang w:val="sr-Latn-ME"/>
        </w:rPr>
        <w:t>m slučaj</w:t>
      </w:r>
      <w:r>
        <w:rPr>
          <w:rFonts w:ascii="Arial" w:hAnsi="Arial"/>
          <w:sz w:val="22"/>
          <w:szCs w:val="22"/>
          <w:lang w:val="sr-Latn-ME"/>
        </w:rPr>
        <w:t>u, i</w:t>
      </w:r>
      <w:r w:rsidRPr="00E01070">
        <w:rPr>
          <w:rFonts w:ascii="Arial" w:hAnsi="Arial"/>
          <w:sz w:val="22"/>
          <w:szCs w:val="22"/>
          <w:lang w:val="sr-Latn-ME"/>
        </w:rPr>
        <w:t>zvještaj o izvršenoj unutrašnjoj kontroli sa spisima predmeta sačinjenim u postup</w:t>
      </w:r>
      <w:r>
        <w:rPr>
          <w:rFonts w:ascii="Arial" w:hAnsi="Arial"/>
          <w:sz w:val="22"/>
          <w:szCs w:val="22"/>
          <w:lang w:val="sr-Latn-ME"/>
        </w:rPr>
        <w:t>ku</w:t>
      </w:r>
      <w:r w:rsidRPr="00E01070">
        <w:rPr>
          <w:rFonts w:ascii="Arial" w:hAnsi="Arial"/>
          <w:sz w:val="22"/>
          <w:szCs w:val="22"/>
          <w:lang w:val="sr-Latn-ME"/>
        </w:rPr>
        <w:t xml:space="preserve"> unutrašnje kontrole dostavljen je nadležn</w:t>
      </w:r>
      <w:r>
        <w:rPr>
          <w:rFonts w:ascii="Arial" w:hAnsi="Arial"/>
          <w:sz w:val="22"/>
          <w:szCs w:val="22"/>
          <w:lang w:val="sr-Latn-ME"/>
        </w:rPr>
        <w:t>o</w:t>
      </w:r>
      <w:r w:rsidRPr="00E01070">
        <w:rPr>
          <w:rFonts w:ascii="Arial" w:hAnsi="Arial"/>
          <w:sz w:val="22"/>
          <w:szCs w:val="22"/>
          <w:lang w:val="sr-Latn-ME"/>
        </w:rPr>
        <w:t>m državn</w:t>
      </w:r>
      <w:r>
        <w:rPr>
          <w:rFonts w:ascii="Arial" w:hAnsi="Arial"/>
          <w:sz w:val="22"/>
          <w:szCs w:val="22"/>
          <w:lang w:val="sr-Latn-ME"/>
        </w:rPr>
        <w:t>o</w:t>
      </w:r>
      <w:r w:rsidRPr="00E01070">
        <w:rPr>
          <w:rFonts w:ascii="Arial" w:hAnsi="Arial"/>
          <w:sz w:val="22"/>
          <w:szCs w:val="22"/>
          <w:lang w:val="sr-Latn-ME"/>
        </w:rPr>
        <w:t>m tužilaštv</w:t>
      </w:r>
      <w:r>
        <w:rPr>
          <w:rFonts w:ascii="Arial" w:hAnsi="Arial"/>
          <w:sz w:val="22"/>
          <w:szCs w:val="22"/>
          <w:lang w:val="sr-Latn-ME"/>
        </w:rPr>
        <w:t>u</w:t>
      </w:r>
      <w:r w:rsidRPr="00E01070">
        <w:rPr>
          <w:rFonts w:ascii="Arial" w:hAnsi="Arial"/>
          <w:sz w:val="22"/>
          <w:szCs w:val="22"/>
          <w:lang w:val="sr-Latn-ME"/>
        </w:rPr>
        <w:t>, sa konstatacijom da se u postupku unutrašnje kontrole nijesu nesporno mogle potvrditi činjenice o nezakonitom i neprofesionalnom postupanju policijsk</w:t>
      </w:r>
      <w:r>
        <w:rPr>
          <w:rFonts w:ascii="Arial" w:hAnsi="Arial"/>
          <w:sz w:val="22"/>
          <w:szCs w:val="22"/>
          <w:lang w:val="sr-Latn-ME"/>
        </w:rPr>
        <w:t>ih</w:t>
      </w:r>
      <w:r w:rsidRPr="00E01070">
        <w:rPr>
          <w:rFonts w:ascii="Arial" w:hAnsi="Arial"/>
          <w:sz w:val="22"/>
          <w:szCs w:val="22"/>
          <w:lang w:val="sr-Latn-ME"/>
        </w:rPr>
        <w:t xml:space="preserve"> službenika,</w:t>
      </w:r>
      <w:r>
        <w:rPr>
          <w:rFonts w:ascii="Arial" w:hAnsi="Arial"/>
          <w:sz w:val="22"/>
          <w:szCs w:val="22"/>
          <w:lang w:val="sr-Latn-ME"/>
        </w:rPr>
        <w:t xml:space="preserve"> kako bi nadležn</w:t>
      </w:r>
      <w:r w:rsidR="005477F5">
        <w:rPr>
          <w:rFonts w:ascii="Arial" w:hAnsi="Arial"/>
          <w:sz w:val="22"/>
          <w:szCs w:val="22"/>
          <w:lang w:val="sr-Latn-ME"/>
        </w:rPr>
        <w:t>o</w:t>
      </w:r>
      <w:r>
        <w:rPr>
          <w:rFonts w:ascii="Arial" w:hAnsi="Arial"/>
          <w:sz w:val="22"/>
          <w:szCs w:val="22"/>
          <w:lang w:val="sr-Latn-ME"/>
        </w:rPr>
        <w:t xml:space="preserve"> tužilaštv</w:t>
      </w:r>
      <w:r w:rsidR="005477F5">
        <w:rPr>
          <w:rFonts w:ascii="Arial" w:hAnsi="Arial"/>
          <w:sz w:val="22"/>
          <w:szCs w:val="22"/>
          <w:lang w:val="sr-Latn-ME"/>
        </w:rPr>
        <w:t>o</w:t>
      </w:r>
      <w:r>
        <w:rPr>
          <w:rFonts w:ascii="Arial" w:hAnsi="Arial"/>
          <w:sz w:val="22"/>
          <w:szCs w:val="22"/>
          <w:lang w:val="sr-Latn-ME"/>
        </w:rPr>
        <w:t xml:space="preserve"> dal</w:t>
      </w:r>
      <w:r w:rsidR="005477F5">
        <w:rPr>
          <w:rFonts w:ascii="Arial" w:hAnsi="Arial"/>
          <w:sz w:val="22"/>
          <w:szCs w:val="22"/>
          <w:lang w:val="sr-Latn-ME"/>
        </w:rPr>
        <w:t>o</w:t>
      </w:r>
      <w:r w:rsidRPr="00E01070">
        <w:rPr>
          <w:rFonts w:ascii="Arial" w:hAnsi="Arial"/>
          <w:sz w:val="22"/>
          <w:szCs w:val="22"/>
          <w:lang w:val="sr-Latn-ME"/>
        </w:rPr>
        <w:t xml:space="preserve"> konačnu ocjenu o eventualnom postojanju elemenata krivičn</w:t>
      </w:r>
      <w:r w:rsidR="005477F5">
        <w:rPr>
          <w:rFonts w:ascii="Arial" w:hAnsi="Arial"/>
          <w:sz w:val="22"/>
          <w:szCs w:val="22"/>
          <w:lang w:val="sr-Latn-ME"/>
        </w:rPr>
        <w:t>og</w:t>
      </w:r>
      <w:r w:rsidRPr="00E01070">
        <w:rPr>
          <w:rFonts w:ascii="Arial" w:hAnsi="Arial"/>
          <w:sz w:val="22"/>
          <w:szCs w:val="22"/>
          <w:lang w:val="sr-Latn-ME"/>
        </w:rPr>
        <w:t xml:space="preserve"> djela za koje se gonjenje</w:t>
      </w:r>
      <w:r>
        <w:rPr>
          <w:rFonts w:ascii="Arial" w:hAnsi="Arial"/>
          <w:sz w:val="22"/>
          <w:szCs w:val="22"/>
          <w:lang w:val="sr-Latn-ME"/>
        </w:rPr>
        <w:t xml:space="preserve"> preduzima po službenoj dužnosti</w:t>
      </w:r>
      <w:r w:rsidRPr="00E01070">
        <w:rPr>
          <w:rFonts w:ascii="Arial" w:hAnsi="Arial"/>
          <w:sz w:val="22"/>
          <w:szCs w:val="22"/>
          <w:lang w:val="sr-Latn-ME"/>
        </w:rPr>
        <w:t>.</w:t>
      </w:r>
    </w:p>
    <w:p w:rsidR="00D04A9E" w:rsidRPr="00735B88" w:rsidRDefault="00D04A9E" w:rsidP="00D04A9E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sectPr w:rsidR="00D04A9E" w:rsidRPr="00735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7AE2"/>
    <w:multiLevelType w:val="hybridMultilevel"/>
    <w:tmpl w:val="DD164D64"/>
    <w:lvl w:ilvl="0" w:tplc="3DE6F1C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74F2B"/>
    <w:multiLevelType w:val="hybridMultilevel"/>
    <w:tmpl w:val="A53C946C"/>
    <w:lvl w:ilvl="0" w:tplc="387682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3666"/>
    <w:multiLevelType w:val="hybridMultilevel"/>
    <w:tmpl w:val="453C70AE"/>
    <w:lvl w:ilvl="0" w:tplc="37AE5FB4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57055"/>
    <w:multiLevelType w:val="hybridMultilevel"/>
    <w:tmpl w:val="F432E058"/>
    <w:lvl w:ilvl="0" w:tplc="1B40CE8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2F"/>
    <w:rsid w:val="00065F9E"/>
    <w:rsid w:val="000E4A89"/>
    <w:rsid w:val="002168D5"/>
    <w:rsid w:val="00247394"/>
    <w:rsid w:val="00262A7D"/>
    <w:rsid w:val="002F4900"/>
    <w:rsid w:val="003F4E2F"/>
    <w:rsid w:val="005477F5"/>
    <w:rsid w:val="00571B4A"/>
    <w:rsid w:val="00821EB4"/>
    <w:rsid w:val="00905AAF"/>
    <w:rsid w:val="00975123"/>
    <w:rsid w:val="00C70D21"/>
    <w:rsid w:val="00C83592"/>
    <w:rsid w:val="00D04A9E"/>
    <w:rsid w:val="00DB0849"/>
    <w:rsid w:val="00F30243"/>
    <w:rsid w:val="00F3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8FB3"/>
  <w15:chartTrackingRefBased/>
  <w15:docId w15:val="{06B990F7-2DFD-46F7-AF83-1268E379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123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975123"/>
    <w:pPr>
      <w:jc w:val="center"/>
    </w:pPr>
    <w:rPr>
      <w:rFonts w:eastAsia="Calibri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97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link w:val="Title"/>
    <w:uiPriority w:val="99"/>
    <w:locked/>
    <w:rsid w:val="00975123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905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Marija Soc</cp:lastModifiedBy>
  <cp:revision>10</cp:revision>
  <dcterms:created xsi:type="dcterms:W3CDTF">2026-07-01T05:54:00Z</dcterms:created>
  <dcterms:modified xsi:type="dcterms:W3CDTF">2026-07-01T10:43:00Z</dcterms:modified>
</cp:coreProperties>
</file>