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1CC" w:rsidRPr="00DB41CC" w:rsidRDefault="004E0701" w:rsidP="00F045DF">
      <w:pPr>
        <w:pStyle w:val="NormalWeb"/>
        <w:jc w:val="both"/>
        <w:rPr>
          <w:rFonts w:ascii="Arial" w:hAnsi="Arial" w:cs="Arial"/>
          <w:b/>
          <w:color w:val="000000"/>
          <w:sz w:val="18"/>
          <w:szCs w:val="18"/>
          <w:lang w:val="sr-Latn-ME"/>
        </w:rPr>
      </w:pPr>
      <w:r>
        <w:rPr>
          <w:rFonts w:ascii="Arial" w:hAnsi="Arial" w:cs="Arial"/>
          <w:b/>
          <w:color w:val="000000"/>
          <w:sz w:val="18"/>
          <w:szCs w:val="18"/>
          <w:lang w:val="sr-Latn-ME"/>
        </w:rPr>
        <w:t>Liste</w:t>
      </w:r>
      <w:r w:rsidR="00DB41CC" w:rsidRPr="00DB41CC">
        <w:rPr>
          <w:rFonts w:ascii="Arial" w:hAnsi="Arial" w:cs="Arial"/>
          <w:b/>
          <w:color w:val="000000"/>
          <w:sz w:val="18"/>
          <w:szCs w:val="18"/>
          <w:lang w:val="sr-Latn-ME"/>
        </w:rPr>
        <w:t xml:space="preserve"> država koje ne primjenjuju</w:t>
      </w:r>
      <w:r w:rsidR="00714501">
        <w:rPr>
          <w:rFonts w:ascii="Arial" w:hAnsi="Arial" w:cs="Arial"/>
          <w:b/>
          <w:color w:val="000000"/>
          <w:sz w:val="18"/>
          <w:szCs w:val="18"/>
          <w:lang w:val="sr-Latn-ME"/>
        </w:rPr>
        <w:t>/u nedovoljnoj mjeri primjenjuju</w:t>
      </w:r>
      <w:r w:rsidR="00290066">
        <w:rPr>
          <w:rFonts w:ascii="Arial" w:hAnsi="Arial" w:cs="Arial"/>
          <w:b/>
          <w:color w:val="000000"/>
          <w:sz w:val="18"/>
          <w:szCs w:val="18"/>
          <w:lang w:val="sr-Latn-ME"/>
        </w:rPr>
        <w:t xml:space="preserve"> standarde SPN/</w:t>
      </w:r>
      <w:r w:rsidR="00DB41CC" w:rsidRPr="00DB41CC">
        <w:rPr>
          <w:rFonts w:ascii="Arial" w:hAnsi="Arial" w:cs="Arial"/>
          <w:b/>
          <w:color w:val="000000"/>
          <w:sz w:val="18"/>
          <w:szCs w:val="18"/>
          <w:lang w:val="sr-Latn-ME"/>
        </w:rPr>
        <w:t>FT</w:t>
      </w:r>
    </w:p>
    <w:p w:rsidR="00F045DF" w:rsidRPr="00F045DF" w:rsidRDefault="00F045DF" w:rsidP="00915B83">
      <w:pPr>
        <w:pStyle w:val="NormalWeb"/>
        <w:jc w:val="both"/>
        <w:rPr>
          <w:rFonts w:ascii="Arial" w:hAnsi="Arial" w:cs="Arial"/>
          <w:color w:val="000000"/>
          <w:sz w:val="18"/>
          <w:szCs w:val="18"/>
          <w:lang w:val="sr-Latn-ME"/>
        </w:rPr>
      </w:pPr>
      <w:r w:rsidRPr="00F045DF">
        <w:rPr>
          <w:rFonts w:ascii="Arial" w:hAnsi="Arial" w:cs="Arial"/>
          <w:color w:val="000000"/>
          <w:sz w:val="18"/>
          <w:szCs w:val="18"/>
          <w:lang w:val="sr-Latn-ME"/>
        </w:rPr>
        <w:t xml:space="preserve">U skladu sa Članom 23 (4) Zakona o sprječavanju pranja novca i finansiranja terorizma, Uprava policije – Sektor za </w:t>
      </w:r>
      <w:r w:rsidR="00E91306">
        <w:rPr>
          <w:rFonts w:ascii="Arial" w:hAnsi="Arial" w:cs="Arial"/>
          <w:color w:val="000000"/>
          <w:sz w:val="18"/>
          <w:szCs w:val="18"/>
          <w:lang w:val="sr-Latn-ME"/>
        </w:rPr>
        <w:t>finansijsko obavještajne poslove</w:t>
      </w:r>
      <w:r w:rsidR="00AF4136">
        <w:rPr>
          <w:rFonts w:ascii="Arial" w:hAnsi="Arial" w:cs="Arial"/>
          <w:color w:val="000000"/>
          <w:sz w:val="18"/>
          <w:szCs w:val="18"/>
          <w:lang w:val="sr-Latn-ME"/>
        </w:rPr>
        <w:t xml:space="preserve"> objavljuje liste</w:t>
      </w:r>
      <w:r w:rsidRPr="00F045DF">
        <w:rPr>
          <w:rFonts w:ascii="Arial" w:hAnsi="Arial" w:cs="Arial"/>
          <w:color w:val="000000"/>
          <w:sz w:val="18"/>
          <w:szCs w:val="18"/>
          <w:lang w:val="sr-Latn-ME"/>
        </w:rPr>
        <w:t xml:space="preserve"> država koje, na osnovu podataka međunarodnih organizacija, </w:t>
      </w:r>
      <w:r w:rsidR="004E0701" w:rsidRPr="004E0701">
        <w:rPr>
          <w:rFonts w:ascii="Arial" w:hAnsi="Arial" w:cs="Arial"/>
          <w:color w:val="000000"/>
          <w:sz w:val="18"/>
          <w:szCs w:val="18"/>
          <w:lang w:val="sr-Latn-ME"/>
        </w:rPr>
        <w:t xml:space="preserve">ne primjenjuju/u nedovoljnoj </w:t>
      </w:r>
      <w:r w:rsidR="00290066">
        <w:rPr>
          <w:rFonts w:ascii="Arial" w:hAnsi="Arial" w:cs="Arial"/>
          <w:color w:val="000000"/>
          <w:sz w:val="18"/>
          <w:szCs w:val="18"/>
          <w:lang w:val="sr-Latn-ME"/>
        </w:rPr>
        <w:t>mjeri primjenjuju standarde SPN/</w:t>
      </w:r>
      <w:r w:rsidR="004E0701" w:rsidRPr="004E0701">
        <w:rPr>
          <w:rFonts w:ascii="Arial" w:hAnsi="Arial" w:cs="Arial"/>
          <w:color w:val="000000"/>
          <w:sz w:val="18"/>
          <w:szCs w:val="18"/>
          <w:lang w:val="sr-Latn-ME"/>
        </w:rPr>
        <w:t>FT</w:t>
      </w:r>
      <w:r w:rsidRPr="00F045DF">
        <w:rPr>
          <w:rFonts w:ascii="Arial" w:hAnsi="Arial" w:cs="Arial"/>
          <w:color w:val="000000"/>
          <w:sz w:val="18"/>
          <w:szCs w:val="18"/>
          <w:lang w:val="sr-Latn-ME"/>
        </w:rPr>
        <w:t>.</w:t>
      </w:r>
    </w:p>
    <w:p w:rsidR="00AF4136" w:rsidRPr="00AF4136" w:rsidRDefault="00AF4136" w:rsidP="0071450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sz w:val="18"/>
          <w:szCs w:val="18"/>
          <w:lang w:val="sr-Latn-ME"/>
        </w:rPr>
      </w:pPr>
      <w:r w:rsidRPr="00AF4136">
        <w:rPr>
          <w:rFonts w:ascii="Arial" w:hAnsi="Arial" w:cs="Arial"/>
          <w:b/>
          <w:i/>
          <w:sz w:val="18"/>
          <w:szCs w:val="18"/>
          <w:lang w:val="sr-Latn-ME"/>
        </w:rPr>
        <w:t xml:space="preserve">Siva lista </w:t>
      </w:r>
    </w:p>
    <w:p w:rsidR="00AF4136" w:rsidRDefault="00AF4136" w:rsidP="0071450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sr-Latn-ME"/>
        </w:rPr>
      </w:pPr>
    </w:p>
    <w:p w:rsidR="00714501" w:rsidRDefault="00290066" w:rsidP="0071450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sr-Latn-ME"/>
        </w:rPr>
      </w:pPr>
      <w:r>
        <w:rPr>
          <w:rFonts w:ascii="Arial" w:hAnsi="Arial" w:cs="Arial"/>
          <w:color w:val="000000"/>
          <w:sz w:val="18"/>
          <w:szCs w:val="18"/>
          <w:lang w:val="sr-Latn-ME"/>
        </w:rPr>
        <w:t xml:space="preserve">Na </w:t>
      </w:r>
      <w:r w:rsidR="00407D09">
        <w:rPr>
          <w:rFonts w:ascii="Arial" w:hAnsi="Arial" w:cs="Arial"/>
          <w:color w:val="000000"/>
          <w:sz w:val="18"/>
          <w:szCs w:val="18"/>
          <w:lang w:val="sr-Latn-ME"/>
        </w:rPr>
        <w:t>„s</w:t>
      </w:r>
      <w:r>
        <w:rPr>
          <w:rFonts w:ascii="Arial" w:hAnsi="Arial" w:cs="Arial"/>
          <w:color w:val="000000"/>
          <w:sz w:val="18"/>
          <w:szCs w:val="18"/>
          <w:lang w:val="sr-Latn-ME"/>
        </w:rPr>
        <w:t>ivoj list</w:t>
      </w:r>
      <w:r w:rsidR="000115A8">
        <w:rPr>
          <w:rFonts w:ascii="Arial" w:hAnsi="Arial" w:cs="Arial"/>
          <w:color w:val="000000"/>
          <w:sz w:val="18"/>
          <w:szCs w:val="18"/>
          <w:lang w:val="sr-Latn-ME"/>
        </w:rPr>
        <w:t>i</w:t>
      </w:r>
      <w:r w:rsidR="00407D09">
        <w:rPr>
          <w:rFonts w:ascii="Arial" w:hAnsi="Arial" w:cs="Arial"/>
          <w:color w:val="000000"/>
          <w:sz w:val="18"/>
          <w:szCs w:val="18"/>
          <w:lang w:val="sr-Latn-ME"/>
        </w:rPr>
        <w:t>“</w:t>
      </w:r>
      <w:r>
        <w:rPr>
          <w:rFonts w:ascii="Arial" w:hAnsi="Arial" w:cs="Arial"/>
          <w:color w:val="000000"/>
          <w:sz w:val="18"/>
          <w:szCs w:val="18"/>
          <w:lang w:val="sr-Latn-ME"/>
        </w:rPr>
        <w:t xml:space="preserve"> se nalaze d</w:t>
      </w:r>
      <w:r w:rsidR="00714501" w:rsidRPr="00714501">
        <w:rPr>
          <w:rFonts w:ascii="Arial" w:hAnsi="Arial" w:cs="Arial"/>
          <w:color w:val="000000"/>
          <w:sz w:val="18"/>
          <w:szCs w:val="18"/>
          <w:lang w:val="sr-Latn-ME"/>
        </w:rPr>
        <w:t>ržave koje su pod pojačanim nadzorom</w:t>
      </w:r>
      <w:r>
        <w:rPr>
          <w:rFonts w:ascii="Arial" w:hAnsi="Arial" w:cs="Arial"/>
          <w:color w:val="000000"/>
          <w:sz w:val="18"/>
          <w:szCs w:val="18"/>
          <w:lang w:val="sr-Latn-ME"/>
        </w:rPr>
        <w:t xml:space="preserve"> i koje</w:t>
      </w:r>
      <w:r w:rsidR="00714501" w:rsidRPr="00714501">
        <w:rPr>
          <w:rFonts w:ascii="Arial" w:hAnsi="Arial" w:cs="Arial"/>
          <w:color w:val="000000"/>
          <w:sz w:val="18"/>
          <w:szCs w:val="18"/>
          <w:lang w:val="sr-Latn-ME"/>
        </w:rPr>
        <w:t xml:space="preserve"> aktivno rade sa FATF-om na uklanjanju strateških nedostataka u svojim sistemima za borbu protiv pranja novca, finansiranja terorizma i finansiranja proliferacije. Kada FATF stavi državu pod pojačani nadzor, </w:t>
      </w:r>
      <w:r w:rsidR="000115A8">
        <w:rPr>
          <w:rFonts w:ascii="Arial" w:hAnsi="Arial" w:cs="Arial"/>
          <w:color w:val="000000"/>
          <w:sz w:val="18"/>
          <w:szCs w:val="18"/>
          <w:lang w:val="sr-Latn-ME"/>
        </w:rPr>
        <w:t xml:space="preserve">odnosno na Sivu listu, </w:t>
      </w:r>
      <w:r w:rsidR="00714501" w:rsidRPr="00714501">
        <w:rPr>
          <w:rFonts w:ascii="Arial" w:hAnsi="Arial" w:cs="Arial"/>
          <w:color w:val="000000"/>
          <w:sz w:val="18"/>
          <w:szCs w:val="18"/>
          <w:lang w:val="sr-Latn-ME"/>
        </w:rPr>
        <w:t xml:space="preserve">to znači da se ta država obavezala da će brzo da ukloni utvrđene strateške nedostatke u okviru dogovorenog vremenskog perioda i </w:t>
      </w:r>
      <w:r w:rsidR="000115A8">
        <w:rPr>
          <w:rFonts w:ascii="Arial" w:hAnsi="Arial" w:cs="Arial"/>
          <w:color w:val="000000"/>
          <w:sz w:val="18"/>
          <w:szCs w:val="18"/>
          <w:lang w:val="sr-Latn-ME"/>
        </w:rPr>
        <w:t>da ona</w:t>
      </w:r>
      <w:r w:rsidR="00714501" w:rsidRPr="00714501">
        <w:rPr>
          <w:rFonts w:ascii="Arial" w:hAnsi="Arial" w:cs="Arial"/>
          <w:color w:val="000000"/>
          <w:sz w:val="18"/>
          <w:szCs w:val="18"/>
          <w:lang w:val="sr-Latn-ME"/>
        </w:rPr>
        <w:t xml:space="preserve"> podliježe pojačanom nadzoru. </w:t>
      </w:r>
    </w:p>
    <w:p w:rsidR="002F6428" w:rsidRDefault="002F6428" w:rsidP="0071450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sr-Latn-ME"/>
        </w:rPr>
      </w:pPr>
    </w:p>
    <w:p w:rsidR="00AF4136" w:rsidRDefault="00AF4136" w:rsidP="0071450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sr-Latn-ME"/>
        </w:rPr>
      </w:pPr>
    </w:p>
    <w:p w:rsidR="00AF4136" w:rsidRPr="00AF4136" w:rsidRDefault="00AF4136" w:rsidP="0071450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18"/>
          <w:szCs w:val="18"/>
          <w:lang w:val="sr-Latn-ME"/>
        </w:rPr>
      </w:pPr>
      <w:r w:rsidRPr="00AF4136">
        <w:rPr>
          <w:rFonts w:ascii="Arial" w:hAnsi="Arial" w:cs="Arial"/>
          <w:b/>
          <w:i/>
          <w:color w:val="000000"/>
          <w:sz w:val="18"/>
          <w:szCs w:val="18"/>
          <w:lang w:val="sr-Latn-ME"/>
        </w:rPr>
        <w:t>Crna lista</w:t>
      </w:r>
    </w:p>
    <w:p w:rsidR="00AF4136" w:rsidRDefault="00AF4136" w:rsidP="0071450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sr-Latn-ME"/>
        </w:rPr>
      </w:pPr>
    </w:p>
    <w:p w:rsidR="002F6428" w:rsidRDefault="00407D09" w:rsidP="0071450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sr-Latn-ME"/>
        </w:rPr>
      </w:pPr>
      <w:r>
        <w:rPr>
          <w:rFonts w:ascii="Arial" w:hAnsi="Arial" w:cs="Arial"/>
          <w:color w:val="000000"/>
          <w:sz w:val="18"/>
          <w:szCs w:val="18"/>
          <w:lang w:val="sr-Latn-ME"/>
        </w:rPr>
        <w:t>Na „c</w:t>
      </w:r>
      <w:r w:rsidR="000115A8">
        <w:rPr>
          <w:rFonts w:ascii="Arial" w:hAnsi="Arial" w:cs="Arial"/>
          <w:color w:val="000000"/>
          <w:sz w:val="18"/>
          <w:szCs w:val="18"/>
          <w:lang w:val="sr-Latn-ME"/>
        </w:rPr>
        <w:t>rnoj listi</w:t>
      </w:r>
      <w:r>
        <w:rPr>
          <w:rFonts w:ascii="Arial" w:hAnsi="Arial" w:cs="Arial"/>
          <w:color w:val="000000"/>
          <w:sz w:val="18"/>
          <w:szCs w:val="18"/>
          <w:lang w:val="sr-Latn-ME"/>
        </w:rPr>
        <w:t>“</w:t>
      </w:r>
      <w:r w:rsidR="000115A8">
        <w:rPr>
          <w:rFonts w:ascii="Arial" w:hAnsi="Arial" w:cs="Arial"/>
          <w:color w:val="000000"/>
          <w:sz w:val="18"/>
          <w:szCs w:val="18"/>
          <w:lang w:val="sr-Latn-ME"/>
        </w:rPr>
        <w:t xml:space="preserve"> se nalaze v</w:t>
      </w:r>
      <w:r w:rsidR="002F6428" w:rsidRPr="002F6428">
        <w:rPr>
          <w:rFonts w:ascii="Arial" w:hAnsi="Arial" w:cs="Arial"/>
          <w:color w:val="000000"/>
          <w:sz w:val="18"/>
          <w:szCs w:val="18"/>
          <w:lang w:val="sr-Latn-ME"/>
        </w:rPr>
        <w:t>isoko rizične države</w:t>
      </w:r>
      <w:r w:rsidR="0091176E">
        <w:rPr>
          <w:rFonts w:ascii="Arial" w:hAnsi="Arial" w:cs="Arial"/>
          <w:color w:val="000000"/>
          <w:sz w:val="18"/>
          <w:szCs w:val="18"/>
          <w:lang w:val="sr-Latn-ME"/>
        </w:rPr>
        <w:t xml:space="preserve"> koje</w:t>
      </w:r>
      <w:r w:rsidR="002F6428" w:rsidRPr="002F6428">
        <w:rPr>
          <w:rFonts w:ascii="Arial" w:hAnsi="Arial" w:cs="Arial"/>
          <w:color w:val="000000"/>
          <w:sz w:val="18"/>
          <w:szCs w:val="18"/>
          <w:lang w:val="sr-Latn-ME"/>
        </w:rPr>
        <w:t xml:space="preserve"> imaju značajne strateške nedostatke u svojim režimima za borbu protiv pranja novca, finansiranja terorizma i finansiranja proliferacije. Za sve države koje su identifikovane kao visoko rizične FATF poziva svoje članice i zahtijeva od svih država da primjene produbljene mjere identifikacije i praćenja klijenata, a u najozbiljnijim slučajevima, države se pozivaju da primjene kontramjere kako bi zaštitile međunarodni finansijski sistem od kontinuiranih rizika od pranja novca, finansiranja terorizma i finansiranja proliferacije (PN/FT/FP) koji proističu iz te zemlje. </w:t>
      </w:r>
    </w:p>
    <w:p w:rsidR="00714501" w:rsidRDefault="00714501" w:rsidP="008308D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sr-Latn-ME"/>
        </w:rPr>
      </w:pPr>
    </w:p>
    <w:p w:rsidR="009854F9" w:rsidRDefault="00F045DF" w:rsidP="008308D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sr-Latn-ME"/>
        </w:rPr>
      </w:pPr>
      <w:r w:rsidRPr="00F045DF">
        <w:rPr>
          <w:rFonts w:ascii="Arial" w:hAnsi="Arial" w:cs="Arial"/>
          <w:color w:val="000000"/>
          <w:sz w:val="18"/>
          <w:szCs w:val="18"/>
          <w:lang w:val="sr-Latn-ME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854F9" w:rsidRPr="000334CF" w:rsidTr="003704A4">
        <w:tc>
          <w:tcPr>
            <w:tcW w:w="4788" w:type="dxa"/>
          </w:tcPr>
          <w:p w:rsidR="009854F9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i/>
                <w:color w:val="00B0F0"/>
                <w:sz w:val="20"/>
                <w:szCs w:val="20"/>
                <w:lang w:val="sr-Latn-ME"/>
              </w:rPr>
            </w:pPr>
            <w:r w:rsidRPr="000334CF">
              <w:rPr>
                <w:rFonts w:asciiTheme="minorHAnsi" w:hAnsiTheme="minorHAnsi" w:cs="Arial"/>
                <w:b/>
                <w:i/>
                <w:color w:val="00B0F0"/>
                <w:sz w:val="20"/>
                <w:szCs w:val="20"/>
                <w:lang w:val="sr-Latn-ME"/>
              </w:rPr>
              <w:t>SIVA LISTA</w:t>
            </w:r>
          </w:p>
          <w:p w:rsidR="004670AC" w:rsidRPr="000334CF" w:rsidRDefault="004670AC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i/>
                <w:color w:val="00B0F0"/>
                <w:sz w:val="20"/>
                <w:szCs w:val="20"/>
                <w:lang w:val="sr-Latn-ME"/>
              </w:rPr>
            </w:pPr>
          </w:p>
        </w:tc>
        <w:tc>
          <w:tcPr>
            <w:tcW w:w="4788" w:type="dxa"/>
          </w:tcPr>
          <w:p w:rsidR="009854F9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i/>
                <w:color w:val="00B0F0"/>
                <w:sz w:val="20"/>
                <w:szCs w:val="20"/>
                <w:lang w:val="sr-Latn-ME"/>
              </w:rPr>
            </w:pPr>
            <w:r w:rsidRPr="000334CF">
              <w:rPr>
                <w:rFonts w:asciiTheme="minorHAnsi" w:hAnsiTheme="minorHAnsi" w:cs="Arial"/>
                <w:b/>
                <w:i/>
                <w:color w:val="00B0F0"/>
                <w:sz w:val="20"/>
                <w:szCs w:val="20"/>
                <w:lang w:val="sr-Latn-ME"/>
              </w:rPr>
              <w:t>CRNA LISTA</w:t>
            </w:r>
          </w:p>
          <w:p w:rsidR="004670AC" w:rsidRPr="000334CF" w:rsidRDefault="004670AC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i/>
                <w:color w:val="00B0F0"/>
                <w:sz w:val="20"/>
                <w:szCs w:val="20"/>
                <w:lang w:val="sr-Latn-ME"/>
              </w:rPr>
            </w:pPr>
          </w:p>
        </w:tc>
      </w:tr>
      <w:tr w:rsidR="00940556" w:rsidRPr="000334CF" w:rsidTr="003704A4">
        <w:tc>
          <w:tcPr>
            <w:tcW w:w="4788" w:type="dxa"/>
          </w:tcPr>
          <w:p w:rsidR="00940556" w:rsidRPr="000334CF" w:rsidRDefault="00940556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Albanija</w:t>
            </w:r>
          </w:p>
        </w:tc>
        <w:tc>
          <w:tcPr>
            <w:tcW w:w="4788" w:type="dxa"/>
          </w:tcPr>
          <w:p w:rsidR="00940556" w:rsidRPr="000334CF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940556" w:rsidRPr="000334CF" w:rsidTr="003704A4">
        <w:tc>
          <w:tcPr>
            <w:tcW w:w="4788" w:type="dxa"/>
          </w:tcPr>
          <w:p w:rsidR="00940556" w:rsidRPr="000334CF" w:rsidRDefault="00940556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Barbados</w:t>
            </w:r>
          </w:p>
        </w:tc>
        <w:tc>
          <w:tcPr>
            <w:tcW w:w="4788" w:type="dxa"/>
          </w:tcPr>
          <w:p w:rsidR="00940556" w:rsidRPr="000334CF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940556" w:rsidRPr="000334CF" w:rsidTr="003704A4">
        <w:tc>
          <w:tcPr>
            <w:tcW w:w="4788" w:type="dxa"/>
          </w:tcPr>
          <w:p w:rsidR="00940556" w:rsidRPr="000334CF" w:rsidRDefault="00940556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Bocvana</w:t>
            </w:r>
          </w:p>
        </w:tc>
        <w:tc>
          <w:tcPr>
            <w:tcW w:w="4788" w:type="dxa"/>
          </w:tcPr>
          <w:p w:rsidR="00940556" w:rsidRPr="000334CF" w:rsidRDefault="003704A4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  <w:r w:rsidRPr="003704A4"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  <w:t>Demokratska Narodna Republika Koreja (DNRK)</w:t>
            </w:r>
          </w:p>
        </w:tc>
      </w:tr>
      <w:tr w:rsidR="00940556" w:rsidRPr="000334CF" w:rsidTr="003704A4">
        <w:tc>
          <w:tcPr>
            <w:tcW w:w="4788" w:type="dxa"/>
          </w:tcPr>
          <w:p w:rsidR="00940556" w:rsidRDefault="00940556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Burkina Faso</w:t>
            </w:r>
          </w:p>
          <w:p w:rsidR="0066146C" w:rsidRPr="000334CF" w:rsidRDefault="0066146C" w:rsidP="000334CF">
            <w:pPr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Filipini</w:t>
            </w:r>
          </w:p>
        </w:tc>
        <w:tc>
          <w:tcPr>
            <w:tcW w:w="4788" w:type="dxa"/>
          </w:tcPr>
          <w:p w:rsidR="00940556" w:rsidRPr="000334CF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940556" w:rsidRPr="000334CF" w:rsidTr="003704A4">
        <w:tc>
          <w:tcPr>
            <w:tcW w:w="4788" w:type="dxa"/>
          </w:tcPr>
          <w:p w:rsidR="00940556" w:rsidRPr="000334CF" w:rsidRDefault="00940556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Kambodža</w:t>
            </w:r>
          </w:p>
        </w:tc>
        <w:tc>
          <w:tcPr>
            <w:tcW w:w="4788" w:type="dxa"/>
          </w:tcPr>
          <w:p w:rsidR="00940556" w:rsidRPr="000334CF" w:rsidRDefault="003704A4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  <w:t>Iran</w:t>
            </w:r>
          </w:p>
        </w:tc>
      </w:tr>
      <w:tr w:rsidR="00940556" w:rsidRPr="000334CF" w:rsidTr="003704A4">
        <w:tc>
          <w:tcPr>
            <w:tcW w:w="4788" w:type="dxa"/>
          </w:tcPr>
          <w:p w:rsidR="00940556" w:rsidRPr="000334CF" w:rsidRDefault="00940556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Kajmanska Ostrva</w:t>
            </w:r>
          </w:p>
        </w:tc>
        <w:tc>
          <w:tcPr>
            <w:tcW w:w="4788" w:type="dxa"/>
          </w:tcPr>
          <w:p w:rsidR="00940556" w:rsidRPr="000334CF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940556" w:rsidRPr="000334CF" w:rsidTr="003704A4">
        <w:tc>
          <w:tcPr>
            <w:tcW w:w="4788" w:type="dxa"/>
          </w:tcPr>
          <w:p w:rsidR="00940556" w:rsidRPr="000334CF" w:rsidRDefault="0066146C" w:rsidP="000334CF">
            <w:pPr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Haiti</w:t>
            </w:r>
          </w:p>
        </w:tc>
        <w:tc>
          <w:tcPr>
            <w:tcW w:w="4788" w:type="dxa"/>
          </w:tcPr>
          <w:p w:rsidR="00940556" w:rsidRPr="000334CF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940556" w:rsidRPr="000334CF" w:rsidTr="003704A4">
        <w:tc>
          <w:tcPr>
            <w:tcW w:w="4788" w:type="dxa"/>
          </w:tcPr>
          <w:p w:rsidR="00940556" w:rsidRPr="000334CF" w:rsidRDefault="00940556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Jamajka</w:t>
            </w:r>
          </w:p>
        </w:tc>
        <w:tc>
          <w:tcPr>
            <w:tcW w:w="4788" w:type="dxa"/>
          </w:tcPr>
          <w:p w:rsidR="00940556" w:rsidRPr="000334CF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E90F08" w:rsidRPr="000334CF" w:rsidTr="003704A4">
        <w:tc>
          <w:tcPr>
            <w:tcW w:w="4788" w:type="dxa"/>
          </w:tcPr>
          <w:p w:rsidR="00E90F08" w:rsidRDefault="00E90F08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Jemen</w:t>
            </w:r>
          </w:p>
          <w:p w:rsidR="0066146C" w:rsidRDefault="0066146C" w:rsidP="000334CF">
            <w:pPr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Južni Sudan</w:t>
            </w:r>
          </w:p>
          <w:p w:rsidR="0066146C" w:rsidRPr="000334CF" w:rsidRDefault="0066146C" w:rsidP="000334CF">
            <w:pPr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Malta</w:t>
            </w:r>
          </w:p>
        </w:tc>
        <w:tc>
          <w:tcPr>
            <w:tcW w:w="4788" w:type="dxa"/>
          </w:tcPr>
          <w:p w:rsidR="00E90F08" w:rsidRPr="000334CF" w:rsidRDefault="00E90F08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940556" w:rsidRPr="000334CF" w:rsidTr="003704A4">
        <w:tc>
          <w:tcPr>
            <w:tcW w:w="4788" w:type="dxa"/>
          </w:tcPr>
          <w:p w:rsidR="00940556" w:rsidRPr="000334CF" w:rsidRDefault="00940556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Mauricijus</w:t>
            </w:r>
          </w:p>
        </w:tc>
        <w:tc>
          <w:tcPr>
            <w:tcW w:w="4788" w:type="dxa"/>
          </w:tcPr>
          <w:p w:rsidR="00940556" w:rsidRPr="000334CF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940556" w:rsidRPr="000334CF" w:rsidTr="003704A4">
        <w:tc>
          <w:tcPr>
            <w:tcW w:w="4788" w:type="dxa"/>
          </w:tcPr>
          <w:p w:rsidR="00940556" w:rsidRPr="000334CF" w:rsidRDefault="00940556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Maroko</w:t>
            </w:r>
          </w:p>
        </w:tc>
        <w:tc>
          <w:tcPr>
            <w:tcW w:w="4788" w:type="dxa"/>
          </w:tcPr>
          <w:p w:rsidR="00940556" w:rsidRPr="000334CF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940556" w:rsidRPr="000334CF" w:rsidTr="003704A4">
        <w:tc>
          <w:tcPr>
            <w:tcW w:w="4788" w:type="dxa"/>
          </w:tcPr>
          <w:p w:rsidR="00940556" w:rsidRPr="000334CF" w:rsidRDefault="00940556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Mjanmar</w:t>
            </w:r>
          </w:p>
        </w:tc>
        <w:tc>
          <w:tcPr>
            <w:tcW w:w="4788" w:type="dxa"/>
          </w:tcPr>
          <w:p w:rsidR="00940556" w:rsidRPr="000334CF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940556" w:rsidRPr="000334CF" w:rsidTr="003704A4">
        <w:tc>
          <w:tcPr>
            <w:tcW w:w="4788" w:type="dxa"/>
          </w:tcPr>
          <w:p w:rsidR="00940556" w:rsidRPr="000334CF" w:rsidRDefault="00940556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Nikaragva</w:t>
            </w:r>
          </w:p>
        </w:tc>
        <w:tc>
          <w:tcPr>
            <w:tcW w:w="4788" w:type="dxa"/>
          </w:tcPr>
          <w:p w:rsidR="00940556" w:rsidRPr="000334CF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940556" w:rsidRPr="000334CF" w:rsidTr="003704A4">
        <w:tc>
          <w:tcPr>
            <w:tcW w:w="4788" w:type="dxa"/>
          </w:tcPr>
          <w:p w:rsidR="00940556" w:rsidRPr="000334CF" w:rsidRDefault="00940556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Pakistan</w:t>
            </w:r>
          </w:p>
        </w:tc>
        <w:tc>
          <w:tcPr>
            <w:tcW w:w="4788" w:type="dxa"/>
          </w:tcPr>
          <w:p w:rsidR="00940556" w:rsidRPr="000334CF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940556" w:rsidRPr="000334CF" w:rsidTr="003704A4">
        <w:tc>
          <w:tcPr>
            <w:tcW w:w="4788" w:type="dxa"/>
          </w:tcPr>
          <w:p w:rsidR="00940556" w:rsidRPr="000334CF" w:rsidRDefault="00940556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Panama</w:t>
            </w:r>
          </w:p>
        </w:tc>
        <w:tc>
          <w:tcPr>
            <w:tcW w:w="4788" w:type="dxa"/>
          </w:tcPr>
          <w:p w:rsidR="00940556" w:rsidRPr="000334CF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940556" w:rsidRPr="000334CF" w:rsidTr="003704A4">
        <w:tc>
          <w:tcPr>
            <w:tcW w:w="4788" w:type="dxa"/>
          </w:tcPr>
          <w:p w:rsidR="00940556" w:rsidRPr="000334CF" w:rsidRDefault="00940556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Senegal</w:t>
            </w:r>
          </w:p>
        </w:tc>
        <w:tc>
          <w:tcPr>
            <w:tcW w:w="4788" w:type="dxa"/>
          </w:tcPr>
          <w:p w:rsidR="00940556" w:rsidRPr="000334CF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940556" w:rsidRPr="000334CF" w:rsidTr="003704A4">
        <w:tc>
          <w:tcPr>
            <w:tcW w:w="4788" w:type="dxa"/>
          </w:tcPr>
          <w:p w:rsidR="00940556" w:rsidRPr="000334CF" w:rsidRDefault="00940556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Sirija</w:t>
            </w:r>
          </w:p>
        </w:tc>
        <w:tc>
          <w:tcPr>
            <w:tcW w:w="4788" w:type="dxa"/>
          </w:tcPr>
          <w:p w:rsidR="00940556" w:rsidRPr="000334CF" w:rsidRDefault="00940556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0334CF" w:rsidRPr="000334CF" w:rsidTr="003704A4">
        <w:tc>
          <w:tcPr>
            <w:tcW w:w="4788" w:type="dxa"/>
          </w:tcPr>
          <w:p w:rsidR="000334CF" w:rsidRPr="000334CF" w:rsidRDefault="000334CF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Uganda</w:t>
            </w:r>
          </w:p>
        </w:tc>
        <w:tc>
          <w:tcPr>
            <w:tcW w:w="4788" w:type="dxa"/>
          </w:tcPr>
          <w:p w:rsidR="000334CF" w:rsidRPr="000334CF" w:rsidRDefault="000334CF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0334CF" w:rsidRPr="000334CF" w:rsidTr="003704A4">
        <w:tc>
          <w:tcPr>
            <w:tcW w:w="4788" w:type="dxa"/>
          </w:tcPr>
          <w:p w:rsidR="000334CF" w:rsidRPr="000334CF" w:rsidRDefault="000334CF" w:rsidP="000334CF">
            <w:pPr>
              <w:jc w:val="center"/>
              <w:rPr>
                <w:sz w:val="20"/>
                <w:szCs w:val="20"/>
                <w:lang w:val="sr-Latn-ME"/>
              </w:rPr>
            </w:pPr>
            <w:r w:rsidRPr="000334CF">
              <w:rPr>
                <w:sz w:val="20"/>
                <w:szCs w:val="20"/>
                <w:lang w:val="sr-Latn-ME"/>
              </w:rPr>
              <w:t>Zimbabve</w:t>
            </w:r>
          </w:p>
        </w:tc>
        <w:tc>
          <w:tcPr>
            <w:tcW w:w="4788" w:type="dxa"/>
          </w:tcPr>
          <w:p w:rsidR="000334CF" w:rsidRPr="000334CF" w:rsidRDefault="000334CF" w:rsidP="000334C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</w:tbl>
    <w:p w:rsidR="00F045DF" w:rsidRDefault="00F045DF" w:rsidP="008909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sr-Latn-ME"/>
        </w:rPr>
      </w:pPr>
    </w:p>
    <w:p w:rsidR="004670AC" w:rsidRPr="00F045DF" w:rsidRDefault="004670AC" w:rsidP="008909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sr-Latn-ME"/>
        </w:rPr>
      </w:pPr>
    </w:p>
    <w:p w:rsidR="00F045DF" w:rsidRPr="00F045DF" w:rsidRDefault="00F045DF" w:rsidP="00DB41CC">
      <w:pPr>
        <w:pStyle w:val="NormalWeb"/>
        <w:spacing w:after="240" w:afterAutospacing="0"/>
        <w:rPr>
          <w:rFonts w:ascii="Arial" w:hAnsi="Arial" w:cs="Arial"/>
          <w:color w:val="000000"/>
          <w:sz w:val="18"/>
          <w:szCs w:val="18"/>
          <w:lang w:val="sr-Latn-ME"/>
        </w:rPr>
      </w:pPr>
      <w:r w:rsidRPr="00F045DF">
        <w:rPr>
          <w:rFonts w:ascii="Arial" w:hAnsi="Arial" w:cs="Arial"/>
          <w:color w:val="000000"/>
          <w:sz w:val="18"/>
          <w:szCs w:val="18"/>
          <w:lang w:val="sr-Latn-ME"/>
        </w:rPr>
        <w:t>Navedena lista sačinjena je na osnovu podataka koje je FATF objavio</w:t>
      </w:r>
      <w:r>
        <w:rPr>
          <w:rFonts w:ascii="Arial" w:hAnsi="Arial" w:cs="Arial"/>
          <w:color w:val="000000"/>
          <w:sz w:val="18"/>
          <w:szCs w:val="18"/>
          <w:lang w:val="sr-Latn-ME"/>
        </w:rPr>
        <w:t xml:space="preserve"> </w:t>
      </w:r>
      <w:r w:rsidR="00C22E54">
        <w:rPr>
          <w:rFonts w:ascii="Arial" w:hAnsi="Arial" w:cs="Arial"/>
          <w:color w:val="000000"/>
          <w:sz w:val="18"/>
          <w:szCs w:val="18"/>
          <w:lang w:val="sr-Latn-ME"/>
        </w:rPr>
        <w:t>25.0</w:t>
      </w:r>
      <w:r w:rsidR="0066146C">
        <w:rPr>
          <w:rFonts w:ascii="Arial" w:hAnsi="Arial" w:cs="Arial"/>
          <w:color w:val="000000"/>
          <w:sz w:val="18"/>
          <w:szCs w:val="18"/>
          <w:lang w:val="sr-Latn-ME"/>
        </w:rPr>
        <w:t>6</w:t>
      </w:r>
      <w:r w:rsidR="00C22E54">
        <w:rPr>
          <w:rFonts w:ascii="Arial" w:hAnsi="Arial" w:cs="Arial"/>
          <w:color w:val="000000"/>
          <w:sz w:val="18"/>
          <w:szCs w:val="18"/>
          <w:lang w:val="sr-Latn-ME"/>
        </w:rPr>
        <w:t>.2021</w:t>
      </w:r>
      <w:r w:rsidRPr="00F045DF">
        <w:rPr>
          <w:rFonts w:ascii="Arial" w:hAnsi="Arial" w:cs="Arial"/>
          <w:color w:val="000000"/>
          <w:sz w:val="18"/>
          <w:szCs w:val="18"/>
          <w:lang w:val="sr-Latn-ME"/>
        </w:rPr>
        <w:t>. godine.</w:t>
      </w:r>
      <w:r w:rsidRPr="00F045DF">
        <w:rPr>
          <w:rFonts w:ascii="Arial" w:hAnsi="Arial" w:cs="Arial"/>
          <w:color w:val="000000"/>
          <w:sz w:val="18"/>
          <w:szCs w:val="18"/>
          <w:lang w:val="sr-Latn-ME"/>
        </w:rPr>
        <w:br/>
      </w:r>
      <w:r w:rsidRPr="00F045DF">
        <w:rPr>
          <w:rFonts w:ascii="Arial" w:hAnsi="Arial" w:cs="Arial"/>
          <w:color w:val="000000"/>
          <w:sz w:val="18"/>
          <w:szCs w:val="18"/>
          <w:lang w:val="sr-Latn-ME"/>
        </w:rPr>
        <w:br/>
        <w:t>Ista će se ažurirati na period od četiri mjeseca, odnosno u skladu sa ažuriranjem liste od strane FATF.</w:t>
      </w:r>
      <w:r w:rsidRPr="00F045DF">
        <w:rPr>
          <w:rFonts w:ascii="Arial" w:hAnsi="Arial" w:cs="Arial"/>
          <w:color w:val="000000"/>
          <w:sz w:val="18"/>
          <w:szCs w:val="18"/>
          <w:lang w:val="sr-Latn-ME"/>
        </w:rPr>
        <w:br/>
        <w:t>Ukoliko bude neophodno, lista će se vanredno ažurirati i ranije.</w:t>
      </w:r>
    </w:p>
    <w:p w:rsidR="00DB41CC" w:rsidRDefault="00F045DF" w:rsidP="00DB41CC">
      <w:pPr>
        <w:pStyle w:val="NormalWeb"/>
        <w:jc w:val="both"/>
        <w:rPr>
          <w:rFonts w:ascii="Arial" w:hAnsi="Arial" w:cs="Arial"/>
          <w:color w:val="000000"/>
          <w:sz w:val="18"/>
          <w:szCs w:val="18"/>
          <w:lang w:val="sr-Latn-ME"/>
        </w:rPr>
      </w:pPr>
      <w:r w:rsidRPr="00F045DF">
        <w:rPr>
          <w:rFonts w:ascii="Arial" w:hAnsi="Arial" w:cs="Arial"/>
          <w:color w:val="000000"/>
          <w:sz w:val="18"/>
          <w:szCs w:val="18"/>
          <w:lang w:val="sr-Latn-ME"/>
        </w:rPr>
        <w:lastRenderedPageBreak/>
        <w:t> </w:t>
      </w:r>
    </w:p>
    <w:p w:rsidR="00091DD7" w:rsidRDefault="001D0C80" w:rsidP="00DB41C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sr-Latn-ME"/>
        </w:rPr>
      </w:pPr>
      <w:r>
        <w:rPr>
          <w:rFonts w:ascii="Arial" w:hAnsi="Arial" w:cs="Arial"/>
          <w:b/>
          <w:color w:val="000000"/>
          <w:sz w:val="18"/>
          <w:szCs w:val="18"/>
          <w:lang w:val="sr-Latn-ME"/>
        </w:rPr>
        <w:t>List of countries that do not/</w:t>
      </w:r>
      <w:r w:rsidR="00F045DF" w:rsidRPr="00DB41CC">
        <w:rPr>
          <w:rFonts w:ascii="Arial" w:hAnsi="Arial" w:cs="Arial"/>
          <w:b/>
          <w:color w:val="000000"/>
          <w:sz w:val="18"/>
          <w:szCs w:val="18"/>
          <w:lang w:val="sr-Latn-ME"/>
        </w:rPr>
        <w:t xml:space="preserve"> insufficiently apply AML/CFT standards</w:t>
      </w:r>
      <w:r w:rsidR="00F045DF" w:rsidRPr="00F045DF">
        <w:rPr>
          <w:rFonts w:ascii="Arial" w:hAnsi="Arial" w:cs="Arial"/>
          <w:color w:val="000000"/>
          <w:sz w:val="18"/>
          <w:szCs w:val="18"/>
          <w:lang w:val="sr-Latn-ME"/>
        </w:rPr>
        <w:br/>
      </w:r>
      <w:r w:rsidR="00F045DF" w:rsidRPr="00F045DF">
        <w:rPr>
          <w:rFonts w:ascii="Arial" w:hAnsi="Arial" w:cs="Arial"/>
          <w:color w:val="000000"/>
          <w:sz w:val="18"/>
          <w:szCs w:val="18"/>
          <w:lang w:val="sr-Latn-ME"/>
        </w:rPr>
        <w:br/>
        <w:t xml:space="preserve">In accordance with Article 23(3) of the Law on the Prevention of Money Laundering and Terrorist Financing, Police Directorate- Department for </w:t>
      </w:r>
      <w:r w:rsidR="0016726A">
        <w:rPr>
          <w:rFonts w:ascii="Arial" w:hAnsi="Arial" w:cs="Arial"/>
          <w:color w:val="000000"/>
          <w:sz w:val="18"/>
          <w:szCs w:val="18"/>
          <w:lang w:val="sr-Latn-ME"/>
        </w:rPr>
        <w:t>Financial Intelligence Affairs</w:t>
      </w:r>
      <w:r>
        <w:rPr>
          <w:rFonts w:ascii="Arial" w:hAnsi="Arial" w:cs="Arial"/>
          <w:color w:val="000000"/>
          <w:sz w:val="18"/>
          <w:szCs w:val="18"/>
          <w:lang w:val="sr-Latn-ME"/>
        </w:rPr>
        <w:t xml:space="preserve"> publishes on its website</w:t>
      </w:r>
      <w:r w:rsidR="00F045DF" w:rsidRPr="00F045DF">
        <w:rPr>
          <w:rFonts w:ascii="Arial" w:hAnsi="Arial" w:cs="Arial"/>
          <w:color w:val="000000"/>
          <w:sz w:val="18"/>
          <w:szCs w:val="18"/>
          <w:lang w:val="sr-Latn-ME"/>
        </w:rPr>
        <w:t xml:space="preserve"> the list of countries that, based on the data of internatio</w:t>
      </w:r>
      <w:r>
        <w:rPr>
          <w:rFonts w:ascii="Arial" w:hAnsi="Arial" w:cs="Arial"/>
          <w:color w:val="000000"/>
          <w:sz w:val="18"/>
          <w:szCs w:val="18"/>
          <w:lang w:val="sr-Latn-ME"/>
        </w:rPr>
        <w:t xml:space="preserve">nal organizations, do not apply at all/in sufficient measure </w:t>
      </w:r>
      <w:r w:rsidR="00F045DF" w:rsidRPr="00F045DF">
        <w:rPr>
          <w:rFonts w:ascii="Arial" w:hAnsi="Arial" w:cs="Arial"/>
          <w:color w:val="000000"/>
          <w:sz w:val="18"/>
          <w:szCs w:val="18"/>
          <w:lang w:val="sr-Latn-ME"/>
        </w:rPr>
        <w:t>the standards in the area of money laundering and terrorist financing.</w:t>
      </w:r>
      <w:r w:rsidR="00F045DF" w:rsidRPr="00F045DF">
        <w:rPr>
          <w:rFonts w:ascii="Arial" w:hAnsi="Arial" w:cs="Arial"/>
          <w:color w:val="000000"/>
          <w:sz w:val="18"/>
          <w:szCs w:val="18"/>
          <w:lang w:val="sr-Latn-ME"/>
        </w:rPr>
        <w:br/>
      </w:r>
      <w:r w:rsidR="00F045DF" w:rsidRPr="00F045DF">
        <w:rPr>
          <w:rFonts w:ascii="Arial" w:hAnsi="Arial" w:cs="Arial"/>
          <w:color w:val="000000"/>
          <w:sz w:val="18"/>
          <w:szCs w:val="18"/>
          <w:lang w:val="sr-Latn-ME"/>
        </w:rPr>
        <w:br/>
      </w:r>
    </w:p>
    <w:p w:rsidR="00091DD7" w:rsidRPr="00AF4136" w:rsidRDefault="00091DD7" w:rsidP="00091DD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sz w:val="18"/>
          <w:szCs w:val="18"/>
          <w:lang w:val="sr-Latn-ME"/>
        </w:rPr>
      </w:pPr>
      <w:r>
        <w:rPr>
          <w:rFonts w:ascii="Arial" w:hAnsi="Arial" w:cs="Arial"/>
          <w:b/>
          <w:i/>
          <w:sz w:val="18"/>
          <w:szCs w:val="18"/>
          <w:lang w:val="sr-Latn-ME"/>
        </w:rPr>
        <w:t>Grey List</w:t>
      </w:r>
    </w:p>
    <w:p w:rsidR="00091DD7" w:rsidRDefault="00091DD7" w:rsidP="00091DD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sr-Latn-ME"/>
        </w:rPr>
      </w:pPr>
    </w:p>
    <w:p w:rsidR="00091DD7" w:rsidRDefault="0091176E" w:rsidP="00091DD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sr-Latn-ME"/>
        </w:rPr>
      </w:pPr>
      <w:r>
        <w:rPr>
          <w:rFonts w:ascii="Arial" w:hAnsi="Arial" w:cs="Arial"/>
          <w:color w:val="000000"/>
          <w:sz w:val="18"/>
          <w:szCs w:val="18"/>
          <w:lang w:val="sr-Latn-ME"/>
        </w:rPr>
        <w:t xml:space="preserve">The </w:t>
      </w:r>
      <w:r w:rsidR="00323D16">
        <w:rPr>
          <w:rFonts w:ascii="Arial" w:hAnsi="Arial" w:cs="Arial"/>
          <w:color w:val="000000"/>
          <w:sz w:val="18"/>
          <w:szCs w:val="18"/>
          <w:lang w:val="sr-Latn-ME"/>
        </w:rPr>
        <w:t>„g</w:t>
      </w:r>
      <w:r>
        <w:rPr>
          <w:rFonts w:ascii="Arial" w:hAnsi="Arial" w:cs="Arial"/>
          <w:color w:val="000000"/>
          <w:sz w:val="18"/>
          <w:szCs w:val="18"/>
          <w:lang w:val="sr-Latn-ME"/>
        </w:rPr>
        <w:t>rey list</w:t>
      </w:r>
      <w:r w:rsidR="00323D16">
        <w:rPr>
          <w:rFonts w:ascii="Arial" w:hAnsi="Arial" w:cs="Arial"/>
          <w:color w:val="000000"/>
          <w:sz w:val="18"/>
          <w:szCs w:val="18"/>
          <w:lang w:val="sr-Latn-ME"/>
        </w:rPr>
        <w:t>“</w:t>
      </w:r>
      <w:r>
        <w:rPr>
          <w:rFonts w:ascii="Arial" w:hAnsi="Arial" w:cs="Arial"/>
          <w:color w:val="000000"/>
          <w:sz w:val="18"/>
          <w:szCs w:val="18"/>
          <w:lang w:val="sr-Latn-ME"/>
        </w:rPr>
        <w:t xml:space="preserve"> includes j</w:t>
      </w:r>
      <w:r w:rsidR="00376E9D" w:rsidRPr="00376E9D">
        <w:rPr>
          <w:rFonts w:ascii="Arial" w:hAnsi="Arial" w:cs="Arial"/>
          <w:color w:val="000000"/>
          <w:sz w:val="18"/>
          <w:szCs w:val="18"/>
          <w:lang w:val="sr-Latn-ME"/>
        </w:rPr>
        <w:t xml:space="preserve">urisdictions under increased monitoring </w:t>
      </w:r>
      <w:r>
        <w:rPr>
          <w:rFonts w:ascii="Arial" w:hAnsi="Arial" w:cs="Arial"/>
          <w:color w:val="000000"/>
          <w:sz w:val="18"/>
          <w:szCs w:val="18"/>
          <w:lang w:val="sr-Latn-ME"/>
        </w:rPr>
        <w:t xml:space="preserve">that </w:t>
      </w:r>
      <w:r w:rsidR="00376E9D" w:rsidRPr="00376E9D">
        <w:rPr>
          <w:rFonts w:ascii="Arial" w:hAnsi="Arial" w:cs="Arial"/>
          <w:color w:val="000000"/>
          <w:sz w:val="18"/>
          <w:szCs w:val="18"/>
          <w:lang w:val="sr-Latn-ME"/>
        </w:rPr>
        <w:t>are actively working with the FATF to address strategic deficiencies in their regimes to counter money laundering, terrorist financing, and proliferation financing. When the FATF places a jurisdiction under increased monitoring,</w:t>
      </w:r>
      <w:r>
        <w:rPr>
          <w:rFonts w:ascii="Arial" w:hAnsi="Arial" w:cs="Arial"/>
          <w:color w:val="000000"/>
          <w:sz w:val="18"/>
          <w:szCs w:val="18"/>
          <w:lang w:val="sr-Latn-ME"/>
        </w:rPr>
        <w:t xml:space="preserve"> i.e. on the </w:t>
      </w:r>
      <w:r w:rsidR="00407D09">
        <w:rPr>
          <w:rFonts w:ascii="Arial" w:hAnsi="Arial" w:cs="Arial"/>
          <w:color w:val="000000"/>
          <w:sz w:val="18"/>
          <w:szCs w:val="18"/>
          <w:lang w:val="sr-Latn-ME"/>
        </w:rPr>
        <w:t>„g</w:t>
      </w:r>
      <w:r>
        <w:rPr>
          <w:rFonts w:ascii="Arial" w:hAnsi="Arial" w:cs="Arial"/>
          <w:color w:val="000000"/>
          <w:sz w:val="18"/>
          <w:szCs w:val="18"/>
          <w:lang w:val="sr-Latn-ME"/>
        </w:rPr>
        <w:t>rey list</w:t>
      </w:r>
      <w:r w:rsidR="00407D09">
        <w:rPr>
          <w:rFonts w:ascii="Arial" w:hAnsi="Arial" w:cs="Arial"/>
          <w:color w:val="000000"/>
          <w:sz w:val="18"/>
          <w:szCs w:val="18"/>
          <w:lang w:val="sr-Latn-ME"/>
        </w:rPr>
        <w:t>“</w:t>
      </w:r>
      <w:r>
        <w:rPr>
          <w:rFonts w:ascii="Arial" w:hAnsi="Arial" w:cs="Arial"/>
          <w:color w:val="000000"/>
          <w:sz w:val="18"/>
          <w:szCs w:val="18"/>
          <w:lang w:val="sr-Latn-ME"/>
        </w:rPr>
        <w:t>,</w:t>
      </w:r>
      <w:r w:rsidR="00376E9D" w:rsidRPr="00376E9D">
        <w:rPr>
          <w:rFonts w:ascii="Arial" w:hAnsi="Arial" w:cs="Arial"/>
          <w:color w:val="000000"/>
          <w:sz w:val="18"/>
          <w:szCs w:val="18"/>
          <w:lang w:val="sr-Latn-ME"/>
        </w:rPr>
        <w:t xml:space="preserve"> it means the country has committed to resolve swiftly the identified strategic deficiencies within agreed timeframes and is subject to increased monitoring. </w:t>
      </w:r>
    </w:p>
    <w:p w:rsidR="00091DD7" w:rsidRDefault="00091DD7" w:rsidP="00091DD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sr-Latn-ME"/>
        </w:rPr>
      </w:pPr>
    </w:p>
    <w:p w:rsidR="00091DD7" w:rsidRPr="00AF4136" w:rsidRDefault="00376E9D" w:rsidP="00091DD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18"/>
          <w:szCs w:val="18"/>
          <w:lang w:val="sr-Latn-M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sr-Latn-ME"/>
        </w:rPr>
        <w:t>Black List</w:t>
      </w:r>
    </w:p>
    <w:p w:rsidR="00091DD7" w:rsidRDefault="00091DD7" w:rsidP="00091DD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sr-Latn-ME"/>
        </w:rPr>
      </w:pPr>
    </w:p>
    <w:p w:rsidR="00376E9D" w:rsidRDefault="00323D16" w:rsidP="00091DD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sr-Latn-ME"/>
        </w:rPr>
      </w:pPr>
      <w:r>
        <w:rPr>
          <w:rFonts w:ascii="Arial" w:hAnsi="Arial" w:cs="Arial"/>
          <w:color w:val="000000"/>
          <w:sz w:val="18"/>
          <w:szCs w:val="18"/>
          <w:lang w:val="sr-Latn-ME"/>
        </w:rPr>
        <w:t xml:space="preserve">The </w:t>
      </w:r>
      <w:r w:rsidR="00407D09">
        <w:rPr>
          <w:rFonts w:ascii="Arial" w:hAnsi="Arial" w:cs="Arial"/>
          <w:color w:val="000000"/>
          <w:sz w:val="18"/>
          <w:szCs w:val="18"/>
          <w:lang w:val="sr-Latn-ME"/>
        </w:rPr>
        <w:t>„b</w:t>
      </w:r>
      <w:r>
        <w:rPr>
          <w:rFonts w:ascii="Arial" w:hAnsi="Arial" w:cs="Arial"/>
          <w:color w:val="000000"/>
          <w:sz w:val="18"/>
          <w:szCs w:val="18"/>
          <w:lang w:val="sr-Latn-ME"/>
        </w:rPr>
        <w:t>lack list</w:t>
      </w:r>
      <w:r w:rsidR="00407D09">
        <w:rPr>
          <w:rFonts w:ascii="Arial" w:hAnsi="Arial" w:cs="Arial"/>
          <w:color w:val="000000"/>
          <w:sz w:val="18"/>
          <w:szCs w:val="18"/>
          <w:lang w:val="sr-Latn-ME"/>
        </w:rPr>
        <w:t>“</w:t>
      </w:r>
      <w:r>
        <w:rPr>
          <w:rFonts w:ascii="Arial" w:hAnsi="Arial" w:cs="Arial"/>
          <w:color w:val="000000"/>
          <w:sz w:val="18"/>
          <w:szCs w:val="18"/>
          <w:lang w:val="sr-Latn-ME"/>
        </w:rPr>
        <w:t xml:space="preserve"> includes h</w:t>
      </w:r>
      <w:r w:rsidR="00376E9D" w:rsidRPr="00376E9D">
        <w:rPr>
          <w:rFonts w:ascii="Arial" w:hAnsi="Arial" w:cs="Arial"/>
          <w:color w:val="000000"/>
          <w:sz w:val="18"/>
          <w:szCs w:val="18"/>
          <w:lang w:val="sr-Latn-ME"/>
        </w:rPr>
        <w:t xml:space="preserve">igh-risk jurisdictions </w:t>
      </w:r>
      <w:r>
        <w:rPr>
          <w:rFonts w:ascii="Arial" w:hAnsi="Arial" w:cs="Arial"/>
          <w:color w:val="000000"/>
          <w:sz w:val="18"/>
          <w:szCs w:val="18"/>
          <w:lang w:val="sr-Latn-ME"/>
        </w:rPr>
        <w:t xml:space="preserve">that </w:t>
      </w:r>
      <w:r w:rsidR="00376E9D" w:rsidRPr="00376E9D">
        <w:rPr>
          <w:rFonts w:ascii="Arial" w:hAnsi="Arial" w:cs="Arial"/>
          <w:color w:val="000000"/>
          <w:sz w:val="18"/>
          <w:szCs w:val="18"/>
          <w:lang w:val="sr-Latn-ME"/>
        </w:rPr>
        <w:t xml:space="preserve">have significant strategic deficiencies in their regimes to counter money laundering, terrorist financing, and financing of proliferation. For all countries identified as high-risk, the FATF calls on all members and urges all jurisdictions to apply enhanced due diligence, and in the most serious cases, countries are called upon to apply counter-measures to protect the international financial system from the ongoing money laundering, terrorist financing, and proliferation financing (ML/TF/PF) risks emanating from the country.  </w:t>
      </w:r>
    </w:p>
    <w:p w:rsidR="00091DD7" w:rsidRDefault="00091DD7" w:rsidP="00DB41C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778DF" w:rsidRPr="006A41CB" w:rsidTr="00CD0423"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i/>
                <w:color w:val="00B0F0"/>
                <w:sz w:val="20"/>
                <w:szCs w:val="20"/>
                <w:lang w:val="sr-Latn-ME"/>
              </w:rPr>
            </w:pPr>
            <w:r w:rsidRPr="006A41CB">
              <w:rPr>
                <w:rFonts w:asciiTheme="minorHAnsi" w:hAnsiTheme="minorHAnsi" w:cs="Arial"/>
                <w:b/>
                <w:i/>
                <w:color w:val="00B0F0"/>
                <w:sz w:val="20"/>
                <w:szCs w:val="20"/>
                <w:lang w:val="sr-Latn-ME"/>
              </w:rPr>
              <w:t>GREY LIST</w:t>
            </w:r>
          </w:p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i/>
                <w:color w:val="00B0F0"/>
                <w:sz w:val="20"/>
                <w:szCs w:val="20"/>
                <w:lang w:val="sr-Latn-ME"/>
              </w:rPr>
            </w:pP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i/>
                <w:color w:val="00B0F0"/>
                <w:sz w:val="20"/>
                <w:szCs w:val="20"/>
                <w:lang w:val="sr-Latn-ME"/>
              </w:rPr>
            </w:pPr>
            <w:r w:rsidRPr="006A41CB">
              <w:rPr>
                <w:rFonts w:asciiTheme="minorHAnsi" w:hAnsiTheme="minorHAnsi" w:cs="Arial"/>
                <w:b/>
                <w:i/>
                <w:color w:val="00B0F0"/>
                <w:sz w:val="20"/>
                <w:szCs w:val="20"/>
                <w:lang w:val="sr-Latn-ME"/>
              </w:rPr>
              <w:t>BLACK LIST</w:t>
            </w:r>
          </w:p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i/>
                <w:color w:val="00B0F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Albania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Barbados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Botswana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  <w:r w:rsidRPr="006A41CB"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  <w:t>Democratic People's Republic of Korea (DPRK)</w:t>
            </w: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Burkina  Faso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Cambodia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  <w:r w:rsidRPr="006A41CB"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  <w:t>Iran</w:t>
            </w: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Cayman Islands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66146C" w:rsidP="00F7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Haiti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Jamaica</w:t>
            </w:r>
          </w:p>
          <w:p w:rsidR="0066146C" w:rsidRPr="006A41CB" w:rsidRDefault="0066146C" w:rsidP="00F7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Malta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Mauritius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Morocco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Myanmar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Nicaragua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Pakistan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Panama</w:t>
            </w:r>
          </w:p>
          <w:p w:rsidR="0066146C" w:rsidRPr="006A41CB" w:rsidRDefault="0066146C" w:rsidP="00F7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Philippines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Senegal</w:t>
            </w:r>
          </w:p>
          <w:p w:rsidR="0066146C" w:rsidRPr="006A41CB" w:rsidRDefault="0066146C" w:rsidP="00F7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Sudan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Syria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Uganda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Yemen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  <w:tr w:rsidR="00F778DF" w:rsidRPr="006A41CB" w:rsidTr="00CD0423">
        <w:tc>
          <w:tcPr>
            <w:tcW w:w="4788" w:type="dxa"/>
          </w:tcPr>
          <w:p w:rsidR="00F778DF" w:rsidRPr="006A41CB" w:rsidRDefault="00F778DF" w:rsidP="00F778DF">
            <w:pPr>
              <w:jc w:val="center"/>
              <w:rPr>
                <w:sz w:val="20"/>
                <w:szCs w:val="20"/>
              </w:rPr>
            </w:pPr>
            <w:r w:rsidRPr="006A41CB">
              <w:rPr>
                <w:sz w:val="20"/>
                <w:szCs w:val="20"/>
              </w:rPr>
              <w:t>Zimbabwe</w:t>
            </w:r>
          </w:p>
        </w:tc>
        <w:tc>
          <w:tcPr>
            <w:tcW w:w="4788" w:type="dxa"/>
          </w:tcPr>
          <w:p w:rsidR="00F778DF" w:rsidRPr="006A41CB" w:rsidRDefault="00F778DF" w:rsidP="00CD042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sr-Latn-ME"/>
              </w:rPr>
            </w:pPr>
          </w:p>
        </w:tc>
      </w:tr>
    </w:tbl>
    <w:p w:rsidR="00F778DF" w:rsidRDefault="00F778DF" w:rsidP="00DB41C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sr-Latn-ME"/>
        </w:rPr>
      </w:pPr>
    </w:p>
    <w:p w:rsidR="00F778DF" w:rsidRDefault="00F778DF" w:rsidP="00DB41C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sr-Latn-ME"/>
        </w:rPr>
      </w:pPr>
    </w:p>
    <w:p w:rsidR="00F778DF" w:rsidRDefault="00F778DF" w:rsidP="00DB41C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sr-Latn-ME"/>
        </w:rPr>
      </w:pPr>
    </w:p>
    <w:p w:rsidR="00F045DF" w:rsidRPr="00F045DF" w:rsidRDefault="00F045DF" w:rsidP="008308D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sr-Latn-ME"/>
        </w:rPr>
      </w:pPr>
      <w:r w:rsidRPr="00F045DF">
        <w:rPr>
          <w:rFonts w:ascii="Arial" w:hAnsi="Arial" w:cs="Arial"/>
          <w:color w:val="000000"/>
          <w:sz w:val="18"/>
          <w:szCs w:val="18"/>
          <w:lang w:val="sr-Latn-ME"/>
        </w:rPr>
        <w:t xml:space="preserve">This list is drafted on the basis of FATF Public Statement published on </w:t>
      </w:r>
      <w:r w:rsidR="005A0A8C">
        <w:rPr>
          <w:rFonts w:ascii="Arial" w:hAnsi="Arial" w:cs="Arial"/>
          <w:color w:val="000000"/>
          <w:sz w:val="18"/>
          <w:szCs w:val="18"/>
          <w:lang w:val="sr-Latn-ME"/>
        </w:rPr>
        <w:t xml:space="preserve">25 </w:t>
      </w:r>
      <w:r w:rsidR="0066146C">
        <w:rPr>
          <w:rFonts w:ascii="Arial" w:hAnsi="Arial" w:cs="Arial"/>
          <w:color w:val="000000"/>
          <w:sz w:val="18"/>
          <w:szCs w:val="18"/>
          <w:lang w:val="sr-Latn-ME"/>
        </w:rPr>
        <w:t>June</w:t>
      </w:r>
      <w:bookmarkStart w:id="0" w:name="_GoBack"/>
      <w:bookmarkEnd w:id="0"/>
      <w:r w:rsidR="005A0A8C">
        <w:rPr>
          <w:rFonts w:ascii="Arial" w:hAnsi="Arial" w:cs="Arial"/>
          <w:color w:val="000000"/>
          <w:sz w:val="18"/>
          <w:szCs w:val="18"/>
          <w:lang w:val="sr-Latn-ME"/>
        </w:rPr>
        <w:t xml:space="preserve"> 2021</w:t>
      </w:r>
      <w:r w:rsidRPr="00F045DF">
        <w:rPr>
          <w:rFonts w:ascii="Arial" w:hAnsi="Arial" w:cs="Arial"/>
          <w:color w:val="000000"/>
          <w:sz w:val="18"/>
          <w:szCs w:val="18"/>
          <w:lang w:val="sr-Latn-ME"/>
        </w:rPr>
        <w:t>.</w:t>
      </w:r>
      <w:r w:rsidRPr="00F045DF">
        <w:rPr>
          <w:rFonts w:ascii="Arial" w:hAnsi="Arial" w:cs="Arial"/>
          <w:color w:val="000000"/>
          <w:sz w:val="18"/>
          <w:szCs w:val="18"/>
          <w:lang w:val="sr-Latn-ME"/>
        </w:rPr>
        <w:br/>
      </w:r>
      <w:r w:rsidRPr="00F045DF">
        <w:rPr>
          <w:rFonts w:ascii="Arial" w:hAnsi="Arial" w:cs="Arial"/>
          <w:color w:val="000000"/>
          <w:sz w:val="18"/>
          <w:szCs w:val="18"/>
          <w:lang w:val="sr-Latn-ME"/>
        </w:rPr>
        <w:br/>
        <w:t>The list will be updated every four months i.e. in accordance with the updated FATF list of non- cooperative and high risk jurisdictions. If it is necessary, the list can be updated earlier.</w:t>
      </w:r>
    </w:p>
    <w:p w:rsidR="00CF5987" w:rsidRPr="00F045DF" w:rsidRDefault="00CF5987">
      <w:pPr>
        <w:rPr>
          <w:lang w:val="sr-Latn-ME"/>
        </w:rPr>
      </w:pPr>
    </w:p>
    <w:sectPr w:rsidR="00CF5987" w:rsidRPr="00F045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DF"/>
    <w:rsid w:val="000115A8"/>
    <w:rsid w:val="000334CF"/>
    <w:rsid w:val="00091DD7"/>
    <w:rsid w:val="0016726A"/>
    <w:rsid w:val="001D0C80"/>
    <w:rsid w:val="00210B6E"/>
    <w:rsid w:val="00290066"/>
    <w:rsid w:val="002F6428"/>
    <w:rsid w:val="00311673"/>
    <w:rsid w:val="00323D16"/>
    <w:rsid w:val="003704A4"/>
    <w:rsid w:val="00376E9D"/>
    <w:rsid w:val="00407D09"/>
    <w:rsid w:val="004670AC"/>
    <w:rsid w:val="004E0701"/>
    <w:rsid w:val="005A0A8C"/>
    <w:rsid w:val="005D2A45"/>
    <w:rsid w:val="0066146C"/>
    <w:rsid w:val="006A2F90"/>
    <w:rsid w:val="006A41CB"/>
    <w:rsid w:val="00714501"/>
    <w:rsid w:val="007D3306"/>
    <w:rsid w:val="008308DF"/>
    <w:rsid w:val="008909B8"/>
    <w:rsid w:val="0091176E"/>
    <w:rsid w:val="00915B83"/>
    <w:rsid w:val="00940556"/>
    <w:rsid w:val="009854F9"/>
    <w:rsid w:val="009A475E"/>
    <w:rsid w:val="00AF4136"/>
    <w:rsid w:val="00C22E54"/>
    <w:rsid w:val="00CE735F"/>
    <w:rsid w:val="00CF5987"/>
    <w:rsid w:val="00DB41CC"/>
    <w:rsid w:val="00E90F08"/>
    <w:rsid w:val="00E91306"/>
    <w:rsid w:val="00F045DF"/>
    <w:rsid w:val="00F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AD7"/>
  <w15:docId w15:val="{8D3AE0EF-B4D5-4034-96AC-9665BECA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45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5D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8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Helga</cp:lastModifiedBy>
  <cp:revision>2</cp:revision>
  <dcterms:created xsi:type="dcterms:W3CDTF">2021-07-19T11:53:00Z</dcterms:created>
  <dcterms:modified xsi:type="dcterms:W3CDTF">2021-07-19T11:53:00Z</dcterms:modified>
</cp:coreProperties>
</file>