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A2" w:rsidRDefault="00BF60A2" w:rsidP="00BF60A2">
      <w:pPr>
        <w:rPr>
          <w:b/>
        </w:rPr>
      </w:pPr>
    </w:p>
    <w:p w:rsidR="00DA0835" w:rsidRDefault="0073697A" w:rsidP="007B151B">
      <w:pPr>
        <w:rPr>
          <w:b/>
        </w:rPr>
      </w:pPr>
      <w:r w:rsidRPr="00CC5BC9">
        <w:rPr>
          <w:b/>
        </w:rPr>
        <w:t>Realni sektor</w:t>
      </w:r>
      <w:r w:rsidR="008F5166">
        <w:rPr>
          <w:b/>
        </w:rPr>
        <w:t xml:space="preserve"> </w:t>
      </w:r>
    </w:p>
    <w:p w:rsidR="00262CD5" w:rsidRPr="00262CD5" w:rsidRDefault="00262CD5" w:rsidP="004A28F5">
      <w:pPr>
        <w:rPr>
          <w:sz w:val="20"/>
          <w:szCs w:val="20"/>
        </w:rPr>
      </w:pPr>
      <w:r w:rsidRPr="00086C04">
        <w:rPr>
          <w:sz w:val="20"/>
          <w:szCs w:val="20"/>
        </w:rPr>
        <w:t>Pad industrijske proizvodnje u I kvartalu 2016. godine (9,2%), opredijeljen je nižom proizvodnjom u sektoru „snabdijevanje el.energijom, gasom i parom“ (18,9%), usljed prekida proizvodnje TE Pljevlja i, stim u vezi, niže proizvodnje u sektoru vađenje rude i kamena (43,9%), usljed pada proizvodnje u oblasti vađenje uglja (36,4%). Prerađivačka industrija u I kvartalu bilježi rast (5,2%), usljed rasta proizvodnje farmaceutskih proizvoda (109,7%). Crnu Goru je u I kvartalu posjetilo 71,1 hilj.turista i ostvareno 269,2 hilj.noćenja, što je rast od 9,0 i 11,9%, respektivno. Najznačajniji rast noćenja ostvarili su turisti iz Srbi</w:t>
      </w:r>
      <w:r w:rsidR="00F230C6">
        <w:rPr>
          <w:sz w:val="20"/>
          <w:szCs w:val="20"/>
        </w:rPr>
        <w:t>je (24,7%) i Rusije (5,9%), koji</w:t>
      </w:r>
      <w:r w:rsidRPr="00086C04">
        <w:rPr>
          <w:sz w:val="20"/>
          <w:szCs w:val="20"/>
        </w:rPr>
        <w:t xml:space="preserve"> čine oko 40% ukupnih noćenja stranih turista za tri mjeseca. Promet u trgovini na malo u I kvartalu 2016. bilježi rast od 3,3% u tekućim i 1,1% u stalnim cijenama.</w:t>
      </w:r>
    </w:p>
    <w:p w:rsidR="00DA0835" w:rsidRDefault="008D0CF1" w:rsidP="007B151B">
      <w:pPr>
        <w:rPr>
          <w:b/>
        </w:rPr>
      </w:pPr>
      <w:r w:rsidRPr="00CC5BC9">
        <w:rPr>
          <w:b/>
        </w:rPr>
        <w:t>Inflacija</w:t>
      </w:r>
      <w:r w:rsidR="008F5166">
        <w:rPr>
          <w:b/>
        </w:rPr>
        <w:t xml:space="preserve"> </w:t>
      </w:r>
    </w:p>
    <w:p w:rsidR="00426C6F" w:rsidRDefault="00262CD5" w:rsidP="007B151B">
      <w:pPr>
        <w:rPr>
          <w:sz w:val="20"/>
          <w:szCs w:val="20"/>
        </w:rPr>
      </w:pPr>
      <w:r w:rsidRPr="00262CD5">
        <w:rPr>
          <w:sz w:val="20"/>
          <w:szCs w:val="20"/>
        </w:rPr>
        <w:t>Kretanje potrošačkih cijena u martu 2016. pokazuje deflaciju na godišnjem (-0,9%) i mjesečnom nivou (-0,1%) dok je za period januar-mart 2016.</w:t>
      </w:r>
      <w:r w:rsidR="00764AE3">
        <w:rPr>
          <w:sz w:val="20"/>
          <w:szCs w:val="20"/>
        </w:rPr>
        <w:t xml:space="preserve"> </w:t>
      </w:r>
      <w:r w:rsidRPr="00262CD5">
        <w:rPr>
          <w:sz w:val="20"/>
          <w:szCs w:val="20"/>
        </w:rPr>
        <w:t>zabilježena nulta stopa inflacije.</w:t>
      </w:r>
      <w:r w:rsidR="00764AE3">
        <w:rPr>
          <w:sz w:val="20"/>
          <w:szCs w:val="20"/>
        </w:rPr>
        <w:t xml:space="preserve"> </w:t>
      </w:r>
      <w:r w:rsidRPr="00262CD5">
        <w:rPr>
          <w:sz w:val="20"/>
          <w:szCs w:val="20"/>
        </w:rPr>
        <w:t>Najveći doprinos godišnjoj stopi inflacije dale su cijene iz oblasti „hrana i bezalkoholna pića“ (-0,88 p.p) i cijene iz oblasti „prevoz“ (-0,69 p.p). Inflacija mjerena HICP-om u martu 2016. bilježi godišnji pad od 0,5%. Cijene proizvođača industrijskih proizvoda u martu 2016. zadržale su se na istom nivou kao u martu prošle godine. Pad bilježe cijene industrijskih proizvoda iz uvoza (2,</w:t>
      </w:r>
      <w:r w:rsidR="00F230C6">
        <w:rPr>
          <w:sz w:val="20"/>
          <w:szCs w:val="20"/>
        </w:rPr>
        <w:t xml:space="preserve">4%) </w:t>
      </w:r>
      <w:r w:rsidRPr="00262CD5">
        <w:rPr>
          <w:sz w:val="20"/>
          <w:szCs w:val="20"/>
        </w:rPr>
        <w:t>kao i cijene industrijskih proizvoda za izvoz (8,6%)</w:t>
      </w:r>
      <w:r w:rsidR="00426C6F">
        <w:rPr>
          <w:sz w:val="20"/>
          <w:szCs w:val="20"/>
        </w:rPr>
        <w:t>.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Zaposlenost i zarade</w:t>
      </w:r>
      <w:r w:rsidR="008F5166">
        <w:rPr>
          <w:b/>
        </w:rPr>
        <w:t xml:space="preserve"> </w:t>
      </w:r>
    </w:p>
    <w:p w:rsidR="004A28F5" w:rsidRPr="00F230C6" w:rsidRDefault="00A63D86" w:rsidP="007B151B">
      <w:pPr>
        <w:rPr>
          <w:sz w:val="20"/>
          <w:szCs w:val="20"/>
        </w:rPr>
      </w:pPr>
      <w:r>
        <w:rPr>
          <w:sz w:val="20"/>
          <w:szCs w:val="20"/>
        </w:rPr>
        <w:t>Broj zaposlenih u martu 2016. povećao se za 0,7% u odnosu na prethodni mjesec, dok se bro</w:t>
      </w:r>
      <w:r w:rsidR="006A168C">
        <w:rPr>
          <w:sz w:val="20"/>
          <w:szCs w:val="20"/>
        </w:rPr>
        <w:t xml:space="preserve">j nezaposlenih smanjio za 0,5%. </w:t>
      </w:r>
      <w:r>
        <w:rPr>
          <w:sz w:val="20"/>
          <w:szCs w:val="20"/>
        </w:rPr>
        <w:t>Stopa nezaposlenosti je iznosila 18,3% ili 0,1 p.p. manje nego u februaru 2016. Prosječna</w:t>
      </w:r>
      <w:r w:rsidR="00F230C6">
        <w:rPr>
          <w:sz w:val="20"/>
          <w:szCs w:val="20"/>
        </w:rPr>
        <w:t xml:space="preserve"> bruto</w:t>
      </w:r>
      <w:r>
        <w:rPr>
          <w:sz w:val="20"/>
          <w:szCs w:val="20"/>
        </w:rPr>
        <w:t xml:space="preserve"> zarada u martu 2016. je iznosila 734€ ili 0,7% manje nego u februaru 2016. Prosječna neto zarada je je u martu 2016. iznosila 488€, odnosno 0</w:t>
      </w:r>
      <w:r w:rsidR="00F230C6">
        <w:rPr>
          <w:sz w:val="20"/>
          <w:szCs w:val="20"/>
        </w:rPr>
        <w:t xml:space="preserve">,6% manje nego u februaru 2016. </w:t>
      </w:r>
      <w:r>
        <w:rPr>
          <w:sz w:val="20"/>
          <w:szCs w:val="20"/>
        </w:rPr>
        <w:t xml:space="preserve">Realna zarada bez poreza i doprinosa je smanjena u martu 2016. u </w:t>
      </w:r>
      <w:r w:rsidR="00F230C6">
        <w:rPr>
          <w:sz w:val="20"/>
          <w:szCs w:val="20"/>
        </w:rPr>
        <w:t>odnosu na februar 2016. za 0,5%.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Javne finansije</w:t>
      </w:r>
      <w:r w:rsidR="008F5166">
        <w:rPr>
          <w:b/>
        </w:rPr>
        <w:t xml:space="preserve"> </w:t>
      </w:r>
    </w:p>
    <w:p w:rsidR="00845369" w:rsidRDefault="00262CD5" w:rsidP="00262CD5">
      <w:pPr>
        <w:autoSpaceDE w:val="0"/>
        <w:autoSpaceDN w:val="0"/>
        <w:rPr>
          <w:sz w:val="20"/>
          <w:szCs w:val="20"/>
          <w:lang w:val="en-US"/>
        </w:rPr>
      </w:pPr>
      <w:proofErr w:type="spellStart"/>
      <w:proofErr w:type="gramStart"/>
      <w:r w:rsidRPr="00262CD5">
        <w:rPr>
          <w:sz w:val="20"/>
          <w:szCs w:val="20"/>
          <w:lang w:val="en-US"/>
        </w:rPr>
        <w:t>Prihodi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budžeta</w:t>
      </w:r>
      <w:proofErr w:type="spellEnd"/>
      <w:r w:rsidRPr="00262CD5">
        <w:rPr>
          <w:sz w:val="20"/>
          <w:szCs w:val="20"/>
          <w:lang w:val="en-US"/>
        </w:rPr>
        <w:t xml:space="preserve"> u </w:t>
      </w:r>
      <w:proofErr w:type="spellStart"/>
      <w:r w:rsidRPr="00262CD5">
        <w:rPr>
          <w:sz w:val="20"/>
          <w:szCs w:val="20"/>
          <w:lang w:val="en-US"/>
        </w:rPr>
        <w:t>martu</w:t>
      </w:r>
      <w:proofErr w:type="spellEnd"/>
      <w:r w:rsidRPr="00262CD5">
        <w:rPr>
          <w:sz w:val="20"/>
          <w:szCs w:val="20"/>
          <w:lang w:val="en-US"/>
        </w:rPr>
        <w:t xml:space="preserve"> 2016.</w:t>
      </w:r>
      <w:proofErr w:type="gram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godine</w:t>
      </w:r>
      <w:proofErr w:type="spellEnd"/>
      <w:r w:rsidRPr="00262CD5">
        <w:rPr>
          <w:sz w:val="20"/>
          <w:szCs w:val="20"/>
          <w:lang w:val="en-US"/>
        </w:rPr>
        <w:t xml:space="preserve">  </w:t>
      </w:r>
      <w:proofErr w:type="spellStart"/>
      <w:r w:rsidRPr="00262CD5">
        <w:rPr>
          <w:sz w:val="20"/>
          <w:szCs w:val="20"/>
          <w:lang w:val="en-US"/>
        </w:rPr>
        <w:t>naplaćeni</w:t>
      </w:r>
      <w:proofErr w:type="spellEnd"/>
      <w:r w:rsidRPr="00262CD5">
        <w:rPr>
          <w:sz w:val="20"/>
          <w:szCs w:val="20"/>
          <w:lang w:val="en-US"/>
        </w:rPr>
        <w:t xml:space="preserve">  </w:t>
      </w:r>
      <w:proofErr w:type="spellStart"/>
      <w:r w:rsidRPr="00262CD5">
        <w:rPr>
          <w:sz w:val="20"/>
          <w:szCs w:val="20"/>
          <w:lang w:val="en-US"/>
        </w:rPr>
        <w:t>su</w:t>
      </w:r>
      <w:proofErr w:type="spellEnd"/>
      <w:r w:rsidRPr="00262CD5">
        <w:rPr>
          <w:sz w:val="20"/>
          <w:szCs w:val="20"/>
          <w:lang w:val="en-US"/>
        </w:rPr>
        <w:t xml:space="preserve"> u </w:t>
      </w:r>
      <w:proofErr w:type="spellStart"/>
      <w:r w:rsidRPr="00262CD5">
        <w:rPr>
          <w:sz w:val="20"/>
          <w:szCs w:val="20"/>
          <w:lang w:val="en-US"/>
        </w:rPr>
        <w:t>iznosu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od</w:t>
      </w:r>
      <w:proofErr w:type="spellEnd"/>
      <w:r w:rsidRPr="00262CD5">
        <w:rPr>
          <w:sz w:val="20"/>
          <w:szCs w:val="20"/>
          <w:lang w:val="en-US"/>
        </w:rPr>
        <w:t xml:space="preserve"> 121,5 mil</w:t>
      </w:r>
      <w:r w:rsidR="00F230C6">
        <w:rPr>
          <w:sz w:val="20"/>
          <w:szCs w:val="20"/>
          <w:lang w:val="en-US"/>
        </w:rPr>
        <w:t>.</w:t>
      </w:r>
      <w:r w:rsidRPr="00262CD5">
        <w:rPr>
          <w:sz w:val="20"/>
          <w:szCs w:val="20"/>
          <w:lang w:val="en-US"/>
        </w:rPr>
        <w:t xml:space="preserve">€ </w:t>
      </w:r>
      <w:proofErr w:type="spellStart"/>
      <w:r w:rsidRPr="00262CD5">
        <w:rPr>
          <w:sz w:val="20"/>
          <w:szCs w:val="20"/>
          <w:lang w:val="en-US"/>
        </w:rPr>
        <w:t>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viši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su</w:t>
      </w:r>
      <w:proofErr w:type="spellEnd"/>
      <w:r w:rsidRPr="00262CD5">
        <w:rPr>
          <w:sz w:val="20"/>
          <w:szCs w:val="20"/>
          <w:lang w:val="en-US"/>
        </w:rPr>
        <w:t xml:space="preserve"> 21,0% u </w:t>
      </w:r>
      <w:proofErr w:type="spellStart"/>
      <w:r w:rsidRPr="00262CD5">
        <w:rPr>
          <w:sz w:val="20"/>
          <w:szCs w:val="20"/>
          <w:lang w:val="en-US"/>
        </w:rPr>
        <w:t>odnosu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na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isti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mjesec</w:t>
      </w:r>
      <w:proofErr w:type="spellEnd"/>
      <w:r w:rsidRPr="00262CD5">
        <w:rPr>
          <w:sz w:val="20"/>
          <w:szCs w:val="20"/>
          <w:lang w:val="en-US"/>
        </w:rPr>
        <w:t xml:space="preserve"> 2015. </w:t>
      </w:r>
      <w:proofErr w:type="spellStart"/>
      <w:proofErr w:type="gramStart"/>
      <w:r w:rsidRPr="00262CD5">
        <w:rPr>
          <w:sz w:val="20"/>
          <w:szCs w:val="20"/>
          <w:lang w:val="en-US"/>
        </w:rPr>
        <w:t>godine</w:t>
      </w:r>
      <w:proofErr w:type="spellEnd"/>
      <w:proofErr w:type="gramEnd"/>
      <w:r w:rsidRPr="00262CD5">
        <w:rPr>
          <w:sz w:val="20"/>
          <w:szCs w:val="20"/>
          <w:lang w:val="en-US"/>
        </w:rPr>
        <w:t xml:space="preserve">, </w:t>
      </w:r>
      <w:proofErr w:type="spellStart"/>
      <w:r w:rsidRPr="00262CD5">
        <w:rPr>
          <w:sz w:val="20"/>
          <w:szCs w:val="20"/>
          <w:lang w:val="en-US"/>
        </w:rPr>
        <w:t>i</w:t>
      </w:r>
      <w:proofErr w:type="spellEnd"/>
      <w:r w:rsidRPr="00262CD5">
        <w:rPr>
          <w:sz w:val="20"/>
          <w:szCs w:val="20"/>
          <w:lang w:val="en-US"/>
        </w:rPr>
        <w:t xml:space="preserve"> 12,6</w:t>
      </w:r>
      <w:r w:rsidR="00396E9B">
        <w:rPr>
          <w:sz w:val="20"/>
          <w:szCs w:val="20"/>
          <w:lang w:val="en-US"/>
        </w:rPr>
        <w:t>%</w:t>
      </w:r>
      <w:r w:rsidRPr="00262CD5">
        <w:rPr>
          <w:sz w:val="20"/>
          <w:szCs w:val="20"/>
          <w:lang w:val="en-US"/>
        </w:rPr>
        <w:t xml:space="preserve"> u </w:t>
      </w:r>
      <w:proofErr w:type="spellStart"/>
      <w:r w:rsidRPr="00262CD5">
        <w:rPr>
          <w:sz w:val="20"/>
          <w:szCs w:val="20"/>
          <w:lang w:val="en-US"/>
        </w:rPr>
        <w:t>odnosu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na</w:t>
      </w:r>
      <w:proofErr w:type="spellEnd"/>
      <w:r w:rsidRPr="00262CD5">
        <w:rPr>
          <w:sz w:val="20"/>
          <w:szCs w:val="20"/>
          <w:lang w:val="en-US"/>
        </w:rPr>
        <w:t xml:space="preserve"> plan.</w:t>
      </w:r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Najveći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rast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prihoda</w:t>
      </w:r>
      <w:proofErr w:type="spellEnd"/>
      <w:r w:rsidR="00845369">
        <w:rPr>
          <w:sz w:val="20"/>
          <w:szCs w:val="20"/>
          <w:lang w:val="en-US"/>
        </w:rPr>
        <w:t xml:space="preserve"> u </w:t>
      </w:r>
      <w:proofErr w:type="spellStart"/>
      <w:r w:rsidR="00845369">
        <w:rPr>
          <w:sz w:val="20"/>
          <w:szCs w:val="20"/>
          <w:lang w:val="en-US"/>
        </w:rPr>
        <w:t>odnosu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845369">
        <w:rPr>
          <w:sz w:val="20"/>
          <w:szCs w:val="20"/>
          <w:lang w:val="en-US"/>
        </w:rPr>
        <w:t>na</w:t>
      </w:r>
      <w:proofErr w:type="spellEnd"/>
      <w:proofErr w:type="gram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isti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mjesec</w:t>
      </w:r>
      <w:proofErr w:type="spellEnd"/>
      <w:r w:rsidR="00845369">
        <w:rPr>
          <w:sz w:val="20"/>
          <w:szCs w:val="20"/>
          <w:lang w:val="en-US"/>
        </w:rPr>
        <w:t xml:space="preserve"> 2015. </w:t>
      </w:r>
      <w:proofErr w:type="spellStart"/>
      <w:proofErr w:type="gramStart"/>
      <w:r w:rsidR="00845369">
        <w:rPr>
          <w:sz w:val="20"/>
          <w:szCs w:val="20"/>
          <w:lang w:val="en-US"/>
        </w:rPr>
        <w:t>godine</w:t>
      </w:r>
      <w:proofErr w:type="spellEnd"/>
      <w:r w:rsidR="00845369">
        <w:rPr>
          <w:sz w:val="20"/>
          <w:szCs w:val="20"/>
          <w:lang w:val="en-US"/>
        </w:rPr>
        <w:t xml:space="preserve">  </w:t>
      </w:r>
      <w:proofErr w:type="spellStart"/>
      <w:r w:rsidR="00845369">
        <w:rPr>
          <w:sz w:val="20"/>
          <w:szCs w:val="20"/>
          <w:lang w:val="en-US"/>
        </w:rPr>
        <w:t>zabilježen</w:t>
      </w:r>
      <w:proofErr w:type="spellEnd"/>
      <w:proofErr w:type="gramEnd"/>
      <w:r w:rsidR="00845369">
        <w:rPr>
          <w:sz w:val="20"/>
          <w:szCs w:val="20"/>
          <w:lang w:val="en-US"/>
        </w:rPr>
        <w:t xml:space="preserve"> je </w:t>
      </w:r>
      <w:proofErr w:type="spellStart"/>
      <w:r w:rsidR="00845369">
        <w:rPr>
          <w:sz w:val="20"/>
          <w:szCs w:val="20"/>
          <w:lang w:val="en-US"/>
        </w:rPr>
        <w:t>kod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poreza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na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dodatu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vrijednosti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i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doprinosa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i</w:t>
      </w:r>
      <w:proofErr w:type="spellEnd"/>
      <w:r w:rsidR="00845369">
        <w:rPr>
          <w:sz w:val="20"/>
          <w:szCs w:val="20"/>
          <w:lang w:val="en-US"/>
        </w:rPr>
        <w:t xml:space="preserve"> to 17,7% I 15,3% </w:t>
      </w:r>
      <w:proofErr w:type="spellStart"/>
      <w:r w:rsidR="00845369">
        <w:rPr>
          <w:sz w:val="20"/>
          <w:szCs w:val="20"/>
          <w:lang w:val="en-US"/>
        </w:rPr>
        <w:t>respektivno</w:t>
      </w:r>
      <w:proofErr w:type="spellEnd"/>
      <w:r w:rsidR="00845369">
        <w:rPr>
          <w:sz w:val="20"/>
          <w:szCs w:val="20"/>
          <w:lang w:val="en-US"/>
        </w:rPr>
        <w:t xml:space="preserve">. </w:t>
      </w:r>
    </w:p>
    <w:p w:rsidR="00845369" w:rsidRDefault="00845369" w:rsidP="00262CD5">
      <w:pPr>
        <w:autoSpaceDE w:val="0"/>
        <w:autoSpaceDN w:val="0"/>
        <w:rPr>
          <w:sz w:val="20"/>
          <w:szCs w:val="20"/>
          <w:lang w:val="en-US"/>
        </w:rPr>
      </w:pPr>
    </w:p>
    <w:p w:rsidR="00845369" w:rsidRDefault="00845369" w:rsidP="00262CD5">
      <w:pPr>
        <w:autoSpaceDE w:val="0"/>
        <w:autoSpaceDN w:val="0"/>
        <w:rPr>
          <w:sz w:val="20"/>
          <w:szCs w:val="20"/>
          <w:lang w:val="en-US"/>
        </w:rPr>
      </w:pPr>
    </w:p>
    <w:p w:rsidR="00262CD5" w:rsidRPr="00262CD5" w:rsidRDefault="00262CD5" w:rsidP="00262CD5">
      <w:pPr>
        <w:autoSpaceDE w:val="0"/>
        <w:autoSpaceDN w:val="0"/>
        <w:rPr>
          <w:sz w:val="20"/>
          <w:szCs w:val="20"/>
          <w:lang w:val="en-US"/>
        </w:rPr>
      </w:pPr>
      <w:proofErr w:type="spellStart"/>
      <w:r w:rsidRPr="00262CD5">
        <w:rPr>
          <w:sz w:val="20"/>
          <w:szCs w:val="20"/>
          <w:lang w:val="en-US"/>
        </w:rPr>
        <w:t>Izdaci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budžeta</w:t>
      </w:r>
      <w:proofErr w:type="spellEnd"/>
      <w:r w:rsidRPr="00262CD5">
        <w:rPr>
          <w:sz w:val="20"/>
          <w:szCs w:val="20"/>
          <w:lang w:val="en-US"/>
        </w:rPr>
        <w:t xml:space="preserve"> u </w:t>
      </w:r>
      <w:proofErr w:type="spellStart"/>
      <w:r w:rsidRPr="00262CD5">
        <w:rPr>
          <w:sz w:val="20"/>
          <w:szCs w:val="20"/>
          <w:lang w:val="en-US"/>
        </w:rPr>
        <w:t>martu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tekuće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godine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iznosili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su</w:t>
      </w:r>
      <w:proofErr w:type="spellEnd"/>
      <w:r w:rsidR="00A63D86">
        <w:rPr>
          <w:sz w:val="20"/>
          <w:szCs w:val="20"/>
          <w:lang w:val="en-US"/>
        </w:rPr>
        <w:t xml:space="preserve"> </w:t>
      </w:r>
      <w:r w:rsidRPr="00262CD5">
        <w:rPr>
          <w:sz w:val="20"/>
          <w:szCs w:val="20"/>
          <w:lang w:val="en-US"/>
        </w:rPr>
        <w:t>131</w:t>
      </w:r>
      <w:proofErr w:type="gramStart"/>
      <w:r w:rsidRPr="00262CD5">
        <w:rPr>
          <w:sz w:val="20"/>
          <w:szCs w:val="20"/>
          <w:lang w:val="en-US"/>
        </w:rPr>
        <w:t>,1</w:t>
      </w:r>
      <w:proofErr w:type="gramEnd"/>
      <w:r w:rsidRPr="00262CD5">
        <w:rPr>
          <w:sz w:val="20"/>
          <w:szCs w:val="20"/>
          <w:lang w:val="en-US"/>
        </w:rPr>
        <w:t xml:space="preserve"> mil.€, </w:t>
      </w:r>
      <w:proofErr w:type="spellStart"/>
      <w:r w:rsidRPr="00262CD5">
        <w:rPr>
          <w:sz w:val="20"/>
          <w:szCs w:val="20"/>
          <w:lang w:val="en-US"/>
        </w:rPr>
        <w:t>što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pr</w:t>
      </w:r>
      <w:r w:rsidR="00A63D86">
        <w:rPr>
          <w:sz w:val="20"/>
          <w:szCs w:val="20"/>
          <w:lang w:val="en-US"/>
        </w:rPr>
        <w:t>edstavlja</w:t>
      </w:r>
      <w:proofErr w:type="spellEnd"/>
      <w:r w:rsidR="00A63D86">
        <w:rPr>
          <w:sz w:val="20"/>
          <w:szCs w:val="20"/>
          <w:lang w:val="en-US"/>
        </w:rPr>
        <w:t xml:space="preserve"> </w:t>
      </w:r>
      <w:proofErr w:type="spellStart"/>
      <w:r w:rsidR="00A63D86">
        <w:rPr>
          <w:sz w:val="20"/>
          <w:szCs w:val="20"/>
          <w:lang w:val="en-US"/>
        </w:rPr>
        <w:t>rast</w:t>
      </w:r>
      <w:proofErr w:type="spellEnd"/>
      <w:r w:rsidR="00A63D86">
        <w:rPr>
          <w:sz w:val="20"/>
          <w:szCs w:val="20"/>
          <w:lang w:val="en-US"/>
        </w:rPr>
        <w:t xml:space="preserve"> </w:t>
      </w:r>
      <w:proofErr w:type="spellStart"/>
      <w:r w:rsidR="00A63D86">
        <w:rPr>
          <w:sz w:val="20"/>
          <w:szCs w:val="20"/>
          <w:lang w:val="en-US"/>
        </w:rPr>
        <w:t>od</w:t>
      </w:r>
      <w:proofErr w:type="spellEnd"/>
      <w:r w:rsidR="00A63D86">
        <w:rPr>
          <w:sz w:val="20"/>
          <w:szCs w:val="20"/>
          <w:lang w:val="en-US"/>
        </w:rPr>
        <w:t xml:space="preserve"> 13,8% </w:t>
      </w:r>
      <w:r w:rsidR="00845369">
        <w:rPr>
          <w:sz w:val="20"/>
          <w:szCs w:val="20"/>
          <w:lang w:val="en-US"/>
        </w:rPr>
        <w:t xml:space="preserve">u </w:t>
      </w:r>
      <w:proofErr w:type="spellStart"/>
      <w:r w:rsidR="00845369">
        <w:rPr>
          <w:sz w:val="20"/>
          <w:szCs w:val="20"/>
          <w:lang w:val="en-US"/>
        </w:rPr>
        <w:t>odnosu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na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isti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mjesec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prošle</w:t>
      </w:r>
      <w:proofErr w:type="spellEnd"/>
      <w:r w:rsidR="00845369">
        <w:rPr>
          <w:sz w:val="20"/>
          <w:szCs w:val="20"/>
          <w:lang w:val="en-US"/>
        </w:rPr>
        <w:t xml:space="preserve"> </w:t>
      </w:r>
      <w:proofErr w:type="spellStart"/>
      <w:r w:rsidR="00845369">
        <w:rPr>
          <w:sz w:val="20"/>
          <w:szCs w:val="20"/>
          <w:lang w:val="en-US"/>
        </w:rPr>
        <w:t>godine</w:t>
      </w:r>
      <w:proofErr w:type="spellEnd"/>
      <w:r w:rsidR="00A63D86">
        <w:rPr>
          <w:sz w:val="20"/>
          <w:szCs w:val="20"/>
          <w:lang w:val="en-US"/>
        </w:rPr>
        <w:t xml:space="preserve">. </w:t>
      </w:r>
      <w:proofErr w:type="gramStart"/>
      <w:r w:rsidRPr="00262CD5">
        <w:rPr>
          <w:sz w:val="20"/>
          <w:szCs w:val="20"/>
          <w:lang w:val="en-US"/>
        </w:rPr>
        <w:t xml:space="preserve">U </w:t>
      </w:r>
      <w:proofErr w:type="spellStart"/>
      <w:r w:rsidRPr="00262CD5">
        <w:rPr>
          <w:sz w:val="20"/>
          <w:szCs w:val="20"/>
          <w:lang w:val="en-US"/>
        </w:rPr>
        <w:t>martu</w:t>
      </w:r>
      <w:proofErr w:type="spellEnd"/>
      <w:r w:rsidRPr="00262CD5">
        <w:rPr>
          <w:sz w:val="20"/>
          <w:szCs w:val="20"/>
          <w:lang w:val="en-US"/>
        </w:rPr>
        <w:t xml:space="preserve"> 2016.</w:t>
      </w:r>
      <w:proofErr w:type="gram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godine</w:t>
      </w:r>
      <w:proofErr w:type="spellEnd"/>
      <w:proofErr w:type="gramStart"/>
      <w:r w:rsidRPr="00262CD5">
        <w:rPr>
          <w:sz w:val="20"/>
          <w:szCs w:val="20"/>
          <w:lang w:val="en-US"/>
        </w:rPr>
        <w:t xml:space="preserve">  </w:t>
      </w:r>
      <w:proofErr w:type="spellStart"/>
      <w:r w:rsidRPr="00262CD5">
        <w:rPr>
          <w:sz w:val="20"/>
          <w:szCs w:val="20"/>
          <w:lang w:val="en-US"/>
        </w:rPr>
        <w:t>zabilježen</w:t>
      </w:r>
      <w:proofErr w:type="spellEnd"/>
      <w:proofErr w:type="gramEnd"/>
      <w:r w:rsidRPr="00262CD5">
        <w:rPr>
          <w:sz w:val="20"/>
          <w:szCs w:val="20"/>
          <w:lang w:val="en-US"/>
        </w:rPr>
        <w:t xml:space="preserve"> je </w:t>
      </w:r>
      <w:proofErr w:type="spellStart"/>
      <w:r w:rsidRPr="00262CD5">
        <w:rPr>
          <w:sz w:val="20"/>
          <w:szCs w:val="20"/>
          <w:lang w:val="en-US"/>
        </w:rPr>
        <w:t>gotovinsk</w:t>
      </w:r>
      <w:r w:rsidR="00396E9B">
        <w:rPr>
          <w:sz w:val="20"/>
          <w:szCs w:val="20"/>
          <w:lang w:val="en-US"/>
        </w:rPr>
        <w:t>i</w:t>
      </w:r>
      <w:proofErr w:type="spellEnd"/>
      <w:r w:rsidR="00396E9B">
        <w:rPr>
          <w:sz w:val="20"/>
          <w:szCs w:val="20"/>
          <w:lang w:val="en-US"/>
        </w:rPr>
        <w:t xml:space="preserve"> </w:t>
      </w:r>
      <w:proofErr w:type="spellStart"/>
      <w:r w:rsidR="00396E9B">
        <w:rPr>
          <w:sz w:val="20"/>
          <w:szCs w:val="20"/>
          <w:lang w:val="en-US"/>
        </w:rPr>
        <w:t>budžetski</w:t>
      </w:r>
      <w:proofErr w:type="spellEnd"/>
      <w:r w:rsidR="00396E9B">
        <w:rPr>
          <w:sz w:val="20"/>
          <w:szCs w:val="20"/>
          <w:lang w:val="en-US"/>
        </w:rPr>
        <w:t xml:space="preserve"> deficit </w:t>
      </w:r>
      <w:proofErr w:type="spellStart"/>
      <w:r w:rsidR="00396E9B">
        <w:rPr>
          <w:sz w:val="20"/>
          <w:szCs w:val="20"/>
          <w:lang w:val="en-US"/>
        </w:rPr>
        <w:t>od</w:t>
      </w:r>
      <w:proofErr w:type="spellEnd"/>
      <w:r w:rsidR="00396E9B">
        <w:rPr>
          <w:sz w:val="20"/>
          <w:szCs w:val="20"/>
          <w:lang w:val="en-US"/>
        </w:rPr>
        <w:t xml:space="preserve"> 9,6 mil.€. </w:t>
      </w:r>
      <w:proofErr w:type="spellStart"/>
      <w:r w:rsidRPr="00262CD5">
        <w:rPr>
          <w:sz w:val="20"/>
          <w:szCs w:val="20"/>
          <w:lang w:val="en-US"/>
        </w:rPr>
        <w:t>Državni</w:t>
      </w:r>
      <w:proofErr w:type="spellEnd"/>
      <w:r w:rsidRPr="00262CD5">
        <w:rPr>
          <w:sz w:val="20"/>
          <w:szCs w:val="20"/>
          <w:lang w:val="en-US"/>
        </w:rPr>
        <w:t xml:space="preserve"> dug (</w:t>
      </w:r>
      <w:proofErr w:type="spellStart"/>
      <w:r w:rsidRPr="00262CD5">
        <w:rPr>
          <w:sz w:val="20"/>
          <w:szCs w:val="20"/>
          <w:lang w:val="en-US"/>
        </w:rPr>
        <w:t>uključujući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depozite</w:t>
      </w:r>
      <w:proofErr w:type="spellEnd"/>
      <w:r w:rsidRPr="00262CD5">
        <w:rPr>
          <w:sz w:val="20"/>
          <w:szCs w:val="20"/>
          <w:lang w:val="en-US"/>
        </w:rPr>
        <w:t xml:space="preserve">) </w:t>
      </w:r>
      <w:proofErr w:type="spellStart"/>
      <w:proofErr w:type="gramStart"/>
      <w:r w:rsidRPr="00262CD5">
        <w:rPr>
          <w:sz w:val="20"/>
          <w:szCs w:val="20"/>
          <w:lang w:val="en-US"/>
        </w:rPr>
        <w:t>na</w:t>
      </w:r>
      <w:proofErr w:type="spellEnd"/>
      <w:proofErr w:type="gram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kraju</w:t>
      </w:r>
      <w:proofErr w:type="spellEnd"/>
      <w:r w:rsidRPr="00262CD5">
        <w:rPr>
          <w:sz w:val="20"/>
          <w:szCs w:val="20"/>
          <w:lang w:val="en-US"/>
        </w:rPr>
        <w:t xml:space="preserve"> 2015.</w:t>
      </w:r>
      <w:r w:rsidR="00396E9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262CD5">
        <w:rPr>
          <w:sz w:val="20"/>
          <w:szCs w:val="20"/>
          <w:lang w:val="en-US"/>
        </w:rPr>
        <w:t>godine</w:t>
      </w:r>
      <w:proofErr w:type="spellEnd"/>
      <w:proofErr w:type="gram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iznos</w:t>
      </w:r>
      <w:r w:rsidR="00396E9B">
        <w:rPr>
          <w:sz w:val="20"/>
          <w:szCs w:val="20"/>
          <w:lang w:val="en-US"/>
        </w:rPr>
        <w:t>io</w:t>
      </w:r>
      <w:proofErr w:type="spellEnd"/>
      <w:r w:rsidR="00396E9B">
        <w:rPr>
          <w:sz w:val="20"/>
          <w:szCs w:val="20"/>
          <w:lang w:val="en-US"/>
        </w:rPr>
        <w:t xml:space="preserve"> je 2.220,3 mil.€, </w:t>
      </w:r>
      <w:proofErr w:type="spellStart"/>
      <w:r w:rsidR="00396E9B">
        <w:rPr>
          <w:sz w:val="20"/>
          <w:szCs w:val="20"/>
          <w:lang w:val="en-US"/>
        </w:rPr>
        <w:t>ili</w:t>
      </w:r>
      <w:proofErr w:type="spellEnd"/>
      <w:r w:rsidR="00396E9B">
        <w:rPr>
          <w:sz w:val="20"/>
          <w:szCs w:val="20"/>
          <w:lang w:val="en-US"/>
        </w:rPr>
        <w:t xml:space="preserve"> 61,3 % </w:t>
      </w:r>
      <w:proofErr w:type="spellStart"/>
      <w:r w:rsidR="00396E9B">
        <w:rPr>
          <w:sz w:val="20"/>
          <w:szCs w:val="20"/>
          <w:lang w:val="en-US"/>
        </w:rPr>
        <w:t>procijenjenog</w:t>
      </w:r>
      <w:proofErr w:type="spellEnd"/>
      <w:r w:rsidR="00396E9B">
        <w:rPr>
          <w:sz w:val="20"/>
          <w:szCs w:val="20"/>
          <w:lang w:val="en-US"/>
        </w:rPr>
        <w:t xml:space="preserve"> BDP-a. </w:t>
      </w:r>
      <w:proofErr w:type="spellStart"/>
      <w:r w:rsidRPr="00262CD5">
        <w:rPr>
          <w:sz w:val="20"/>
          <w:szCs w:val="20"/>
          <w:lang w:val="en-US"/>
        </w:rPr>
        <w:t>Ino</w:t>
      </w:r>
      <w:proofErr w:type="spellEnd"/>
      <w:r w:rsidRPr="00262CD5">
        <w:rPr>
          <w:sz w:val="20"/>
          <w:szCs w:val="20"/>
          <w:lang w:val="en-US"/>
        </w:rPr>
        <w:t xml:space="preserve">–dug </w:t>
      </w:r>
      <w:proofErr w:type="spellStart"/>
      <w:r w:rsidRPr="00262CD5">
        <w:rPr>
          <w:sz w:val="20"/>
          <w:szCs w:val="20"/>
          <w:lang w:val="en-US"/>
        </w:rPr>
        <w:t>iznosi</w:t>
      </w:r>
      <w:proofErr w:type="spellEnd"/>
      <w:r w:rsidRPr="00262CD5">
        <w:rPr>
          <w:sz w:val="20"/>
          <w:szCs w:val="20"/>
          <w:lang w:val="en-US"/>
        </w:rPr>
        <w:t xml:space="preserve"> 1.957,3</w:t>
      </w:r>
      <w:r w:rsidR="00396E9B">
        <w:rPr>
          <w:sz w:val="20"/>
          <w:szCs w:val="20"/>
          <w:lang w:val="en-US"/>
        </w:rPr>
        <w:t xml:space="preserve"> </w:t>
      </w:r>
      <w:r w:rsidRPr="00262CD5">
        <w:rPr>
          <w:sz w:val="20"/>
          <w:szCs w:val="20"/>
          <w:lang w:val="en-US"/>
        </w:rPr>
        <w:t>mil</w:t>
      </w:r>
      <w:proofErr w:type="gramStart"/>
      <w:r w:rsidRPr="00262CD5">
        <w:rPr>
          <w:sz w:val="20"/>
          <w:szCs w:val="20"/>
          <w:lang w:val="en-US"/>
        </w:rPr>
        <w:t>.€</w:t>
      </w:r>
      <w:proofErr w:type="gramEnd"/>
      <w:r w:rsidRPr="00262CD5">
        <w:rPr>
          <w:sz w:val="20"/>
          <w:szCs w:val="20"/>
          <w:lang w:val="en-US"/>
        </w:rPr>
        <w:t xml:space="preserve">, </w:t>
      </w:r>
      <w:proofErr w:type="spellStart"/>
      <w:r w:rsidRPr="00262CD5">
        <w:rPr>
          <w:sz w:val="20"/>
          <w:szCs w:val="20"/>
          <w:lang w:val="en-US"/>
        </w:rPr>
        <w:t>unutrašnji</w:t>
      </w:r>
      <w:proofErr w:type="spellEnd"/>
      <w:r w:rsidRPr="00262CD5">
        <w:rPr>
          <w:sz w:val="20"/>
          <w:szCs w:val="20"/>
          <w:lang w:val="en-US"/>
        </w:rPr>
        <w:t xml:space="preserve"> dug 320,3</w:t>
      </w:r>
      <w:r w:rsidR="00396E9B">
        <w:rPr>
          <w:sz w:val="20"/>
          <w:szCs w:val="20"/>
          <w:lang w:val="en-US"/>
        </w:rPr>
        <w:t xml:space="preserve"> </w:t>
      </w:r>
      <w:r w:rsidRPr="00262CD5">
        <w:rPr>
          <w:sz w:val="20"/>
          <w:szCs w:val="20"/>
          <w:lang w:val="en-US"/>
        </w:rPr>
        <w:t xml:space="preserve">mil.€, </w:t>
      </w:r>
      <w:proofErr w:type="spellStart"/>
      <w:r w:rsidRPr="00262CD5">
        <w:rPr>
          <w:sz w:val="20"/>
          <w:szCs w:val="20"/>
          <w:lang w:val="en-US"/>
        </w:rPr>
        <w:t>dok</w:t>
      </w:r>
      <w:proofErr w:type="spellEnd"/>
      <w:r w:rsidRPr="00262CD5">
        <w:rPr>
          <w:sz w:val="20"/>
          <w:szCs w:val="20"/>
          <w:lang w:val="en-US"/>
        </w:rPr>
        <w:t xml:space="preserve"> se </w:t>
      </w:r>
      <w:proofErr w:type="spellStart"/>
      <w:r w:rsidRPr="00262CD5">
        <w:rPr>
          <w:sz w:val="20"/>
          <w:szCs w:val="20"/>
          <w:lang w:val="en-US"/>
        </w:rPr>
        <w:t>na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depozite</w:t>
      </w:r>
      <w:proofErr w:type="spellEnd"/>
      <w:r w:rsidRPr="00262CD5">
        <w:rPr>
          <w:sz w:val="20"/>
          <w:szCs w:val="20"/>
          <w:lang w:val="en-US"/>
        </w:rPr>
        <w:t xml:space="preserve"> </w:t>
      </w:r>
      <w:proofErr w:type="spellStart"/>
      <w:r w:rsidRPr="00262CD5">
        <w:rPr>
          <w:sz w:val="20"/>
          <w:szCs w:val="20"/>
          <w:lang w:val="en-US"/>
        </w:rPr>
        <w:t>odnosi</w:t>
      </w:r>
      <w:proofErr w:type="spellEnd"/>
      <w:r w:rsidRPr="00262CD5">
        <w:rPr>
          <w:sz w:val="20"/>
          <w:szCs w:val="20"/>
          <w:lang w:val="en-US"/>
        </w:rPr>
        <w:t xml:space="preserve"> 57,3 mil.€.</w:t>
      </w:r>
    </w:p>
    <w:p w:rsidR="004A28F5" w:rsidRDefault="008D0CF1" w:rsidP="004A28F5">
      <w:pPr>
        <w:rPr>
          <w:b/>
        </w:rPr>
      </w:pPr>
      <w:r w:rsidRPr="00CC5BC9">
        <w:rPr>
          <w:b/>
        </w:rPr>
        <w:t>Monetarni sektor</w:t>
      </w:r>
      <w:r w:rsidR="008F5166">
        <w:rPr>
          <w:b/>
        </w:rPr>
        <w:t xml:space="preserve"> </w:t>
      </w:r>
    </w:p>
    <w:p w:rsidR="004A28F5" w:rsidRPr="00DA0835" w:rsidRDefault="004A28F5" w:rsidP="007B151B">
      <w:pPr>
        <w:rPr>
          <w:b/>
        </w:rPr>
      </w:pPr>
      <w:r>
        <w:rPr>
          <w:noProof/>
          <w:sz w:val="20"/>
          <w:szCs w:val="20"/>
        </w:rPr>
        <w:t>Ukupan kapital banak</w:t>
      </w:r>
      <w:r w:rsidR="00396E9B">
        <w:rPr>
          <w:noProof/>
          <w:sz w:val="20"/>
          <w:szCs w:val="20"/>
        </w:rPr>
        <w:t>a u martu,je iznosio 469,9 mil.</w:t>
      </w:r>
      <w:r>
        <w:rPr>
          <w:noProof/>
          <w:sz w:val="20"/>
          <w:szCs w:val="20"/>
        </w:rPr>
        <w:t xml:space="preserve">€ i povećan je za </w:t>
      </w:r>
      <w:r w:rsidR="00396E9B">
        <w:rPr>
          <w:noProof/>
          <w:sz w:val="20"/>
          <w:szCs w:val="20"/>
        </w:rPr>
        <w:t xml:space="preserve">1,6% u odnosu na kraj prethodne godine. </w:t>
      </w:r>
      <w:r>
        <w:rPr>
          <w:noProof/>
          <w:sz w:val="20"/>
          <w:szCs w:val="20"/>
        </w:rPr>
        <w:t xml:space="preserve">Sredstva deponovana u bankama su povećana su za 12,8% u odnosu na isti mjesec prethodne godine, pri čemu su depoziti stanovništva povećani za 6,5% a depoziti privrede 27,3% u istom periodu. </w:t>
      </w:r>
      <w:r w:rsidRPr="00344093">
        <w:rPr>
          <w:noProof/>
          <w:sz w:val="20"/>
          <w:szCs w:val="20"/>
        </w:rPr>
        <w:t>Ukup</w:t>
      </w:r>
      <w:r>
        <w:rPr>
          <w:noProof/>
          <w:sz w:val="20"/>
          <w:szCs w:val="20"/>
        </w:rPr>
        <w:t xml:space="preserve">no odobreni </w:t>
      </w:r>
      <w:r w:rsidRPr="001400F3">
        <w:rPr>
          <w:noProof/>
          <w:sz w:val="20"/>
          <w:szCs w:val="20"/>
        </w:rPr>
        <w:t>krediti</w:t>
      </w:r>
      <w:r>
        <w:rPr>
          <w:noProof/>
          <w:sz w:val="20"/>
          <w:szCs w:val="20"/>
        </w:rPr>
        <w:t xml:space="preserve"> bana</w:t>
      </w:r>
      <w:r w:rsidR="00396E9B">
        <w:rPr>
          <w:noProof/>
          <w:sz w:val="20"/>
          <w:szCs w:val="20"/>
        </w:rPr>
        <w:t>ka su sa iznosom od 2.374,6</w:t>
      </w:r>
      <w:r w:rsidR="00472419">
        <w:rPr>
          <w:noProof/>
          <w:sz w:val="20"/>
          <w:szCs w:val="20"/>
        </w:rPr>
        <w:t xml:space="preserve"> </w:t>
      </w:r>
      <w:r w:rsidR="00396E9B">
        <w:rPr>
          <w:noProof/>
          <w:sz w:val="20"/>
          <w:szCs w:val="20"/>
        </w:rPr>
        <w:t>mil.</w:t>
      </w:r>
      <w:r>
        <w:rPr>
          <w:noProof/>
          <w:sz w:val="20"/>
          <w:szCs w:val="20"/>
        </w:rPr>
        <w:t>€ ostvarili rast od 33,8 mil.</w:t>
      </w:r>
      <w:r w:rsidR="00396E9B">
        <w:rPr>
          <w:noProof/>
          <w:sz w:val="20"/>
          <w:szCs w:val="20"/>
        </w:rPr>
        <w:t>€ ili 1,4%, na godišnjem nivou</w:t>
      </w:r>
      <w:r>
        <w:rPr>
          <w:noProof/>
          <w:sz w:val="20"/>
          <w:szCs w:val="20"/>
        </w:rPr>
        <w:t>.</w:t>
      </w:r>
      <w:r w:rsidR="00396E9B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Ukupni </w:t>
      </w:r>
      <w:r w:rsidRPr="001400F3">
        <w:rPr>
          <w:noProof/>
          <w:sz w:val="20"/>
          <w:szCs w:val="20"/>
        </w:rPr>
        <w:t>novoodobreni krediti</w:t>
      </w:r>
      <w:r>
        <w:rPr>
          <w:noProof/>
          <w:sz w:val="20"/>
          <w:szCs w:val="20"/>
        </w:rPr>
        <w:t xml:space="preserve"> za tri mjeseca ov</w:t>
      </w:r>
      <w:r w:rsidR="00396E9B">
        <w:rPr>
          <w:noProof/>
          <w:sz w:val="20"/>
          <w:szCs w:val="20"/>
        </w:rPr>
        <w:t>e godine su iznosili 250,0 mil.</w:t>
      </w:r>
      <w:r>
        <w:rPr>
          <w:noProof/>
          <w:sz w:val="20"/>
          <w:szCs w:val="20"/>
        </w:rPr>
        <w:t xml:space="preserve">€, što  predstavlja rast od 31,4% </w:t>
      </w:r>
      <w:r w:rsidR="00472419">
        <w:rPr>
          <w:noProof/>
          <w:sz w:val="20"/>
          <w:szCs w:val="20"/>
        </w:rPr>
        <w:t>g-n-g</w:t>
      </w:r>
      <w:r>
        <w:rPr>
          <w:noProof/>
          <w:sz w:val="20"/>
          <w:szCs w:val="20"/>
        </w:rPr>
        <w:t>.</w:t>
      </w:r>
      <w:r w:rsidR="0047241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Krajem marta od 78.039 pravnih lica i preduzetnika, u b</w:t>
      </w:r>
      <w:r w:rsidR="00472419">
        <w:rPr>
          <w:noProof/>
          <w:sz w:val="20"/>
          <w:szCs w:val="20"/>
        </w:rPr>
        <w:t>lokadi je bilo 15.100 ili 19,3%</w:t>
      </w:r>
      <w:r>
        <w:rPr>
          <w:noProof/>
          <w:sz w:val="20"/>
          <w:szCs w:val="20"/>
        </w:rPr>
        <w:t>.</w:t>
      </w:r>
      <w:r w:rsidR="0047241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Ukupan dug po osnovu koga je izvršena bloka</w:t>
      </w:r>
      <w:r w:rsidR="00472419">
        <w:rPr>
          <w:noProof/>
          <w:sz w:val="20"/>
          <w:szCs w:val="20"/>
        </w:rPr>
        <w:t>da računa je iznosio 547,0 mil.</w:t>
      </w:r>
      <w:r>
        <w:rPr>
          <w:noProof/>
          <w:sz w:val="20"/>
          <w:szCs w:val="20"/>
        </w:rPr>
        <w:t xml:space="preserve">€, što je za 1,87% manje u odnosu na prethodni mjesec. </w:t>
      </w:r>
    </w:p>
    <w:p w:rsidR="00DA0835" w:rsidRDefault="00213F9C" w:rsidP="007B151B">
      <w:pPr>
        <w:rPr>
          <w:b/>
        </w:rPr>
      </w:pPr>
      <w:r w:rsidRPr="00CC5BC9">
        <w:rPr>
          <w:b/>
        </w:rPr>
        <w:t>Spoljnotrgovinska razmjena</w:t>
      </w:r>
      <w:r w:rsidR="008F5166">
        <w:rPr>
          <w:b/>
        </w:rPr>
        <w:t xml:space="preserve"> </w:t>
      </w:r>
    </w:p>
    <w:p w:rsidR="004A28F5" w:rsidRDefault="00A63D86" w:rsidP="007B151B">
      <w:pPr>
        <w:rPr>
          <w:b/>
        </w:rPr>
      </w:pPr>
      <w:r w:rsidRPr="0028416B">
        <w:rPr>
          <w:rFonts w:cstheme="minorHAnsi"/>
          <w:sz w:val="20"/>
          <w:szCs w:val="20"/>
        </w:rPr>
        <w:t>Eksterna robna razmjena Crne Gore u prvom kvartalu 2016. evidentira ubrzavanje pada izvoza pod uticajem ekonomskih problema sektora obojene metalurgije i niskih cijena aluminijuma na međunarodnom tržištu. Ukupna spoljnotrgovinska razmjena iznosila je 432,9 mil.€, što je na nivou razmjene za prvi kvartal 2015. Izvoz robe zabilježio je pad od 21,4% i iznosio 58,6 mil.€. Veliki pad izvoza posljedica je smanjenja izvoza aluminijuma (35,9%), električne energije (39,1%), gvožđa i čelika (25,1%) i hrane i živih životinja (25,7%). Uvoz (374,3 mil.€.) je 4,8% veći, dok je</w:t>
      </w:r>
      <w:r>
        <w:rPr>
          <w:rFonts w:cstheme="minorHAnsi"/>
          <w:sz w:val="20"/>
          <w:szCs w:val="20"/>
        </w:rPr>
        <w:t xml:space="preserve"> deficit robne razmjene (315,3</w:t>
      </w:r>
      <w:r w:rsidR="008B5248">
        <w:rPr>
          <w:rFonts w:cstheme="minorHAnsi"/>
          <w:sz w:val="20"/>
          <w:szCs w:val="20"/>
        </w:rPr>
        <w:t xml:space="preserve"> </w:t>
      </w:r>
      <w:r w:rsidRPr="0028416B">
        <w:rPr>
          <w:rFonts w:cstheme="minorHAnsi"/>
          <w:sz w:val="20"/>
          <w:szCs w:val="20"/>
        </w:rPr>
        <w:t>mil.€.) bio viši za 11,8%.</w:t>
      </w:r>
    </w:p>
    <w:p w:rsidR="00DA0835" w:rsidRDefault="008D0CF1" w:rsidP="007B151B">
      <w:pPr>
        <w:rPr>
          <w:b/>
          <w:noProof/>
        </w:rPr>
      </w:pPr>
      <w:r w:rsidRPr="00CC5BC9">
        <w:rPr>
          <w:b/>
          <w:noProof/>
        </w:rPr>
        <w:t>Strane direktne investicije</w:t>
      </w:r>
      <w:r w:rsidR="008F5166">
        <w:rPr>
          <w:b/>
          <w:noProof/>
        </w:rPr>
        <w:t xml:space="preserve"> </w:t>
      </w:r>
    </w:p>
    <w:p w:rsidR="00F71E4F" w:rsidRDefault="004A28F5" w:rsidP="007B151B">
      <w:r w:rsidRPr="004A28F5">
        <w:rPr>
          <w:noProof/>
          <w:sz w:val="20"/>
          <w:szCs w:val="20"/>
        </w:rPr>
        <w:t>Prema preliminarnim podacima CBCG, u periodu januar – februar 2016. zabilježen je neto odliv SDI u iznosu od 18,3 mil.€. Relativno visok ukupni priliv SDI za pomenuti period od 188,4 mil.€, pratio je ostvareni visoki odliv u vrijednosti od 206,7 mil.€. Najveći dio odliva se odnosi na isplatu dividende iz akumulirane dobiti, koja se evidentira kao smanjenje SDI</w:t>
      </w:r>
      <w:r w:rsidR="00D84EE5">
        <w:rPr>
          <w:noProof/>
          <w:sz w:val="20"/>
          <w:szCs w:val="20"/>
        </w:rPr>
        <w:t xml:space="preserve"> prema metodologiji MMF-a.</w:t>
      </w:r>
    </w:p>
    <w:p w:rsidR="00845369" w:rsidRDefault="00845369" w:rsidP="007B151B"/>
    <w:p w:rsidR="008F3A0F" w:rsidRPr="00426C6F" w:rsidRDefault="008F3A0F" w:rsidP="007B151B"/>
    <w:p w:rsidR="00B171C8" w:rsidRDefault="00E10840" w:rsidP="007B151B">
      <w:pPr>
        <w:spacing w:line="276" w:lineRule="auto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35pt;margin-top:-.4pt;width:168.85pt;height:29pt;z-index:251660288" stroked="f">
            <v:textbox style="mso-next-textbox:#_x0000_s1026" inset="0,0,0,0">
              <w:txbxContent>
                <w:p w:rsidR="00CC5BC9" w:rsidRPr="007D3C8A" w:rsidRDefault="00CC5BC9" w:rsidP="00CC5BC9">
                  <w:pPr>
                    <w:pStyle w:val="Caption"/>
                    <w:rPr>
                      <w:noProof/>
                    </w:rPr>
                  </w:pPr>
                  <w:r w:rsidRPr="007D3C8A">
                    <w:t xml:space="preserve">Grafik </w:t>
                  </w:r>
                  <w:r w:rsidR="00B171C8" w:rsidRPr="007D3C8A">
                    <w:t>1</w:t>
                  </w:r>
                  <w:r w:rsidR="00957B61" w:rsidRPr="007D3C8A">
                    <w:t xml:space="preserve"> </w:t>
                  </w:r>
                  <w:r w:rsidR="00F71E4F">
                    <w:t>Industrija Q1 2016</w:t>
                  </w:r>
                  <w:r w:rsidR="0083533D">
                    <w:t>, stope rasta, %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70.15pt;margin-top:-.4pt;width:192.65pt;height:13.7pt;z-index:251663360" stroked="f">
            <v:textbox style="mso-next-textbox:#_x0000_s1027" inset="0,0,0,0">
              <w:txbxContent>
                <w:p w:rsidR="00CC5BC9" w:rsidRPr="006F47A8" w:rsidRDefault="00CC5BC9" w:rsidP="00CC5BC9">
                  <w:pPr>
                    <w:pStyle w:val="Caption"/>
                    <w:rPr>
                      <w:noProof/>
                    </w:rPr>
                  </w:pPr>
                  <w:r>
                    <w:t xml:space="preserve">Grafik </w:t>
                  </w:r>
                  <w:r w:rsidR="00B171C8">
                    <w:t>2</w:t>
                  </w:r>
                  <w:r>
                    <w:t xml:space="preserve"> </w:t>
                  </w:r>
                  <w:r w:rsidR="00F71E4F">
                    <w:t>Inflacija</w:t>
                  </w:r>
                  <w:r w:rsidR="00957B61">
                    <w:t>,</w:t>
                  </w:r>
                  <w:r w:rsidR="00F71E4F">
                    <w:t xml:space="preserve"> mjesečni i</w:t>
                  </w:r>
                  <w:r w:rsidR="00957B61">
                    <w:t xml:space="preserve"> godišnji rast, %</w:t>
                  </w:r>
                </w:p>
              </w:txbxContent>
            </v:textbox>
          </v:shape>
        </w:pict>
      </w:r>
    </w:p>
    <w:p w:rsidR="00B171C8" w:rsidRDefault="00547CF0" w:rsidP="007B151B">
      <w:pPr>
        <w:spacing w:line="276" w:lineRule="auto"/>
      </w:pPr>
      <w:r>
        <w:rPr>
          <w:noProof/>
          <w:lang w:eastAsia="sr-Latn-C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3369945</wp:posOffset>
            </wp:positionH>
            <wp:positionV relativeFrom="paragraph">
              <wp:posOffset>96520</wp:posOffset>
            </wp:positionV>
            <wp:extent cx="2263775" cy="2350770"/>
            <wp:effectExtent l="0" t="0" r="0" b="0"/>
            <wp:wrapSquare wrapText="bothSides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F71E4F">
        <w:rPr>
          <w:noProof/>
          <w:lang w:eastAsia="sr-Latn-C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-523240</wp:posOffset>
            </wp:positionH>
            <wp:positionV relativeFrom="paragraph">
              <wp:posOffset>27305</wp:posOffset>
            </wp:positionV>
            <wp:extent cx="2263775" cy="2211705"/>
            <wp:effectExtent l="0" t="0" r="0" b="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61980" w:rsidRDefault="00F61980" w:rsidP="00B171C8"/>
    <w:p w:rsidR="00F71E4F" w:rsidRDefault="00F71E4F" w:rsidP="00B171C8"/>
    <w:p w:rsidR="00B171C8" w:rsidRPr="00B171C8" w:rsidRDefault="00E10840" w:rsidP="00B171C8">
      <w:r>
        <w:rPr>
          <w:noProof/>
        </w:rPr>
        <w:pict>
          <v:shape id="_x0000_s1034" type="#_x0000_t202" style="position:absolute;left:0;text-align:left;margin-left:-36.35pt;margin-top:12.1pt;width:184.45pt;height:46.25pt;z-index:251686912" stroked="f">
            <v:textbox style="mso-next-textbox:#_x0000_s1034" inset="0,0,0,0">
              <w:txbxContent>
                <w:p w:rsidR="009D06FF" w:rsidRPr="00F61980" w:rsidRDefault="009D06FF" w:rsidP="009D06FF">
                  <w:pPr>
                    <w:pStyle w:val="Caption"/>
                    <w:rPr>
                      <w:noProof/>
                    </w:rPr>
                  </w:pPr>
                  <w:r w:rsidRPr="00F61980">
                    <w:t>...</w:t>
                  </w:r>
                  <w:r w:rsidR="00F61980" w:rsidRPr="00F61980">
                    <w:t xml:space="preserve">prekid proizvodnje u TE Pljevlja kao rezultat povoljne hidrološke situacije i niske cijene struje na tržištu uticao na pad </w:t>
                  </w:r>
                  <w:r w:rsidR="00F61980">
                    <w:t>proizvodnje električne energije</w:t>
                  </w:r>
                  <w:r w:rsidRPr="00F61980">
                    <w:rPr>
                      <w:i/>
                    </w:rPr>
                    <w:t>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48.05pt;margin-top:12.1pt;width:218.05pt;height:26.95pt;z-index:251688960" stroked="f">
            <v:textbox style="mso-next-textbox:#_x0000_s1035" inset="0,0,0,0">
              <w:txbxContent>
                <w:p w:rsidR="009D06FF" w:rsidRPr="009D06FF" w:rsidRDefault="009D06FF" w:rsidP="009D06FF">
                  <w:pPr>
                    <w:pStyle w:val="Caption"/>
                    <w:rPr>
                      <w:i/>
                      <w:noProof/>
                      <w:sz w:val="20"/>
                      <w:szCs w:val="20"/>
                    </w:rPr>
                  </w:pPr>
                  <w:r w:rsidRPr="009D06FF">
                    <w:rPr>
                      <w:i/>
                      <w:sz w:val="20"/>
                      <w:szCs w:val="20"/>
                    </w:rPr>
                    <w:t>...</w:t>
                  </w:r>
                  <w:r w:rsidR="00F61980">
                    <w:t>deflacija obilježila kretanje cijena u martu i na mjesečnom i na godišnjem nivou</w:t>
                  </w:r>
                  <w:r w:rsidRPr="009D06FF">
                    <w:rPr>
                      <w:i/>
                      <w:sz w:val="20"/>
                      <w:szCs w:val="20"/>
                    </w:rPr>
                    <w:t>...</w:t>
                  </w:r>
                </w:p>
              </w:txbxContent>
            </v:textbox>
          </v:shape>
        </w:pict>
      </w:r>
    </w:p>
    <w:p w:rsidR="006B2901" w:rsidRPr="00B171C8" w:rsidRDefault="006B2901" w:rsidP="00B171C8"/>
    <w:p w:rsidR="00E8072F" w:rsidRDefault="00E8072F" w:rsidP="00B312F3"/>
    <w:p w:rsidR="00F61980" w:rsidRDefault="00F61980" w:rsidP="00B312F3"/>
    <w:p w:rsidR="00400FB4" w:rsidRDefault="00E10840" w:rsidP="00B312F3">
      <w:r>
        <w:rPr>
          <w:noProof/>
        </w:rPr>
        <w:pict>
          <v:shape id="_x0000_s1028" type="#_x0000_t202" style="position:absolute;left:0;text-align:left;margin-left:-41.85pt;margin-top:11.15pt;width:192.65pt;height:10.3pt;z-index:251666432" stroked="f">
            <v:textbox style="mso-next-textbox:#_x0000_s1028" inset="0,0,0,0">
              <w:txbxContent>
                <w:p w:rsidR="00B171C8" w:rsidRPr="00CB21C8" w:rsidRDefault="00B171C8" w:rsidP="00B171C8">
                  <w:pPr>
                    <w:pStyle w:val="Caption"/>
                  </w:pPr>
                  <w:r>
                    <w:t xml:space="preserve">Grafik 3 </w:t>
                  </w:r>
                  <w:r w:rsidR="00660BB8">
                    <w:t>Tržište rada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78.5pt;margin-top:7.05pt;width:187.75pt;height:10.3pt;z-index:251669504" stroked="f">
            <v:textbox style="mso-next-textbox:#_x0000_s1029" inset="0,0,0,0">
              <w:txbxContent>
                <w:p w:rsidR="00B171C8" w:rsidRPr="00575CC7" w:rsidRDefault="00957B61" w:rsidP="00B171C8">
                  <w:pPr>
                    <w:pStyle w:val="Caption"/>
                  </w:pPr>
                  <w:r>
                    <w:t>Grafik 4 Kretanje prihoda i rashoda, u mil.€</w:t>
                  </w:r>
                </w:p>
              </w:txbxContent>
            </v:textbox>
          </v:shape>
        </w:pict>
      </w:r>
    </w:p>
    <w:p w:rsidR="00400FB4" w:rsidRPr="00B312F3" w:rsidRDefault="00400FB4" w:rsidP="00B312F3"/>
    <w:p w:rsidR="00B312F3" w:rsidRPr="00B312F3" w:rsidRDefault="00660BB8" w:rsidP="00B312F3">
      <w:r>
        <w:rPr>
          <w:noProof/>
          <w:lang w:eastAsia="sr-Latn-C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3369945</wp:posOffset>
            </wp:positionH>
            <wp:positionV relativeFrom="paragraph">
              <wp:posOffset>40005</wp:posOffset>
            </wp:positionV>
            <wp:extent cx="2429510" cy="2115820"/>
            <wp:effectExtent l="19050" t="0" r="8890" b="0"/>
            <wp:wrapSquare wrapText="bothSides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44517D">
        <w:rPr>
          <w:noProof/>
          <w:lang w:eastAsia="sr-Latn-C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-566420</wp:posOffset>
            </wp:positionH>
            <wp:positionV relativeFrom="margin">
              <wp:posOffset>3715385</wp:posOffset>
            </wp:positionV>
            <wp:extent cx="2438400" cy="2028825"/>
            <wp:effectExtent l="0" t="0" r="0" b="0"/>
            <wp:wrapSquare wrapText="bothSides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D116C2" w:rsidRDefault="00D116C2" w:rsidP="00B312F3"/>
    <w:p w:rsidR="00D116C2" w:rsidRDefault="00D116C2" w:rsidP="00B312F3"/>
    <w:p w:rsidR="00865E5F" w:rsidRDefault="00865E5F" w:rsidP="00B312F3"/>
    <w:p w:rsidR="00865E5F" w:rsidRDefault="00E10840" w:rsidP="00B312F3">
      <w:r>
        <w:rPr>
          <w:noProof/>
        </w:rPr>
        <w:pict>
          <v:shape id="_x0000_s1039" type="#_x0000_t202" style="position:absolute;left:0;text-align:left;margin-left:-41.85pt;margin-top:3.45pt;width:200.9pt;height:31.95pt;z-index:251693056" stroked="f">
            <v:textbox style="mso-next-textbox:#_x0000_s1039;mso-fit-shape-to-text:t" inset="0,0,0,0">
              <w:txbxContent>
                <w:p w:rsidR="00203F47" w:rsidRPr="00590347" w:rsidRDefault="00660B0E" w:rsidP="00203F47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  <w:noProof/>
                    </w:rPr>
                    <w:t xml:space="preserve">... </w:t>
                  </w:r>
                  <w:r w:rsidR="006A168C">
                    <w:rPr>
                      <w:i/>
                      <w:noProof/>
                    </w:rPr>
                    <w:t>blagi oporavak tržišta rada</w:t>
                  </w:r>
                  <w:r w:rsidR="00203F47" w:rsidRPr="00590347">
                    <w:rPr>
                      <w:i/>
                      <w:noProof/>
                    </w:rPr>
                    <w:t xml:space="preserve"> ...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78.5pt;margin-top:3.45pt;width:184.1pt;height:31.95pt;z-index:251695104" stroked="f">
            <v:textbox style="mso-next-textbox:#_x0000_s1040;mso-fit-shape-to-text:t" inset="0,0,0,0">
              <w:txbxContent>
                <w:p w:rsidR="007E794E" w:rsidRPr="00590347" w:rsidRDefault="007E794E" w:rsidP="007E794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 xml:space="preserve">... </w:t>
                  </w:r>
                  <w:r w:rsidR="00660B0E" w:rsidRPr="00590347">
                    <w:rPr>
                      <w:i/>
                    </w:rPr>
                    <w:t xml:space="preserve">u </w:t>
                  </w:r>
                  <w:r w:rsidR="001C5A36" w:rsidRPr="00590347">
                    <w:rPr>
                      <w:i/>
                    </w:rPr>
                    <w:t>martu</w:t>
                  </w:r>
                  <w:r w:rsidR="00660B0E" w:rsidRPr="00590347">
                    <w:rPr>
                      <w:i/>
                    </w:rPr>
                    <w:t xml:space="preserve"> </w:t>
                  </w:r>
                  <w:r w:rsidR="0050592F" w:rsidRPr="00590347">
                    <w:rPr>
                      <w:i/>
                    </w:rPr>
                    <w:t>viši</w:t>
                  </w:r>
                  <w:r w:rsidR="00660B0E" w:rsidRPr="00590347">
                    <w:rPr>
                      <w:i/>
                    </w:rPr>
                    <w:t xml:space="preserve"> prihodi</w:t>
                  </w:r>
                  <w:r w:rsidR="00111099">
                    <w:rPr>
                      <w:i/>
                    </w:rPr>
                    <w:t xml:space="preserve"> 21%</w:t>
                  </w:r>
                  <w:r w:rsidR="00660B0E" w:rsidRPr="00590347">
                    <w:rPr>
                      <w:i/>
                    </w:rPr>
                    <w:t xml:space="preserve"> u odnosu na isti mjesec prošle godine</w:t>
                  </w:r>
                  <w:r w:rsidR="001C5A36" w:rsidRPr="00590347">
                    <w:rPr>
                      <w:i/>
                    </w:rPr>
                    <w:t xml:space="preserve"> </w:t>
                  </w:r>
                  <w:r w:rsidR="00660B0E" w:rsidRPr="00590347">
                    <w:rPr>
                      <w:i/>
                    </w:rPr>
                    <w:t xml:space="preserve">... </w:t>
                  </w:r>
                </w:p>
              </w:txbxContent>
            </v:textbox>
          </v:shape>
        </w:pict>
      </w:r>
    </w:p>
    <w:p w:rsidR="00B312F3" w:rsidRDefault="00B312F3" w:rsidP="00B312F3"/>
    <w:p w:rsidR="008E2C7D" w:rsidRPr="008E2C7D" w:rsidRDefault="00B312F3" w:rsidP="00660BB8">
      <w:pPr>
        <w:tabs>
          <w:tab w:val="left" w:pos="6144"/>
        </w:tabs>
      </w:pPr>
      <w:r>
        <w:tab/>
      </w:r>
    </w:p>
    <w:p w:rsidR="00400FB4" w:rsidRDefault="00400FB4" w:rsidP="008E2C7D"/>
    <w:p w:rsidR="008E2C7D" w:rsidRPr="008E2C7D" w:rsidRDefault="00E10840" w:rsidP="008E2C7D">
      <w:r>
        <w:rPr>
          <w:noProof/>
        </w:rPr>
        <w:pict>
          <v:shape id="_x0000_s1030" type="#_x0000_t202" style="position:absolute;left:0;text-align:left;margin-left:-41.85pt;margin-top:-.3pt;width:228.3pt;height:11.35pt;z-index:251674624" stroked="f">
            <v:textbox style="mso-next-textbox:#_x0000_s1030" inset="0,0,0,0">
              <w:txbxContent>
                <w:p w:rsidR="008E2C7D" w:rsidRPr="000600DC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5 </w:t>
                  </w:r>
                  <w:r w:rsidR="00832B68">
                    <w:t>Ukupan kapital banaka,</w:t>
                  </w:r>
                  <w:r w:rsidR="0050592F">
                    <w:t xml:space="preserve"> </w:t>
                  </w:r>
                  <w:r w:rsidR="00832B68">
                    <w:t>u mil.€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4.4pt;margin-top:.25pt;width:193.35pt;height:10.95pt;z-index:251676672" stroked="f">
            <v:textbox style="mso-next-textbox:#_x0000_s1031" inset="0,0,0,0">
              <w:txbxContent>
                <w:p w:rsidR="008E2C7D" w:rsidRPr="00383BE7" w:rsidRDefault="008E2C7D" w:rsidP="008E2C7D">
                  <w:pPr>
                    <w:pStyle w:val="Caption"/>
                    <w:rPr>
                      <w:noProof/>
                    </w:rPr>
                  </w:pPr>
                  <w:r>
                    <w:t xml:space="preserve">Grafik 6 </w:t>
                  </w:r>
                  <w:r w:rsidR="006A168C">
                    <w:t>Kretanje izvoza po kvartalima</w:t>
                  </w:r>
                  <w:r w:rsidR="00660B0E">
                    <w:t>, u mil.€</w:t>
                  </w:r>
                </w:p>
              </w:txbxContent>
            </v:textbox>
          </v:shape>
        </w:pict>
      </w:r>
    </w:p>
    <w:p w:rsidR="008E2C7D" w:rsidRPr="008E2C7D" w:rsidRDefault="006A168C" w:rsidP="00660B0E">
      <w:r>
        <w:rPr>
          <w:noProof/>
          <w:lang w:eastAsia="sr-Latn-C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3248025</wp:posOffset>
            </wp:positionH>
            <wp:positionV relativeFrom="margin">
              <wp:posOffset>6719570</wp:posOffset>
            </wp:positionV>
            <wp:extent cx="2804160" cy="1871980"/>
            <wp:effectExtent l="0" t="0" r="0" b="0"/>
            <wp:wrapSquare wrapText="bothSides"/>
            <wp:docPr id="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832B68">
        <w:rPr>
          <w:noProof/>
          <w:lang w:eastAsia="sr-Latn-CS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-757918</wp:posOffset>
            </wp:positionH>
            <wp:positionV relativeFrom="paragraph">
              <wp:posOffset>152400</wp:posOffset>
            </wp:positionV>
            <wp:extent cx="2586446" cy="1872343"/>
            <wp:effectExtent l="0" t="0" r="0" b="0"/>
            <wp:wrapNone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8E2C7D" w:rsidRPr="008E2C7D" w:rsidRDefault="008E2C7D" w:rsidP="008E2C7D"/>
    <w:p w:rsidR="008E2C7D" w:rsidRPr="008E2C7D" w:rsidRDefault="008E2C7D" w:rsidP="008E2C7D"/>
    <w:p w:rsidR="008E2C7D" w:rsidRPr="008E2C7D" w:rsidRDefault="008E2C7D" w:rsidP="008E2C7D"/>
    <w:p w:rsidR="00D71A89" w:rsidRDefault="00D71A89" w:rsidP="008E2C7D"/>
    <w:p w:rsidR="00D71A89" w:rsidRDefault="00D71A89" w:rsidP="00D71A89"/>
    <w:p w:rsidR="008E2C7D" w:rsidRPr="008E2C7D" w:rsidRDefault="008E2C7D" w:rsidP="008E2C7D"/>
    <w:p w:rsidR="008E2C7D" w:rsidRPr="008E2C7D" w:rsidRDefault="008E2C7D" w:rsidP="008E2C7D"/>
    <w:p w:rsidR="0079718D" w:rsidRDefault="00E10840" w:rsidP="006A0D43">
      <w:pPr>
        <w:tabs>
          <w:tab w:val="left" w:pos="6912"/>
        </w:tabs>
        <w:sectPr w:rsidR="0079718D" w:rsidSect="00BF60A2">
          <w:headerReference w:type="default" r:id="rId13"/>
          <w:pgSz w:w="11906" w:h="16838"/>
          <w:pgMar w:top="1417" w:right="1134" w:bottom="1417" w:left="1701" w:header="708" w:footer="708" w:gutter="0"/>
          <w:cols w:num="2" w:space="708"/>
          <w:docGrid w:linePitch="360"/>
        </w:sectPr>
      </w:pPr>
      <w:r>
        <w:rPr>
          <w:noProof/>
        </w:rPr>
        <w:pict>
          <v:shape id="_x0000_s1041" type="#_x0000_t202" style="position:absolute;left:0;text-align:left;margin-left:283.85pt;margin-top:51.4pt;width:178.75pt;height:31.95pt;z-index:251698176" stroked="f">
            <v:textbox style="mso-fit-shape-to-text:t" inset="0,0,0,0">
              <w:txbxContent>
                <w:p w:rsidR="00660B0E" w:rsidRPr="00590347" w:rsidRDefault="007D7E9D" w:rsidP="00660B0E">
                  <w:pPr>
                    <w:pStyle w:val="Caption"/>
                    <w:rPr>
                      <w:i/>
                      <w:noProof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2E5FBE">
                    <w:rPr>
                      <w:i/>
                    </w:rPr>
                    <w:t xml:space="preserve">najniži nivo izvoza u Q1 2016 u odnosu na sve kvartale prethodne godine </w:t>
                  </w:r>
                  <w:r w:rsidRPr="00590347">
                    <w:rPr>
                      <w:i/>
                    </w:rPr>
                    <w:t>...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-43.2pt;margin-top:51.4pt;width:201.6pt;height:21.2pt;z-index:251691008" stroked="f">
            <v:textbox inset="0,0,0,0">
              <w:txbxContent>
                <w:p w:rsidR="00936469" w:rsidRPr="00590347" w:rsidRDefault="00936469" w:rsidP="00936469">
                  <w:pPr>
                    <w:pStyle w:val="Caption"/>
                    <w:rPr>
                      <w:i/>
                    </w:rPr>
                  </w:pPr>
                  <w:r w:rsidRPr="00590347">
                    <w:rPr>
                      <w:i/>
                    </w:rPr>
                    <w:t>...</w:t>
                  </w:r>
                  <w:r w:rsidR="00832B68" w:rsidRPr="00590347">
                    <w:rPr>
                      <w:i/>
                      <w:lang w:eastAsia="sr-Latn-CS"/>
                    </w:rPr>
                    <w:t>kapital banaka povećan za 5,1% na godišnjem nivou</w:t>
                  </w:r>
                  <w:r w:rsidRPr="00590347">
                    <w:rPr>
                      <w:i/>
                      <w:lang w:eastAsia="sr-Latn-CS"/>
                    </w:rPr>
                    <w:t>...</w:t>
                  </w:r>
                </w:p>
                <w:p w:rsidR="00936469" w:rsidRPr="009149C7" w:rsidRDefault="00936469" w:rsidP="00936469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  <w:r w:rsidR="00A40C0E">
        <w:tab/>
        <w:t>... Povećan deficit...</w:t>
      </w:r>
      <w:r>
        <w:rPr>
          <w:noProof/>
        </w:rPr>
        <w:pict>
          <v:shape id="_x0000_s1032" type="#_x0000_t202" style="position:absolute;left:0;text-align:left;margin-left:158.4pt;margin-top:1.7pt;width:150.8pt;height:17.15pt;z-index:251679744;mso-position-horizontal-relative:text;mso-position-vertical-relative:text" stroked="f">
            <v:textbox inset="0,0,0,0">
              <w:txbxContent>
                <w:p w:rsidR="001A7B3A" w:rsidRPr="00491580" w:rsidRDefault="001A7B3A" w:rsidP="001A7B3A">
                  <w:pPr>
                    <w:pStyle w:val="Caption"/>
                    <w:rPr>
                      <w:noProof/>
                    </w:rPr>
                  </w:pPr>
                </w:p>
              </w:txbxContent>
            </v:textbox>
          </v:shape>
        </w:pict>
      </w:r>
    </w:p>
    <w:p w:rsidR="006A0D43" w:rsidRDefault="006A0D43" w:rsidP="006A0D43">
      <w:pPr>
        <w:pStyle w:val="Caption"/>
        <w:keepNext/>
        <w:tabs>
          <w:tab w:val="left" w:pos="7625"/>
        </w:tabs>
      </w:pPr>
      <w:r>
        <w:lastRenderedPageBreak/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Makroekonomski indikatori (</w:t>
      </w:r>
      <w:r w:rsidRPr="006A0D43">
        <w:rPr>
          <w:i/>
        </w:rPr>
        <w:t>Izvor: Monstat, CB, ZZZCG</w:t>
      </w:r>
      <w:r>
        <w:t>)</w:t>
      </w:r>
      <w:r>
        <w:tab/>
      </w:r>
      <w:r>
        <w:tab/>
        <w:t>Tabela 2 Fiskalni indikatori (</w:t>
      </w:r>
      <w:r w:rsidRPr="006A0D43">
        <w:rPr>
          <w:i/>
        </w:rPr>
        <w:t>Izvor: Ministarstvo finansija</w:t>
      </w:r>
      <w:r>
        <w:t>)</w:t>
      </w:r>
    </w:p>
    <w:tbl>
      <w:tblPr>
        <w:tblpPr w:leftFromText="141" w:rightFromText="141" w:vertAnchor="text" w:tblpY="1"/>
        <w:tblOverlap w:val="never"/>
        <w:tblW w:w="667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850"/>
        <w:gridCol w:w="1276"/>
        <w:gridCol w:w="1276"/>
      </w:tblGrid>
      <w:tr w:rsidR="0042618D" w:rsidRPr="0042618D" w:rsidTr="000B737B">
        <w:trPr>
          <w:trHeight w:val="170"/>
        </w:trPr>
        <w:tc>
          <w:tcPr>
            <w:tcW w:w="3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Indikatori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mart 2016 g-n-g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2016/2015 g-n-g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REALNI SEKTOR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Industrijska proizvodnja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-9,2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Prerađivačka industrija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5,2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Noćenja u turizmu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11,9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Promet u maloprodaji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3,3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potrošačkih cijena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Harmonizovani indeks potrošačkih cijena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n/p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Indeks proizvodjačkih cijena (stopa rasta)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I ZARADE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Zaposlenost (broj, kraj perioda)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0,3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Broj nezaposlenih (broj, kraj perioda)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19,9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Stopa nezaposlenosti 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20,1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Oglašena radna mjesta (broj)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-36,1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Prosječna mjesečna bruto zarada (u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1,3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Prosječna mjesečna neto zarada (u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1,9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MONETARNI SEKTOR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krediti (kumulativ, mil.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Ukupni depoziti (kumulativ,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Krediti privredi (kumulativ, u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Krediti domaćinstvima (kumulativ, u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Depoziti privrede (kumulativ, u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Lična štednja (kumulativ, u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kredite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Kamatna stopa na depozite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EKSTERNI SEKTOR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Izvoz roba (u mil.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-21,4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Uvoz roba (u mil.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4,8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Spoljnotrgovinski bilans (u mil €)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11,8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Strane direktne investicije (mil.€)</w:t>
            </w:r>
            <w:r w:rsidR="004C307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-221,9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-136,3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MEĐUNARODNO OKRUŽENJE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 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Brent crude oil (USD/barel)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-37,0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Aluminijum (USD/T)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-16,0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Euribor (12 mjeseci)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-102,6</w:t>
            </w:r>
          </w:p>
        </w:tc>
      </w:tr>
      <w:tr w:rsidR="0042618D" w:rsidRPr="0042618D" w:rsidTr="000B737B">
        <w:trPr>
          <w:trHeight w:val="170"/>
        </w:trPr>
        <w:tc>
          <w:tcPr>
            <w:tcW w:w="32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618D" w:rsidRPr="0042618D" w:rsidRDefault="0042618D" w:rsidP="000B737B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Inflacija u Eurozoni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618D" w:rsidRPr="0042618D" w:rsidRDefault="0042618D" w:rsidP="000B737B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</w:pPr>
            <w:r w:rsidRPr="004261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r-Latn-CS"/>
              </w:rPr>
              <w:t>-110,0</w:t>
            </w:r>
          </w:p>
        </w:tc>
      </w:tr>
    </w:tbl>
    <w:tbl>
      <w:tblPr>
        <w:tblW w:w="6412" w:type="dxa"/>
        <w:tblInd w:w="92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53"/>
        <w:gridCol w:w="998"/>
        <w:gridCol w:w="895"/>
        <w:gridCol w:w="835"/>
        <w:gridCol w:w="1105"/>
        <w:gridCol w:w="1026"/>
      </w:tblGrid>
      <w:tr w:rsidR="000B737B" w:rsidRPr="000B737B" w:rsidTr="000B737B">
        <w:trPr>
          <w:trHeight w:val="315"/>
        </w:trPr>
        <w:tc>
          <w:tcPr>
            <w:tcW w:w="1553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BUDŽET CRNE GORE</w:t>
            </w:r>
          </w:p>
        </w:tc>
        <w:tc>
          <w:tcPr>
            <w:tcW w:w="99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color w:val="000000"/>
                <w:sz w:val="16"/>
                <w:szCs w:val="16"/>
                <w:lang w:eastAsia="sr-Latn-CS"/>
              </w:rPr>
              <w:t>Ostvarnje 2016 </w:t>
            </w:r>
          </w:p>
        </w:tc>
        <w:tc>
          <w:tcPr>
            <w:tcW w:w="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plan 2016</w:t>
            </w:r>
          </w:p>
        </w:tc>
        <w:tc>
          <w:tcPr>
            <w:tcW w:w="2966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Analitika-Mart</w:t>
            </w:r>
          </w:p>
        </w:tc>
      </w:tr>
      <w:tr w:rsidR="000B737B" w:rsidRPr="000B737B" w:rsidTr="000B737B">
        <w:trPr>
          <w:trHeight w:val="735"/>
        </w:trPr>
        <w:tc>
          <w:tcPr>
            <w:tcW w:w="1553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III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III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mart2016/ mart2015 (%)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jan-mart 2016 / jan-mart2015(%)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mart2016/mart 2016plan (%)</w:t>
            </w:r>
          </w:p>
        </w:tc>
      </w:tr>
      <w:tr w:rsidR="000B737B" w:rsidRPr="000B737B" w:rsidTr="000B737B">
        <w:trPr>
          <w:trHeight w:val="330"/>
        </w:trPr>
        <w:tc>
          <w:tcPr>
            <w:tcW w:w="15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IZVORNI PRIHODI, od čega: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121,52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107,87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21,03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10,18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12,65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Porezi i doprinosi na  zarade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49,98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42,44</w:t>
            </w:r>
          </w:p>
        </w:tc>
        <w:tc>
          <w:tcPr>
            <w:tcW w:w="83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18,73</w:t>
            </w: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10,54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17,76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Porez na dobit pravnih lica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15,05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9,57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52,86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49,14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57,35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Porez na dodatu vrijednost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34,90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34,10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17,65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8,32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2,34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Akcize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12,04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11,54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10,67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5,18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4,30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Porez na medj trgovinu i transak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1,98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1,90</w:t>
            </w:r>
          </w:p>
        </w:tc>
        <w:tc>
          <w:tcPr>
            <w:tcW w:w="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-4,39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-1,14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4,46</w:t>
            </w:r>
          </w:p>
        </w:tc>
      </w:tr>
      <w:tr w:rsidR="000B737B" w:rsidRPr="000B737B" w:rsidTr="000B737B">
        <w:trPr>
          <w:trHeight w:val="330"/>
        </w:trPr>
        <w:tc>
          <w:tcPr>
            <w:tcW w:w="1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IZDACI BUDŽETA, od čega :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131,11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144,37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13,81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4,72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-9,18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Bruto zarade i doprinosi na teret poslodavca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35,22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34,65</w:t>
            </w:r>
          </w:p>
        </w:tc>
        <w:tc>
          <w:tcPr>
            <w:tcW w:w="83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13,26</w:t>
            </w: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3,16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1,64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Rashodi za materijal i usluge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9,05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6,33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53,15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19,26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42,93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Kamate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2,18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6,37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-56,75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-33,79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-65,80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Transferi za socijalnu zaštitu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45,00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44,37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10,13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7,09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1,43</w:t>
            </w:r>
          </w:p>
        </w:tc>
      </w:tr>
      <w:tr w:rsidR="000B737B" w:rsidRPr="000B737B" w:rsidTr="000B737B">
        <w:trPr>
          <w:trHeight w:val="300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Transferi instit, pojed i NVO sektoru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21,00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12,20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83,89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17,22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72,19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Kapitalni izdaci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3,19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31,27</w:t>
            </w:r>
          </w:p>
        </w:tc>
        <w:tc>
          <w:tcPr>
            <w:tcW w:w="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-34,96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-60,85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-89,78</w:t>
            </w:r>
          </w:p>
        </w:tc>
      </w:tr>
      <w:tr w:rsidR="000B737B" w:rsidRPr="000B737B" w:rsidTr="000B737B">
        <w:trPr>
          <w:trHeight w:val="330"/>
        </w:trPr>
        <w:tc>
          <w:tcPr>
            <w:tcW w:w="1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Suficit / Deficit budžeta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-9,59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-36,49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-35,08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-19,33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-73,71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Primarni bilans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-7,41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-30,12</w:t>
            </w:r>
          </w:p>
        </w:tc>
        <w:tc>
          <w:tcPr>
            <w:tcW w:w="83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27,07</w:t>
            </w:r>
          </w:p>
        </w:tc>
        <w:tc>
          <w:tcPr>
            <w:tcW w:w="110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-8,94</w:t>
            </w:r>
          </w:p>
        </w:tc>
        <w:tc>
          <w:tcPr>
            <w:tcW w:w="102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-75,39</w:t>
            </w:r>
          </w:p>
        </w:tc>
      </w:tr>
      <w:tr w:rsidR="000B737B" w:rsidRPr="000B737B" w:rsidTr="000B737B">
        <w:trPr>
          <w:trHeight w:val="315"/>
        </w:trPr>
        <w:tc>
          <w:tcPr>
            <w:tcW w:w="1553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0B737B" w:rsidRPr="000B737B" w:rsidRDefault="000B737B" w:rsidP="000B737B">
            <w:pPr>
              <w:jc w:val="left"/>
              <w:rPr>
                <w:rFonts w:eastAsia="Times New Roman" w:cs="Times New Roman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sz w:val="16"/>
                <w:szCs w:val="16"/>
                <w:lang w:eastAsia="sr-Latn-CS"/>
              </w:rPr>
              <w:t>Otplata dugova</w:t>
            </w:r>
          </w:p>
        </w:tc>
        <w:tc>
          <w:tcPr>
            <w:tcW w:w="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sr-Latn-CS"/>
              </w:rPr>
              <w:t>23,23</w:t>
            </w:r>
          </w:p>
        </w:tc>
        <w:tc>
          <w:tcPr>
            <w:tcW w:w="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32,77</w:t>
            </w:r>
          </w:p>
        </w:tc>
        <w:tc>
          <w:tcPr>
            <w:tcW w:w="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-61,63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sr-Latn-CS"/>
              </w:rPr>
              <w:t>-69,05</w:t>
            </w:r>
          </w:p>
        </w:tc>
        <w:tc>
          <w:tcPr>
            <w:tcW w:w="10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737B" w:rsidRPr="000B737B" w:rsidRDefault="000B737B" w:rsidP="000B737B">
            <w:pPr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</w:pPr>
            <w:r w:rsidRPr="000B737B">
              <w:rPr>
                <w:rFonts w:eastAsia="Times New Roman" w:cs="Times New Roman"/>
                <w:b/>
                <w:bCs/>
                <w:sz w:val="16"/>
                <w:szCs w:val="16"/>
                <w:lang w:eastAsia="sr-Latn-CS"/>
              </w:rPr>
              <w:t>-29,11</w:t>
            </w:r>
          </w:p>
        </w:tc>
      </w:tr>
    </w:tbl>
    <w:p w:rsidR="0079718D" w:rsidRPr="004C3072" w:rsidRDefault="000B737B" w:rsidP="000B737B">
      <w:pPr>
        <w:tabs>
          <w:tab w:val="left" w:pos="1810"/>
          <w:tab w:val="left" w:pos="3607"/>
        </w:tabs>
        <w:ind w:firstLine="708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  <w:r w:rsidR="004C3072" w:rsidRPr="004C3072">
        <w:rPr>
          <w:sz w:val="16"/>
          <w:szCs w:val="16"/>
        </w:rPr>
        <w:t>*</w:t>
      </w:r>
      <w:r w:rsidR="00DF7A64">
        <w:rPr>
          <w:sz w:val="16"/>
          <w:szCs w:val="16"/>
        </w:rPr>
        <w:t xml:space="preserve">SDI - </w:t>
      </w:r>
      <w:r w:rsidR="004C3072" w:rsidRPr="004C3072">
        <w:rPr>
          <w:sz w:val="16"/>
          <w:szCs w:val="16"/>
        </w:rPr>
        <w:t>podaci za februar</w:t>
      </w:r>
    </w:p>
    <w:sectPr w:rsidR="0079718D" w:rsidRPr="004C3072" w:rsidSect="0088070A">
      <w:headerReference w:type="default" r:id="rId14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F27" w:rsidRDefault="002B0F27" w:rsidP="0073697A">
      <w:r>
        <w:separator/>
      </w:r>
    </w:p>
  </w:endnote>
  <w:endnote w:type="continuationSeparator" w:id="0">
    <w:p w:rsidR="002B0F27" w:rsidRDefault="002B0F27" w:rsidP="0073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F27" w:rsidRDefault="002B0F27" w:rsidP="0073697A">
      <w:r>
        <w:separator/>
      </w:r>
    </w:p>
  </w:footnote>
  <w:footnote w:type="continuationSeparator" w:id="0">
    <w:p w:rsidR="002B0F27" w:rsidRDefault="002B0F27" w:rsidP="0073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7A" w:rsidRDefault="0073697A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MINISTARSTVO FINANASIJA</w:t>
    </w:r>
  </w:p>
  <w:p w:rsidR="0073697A" w:rsidRDefault="0073697A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73697A" w:rsidRPr="0073697A" w:rsidRDefault="0073697A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 w:rsidR="00262CD5">
      <w:rPr>
        <w:b/>
      </w:rPr>
      <w:t>MART</w:t>
    </w:r>
    <w:r w:rsidRPr="0073697A">
      <w:rPr>
        <w:b/>
      </w:rPr>
      <w:t xml:space="preserve"> 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6CF" w:rsidRPr="0073697A" w:rsidRDefault="003246CF" w:rsidP="0073697A">
    <w:pPr>
      <w:pStyle w:val="Header"/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73697A"/>
    <w:rsid w:val="0000427C"/>
    <w:rsid w:val="00005335"/>
    <w:rsid w:val="00015561"/>
    <w:rsid w:val="000345FD"/>
    <w:rsid w:val="00042F09"/>
    <w:rsid w:val="0005291E"/>
    <w:rsid w:val="00053060"/>
    <w:rsid w:val="00073816"/>
    <w:rsid w:val="000B737B"/>
    <w:rsid w:val="000C1B3B"/>
    <w:rsid w:val="00111099"/>
    <w:rsid w:val="001375C0"/>
    <w:rsid w:val="00146CE3"/>
    <w:rsid w:val="001663FE"/>
    <w:rsid w:val="0017300C"/>
    <w:rsid w:val="00181923"/>
    <w:rsid w:val="001A7B3A"/>
    <w:rsid w:val="001C2611"/>
    <w:rsid w:val="001C301B"/>
    <w:rsid w:val="001C5A36"/>
    <w:rsid w:val="001E33EA"/>
    <w:rsid w:val="001F4E19"/>
    <w:rsid w:val="00203F47"/>
    <w:rsid w:val="002130C5"/>
    <w:rsid w:val="00213F9C"/>
    <w:rsid w:val="002520F3"/>
    <w:rsid w:val="00252F30"/>
    <w:rsid w:val="00262CD5"/>
    <w:rsid w:val="0027120F"/>
    <w:rsid w:val="002B0F27"/>
    <w:rsid w:val="002D4A9C"/>
    <w:rsid w:val="002D5BAF"/>
    <w:rsid w:val="002D739F"/>
    <w:rsid w:val="002E2742"/>
    <w:rsid w:val="002E5FBE"/>
    <w:rsid w:val="00314ACD"/>
    <w:rsid w:val="003246CF"/>
    <w:rsid w:val="00335592"/>
    <w:rsid w:val="00372E9C"/>
    <w:rsid w:val="00396E9B"/>
    <w:rsid w:val="003A1DA6"/>
    <w:rsid w:val="003C4377"/>
    <w:rsid w:val="003E6B73"/>
    <w:rsid w:val="003F5368"/>
    <w:rsid w:val="00400FB4"/>
    <w:rsid w:val="004060E3"/>
    <w:rsid w:val="00420B8C"/>
    <w:rsid w:val="00421A9C"/>
    <w:rsid w:val="0042618D"/>
    <w:rsid w:val="00426C6F"/>
    <w:rsid w:val="0044517D"/>
    <w:rsid w:val="00472419"/>
    <w:rsid w:val="00494F72"/>
    <w:rsid w:val="004A28F5"/>
    <w:rsid w:val="004A7AB1"/>
    <w:rsid w:val="004C3072"/>
    <w:rsid w:val="0050592F"/>
    <w:rsid w:val="00525DF6"/>
    <w:rsid w:val="005438B0"/>
    <w:rsid w:val="00547CF0"/>
    <w:rsid w:val="005713D5"/>
    <w:rsid w:val="00572484"/>
    <w:rsid w:val="00574007"/>
    <w:rsid w:val="00586D17"/>
    <w:rsid w:val="00590347"/>
    <w:rsid w:val="005A1C2A"/>
    <w:rsid w:val="005D22D9"/>
    <w:rsid w:val="005D67C3"/>
    <w:rsid w:val="005E7520"/>
    <w:rsid w:val="005F39EB"/>
    <w:rsid w:val="005F5912"/>
    <w:rsid w:val="00616FAC"/>
    <w:rsid w:val="006405F6"/>
    <w:rsid w:val="00660B0E"/>
    <w:rsid w:val="00660BB8"/>
    <w:rsid w:val="0066376E"/>
    <w:rsid w:val="0069707D"/>
    <w:rsid w:val="006A0D43"/>
    <w:rsid w:val="006A168C"/>
    <w:rsid w:val="006B2901"/>
    <w:rsid w:val="006E0085"/>
    <w:rsid w:val="00717741"/>
    <w:rsid w:val="0073697A"/>
    <w:rsid w:val="0075112B"/>
    <w:rsid w:val="00760884"/>
    <w:rsid w:val="00764AE3"/>
    <w:rsid w:val="0079718D"/>
    <w:rsid w:val="007B151B"/>
    <w:rsid w:val="007B73BF"/>
    <w:rsid w:val="007D3C8A"/>
    <w:rsid w:val="007D7E9D"/>
    <w:rsid w:val="007E794E"/>
    <w:rsid w:val="007F1472"/>
    <w:rsid w:val="007F2E5F"/>
    <w:rsid w:val="00803D0A"/>
    <w:rsid w:val="008201ED"/>
    <w:rsid w:val="00821311"/>
    <w:rsid w:val="00832B68"/>
    <w:rsid w:val="0083533D"/>
    <w:rsid w:val="00840B3F"/>
    <w:rsid w:val="00845369"/>
    <w:rsid w:val="00865E5F"/>
    <w:rsid w:val="00873C38"/>
    <w:rsid w:val="0088070A"/>
    <w:rsid w:val="008A1FCB"/>
    <w:rsid w:val="008B5248"/>
    <w:rsid w:val="008D0CF1"/>
    <w:rsid w:val="008E2C7D"/>
    <w:rsid w:val="008F3A0F"/>
    <w:rsid w:val="008F5166"/>
    <w:rsid w:val="00922E13"/>
    <w:rsid w:val="00925396"/>
    <w:rsid w:val="00936469"/>
    <w:rsid w:val="00955062"/>
    <w:rsid w:val="00957B61"/>
    <w:rsid w:val="00961412"/>
    <w:rsid w:val="009720CB"/>
    <w:rsid w:val="00980E17"/>
    <w:rsid w:val="00993DD3"/>
    <w:rsid w:val="009D06FF"/>
    <w:rsid w:val="009F3868"/>
    <w:rsid w:val="00A142A0"/>
    <w:rsid w:val="00A23417"/>
    <w:rsid w:val="00A30629"/>
    <w:rsid w:val="00A30CF8"/>
    <w:rsid w:val="00A30F9F"/>
    <w:rsid w:val="00A40C0E"/>
    <w:rsid w:val="00A41D64"/>
    <w:rsid w:val="00A43FFD"/>
    <w:rsid w:val="00A56A4D"/>
    <w:rsid w:val="00A63D86"/>
    <w:rsid w:val="00A83DC7"/>
    <w:rsid w:val="00AD49B3"/>
    <w:rsid w:val="00AD6544"/>
    <w:rsid w:val="00B171C8"/>
    <w:rsid w:val="00B17F35"/>
    <w:rsid w:val="00B2463F"/>
    <w:rsid w:val="00B312F3"/>
    <w:rsid w:val="00B32517"/>
    <w:rsid w:val="00B72B8E"/>
    <w:rsid w:val="00BC1E57"/>
    <w:rsid w:val="00BC722D"/>
    <w:rsid w:val="00BF3ACA"/>
    <w:rsid w:val="00BF60A2"/>
    <w:rsid w:val="00C121AA"/>
    <w:rsid w:val="00C42687"/>
    <w:rsid w:val="00C5038F"/>
    <w:rsid w:val="00C62DE8"/>
    <w:rsid w:val="00C81B7A"/>
    <w:rsid w:val="00CA1561"/>
    <w:rsid w:val="00CC5BC9"/>
    <w:rsid w:val="00D116C2"/>
    <w:rsid w:val="00D22C1D"/>
    <w:rsid w:val="00D71A89"/>
    <w:rsid w:val="00D8366B"/>
    <w:rsid w:val="00D84EE5"/>
    <w:rsid w:val="00D97DE8"/>
    <w:rsid w:val="00DA0835"/>
    <w:rsid w:val="00DB29AE"/>
    <w:rsid w:val="00DB3D80"/>
    <w:rsid w:val="00DC76AB"/>
    <w:rsid w:val="00DD551E"/>
    <w:rsid w:val="00DF7A64"/>
    <w:rsid w:val="00E10840"/>
    <w:rsid w:val="00E15D4A"/>
    <w:rsid w:val="00E2269A"/>
    <w:rsid w:val="00E45A4C"/>
    <w:rsid w:val="00E8072F"/>
    <w:rsid w:val="00E97E73"/>
    <w:rsid w:val="00EB7D15"/>
    <w:rsid w:val="00ED05CD"/>
    <w:rsid w:val="00ED6FE0"/>
    <w:rsid w:val="00F118B5"/>
    <w:rsid w:val="00F230C6"/>
    <w:rsid w:val="00F318C2"/>
    <w:rsid w:val="00F51BC8"/>
    <w:rsid w:val="00F52F3B"/>
    <w:rsid w:val="00F61980"/>
    <w:rsid w:val="00F71E4F"/>
    <w:rsid w:val="00FB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97A"/>
  </w:style>
  <w:style w:type="paragraph" w:styleId="Footer">
    <w:name w:val="footer"/>
    <w:basedOn w:val="Normal"/>
    <w:link w:val="FooterChar"/>
    <w:uiPriority w:val="99"/>
    <w:semiHidden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ranko.krvavac\Dropbox\MINISTARSTVO%20FINANSIJA\SEP\02_MMI\MMI_2016%2004\mmi%202015-12%20(Vesna%20Obradovi&#263;'s%20conflicted%20copy%202016-01-11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Desktop\mmi%202016-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://monstat.org/userfiles/file/spoljna%20trgovina/2016/3/Spoljnotrgovinska%20razmjena%20Crne%20Gore%20%20januar-mart%202016_god_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AppData\Local\Temp\Rar$DIa0.309\monetarna_statistika_depozitnih_institucija_mart_2016p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0.11250898761078813"/>
          <c:y val="9.6360836293502214E-2"/>
          <c:w val="0.85882363315696664"/>
          <c:h val="0.7221234567901258"/>
        </c:manualLayout>
      </c:layout>
      <c:lineChart>
        <c:grouping val="standard"/>
        <c:ser>
          <c:idx val="0"/>
          <c:order val="0"/>
          <c:tx>
            <c:strRef>
              <c:f>'Makroekonomski indikatori'!$C$25</c:f>
              <c:strCache>
                <c:ptCount val="1"/>
                <c:pt idx="0">
                  <c:v>CPI-godišnje stope rasta</c:v>
                </c:pt>
              </c:strCache>
            </c:strRef>
          </c:tx>
          <c:spPr>
            <a:ln w="34925">
              <a:solidFill>
                <a:srgbClr val="4E37D5"/>
              </a:solidFill>
            </a:ln>
          </c:spPr>
          <c:marker>
            <c:symbol val="none"/>
          </c:marker>
          <c:cat>
            <c:strRef>
              <c:f>'Makroekonomski indikatori'!$BC$40:$BO$40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2016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indikatori'!$D$25:$BO$25</c:f>
              <c:numCache>
                <c:formatCode>General</c:formatCode>
                <c:ptCount val="13"/>
                <c:pt idx="0">
                  <c:v>1.6</c:v>
                </c:pt>
                <c:pt idx="1">
                  <c:v>2.1</c:v>
                </c:pt>
                <c:pt idx="2">
                  <c:v>2.2999999999999998</c:v>
                </c:pt>
                <c:pt idx="3">
                  <c:v>1.9000000000000001</c:v>
                </c:pt>
                <c:pt idx="4">
                  <c:v>1.9000000000000001</c:v>
                </c:pt>
                <c:pt idx="5">
                  <c:v>1.9000000000000001</c:v>
                </c:pt>
                <c:pt idx="6">
                  <c:v>1.7000000000000008</c:v>
                </c:pt>
                <c:pt idx="7">
                  <c:v>1.5</c:v>
                </c:pt>
                <c:pt idx="8" formatCode="0.0">
                  <c:v>1.4</c:v>
                </c:pt>
                <c:pt idx="9">
                  <c:v>1.4</c:v>
                </c:pt>
                <c:pt idx="10">
                  <c:v>0.8</c:v>
                </c:pt>
                <c:pt idx="11">
                  <c:v>0.1</c:v>
                </c:pt>
                <c:pt idx="12">
                  <c:v>-0.9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indikatori'!$C$26</c:f>
              <c:strCache>
                <c:ptCount val="1"/>
                <c:pt idx="0">
                  <c:v>CPI-mjesečne stope rasta</c:v>
                </c:pt>
              </c:strCache>
            </c:strRef>
          </c:tx>
          <c:spPr>
            <a:ln>
              <a:solidFill>
                <a:srgbClr val="F616CB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indikatori'!$BC$40:$BO$40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2016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indikatori'!$D$26:$BO$26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0.30000000000000032</c:v>
                </c:pt>
                <c:pt idx="2">
                  <c:v>0.60000000000000064</c:v>
                </c:pt>
                <c:pt idx="3">
                  <c:v>0.1</c:v>
                </c:pt>
                <c:pt idx="4">
                  <c:v>-0.5</c:v>
                </c:pt>
                <c:pt idx="5">
                  <c:v>0.1</c:v>
                </c:pt>
                <c:pt idx="6">
                  <c:v>0.30000000000000032</c:v>
                </c:pt>
                <c:pt idx="7">
                  <c:v>-0.1</c:v>
                </c:pt>
                <c:pt idx="8">
                  <c:v>-0.2</c:v>
                </c:pt>
                <c:pt idx="9">
                  <c:v>-0.30000000000000032</c:v>
                </c:pt>
                <c:pt idx="10">
                  <c:v>-0.9</c:v>
                </c:pt>
                <c:pt idx="11">
                  <c:v>-0.4</c:v>
                </c:pt>
                <c:pt idx="12">
                  <c:v>-0.1</c:v>
                </c:pt>
              </c:numCache>
            </c:numRef>
          </c:val>
          <c:smooth val="1"/>
        </c:ser>
        <c:marker val="1"/>
        <c:axId val="93044736"/>
        <c:axId val="93046656"/>
      </c:lineChart>
      <c:catAx>
        <c:axId val="93044736"/>
        <c:scaling>
          <c:orientation val="minMax"/>
        </c:scaling>
        <c:axPos val="b"/>
        <c:tickLblPos val="nextTo"/>
        <c:crossAx val="93046656"/>
        <c:crosses val="autoZero"/>
        <c:auto val="1"/>
        <c:lblAlgn val="ctr"/>
        <c:lblOffset val="100"/>
      </c:catAx>
      <c:valAx>
        <c:axId val="93046656"/>
        <c:scaling>
          <c:orientation val="minMax"/>
        </c:scaling>
        <c:axPos val="l"/>
        <c:numFmt formatCode="General" sourceLinked="1"/>
        <c:tickLblPos val="nextTo"/>
        <c:crossAx val="93044736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txPr>
    <a:bodyPr/>
    <a:lstStyle/>
    <a:p>
      <a:pPr>
        <a:defRPr sz="700"/>
      </a:pPr>
      <a:endParaRPr lang="sr-Latn-C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0.13140476190476189"/>
          <c:y val="0.15119047619047712"/>
          <c:w val="0.86859523809523864"/>
          <c:h val="0.78721340388007066"/>
        </c:manualLayout>
      </c:layout>
      <c:barChart>
        <c:barDir val="col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</c:dLbls>
          <c:cat>
            <c:strRef>
              <c:f>'Makroekonomski indikatori'!$BD$59:$BG$59</c:f>
              <c:strCache>
                <c:ptCount val="4"/>
                <c:pt idx="0">
                  <c:v>Ukupno</c:v>
                </c:pt>
                <c:pt idx="1">
                  <c:v>vađ.rude i kamena</c:v>
                </c:pt>
                <c:pt idx="2">
                  <c:v>prerađ.industrija</c:v>
                </c:pt>
                <c:pt idx="3">
                  <c:v>proizv.el.energije</c:v>
                </c:pt>
              </c:strCache>
            </c:strRef>
          </c:cat>
          <c:val>
            <c:numRef>
              <c:f>'Makroekonomski indikatori'!$BD$60:$BG$60</c:f>
              <c:numCache>
                <c:formatCode>General</c:formatCode>
                <c:ptCount val="4"/>
                <c:pt idx="0">
                  <c:v>-9.2000000000000011</c:v>
                </c:pt>
                <c:pt idx="1">
                  <c:v>-43.9</c:v>
                </c:pt>
                <c:pt idx="2">
                  <c:v>5.2</c:v>
                </c:pt>
                <c:pt idx="3">
                  <c:v>-18.899999999999999</c:v>
                </c:pt>
              </c:numCache>
            </c:numRef>
          </c:val>
        </c:ser>
        <c:axId val="93450624"/>
        <c:axId val="93452160"/>
      </c:barChart>
      <c:catAx>
        <c:axId val="9345062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3452160"/>
        <c:crosses val="autoZero"/>
        <c:auto val="1"/>
        <c:lblAlgn val="ctr"/>
        <c:lblOffset val="100"/>
      </c:catAx>
      <c:valAx>
        <c:axId val="93452160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934506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5254834960280414"/>
          <c:y val="7.6199771247081521E-2"/>
          <c:w val="0.77713429571303583"/>
          <c:h val="0.68713059200439863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indikatori'!$AP$3:$BB$3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indikatori'!$AP$17:$BB$17</c:f>
              <c:numCache>
                <c:formatCode>0.00,,</c:formatCode>
                <c:ptCount val="13"/>
                <c:pt idx="0">
                  <c:v>-14775487.330000043</c:v>
                </c:pt>
                <c:pt idx="1">
                  <c:v>-99448261.11999999</c:v>
                </c:pt>
                <c:pt idx="2">
                  <c:v>-13422361.539999979</c:v>
                </c:pt>
                <c:pt idx="3">
                  <c:v>-89239387.310000002</c:v>
                </c:pt>
                <c:pt idx="4">
                  <c:v>-1656226.9900000244</c:v>
                </c:pt>
                <c:pt idx="5">
                  <c:v>21937012.05999995</c:v>
                </c:pt>
                <c:pt idx="6">
                  <c:v>-13426534.580000043</c:v>
                </c:pt>
                <c:pt idx="7">
                  <c:v>-3955565.9599999627</c:v>
                </c:pt>
                <c:pt idx="8">
                  <c:v>-13890014.75</c:v>
                </c:pt>
                <c:pt idx="9">
                  <c:v>-20050332.989999976</c:v>
                </c:pt>
                <c:pt idx="10">
                  <c:v>-20443824.340000018</c:v>
                </c:pt>
                <c:pt idx="11">
                  <c:v>-17150251.159999985</c:v>
                </c:pt>
                <c:pt idx="12">
                  <c:v>-9592302.689999979</c:v>
                </c:pt>
              </c:numCache>
            </c:numRef>
          </c:val>
        </c:ser>
        <c:axId val="93661440"/>
        <c:axId val="93659904"/>
      </c:barChart>
      <c:lineChart>
        <c:grouping val="standard"/>
        <c:ser>
          <c:idx val="0"/>
          <c:order val="0"/>
          <c:tx>
            <c:v>rashodi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indikatori'!$AP$3:$BB$3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indikatori'!$AP$4:$BB$4</c:f>
              <c:numCache>
                <c:formatCode>0.00,,</c:formatCode>
                <c:ptCount val="13"/>
                <c:pt idx="0">
                  <c:v>100405756.79999998</c:v>
                </c:pt>
                <c:pt idx="1">
                  <c:v>111553145.60000001</c:v>
                </c:pt>
                <c:pt idx="2">
                  <c:v>99802277.800000012</c:v>
                </c:pt>
                <c:pt idx="3">
                  <c:v>118278734.59</c:v>
                </c:pt>
                <c:pt idx="4">
                  <c:v>127474955.42</c:v>
                </c:pt>
                <c:pt idx="5">
                  <c:v>124359062.84999996</c:v>
                </c:pt>
                <c:pt idx="6">
                  <c:v>123676910.16999999</c:v>
                </c:pt>
                <c:pt idx="7">
                  <c:v>110672805.50000004</c:v>
                </c:pt>
                <c:pt idx="8">
                  <c:v>95937187.26000002</c:v>
                </c:pt>
                <c:pt idx="9">
                  <c:v>155548251.04999998</c:v>
                </c:pt>
                <c:pt idx="10">
                  <c:v>67408378.920000017</c:v>
                </c:pt>
                <c:pt idx="11">
                  <c:v>95736255.390000001</c:v>
                </c:pt>
                <c:pt idx="12">
                  <c:v>121521985.52999997</c:v>
                </c:pt>
              </c:numCache>
            </c:numRef>
          </c:val>
          <c:smooth val="1"/>
        </c:ser>
        <c:ser>
          <c:idx val="1"/>
          <c:order val="1"/>
          <c:tx>
            <c:v>prihodi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indikatori'!$AP$3:$BB$3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'Fiskalni indikatori'!$AP$10:$BB$10</c:f>
              <c:numCache>
                <c:formatCode>0.00,,</c:formatCode>
                <c:ptCount val="13"/>
                <c:pt idx="0">
                  <c:v>115202243.73</c:v>
                </c:pt>
                <c:pt idx="1">
                  <c:v>211001406.72000003</c:v>
                </c:pt>
                <c:pt idx="2">
                  <c:v>113295050.42000002</c:v>
                </c:pt>
                <c:pt idx="3">
                  <c:v>207763285.97</c:v>
                </c:pt>
                <c:pt idx="4">
                  <c:v>129185422.13000003</c:v>
                </c:pt>
                <c:pt idx="5">
                  <c:v>102422050.79000002</c:v>
                </c:pt>
                <c:pt idx="6">
                  <c:v>137103444.75000006</c:v>
                </c:pt>
                <c:pt idx="7">
                  <c:v>114656318.84</c:v>
                </c:pt>
                <c:pt idx="8">
                  <c:v>109865593.31000003</c:v>
                </c:pt>
                <c:pt idx="9">
                  <c:v>175598584.03999996</c:v>
                </c:pt>
                <c:pt idx="10">
                  <c:v>87859519.030000031</c:v>
                </c:pt>
                <c:pt idx="11">
                  <c:v>112886506.54999998</c:v>
                </c:pt>
                <c:pt idx="12">
                  <c:v>131114288.21999998</c:v>
                </c:pt>
              </c:numCache>
            </c:numRef>
          </c:val>
          <c:smooth val="1"/>
        </c:ser>
        <c:marker val="1"/>
        <c:axId val="93655808"/>
        <c:axId val="93657344"/>
      </c:lineChart>
      <c:catAx>
        <c:axId val="936558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93657344"/>
        <c:crosses val="autoZero"/>
        <c:auto val="1"/>
        <c:lblAlgn val="ctr"/>
        <c:lblOffset val="100"/>
        <c:tickLblSkip val="3"/>
      </c:catAx>
      <c:valAx>
        <c:axId val="93657344"/>
        <c:scaling>
          <c:orientation val="minMax"/>
          <c:max val="21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3655808"/>
        <c:crosses val="autoZero"/>
        <c:crossBetween val="between"/>
        <c:majorUnit val="30000000"/>
      </c:valAx>
      <c:valAx>
        <c:axId val="93659904"/>
        <c:scaling>
          <c:orientation val="minMax"/>
          <c:max val="60000000"/>
          <c:min val="-10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3661440"/>
        <c:crosses val="max"/>
        <c:crossBetween val="between"/>
        <c:majorUnit val="20000000"/>
      </c:valAx>
      <c:catAx>
        <c:axId val="93661440"/>
        <c:scaling>
          <c:orientation val="minMax"/>
        </c:scaling>
        <c:delete val="1"/>
        <c:axPos val="b"/>
        <c:numFmt formatCode="General" sourceLinked="1"/>
        <c:tickLblPos val="none"/>
        <c:crossAx val="93659904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10521"/>
          <c:h val="0.16721526006433338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20060929058175841"/>
          <c:y val="7.575745251059772E-2"/>
          <c:w val="0.62238854893960549"/>
          <c:h val="0.6423886436584570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indikatori'!$BB$10:$BN$10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2016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indikatori'!$BB$22:$BN$22</c:f>
              <c:numCache>
                <c:formatCode>#,##0</c:formatCode>
                <c:ptCount val="13"/>
                <c:pt idx="0">
                  <c:v>174208</c:v>
                </c:pt>
                <c:pt idx="1">
                  <c:v>174208</c:v>
                </c:pt>
                <c:pt idx="2">
                  <c:v>177865</c:v>
                </c:pt>
                <c:pt idx="3">
                  <c:v>180884</c:v>
                </c:pt>
                <c:pt idx="4">
                  <c:v>182444</c:v>
                </c:pt>
                <c:pt idx="5">
                  <c:v>181232</c:v>
                </c:pt>
                <c:pt idx="6">
                  <c:v>177027</c:v>
                </c:pt>
                <c:pt idx="7">
                  <c:v>174761</c:v>
                </c:pt>
                <c:pt idx="8">
                  <c:v>174402</c:v>
                </c:pt>
                <c:pt idx="9">
                  <c:v>172517</c:v>
                </c:pt>
                <c:pt idx="10">
                  <c:v>170434</c:v>
                </c:pt>
                <c:pt idx="11">
                  <c:v>170922</c:v>
                </c:pt>
                <c:pt idx="12" formatCode="#,##0.0">
                  <c:v>172098</c:v>
                </c:pt>
              </c:numCache>
            </c:numRef>
          </c:val>
        </c:ser>
        <c:marker val="1"/>
        <c:axId val="93793280"/>
        <c:axId val="93820032"/>
      </c:lineChart>
      <c:lineChart>
        <c:grouping val="standard"/>
        <c:ser>
          <c:idx val="1"/>
          <c:order val="1"/>
          <c:marker>
            <c:symbol val="none"/>
          </c:marker>
          <c:cat>
            <c:strRef>
              <c:f>'Makroekonomski indikatori'!$BB$10:$BN$10</c:f>
              <c:strCache>
                <c:ptCount val="13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2016</c:v>
                </c:pt>
                <c:pt idx="11">
                  <c:v>II</c:v>
                </c:pt>
                <c:pt idx="12">
                  <c:v>III</c:v>
                </c:pt>
              </c:strCache>
            </c:strRef>
          </c:cat>
          <c:val>
            <c:numRef>
              <c:f>'Makroekonomski indikatori'!$BB$23:$BN$23</c:f>
              <c:numCache>
                <c:formatCode>#,##0</c:formatCode>
                <c:ptCount val="13"/>
                <c:pt idx="0">
                  <c:v>34903</c:v>
                </c:pt>
                <c:pt idx="1">
                  <c:v>33975</c:v>
                </c:pt>
                <c:pt idx="2">
                  <c:v>32347</c:v>
                </c:pt>
                <c:pt idx="3">
                  <c:v>31092</c:v>
                </c:pt>
                <c:pt idx="4">
                  <c:v>31277</c:v>
                </c:pt>
                <c:pt idx="5">
                  <c:v>33073</c:v>
                </c:pt>
                <c:pt idx="6">
                  <c:v>33773</c:v>
                </c:pt>
                <c:pt idx="7">
                  <c:v>36363</c:v>
                </c:pt>
                <c:pt idx="8">
                  <c:v>37930</c:v>
                </c:pt>
                <c:pt idx="9">
                  <c:v>39991</c:v>
                </c:pt>
                <c:pt idx="10">
                  <c:v>41191</c:v>
                </c:pt>
                <c:pt idx="11">
                  <c:v>42616</c:v>
                </c:pt>
                <c:pt idx="12" formatCode="#,##0.0">
                  <c:v>42406</c:v>
                </c:pt>
              </c:numCache>
            </c:numRef>
          </c:val>
        </c:ser>
        <c:marker val="1"/>
        <c:axId val="101458688"/>
        <c:axId val="93821952"/>
      </c:lineChart>
      <c:catAx>
        <c:axId val="93793280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3820032"/>
        <c:crosses val="autoZero"/>
        <c:auto val="1"/>
        <c:lblAlgn val="ctr"/>
        <c:lblOffset val="100"/>
      </c:catAx>
      <c:valAx>
        <c:axId val="93820032"/>
        <c:scaling>
          <c:orientation val="minMax"/>
          <c:min val="164000"/>
        </c:scaling>
        <c:axPos val="l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93793280"/>
        <c:crosses val="autoZero"/>
        <c:crossBetween val="between"/>
        <c:dispUnits>
          <c:builtInUnit val="thousands"/>
        </c:dispUnits>
      </c:valAx>
      <c:valAx>
        <c:axId val="93821952"/>
        <c:scaling>
          <c:orientation val="maxMin"/>
          <c:max val="43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101458688"/>
        <c:crosses val="max"/>
        <c:crossBetween val="between"/>
        <c:dispUnits>
          <c:builtInUnit val="thousands"/>
        </c:dispUnits>
      </c:valAx>
      <c:catAx>
        <c:axId val="101458688"/>
        <c:scaling>
          <c:orientation val="minMax"/>
        </c:scaling>
        <c:delete val="1"/>
        <c:axPos val="t"/>
        <c:tickLblPos val="none"/>
        <c:crossAx val="93821952"/>
        <c:crosses val="autoZero"/>
        <c:auto val="1"/>
        <c:lblAlgn val="ctr"/>
        <c:lblOffset val="100"/>
      </c:catAx>
    </c:plotArea>
    <c:plotVisOnly val="1"/>
  </c:chart>
  <c:spPr>
    <a:noFill/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6.2161419205669595E-2"/>
          <c:y val="7.0324078971894369E-2"/>
          <c:w val="0.89480873185412979"/>
          <c:h val="0.8049904459913958"/>
        </c:manualLayout>
      </c:layout>
      <c:barChart>
        <c:barDir val="col"/>
        <c:grouping val="clustered"/>
        <c:ser>
          <c:idx val="0"/>
          <c:order val="0"/>
          <c:tx>
            <c:strRef>
              <c:f>'[Spoljnotrgovinska razmjena Crne Gore  januar-mart 2016_god_.xls]Tabela 1'!$I$3</c:f>
              <c:strCache>
                <c:ptCount val="1"/>
                <c:pt idx="0">
                  <c:v>Izvoz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sr-Latn-CS"/>
              </a:p>
            </c:txPr>
            <c:showVal val="1"/>
          </c:dLbls>
          <c:cat>
            <c:strRef>
              <c:f>'[Spoljnotrgovinska razmjena Crne Gore  januar-mart 2016_god_.xls]Tabela 1'!$H$4:$H$8</c:f>
              <c:strCache>
                <c:ptCount val="5"/>
                <c:pt idx="0">
                  <c:v>Q1-15</c:v>
                </c:pt>
                <c:pt idx="1">
                  <c:v>Q2-15</c:v>
                </c:pt>
                <c:pt idx="2">
                  <c:v>Q3-15</c:v>
                </c:pt>
                <c:pt idx="3">
                  <c:v>Q4-15</c:v>
                </c:pt>
                <c:pt idx="4">
                  <c:v>Q1-16</c:v>
                </c:pt>
              </c:strCache>
            </c:strRef>
          </c:cat>
          <c:val>
            <c:numRef>
              <c:f>'[Spoljnotrgovinska razmjena Crne Gore  januar-mart 2016_god_.xls]Tabela 1'!$I$4:$I$8</c:f>
              <c:numCache>
                <c:formatCode>#,##0.0</c:formatCode>
                <c:ptCount val="5"/>
                <c:pt idx="0">
                  <c:v>74.5</c:v>
                </c:pt>
                <c:pt idx="1">
                  <c:v>69.8</c:v>
                </c:pt>
                <c:pt idx="2">
                  <c:v>74.5</c:v>
                </c:pt>
                <c:pt idx="3">
                  <c:v>98.3</c:v>
                </c:pt>
                <c:pt idx="4">
                  <c:v>58.6</c:v>
                </c:pt>
              </c:numCache>
            </c:numRef>
          </c:val>
        </c:ser>
        <c:dLbls>
          <c:showVal val="1"/>
        </c:dLbls>
        <c:overlap val="-25"/>
        <c:axId val="101586432"/>
        <c:axId val="101834752"/>
      </c:barChart>
      <c:catAx>
        <c:axId val="1015864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1834752"/>
        <c:crosses val="autoZero"/>
        <c:auto val="1"/>
        <c:lblAlgn val="ctr"/>
        <c:lblOffset val="100"/>
      </c:catAx>
      <c:valAx>
        <c:axId val="101834752"/>
        <c:scaling>
          <c:orientation val="minMax"/>
        </c:scaling>
        <c:delete val="1"/>
        <c:axPos val="l"/>
        <c:numFmt formatCode="#,##0.0" sourceLinked="1"/>
        <c:tickLblPos val="none"/>
        <c:crossAx val="1015864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autoTitleDeleted val="1"/>
    <c:plotArea>
      <c:layout>
        <c:manualLayout>
          <c:layoutTarget val="inner"/>
          <c:xMode val="edge"/>
          <c:yMode val="edge"/>
          <c:x val="0.21752269118019046"/>
          <c:y val="7.6335877862595422E-2"/>
          <c:w val="0.72455208501780799"/>
          <c:h val="0.70298331029232031"/>
        </c:manualLayout>
      </c:layout>
      <c:barChart>
        <c:barDir val="col"/>
        <c:grouping val="clustered"/>
        <c:ser>
          <c:idx val="0"/>
          <c:order val="0"/>
          <c:tx>
            <c:v>kapital banaka</c:v>
          </c:tx>
          <c:cat>
            <c:strRef>
              <c:f>'Agregatni bilans'!$R$116:$R$128</c:f>
              <c:strCache>
                <c:ptCount val="13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June</c:v>
                </c:pt>
                <c:pt idx="4">
                  <c:v>July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  <c:pt idx="12">
                  <c:v>Mar</c:v>
                </c:pt>
              </c:strCache>
            </c:strRef>
          </c:cat>
          <c:val>
            <c:numRef>
              <c:f>'Agregatni bilans'!$P$116:$P$128</c:f>
              <c:numCache>
                <c:formatCode>#,##0_ </c:formatCode>
                <c:ptCount val="13"/>
                <c:pt idx="0">
                  <c:v>447125000</c:v>
                </c:pt>
                <c:pt idx="1">
                  <c:v>458501000</c:v>
                </c:pt>
                <c:pt idx="2">
                  <c:v>456314000</c:v>
                </c:pt>
                <c:pt idx="3">
                  <c:v>455293000</c:v>
                </c:pt>
                <c:pt idx="4">
                  <c:v>470080000</c:v>
                </c:pt>
                <c:pt idx="5">
                  <c:v>477792000</c:v>
                </c:pt>
                <c:pt idx="6">
                  <c:v>465380000</c:v>
                </c:pt>
                <c:pt idx="7">
                  <c:v>468357000</c:v>
                </c:pt>
                <c:pt idx="8">
                  <c:v>473069000</c:v>
                </c:pt>
                <c:pt idx="9">
                  <c:v>462474000</c:v>
                </c:pt>
                <c:pt idx="10">
                  <c:v>469072000</c:v>
                </c:pt>
                <c:pt idx="11">
                  <c:v>469210000</c:v>
                </c:pt>
                <c:pt idx="12">
                  <c:v>469926000</c:v>
                </c:pt>
              </c:numCache>
            </c:numRef>
          </c:val>
        </c:ser>
        <c:gapWidth val="56"/>
        <c:axId val="102263040"/>
        <c:axId val="102422400"/>
      </c:barChart>
      <c:catAx>
        <c:axId val="102263040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sr-Latn-CS"/>
          </a:p>
        </c:txPr>
        <c:crossAx val="102422400"/>
        <c:crosses val="autoZero"/>
        <c:auto val="1"/>
        <c:lblAlgn val="ctr"/>
        <c:lblOffset val="100"/>
      </c:catAx>
      <c:valAx>
        <c:axId val="102422400"/>
        <c:scaling>
          <c:orientation val="minMax"/>
        </c:scaling>
        <c:axPos val="l"/>
        <c:numFmt formatCode="#,##0_ " sourceLinked="0"/>
        <c:tickLblPos val="nextTo"/>
        <c:txPr>
          <a:bodyPr/>
          <a:lstStyle/>
          <a:p>
            <a:pPr>
              <a:defRPr sz="600"/>
            </a:pPr>
            <a:endParaRPr lang="sr-Latn-CS"/>
          </a:p>
        </c:txPr>
        <c:crossAx val="102263040"/>
        <c:crosses val="autoZero"/>
        <c:crossBetween val="between"/>
        <c:dispUnits>
          <c:builtInUnit val="millions"/>
        </c:dispUnits>
      </c:valAx>
    </c:plotArea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zaposlenih</a:t>
          </a:r>
          <a:endParaRPr lang="sr-Latn-CS" sz="700"/>
        </a:p>
      </cdr:txBody>
    </cdr:sp>
  </cdr:relSizeAnchor>
  <cdr:relSizeAnchor xmlns:cdr="http://schemas.openxmlformats.org/drawingml/2006/chartDrawing">
    <cdr:from>
      <cdr:x>0.27888</cdr:x>
      <cdr:y>0.58978</cdr:y>
    </cdr:from>
    <cdr:to>
      <cdr:x>0.7603</cdr:x>
      <cdr:y>0.77938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32594" y="938213"/>
          <a:ext cx="919398" cy="301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nezaposlenih</a:t>
          </a:r>
          <a:endParaRPr lang="sr-Latn-CS" sz="7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685AB-7DC9-499B-AF48-97BDF7D2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branko.krvavac</dc:creator>
  <cp:lastModifiedBy>branko.krvavac</cp:lastModifiedBy>
  <cp:revision>97</cp:revision>
  <dcterms:created xsi:type="dcterms:W3CDTF">2016-03-07T09:01:00Z</dcterms:created>
  <dcterms:modified xsi:type="dcterms:W3CDTF">2016-05-12T10:00:00Z</dcterms:modified>
</cp:coreProperties>
</file>