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3C" w:rsidRPr="005F457F" w:rsidRDefault="003E1A3C" w:rsidP="003E1A3C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IZVJEŠTAJ O RADU</w:t>
      </w:r>
    </w:p>
    <w:p w:rsidR="003E1A3C" w:rsidRPr="005F457F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ODJELJENJA ZA UNUTRAŠNJU KONTROLU POLICIJE</w:t>
      </w:r>
    </w:p>
    <w:p w:rsidR="003E1A3C" w:rsidRPr="005F457F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ZA 2024. GODINU</w:t>
      </w:r>
    </w:p>
    <w:p w:rsidR="003E1A3C" w:rsidRPr="005F457F" w:rsidRDefault="003E1A3C" w:rsidP="003E1A3C">
      <w:pPr>
        <w:spacing w:after="0" w:line="240" w:lineRule="auto"/>
        <w:rPr>
          <w:rFonts w:ascii="Arial" w:hAnsi="Arial" w:cs="Arial"/>
          <w:i/>
          <w:lang w:val="sr-Latn-ME"/>
        </w:rPr>
      </w:pPr>
    </w:p>
    <w:p w:rsidR="003E1A3C" w:rsidRPr="005F457F" w:rsidRDefault="003E1A3C" w:rsidP="003E1A3C">
      <w:pPr>
        <w:pStyle w:val="BodyText"/>
        <w:rPr>
          <w:rFonts w:ascii="Arial" w:hAnsi="Arial" w:cs="Arial"/>
          <w:b w:val="0"/>
          <w:sz w:val="22"/>
          <w:szCs w:val="22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Odjeljenje za unutrašnju kontrolu policije je, u skladu sa poslovima i ovlašćenjima unutrašnje kontrole policije utvrđenim Zakonom o unutrašnjim poslovima u 2024.godini obavljalo kontrolne, operativne, instruktivne i druge poslove u oblasti unutrašnje kontrole rada policije koji su obuhvatali:</w:t>
      </w:r>
    </w:p>
    <w:p w:rsidR="003E1A3C" w:rsidRPr="005F457F" w:rsidRDefault="003E1A3C" w:rsidP="003E1A3C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ab/>
      </w:r>
    </w:p>
    <w:p w:rsidR="003E1A3C" w:rsidRPr="005F457F" w:rsidRDefault="003E1A3C" w:rsidP="003E1A3C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ab/>
        <w:t xml:space="preserve">● Neposrednu kontrolu zakonitosti vršenja policijskih poslova i primjene policijskih ovlašćenja od strane službenika Uprave policije, na osnovu operativnih saznanja, obavještenja ili drugih načina saznanja o mogućim nepravilnostima ili nezakonitostima u radu policijskih službenika, o čemu su podnešeni odgovarajući izvještaji koji su, pored konstatacija utvrđenog stanja, obuhvatali i podnošenje predloga za pokretanje disciplinskih postupaka i preduzimanje mjera u cilju utvrđivanja krivične odgovornosti policijskih službenika ili instrukcije za dosljedniju primjenu policijskih ovlašćenja i zakonito postupanje; </w:t>
      </w:r>
    </w:p>
    <w:p w:rsidR="003E1A3C" w:rsidRPr="005F457F" w:rsidRDefault="003E1A3C" w:rsidP="003E1A3C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ab/>
      </w:r>
    </w:p>
    <w:p w:rsidR="003E1A3C" w:rsidRPr="005F457F" w:rsidRDefault="003E1A3C" w:rsidP="003E1A3C">
      <w:pPr>
        <w:tabs>
          <w:tab w:val="num" w:pos="540"/>
        </w:tabs>
        <w:spacing w:after="0" w:line="240" w:lineRule="auto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ab/>
        <w:t>● Provjere i analize pritužbi građana na rad i postupanje policijskih službenika Uprave policije i ocjenjivanje osnovanosti pritužbi. U slučajevima u kojima je utvrđena osnovanost pritužbi, preduzimane su mjere u cilju utvrđivanja disciplinske ili krivične odgovornosti policijskih službenika, koji su zloupotrebom ili prekoračenjem službenih ovlašćenja, nesavjesnim radom ili na drugi način ugrozili ustavna prava i slobode građana;</w:t>
      </w:r>
    </w:p>
    <w:p w:rsidR="003E1A3C" w:rsidRPr="005F457F" w:rsidRDefault="003E1A3C" w:rsidP="003E1A3C">
      <w:pPr>
        <w:spacing w:after="0" w:line="240" w:lineRule="auto"/>
        <w:ind w:firstLine="567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● Sprovođenje stalnih aktivnosti praćenja zakonitosti postupanja u vršenju policijskih poslova u organizacionim jedinicama Uprave policije i primjene policijskih ovlašćenja, kao i drugih aktivnosti u smislu davanja sugestija i preporuka rukovodiocima organizacionih jedinica Uprave policije u cilju zakonite i efikasne praktične primjene zakonskih propisa iz oblasti policijskih poslova i primjene policijskih ovlašćenja.</w:t>
      </w:r>
    </w:p>
    <w:p w:rsidR="003E1A3C" w:rsidRPr="005F457F" w:rsidRDefault="003E1A3C" w:rsidP="003E1A3C">
      <w:pPr>
        <w:pStyle w:val="BodyText"/>
        <w:ind w:firstLine="720"/>
        <w:rPr>
          <w:rFonts w:ascii="Arial" w:hAnsi="Arial" w:cs="Arial"/>
          <w:b w:val="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BodyText"/>
        <w:ind w:firstLine="720"/>
        <w:rPr>
          <w:rFonts w:ascii="Arial" w:hAnsi="Arial" w:cs="Arial"/>
          <w:b w:val="0"/>
          <w:sz w:val="22"/>
          <w:szCs w:val="22"/>
          <w:lang w:val="sr-Latn-ME"/>
        </w:rPr>
      </w:pPr>
      <w:r w:rsidRPr="005F457F">
        <w:rPr>
          <w:rFonts w:ascii="Arial" w:hAnsi="Arial" w:cs="Arial"/>
          <w:b w:val="0"/>
          <w:sz w:val="22"/>
          <w:szCs w:val="22"/>
          <w:lang w:val="sr-Latn-ME"/>
        </w:rPr>
        <w:t>U okviru naznačenih poslova i ovlašćenja unutrašnje kontrole policije, Odjeljenje za unutrašnju kontrolu policije je u toku 2024.godine preduzimalo veći broj aktivnosti, od kojih se, kao naznačajnije, ističu slijedeće:</w:t>
      </w:r>
    </w:p>
    <w:p w:rsidR="003E1A3C" w:rsidRPr="005F457F" w:rsidRDefault="003E1A3C" w:rsidP="003E1A3C">
      <w:pPr>
        <w:pStyle w:val="BodyText"/>
        <w:ind w:firstLine="720"/>
        <w:rPr>
          <w:rFonts w:ascii="Arial" w:hAnsi="Arial" w:cs="Arial"/>
          <w:b w:val="0"/>
          <w:sz w:val="22"/>
          <w:szCs w:val="22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Službenici Odjeljenja za unutrašnju kontrolu policije su u toku 2024.godine, izvršili  ukupno 134 unutrašnje kontrole – provjere zakonitosti postupanja policijskih službenika, na osnovu operativnih i drugih saznanja o mogućim nezakonitostima i nepravilnostima u radu i postupanju policijskih službenika, kao i na osnovu pritužbi građana na postupanje policijskih  službenika.</w:t>
      </w:r>
    </w:p>
    <w:p w:rsidR="006F5BCB" w:rsidRDefault="006F5BCB" w:rsidP="003E1A3C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:rsidR="003E1A3C" w:rsidRPr="005F457F" w:rsidRDefault="003E1A3C" w:rsidP="003E1A3C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■ Kontrole zakonitosti vršenja policijskih poslova</w:t>
      </w:r>
    </w:p>
    <w:p w:rsidR="003E1A3C" w:rsidRPr="005F457F" w:rsidRDefault="003E1A3C" w:rsidP="003E1A3C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i primjene policijskih ovlašćenja</w:t>
      </w:r>
      <w:r w:rsidR="009F37D8">
        <w:rPr>
          <w:rFonts w:ascii="Arial" w:hAnsi="Arial" w:cs="Arial"/>
          <w:b/>
          <w:lang w:val="sr-Latn-ME"/>
        </w:rPr>
        <w:t xml:space="preserve"> (59)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Službenici Odjeljenja za unutrašnju kontrolu policije su toku 2024.godine izvršili  59  kontrola – provjera zakonitosti postupanja policijskih službenika, na osnovu operativnih i drugih saznanja o mogućim nezakonitostima i nepravilnostima u radu i postupanju policijskih službenika.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color w:val="5B9BD5" w:themeColor="accent1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 xml:space="preserve">Nakon sprovedenih postupaka provjera, </w:t>
      </w:r>
      <w:r w:rsidRPr="005F457F">
        <w:rPr>
          <w:rFonts w:ascii="Arial" w:hAnsi="Arial" w:cs="Arial"/>
          <w:b/>
          <w:lang w:val="sr-Latn-ME"/>
        </w:rPr>
        <w:t>u 23 slučaja</w:t>
      </w:r>
      <w:r w:rsidRPr="005F457F">
        <w:rPr>
          <w:rFonts w:ascii="Arial" w:hAnsi="Arial" w:cs="Arial"/>
          <w:lang w:val="sr-Latn-ME"/>
        </w:rPr>
        <w:t>, (38,98% od ukupnog broja kontrola) izvršene kontrole imale su za rezultat konstatovanje propusta, nepravilnosti ili nezakonitosti u postupanju policijskih službenika.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Na osnovu izvršenih provjera u ovim slučajevima, Odjeljenje za unutrašnju kontrolu policije je preduzelo slijedeće mjere: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color w:val="5B9BD5" w:themeColor="accent1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■■ </w:t>
      </w:r>
      <w:r w:rsidRPr="005F457F">
        <w:rPr>
          <w:rFonts w:ascii="Arial" w:hAnsi="Arial" w:cs="Arial"/>
          <w:b/>
          <w:sz w:val="22"/>
          <w:szCs w:val="22"/>
          <w:u w:val="single"/>
          <w:lang w:val="sr-Latn-ME"/>
        </w:rPr>
        <w:t>u 10 slučajeva, direktoru Uprave policije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 na dalji postupak dostavilo izvještaje o izvršenim kontrolama, u cilju pokretanja disciplinskog postupka protiv </w:t>
      </w:r>
      <w:r w:rsidRPr="005F457F">
        <w:rPr>
          <w:rFonts w:ascii="Arial" w:hAnsi="Arial" w:cs="Arial"/>
          <w:b/>
          <w:sz w:val="22"/>
          <w:szCs w:val="22"/>
          <w:lang w:val="sr-Latn-ME"/>
        </w:rPr>
        <w:t>25 policijskih službenika,</w:t>
      </w:r>
      <w:r w:rsidRPr="005F457F">
        <w:rPr>
          <w:rFonts w:ascii="Arial" w:hAnsi="Arial" w:cs="Arial"/>
          <w:sz w:val="22"/>
          <w:szCs w:val="22"/>
          <w:lang w:val="sr-Latn-ME"/>
        </w:rPr>
        <w:t>za koje je utvrđeno postojanje osnovane sumnje da su radnjama i postupanjem počinili teže povrede službene dužnosti, i to protiv: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● osam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policijskih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čl.95 st.1 t.1Zakona o državnim službenicima i namještenicima (neizvršavanje ili nesavjesno ili neblagovremeno ili nemarno vršenje službenih obaveza), dok su tri policijska službenika, od navedenih osam, ovu težu povredu službene dužnosti počinili u sticaju sa težom povredom službene dužnosti iz člana 173 st. 1 t. 24Zakona o unutrašnjim poslovima (nesačinjavanje ili neblagovremeno ili nepotpuno ili neuredno sačinjavanje službenog dokumenta o preduzimanju službene radnje ili primjeni policijskog ovlašćenja);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●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osam policijskih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t.3 Zakona o unutrašnjim poslovima (preduzimanje ili nepreduzimanje radnje kojom se onemogućava ili otežava obavljanje policijskih poslova i izvršavanje službenih zadataka), dok su pet policijskih službenika ovu težu povredu službene dužnosti počinili u sticaju sa težom povredom službene dužnosti iz člana 95 st.1 t.11 Zakona o državnim službenicima i namještenicima (davanje netačnih podataka koji su od uticaja na donošenje odluke), a jedan policijski službenik je ovu težu povredu službene dužnosti počinio u sticaju sa težom povredom službene dužnosti iz člana 173 st.1 t.22 Zakona o unutrašnjim poslovima (nepreduzimanje ili nedovoljno preduzimanje 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  dva policijska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t.21 Zakona o unutrašnjim poslovima (nepostupanje po usmenom ili pisanom zahtjevu službenika ovlašćenog za vršenje poslova unutrašnje kontrole Policije ili ometanje obavljanja poslova unutrašnje kontrole);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dva policijska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t.22 Zakona o unutrašnjim poslovima (nepreduzimanje ili nedovoljno preduzimanje mjera za bezbjednost lica, imovine i povjerenih stvari);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  jednog policijskog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t.24 Zakona o unutrašnjim poslovima (nesačinjavanje ili neblagovremeno ili nepotpuno ili neuredno sačinjavanje službenog dokumenta o preduzimanju službene radnje ili primjeni policijskog ovlašćenja);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jednog policijskog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čl.95 st.1 t.3 Zakona o državnim službenicima i namještenicima (nepravilno korišćenje i raspolaganje povjerenim sredstvima);</w:t>
      </w:r>
    </w:p>
    <w:p w:rsidR="003E1A3C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jednog policijskog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čl.95 st.1 t.4 Zakona o državnim službenicima i namještenicima (zloupotreba službenog položaja ili prekoračenje ovlašćenja u službi);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51FE5" w:rsidRDefault="00851FE5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51FE5" w:rsidRDefault="00851FE5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851FE5" w:rsidRDefault="00851FE5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lastRenderedPageBreak/>
        <w:t xml:space="preserve">● jednog policijskog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t.19 Zakona o unutrašnjim poslovima (prikrivanje izvršenja teže povrede službene dužnosti i nepodnošenje predloga za pokretanje disciplinskog postupka);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● jednog policijskog službenika 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– zbog teže povrede službene dužnosti iz čl.173 st.1 t. 20  Zakona o unutrašnjim poslovima (davanje izjava i saopštenja u vezi ili povodom vršenja policijskih poslova bez odobrenja ministra ili lica koje on ovlasti) u sticaju sa težom povredom službene dužnosti iz čl.173 st.1 t.25 Zakona o unutrašnjim poslovima (povreda pravila i standarda utvrđenih Kodeksom policijske etike).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*I pored toga što su Izvještaji sa spisima sačinjenim u postupcima unutrašnje kontrole dostavljeni v.d. direktora Uprave policije</w:t>
      </w:r>
      <w:r w:rsidRPr="005F457F">
        <w:rPr>
          <w:rFonts w:ascii="Arial" w:hAnsi="Arial" w:cs="Arial"/>
          <w:b/>
          <w:sz w:val="22"/>
          <w:szCs w:val="22"/>
          <w:lang w:val="sr-Latn-ME"/>
        </w:rPr>
        <w:t>, u 5 slučajeva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 (</w:t>
      </w:r>
      <w:r w:rsidRPr="005F457F">
        <w:rPr>
          <w:rFonts w:ascii="Arial" w:hAnsi="Arial" w:cs="Arial"/>
          <w:b/>
          <w:sz w:val="22"/>
          <w:szCs w:val="22"/>
          <w:lang w:val="sr-Latn-ME"/>
        </w:rPr>
        <w:t>od naznačenih 10 predmeta</w:t>
      </w:r>
      <w:r w:rsidRPr="005F457F">
        <w:rPr>
          <w:rFonts w:ascii="Arial" w:hAnsi="Arial" w:cs="Arial"/>
          <w:sz w:val="22"/>
          <w:szCs w:val="22"/>
          <w:lang w:val="sr-Latn-ME"/>
        </w:rPr>
        <w:t>) Izvještaji o izvršenim kontrolama, sa spisima predmeta, dostavljeni su na dalji postupak i nadležnim državnim tužilaštvima, zbog postojanja osnova sumnje da su se u radnjama i postupanju policijskih službenika stekla obilježja nekog od krivičnih djela za koje se gonjenje preduzima po službenoj dužnosti.</w:t>
      </w:r>
    </w:p>
    <w:p w:rsidR="003E1A3C" w:rsidRPr="005F457F" w:rsidRDefault="003E1A3C" w:rsidP="003E1A3C">
      <w:pPr>
        <w:pStyle w:val="CommentText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  <w:r w:rsidRPr="005F457F">
        <w:rPr>
          <w:rFonts w:ascii="Arial" w:hAnsi="Arial" w:cs="Arial"/>
          <w:lang w:val="sr-Latn-ME"/>
        </w:rPr>
        <w:t>■</w:t>
      </w:r>
      <w:r w:rsidRPr="005F457F">
        <w:rPr>
          <w:rFonts w:ascii="Arial" w:hAnsi="Arial" w:cs="Arial"/>
          <w:b/>
          <w:lang w:val="sr-Latn-ME"/>
        </w:rPr>
        <w:t xml:space="preserve">■ </w:t>
      </w:r>
      <w:r w:rsidRPr="005F457F">
        <w:rPr>
          <w:rFonts w:ascii="Arial" w:hAnsi="Arial" w:cs="Arial"/>
          <w:b/>
          <w:iCs/>
          <w:u w:val="single"/>
          <w:lang w:val="sr-Latn-ME"/>
        </w:rPr>
        <w:t xml:space="preserve">u tri slučaja </w:t>
      </w:r>
      <w:r w:rsidRPr="005F457F">
        <w:rPr>
          <w:rFonts w:ascii="Arial" w:hAnsi="Arial" w:cs="Arial"/>
          <w:iCs/>
          <w:lang w:val="sr-Latn-ME"/>
        </w:rPr>
        <w:t xml:space="preserve">Izvještaji o izvršenim provjerama, sa spisima predmeta, dostavljeni su Etičkom odboru Ministarstva na ocjenu etičnosti ponašanja </w:t>
      </w:r>
      <w:r w:rsidRPr="005F457F">
        <w:rPr>
          <w:rFonts w:ascii="Arial" w:hAnsi="Arial" w:cs="Arial"/>
          <w:b/>
          <w:iCs/>
          <w:lang w:val="sr-Latn-ME"/>
        </w:rPr>
        <w:t>osam</w:t>
      </w:r>
      <w:r w:rsidRPr="005F457F">
        <w:rPr>
          <w:rFonts w:ascii="Arial" w:hAnsi="Arial" w:cs="Arial"/>
          <w:iCs/>
          <w:lang w:val="sr-Latn-ME"/>
        </w:rPr>
        <w:t xml:space="preserve"> policijskih službenika.</w:t>
      </w: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  <w:r w:rsidRPr="005F457F">
        <w:rPr>
          <w:rFonts w:ascii="Arial" w:hAnsi="Arial" w:cs="Arial"/>
          <w:lang w:val="sr-Latn-ME"/>
        </w:rPr>
        <w:t>■</w:t>
      </w:r>
      <w:r w:rsidRPr="005F457F">
        <w:rPr>
          <w:rFonts w:ascii="Arial" w:hAnsi="Arial" w:cs="Arial"/>
          <w:b/>
          <w:lang w:val="sr-Latn-ME"/>
        </w:rPr>
        <w:t xml:space="preserve">■ </w:t>
      </w:r>
      <w:r w:rsidRPr="005F457F">
        <w:rPr>
          <w:rFonts w:ascii="Arial" w:hAnsi="Arial" w:cs="Arial"/>
          <w:b/>
          <w:iCs/>
          <w:u w:val="single"/>
          <w:lang w:val="sr-Latn-ME"/>
        </w:rPr>
        <w:t>u jednom slučaju</w:t>
      </w:r>
      <w:r>
        <w:rPr>
          <w:rFonts w:ascii="Arial" w:hAnsi="Arial" w:cs="Arial"/>
          <w:b/>
          <w:iCs/>
          <w:u w:val="single"/>
          <w:lang w:val="sr-Latn-ME"/>
        </w:rPr>
        <w:t xml:space="preserve"> </w:t>
      </w:r>
      <w:r w:rsidRPr="005F457F">
        <w:rPr>
          <w:rFonts w:ascii="Arial" w:hAnsi="Arial" w:cs="Arial"/>
          <w:iCs/>
          <w:lang w:val="sr-Latn-ME"/>
        </w:rPr>
        <w:t>Izvještaj o izvršenim provjeramasa spisima predmeta, dostavljen je nadležnom državnom tužilaštvu na dalji postupak, ocjenu i odlučivanje da li u radnjama policijskih rukovodilaca, koji su vršili raspored policijskih službenika van njihovog mjesta rada na dan izbora 30.08.2020.godine, ima elemenata krivičnog djela za koje se gonjenje preduzima po službenoj dužnosti.</w:t>
      </w: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  <w:r w:rsidRPr="005F457F">
        <w:rPr>
          <w:rFonts w:ascii="Arial" w:hAnsi="Arial" w:cs="Arial"/>
          <w:lang w:val="sr-Latn-ME"/>
        </w:rPr>
        <w:t>■</w:t>
      </w:r>
      <w:r w:rsidRPr="005F457F">
        <w:rPr>
          <w:rFonts w:ascii="Arial" w:hAnsi="Arial" w:cs="Arial"/>
          <w:b/>
          <w:lang w:val="sr-Latn-ME"/>
        </w:rPr>
        <w:t xml:space="preserve">■ </w:t>
      </w:r>
      <w:r w:rsidRPr="005F457F">
        <w:rPr>
          <w:rFonts w:ascii="Arial" w:hAnsi="Arial" w:cs="Arial"/>
          <w:b/>
          <w:iCs/>
          <w:u w:val="single"/>
          <w:lang w:val="sr-Latn-ME"/>
        </w:rPr>
        <w:t xml:space="preserve">u jednom slučaju </w:t>
      </w:r>
      <w:r w:rsidRPr="005F457F">
        <w:rPr>
          <w:rFonts w:ascii="Arial" w:hAnsi="Arial" w:cs="Arial"/>
          <w:iCs/>
          <w:lang w:val="sr-Latn-ME"/>
        </w:rPr>
        <w:t xml:space="preserve">Izvještaj o izvršenim provjeramasa spisima predmeta, dostavljen je nadležnom Direktoratu za bezbjednosno - nadzorne poslove, jer je navedeni direktorat nadležan za ocjenu i odlučivanje o tome da li je, od strane policijskih službenika, pravilno primijenjen odgovarajući član u vezi sa Zakonom o oružju. 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  <w:r w:rsidRPr="005F457F">
        <w:rPr>
          <w:rFonts w:ascii="Arial" w:hAnsi="Arial" w:cs="Arial"/>
          <w:lang w:val="sr-Latn-ME"/>
        </w:rPr>
        <w:t xml:space="preserve">■■ </w:t>
      </w:r>
      <w:r w:rsidRPr="005F457F">
        <w:rPr>
          <w:rFonts w:ascii="Arial" w:hAnsi="Arial" w:cs="Arial"/>
          <w:b/>
          <w:u w:val="single"/>
          <w:lang w:val="sr-Latn-ME"/>
        </w:rPr>
        <w:t>u tri slučaja,</w:t>
      </w:r>
      <w:r w:rsidRPr="005F457F">
        <w:rPr>
          <w:rFonts w:ascii="Arial" w:hAnsi="Arial" w:cs="Arial"/>
          <w:lang w:val="sr-Latn-ME"/>
        </w:rPr>
        <w:t xml:space="preserve"> na osnovu utvrđenog činjeničnog stanja i prikupljenih dokaza u postupcima unutrašnje kontrole u slučajevima koruptivnog ponašanja 11 policijskih službenika granične policije, isti su lišeni slobode i, uz krivičnu prijavu, sprovedeni nadležnim državnim tužilaštvima u Bijelom Polju, Herceg Novom i Podgorici, zbog osnovane sumnje da su počinili krivično djelo Primanje mita iz člana 423 KZCG, dok je, u kontinuiranoj akciji po izdatim potjernicama lišenoslobode ukupno 18 stranih državljana zbog krivičnog djela iz člana 424 Davanje mita</w:t>
      </w:r>
      <w:r w:rsidRPr="005F457F">
        <w:rPr>
          <w:rFonts w:ascii="Arial" w:hAnsi="Arial" w:cs="Arial"/>
          <w:b/>
          <w:lang w:val="sr-Latn-ME"/>
        </w:rPr>
        <w:t xml:space="preserve"> (</w:t>
      </w:r>
      <w:r w:rsidRPr="005F457F">
        <w:rPr>
          <w:rFonts w:ascii="Arial" w:hAnsi="Arial" w:cs="Arial"/>
          <w:b/>
          <w:iCs/>
          <w:lang w:val="sr-Latn-ME"/>
        </w:rPr>
        <w:t>KORUPTIVNO PONAŠANJE).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 xml:space="preserve">■ ■ </w:t>
      </w:r>
      <w:r w:rsidRPr="005F457F">
        <w:rPr>
          <w:rFonts w:ascii="Arial" w:hAnsi="Arial" w:cs="Arial"/>
          <w:b/>
          <w:u w:val="single"/>
          <w:lang w:val="sr-Latn-ME"/>
        </w:rPr>
        <w:t>u pet slučajeva</w:t>
      </w:r>
      <w:r w:rsidRPr="005F457F">
        <w:rPr>
          <w:rFonts w:ascii="Arial" w:hAnsi="Arial" w:cs="Arial"/>
          <w:lang w:val="sr-Latn-ME"/>
        </w:rPr>
        <w:t xml:space="preserve"> na osnovu utvrđenog činjeničnog stanja i prikupljenih dokaza u postupku unutrašnje kontrole, konstatovano je da su neposredni rukovodioci organizacionih jedinica u kojima su raspoređeni policijski službenici, već preduzeli zakonske mjere u cilju utvrđivanja: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- u tri slučaja disciplinske odgovornosti za tri policijska službenika;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- u jednom slučaju predmetni spisi dostavljeni Etičkom odboru Ministarstva unutrašnjih poslova u cilju na utvrđivanja povrede Kodeksa policijske etike za jednog policijskog službenika;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 xml:space="preserve">- u jednom slučaju preduzete su zakonske mjere na utvrđivanju postojanja elemenata krivične odgovornosti policijskog službenika osumnjičenog za krivično djelo – nedozvoljene polne radnje, usljed čega je uz krivičnu prijavu policijski službenik sproveden nadležnom državnom </w:t>
      </w:r>
      <w:r w:rsidRPr="005F457F">
        <w:rPr>
          <w:rFonts w:ascii="Arial" w:hAnsi="Arial" w:cs="Arial"/>
          <w:lang w:val="sr-Latn-ME"/>
        </w:rPr>
        <w:lastRenderedPageBreak/>
        <w:t>tužilaštvu i od strane neposrednog rukovodioca privremeno udaljen sa posla, do pravosnažnog okončanja sudskog postupka.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ISHODI NA OSNOVU PREDMETA UNUTRAŠNJE KONTROLE DOSTAVLJENIH TUŽILAŠTVIMA:</w:t>
      </w:r>
    </w:p>
    <w:p w:rsidR="003E1A3C" w:rsidRPr="005F457F" w:rsidRDefault="003E1A3C" w:rsidP="003E1A3C">
      <w:pPr>
        <w:spacing w:after="0" w:line="240" w:lineRule="auto"/>
        <w:ind w:right="-57" w:firstLine="708"/>
        <w:jc w:val="center"/>
        <w:rPr>
          <w:rFonts w:ascii="Arial" w:hAnsi="Arial" w:cs="Arial"/>
          <w:b/>
          <w:lang w:val="sr-Latn-ME"/>
        </w:rPr>
      </w:pPr>
    </w:p>
    <w:p w:rsidR="003E1A3C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*** Nadležna tužilaštva su u dva slučaja obavijestila Odjeljenje za unutrašnju kontrolu policije, da su protiv devet policijskih službenika podignute optužnice, i to za krivična djela: primanje mita iz člana 423 KZ CG od strane devet policijskih službenika.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*** U jednom slučaju protiv dva policijska službenika Osnovno državno tužilaštvo u Beranama je odbacilo krivičnu prijavu</w:t>
      </w:r>
      <w:r>
        <w:rPr>
          <w:rFonts w:ascii="Arial" w:hAnsi="Arial" w:cs="Arial"/>
          <w:lang w:val="sr-Latn-ME"/>
        </w:rPr>
        <w:t xml:space="preserve"> </w:t>
      </w:r>
      <w:r w:rsidRPr="005F457F">
        <w:rPr>
          <w:rFonts w:ascii="Arial" w:hAnsi="Arial" w:cs="Arial"/>
          <w:lang w:val="sr-Latn-ME"/>
        </w:rPr>
        <w:t>protiv ovih policijskih službenika, zbog krivičnog djela primanje mita iz člana 423 KZ CG, koju je tom tužilaštvu dostavilo Odjeljenje za unutrašnju kontrolu policije. Na navedenu Odluku Osnovnog državnog tužilaštva u Beranama, Odjeljenje za unutrašnju kontrolu policije je blagovremeno izjavilo pritužbu Višem državnom tužilaštvu u Bijelom Polju, koje je svojim aktom odbacilo pritužbu ovog Odjeljenja.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color w:val="5B9BD5" w:themeColor="accent1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***Od nadležnih tužilaštava u četiri slučaja Odjeljenju za unutrašnju kontrolu policije je stiglo obavještenje da u radnjama i postupanju četiri policijska službenika nema elemenata krivičnog djela za koje se gonjenje preduzima po službenoj dužnosti.</w:t>
      </w:r>
    </w:p>
    <w:p w:rsidR="003E1A3C" w:rsidRPr="005F457F" w:rsidRDefault="003E1A3C" w:rsidP="003E1A3C">
      <w:pPr>
        <w:spacing w:after="0" w:line="240" w:lineRule="auto"/>
        <w:ind w:right="-57" w:firstLine="708"/>
        <w:jc w:val="center"/>
        <w:rPr>
          <w:rFonts w:ascii="Arial" w:hAnsi="Arial" w:cs="Arial"/>
          <w:b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ISHODI NA OSNOVU  PREDMETA UNUTRAŠNJE KONTROLE DOSTAVLJENIH ETIČKOM ODBORU: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***Etički odbor je obavijestio Odjeljenje za unutrašnju kontrolu policije da je u dva slučaja došlo do povrede Kodeksa policijske etike od strane šest policijskih službenika.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spacing w:after="0" w:line="240" w:lineRule="auto"/>
        <w:ind w:right="-57" w:firstLine="708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SLUČAJEVI U KOJIMA UNUTRAŠNJOM KONTROLOM NIJESU UTVRĐENE NEPRAVILNOSTI I NEZAKONITOSTI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U preostalih 36 slučajeva, u postupcima kontrola nijesu utvrđene nepravilnosti ili nezakonitosti koje bi ukazivale na postojanje elemenata za disciplinsku ili drugu odgovornost policijskih službenika.</w:t>
      </w:r>
    </w:p>
    <w:p w:rsidR="003E1A3C" w:rsidRPr="005F457F" w:rsidRDefault="003E1A3C" w:rsidP="003E1A3C">
      <w:pPr>
        <w:spacing w:after="0" w:line="240" w:lineRule="auto"/>
        <w:ind w:right="-57" w:firstLine="708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Međutim, i pored toga što u predmetnim slučajevima nijesu utvrđeni dokazi o postojanju elemenata za disciplinsku ili drugu odgovornost policijskih službenika,</w:t>
      </w:r>
      <w:r w:rsidRPr="005F457F">
        <w:rPr>
          <w:rFonts w:ascii="Arial" w:hAnsi="Arial" w:cs="Arial"/>
          <w:iCs/>
          <w:lang w:val="sr-Latn-ME"/>
        </w:rPr>
        <w:t xml:space="preserve"> u 18 slučajeva u kojima se</w:t>
      </w:r>
      <w:r w:rsidRPr="005F457F">
        <w:rPr>
          <w:rFonts w:ascii="Arial" w:hAnsi="Arial" w:cs="Arial"/>
          <w:lang w:val="sr-Latn-ME"/>
        </w:rPr>
        <w:t xml:space="preserve"> radilo o navodima o nezakonitom postupanju policijskih službenika, izvještaji sa spisima predmeta sačinjenim u postupcima unutrašnje kontrole dostavljeni su nadležnim državnim tužilaštvima, na dalji postupak i konačnu ocjenu i odlučivanje o postojanju elemenata krivičnog djela u radnjama i postupanju policijskih službenika koji su preduzimali službene mjere i radnje.</w:t>
      </w: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color w:val="5B9BD5" w:themeColor="accent1"/>
          <w:lang w:val="sr-Latn-ME"/>
        </w:rPr>
      </w:pPr>
    </w:p>
    <w:p w:rsidR="003E1A3C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3E1A3C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3E1A3C" w:rsidRPr="005F457F" w:rsidRDefault="003E1A3C" w:rsidP="003E1A3C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SLUČAJEVI U KOJIMA JE ODJELJENJE ZA UNUTRAŠNJU KONTROLU POLICIJE POSTUPALO U ODNOSU NA NAVODE O ZLOSTAVLJANJU OD STRANE POLICIJSKIH SLUŽBENIKA</w:t>
      </w:r>
    </w:p>
    <w:p w:rsidR="003E1A3C" w:rsidRPr="005F457F" w:rsidRDefault="003E1A3C" w:rsidP="003E1A3C">
      <w:pPr>
        <w:spacing w:after="0" w:line="240" w:lineRule="auto"/>
        <w:ind w:right="-57" w:firstLine="720"/>
        <w:jc w:val="both"/>
        <w:rPr>
          <w:rFonts w:ascii="Arial" w:hAnsi="Arial" w:cs="Arial"/>
          <w:iCs/>
          <w:color w:val="5B9BD5" w:themeColor="accent1"/>
          <w:lang w:val="sr-Latn-ME"/>
        </w:rPr>
      </w:pP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 xml:space="preserve">***Od ukupnog broja kontrola po službenoj dužnosti (59) u 11 slučajeva su izvršene provjere povodom postupanja policijskih službenika u kojima je postojala sumnja u prekoračenje policijskih ovlašćenja i nezakonitu upotrebu prinude od strane policijskih službenika u vršenju službene dužnosti. </w:t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lastRenderedPageBreak/>
        <w:t>U svih 11 slučajeva, Izvještaji sa spisima sačinjenim u postupcima unutrašnje kontrole dostavljeni su nadležnim državnim tužilaštvima na dalji postupak, ocjenu i odlučivanje o tome da li su se u radnjama i postupanju policijskihj službenika stekli elementi krivičnog djela zlostavljanje iz člana 166a Krivičnog zakonika Crne Gore.</w:t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spacing w:line="240" w:lineRule="auto"/>
        <w:ind w:right="178" w:firstLine="720"/>
        <w:jc w:val="both"/>
        <w:rPr>
          <w:rFonts w:ascii="Arial" w:hAnsi="Arial" w:cs="Arial"/>
          <w:bCs/>
          <w:lang w:val="sr-Latn-ME"/>
        </w:rPr>
      </w:pPr>
      <w:r w:rsidRPr="005F457F">
        <w:rPr>
          <w:rFonts w:ascii="Arial" w:hAnsi="Arial" w:cs="Arial"/>
          <w:lang w:val="sr-Latn-ME"/>
        </w:rPr>
        <w:t>*U jednom od pomenutih slučajeva, i pored dostavljanja spisa predmeta nadležnom državnom tužilaštvu, n</w:t>
      </w:r>
      <w:r w:rsidRPr="005F457F">
        <w:rPr>
          <w:rFonts w:ascii="Arial" w:hAnsi="Arial" w:cs="Arial"/>
          <w:bCs/>
          <w:lang w:val="sr-Latn-ME"/>
        </w:rPr>
        <w:t>a osnovu činjenica i dokaza utvrđenih u postupku unutrašnje kontrole Izvještaj sa spisima sačinjenim u postupku kontrole dostavljen je direktoru Uprave policije u cilju  preduzimanja zakonskih mjera i pokretanja postupka za utvrđivanje disciplinske odgovornosti policijskog službenika OB Cetinje, zbog osnovane sumnje da su se u radnjama i postupanju ovog policijskog službenika stekla obilježja teže povrede službene dužnosti iz člana 173 stav 1 tačka 3 Zakona o unutrašnjim poslovima (preduzimanje ili nepreduzimanje radnje kojom se onemogućava ili otežava obavljanje policijskih poslova).</w:t>
      </w:r>
    </w:p>
    <w:p w:rsidR="003E1A3C" w:rsidRDefault="003E1A3C" w:rsidP="003E1A3C">
      <w:pPr>
        <w:spacing w:line="240" w:lineRule="auto"/>
        <w:ind w:right="178" w:firstLine="720"/>
        <w:jc w:val="center"/>
        <w:rPr>
          <w:rFonts w:ascii="Arial" w:hAnsi="Arial" w:cs="Arial"/>
          <w:b/>
          <w:bCs/>
          <w:lang w:val="sr-Latn-ME"/>
        </w:rPr>
      </w:pPr>
    </w:p>
    <w:p w:rsidR="003E1A3C" w:rsidRPr="005F457F" w:rsidRDefault="003E1A3C" w:rsidP="003E1A3C">
      <w:pPr>
        <w:spacing w:line="240" w:lineRule="auto"/>
        <w:ind w:right="178" w:firstLine="720"/>
        <w:jc w:val="center"/>
        <w:rPr>
          <w:rFonts w:ascii="Arial" w:hAnsi="Arial" w:cs="Arial"/>
          <w:b/>
          <w:bCs/>
          <w:lang w:val="sr-Latn-ME"/>
        </w:rPr>
      </w:pPr>
      <w:r w:rsidRPr="005F457F">
        <w:rPr>
          <w:rFonts w:ascii="Arial" w:hAnsi="Arial" w:cs="Arial"/>
          <w:b/>
          <w:bCs/>
          <w:lang w:val="sr-Latn-ME"/>
        </w:rPr>
        <w:t xml:space="preserve">ODGOVORI TUŽILAŠTAVA PO OSNOVU SPROVEDENIH POSTUPAKA UNUTRAŠNJE KONTROLE </w:t>
      </w:r>
      <w:r>
        <w:rPr>
          <w:rFonts w:ascii="Arial" w:hAnsi="Arial" w:cs="Arial"/>
          <w:b/>
          <w:bCs/>
          <w:lang w:val="sr-Latn-ME"/>
        </w:rPr>
        <w:t>KOJI SU SE ODNOSILI NA  NAVOD</w:t>
      </w:r>
      <w:r w:rsidRPr="005F457F">
        <w:rPr>
          <w:rFonts w:ascii="Arial" w:hAnsi="Arial" w:cs="Arial"/>
          <w:b/>
          <w:bCs/>
          <w:lang w:val="sr-Latn-ME"/>
        </w:rPr>
        <w:t>E</w:t>
      </w:r>
      <w:r>
        <w:rPr>
          <w:rFonts w:ascii="Arial" w:hAnsi="Arial" w:cs="Arial"/>
          <w:b/>
          <w:bCs/>
          <w:lang w:val="sr-Latn-ME"/>
        </w:rPr>
        <w:t xml:space="preserve"> </w:t>
      </w:r>
      <w:r w:rsidRPr="005F457F">
        <w:rPr>
          <w:rFonts w:ascii="Arial" w:hAnsi="Arial" w:cs="Arial"/>
          <w:b/>
          <w:bCs/>
          <w:lang w:val="sr-Latn-ME"/>
        </w:rPr>
        <w:t>O ZLOSTAVLJANJU TJ.POLICIJSKOJ TORTURI:</w:t>
      </w:r>
    </w:p>
    <w:p w:rsidR="003E1A3C" w:rsidRPr="005F457F" w:rsidRDefault="003E1A3C" w:rsidP="003E1A3C">
      <w:pPr>
        <w:keepNext/>
        <w:spacing w:line="240" w:lineRule="auto"/>
        <w:ind w:right="-57" w:firstLine="720"/>
        <w:jc w:val="both"/>
        <w:outlineLvl w:val="1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Cs/>
          <w:lang w:val="sr-Latn-ME"/>
        </w:rPr>
        <w:t xml:space="preserve">*U jednom od ovih slučajeva, sam podnosilac prijave </w:t>
      </w:r>
      <w:r w:rsidRPr="005F457F">
        <w:rPr>
          <w:rFonts w:ascii="Arial" w:hAnsi="Arial" w:cs="Arial"/>
          <w:lang w:val="sr-Latn-ME"/>
        </w:rPr>
        <w:t xml:space="preserve">u izjavi datoj nadležnom tužilaštvu </w:t>
      </w:r>
      <w:r w:rsidRPr="005F457F">
        <w:rPr>
          <w:rFonts w:ascii="Arial" w:hAnsi="Arial" w:cs="Arial"/>
          <w:b/>
          <w:lang w:val="sr-Latn-ME"/>
        </w:rPr>
        <w:t xml:space="preserve">negirao da su ga policijski službenici OB Budva fizički zlostavljali. </w:t>
      </w:r>
    </w:p>
    <w:p w:rsidR="003E1A3C" w:rsidRPr="005F457F" w:rsidRDefault="003E1A3C" w:rsidP="003E1A3C">
      <w:pPr>
        <w:spacing w:line="240" w:lineRule="auto"/>
        <w:ind w:firstLine="720"/>
        <w:jc w:val="both"/>
        <w:rPr>
          <w:rFonts w:ascii="Arial" w:hAnsi="Arial"/>
          <w:b/>
          <w:lang w:val="sr-Latn-ME"/>
        </w:rPr>
      </w:pPr>
      <w:r w:rsidRPr="005F457F">
        <w:rPr>
          <w:rFonts w:ascii="Arial" w:hAnsi="Arial" w:cs="Arial"/>
          <w:bCs/>
          <w:lang w:val="sr-Latn-ME"/>
        </w:rPr>
        <w:t xml:space="preserve">*U dva slučaja nadležna državna tužilaštva su povratno informisala Odjeljenje za unutrašnju kontrolu policije </w:t>
      </w:r>
      <w:r w:rsidRPr="005F457F">
        <w:rPr>
          <w:rFonts w:ascii="Arial" w:hAnsi="Arial"/>
          <w:b/>
          <w:lang w:val="sr-Latn-ME"/>
        </w:rPr>
        <w:t>da u radnjama i postupanju policijskih službenika nema elemenata bića krivičnog djela zlostavljanje iz člana 166a 1 KZ CG.</w:t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/>
          <w:b/>
          <w:sz w:val="22"/>
          <w:szCs w:val="22"/>
          <w:lang w:val="sr-Latn-ME"/>
        </w:rPr>
      </w:pPr>
      <w:r w:rsidRPr="005F457F">
        <w:rPr>
          <w:rFonts w:ascii="Arial" w:hAnsi="Arial"/>
          <w:b/>
          <w:sz w:val="22"/>
          <w:szCs w:val="22"/>
          <w:lang w:val="sr-Latn-ME"/>
        </w:rPr>
        <w:t>* U jednom slučaju je Osnovno državno tužilaštvo u Pljevljima pokrenulo krivični postupak tj. podnijelo optužni predlog protiv policijskog službenika OB Žabljak za krivično djelo zlostavljanje iz člana 166 stav 2 KZ CG, kao i KD falsifikovanje službene isprave  iz člana 414 stav 2 KZ CG i KD davanje lažnog iskaza iz člana 389 stav 1 KZ CG.</w:t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/>
          <w:b/>
          <w:sz w:val="22"/>
          <w:szCs w:val="22"/>
          <w:lang w:val="sr-Latn-ME"/>
        </w:rPr>
      </w:pPr>
    </w:p>
    <w:p w:rsidR="003E1A3C" w:rsidRDefault="003E1A3C" w:rsidP="003E1A3C">
      <w:pPr>
        <w:spacing w:after="0" w:line="240" w:lineRule="auto"/>
        <w:rPr>
          <w:rFonts w:ascii="Arial" w:hAnsi="Arial" w:cs="Arial"/>
          <w:b/>
          <w:lang w:val="sr-Latn-ME"/>
        </w:rPr>
      </w:pPr>
    </w:p>
    <w:p w:rsidR="003E1A3C" w:rsidRPr="005F457F" w:rsidRDefault="003E1A3C" w:rsidP="003E1A3C">
      <w:pPr>
        <w:spacing w:after="0" w:line="240" w:lineRule="auto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>■ Kontrole</w:t>
      </w:r>
    </w:p>
    <w:p w:rsidR="003E1A3C" w:rsidRPr="005F457F" w:rsidRDefault="003E1A3C" w:rsidP="003E1A3C">
      <w:pPr>
        <w:spacing w:after="0" w:line="240" w:lineRule="auto"/>
        <w:rPr>
          <w:rFonts w:ascii="Arial" w:hAnsi="Arial" w:cs="Arial"/>
          <w:b/>
          <w:lang w:val="sr-Latn-ME"/>
        </w:rPr>
      </w:pPr>
      <w:r w:rsidRPr="005F457F">
        <w:rPr>
          <w:rFonts w:ascii="Arial" w:hAnsi="Arial" w:cs="Arial"/>
          <w:b/>
          <w:lang w:val="sr-Latn-ME"/>
        </w:rPr>
        <w:t xml:space="preserve">   po pritužbama građana </w:t>
      </w:r>
      <w:r w:rsidR="009F37D8">
        <w:rPr>
          <w:rFonts w:ascii="Arial" w:hAnsi="Arial" w:cs="Arial"/>
          <w:b/>
          <w:lang w:val="sr-Latn-ME"/>
        </w:rPr>
        <w:t>(75)</w:t>
      </w:r>
      <w:bookmarkStart w:id="0" w:name="_GoBack"/>
      <w:bookmarkEnd w:id="0"/>
    </w:p>
    <w:p w:rsidR="003E1A3C" w:rsidRPr="005F457F" w:rsidRDefault="003E1A3C" w:rsidP="003E1A3C">
      <w:pPr>
        <w:spacing w:after="0" w:line="240" w:lineRule="auto"/>
        <w:rPr>
          <w:rFonts w:ascii="Arial" w:hAnsi="Arial" w:cs="Arial"/>
          <w:b/>
          <w:lang w:val="sr-Latn-ME"/>
        </w:rPr>
      </w:pP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Odjeljenje za unutrašnju kontrolu policije je u toku 2024. godine, izvršilo kontrole zakonitosti postupanja policijskih službenika na osnovu 75 pritužbi građana na postupanje i ponašanje policijskih službenika.</w:t>
      </w:r>
    </w:p>
    <w:p w:rsidR="003E1A3C" w:rsidRPr="005F457F" w:rsidRDefault="003E1A3C" w:rsidP="003E1A3C">
      <w:pPr>
        <w:spacing w:after="0" w:line="240" w:lineRule="auto"/>
        <w:ind w:firstLine="720"/>
        <w:jc w:val="both"/>
        <w:rPr>
          <w:rFonts w:ascii="Arial" w:hAnsi="Arial" w:cs="Arial"/>
          <w:i/>
          <w:lang w:val="sr-Latn-ME"/>
        </w:rPr>
      </w:pPr>
      <w:r w:rsidRPr="005F457F">
        <w:rPr>
          <w:rFonts w:ascii="Arial" w:hAnsi="Arial" w:cs="Arial"/>
          <w:i/>
          <w:lang w:val="sr-Latn-ME"/>
        </w:rPr>
        <w:t>Na osnovu upoređivanja podataka za 2023.godinu, u kojoj je Odjeljenje za unutrašnju kontrolu policije sprovodilo postupke kontrole na osnovu 50 pritužbi na postupanje policijskih službenika, evidentno je da je u 2024.godini ovom Odjeljenju upućen veći broj pritužbi i to za 25 pritužbi (33,33%) više nego u 2023.godini.</w:t>
      </w:r>
    </w:p>
    <w:p w:rsidR="003E1A3C" w:rsidRPr="005F457F" w:rsidRDefault="003E1A3C" w:rsidP="003E1A3C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ab/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Nakon sprovedenih postupaka kontrole,od strane službenika ovog Odjeljenja, ocijenjeno je da je 18 pritužbi osnovano (24% od ukupnog broja), dok je za 57 pritužbi (76%) ocijenjeno da su neosnovane, odnosno da u postupku izvršenih provjera nijesu utvrđene činjenice i dokazi koji bi ukazivali na postojanje disciplinske ili druge odgovornosti policijskih službenika.</w:t>
      </w:r>
    </w:p>
    <w:p w:rsidR="003E1A3C" w:rsidRPr="005F457F" w:rsidRDefault="003E1A3C" w:rsidP="003E1A3C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shd w:val="clear" w:color="auto" w:fill="FFFFFF" w:themeFill="background1"/>
        <w:spacing w:after="0" w:line="240" w:lineRule="auto"/>
        <w:ind w:firstLine="42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U slučajevima u kojima je od strane Odjeljenja za unutrašnju kontrolu policije utvrđena osnovanost pritužbi preduzete su sljedeće mjere:</w:t>
      </w:r>
    </w:p>
    <w:p w:rsidR="003E1A3C" w:rsidRPr="005F457F" w:rsidRDefault="003E1A3C" w:rsidP="003E1A3C">
      <w:pPr>
        <w:shd w:val="clear" w:color="auto" w:fill="FFFFFF" w:themeFill="background1"/>
        <w:spacing w:after="0" w:line="240" w:lineRule="auto"/>
        <w:ind w:firstLine="420"/>
        <w:jc w:val="both"/>
        <w:rPr>
          <w:rFonts w:ascii="Arial" w:hAnsi="Arial" w:cs="Arial"/>
          <w:lang w:val="sr-Latn-ME"/>
        </w:rPr>
      </w:pPr>
    </w:p>
    <w:p w:rsidR="003E1A3C" w:rsidRPr="005F457F" w:rsidRDefault="003E1A3C" w:rsidP="003E1A3C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b/>
          <w:sz w:val="22"/>
          <w:szCs w:val="22"/>
          <w:lang w:val="sr-Latn-ME"/>
        </w:rPr>
        <w:lastRenderedPageBreak/>
        <w:t>U 9 slučajeva</w:t>
      </w:r>
      <w:r w:rsidRPr="005F457F">
        <w:rPr>
          <w:rFonts w:ascii="Arial" w:hAnsi="Arial" w:cs="Arial"/>
          <w:sz w:val="22"/>
          <w:szCs w:val="22"/>
          <w:lang w:val="sr-Latn-ME"/>
        </w:rPr>
        <w:t>,predloženo je pokretanje disciplinskih postupaka protiv 13 policijskih službenika,zbog osnovane sumnje da su počinili teže povrede službene dužnosti, uslijed čega su Izvještaji sa spisima sačinjenim u postupcima unutrašnje kontrole dostavljeni na dalji postupak direktoru Uprave policije, i to: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protiv šest policijskih službenika, zbog težih povreda službene dužnosti iz člana 95 stav 1 tačka 1 Zakona o državnim službenicima i namještenicima (neizvršavanje ili nesavjesno ili neblagovremeno ili nemarno vršenje službenih obaveza);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protiv dva policijska službenika, zbog težih povreda službene dužnosti iz člana 95 stav 1 tačka 4 Zakona o državnim službenicima i namještenicima (zloupotreba službenog položaja ili prekoračenje ovlašćenja u službi);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protiv dva policijska službenika, zbog težih povreda službene dužnosti iz člana173 stav 1 tačka 24 Zakona o unutrašnjim poslovima (nesačinjavanje ili neblagovremeno ili nepotpuno ili neuredno sačinjavanje službenog dokumentao preduzimanju službene radnje ili primjeni policijskog ovlašćenja);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protiv dva policijska službenika, zbog težih povreda službene dužnosti iz člana 173 stav 1 tačka 3 Zakona o unutrašnjim poslovima (preduzimanje ili nepreduzimanje radnje kojom se onemogućava ili otežava obavljanje policijskih poslova i izvršavanje službenih zadataka);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protiv jednog policijskog službenika zbog teže povrede službene dužnosti iz člana 173 stav 1 tačka 18 Zakona o unutrašnjim poslovima (nesačinjavanje izvještaja o upotrebi sredstava prinude).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color w:val="C00000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 w:firstLine="30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Osim toga u tri slučaja (od devet navedenih slučajeva), spisi predmeta unutrašnje kontrole dostavljeni su, osim direktoru uprave policije na utvrđivanje disciplinske odgovornosti, i nadležnim državnim tužilaštvima na ocjenu i odlučivanje o postojanju elemenata krivične odgovornosti u radnjama i postupanjupolicijskih službenika.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 w:firstLine="30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*U jednom od naznačenih slučajeva, nadležno državno tužilaštvo je obavijestilo Odjeljenje za unutrašnju kontrolu policije, da u radnjama i postupanju dva policijska službenika nema elemenata bilo kojeg krivičnog djela za koje se gonjenje preduzima po službenoj dužnosti.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 w:firstLine="30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b/>
          <w:sz w:val="22"/>
          <w:szCs w:val="22"/>
          <w:lang w:val="sr-Latn-ME"/>
        </w:rPr>
        <w:t>U  šest slučajeva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, spisi predmeta, sačinjeni u postupku unutrašnje kontrole, dostavljeni su Etičkom odboru na ocjenu etičnosti postupanja šest policijskih službenika u predmetnim slčajevima. 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u tri slučaja Etički odbor se izjasnio da su policijski službenici,  svojim ponašanjem povrijedili Kodeks policijske etike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∞ u jednom slučaju Etički odbor se izjasnio da u radnjama i postupanju policijskog službenika nije bilo elemenata povrede Kodeksa policijske etike.</w:t>
      </w: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shd w:val="clear" w:color="auto" w:fill="FFFFFF" w:themeFill="background1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b/>
          <w:sz w:val="22"/>
          <w:szCs w:val="22"/>
          <w:lang w:val="sr-Latn-ME"/>
        </w:rPr>
        <w:t xml:space="preserve">U jednom slučaju, </w:t>
      </w:r>
      <w:r w:rsidRPr="005F457F">
        <w:rPr>
          <w:rFonts w:ascii="Arial" w:hAnsi="Arial" w:cs="Arial"/>
          <w:sz w:val="22"/>
          <w:szCs w:val="22"/>
          <w:lang w:val="sr-Latn-ME"/>
        </w:rPr>
        <w:t>spisi sačinjeni u postupku unutrašnje kontrole dostavljeni su na dalju nadležnost Direktoratu za bezbjednosno – nadzorne poslove na preduzimanje mjera iz nadležnosti tog Direktorata u konkretnom slučaju.</w:t>
      </w:r>
    </w:p>
    <w:p w:rsidR="003E1A3C" w:rsidRPr="005F457F" w:rsidRDefault="003E1A3C" w:rsidP="003E1A3C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b/>
          <w:sz w:val="22"/>
          <w:szCs w:val="22"/>
          <w:lang w:val="sr-Latn-ME"/>
        </w:rPr>
        <w:t xml:space="preserve">U jednom slučaju, </w:t>
      </w:r>
      <w:r w:rsidRPr="005F457F">
        <w:rPr>
          <w:rFonts w:ascii="Arial" w:hAnsi="Arial" w:cs="Arial"/>
          <w:sz w:val="22"/>
          <w:szCs w:val="22"/>
          <w:lang w:val="sr-Latn-ME"/>
        </w:rPr>
        <w:t xml:space="preserve">u postupku unutrašnje kontrole, konstatovano je da su od strane neposrednog rukovodioca organizacione jedinice policije, već preduzete zakonske mjere u cilju utvrđivanja krivične odgovornosti policijskog službenika zbog postojanja osnova sumnje da je počinio krivično djelo ugrožavanje sugurnosti iz člana 168 stav 1 Krivičnog zakonika </w:t>
      </w:r>
      <w:r w:rsidRPr="005F457F">
        <w:rPr>
          <w:rFonts w:ascii="Arial" w:hAnsi="Arial" w:cs="Arial"/>
          <w:sz w:val="22"/>
          <w:szCs w:val="22"/>
          <w:lang w:val="sr-Latn-ME"/>
        </w:rPr>
        <w:lastRenderedPageBreak/>
        <w:t>Crne Gore. Takođe predmetni spisi su dostavljeni i Etičkom odboru u cilju utvrđivanja etičnosti postupanja policijskog službenika.</w:t>
      </w:r>
    </w:p>
    <w:p w:rsidR="003E1A3C" w:rsidRPr="005F457F" w:rsidRDefault="003E1A3C" w:rsidP="003E1A3C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b/>
          <w:sz w:val="22"/>
          <w:szCs w:val="22"/>
          <w:lang w:val="sr-Latn-ME"/>
        </w:rPr>
        <w:t xml:space="preserve">U jednom slučaju, </w:t>
      </w:r>
      <w:r w:rsidRPr="005F457F">
        <w:rPr>
          <w:rFonts w:ascii="Arial" w:hAnsi="Arial" w:cs="Arial"/>
          <w:sz w:val="22"/>
          <w:szCs w:val="22"/>
          <w:lang w:val="sr-Latn-ME"/>
        </w:rPr>
        <w:t>Upravi policije naloženo da sačini instruktivni telegram sa preciznim instrukcijama u vezi sa načinom obezbjeđenja navijačkih grupa na putovanjima kroz Crnu Goru.</w:t>
      </w:r>
    </w:p>
    <w:p w:rsidR="003E1A3C" w:rsidRPr="005F457F" w:rsidRDefault="003E1A3C" w:rsidP="003E1A3C">
      <w:pPr>
        <w:pStyle w:val="ListParagraph"/>
        <w:ind w:left="4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Pr="005F457F" w:rsidRDefault="003E1A3C" w:rsidP="003E1A3C">
      <w:pPr>
        <w:pStyle w:val="ListParagraph"/>
        <w:ind w:left="0" w:firstLine="450"/>
        <w:jc w:val="both"/>
        <w:rPr>
          <w:rFonts w:ascii="Arial" w:hAnsi="Arial" w:cs="Arial"/>
          <w:sz w:val="22"/>
          <w:szCs w:val="22"/>
          <w:lang w:val="sr-Latn-ME"/>
        </w:rPr>
      </w:pPr>
      <w:r w:rsidRPr="005F457F">
        <w:rPr>
          <w:rFonts w:ascii="Arial" w:hAnsi="Arial" w:cs="Arial"/>
          <w:sz w:val="22"/>
          <w:szCs w:val="22"/>
          <w:lang w:val="sr-Latn-ME"/>
        </w:rPr>
        <w:t>U preostalih 57 slučajeva,u postupcima unutrašnje kontrole nijesu se mogle utvrditi činjenice i dokazi koji bi ukazivali na nezakonito i neprofesionalno postupanje policijskih službenika.</w:t>
      </w:r>
    </w:p>
    <w:p w:rsidR="003E1A3C" w:rsidRPr="005F457F" w:rsidRDefault="003E1A3C" w:rsidP="003E1A3C">
      <w:pPr>
        <w:spacing w:after="0" w:line="240" w:lineRule="auto"/>
        <w:ind w:firstLine="45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Međutim, i pored navedenih činjenica u 6 (od 57 slučajeva), spisi sačinjeni u postupcima unutrašnje kontrole dostavljeni su nadležnim državnim tužilaštvima, na konačnu ocjenu i odlučivanje o eventualnom postojanju elemenata krivične odgovornosti u radnjama i postupanju policijskih službenika.</w:t>
      </w:r>
    </w:p>
    <w:p w:rsidR="003E1A3C" w:rsidRPr="005F457F" w:rsidRDefault="003E1A3C" w:rsidP="003E1A3C">
      <w:pPr>
        <w:spacing w:after="0" w:line="240" w:lineRule="auto"/>
        <w:ind w:firstLine="450"/>
        <w:jc w:val="both"/>
        <w:rPr>
          <w:rFonts w:ascii="Arial" w:hAnsi="Arial" w:cs="Arial"/>
          <w:lang w:val="sr-Latn-ME"/>
        </w:rPr>
      </w:pPr>
      <w:r w:rsidRPr="005F457F">
        <w:rPr>
          <w:rFonts w:ascii="Arial" w:hAnsi="Arial" w:cs="Arial"/>
          <w:lang w:val="sr-Latn-ME"/>
        </w:rPr>
        <w:t>∞ U tri slučaja nadležna tužilaštva su obavijestila ovo Odjeljenje da u radnjama i postupanju policijskih službenika nema elemenata bilo kojeg krivičnog djela za koje se gonnjenje preduzima po službenoj dužnosti.</w:t>
      </w:r>
    </w:p>
    <w:p w:rsidR="003E1A3C" w:rsidRPr="005F457F" w:rsidRDefault="003E1A3C" w:rsidP="003E1A3C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</w:p>
    <w:p w:rsidR="003E1A3C" w:rsidRDefault="003E1A3C" w:rsidP="003E1A3C">
      <w:pPr>
        <w:pStyle w:val="ListParagraph"/>
        <w:ind w:left="0" w:firstLine="720"/>
        <w:jc w:val="center"/>
        <w:rPr>
          <w:rFonts w:ascii="Arial" w:hAnsi="Arial" w:cs="Arial"/>
          <w:b/>
          <w:sz w:val="22"/>
          <w:szCs w:val="22"/>
          <w:u w:val="single"/>
          <w:lang w:val="sr-Latn-ME"/>
        </w:rPr>
      </w:pPr>
    </w:p>
    <w:p w:rsidR="003E1A3C" w:rsidRDefault="003E1A3C" w:rsidP="003E1A3C">
      <w:pPr>
        <w:pStyle w:val="ListParagraph"/>
        <w:ind w:left="0" w:firstLine="720"/>
        <w:jc w:val="center"/>
        <w:rPr>
          <w:rFonts w:ascii="Arial" w:hAnsi="Arial" w:cs="Arial"/>
          <w:b/>
          <w:sz w:val="22"/>
          <w:szCs w:val="22"/>
          <w:u w:val="single"/>
          <w:lang w:val="sr-Latn-ME"/>
        </w:rPr>
      </w:pPr>
    </w:p>
    <w:p w:rsidR="00A8750D" w:rsidRPr="003E1A3C" w:rsidRDefault="00A8750D" w:rsidP="003E1A3C"/>
    <w:sectPr w:rsidR="00A8750D" w:rsidRPr="003E1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C32"/>
    <w:multiLevelType w:val="hybridMultilevel"/>
    <w:tmpl w:val="34783C9C"/>
    <w:lvl w:ilvl="0" w:tplc="9AE0309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13185B"/>
    <w:multiLevelType w:val="hybridMultilevel"/>
    <w:tmpl w:val="00F29DBE"/>
    <w:lvl w:ilvl="0" w:tplc="89A4D0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13"/>
    <w:rsid w:val="003E1A3C"/>
    <w:rsid w:val="006F5BCB"/>
    <w:rsid w:val="00851FE5"/>
    <w:rsid w:val="009F37D8"/>
    <w:rsid w:val="00A36913"/>
    <w:rsid w:val="00A8750D"/>
    <w:rsid w:val="00C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5162C"/>
  <w15:chartTrackingRefBased/>
  <w15:docId w15:val="{4DE88F1A-C9FA-4760-BB15-8CB470FF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7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CA2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rsid w:val="00CA2C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A2C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D"/>
    <w:rPr>
      <w:rFonts w:ascii="Segoe UI" w:eastAsiaTheme="minorEastAsia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E1A3C"/>
    <w:pPr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3E1A3C"/>
    <w:rPr>
      <w:rFonts w:ascii="Tahoma" w:eastAsia="Times New Roman" w:hAnsi="Tahoma" w:cs="Times New Roman"/>
      <w:b/>
      <w:sz w:val="24"/>
      <w:szCs w:val="20"/>
      <w:lang w:val="sl-SI" w:eastAsia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1A3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1A3C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6</cp:revision>
  <cp:lastPrinted>2024-04-22T08:22:00Z</cp:lastPrinted>
  <dcterms:created xsi:type="dcterms:W3CDTF">2024-04-22T08:21:00Z</dcterms:created>
  <dcterms:modified xsi:type="dcterms:W3CDTF">2025-03-26T10:28:00Z</dcterms:modified>
</cp:coreProperties>
</file>