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9FC" w:rsidRPr="00F74BDE" w:rsidRDefault="003800EA" w:rsidP="00CF79FC">
      <w:pPr>
        <w:jc w:val="center"/>
        <w:rPr>
          <w:sz w:val="28"/>
          <w:szCs w:val="28"/>
        </w:rPr>
      </w:pPr>
      <w:r w:rsidRPr="00F74BDE">
        <w:rPr>
          <w:b/>
          <w:sz w:val="28"/>
          <w:szCs w:val="28"/>
        </w:rPr>
        <w:t xml:space="preserve">SUPPLY </w:t>
      </w:r>
      <w:r w:rsidR="0096068D">
        <w:rPr>
          <w:b/>
          <w:sz w:val="28"/>
          <w:szCs w:val="28"/>
        </w:rPr>
        <w:t xml:space="preserve">CONTRACT </w:t>
      </w:r>
      <w:r w:rsidR="00C66C83">
        <w:rPr>
          <w:b/>
          <w:sz w:val="28"/>
          <w:szCs w:val="28"/>
        </w:rPr>
        <w:t>PRIOR INFORMATION</w:t>
      </w:r>
      <w:r w:rsidR="00CF79FC" w:rsidRPr="00F74BDE">
        <w:rPr>
          <w:b/>
          <w:sz w:val="28"/>
          <w:szCs w:val="28"/>
        </w:rPr>
        <w:t xml:space="preserve"> </w:t>
      </w:r>
      <w:r w:rsidR="00C66C83">
        <w:rPr>
          <w:b/>
          <w:sz w:val="28"/>
          <w:szCs w:val="28"/>
        </w:rPr>
        <w:t>NOTICE</w:t>
      </w:r>
    </w:p>
    <w:p w:rsidR="00DF43CD" w:rsidRDefault="00DF43CD" w:rsidP="00C1680B">
      <w:pPr>
        <w:spacing w:before="240" w:after="240"/>
        <w:jc w:val="center"/>
        <w:rPr>
          <w:b/>
          <w:sz w:val="28"/>
          <w:szCs w:val="28"/>
        </w:rPr>
      </w:pPr>
      <w:r w:rsidRPr="00C1680B">
        <w:rPr>
          <w:b/>
          <w:sz w:val="28"/>
          <w:szCs w:val="28"/>
        </w:rPr>
        <w:t xml:space="preserve">Supply of equipment </w:t>
      </w:r>
      <w:r w:rsidR="00B92365" w:rsidRPr="00C1680B">
        <w:rPr>
          <w:b/>
          <w:sz w:val="28"/>
          <w:szCs w:val="28"/>
        </w:rPr>
        <w:t>for response to marine pollution incidents</w:t>
      </w:r>
    </w:p>
    <w:p w:rsidR="0073503C" w:rsidRPr="00C1680B" w:rsidRDefault="0073503C" w:rsidP="00F74BDE">
      <w:pPr>
        <w:spacing w:before="240" w:after="600"/>
        <w:jc w:val="center"/>
        <w:rPr>
          <w:b/>
          <w:sz w:val="28"/>
          <w:szCs w:val="28"/>
        </w:rPr>
      </w:pPr>
      <w:r>
        <w:rPr>
          <w:b/>
          <w:sz w:val="28"/>
          <w:szCs w:val="28"/>
        </w:rPr>
        <w:t>Montenegro (non EU country)</w:t>
      </w:r>
    </w:p>
    <w:p w:rsidR="003800EA" w:rsidRPr="006417D5" w:rsidRDefault="003800EA" w:rsidP="00F74BDE">
      <w:pPr>
        <w:numPr>
          <w:ilvl w:val="0"/>
          <w:numId w:val="3"/>
        </w:numPr>
        <w:tabs>
          <w:tab w:val="clear" w:pos="1440"/>
          <w:tab w:val="num" w:pos="426"/>
        </w:tabs>
        <w:ind w:left="426" w:hanging="426"/>
        <w:outlineLvl w:val="0"/>
        <w:rPr>
          <w:rStyle w:val="Strong"/>
          <w:szCs w:val="24"/>
        </w:rPr>
      </w:pPr>
      <w:r w:rsidRPr="006417D5">
        <w:rPr>
          <w:rStyle w:val="Strong"/>
          <w:szCs w:val="24"/>
        </w:rPr>
        <w:t>Publication reference</w:t>
      </w:r>
    </w:p>
    <w:p w:rsidR="00C75760" w:rsidRPr="00C75760" w:rsidRDefault="00C75760" w:rsidP="00C75760">
      <w:pPr>
        <w:widowControl/>
        <w:spacing w:before="0" w:after="0"/>
        <w:rPr>
          <w:rFonts w:ascii="Calibri" w:hAnsi="Calibri"/>
          <w:snapToGrid/>
          <w:color w:val="000000"/>
          <w:sz w:val="22"/>
          <w:szCs w:val="22"/>
          <w:lang w:val="en-GB" w:eastAsia="en-GB"/>
        </w:rPr>
      </w:pPr>
      <w:r w:rsidRPr="00C75760">
        <w:rPr>
          <w:rFonts w:ascii="Calibri" w:hAnsi="Calibri"/>
          <w:snapToGrid/>
          <w:color w:val="000000"/>
          <w:sz w:val="22"/>
          <w:szCs w:val="22"/>
          <w:lang w:val="en-GB" w:eastAsia="en-GB"/>
        </w:rPr>
        <w:t>EuropeAid/140119/IH/SUP/ME</w:t>
      </w:r>
    </w:p>
    <w:p w:rsidR="003800EA" w:rsidRPr="003242D0" w:rsidRDefault="00C75760" w:rsidP="00C75760">
      <w:pPr>
        <w:pStyle w:val="Blockquote"/>
        <w:ind w:left="0"/>
        <w:rPr>
          <w:sz w:val="22"/>
          <w:szCs w:val="22"/>
        </w:rPr>
      </w:pPr>
      <w:r w:rsidRPr="003242D0" w:rsidDel="00C75760">
        <w:rPr>
          <w:sz w:val="22"/>
          <w:szCs w:val="22"/>
        </w:rPr>
        <w:t xml:space="preserve"> </w:t>
      </w:r>
    </w:p>
    <w:p w:rsidR="003800EA" w:rsidRPr="006417D5" w:rsidRDefault="003800EA" w:rsidP="00F74BDE">
      <w:pPr>
        <w:numPr>
          <w:ilvl w:val="0"/>
          <w:numId w:val="3"/>
        </w:numPr>
        <w:tabs>
          <w:tab w:val="clear" w:pos="1440"/>
          <w:tab w:val="num" w:pos="426"/>
        </w:tabs>
        <w:ind w:left="426" w:hanging="426"/>
        <w:outlineLvl w:val="0"/>
        <w:rPr>
          <w:rStyle w:val="Strong"/>
          <w:szCs w:val="24"/>
        </w:rPr>
      </w:pPr>
      <w:r w:rsidRPr="006417D5">
        <w:rPr>
          <w:rStyle w:val="Strong"/>
          <w:szCs w:val="24"/>
        </w:rPr>
        <w:t>Procedure</w:t>
      </w:r>
    </w:p>
    <w:p w:rsidR="006B5C6E" w:rsidRPr="00C1680B" w:rsidRDefault="0073503C" w:rsidP="006B5C6E">
      <w:pPr>
        <w:pStyle w:val="Blockquote"/>
        <w:ind w:left="0"/>
        <w:rPr>
          <w:sz w:val="22"/>
          <w:szCs w:val="22"/>
        </w:rPr>
      </w:pPr>
      <w:r>
        <w:rPr>
          <w:color w:val="000000"/>
          <w:sz w:val="22"/>
          <w:szCs w:val="22"/>
        </w:rPr>
        <w:t>O</w:t>
      </w:r>
      <w:r w:rsidR="006B5C6E" w:rsidRPr="00C1680B">
        <w:rPr>
          <w:color w:val="000000"/>
          <w:sz w:val="22"/>
          <w:szCs w:val="22"/>
        </w:rPr>
        <w:t xml:space="preserve">pen </w:t>
      </w:r>
    </w:p>
    <w:p w:rsidR="006B5C6E" w:rsidRDefault="003800EA" w:rsidP="00F74BDE">
      <w:pPr>
        <w:numPr>
          <w:ilvl w:val="0"/>
          <w:numId w:val="3"/>
        </w:numPr>
        <w:tabs>
          <w:tab w:val="clear" w:pos="1440"/>
          <w:tab w:val="num" w:pos="426"/>
        </w:tabs>
        <w:ind w:left="426" w:hanging="426"/>
        <w:outlineLvl w:val="0"/>
        <w:rPr>
          <w:rStyle w:val="Strong"/>
          <w:szCs w:val="24"/>
        </w:rPr>
      </w:pPr>
      <w:r w:rsidRPr="0088745D">
        <w:rPr>
          <w:rStyle w:val="Strong"/>
          <w:szCs w:val="24"/>
          <w:lang w:val="en-GB"/>
        </w:rPr>
        <w:t>Programme</w:t>
      </w:r>
      <w:r w:rsidR="005B026D">
        <w:rPr>
          <w:rStyle w:val="Strong"/>
          <w:szCs w:val="24"/>
        </w:rPr>
        <w:t xml:space="preserve"> title</w:t>
      </w:r>
    </w:p>
    <w:p w:rsidR="006D4B4A" w:rsidRPr="00C1680B" w:rsidRDefault="006D4B4A" w:rsidP="006B5C6E">
      <w:pPr>
        <w:outlineLvl w:val="0"/>
        <w:rPr>
          <w:rStyle w:val="Emphasis"/>
          <w:i w:val="0"/>
          <w:sz w:val="22"/>
          <w:szCs w:val="22"/>
        </w:rPr>
      </w:pPr>
      <w:r w:rsidRPr="00C1680B">
        <w:rPr>
          <w:rStyle w:val="Emphasis"/>
          <w:i w:val="0"/>
          <w:sz w:val="22"/>
          <w:szCs w:val="22"/>
        </w:rPr>
        <w:t>Country Action Programme for Montenegro (2017) – Support to the Transport Sector in Montenegro</w:t>
      </w:r>
    </w:p>
    <w:p w:rsidR="003800EA" w:rsidRDefault="003800EA" w:rsidP="00F74BDE">
      <w:pPr>
        <w:numPr>
          <w:ilvl w:val="0"/>
          <w:numId w:val="3"/>
        </w:numPr>
        <w:tabs>
          <w:tab w:val="clear" w:pos="1440"/>
          <w:tab w:val="num" w:pos="426"/>
        </w:tabs>
        <w:ind w:left="426" w:hanging="426"/>
        <w:outlineLvl w:val="0"/>
        <w:rPr>
          <w:rStyle w:val="Strong"/>
          <w:szCs w:val="24"/>
        </w:rPr>
      </w:pPr>
      <w:r w:rsidRPr="006417D5">
        <w:rPr>
          <w:rStyle w:val="Strong"/>
          <w:szCs w:val="24"/>
        </w:rPr>
        <w:t>Financing</w:t>
      </w:r>
    </w:p>
    <w:p w:rsidR="006D4B4A" w:rsidRPr="00B17770" w:rsidRDefault="006D4B4A" w:rsidP="006D4B4A">
      <w:pPr>
        <w:outlineLvl w:val="0"/>
        <w:rPr>
          <w:rStyle w:val="Emphasis"/>
          <w:rFonts w:ascii="Calibri" w:hAnsi="Calibri" w:cs="Calibri"/>
          <w:i w:val="0"/>
          <w:sz w:val="22"/>
          <w:szCs w:val="22"/>
        </w:rPr>
      </w:pPr>
      <w:r w:rsidRPr="00C1680B">
        <w:rPr>
          <w:rStyle w:val="Emphasis"/>
          <w:i w:val="0"/>
          <w:sz w:val="22"/>
          <w:szCs w:val="22"/>
        </w:rPr>
        <w:t>Financing Agreement concerning the Country Action Programme for Montenegro (2017) under the Instrument for Pre-Accession Assistance IPA II (2014-2020)</w:t>
      </w:r>
    </w:p>
    <w:p w:rsidR="0071722D" w:rsidRPr="006D4B4A" w:rsidRDefault="003800EA" w:rsidP="00F74BDE">
      <w:pPr>
        <w:numPr>
          <w:ilvl w:val="0"/>
          <w:numId w:val="3"/>
        </w:numPr>
        <w:tabs>
          <w:tab w:val="clear" w:pos="1440"/>
          <w:tab w:val="num" w:pos="426"/>
        </w:tabs>
        <w:ind w:left="426" w:hanging="426"/>
        <w:outlineLvl w:val="0"/>
        <w:rPr>
          <w:rStyle w:val="Strong"/>
          <w:b w:val="0"/>
        </w:rPr>
      </w:pPr>
      <w:r w:rsidRPr="006417D5">
        <w:rPr>
          <w:rStyle w:val="Strong"/>
          <w:szCs w:val="24"/>
        </w:rPr>
        <w:t>Contracting authority</w:t>
      </w:r>
    </w:p>
    <w:p w:rsidR="006D4B4A" w:rsidRPr="00B17770" w:rsidRDefault="006D4B4A" w:rsidP="00C1680B">
      <w:pPr>
        <w:outlineLvl w:val="0"/>
        <w:rPr>
          <w:rFonts w:ascii="Calibri" w:hAnsi="Calibri" w:cs="Calibri"/>
          <w:sz w:val="22"/>
          <w:szCs w:val="22"/>
        </w:rPr>
      </w:pPr>
      <w:r w:rsidRPr="00C1680B">
        <w:rPr>
          <w:rStyle w:val="Emphasis"/>
          <w:i w:val="0"/>
          <w:sz w:val="22"/>
          <w:szCs w:val="22"/>
        </w:rPr>
        <w:t>Directorate of Public Works, Novaka Miloševa 18, 81000 Podgorica, Montenegro</w:t>
      </w:r>
      <w:r w:rsidRPr="00C1680B">
        <w:rPr>
          <w:rStyle w:val="Emphasis"/>
          <w:i w:val="0"/>
        </w:rPr>
        <w:t xml:space="preserve"> </w:t>
      </w:r>
    </w:p>
    <w:p w:rsidR="003800EA" w:rsidRPr="006417D5" w:rsidRDefault="003800EA" w:rsidP="00B17770">
      <w:pPr>
        <w:numPr>
          <w:ilvl w:val="0"/>
          <w:numId w:val="3"/>
        </w:numPr>
        <w:tabs>
          <w:tab w:val="clear" w:pos="1440"/>
          <w:tab w:val="left" w:pos="450"/>
        </w:tabs>
        <w:snapToGrid w:val="0"/>
        <w:ind w:left="450" w:hanging="450"/>
        <w:rPr>
          <w:rStyle w:val="Strong"/>
          <w:szCs w:val="24"/>
        </w:rPr>
      </w:pPr>
      <w:r w:rsidRPr="006417D5">
        <w:rPr>
          <w:rStyle w:val="Strong"/>
          <w:szCs w:val="24"/>
        </w:rPr>
        <w:t>Contract description</w:t>
      </w:r>
    </w:p>
    <w:p w:rsidR="00B92365" w:rsidRPr="00B17770" w:rsidRDefault="00B92365" w:rsidP="006B5C6E">
      <w:pPr>
        <w:pStyle w:val="Blockquote"/>
        <w:ind w:left="0"/>
        <w:jc w:val="both"/>
        <w:rPr>
          <w:rFonts w:ascii="Calibri" w:hAnsi="Calibri" w:cs="Calibri"/>
          <w:sz w:val="22"/>
          <w:szCs w:val="22"/>
        </w:rPr>
      </w:pPr>
      <w:r w:rsidRPr="00C1680B">
        <w:rPr>
          <w:sz w:val="22"/>
          <w:szCs w:val="22"/>
        </w:rPr>
        <w:t xml:space="preserve">According to the Montenegro national contingency plan </w:t>
      </w:r>
      <w:r w:rsidR="0073503C" w:rsidRPr="0073503C">
        <w:rPr>
          <w:sz w:val="22"/>
          <w:szCs w:val="22"/>
        </w:rPr>
        <w:t xml:space="preserve">for response to marine pollution from shipping and offshore installations </w:t>
      </w:r>
      <w:r w:rsidRPr="00C1680B">
        <w:rPr>
          <w:sz w:val="22"/>
          <w:szCs w:val="22"/>
        </w:rPr>
        <w:t>it is necessary to procure new response equipment on oil spills from vessel and off shore oil platforms in Montenegro sea. To fight against potential risks of pollution and react in a time responsive manner against natural a</w:t>
      </w:r>
      <w:r w:rsidR="00AB272C" w:rsidRPr="00C1680B">
        <w:rPr>
          <w:sz w:val="22"/>
          <w:szCs w:val="22"/>
        </w:rPr>
        <w:t>ttacks against the environment</w:t>
      </w:r>
      <w:r w:rsidRPr="00C1680B">
        <w:rPr>
          <w:sz w:val="22"/>
          <w:szCs w:val="22"/>
        </w:rPr>
        <w:t xml:space="preserve">, </w:t>
      </w:r>
      <w:r w:rsidR="00AB272C" w:rsidRPr="00C1680B">
        <w:rPr>
          <w:sz w:val="22"/>
          <w:szCs w:val="22"/>
        </w:rPr>
        <w:t xml:space="preserve">Maritime Safety and Port Authority (MSPA) </w:t>
      </w:r>
      <w:r w:rsidRPr="00C1680B">
        <w:rPr>
          <w:sz w:val="22"/>
          <w:szCs w:val="22"/>
        </w:rPr>
        <w:t>require</w:t>
      </w:r>
      <w:r w:rsidR="00AB272C" w:rsidRPr="00C1680B">
        <w:rPr>
          <w:sz w:val="22"/>
          <w:szCs w:val="22"/>
        </w:rPr>
        <w:t>s</w:t>
      </w:r>
      <w:r w:rsidRPr="00C1680B">
        <w:rPr>
          <w:sz w:val="22"/>
          <w:szCs w:val="22"/>
        </w:rPr>
        <w:t xml:space="preserve"> to be equipped with the adequate equipment to prevent, monitor, react and treat all kind of pollution in the sea territorial waters and inland waterways. </w:t>
      </w:r>
    </w:p>
    <w:p w:rsidR="003800EA" w:rsidRPr="006417D5" w:rsidRDefault="003800EA" w:rsidP="00F74BDE">
      <w:pPr>
        <w:numPr>
          <w:ilvl w:val="0"/>
          <w:numId w:val="3"/>
        </w:numPr>
        <w:tabs>
          <w:tab w:val="clear" w:pos="1440"/>
          <w:tab w:val="num" w:pos="426"/>
        </w:tabs>
        <w:ind w:left="426" w:hanging="426"/>
        <w:outlineLvl w:val="0"/>
        <w:rPr>
          <w:rStyle w:val="Strong"/>
          <w:szCs w:val="24"/>
        </w:rPr>
      </w:pPr>
      <w:r w:rsidRPr="006417D5">
        <w:rPr>
          <w:rStyle w:val="Strong"/>
          <w:szCs w:val="24"/>
        </w:rPr>
        <w:t xml:space="preserve">Indicative number and titles of </w:t>
      </w:r>
      <w:r w:rsidR="00DC0882">
        <w:rPr>
          <w:rStyle w:val="Strong"/>
          <w:szCs w:val="24"/>
        </w:rPr>
        <w:t>l</w:t>
      </w:r>
      <w:r w:rsidRPr="006417D5">
        <w:rPr>
          <w:rStyle w:val="Strong"/>
          <w:szCs w:val="24"/>
        </w:rPr>
        <w:t>ots</w:t>
      </w:r>
    </w:p>
    <w:p w:rsidR="003800EA" w:rsidRPr="003242D0" w:rsidRDefault="006B5C6E">
      <w:pPr>
        <w:pStyle w:val="Blockquote"/>
        <w:rPr>
          <w:sz w:val="22"/>
          <w:szCs w:val="22"/>
        </w:rPr>
      </w:pPr>
      <w:r>
        <w:rPr>
          <w:sz w:val="22"/>
          <w:szCs w:val="22"/>
        </w:rPr>
        <w:t xml:space="preserve">One </w:t>
      </w:r>
    </w:p>
    <w:p w:rsidR="003800EA" w:rsidRPr="006417D5" w:rsidRDefault="003800EA" w:rsidP="00F74BDE">
      <w:pPr>
        <w:numPr>
          <w:ilvl w:val="0"/>
          <w:numId w:val="3"/>
        </w:numPr>
        <w:tabs>
          <w:tab w:val="clear" w:pos="1440"/>
          <w:tab w:val="num" w:pos="426"/>
        </w:tabs>
        <w:ind w:left="426" w:hanging="426"/>
        <w:outlineLvl w:val="0"/>
        <w:rPr>
          <w:rStyle w:val="Strong"/>
          <w:szCs w:val="24"/>
        </w:rPr>
      </w:pPr>
      <w:r w:rsidRPr="006417D5">
        <w:rPr>
          <w:rStyle w:val="Strong"/>
          <w:szCs w:val="24"/>
        </w:rPr>
        <w:t>Intended timing of publication</w:t>
      </w:r>
      <w:r w:rsidR="00EE26E1">
        <w:rPr>
          <w:rStyle w:val="Strong"/>
          <w:szCs w:val="24"/>
        </w:rPr>
        <w:t xml:space="preserve"> of the </w:t>
      </w:r>
      <w:r w:rsidR="00C66C83">
        <w:rPr>
          <w:rStyle w:val="Strong"/>
          <w:szCs w:val="24"/>
        </w:rPr>
        <w:t>contract notice</w:t>
      </w:r>
    </w:p>
    <w:p w:rsidR="003800EA" w:rsidRPr="003242D0" w:rsidRDefault="006B5C6E">
      <w:pPr>
        <w:pStyle w:val="Blockquote"/>
        <w:rPr>
          <w:sz w:val="22"/>
          <w:szCs w:val="22"/>
        </w:rPr>
      </w:pPr>
      <w:r>
        <w:rPr>
          <w:sz w:val="22"/>
          <w:szCs w:val="22"/>
        </w:rPr>
        <w:t xml:space="preserve">April </w:t>
      </w:r>
      <w:r w:rsidR="00DF43CD">
        <w:rPr>
          <w:sz w:val="22"/>
          <w:szCs w:val="22"/>
        </w:rPr>
        <w:t xml:space="preserve">2019 </w:t>
      </w:r>
      <w:r>
        <w:rPr>
          <w:sz w:val="22"/>
          <w:szCs w:val="22"/>
        </w:rPr>
        <w:t xml:space="preserve"> </w:t>
      </w:r>
    </w:p>
    <w:p w:rsidR="003800EA" w:rsidRPr="006417D5" w:rsidRDefault="003800EA" w:rsidP="00F74BDE">
      <w:pPr>
        <w:numPr>
          <w:ilvl w:val="0"/>
          <w:numId w:val="3"/>
        </w:numPr>
        <w:tabs>
          <w:tab w:val="clear" w:pos="1440"/>
          <w:tab w:val="num" w:pos="426"/>
        </w:tabs>
        <w:ind w:left="426" w:hanging="426"/>
        <w:outlineLvl w:val="0"/>
        <w:rPr>
          <w:rStyle w:val="Strong"/>
          <w:szCs w:val="24"/>
        </w:rPr>
      </w:pPr>
      <w:r w:rsidRPr="006417D5">
        <w:rPr>
          <w:rStyle w:val="Strong"/>
          <w:szCs w:val="24"/>
        </w:rPr>
        <w:t>Additional information</w:t>
      </w:r>
    </w:p>
    <w:p w:rsidR="003800EA" w:rsidRDefault="006B5C6E">
      <w:pPr>
        <w:pStyle w:val="Blockquote"/>
        <w:rPr>
          <w:sz w:val="22"/>
          <w:szCs w:val="22"/>
        </w:rPr>
      </w:pPr>
      <w:r>
        <w:rPr>
          <w:sz w:val="22"/>
          <w:szCs w:val="22"/>
        </w:rPr>
        <w:t>N/A</w:t>
      </w:r>
    </w:p>
    <w:p w:rsidR="003800EA" w:rsidRDefault="003800EA" w:rsidP="00F74BDE">
      <w:pPr>
        <w:numPr>
          <w:ilvl w:val="0"/>
          <w:numId w:val="3"/>
        </w:numPr>
        <w:tabs>
          <w:tab w:val="clear" w:pos="1440"/>
          <w:tab w:val="num" w:pos="426"/>
        </w:tabs>
        <w:ind w:left="426" w:hanging="426"/>
        <w:outlineLvl w:val="0"/>
        <w:rPr>
          <w:rStyle w:val="Strong"/>
          <w:szCs w:val="24"/>
        </w:rPr>
      </w:pPr>
      <w:r w:rsidRPr="006417D5">
        <w:rPr>
          <w:rStyle w:val="Strong"/>
          <w:szCs w:val="24"/>
        </w:rPr>
        <w:lastRenderedPageBreak/>
        <w:t>Legal basis</w:t>
      </w:r>
      <w:r w:rsidR="005B026D">
        <w:rPr>
          <w:rStyle w:val="FootnoteReference"/>
          <w:b/>
          <w:szCs w:val="24"/>
        </w:rPr>
        <w:footnoteReference w:id="2"/>
      </w:r>
    </w:p>
    <w:p w:rsidR="006D4B4A" w:rsidRPr="00C1680B" w:rsidRDefault="006D4B4A" w:rsidP="00B17770">
      <w:pPr>
        <w:pStyle w:val="Blockquote"/>
        <w:widowControl/>
        <w:numPr>
          <w:ilvl w:val="0"/>
          <w:numId w:val="8"/>
        </w:numPr>
        <w:snapToGrid w:val="0"/>
        <w:spacing w:before="0" w:after="0"/>
        <w:ind w:right="357"/>
        <w:jc w:val="both"/>
        <w:rPr>
          <w:sz w:val="22"/>
          <w:szCs w:val="22"/>
        </w:rPr>
      </w:pPr>
      <w:r w:rsidRPr="00C1680B">
        <w:rPr>
          <w:sz w:val="22"/>
          <w:szCs w:val="22"/>
        </w:rPr>
        <w:t>Regulation (EU) No 231/2014 of the European Parliament and of the Council of 11th March 2014 establishing an Instrument for Pre-Accession Assistance (IPA II)</w:t>
      </w:r>
    </w:p>
    <w:p w:rsidR="006D4B4A" w:rsidRPr="00C1680B" w:rsidRDefault="006D4B4A" w:rsidP="00B17770">
      <w:pPr>
        <w:pStyle w:val="Blockquote"/>
        <w:widowControl/>
        <w:numPr>
          <w:ilvl w:val="0"/>
          <w:numId w:val="8"/>
        </w:numPr>
        <w:snapToGrid w:val="0"/>
        <w:spacing w:before="0" w:after="0"/>
        <w:ind w:right="357"/>
        <w:jc w:val="both"/>
        <w:rPr>
          <w:sz w:val="22"/>
          <w:szCs w:val="22"/>
        </w:rPr>
      </w:pPr>
      <w:r w:rsidRPr="00C1680B">
        <w:rPr>
          <w:sz w:val="22"/>
          <w:szCs w:val="22"/>
        </w:rPr>
        <w:t>Regulation (EU) No 236/2014 of the European Parliament and of the Council of 11 March 2014 laying down common rules and procedures for the implementation of the Union's instruments for financing external action;</w:t>
      </w:r>
    </w:p>
    <w:p w:rsidR="006D4B4A" w:rsidRPr="00C1680B" w:rsidRDefault="006D4B4A" w:rsidP="00B17770">
      <w:pPr>
        <w:pStyle w:val="Blockquote"/>
        <w:widowControl/>
        <w:numPr>
          <w:ilvl w:val="0"/>
          <w:numId w:val="8"/>
        </w:numPr>
        <w:snapToGrid w:val="0"/>
        <w:spacing w:before="0" w:after="0"/>
        <w:ind w:right="357"/>
        <w:jc w:val="both"/>
        <w:rPr>
          <w:sz w:val="22"/>
          <w:szCs w:val="22"/>
        </w:rPr>
      </w:pPr>
      <w:r w:rsidRPr="00C1680B">
        <w:rPr>
          <w:sz w:val="22"/>
          <w:szCs w:val="22"/>
        </w:rPr>
        <w:t>Commission Implementing Regulation (EU) No 447/2014 of 2nd May 2014 on the specific rules for implementing Regulation (EU) No 231/2014 of the European Parliament and of the Council of 11th March 2014 establishing an Instrument for Pre-Accession Assistance (IPA II).</w:t>
      </w:r>
    </w:p>
    <w:p w:rsidR="00B17770" w:rsidRPr="00C1680B" w:rsidRDefault="00B17770" w:rsidP="00B17770">
      <w:pPr>
        <w:pStyle w:val="Blockquote"/>
        <w:widowControl/>
        <w:snapToGrid w:val="0"/>
        <w:spacing w:before="0" w:after="0"/>
        <w:ind w:left="720" w:right="357"/>
        <w:jc w:val="both"/>
        <w:rPr>
          <w:sz w:val="22"/>
          <w:szCs w:val="22"/>
        </w:rPr>
      </w:pPr>
    </w:p>
    <w:p w:rsidR="006D4B4A" w:rsidRPr="00C1680B" w:rsidRDefault="006D4B4A" w:rsidP="00C1680B">
      <w:pPr>
        <w:keepNext/>
        <w:keepLines/>
        <w:jc w:val="both"/>
        <w:rPr>
          <w:sz w:val="22"/>
          <w:szCs w:val="22"/>
        </w:rPr>
      </w:pPr>
      <w:r w:rsidRPr="00C1680B">
        <w:rPr>
          <w:sz w:val="22"/>
          <w:szCs w:val="22"/>
        </w:rPr>
        <w:t xml:space="preserve">Please be aware that after the United Kingdom's withdrawal from the EU, the rules of access to EU procurement procedures of economic operators established in third countries </w:t>
      </w:r>
      <w:r w:rsidR="003A086A" w:rsidRPr="003A086A">
        <w:rPr>
          <w:sz w:val="22"/>
          <w:szCs w:val="22"/>
        </w:rPr>
        <w:t xml:space="preserve">and of goods originating from third countries </w:t>
      </w:r>
      <w:r w:rsidRPr="00C1680B">
        <w:rPr>
          <w:sz w:val="22"/>
          <w:szCs w:val="22"/>
        </w:rPr>
        <w:t>will apply to candidates or tenderers from the United Kingdom</w:t>
      </w:r>
      <w:r w:rsidR="003A086A">
        <w:rPr>
          <w:sz w:val="22"/>
          <w:szCs w:val="22"/>
        </w:rPr>
        <w:t>,</w:t>
      </w:r>
      <w:r w:rsidRPr="00C1680B">
        <w:rPr>
          <w:sz w:val="22"/>
          <w:szCs w:val="22"/>
        </w:rPr>
        <w:t xml:space="preserve"> </w:t>
      </w:r>
      <w:r w:rsidR="003A086A" w:rsidRPr="003A086A">
        <w:rPr>
          <w:sz w:val="22"/>
          <w:szCs w:val="22"/>
        </w:rPr>
        <w:t xml:space="preserve">and to all candidates or tenderers proposing goods originating from the United Kingdom </w:t>
      </w:r>
      <w:r w:rsidRPr="00C1680B">
        <w:rPr>
          <w:sz w:val="22"/>
          <w:szCs w:val="22"/>
        </w:rPr>
        <w:t>depending on the outcome of negotiations. In case such access is not provided by legal provisions in force at the time of contract award, candidates or tenderers from the United Kingdom</w:t>
      </w:r>
      <w:r w:rsidR="003A086A">
        <w:rPr>
          <w:sz w:val="22"/>
          <w:szCs w:val="22"/>
        </w:rPr>
        <w:t xml:space="preserve">, </w:t>
      </w:r>
      <w:r w:rsidR="003A086A" w:rsidRPr="003A086A">
        <w:rPr>
          <w:sz w:val="22"/>
          <w:szCs w:val="22"/>
        </w:rPr>
        <w:t>and candidates or tenderers proposing goods originating from the United Kingdom</w:t>
      </w:r>
      <w:r w:rsidRPr="00C1680B">
        <w:rPr>
          <w:sz w:val="22"/>
          <w:szCs w:val="22"/>
        </w:rPr>
        <w:t xml:space="preserve"> could be rejected from the procurement procedure.</w:t>
      </w:r>
    </w:p>
    <w:p w:rsidR="00DC0882" w:rsidRDefault="00DC0882" w:rsidP="00DC0882">
      <w:pPr>
        <w:pStyle w:val="Blockquote"/>
        <w:pBdr>
          <w:top w:val="single" w:sz="4" w:space="1" w:color="auto"/>
        </w:pBdr>
        <w:rPr>
          <w:sz w:val="18"/>
          <w:szCs w:val="18"/>
        </w:rPr>
      </w:pPr>
    </w:p>
    <w:p w:rsidR="003800EA" w:rsidRPr="00CF79FC" w:rsidRDefault="003800EA" w:rsidP="00DC0882">
      <w:pPr>
        <w:pStyle w:val="Blockquote"/>
        <w:pBdr>
          <w:top w:val="single" w:sz="4" w:space="1" w:color="auto"/>
        </w:pBdr>
        <w:rPr>
          <w:rStyle w:val="Strong"/>
          <w:sz w:val="18"/>
          <w:szCs w:val="18"/>
        </w:rPr>
      </w:pPr>
      <w:r w:rsidRPr="00CF79FC">
        <w:rPr>
          <w:sz w:val="18"/>
          <w:szCs w:val="18"/>
        </w:rPr>
        <w:t>Remarks</w:t>
      </w:r>
      <w:r w:rsidRPr="00CF79FC">
        <w:rPr>
          <w:rStyle w:val="Strong"/>
          <w:sz w:val="18"/>
          <w:szCs w:val="18"/>
        </w:rPr>
        <w:t>:</w:t>
      </w:r>
    </w:p>
    <w:p w:rsidR="003800EA" w:rsidRPr="00CF79FC" w:rsidRDefault="003800EA" w:rsidP="00E62F0B">
      <w:pPr>
        <w:pStyle w:val="Blockquote"/>
        <w:jc w:val="both"/>
        <w:rPr>
          <w:sz w:val="18"/>
          <w:szCs w:val="18"/>
        </w:rPr>
      </w:pPr>
      <w:r w:rsidRPr="00CF79FC">
        <w:rPr>
          <w:sz w:val="18"/>
          <w:szCs w:val="18"/>
        </w:rPr>
        <w:t xml:space="preserve">There must be a minimum period of 30 calendar days between the publication of this </w:t>
      </w:r>
      <w:r w:rsidR="0096068D">
        <w:rPr>
          <w:sz w:val="18"/>
          <w:szCs w:val="18"/>
        </w:rPr>
        <w:t>prior information notice</w:t>
      </w:r>
      <w:r w:rsidRPr="00CF79FC">
        <w:rPr>
          <w:sz w:val="18"/>
          <w:szCs w:val="18"/>
        </w:rPr>
        <w:t xml:space="preserve"> and the publication of the corresponding </w:t>
      </w:r>
      <w:r w:rsidR="0096068D">
        <w:rPr>
          <w:sz w:val="18"/>
          <w:szCs w:val="18"/>
        </w:rPr>
        <w:t>contract</w:t>
      </w:r>
      <w:r w:rsidR="0096068D" w:rsidRPr="00CF79FC">
        <w:rPr>
          <w:sz w:val="18"/>
          <w:szCs w:val="18"/>
        </w:rPr>
        <w:t xml:space="preserve"> </w:t>
      </w:r>
      <w:r w:rsidRPr="00CF79FC">
        <w:rPr>
          <w:sz w:val="18"/>
          <w:szCs w:val="18"/>
        </w:rPr>
        <w:t>notice.</w:t>
      </w:r>
    </w:p>
    <w:p w:rsidR="003800EA" w:rsidRPr="00CF79FC" w:rsidRDefault="003800EA" w:rsidP="00E62F0B">
      <w:pPr>
        <w:pStyle w:val="Blockquote"/>
        <w:jc w:val="both"/>
        <w:rPr>
          <w:sz w:val="18"/>
          <w:szCs w:val="18"/>
        </w:rPr>
      </w:pPr>
      <w:r w:rsidRPr="00CF79FC">
        <w:rPr>
          <w:sz w:val="18"/>
          <w:szCs w:val="18"/>
        </w:rPr>
        <w:t>No applications or requests for further information should be sent at this stage.</w:t>
      </w:r>
    </w:p>
    <w:sectPr w:rsidR="003800EA" w:rsidRPr="00CF79FC" w:rsidSect="006417D5">
      <w:footerReference w:type="even" r:id="rId8"/>
      <w:footerReference w:type="default" r:id="rId9"/>
      <w:pgSz w:w="12240" w:h="15840"/>
      <w:pgMar w:top="1440" w:right="1440" w:bottom="1440" w:left="1440" w:header="1440" w:footer="589"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19A" w:rsidRDefault="002D419A">
      <w:r>
        <w:separator/>
      </w:r>
    </w:p>
  </w:endnote>
  <w:endnote w:type="continuationSeparator" w:id="1">
    <w:p w:rsidR="002D419A" w:rsidRDefault="002D41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D60" w:rsidRDefault="006F3D60" w:rsidP="00EB6E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F3D60" w:rsidRDefault="006F3D60" w:rsidP="00E62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D60" w:rsidRDefault="00894AED" w:rsidP="00E62F0B">
    <w:pPr>
      <w:pStyle w:val="Footer"/>
      <w:tabs>
        <w:tab w:val="left" w:pos="8535"/>
      </w:tabs>
      <w:spacing w:before="0" w:after="0"/>
      <w:ind w:right="360"/>
      <w:rPr>
        <w:b/>
        <w:sz w:val="20"/>
        <w:lang w:val="en-GB"/>
      </w:rPr>
    </w:pPr>
    <w:r w:rsidRPr="00E3606F">
      <w:rPr>
        <w:b/>
        <w:sz w:val="18"/>
        <w:lang w:val="en-GB"/>
      </w:rPr>
      <w:t>August</w:t>
    </w:r>
    <w:r w:rsidR="008246CE">
      <w:rPr>
        <w:b/>
        <w:sz w:val="20"/>
        <w:lang w:val="en-GB"/>
      </w:rPr>
      <w:t xml:space="preserve"> 2018</w:t>
    </w:r>
  </w:p>
  <w:p w:rsidR="00941611" w:rsidRPr="007953C7" w:rsidRDefault="0096068D" w:rsidP="00E62F0B">
    <w:pPr>
      <w:pStyle w:val="Footer"/>
      <w:tabs>
        <w:tab w:val="left" w:pos="8535"/>
      </w:tabs>
      <w:spacing w:before="0" w:after="0"/>
      <w:ind w:right="360"/>
      <w:rPr>
        <w:sz w:val="20"/>
        <w:lang w:val="en-GB"/>
      </w:rPr>
    </w:pPr>
    <w:r w:rsidRPr="007953C7">
      <w:rPr>
        <w:sz w:val="20"/>
        <w:lang w:val="en-GB"/>
      </w:rPr>
      <w:t>c</w:t>
    </w:r>
    <w:r w:rsidR="00941611" w:rsidRPr="007953C7">
      <w:rPr>
        <w:sz w:val="20"/>
        <w:lang w:val="en-GB"/>
      </w:rPr>
      <w:t>1_priorinfo_en.doc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19A" w:rsidRDefault="002D419A" w:rsidP="00DC0882">
      <w:pPr>
        <w:spacing w:before="0" w:after="0"/>
      </w:pPr>
      <w:r>
        <w:separator/>
      </w:r>
    </w:p>
  </w:footnote>
  <w:footnote w:type="continuationSeparator" w:id="1">
    <w:p w:rsidR="002D419A" w:rsidRDefault="002D419A">
      <w:r>
        <w:continuationSeparator/>
      </w:r>
    </w:p>
  </w:footnote>
  <w:footnote w:id="2">
    <w:p w:rsidR="005B026D" w:rsidRPr="005D605A" w:rsidRDefault="005B026D" w:rsidP="00DC0882">
      <w:pPr>
        <w:pStyle w:val="FootnoteText"/>
        <w:rPr>
          <w:lang w:val="en-GB"/>
        </w:rPr>
      </w:pPr>
      <w:r>
        <w:rPr>
          <w:rStyle w:val="FootnoteReference"/>
        </w:rPr>
        <w:footnoteRef/>
      </w:r>
      <w:r w:rsidR="00DC0882">
        <w:t xml:space="preserve"> </w:t>
      </w:r>
      <w:r>
        <w:t xml:space="preserve">Please state any specificity that might have an impact on rules on participation (such as </w:t>
      </w:r>
      <w:r>
        <w:rPr>
          <w:lang w:val="en-GB"/>
        </w:rPr>
        <w:t>geographic or thematic</w:t>
      </w:r>
      <w:r w:rsidRPr="009A1C41">
        <w:rPr>
          <w:lang w:val="en-GB"/>
        </w:rPr>
        <w:t xml:space="preserve"> </w:t>
      </w:r>
      <w:r>
        <w:rPr>
          <w:lang w:val="en-GB"/>
        </w:rPr>
        <w:t>or long/short term).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88B2F05"/>
    <w:multiLevelType w:val="hybridMultilevel"/>
    <w:tmpl w:val="BCD497F4"/>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2">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65F4330"/>
    <w:multiLevelType w:val="hybridMultilevel"/>
    <w:tmpl w:val="BF86F19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D747A7E"/>
    <w:multiLevelType w:val="hybridMultilevel"/>
    <w:tmpl w:val="57D6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605525"/>
    <w:multiLevelType w:val="hybridMultilevel"/>
    <w:tmpl w:val="708053E8"/>
    <w:lvl w:ilvl="0" w:tplc="1D4E93EC">
      <w:start w:val="1"/>
      <w:numFmt w:val="decimal"/>
      <w:lvlText w:val="%1."/>
      <w:lvlJc w:val="left"/>
      <w:pPr>
        <w:tabs>
          <w:tab w:val="num" w:pos="1440"/>
        </w:tabs>
        <w:ind w:left="1440" w:hanging="360"/>
      </w:pPr>
      <w:rPr>
        <w:rFonts w:ascii="Times New Roman" w:hAnsi="Times New Roman" w:hint="default"/>
        <w:b/>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5100122"/>
    <w:multiLevelType w:val="hybridMultilevel"/>
    <w:tmpl w:val="3056CE26"/>
    <w:lvl w:ilvl="0" w:tplc="083E7D2A">
      <w:numFmt w:val="bullet"/>
      <w:lvlText w:val=""/>
      <w:lvlJc w:val="left"/>
      <w:pPr>
        <w:ind w:left="720" w:hanging="360"/>
      </w:pPr>
      <w:rPr>
        <w:rFonts w:ascii="Symbol" w:eastAsia="Arial Unicode M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0"/>
    <w:lvlOverride w:ilvl="0">
      <w:lvl w:ilvl="0">
        <w:numFmt w:val="bullet"/>
        <w:lvlText w:val=""/>
        <w:legacy w:legacy="1" w:legacySpace="0" w:legacyIndent="360"/>
        <w:lvlJc w:val="left"/>
        <w:pPr>
          <w:ind w:left="0" w:hanging="360"/>
        </w:pPr>
        <w:rPr>
          <w:rFonts w:ascii="Symbol" w:hAnsi="Symbol" w:hint="default"/>
        </w:rPr>
      </w:lvl>
    </w:lvlOverride>
  </w:num>
  <w:num w:numId="3">
    <w:abstractNumId w:val="5"/>
  </w:num>
  <w:num w:numId="4">
    <w:abstractNumId w:val="3"/>
  </w:num>
  <w:num w:numId="5">
    <w:abstractNumId w:val="2"/>
  </w:num>
  <w:num w:numId="6">
    <w:abstractNumId w:val="1"/>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grammar="clean"/>
  <w:stylePaneFormatFilter w:val="3F01"/>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NDKyMDA2MTI1MzIxMTZU0lEKTi0uzszPAykwrAUABIiL3ywAAAA="/>
    <w:docVar w:name="LW_DocType" w:val="NORMAL"/>
  </w:docVars>
  <w:rsids>
    <w:rsidRoot w:val="00F61EB2"/>
    <w:rsid w:val="0005538B"/>
    <w:rsid w:val="000E0967"/>
    <w:rsid w:val="000E50A5"/>
    <w:rsid w:val="00104B51"/>
    <w:rsid w:val="00141B17"/>
    <w:rsid w:val="00174C3C"/>
    <w:rsid w:val="0019580E"/>
    <w:rsid w:val="00196E6C"/>
    <w:rsid w:val="001C1395"/>
    <w:rsid w:val="001D592C"/>
    <w:rsid w:val="002027DA"/>
    <w:rsid w:val="00236CFE"/>
    <w:rsid w:val="002630F2"/>
    <w:rsid w:val="00267B1D"/>
    <w:rsid w:val="00274223"/>
    <w:rsid w:val="00293E6A"/>
    <w:rsid w:val="002C22AE"/>
    <w:rsid w:val="002C5389"/>
    <w:rsid w:val="002D419A"/>
    <w:rsid w:val="002E7DB0"/>
    <w:rsid w:val="002F5DD2"/>
    <w:rsid w:val="003175B9"/>
    <w:rsid w:val="003177C4"/>
    <w:rsid w:val="003242D0"/>
    <w:rsid w:val="0034025F"/>
    <w:rsid w:val="0034411F"/>
    <w:rsid w:val="0036035C"/>
    <w:rsid w:val="003800EA"/>
    <w:rsid w:val="00395324"/>
    <w:rsid w:val="003A086A"/>
    <w:rsid w:val="003D5EB6"/>
    <w:rsid w:val="003E65CD"/>
    <w:rsid w:val="003F1107"/>
    <w:rsid w:val="00470E1F"/>
    <w:rsid w:val="004A377D"/>
    <w:rsid w:val="004B0081"/>
    <w:rsid w:val="004C3EF4"/>
    <w:rsid w:val="00500EEA"/>
    <w:rsid w:val="00504068"/>
    <w:rsid w:val="00512692"/>
    <w:rsid w:val="005771D7"/>
    <w:rsid w:val="005856D9"/>
    <w:rsid w:val="00586F93"/>
    <w:rsid w:val="005A2DF8"/>
    <w:rsid w:val="005A78B5"/>
    <w:rsid w:val="005B026D"/>
    <w:rsid w:val="005B7FD1"/>
    <w:rsid w:val="005D337E"/>
    <w:rsid w:val="005D605A"/>
    <w:rsid w:val="006417D5"/>
    <w:rsid w:val="006465FC"/>
    <w:rsid w:val="006A2159"/>
    <w:rsid w:val="006B5C6E"/>
    <w:rsid w:val="006C27BD"/>
    <w:rsid w:val="006D4B4A"/>
    <w:rsid w:val="006F3A29"/>
    <w:rsid w:val="006F3D60"/>
    <w:rsid w:val="0071722D"/>
    <w:rsid w:val="00721FB7"/>
    <w:rsid w:val="00724CCE"/>
    <w:rsid w:val="0073503C"/>
    <w:rsid w:val="007548C9"/>
    <w:rsid w:val="007648E2"/>
    <w:rsid w:val="00774078"/>
    <w:rsid w:val="007953C7"/>
    <w:rsid w:val="007A28A7"/>
    <w:rsid w:val="00811C6E"/>
    <w:rsid w:val="00813455"/>
    <w:rsid w:val="00822D6B"/>
    <w:rsid w:val="008246CE"/>
    <w:rsid w:val="00847ADF"/>
    <w:rsid w:val="00862FAA"/>
    <w:rsid w:val="0088238A"/>
    <w:rsid w:val="0088745D"/>
    <w:rsid w:val="00894AED"/>
    <w:rsid w:val="008F12A6"/>
    <w:rsid w:val="00941611"/>
    <w:rsid w:val="00943778"/>
    <w:rsid w:val="00943E21"/>
    <w:rsid w:val="009518F0"/>
    <w:rsid w:val="0096068D"/>
    <w:rsid w:val="00961D3E"/>
    <w:rsid w:val="009915C0"/>
    <w:rsid w:val="009A6C83"/>
    <w:rsid w:val="00A20F2C"/>
    <w:rsid w:val="00A7656D"/>
    <w:rsid w:val="00A81E0C"/>
    <w:rsid w:val="00AB272C"/>
    <w:rsid w:val="00AD57A6"/>
    <w:rsid w:val="00B0583A"/>
    <w:rsid w:val="00B17770"/>
    <w:rsid w:val="00B34FA8"/>
    <w:rsid w:val="00B47275"/>
    <w:rsid w:val="00B8241E"/>
    <w:rsid w:val="00B92365"/>
    <w:rsid w:val="00BA4DC3"/>
    <w:rsid w:val="00BB2900"/>
    <w:rsid w:val="00BB64B7"/>
    <w:rsid w:val="00BC5E51"/>
    <w:rsid w:val="00BD5AD6"/>
    <w:rsid w:val="00BE6600"/>
    <w:rsid w:val="00C1680B"/>
    <w:rsid w:val="00C66C83"/>
    <w:rsid w:val="00C75760"/>
    <w:rsid w:val="00C758D1"/>
    <w:rsid w:val="00C902A2"/>
    <w:rsid w:val="00CE0C68"/>
    <w:rsid w:val="00CE6A45"/>
    <w:rsid w:val="00CF3D40"/>
    <w:rsid w:val="00CF79FC"/>
    <w:rsid w:val="00D00211"/>
    <w:rsid w:val="00D13186"/>
    <w:rsid w:val="00D160FA"/>
    <w:rsid w:val="00DA29A7"/>
    <w:rsid w:val="00DB607F"/>
    <w:rsid w:val="00DC0882"/>
    <w:rsid w:val="00DF0F51"/>
    <w:rsid w:val="00DF43CD"/>
    <w:rsid w:val="00E102E2"/>
    <w:rsid w:val="00E116B8"/>
    <w:rsid w:val="00E205F9"/>
    <w:rsid w:val="00E27964"/>
    <w:rsid w:val="00E62F0B"/>
    <w:rsid w:val="00E90D7A"/>
    <w:rsid w:val="00EA61FB"/>
    <w:rsid w:val="00EB6E1D"/>
    <w:rsid w:val="00EC1438"/>
    <w:rsid w:val="00EC2A51"/>
    <w:rsid w:val="00EE26E1"/>
    <w:rsid w:val="00F01C3C"/>
    <w:rsid w:val="00F34D6F"/>
    <w:rsid w:val="00F449C9"/>
    <w:rsid w:val="00F50349"/>
    <w:rsid w:val="00F61EB2"/>
    <w:rsid w:val="00F74BDE"/>
    <w:rsid w:val="00FC0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0882"/>
    <w:pPr>
      <w:widowControl w:val="0"/>
      <w:spacing w:before="100" w:after="10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E62F0B"/>
  </w:style>
  <w:style w:type="paragraph" w:styleId="BalloonText">
    <w:name w:val="Balloon Text"/>
    <w:basedOn w:val="Normal"/>
    <w:semiHidden/>
    <w:rsid w:val="00721FB7"/>
    <w:rPr>
      <w:rFonts w:ascii="Tahoma" w:hAnsi="Tahoma" w:cs="Tahoma"/>
      <w:sz w:val="16"/>
      <w:szCs w:val="16"/>
    </w:rPr>
  </w:style>
  <w:style w:type="paragraph" w:customStyle="1" w:styleId="PRAGHeading2">
    <w:name w:val="PRAG Heading 2"/>
    <w:basedOn w:val="Normal"/>
    <w:rsid w:val="005B026D"/>
    <w:pPr>
      <w:numPr>
        <w:numId w:val="5"/>
      </w:numPr>
    </w:pPr>
  </w:style>
  <w:style w:type="paragraph" w:styleId="FootnoteText">
    <w:name w:val="footnote text"/>
    <w:basedOn w:val="Normal"/>
    <w:link w:val="FootnoteTextChar"/>
    <w:autoRedefine/>
    <w:rsid w:val="00DC0882"/>
    <w:pPr>
      <w:spacing w:before="0" w:after="120"/>
    </w:pPr>
    <w:rPr>
      <w:sz w:val="20"/>
    </w:rPr>
  </w:style>
  <w:style w:type="character" w:customStyle="1" w:styleId="FootnoteTextChar">
    <w:name w:val="Footnote Text Char"/>
    <w:link w:val="FootnoteText"/>
    <w:rsid w:val="00DC0882"/>
    <w:rPr>
      <w:snapToGrid/>
      <w:lang w:val="en-US" w:eastAsia="en-US"/>
    </w:rPr>
  </w:style>
  <w:style w:type="character" w:styleId="FootnoteReference">
    <w:name w:val="footnote reference"/>
    <w:rsid w:val="005B026D"/>
    <w:rPr>
      <w:vertAlign w:val="superscript"/>
    </w:rPr>
  </w:style>
  <w:style w:type="paragraph" w:styleId="ListParagraph">
    <w:name w:val="List Paragraph"/>
    <w:aliases w:val="PROVERE 1,Table of contents numbered"/>
    <w:basedOn w:val="Normal"/>
    <w:link w:val="ListParagraphChar"/>
    <w:uiPriority w:val="34"/>
    <w:qFormat/>
    <w:rsid w:val="00CE0C68"/>
    <w:pPr>
      <w:widowControl/>
      <w:spacing w:before="0" w:after="200" w:line="276" w:lineRule="auto"/>
      <w:ind w:left="720"/>
      <w:contextualSpacing/>
    </w:pPr>
    <w:rPr>
      <w:rFonts w:ascii="Calibri" w:hAnsi="Calibri"/>
      <w:snapToGrid/>
      <w:sz w:val="22"/>
      <w:szCs w:val="22"/>
      <w:lang w:val="en-GB" w:eastAsia="en-GB"/>
    </w:rPr>
  </w:style>
  <w:style w:type="character" w:customStyle="1" w:styleId="ListParagraphChar">
    <w:name w:val="List Paragraph Char"/>
    <w:aliases w:val="PROVERE 1 Char,Table of contents numbered Char"/>
    <w:link w:val="ListParagraph"/>
    <w:uiPriority w:val="34"/>
    <w:locked/>
    <w:rsid w:val="00CE0C68"/>
    <w:rPr>
      <w:rFonts w:ascii="Calibri" w:hAnsi="Calibri"/>
      <w:sz w:val="22"/>
      <w:szCs w:val="22"/>
      <w:lang w:val="en-GB" w:eastAsia="en-GB"/>
    </w:rPr>
  </w:style>
  <w:style w:type="character" w:styleId="CommentReference">
    <w:name w:val="annotation reference"/>
    <w:rsid w:val="00DF43CD"/>
    <w:rPr>
      <w:sz w:val="16"/>
      <w:szCs w:val="16"/>
    </w:rPr>
  </w:style>
  <w:style w:type="paragraph" w:styleId="CommentText">
    <w:name w:val="annotation text"/>
    <w:basedOn w:val="Normal"/>
    <w:link w:val="CommentTextChar"/>
    <w:rsid w:val="00DF43CD"/>
    <w:rPr>
      <w:sz w:val="20"/>
      <w:lang/>
    </w:rPr>
  </w:style>
  <w:style w:type="character" w:customStyle="1" w:styleId="CommentTextChar">
    <w:name w:val="Comment Text Char"/>
    <w:link w:val="CommentText"/>
    <w:rsid w:val="00DF43CD"/>
    <w:rPr>
      <w:snapToGrid w:val="0"/>
    </w:rPr>
  </w:style>
  <w:style w:type="paragraph" w:styleId="CommentSubject">
    <w:name w:val="annotation subject"/>
    <w:basedOn w:val="CommentText"/>
    <w:next w:val="CommentText"/>
    <w:link w:val="CommentSubjectChar"/>
    <w:rsid w:val="00DF43CD"/>
    <w:rPr>
      <w:b/>
      <w:bCs/>
    </w:rPr>
  </w:style>
  <w:style w:type="character" w:customStyle="1" w:styleId="CommentSubjectChar">
    <w:name w:val="Comment Subject Char"/>
    <w:link w:val="CommentSubject"/>
    <w:rsid w:val="00DF43CD"/>
    <w:rPr>
      <w:b/>
      <w:bCs/>
      <w:snapToGrid w:val="0"/>
    </w:rPr>
  </w:style>
</w:styles>
</file>

<file path=word/webSettings.xml><?xml version="1.0" encoding="utf-8"?>
<w:webSettings xmlns:r="http://schemas.openxmlformats.org/officeDocument/2006/relationships" xmlns:w="http://schemas.openxmlformats.org/wordprocessingml/2006/main">
  <w:divs>
    <w:div w:id="109592220">
      <w:bodyDiv w:val="1"/>
      <w:marLeft w:val="0"/>
      <w:marRight w:val="0"/>
      <w:marTop w:val="0"/>
      <w:marBottom w:val="0"/>
      <w:divBdr>
        <w:top w:val="none" w:sz="0" w:space="0" w:color="auto"/>
        <w:left w:val="none" w:sz="0" w:space="0" w:color="auto"/>
        <w:bottom w:val="none" w:sz="0" w:space="0" w:color="auto"/>
        <w:right w:val="none" w:sz="0" w:space="0" w:color="auto"/>
      </w:divBdr>
    </w:div>
    <w:div w:id="1286615952">
      <w:bodyDiv w:val="1"/>
      <w:marLeft w:val="0"/>
      <w:marRight w:val="0"/>
      <w:marTop w:val="0"/>
      <w:marBottom w:val="0"/>
      <w:divBdr>
        <w:top w:val="none" w:sz="0" w:space="0" w:color="auto"/>
        <w:left w:val="none" w:sz="0" w:space="0" w:color="auto"/>
        <w:bottom w:val="none" w:sz="0" w:space="0" w:color="auto"/>
        <w:right w:val="none" w:sz="0" w:space="0" w:color="auto"/>
      </w:divBdr>
    </w:div>
    <w:div w:id="1566985059">
      <w:bodyDiv w:val="1"/>
      <w:marLeft w:val="0"/>
      <w:marRight w:val="0"/>
      <w:marTop w:val="0"/>
      <w:marBottom w:val="0"/>
      <w:divBdr>
        <w:top w:val="none" w:sz="0" w:space="0" w:color="auto"/>
        <w:left w:val="none" w:sz="0" w:space="0" w:color="auto"/>
        <w:bottom w:val="none" w:sz="0" w:space="0" w:color="auto"/>
        <w:right w:val="none" w:sz="0" w:space="0" w:color="auto"/>
      </w:divBdr>
    </w:div>
    <w:div w:id="164601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C0209-7F46-40CC-8930-3C4B4D9B7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Supply contract forecast</vt:lpstr>
    </vt:vector>
  </TitlesOfParts>
  <Company>European Commission</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contract forecast</dc:title>
  <dc:creator>chattob</dc:creator>
  <cp:lastModifiedBy>haris.sabotic</cp:lastModifiedBy>
  <cp:revision>2</cp:revision>
  <cp:lastPrinted>2006-01-13T15:38:00Z</cp:lastPrinted>
  <dcterms:created xsi:type="dcterms:W3CDTF">2019-02-12T12:20:00Z</dcterms:created>
  <dcterms:modified xsi:type="dcterms:W3CDTF">2019-02-12T12:20:00Z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Checked by">
    <vt:lpwstr>duboile</vt:lpwstr>
  </property>
</Properties>
</file>