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676" w:rsidRPr="007956D0" w:rsidRDefault="00580B3D" w:rsidP="00295C2E">
      <w:pPr>
        <w:spacing w:after="0" w:line="240" w:lineRule="auto"/>
        <w:jc w:val="center"/>
        <w:rPr>
          <w:rFonts w:ascii="Arial" w:hAnsi="Arial" w:cs="Arial"/>
          <w:noProof/>
        </w:rPr>
      </w:pPr>
      <w:r w:rsidRPr="007956D0">
        <w:rPr>
          <w:rFonts w:ascii="Arial" w:hAnsi="Arial" w:cs="Arial"/>
          <w:noProof/>
        </w:rPr>
        <w:drawing>
          <wp:inline distT="0" distB="0" distL="0" distR="0">
            <wp:extent cx="24003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0300" cy="1781175"/>
                    </a:xfrm>
                    <a:prstGeom prst="rect">
                      <a:avLst/>
                    </a:prstGeom>
                    <a:noFill/>
                    <a:ln w="9525">
                      <a:noFill/>
                      <a:miter lim="800000"/>
                      <a:headEnd/>
                      <a:tailEnd/>
                    </a:ln>
                  </pic:spPr>
                </pic:pic>
              </a:graphicData>
            </a:graphic>
          </wp:inline>
        </w:drawing>
      </w:r>
      <w:r w:rsidR="00DF6D09" w:rsidRPr="007956D0">
        <w:rPr>
          <w:rFonts w:ascii="Arial" w:hAnsi="Arial" w:cs="Arial"/>
          <w:noProof/>
        </w:rPr>
        <w:t xml:space="preserve">                </w:t>
      </w:r>
    </w:p>
    <w:p w:rsidR="002E4676" w:rsidRPr="007956D0" w:rsidRDefault="002E4676" w:rsidP="00580B3D">
      <w:pPr>
        <w:pStyle w:val="Heading1"/>
        <w:ind w:left="882"/>
        <w:rPr>
          <w:b w:val="0"/>
          <w:noProof/>
        </w:rPr>
      </w:pPr>
    </w:p>
    <w:p w:rsidR="00295C2E" w:rsidRPr="007956D0" w:rsidRDefault="00295C2E" w:rsidP="00295C2E">
      <w:pPr>
        <w:rPr>
          <w:rFonts w:ascii="Arial" w:hAnsi="Arial" w:cs="Arial"/>
          <w:noProof/>
        </w:rPr>
      </w:pPr>
    </w:p>
    <w:p w:rsidR="00D06D15" w:rsidRDefault="00D06D15" w:rsidP="00D06D15">
      <w:pPr>
        <w:spacing w:after="0" w:line="240" w:lineRule="auto"/>
        <w:jc w:val="both"/>
        <w:rPr>
          <w:rFonts w:ascii="Arial" w:hAnsi="Arial" w:cs="Arial"/>
          <w:b/>
          <w:lang w:val="sr-Latn-CS"/>
        </w:rPr>
      </w:pPr>
      <w:r>
        <w:rPr>
          <w:rFonts w:ascii="Arial" w:hAnsi="Arial" w:cs="Arial"/>
          <w:lang w:val="sr-Latn-CS"/>
        </w:rPr>
        <w:t>Podgorica, 26. februar 2020.</w:t>
      </w:r>
    </w:p>
    <w:p w:rsidR="00D06D15" w:rsidRDefault="00D06D15" w:rsidP="00D06D15">
      <w:pPr>
        <w:spacing w:after="0" w:line="240" w:lineRule="auto"/>
        <w:jc w:val="both"/>
        <w:rPr>
          <w:rFonts w:ascii="Arial" w:eastAsia="Arial Unicode MS" w:hAnsi="Arial" w:cs="Arial"/>
          <w:b/>
          <w:noProof/>
          <w:kern w:val="2"/>
          <w:lang w:val="sr-Latn-CS"/>
        </w:rPr>
      </w:pPr>
      <w:r>
        <w:rPr>
          <w:rFonts w:ascii="Arial" w:hAnsi="Arial" w:cs="Arial"/>
          <w:lang w:val="sr-Latn-CS"/>
        </w:rPr>
        <w:t>Broj: 007-304/20-1284</w:t>
      </w:r>
      <w:r>
        <w:rPr>
          <w:rFonts w:ascii="Arial" w:hAnsi="Arial" w:cs="Arial"/>
          <w:lang w:val="sr-Latn-CS"/>
        </w:rPr>
        <w:t>/1</w:t>
      </w:r>
      <w:bookmarkStart w:id="0" w:name="_GoBack"/>
      <w:bookmarkEnd w:id="0"/>
    </w:p>
    <w:p w:rsidR="002E4676" w:rsidRPr="007956D0" w:rsidRDefault="002E4676" w:rsidP="002E4676">
      <w:pPr>
        <w:spacing w:after="0" w:line="240" w:lineRule="auto"/>
        <w:rPr>
          <w:rFonts w:ascii="Arial" w:hAnsi="Arial" w:cs="Arial"/>
          <w:noProof/>
        </w:rPr>
      </w:pPr>
    </w:p>
    <w:p w:rsidR="002E4676" w:rsidRPr="007956D0" w:rsidRDefault="002E4676" w:rsidP="002E4676">
      <w:pPr>
        <w:spacing w:after="0" w:line="240" w:lineRule="auto"/>
        <w:rPr>
          <w:rFonts w:ascii="Arial" w:hAnsi="Arial" w:cs="Arial"/>
          <w:noProof/>
        </w:rPr>
      </w:pPr>
    </w:p>
    <w:p w:rsidR="002E4676" w:rsidRPr="007956D0" w:rsidRDefault="002E4676" w:rsidP="002E4676">
      <w:pPr>
        <w:spacing w:after="0" w:line="240" w:lineRule="auto"/>
        <w:rPr>
          <w:rFonts w:ascii="Arial" w:hAnsi="Arial" w:cs="Arial"/>
          <w:b/>
          <w:noProof/>
        </w:rPr>
      </w:pPr>
    </w:p>
    <w:p w:rsidR="00895829" w:rsidRPr="007956D0" w:rsidRDefault="00895829" w:rsidP="002E4676">
      <w:pPr>
        <w:spacing w:after="0" w:line="240" w:lineRule="auto"/>
        <w:rPr>
          <w:rFonts w:ascii="Arial" w:hAnsi="Arial" w:cs="Arial"/>
          <w:b/>
          <w:noProof/>
        </w:rPr>
      </w:pPr>
    </w:p>
    <w:p w:rsidR="00895829" w:rsidRPr="007956D0" w:rsidRDefault="00895829" w:rsidP="002E4676">
      <w:pPr>
        <w:spacing w:after="0" w:line="240" w:lineRule="auto"/>
        <w:rPr>
          <w:rFonts w:ascii="Arial" w:hAnsi="Arial" w:cs="Arial"/>
          <w:b/>
          <w:noProof/>
        </w:rPr>
      </w:pPr>
    </w:p>
    <w:p w:rsidR="006A0E0C" w:rsidRPr="007956D0" w:rsidRDefault="006A0E0C" w:rsidP="002E4676">
      <w:pPr>
        <w:spacing w:after="0" w:line="240" w:lineRule="auto"/>
        <w:rPr>
          <w:rFonts w:ascii="Arial" w:hAnsi="Arial" w:cs="Arial"/>
          <w:b/>
          <w:noProof/>
        </w:rPr>
      </w:pPr>
    </w:p>
    <w:p w:rsidR="006A0E0C" w:rsidRPr="007956D0" w:rsidRDefault="006A0E0C" w:rsidP="002E4676">
      <w:pPr>
        <w:spacing w:after="0" w:line="240" w:lineRule="auto"/>
        <w:rPr>
          <w:rFonts w:ascii="Arial" w:hAnsi="Arial" w:cs="Arial"/>
          <w:b/>
          <w:noProof/>
        </w:rPr>
      </w:pPr>
    </w:p>
    <w:p w:rsidR="006A0E0C" w:rsidRPr="007956D0" w:rsidRDefault="006A0E0C" w:rsidP="002E4676">
      <w:pPr>
        <w:spacing w:after="0" w:line="240" w:lineRule="auto"/>
        <w:rPr>
          <w:rFonts w:ascii="Arial" w:hAnsi="Arial" w:cs="Arial"/>
          <w:b/>
          <w:noProof/>
        </w:rPr>
      </w:pPr>
    </w:p>
    <w:p w:rsidR="00895829" w:rsidRPr="007956D0" w:rsidRDefault="00895829" w:rsidP="002E4676">
      <w:pPr>
        <w:spacing w:after="0" w:line="240" w:lineRule="auto"/>
        <w:rPr>
          <w:rFonts w:ascii="Arial" w:hAnsi="Arial" w:cs="Arial"/>
          <w:b/>
          <w:noProof/>
        </w:rPr>
      </w:pPr>
    </w:p>
    <w:p w:rsidR="002E4676" w:rsidRPr="007956D0" w:rsidRDefault="00735D9E" w:rsidP="00647F27">
      <w:pPr>
        <w:spacing w:before="120" w:after="0" w:line="240" w:lineRule="auto"/>
        <w:jc w:val="center"/>
        <w:rPr>
          <w:rFonts w:ascii="Arial" w:hAnsi="Arial" w:cs="Arial"/>
          <w:b/>
          <w:noProof/>
        </w:rPr>
      </w:pPr>
      <w:r w:rsidRPr="007956D0">
        <w:rPr>
          <w:rFonts w:ascii="Arial" w:hAnsi="Arial" w:cs="Arial"/>
          <w:b/>
          <w:noProof/>
        </w:rPr>
        <w:t xml:space="preserve">K O N C E S I O N I </w:t>
      </w:r>
      <w:r w:rsidR="002E4676" w:rsidRPr="007956D0">
        <w:rPr>
          <w:rFonts w:ascii="Arial" w:hAnsi="Arial" w:cs="Arial"/>
          <w:b/>
          <w:noProof/>
        </w:rPr>
        <w:t xml:space="preserve"> A K T</w:t>
      </w:r>
    </w:p>
    <w:p w:rsidR="002E4676" w:rsidRPr="007956D0" w:rsidRDefault="002E4676" w:rsidP="00647F27">
      <w:pPr>
        <w:spacing w:before="120" w:after="0" w:line="240" w:lineRule="auto"/>
        <w:jc w:val="center"/>
        <w:rPr>
          <w:rFonts w:ascii="Arial" w:hAnsi="Arial" w:cs="Arial"/>
          <w:b/>
          <w:noProof/>
        </w:rPr>
      </w:pPr>
      <w:r w:rsidRPr="007956D0">
        <w:rPr>
          <w:rFonts w:ascii="Arial" w:hAnsi="Arial" w:cs="Arial"/>
          <w:b/>
          <w:noProof/>
        </w:rPr>
        <w:t>o pojavi mineralne sirovine tehničko-građev</w:t>
      </w:r>
      <w:r w:rsidR="00D3636A" w:rsidRPr="007956D0">
        <w:rPr>
          <w:rFonts w:ascii="Arial" w:hAnsi="Arial" w:cs="Arial"/>
          <w:b/>
          <w:noProof/>
        </w:rPr>
        <w:t xml:space="preserve">inskog kamena </w:t>
      </w:r>
      <w:r w:rsidR="007455EB" w:rsidRPr="007956D0">
        <w:rPr>
          <w:rFonts w:ascii="Arial" w:hAnsi="Arial" w:cs="Arial"/>
          <w:b/>
          <w:noProof/>
        </w:rPr>
        <w:t>„</w:t>
      </w:r>
      <w:r w:rsidR="00183B94" w:rsidRPr="007956D0">
        <w:rPr>
          <w:rFonts w:ascii="Arial" w:hAnsi="Arial" w:cs="Arial"/>
          <w:b/>
          <w:noProof/>
        </w:rPr>
        <w:t>Velja Gorana</w:t>
      </w:r>
      <w:r w:rsidR="00C21350" w:rsidRPr="007956D0">
        <w:rPr>
          <w:rFonts w:ascii="Arial" w:hAnsi="Arial" w:cs="Arial"/>
          <w:b/>
          <w:noProof/>
        </w:rPr>
        <w:t>”,</w:t>
      </w:r>
      <w:r w:rsidR="00D17158" w:rsidRPr="007956D0">
        <w:rPr>
          <w:rFonts w:ascii="Arial" w:hAnsi="Arial" w:cs="Arial"/>
          <w:b/>
          <w:noProof/>
        </w:rPr>
        <w:t xml:space="preserve"> </w:t>
      </w:r>
      <w:r w:rsidR="00A51B18" w:rsidRPr="007956D0">
        <w:rPr>
          <w:rFonts w:ascii="Arial" w:hAnsi="Arial" w:cs="Arial"/>
          <w:b/>
          <w:noProof/>
        </w:rPr>
        <w:t xml:space="preserve">Opština </w:t>
      </w:r>
      <w:r w:rsidR="00183B94" w:rsidRPr="007956D0">
        <w:rPr>
          <w:rFonts w:ascii="Arial" w:hAnsi="Arial" w:cs="Arial"/>
          <w:b/>
          <w:noProof/>
        </w:rPr>
        <w:t>Bar</w:t>
      </w:r>
    </w:p>
    <w:p w:rsidR="002E4676" w:rsidRPr="007956D0" w:rsidRDefault="002E4676" w:rsidP="00647F27">
      <w:pPr>
        <w:spacing w:before="120" w:after="0" w:line="240" w:lineRule="auto"/>
        <w:jc w:val="center"/>
        <w:rPr>
          <w:rFonts w:ascii="Arial" w:hAnsi="Arial" w:cs="Arial"/>
          <w:b/>
          <w:noProof/>
        </w:rPr>
      </w:pPr>
    </w:p>
    <w:p w:rsidR="002E4676" w:rsidRPr="007956D0" w:rsidRDefault="002E4676" w:rsidP="00647F27">
      <w:pPr>
        <w:spacing w:before="120" w:after="0" w:line="240" w:lineRule="auto"/>
        <w:jc w:val="center"/>
        <w:rPr>
          <w:rFonts w:ascii="Arial" w:hAnsi="Arial" w:cs="Arial"/>
          <w:b/>
          <w:noProof/>
        </w:rPr>
      </w:pPr>
    </w:p>
    <w:p w:rsidR="002E4676" w:rsidRPr="007956D0" w:rsidRDefault="002E4676" w:rsidP="00647F27">
      <w:pPr>
        <w:spacing w:before="120" w:after="0" w:line="240" w:lineRule="auto"/>
        <w:jc w:val="center"/>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b/>
          <w:noProof/>
        </w:rPr>
      </w:pPr>
    </w:p>
    <w:p w:rsidR="002E4676" w:rsidRPr="007956D0" w:rsidRDefault="002E4676" w:rsidP="002E4676">
      <w:pPr>
        <w:spacing w:after="0" w:line="240" w:lineRule="auto"/>
        <w:rPr>
          <w:rFonts w:ascii="Arial" w:hAnsi="Arial" w:cs="Arial"/>
          <w:i/>
          <w:noProof/>
        </w:rPr>
      </w:pPr>
    </w:p>
    <w:p w:rsidR="002E4676" w:rsidRPr="007956D0" w:rsidRDefault="002E4676" w:rsidP="002E4676">
      <w:pPr>
        <w:spacing w:after="0" w:line="240" w:lineRule="auto"/>
        <w:rPr>
          <w:rFonts w:ascii="Arial" w:hAnsi="Arial" w:cs="Arial"/>
          <w:noProof/>
        </w:rPr>
      </w:pPr>
    </w:p>
    <w:p w:rsidR="00295C2E" w:rsidRPr="007956D0" w:rsidRDefault="00295C2E" w:rsidP="002E4676">
      <w:pPr>
        <w:spacing w:after="0" w:line="240" w:lineRule="auto"/>
        <w:rPr>
          <w:rFonts w:ascii="Arial" w:hAnsi="Arial" w:cs="Arial"/>
          <w:noProof/>
        </w:rPr>
      </w:pPr>
    </w:p>
    <w:p w:rsidR="00721D13" w:rsidRPr="007956D0" w:rsidRDefault="00721D13" w:rsidP="00721D13">
      <w:pPr>
        <w:spacing w:after="0" w:line="240" w:lineRule="auto"/>
        <w:jc w:val="center"/>
        <w:rPr>
          <w:rFonts w:ascii="Arial" w:hAnsi="Arial" w:cs="Arial"/>
          <w:b/>
        </w:rPr>
      </w:pPr>
    </w:p>
    <w:p w:rsidR="00721D13" w:rsidRPr="007956D0" w:rsidRDefault="00721D13" w:rsidP="00721D13">
      <w:pPr>
        <w:spacing w:after="0" w:line="240" w:lineRule="auto"/>
        <w:jc w:val="center"/>
        <w:rPr>
          <w:rFonts w:ascii="Arial" w:hAnsi="Arial" w:cs="Arial"/>
          <w:b/>
        </w:rPr>
      </w:pPr>
    </w:p>
    <w:p w:rsidR="00295C2E" w:rsidRPr="007956D0" w:rsidRDefault="00721D13" w:rsidP="00721D13">
      <w:pPr>
        <w:spacing w:after="0" w:line="240" w:lineRule="auto"/>
        <w:jc w:val="center"/>
        <w:rPr>
          <w:rFonts w:ascii="Arial" w:hAnsi="Arial" w:cs="Arial"/>
          <w:noProof/>
        </w:rPr>
      </w:pPr>
      <w:r w:rsidRPr="007956D0">
        <w:rPr>
          <w:rFonts w:ascii="Arial" w:hAnsi="Arial" w:cs="Arial"/>
          <w:b/>
        </w:rPr>
        <w:t xml:space="preserve">Podgorica, jun 2019. </w:t>
      </w:r>
    </w:p>
    <w:p w:rsidR="00735D9E" w:rsidRPr="007956D0" w:rsidRDefault="00735D9E" w:rsidP="002E4676">
      <w:pPr>
        <w:spacing w:after="0" w:line="240" w:lineRule="auto"/>
        <w:rPr>
          <w:rFonts w:ascii="Arial" w:hAnsi="Arial" w:cs="Arial"/>
          <w:noProof/>
        </w:rPr>
      </w:pPr>
    </w:p>
    <w:p w:rsidR="00A700A0" w:rsidRPr="007956D0" w:rsidRDefault="00A700A0" w:rsidP="002E4676">
      <w:pPr>
        <w:spacing w:after="0" w:line="240" w:lineRule="auto"/>
        <w:rPr>
          <w:rFonts w:ascii="Arial" w:hAnsi="Arial" w:cs="Arial"/>
          <w:noProof/>
        </w:rPr>
      </w:pPr>
    </w:p>
    <w:p w:rsidR="00647F27" w:rsidRPr="007956D0" w:rsidRDefault="00647F27" w:rsidP="002E4676">
      <w:pPr>
        <w:spacing w:after="0" w:line="240" w:lineRule="auto"/>
        <w:rPr>
          <w:rFonts w:ascii="Arial" w:hAnsi="Arial" w:cs="Arial"/>
          <w:noProof/>
        </w:rPr>
      </w:pPr>
    </w:p>
    <w:p w:rsidR="00CF797A" w:rsidRPr="007956D0" w:rsidRDefault="00CF797A" w:rsidP="00D021C0">
      <w:pPr>
        <w:spacing w:after="0" w:line="240" w:lineRule="auto"/>
        <w:rPr>
          <w:rFonts w:ascii="Arial" w:hAnsi="Arial" w:cs="Arial"/>
          <w:b/>
          <w:noProof/>
        </w:rPr>
      </w:pPr>
    </w:p>
    <w:p w:rsidR="002E4676" w:rsidRPr="007956D0" w:rsidRDefault="002E4676" w:rsidP="00D021C0">
      <w:pPr>
        <w:spacing w:after="0" w:line="240" w:lineRule="auto"/>
        <w:rPr>
          <w:rFonts w:ascii="Arial" w:hAnsi="Arial" w:cs="Arial"/>
          <w:b/>
          <w:noProof/>
        </w:rPr>
      </w:pPr>
      <w:r w:rsidRPr="007956D0">
        <w:rPr>
          <w:rFonts w:ascii="Arial" w:hAnsi="Arial" w:cs="Arial"/>
          <w:b/>
          <w:noProof/>
        </w:rPr>
        <w:lastRenderedPageBreak/>
        <w:t>OPŠTI PODACI O KONCESIONOM AKTU</w:t>
      </w:r>
    </w:p>
    <w:p w:rsidR="00D021C0" w:rsidRPr="007956D0" w:rsidRDefault="00D021C0" w:rsidP="00D021C0">
      <w:pPr>
        <w:spacing w:after="0" w:line="240" w:lineRule="auto"/>
        <w:rPr>
          <w:rFonts w:ascii="Arial" w:hAnsi="Arial" w:cs="Arial"/>
          <w:b/>
          <w:noProof/>
        </w:rPr>
      </w:pPr>
    </w:p>
    <w:p w:rsidR="002E4676" w:rsidRPr="007956D0" w:rsidRDefault="002E4676" w:rsidP="00D021C0">
      <w:pPr>
        <w:spacing w:after="0" w:line="240" w:lineRule="auto"/>
        <w:jc w:val="both"/>
        <w:rPr>
          <w:rFonts w:ascii="Arial" w:hAnsi="Arial" w:cs="Arial"/>
          <w:b/>
          <w:noProof/>
        </w:rPr>
      </w:pPr>
      <w:r w:rsidRPr="007956D0">
        <w:rPr>
          <w:rFonts w:ascii="Arial" w:hAnsi="Arial" w:cs="Arial"/>
          <w:b/>
          <w:noProof/>
        </w:rPr>
        <w:t>Naziv Koncesionog akta:</w:t>
      </w:r>
    </w:p>
    <w:p w:rsidR="00D021C0" w:rsidRPr="007956D0" w:rsidRDefault="00D021C0" w:rsidP="00D021C0">
      <w:pPr>
        <w:spacing w:after="0" w:line="240" w:lineRule="auto"/>
        <w:jc w:val="both"/>
        <w:rPr>
          <w:rFonts w:ascii="Arial" w:hAnsi="Arial" w:cs="Arial"/>
          <w:b/>
          <w:noProof/>
        </w:rPr>
      </w:pPr>
    </w:p>
    <w:p w:rsidR="00735D9E" w:rsidRPr="007956D0" w:rsidRDefault="002E4676" w:rsidP="00D021C0">
      <w:pPr>
        <w:spacing w:after="0" w:line="240" w:lineRule="auto"/>
        <w:jc w:val="both"/>
        <w:rPr>
          <w:rFonts w:ascii="Arial" w:hAnsi="Arial" w:cs="Arial"/>
          <w:noProof/>
        </w:rPr>
      </w:pPr>
      <w:r w:rsidRPr="007956D0">
        <w:rPr>
          <w:rFonts w:ascii="Arial" w:hAnsi="Arial" w:cs="Arial"/>
          <w:noProof/>
        </w:rPr>
        <w:t xml:space="preserve">Koncesioni akt </w:t>
      </w:r>
      <w:r w:rsidR="00D20455" w:rsidRPr="007956D0">
        <w:rPr>
          <w:rFonts w:ascii="Arial" w:hAnsi="Arial" w:cs="Arial"/>
          <w:noProof/>
        </w:rPr>
        <w:t xml:space="preserve">o </w:t>
      </w:r>
      <w:r w:rsidRPr="007956D0">
        <w:rPr>
          <w:rFonts w:ascii="Arial" w:hAnsi="Arial" w:cs="Arial"/>
          <w:noProof/>
        </w:rPr>
        <w:t>pojav</w:t>
      </w:r>
      <w:r w:rsidR="00D20455" w:rsidRPr="007956D0">
        <w:rPr>
          <w:rFonts w:ascii="Arial" w:hAnsi="Arial" w:cs="Arial"/>
          <w:noProof/>
        </w:rPr>
        <w:t>i</w:t>
      </w:r>
      <w:r w:rsidRPr="007956D0">
        <w:rPr>
          <w:rFonts w:ascii="Arial" w:hAnsi="Arial" w:cs="Arial"/>
          <w:noProof/>
        </w:rPr>
        <w:t xml:space="preserve"> mineralne sirovine tehničko-</w:t>
      </w:r>
      <w:r w:rsidR="00D3636A" w:rsidRPr="007956D0">
        <w:rPr>
          <w:rFonts w:ascii="Arial" w:hAnsi="Arial" w:cs="Arial"/>
          <w:noProof/>
        </w:rPr>
        <w:t xml:space="preserve">građevinskog kamena </w:t>
      </w:r>
      <w:r w:rsidR="00183B94" w:rsidRPr="007956D0">
        <w:rPr>
          <w:rFonts w:ascii="Arial" w:hAnsi="Arial" w:cs="Arial"/>
          <w:noProof/>
        </w:rPr>
        <w:t>“Velja Gorana”</w:t>
      </w:r>
      <w:r w:rsidR="00C21350" w:rsidRPr="007956D0">
        <w:rPr>
          <w:rFonts w:ascii="Arial" w:hAnsi="Arial" w:cs="Arial"/>
          <w:noProof/>
        </w:rPr>
        <w:t xml:space="preserve">, </w:t>
      </w:r>
      <w:r w:rsidR="00A51B18" w:rsidRPr="007956D0">
        <w:rPr>
          <w:rFonts w:ascii="Arial" w:hAnsi="Arial" w:cs="Arial"/>
          <w:noProof/>
        </w:rPr>
        <w:t xml:space="preserve">Opština </w:t>
      </w:r>
      <w:r w:rsidR="00183B94" w:rsidRPr="007956D0">
        <w:rPr>
          <w:rFonts w:ascii="Arial" w:hAnsi="Arial" w:cs="Arial"/>
          <w:noProof/>
        </w:rPr>
        <w:t>Bar</w:t>
      </w:r>
      <w:r w:rsidR="00735D9E" w:rsidRPr="007956D0">
        <w:rPr>
          <w:rFonts w:ascii="Arial" w:hAnsi="Arial" w:cs="Arial"/>
          <w:noProof/>
        </w:rPr>
        <w:t>.</w:t>
      </w:r>
    </w:p>
    <w:p w:rsidR="00D021C0" w:rsidRPr="007956D0" w:rsidRDefault="00D021C0" w:rsidP="00D021C0">
      <w:pPr>
        <w:spacing w:after="0" w:line="240" w:lineRule="auto"/>
        <w:jc w:val="both"/>
        <w:rPr>
          <w:rFonts w:ascii="Arial" w:hAnsi="Arial" w:cs="Arial"/>
          <w:b/>
          <w:noProof/>
        </w:rPr>
      </w:pPr>
    </w:p>
    <w:p w:rsidR="00C07EC7" w:rsidRPr="007956D0" w:rsidRDefault="00C07EC7" w:rsidP="00C07EC7">
      <w:pPr>
        <w:spacing w:after="0" w:line="240" w:lineRule="auto"/>
        <w:jc w:val="both"/>
        <w:rPr>
          <w:rFonts w:ascii="Arial" w:hAnsi="Arial" w:cs="Arial"/>
          <w:b/>
          <w:lang w:val="sr-Latn-CS"/>
        </w:rPr>
      </w:pPr>
      <w:r w:rsidRPr="007956D0">
        <w:rPr>
          <w:rFonts w:ascii="Arial" w:hAnsi="Arial" w:cs="Arial"/>
          <w:b/>
          <w:lang w:val="sr-Latn-CS"/>
        </w:rPr>
        <w:t>Naručilac izrade Koncesionog akta:</w:t>
      </w:r>
    </w:p>
    <w:p w:rsidR="00C07EC7" w:rsidRPr="007956D0" w:rsidRDefault="00C07EC7" w:rsidP="00D021C0">
      <w:pPr>
        <w:spacing w:after="0" w:line="240" w:lineRule="auto"/>
        <w:jc w:val="both"/>
        <w:rPr>
          <w:rFonts w:ascii="Arial" w:hAnsi="Arial" w:cs="Arial"/>
          <w:b/>
          <w:noProof/>
        </w:rPr>
      </w:pPr>
    </w:p>
    <w:p w:rsidR="00183B94" w:rsidRPr="007956D0" w:rsidRDefault="00183B94" w:rsidP="00183B94">
      <w:pPr>
        <w:spacing w:after="0" w:line="240" w:lineRule="auto"/>
        <w:jc w:val="both"/>
        <w:rPr>
          <w:rFonts w:ascii="Arial" w:hAnsi="Arial" w:cs="Arial"/>
          <w:lang w:val="sr-Latn-CS"/>
        </w:rPr>
      </w:pPr>
      <w:r w:rsidRPr="007956D0">
        <w:rPr>
          <w:rFonts w:ascii="Arial" w:hAnsi="Arial" w:cs="Arial"/>
          <w:lang w:val="sr-Latn-CS"/>
        </w:rPr>
        <w:t>Izrada Koncesionog akta izvršena je na osnovu Plana davanja koncesija za detaljna geološka istraživanja i eksploataciju za 2019. godinu</w:t>
      </w:r>
      <w:r w:rsidR="0059492F" w:rsidRPr="007956D0">
        <w:rPr>
          <w:rFonts w:ascii="Arial" w:hAnsi="Arial" w:cs="Arial"/>
          <w:lang w:val="sr-Latn-CS"/>
        </w:rPr>
        <w:t>,</w:t>
      </w:r>
      <w:r w:rsidRPr="007956D0">
        <w:rPr>
          <w:rFonts w:ascii="Arial" w:hAnsi="Arial" w:cs="Arial"/>
          <w:lang w:val="sr-Latn-CS"/>
        </w:rPr>
        <w:t xml:space="preserve"> koj</w:t>
      </w:r>
      <w:r w:rsidR="0059492F" w:rsidRPr="007956D0">
        <w:rPr>
          <w:rFonts w:ascii="Arial" w:hAnsi="Arial" w:cs="Arial"/>
          <w:lang w:val="sr-Latn-CS"/>
        </w:rPr>
        <w:t>i</w:t>
      </w:r>
      <w:r w:rsidRPr="007956D0">
        <w:rPr>
          <w:rFonts w:ascii="Arial" w:hAnsi="Arial" w:cs="Arial"/>
          <w:lang w:val="sr-Latn-CS"/>
        </w:rPr>
        <w:t xml:space="preserve"> je Vlada Crne Gore donijela na sjednici dana </w:t>
      </w:r>
      <w:r w:rsidR="00C07EC7" w:rsidRPr="007956D0">
        <w:rPr>
          <w:rFonts w:ascii="Arial" w:hAnsi="Arial" w:cs="Arial"/>
          <w:lang w:val="sr-Latn-CS"/>
        </w:rPr>
        <w:t xml:space="preserve">27. decembra </w:t>
      </w:r>
      <w:r w:rsidRPr="007956D0">
        <w:rPr>
          <w:rFonts w:ascii="Arial" w:hAnsi="Arial" w:cs="Arial"/>
          <w:lang w:val="sr-Latn-CS"/>
        </w:rPr>
        <w:t xml:space="preserve">2018. godine. </w:t>
      </w:r>
    </w:p>
    <w:p w:rsidR="009063C2" w:rsidRPr="007956D0" w:rsidRDefault="009063C2" w:rsidP="00183B94">
      <w:pPr>
        <w:spacing w:after="0" w:line="240" w:lineRule="auto"/>
        <w:jc w:val="both"/>
        <w:rPr>
          <w:rFonts w:ascii="Arial" w:hAnsi="Arial" w:cs="Arial"/>
          <w:lang w:val="sr-Latn-CS"/>
        </w:rPr>
      </w:pPr>
    </w:p>
    <w:p w:rsidR="00C21350" w:rsidRPr="007956D0" w:rsidRDefault="00C21350" w:rsidP="00D021C0">
      <w:pPr>
        <w:spacing w:after="0" w:line="240" w:lineRule="auto"/>
        <w:jc w:val="both"/>
        <w:rPr>
          <w:rFonts w:ascii="Arial" w:hAnsi="Arial" w:cs="Arial"/>
          <w:b/>
          <w:noProof/>
        </w:rPr>
      </w:pPr>
      <w:r w:rsidRPr="007956D0">
        <w:rPr>
          <w:rFonts w:ascii="Arial" w:hAnsi="Arial" w:cs="Arial"/>
          <w:b/>
          <w:noProof/>
        </w:rPr>
        <w:t>Izrada Koncesionog akta:</w:t>
      </w:r>
    </w:p>
    <w:p w:rsidR="00D021C0" w:rsidRPr="007956D0" w:rsidRDefault="00D021C0" w:rsidP="00D021C0">
      <w:pPr>
        <w:spacing w:after="0" w:line="240" w:lineRule="auto"/>
        <w:jc w:val="both"/>
        <w:rPr>
          <w:rFonts w:ascii="Arial" w:hAnsi="Arial" w:cs="Arial"/>
          <w:b/>
          <w:noProof/>
        </w:rPr>
      </w:pPr>
    </w:p>
    <w:p w:rsidR="00AD007B" w:rsidRPr="007956D0" w:rsidRDefault="00AD007B" w:rsidP="00AD007B">
      <w:pPr>
        <w:spacing w:after="0" w:line="240" w:lineRule="auto"/>
        <w:jc w:val="both"/>
        <w:rPr>
          <w:rFonts w:ascii="Arial" w:hAnsi="Arial" w:cs="Arial"/>
          <w:lang w:val="sv-SE"/>
        </w:rPr>
      </w:pPr>
      <w:r w:rsidRPr="007956D0">
        <w:rPr>
          <w:rFonts w:ascii="Arial" w:hAnsi="Arial" w:cs="Arial"/>
          <w:lang w:val="sv-SE"/>
        </w:rPr>
        <w:t>U Planu davanja koncesija za detaljna geološka istraživanja i eksploataciju mineralnih sirovina za 2019. godinu uvršteno je ležište tehničko-građevinskog kamena ”</w:t>
      </w:r>
      <w:r w:rsidR="00B6691A" w:rsidRPr="007956D0">
        <w:rPr>
          <w:rFonts w:ascii="Arial" w:hAnsi="Arial" w:cs="Arial"/>
          <w:lang w:val="sv-SE"/>
        </w:rPr>
        <w:t>Velja Gorana</w:t>
      </w:r>
      <w:r w:rsidRPr="007956D0">
        <w:rPr>
          <w:rFonts w:ascii="Arial" w:hAnsi="Arial" w:cs="Arial"/>
          <w:lang w:val="sv-SE"/>
        </w:rPr>
        <w:t xml:space="preserve">”, Opština Bar. Programom geoloških istraživanja u Crnoj Gori za 2019. godinu predviđeno je da JU Zavod za geološka istraživanja – Podgorica, između ostalog, izradi kompleksne geološke podloge za davanje koncesija za detaljna geološka istraživanja i eksploataciju određenih mineralnih sirovina. </w:t>
      </w:r>
    </w:p>
    <w:p w:rsidR="00AD007B" w:rsidRPr="007956D0" w:rsidRDefault="00AD007B" w:rsidP="00AD007B">
      <w:pPr>
        <w:spacing w:after="0" w:line="240" w:lineRule="auto"/>
        <w:jc w:val="both"/>
        <w:rPr>
          <w:rFonts w:ascii="Arial" w:hAnsi="Arial" w:cs="Arial"/>
          <w:lang w:val="sr-Latn-CS"/>
        </w:rPr>
      </w:pPr>
    </w:p>
    <w:p w:rsidR="00AD007B" w:rsidRPr="007956D0" w:rsidRDefault="00AD007B" w:rsidP="00AD007B">
      <w:pPr>
        <w:spacing w:after="0" w:line="240" w:lineRule="auto"/>
        <w:jc w:val="both"/>
        <w:rPr>
          <w:rFonts w:ascii="Arial" w:hAnsi="Arial" w:cs="Arial"/>
          <w:lang w:val="sr-Latn-CS"/>
        </w:rPr>
      </w:pPr>
      <w:r w:rsidRPr="007956D0">
        <w:rPr>
          <w:rFonts w:ascii="Arial" w:hAnsi="Arial" w:cs="Arial"/>
          <w:lang w:val="sr-Latn-CS"/>
        </w:rPr>
        <w:t>Koncesioni akt je uradilo Ministarstvo ekonomije na osnovu geoloških podloga koje je uradila JU Zavod za geo</w:t>
      </w:r>
      <w:r w:rsidR="00B06A65" w:rsidRPr="007956D0">
        <w:rPr>
          <w:rFonts w:ascii="Arial" w:hAnsi="Arial" w:cs="Arial"/>
          <w:lang w:val="sr-Latn-CS"/>
        </w:rPr>
        <w:t>loška istraživanja – Podgorica.</w:t>
      </w:r>
    </w:p>
    <w:p w:rsidR="00AD007B" w:rsidRPr="007956D0" w:rsidRDefault="00AD007B" w:rsidP="00D021C0">
      <w:pPr>
        <w:spacing w:after="0" w:line="240" w:lineRule="auto"/>
        <w:jc w:val="both"/>
        <w:rPr>
          <w:rFonts w:ascii="Arial" w:hAnsi="Arial" w:cs="Arial"/>
          <w:b/>
          <w:noProof/>
        </w:rPr>
      </w:pPr>
    </w:p>
    <w:p w:rsidR="002B717C" w:rsidRPr="007956D0" w:rsidRDefault="002B717C" w:rsidP="00D021C0">
      <w:pPr>
        <w:spacing w:after="0" w:line="240" w:lineRule="auto"/>
        <w:jc w:val="both"/>
        <w:rPr>
          <w:rFonts w:ascii="Arial" w:hAnsi="Arial" w:cs="Arial"/>
          <w:noProof/>
        </w:rPr>
      </w:pPr>
      <w:r w:rsidRPr="007956D0">
        <w:rPr>
          <w:rFonts w:ascii="Arial" w:hAnsi="Arial" w:cs="Arial"/>
          <w:noProof/>
        </w:rPr>
        <w:t>Koncesioni akt je urađen u skladu sa čl. 9, tačka 6, 17 i 19 Zakona o k</w:t>
      </w:r>
      <w:r w:rsidR="006A68F3" w:rsidRPr="007956D0">
        <w:rPr>
          <w:rFonts w:ascii="Arial" w:hAnsi="Arial" w:cs="Arial"/>
          <w:noProof/>
        </w:rPr>
        <w:t xml:space="preserve">oncesijama („Sl. list CG“, br. </w:t>
      </w:r>
      <w:r w:rsidRPr="007956D0">
        <w:rPr>
          <w:rFonts w:ascii="Arial" w:hAnsi="Arial" w:cs="Arial"/>
          <w:noProof/>
        </w:rPr>
        <w:t>8/09).</w:t>
      </w:r>
    </w:p>
    <w:p w:rsidR="00D17158" w:rsidRPr="007956D0" w:rsidRDefault="00D17158" w:rsidP="00D021C0">
      <w:pPr>
        <w:spacing w:after="0" w:line="240" w:lineRule="auto"/>
        <w:jc w:val="both"/>
        <w:rPr>
          <w:rFonts w:ascii="Arial" w:hAnsi="Arial" w:cs="Arial"/>
          <w:noProof/>
        </w:rPr>
      </w:pPr>
    </w:p>
    <w:p w:rsidR="002E4676" w:rsidRPr="007956D0" w:rsidRDefault="002E4676" w:rsidP="00D021C0">
      <w:pPr>
        <w:spacing w:after="0" w:line="240" w:lineRule="auto"/>
        <w:jc w:val="both"/>
        <w:rPr>
          <w:rFonts w:ascii="Arial" w:hAnsi="Arial" w:cs="Arial"/>
          <w:b/>
          <w:noProof/>
        </w:rPr>
      </w:pPr>
      <w:r w:rsidRPr="007956D0">
        <w:rPr>
          <w:rFonts w:ascii="Arial" w:hAnsi="Arial" w:cs="Arial"/>
          <w:b/>
          <w:noProof/>
        </w:rPr>
        <w:t>Izvori podataka za izradu Koncesionog akta:</w:t>
      </w:r>
    </w:p>
    <w:p w:rsidR="00D021C0" w:rsidRPr="007956D0" w:rsidRDefault="00D021C0" w:rsidP="00D021C0">
      <w:pPr>
        <w:spacing w:after="0" w:line="240" w:lineRule="auto"/>
        <w:jc w:val="both"/>
        <w:rPr>
          <w:rFonts w:ascii="Arial" w:hAnsi="Arial" w:cs="Arial"/>
          <w:b/>
          <w:noProof/>
        </w:rPr>
      </w:pPr>
    </w:p>
    <w:p w:rsidR="00F0778D" w:rsidRPr="007956D0" w:rsidRDefault="00F0778D" w:rsidP="005B518B">
      <w:pPr>
        <w:numPr>
          <w:ilvl w:val="0"/>
          <w:numId w:val="11"/>
        </w:numPr>
        <w:suppressAutoHyphens/>
        <w:spacing w:after="0" w:line="240" w:lineRule="auto"/>
        <w:jc w:val="both"/>
        <w:rPr>
          <w:rFonts w:ascii="Arial" w:hAnsi="Arial" w:cs="Arial"/>
          <w:noProof/>
        </w:rPr>
      </w:pPr>
      <w:r w:rsidRPr="007956D0">
        <w:rPr>
          <w:rFonts w:ascii="Arial" w:hAnsi="Arial" w:cs="Arial"/>
          <w:noProof/>
        </w:rPr>
        <w:t>Raspoloživa geološka i rudarska dokumentacija Ministarstva ekonomije i JU Zavod za geološka istraživanja</w:t>
      </w:r>
      <w:r w:rsidR="0037158C" w:rsidRPr="007956D0">
        <w:rPr>
          <w:rFonts w:ascii="Arial" w:hAnsi="Arial" w:cs="Arial"/>
          <w:noProof/>
        </w:rPr>
        <w:t>,</w:t>
      </w:r>
      <w:r w:rsidRPr="007956D0">
        <w:rPr>
          <w:rFonts w:ascii="Arial" w:hAnsi="Arial" w:cs="Arial"/>
          <w:noProof/>
        </w:rPr>
        <w:t xml:space="preserve"> Podgorica;</w:t>
      </w:r>
    </w:p>
    <w:p w:rsidR="00F0778D" w:rsidRPr="007956D0" w:rsidRDefault="00F0778D" w:rsidP="005B518B">
      <w:pPr>
        <w:numPr>
          <w:ilvl w:val="0"/>
          <w:numId w:val="11"/>
        </w:numPr>
        <w:suppressAutoHyphens/>
        <w:spacing w:after="0" w:line="240" w:lineRule="auto"/>
        <w:jc w:val="both"/>
        <w:rPr>
          <w:rFonts w:ascii="Arial" w:hAnsi="Arial" w:cs="Arial"/>
          <w:noProof/>
        </w:rPr>
      </w:pPr>
      <w:r w:rsidRPr="007956D0">
        <w:rPr>
          <w:rFonts w:ascii="Arial" w:hAnsi="Arial" w:cs="Arial"/>
          <w:noProof/>
        </w:rPr>
        <w:t>Podaci</w:t>
      </w:r>
      <w:r w:rsidR="002B3174" w:rsidRPr="007956D0">
        <w:rPr>
          <w:rFonts w:ascii="Arial" w:hAnsi="Arial" w:cs="Arial"/>
        </w:rPr>
        <w:t xml:space="preserve"> Uprave za nekretnine, Područna jedinica Bar, br. 460-dj-2176/18 od 14.11.2018. godine</w:t>
      </w:r>
      <w:r w:rsidR="002B3174" w:rsidRPr="007956D0">
        <w:rPr>
          <w:rFonts w:ascii="Arial" w:hAnsi="Arial" w:cs="Arial"/>
          <w:noProof/>
        </w:rPr>
        <w:t>;</w:t>
      </w:r>
    </w:p>
    <w:p w:rsidR="00F0778D" w:rsidRPr="007956D0" w:rsidRDefault="00117017" w:rsidP="005B518B">
      <w:pPr>
        <w:pStyle w:val="ListParagraph"/>
        <w:numPr>
          <w:ilvl w:val="0"/>
          <w:numId w:val="11"/>
        </w:numPr>
        <w:autoSpaceDE w:val="0"/>
        <w:autoSpaceDN w:val="0"/>
        <w:adjustRightInd w:val="0"/>
        <w:spacing w:after="0" w:line="240" w:lineRule="auto"/>
        <w:ind w:left="714" w:hanging="357"/>
        <w:contextualSpacing w:val="0"/>
        <w:jc w:val="both"/>
        <w:rPr>
          <w:rFonts w:ascii="Arial" w:hAnsi="Arial" w:cs="Arial"/>
          <w:noProof/>
        </w:rPr>
      </w:pPr>
      <w:r w:rsidRPr="007956D0">
        <w:rPr>
          <w:rFonts w:ascii="Arial" w:eastAsiaTheme="minorHAnsi" w:hAnsi="Arial" w:cs="Arial"/>
          <w:noProof/>
        </w:rPr>
        <w:t>Mišljenje</w:t>
      </w:r>
      <w:r w:rsidR="002B3174" w:rsidRPr="007956D0">
        <w:rPr>
          <w:rFonts w:ascii="Arial" w:eastAsiaTheme="minorHAnsi" w:hAnsi="Arial" w:cs="Arial"/>
          <w:noProof/>
        </w:rPr>
        <w:t xml:space="preserve"> </w:t>
      </w:r>
      <w:r w:rsidR="002B3174" w:rsidRPr="007956D0">
        <w:rPr>
          <w:rFonts w:ascii="Arial" w:hAnsi="Arial" w:cs="Arial"/>
        </w:rPr>
        <w:t>Ministarstva održivog razvoja i turizma, br. 104-83/378-1, od 17.09.2018. godine, arhiviran u Ministarstvu ekonomije pod br. 970-320/2018-1, od 19.09.2018. godine</w:t>
      </w:r>
      <w:r w:rsidR="002B3174" w:rsidRPr="007956D0">
        <w:rPr>
          <w:rFonts w:ascii="Arial" w:eastAsiaTheme="minorHAnsi" w:hAnsi="Arial" w:cs="Arial"/>
          <w:noProof/>
        </w:rPr>
        <w:t>;</w:t>
      </w:r>
    </w:p>
    <w:p w:rsidR="00FA5DAC" w:rsidRPr="007956D0" w:rsidRDefault="00FA5DAC" w:rsidP="005B518B">
      <w:pPr>
        <w:pStyle w:val="ListParagraph"/>
        <w:numPr>
          <w:ilvl w:val="0"/>
          <w:numId w:val="11"/>
        </w:numPr>
        <w:autoSpaceDE w:val="0"/>
        <w:autoSpaceDN w:val="0"/>
        <w:adjustRightInd w:val="0"/>
        <w:spacing w:after="0" w:line="240" w:lineRule="auto"/>
        <w:ind w:left="714" w:hanging="357"/>
        <w:contextualSpacing w:val="0"/>
        <w:rPr>
          <w:rFonts w:ascii="Arial" w:hAnsi="Arial" w:cs="Arial"/>
          <w:noProof/>
        </w:rPr>
      </w:pPr>
      <w:r w:rsidRPr="007956D0">
        <w:rPr>
          <w:rFonts w:ascii="Arial" w:eastAsiaTheme="minorHAnsi" w:hAnsi="Arial" w:cs="Arial"/>
          <w:noProof/>
        </w:rPr>
        <w:t xml:space="preserve">Mišljenje </w:t>
      </w:r>
      <w:r w:rsidR="002B3174" w:rsidRPr="007956D0">
        <w:rPr>
          <w:rFonts w:ascii="Arial" w:hAnsi="Arial" w:cs="Arial"/>
        </w:rPr>
        <w:t>Uprave za zaštitu kulturnih dobara, br. 03-276/2018-2, od 27.09.2018. godine, arhiviran u Ministarstvu ekonomije pod br. 970-320/2018-4, od 05.10.2018. godine</w:t>
      </w:r>
      <w:r w:rsidR="00437FB1" w:rsidRPr="007956D0">
        <w:rPr>
          <w:rFonts w:ascii="Arial" w:eastAsiaTheme="minorHAnsi" w:hAnsi="Arial" w:cs="Arial"/>
          <w:noProof/>
        </w:rPr>
        <w:t>;</w:t>
      </w:r>
    </w:p>
    <w:p w:rsidR="00F0778D" w:rsidRPr="007956D0" w:rsidRDefault="00F0778D" w:rsidP="005B518B">
      <w:pPr>
        <w:pStyle w:val="ListParagraph"/>
        <w:numPr>
          <w:ilvl w:val="0"/>
          <w:numId w:val="11"/>
        </w:numPr>
        <w:suppressAutoHyphens/>
        <w:spacing w:after="0" w:line="240" w:lineRule="auto"/>
        <w:ind w:left="714" w:hanging="357"/>
        <w:contextualSpacing w:val="0"/>
        <w:jc w:val="both"/>
        <w:rPr>
          <w:rFonts w:ascii="Arial" w:hAnsi="Arial" w:cs="Arial"/>
          <w:noProof/>
        </w:rPr>
      </w:pPr>
      <w:r w:rsidRPr="007956D0">
        <w:rPr>
          <w:rFonts w:ascii="Arial" w:hAnsi="Arial" w:cs="Arial"/>
          <w:noProof/>
        </w:rPr>
        <w:t xml:space="preserve">Podaci </w:t>
      </w:r>
      <w:r w:rsidR="008F3318" w:rsidRPr="007956D0">
        <w:rPr>
          <w:rFonts w:ascii="Arial" w:hAnsi="Arial" w:cs="Arial"/>
          <w:noProof/>
        </w:rPr>
        <w:t>Uprave</w:t>
      </w:r>
      <w:r w:rsidRPr="007956D0">
        <w:rPr>
          <w:rFonts w:ascii="Arial" w:hAnsi="Arial" w:cs="Arial"/>
          <w:noProof/>
        </w:rPr>
        <w:t xml:space="preserve"> za statistiku</w:t>
      </w:r>
      <w:r w:rsidR="008F3318" w:rsidRPr="007956D0">
        <w:rPr>
          <w:rFonts w:ascii="Arial" w:hAnsi="Arial" w:cs="Arial"/>
          <w:noProof/>
        </w:rPr>
        <w:t xml:space="preserve"> Crne Gore, Monstat</w:t>
      </w:r>
      <w:r w:rsidRPr="007956D0">
        <w:rPr>
          <w:rFonts w:ascii="Arial" w:hAnsi="Arial" w:cs="Arial"/>
          <w:noProof/>
        </w:rPr>
        <w:t>, akt br.</w:t>
      </w:r>
      <w:r w:rsidR="007455EB" w:rsidRPr="007956D0">
        <w:rPr>
          <w:rFonts w:ascii="Arial" w:hAnsi="Arial" w:cs="Arial"/>
          <w:noProof/>
        </w:rPr>
        <w:t xml:space="preserve"> </w:t>
      </w:r>
      <w:r w:rsidR="008F3318" w:rsidRPr="007956D0">
        <w:rPr>
          <w:rFonts w:ascii="Arial" w:hAnsi="Arial" w:cs="Arial"/>
          <w:noProof/>
        </w:rPr>
        <w:t>01-639</w:t>
      </w:r>
      <w:r w:rsidRPr="007956D0">
        <w:rPr>
          <w:rFonts w:ascii="Arial" w:hAnsi="Arial" w:cs="Arial"/>
          <w:noProof/>
        </w:rPr>
        <w:t>/2, od 0</w:t>
      </w:r>
      <w:r w:rsidR="00C32E6C" w:rsidRPr="007956D0">
        <w:rPr>
          <w:rFonts w:ascii="Arial" w:hAnsi="Arial" w:cs="Arial"/>
          <w:noProof/>
        </w:rPr>
        <w:t>5</w:t>
      </w:r>
      <w:r w:rsidRPr="007956D0">
        <w:rPr>
          <w:rFonts w:ascii="Arial" w:hAnsi="Arial" w:cs="Arial"/>
          <w:noProof/>
        </w:rPr>
        <w:t>.03.201</w:t>
      </w:r>
      <w:r w:rsidR="008F3318" w:rsidRPr="007956D0">
        <w:rPr>
          <w:rFonts w:ascii="Arial" w:hAnsi="Arial" w:cs="Arial"/>
          <w:noProof/>
        </w:rPr>
        <w:t>9</w:t>
      </w:r>
      <w:r w:rsidRPr="007956D0">
        <w:rPr>
          <w:rFonts w:ascii="Arial" w:hAnsi="Arial" w:cs="Arial"/>
          <w:noProof/>
        </w:rPr>
        <w:t>. godin</w:t>
      </w:r>
      <w:r w:rsidR="00D021C0" w:rsidRPr="007956D0">
        <w:rPr>
          <w:rFonts w:ascii="Arial" w:hAnsi="Arial" w:cs="Arial"/>
          <w:noProof/>
        </w:rPr>
        <w:t>e, o prosječno ostvarenoj cijeni</w:t>
      </w:r>
      <w:r w:rsidRPr="007956D0">
        <w:rPr>
          <w:rFonts w:ascii="Arial" w:hAnsi="Arial" w:cs="Arial"/>
          <w:noProof/>
        </w:rPr>
        <w:t xml:space="preserve"> proizvoda mineralnih sirovi</w:t>
      </w:r>
      <w:r w:rsidR="007A026F" w:rsidRPr="007956D0">
        <w:rPr>
          <w:rFonts w:ascii="Arial" w:hAnsi="Arial" w:cs="Arial"/>
          <w:noProof/>
        </w:rPr>
        <w:t>na</w:t>
      </w:r>
      <w:r w:rsidR="00E23D42" w:rsidRPr="007956D0">
        <w:rPr>
          <w:rFonts w:ascii="Arial" w:hAnsi="Arial" w:cs="Arial"/>
          <w:noProof/>
        </w:rPr>
        <w:t xml:space="preserve"> u Crnoj Gori u 201</w:t>
      </w:r>
      <w:r w:rsidR="008F3318" w:rsidRPr="007956D0">
        <w:rPr>
          <w:rFonts w:ascii="Arial" w:hAnsi="Arial" w:cs="Arial"/>
          <w:noProof/>
        </w:rPr>
        <w:t>8</w:t>
      </w:r>
      <w:r w:rsidR="00E23D42" w:rsidRPr="007956D0">
        <w:rPr>
          <w:rFonts w:ascii="Arial" w:hAnsi="Arial" w:cs="Arial"/>
          <w:noProof/>
        </w:rPr>
        <w:t>. godini.</w:t>
      </w:r>
      <w:r w:rsidRPr="007956D0">
        <w:rPr>
          <w:rFonts w:ascii="Arial" w:hAnsi="Arial" w:cs="Arial"/>
          <w:noProof/>
        </w:rPr>
        <w:t xml:space="preserve"> </w:t>
      </w:r>
    </w:p>
    <w:p w:rsidR="009826CD" w:rsidRPr="007956D0" w:rsidRDefault="00963C2C" w:rsidP="009826CD">
      <w:pPr>
        <w:pStyle w:val="ListParagraph"/>
        <w:numPr>
          <w:ilvl w:val="0"/>
          <w:numId w:val="11"/>
        </w:numPr>
        <w:suppressAutoHyphens/>
        <w:spacing w:after="0" w:line="240" w:lineRule="auto"/>
        <w:jc w:val="both"/>
        <w:rPr>
          <w:rFonts w:ascii="Arial" w:hAnsi="Arial" w:cs="Arial"/>
          <w:lang w:val="sr-Latn-CS"/>
        </w:rPr>
      </w:pPr>
      <w:r w:rsidRPr="007956D0">
        <w:rPr>
          <w:rFonts w:ascii="Arial" w:hAnsi="Arial" w:cs="Arial"/>
          <w:lang w:val="pl-PL"/>
        </w:rPr>
        <w:t xml:space="preserve">Tehnički izvještaj </w:t>
      </w:r>
      <w:r w:rsidRPr="007956D0">
        <w:rPr>
          <w:rFonts w:ascii="Arial" w:hAnsi="Arial" w:cs="Arial"/>
          <w:lang w:val="sr-Latn-CS"/>
        </w:rPr>
        <w:t xml:space="preserve">sa </w:t>
      </w:r>
      <w:r w:rsidRPr="007956D0">
        <w:rPr>
          <w:rFonts w:ascii="Arial" w:hAnsi="Arial" w:cs="Arial"/>
          <w:lang w:val="pl-PL"/>
        </w:rPr>
        <w:t>koordinatama graničnih tačaka istražno- eksploatacionog prostora</w:t>
      </w:r>
      <w:r w:rsidRPr="007956D0">
        <w:rPr>
          <w:rFonts w:ascii="Arial" w:hAnsi="Arial" w:cs="Arial"/>
          <w:lang w:val="sr-Latn-CS"/>
        </w:rPr>
        <w:t xml:space="preserve"> </w:t>
      </w:r>
      <w:r w:rsidR="009826CD" w:rsidRPr="007956D0">
        <w:rPr>
          <w:rFonts w:ascii="Arial" w:hAnsi="Arial" w:cs="Arial"/>
          <w:lang w:val="sr-Latn-CS"/>
        </w:rPr>
        <w:t>„Velja Gorana”.</w:t>
      </w:r>
    </w:p>
    <w:p w:rsidR="00A60874" w:rsidRPr="007956D0" w:rsidRDefault="00B6691A" w:rsidP="00760267">
      <w:pPr>
        <w:rPr>
          <w:rFonts w:ascii="Arial" w:hAnsi="Arial" w:cs="Arial"/>
          <w:lang w:val="sr-Latn-CS"/>
        </w:rPr>
      </w:pPr>
      <w:r w:rsidRPr="007956D0">
        <w:rPr>
          <w:rFonts w:ascii="Arial" w:hAnsi="Arial" w:cs="Arial"/>
          <w:lang w:val="sr-Latn-CS"/>
        </w:rPr>
        <w:br w:type="page"/>
      </w:r>
    </w:p>
    <w:p w:rsidR="002E4676" w:rsidRPr="007956D0" w:rsidRDefault="002E4676" w:rsidP="00D021C0">
      <w:pPr>
        <w:spacing w:after="0" w:line="240" w:lineRule="auto"/>
        <w:rPr>
          <w:rFonts w:ascii="Arial" w:hAnsi="Arial" w:cs="Arial"/>
          <w:b/>
          <w:noProof/>
        </w:rPr>
      </w:pPr>
      <w:r w:rsidRPr="007956D0">
        <w:rPr>
          <w:rFonts w:ascii="Arial" w:hAnsi="Arial" w:cs="Arial"/>
          <w:b/>
          <w:noProof/>
        </w:rPr>
        <w:lastRenderedPageBreak/>
        <w:t>Zakonski propisi korišćeni pri izradi Koncesionog akta:</w:t>
      </w:r>
    </w:p>
    <w:p w:rsidR="00D021C0" w:rsidRPr="007956D0" w:rsidRDefault="00D021C0" w:rsidP="00D021C0">
      <w:pPr>
        <w:spacing w:after="0" w:line="240" w:lineRule="auto"/>
        <w:rPr>
          <w:rFonts w:ascii="Arial" w:hAnsi="Arial" w:cs="Arial"/>
          <w:b/>
          <w:noProof/>
        </w:rPr>
      </w:pPr>
    </w:p>
    <w:p w:rsidR="00F0778D" w:rsidRPr="007956D0" w:rsidRDefault="00F0778D" w:rsidP="005B518B">
      <w:pPr>
        <w:numPr>
          <w:ilvl w:val="0"/>
          <w:numId w:val="12"/>
        </w:numPr>
        <w:suppressAutoHyphens/>
        <w:spacing w:after="0" w:line="240" w:lineRule="auto"/>
        <w:jc w:val="both"/>
        <w:rPr>
          <w:rFonts w:ascii="Arial" w:hAnsi="Arial" w:cs="Arial"/>
          <w:noProof/>
        </w:rPr>
      </w:pPr>
      <w:r w:rsidRPr="007956D0">
        <w:rPr>
          <w:rFonts w:ascii="Arial" w:hAnsi="Arial" w:cs="Arial"/>
          <w:noProof/>
        </w:rPr>
        <w:t>Zakon o koncesijama („Sl. lis</w:t>
      </w:r>
      <w:r w:rsidR="007455EB" w:rsidRPr="007956D0">
        <w:rPr>
          <w:rFonts w:ascii="Arial" w:hAnsi="Arial" w:cs="Arial"/>
          <w:noProof/>
        </w:rPr>
        <w:t xml:space="preserve">t CG“, br. </w:t>
      </w:r>
      <w:r w:rsidRPr="007956D0">
        <w:rPr>
          <w:rFonts w:ascii="Arial" w:hAnsi="Arial" w:cs="Arial"/>
          <w:noProof/>
        </w:rPr>
        <w:t>8/09);</w:t>
      </w:r>
    </w:p>
    <w:p w:rsidR="00F0778D" w:rsidRPr="007956D0" w:rsidRDefault="00F0778D" w:rsidP="005B518B">
      <w:pPr>
        <w:numPr>
          <w:ilvl w:val="0"/>
          <w:numId w:val="12"/>
        </w:numPr>
        <w:suppressAutoHyphens/>
        <w:spacing w:after="0" w:line="240" w:lineRule="auto"/>
        <w:jc w:val="both"/>
        <w:rPr>
          <w:rFonts w:ascii="Arial" w:hAnsi="Arial" w:cs="Arial"/>
          <w:noProof/>
        </w:rPr>
      </w:pPr>
      <w:r w:rsidRPr="007956D0">
        <w:rPr>
          <w:rFonts w:ascii="Arial" w:hAnsi="Arial" w:cs="Arial"/>
          <w:noProof/>
        </w:rPr>
        <w:t>Zakon o ruda</w:t>
      </w:r>
      <w:r w:rsidR="009B3DEE" w:rsidRPr="007956D0">
        <w:rPr>
          <w:rFonts w:ascii="Arial" w:hAnsi="Arial" w:cs="Arial"/>
          <w:noProof/>
        </w:rPr>
        <w:t>rstvu („Sl. list CG“, br. 65/08</w:t>
      </w:r>
      <w:r w:rsidR="007455EB" w:rsidRPr="007956D0">
        <w:rPr>
          <w:rFonts w:ascii="Arial" w:hAnsi="Arial" w:cs="Arial"/>
          <w:noProof/>
        </w:rPr>
        <w:t>, 74/10 i 40/11</w:t>
      </w:r>
      <w:r w:rsidRPr="007956D0">
        <w:rPr>
          <w:rFonts w:ascii="Arial" w:hAnsi="Arial" w:cs="Arial"/>
          <w:noProof/>
        </w:rPr>
        <w:t>);</w:t>
      </w:r>
    </w:p>
    <w:p w:rsidR="00F0778D" w:rsidRPr="007956D0" w:rsidRDefault="00F0778D" w:rsidP="005B518B">
      <w:pPr>
        <w:numPr>
          <w:ilvl w:val="0"/>
          <w:numId w:val="12"/>
        </w:numPr>
        <w:suppressAutoHyphens/>
        <w:spacing w:after="0" w:line="240" w:lineRule="auto"/>
        <w:jc w:val="both"/>
        <w:rPr>
          <w:rFonts w:ascii="Arial" w:hAnsi="Arial" w:cs="Arial"/>
          <w:noProof/>
        </w:rPr>
      </w:pPr>
      <w:r w:rsidRPr="007956D0">
        <w:rPr>
          <w:rFonts w:ascii="Arial" w:hAnsi="Arial" w:cs="Arial"/>
          <w:noProof/>
        </w:rPr>
        <w:t>Zako</w:t>
      </w:r>
      <w:r w:rsidR="004C0BB8" w:rsidRPr="007956D0">
        <w:rPr>
          <w:rFonts w:ascii="Arial" w:hAnsi="Arial" w:cs="Arial"/>
          <w:noProof/>
        </w:rPr>
        <w:t>n o geološkim istraživanjima („</w:t>
      </w:r>
      <w:r w:rsidRPr="007956D0">
        <w:rPr>
          <w:rFonts w:ascii="Arial" w:hAnsi="Arial" w:cs="Arial"/>
          <w:noProof/>
        </w:rPr>
        <w:t>Sl. list RCG’’, br. 28/93, 27/94, 42/94 i 26/07 i „Sl. list CG“, br. 28/11);</w:t>
      </w:r>
    </w:p>
    <w:p w:rsidR="00F0778D" w:rsidRPr="007956D0" w:rsidRDefault="00F0778D" w:rsidP="005B518B">
      <w:pPr>
        <w:numPr>
          <w:ilvl w:val="0"/>
          <w:numId w:val="12"/>
        </w:numPr>
        <w:suppressAutoHyphens/>
        <w:spacing w:after="0" w:line="240" w:lineRule="auto"/>
        <w:jc w:val="both"/>
        <w:rPr>
          <w:rFonts w:ascii="Arial" w:hAnsi="Arial" w:cs="Arial"/>
          <w:noProof/>
        </w:rPr>
      </w:pPr>
      <w:r w:rsidRPr="007956D0">
        <w:rPr>
          <w:rFonts w:ascii="Arial" w:hAnsi="Arial" w:cs="Arial"/>
          <w:noProof/>
        </w:rPr>
        <w:t>Zakon o procjeni uticaja na životnu sredinu („Sl. list RCG“, br. 80/05 i „Sl. lis</w:t>
      </w:r>
      <w:r w:rsidR="009B3DEE" w:rsidRPr="007956D0">
        <w:rPr>
          <w:rFonts w:ascii="Arial" w:hAnsi="Arial" w:cs="Arial"/>
          <w:noProof/>
        </w:rPr>
        <w:t>t CG“, br. 40/10, 73/10, 40/11,</w:t>
      </w:r>
      <w:r w:rsidRPr="007956D0">
        <w:rPr>
          <w:rFonts w:ascii="Arial" w:hAnsi="Arial" w:cs="Arial"/>
          <w:noProof/>
        </w:rPr>
        <w:t xml:space="preserve"> 27/13</w:t>
      </w:r>
      <w:r w:rsidR="009B3DEE" w:rsidRPr="007956D0">
        <w:rPr>
          <w:rFonts w:ascii="Arial" w:hAnsi="Arial" w:cs="Arial"/>
          <w:noProof/>
        </w:rPr>
        <w:t xml:space="preserve"> i 52/16</w:t>
      </w:r>
      <w:r w:rsidRPr="007956D0">
        <w:rPr>
          <w:rFonts w:ascii="Arial" w:hAnsi="Arial" w:cs="Arial"/>
          <w:noProof/>
        </w:rPr>
        <w:t>);</w:t>
      </w:r>
    </w:p>
    <w:p w:rsidR="00F0778D" w:rsidRPr="007956D0" w:rsidRDefault="00F0778D" w:rsidP="005B518B">
      <w:pPr>
        <w:numPr>
          <w:ilvl w:val="0"/>
          <w:numId w:val="12"/>
        </w:numPr>
        <w:suppressAutoHyphens/>
        <w:spacing w:after="0" w:line="240" w:lineRule="auto"/>
        <w:jc w:val="both"/>
        <w:rPr>
          <w:rFonts w:ascii="Arial" w:hAnsi="Arial" w:cs="Arial"/>
          <w:noProof/>
        </w:rPr>
      </w:pPr>
      <w:r w:rsidRPr="007956D0">
        <w:rPr>
          <w:rFonts w:ascii="Arial" w:hAnsi="Arial" w:cs="Arial"/>
          <w:noProof/>
        </w:rPr>
        <w:t>Uredba o kriterijumima i načinu obračuna iznosa minimalne koncesione naknade za ustupanje prava na istraživanje i eksploataciju mineralnih sirovina („Sl. list CG“, br. 37/11</w:t>
      </w:r>
      <w:r w:rsidR="00682440" w:rsidRPr="007956D0">
        <w:rPr>
          <w:rFonts w:ascii="Arial" w:hAnsi="Arial" w:cs="Arial"/>
          <w:noProof/>
        </w:rPr>
        <w:t xml:space="preserve"> i 40/16</w:t>
      </w:r>
      <w:r w:rsidRPr="007956D0">
        <w:rPr>
          <w:rFonts w:ascii="Arial" w:hAnsi="Arial" w:cs="Arial"/>
          <w:noProof/>
        </w:rPr>
        <w:t>);</w:t>
      </w:r>
    </w:p>
    <w:p w:rsidR="002E4676" w:rsidRPr="007956D0" w:rsidRDefault="00F0778D" w:rsidP="005B518B">
      <w:pPr>
        <w:numPr>
          <w:ilvl w:val="0"/>
          <w:numId w:val="12"/>
        </w:numPr>
        <w:suppressAutoHyphens/>
        <w:spacing w:after="0" w:line="240" w:lineRule="auto"/>
        <w:jc w:val="both"/>
        <w:rPr>
          <w:rFonts w:ascii="Arial" w:hAnsi="Arial" w:cs="Arial"/>
          <w:noProof/>
        </w:rPr>
      </w:pPr>
      <w:r w:rsidRPr="007956D0">
        <w:rPr>
          <w:rFonts w:ascii="Arial" w:hAnsi="Arial" w:cs="Arial"/>
          <w:noProof/>
        </w:rPr>
        <w:t>Uredba o visini sredstava za sanaciju i rekultivaciju prostora na kojem se izvode rudarski radovi, načinu obračunavanja, plaćanja i korišćenja tih sredstava („Sl. list CG“, br. 51/11).</w:t>
      </w:r>
    </w:p>
    <w:p w:rsidR="00D021C0" w:rsidRPr="007956D0" w:rsidRDefault="00D021C0" w:rsidP="006A68F3">
      <w:pPr>
        <w:suppressAutoHyphens/>
        <w:spacing w:after="0" w:line="240" w:lineRule="auto"/>
        <w:ind w:left="360"/>
        <w:jc w:val="both"/>
        <w:rPr>
          <w:rFonts w:ascii="Arial" w:hAnsi="Arial" w:cs="Arial"/>
          <w:noProof/>
        </w:rPr>
      </w:pPr>
    </w:p>
    <w:p w:rsidR="00437FB1" w:rsidRPr="007956D0" w:rsidRDefault="002E4676" w:rsidP="00D021C0">
      <w:pPr>
        <w:spacing w:after="0" w:line="240" w:lineRule="auto"/>
        <w:jc w:val="both"/>
        <w:rPr>
          <w:rFonts w:ascii="Arial" w:hAnsi="Arial" w:cs="Arial"/>
          <w:noProof/>
        </w:rPr>
      </w:pPr>
      <w:r w:rsidRPr="007956D0">
        <w:rPr>
          <w:rFonts w:ascii="Arial" w:hAnsi="Arial" w:cs="Arial"/>
          <w:b/>
          <w:noProof/>
        </w:rPr>
        <w:t>Mjesto i vrijeme izrade Koncesionog akta:</w:t>
      </w:r>
      <w:r w:rsidR="00437FB1" w:rsidRPr="007956D0">
        <w:rPr>
          <w:rFonts w:ascii="Arial" w:hAnsi="Arial" w:cs="Arial"/>
          <w:b/>
          <w:noProof/>
        </w:rPr>
        <w:t xml:space="preserve"> </w:t>
      </w:r>
      <w:r w:rsidR="00437FB1" w:rsidRPr="007956D0">
        <w:rPr>
          <w:rFonts w:ascii="Arial" w:hAnsi="Arial" w:cs="Arial"/>
          <w:noProof/>
        </w:rPr>
        <w:t xml:space="preserve">Podgorica, </w:t>
      </w:r>
      <w:r w:rsidR="00C07EC7" w:rsidRPr="007956D0">
        <w:rPr>
          <w:rFonts w:ascii="Arial" w:hAnsi="Arial" w:cs="Arial"/>
          <w:noProof/>
        </w:rPr>
        <w:t>jun</w:t>
      </w:r>
      <w:r w:rsidR="00A700A0" w:rsidRPr="007956D0">
        <w:rPr>
          <w:rFonts w:ascii="Arial" w:hAnsi="Arial" w:cs="Arial"/>
          <w:noProof/>
        </w:rPr>
        <w:t xml:space="preserve"> </w:t>
      </w:r>
      <w:r w:rsidR="00437FB1" w:rsidRPr="007956D0">
        <w:rPr>
          <w:rFonts w:ascii="Arial" w:hAnsi="Arial" w:cs="Arial"/>
          <w:noProof/>
        </w:rPr>
        <w:t>201</w:t>
      </w:r>
      <w:r w:rsidR="00D17158" w:rsidRPr="007956D0">
        <w:rPr>
          <w:rFonts w:ascii="Arial" w:hAnsi="Arial" w:cs="Arial"/>
          <w:noProof/>
        </w:rPr>
        <w:t>9</w:t>
      </w:r>
      <w:r w:rsidR="00437FB1" w:rsidRPr="007956D0">
        <w:rPr>
          <w:rFonts w:ascii="Arial" w:hAnsi="Arial" w:cs="Arial"/>
          <w:noProof/>
        </w:rPr>
        <w:t xml:space="preserve">. </w:t>
      </w: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A60874" w:rsidRPr="007956D0" w:rsidRDefault="00A60874" w:rsidP="00DB2DB9">
      <w:pPr>
        <w:rPr>
          <w:rFonts w:ascii="Arial" w:hAnsi="Arial" w:cs="Arial"/>
          <w:noProof/>
        </w:rPr>
      </w:pPr>
    </w:p>
    <w:p w:rsidR="002B3174" w:rsidRPr="007956D0" w:rsidRDefault="002B3174" w:rsidP="00DB2DB9">
      <w:pPr>
        <w:rPr>
          <w:rFonts w:ascii="Arial" w:hAnsi="Arial" w:cs="Arial"/>
          <w:noProof/>
        </w:rPr>
      </w:pPr>
    </w:p>
    <w:p w:rsidR="002B3174" w:rsidRPr="007956D0" w:rsidRDefault="002B3174" w:rsidP="00DB2DB9">
      <w:pPr>
        <w:rPr>
          <w:rFonts w:ascii="Arial" w:hAnsi="Arial" w:cs="Arial"/>
          <w:noProof/>
        </w:rPr>
      </w:pPr>
    </w:p>
    <w:p w:rsidR="002B3174" w:rsidRPr="007956D0" w:rsidRDefault="002B3174" w:rsidP="00DB2DB9">
      <w:pPr>
        <w:rPr>
          <w:rFonts w:ascii="Arial" w:hAnsi="Arial" w:cs="Arial"/>
          <w:noProof/>
        </w:rPr>
      </w:pPr>
    </w:p>
    <w:p w:rsidR="002B3174" w:rsidRPr="007956D0" w:rsidRDefault="002B3174" w:rsidP="00DB2DB9">
      <w:pPr>
        <w:rPr>
          <w:rFonts w:ascii="Arial" w:hAnsi="Arial" w:cs="Arial"/>
          <w:noProof/>
        </w:rPr>
      </w:pPr>
    </w:p>
    <w:p w:rsidR="00721D13" w:rsidRPr="007956D0" w:rsidRDefault="00721D13" w:rsidP="00DB2DB9">
      <w:pPr>
        <w:rPr>
          <w:rFonts w:ascii="Arial" w:hAnsi="Arial" w:cs="Arial"/>
          <w:noProof/>
        </w:rPr>
      </w:pPr>
    </w:p>
    <w:p w:rsidR="00721D13" w:rsidRPr="007956D0" w:rsidRDefault="00721D13" w:rsidP="00DB2DB9">
      <w:pPr>
        <w:rPr>
          <w:rFonts w:ascii="Arial" w:hAnsi="Arial" w:cs="Arial"/>
          <w:noProof/>
        </w:rPr>
      </w:pPr>
    </w:p>
    <w:p w:rsidR="00721D13" w:rsidRPr="007956D0" w:rsidRDefault="00721D13" w:rsidP="00DB2DB9">
      <w:pPr>
        <w:rPr>
          <w:rFonts w:ascii="Arial" w:hAnsi="Arial" w:cs="Arial"/>
          <w:noProof/>
        </w:rPr>
      </w:pPr>
    </w:p>
    <w:p w:rsidR="008E7826" w:rsidRPr="007956D0" w:rsidRDefault="00721D13" w:rsidP="00DB2DB9">
      <w:pPr>
        <w:rPr>
          <w:rFonts w:ascii="Arial" w:hAnsi="Arial" w:cs="Arial"/>
          <w:b/>
          <w:noProof/>
        </w:rPr>
      </w:pPr>
      <w:r w:rsidRPr="007956D0">
        <w:rPr>
          <w:rFonts w:ascii="Arial" w:hAnsi="Arial" w:cs="Arial"/>
          <w:b/>
          <w:noProof/>
        </w:rPr>
        <w:lastRenderedPageBreak/>
        <w:t>S A D R Ž A J</w:t>
      </w:r>
    </w:p>
    <w:p w:rsidR="00A87E2C" w:rsidRPr="007956D0" w:rsidRDefault="00A87E2C" w:rsidP="008E7826">
      <w:pPr>
        <w:spacing w:after="0" w:line="240" w:lineRule="auto"/>
        <w:jc w:val="both"/>
        <w:rPr>
          <w:rFonts w:ascii="Arial" w:hAnsi="Arial" w:cs="Arial"/>
          <w:b/>
          <w:noProof/>
        </w:rPr>
      </w:pPr>
    </w:p>
    <w:p w:rsidR="003A2272" w:rsidRPr="007956D0" w:rsidRDefault="00D65613">
      <w:pPr>
        <w:pStyle w:val="TOC1"/>
        <w:tabs>
          <w:tab w:val="left" w:pos="440"/>
          <w:tab w:val="right" w:leader="dot" w:pos="9350"/>
        </w:tabs>
        <w:rPr>
          <w:rFonts w:ascii="Arial" w:eastAsiaTheme="minorEastAsia" w:hAnsi="Arial" w:cs="Arial"/>
          <w:noProof/>
          <w:kern w:val="0"/>
          <w:lang w:val="en-GB" w:eastAsia="en-GB"/>
        </w:rPr>
      </w:pPr>
      <w:r w:rsidRPr="007956D0">
        <w:rPr>
          <w:rFonts w:ascii="Arial" w:hAnsi="Arial" w:cs="Arial"/>
          <w:b/>
          <w:noProof/>
        </w:rPr>
        <w:fldChar w:fldCharType="begin"/>
      </w:r>
      <w:r w:rsidR="003A2272" w:rsidRPr="007956D0">
        <w:rPr>
          <w:rFonts w:ascii="Arial" w:hAnsi="Arial" w:cs="Arial"/>
          <w:b/>
          <w:noProof/>
        </w:rPr>
        <w:instrText xml:space="preserve"> TOC \o "1-1" \h \z \u </w:instrText>
      </w:r>
      <w:r w:rsidRPr="007956D0">
        <w:rPr>
          <w:rFonts w:ascii="Arial" w:hAnsi="Arial" w:cs="Arial"/>
          <w:b/>
          <w:noProof/>
        </w:rPr>
        <w:fldChar w:fldCharType="separate"/>
      </w:r>
      <w:hyperlink w:anchor="_Toc4581255" w:history="1">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Uvod</w:t>
        </w:r>
        <w:r w:rsidR="003A2272" w:rsidRPr="007956D0">
          <w:rPr>
            <w:rFonts w:ascii="Arial" w:hAnsi="Arial" w:cs="Arial"/>
            <w:noProof/>
            <w:webHidden/>
          </w:rPr>
          <w:tab/>
        </w:r>
        <w:r w:rsidRPr="007956D0">
          <w:rPr>
            <w:rFonts w:ascii="Arial" w:hAnsi="Arial" w:cs="Arial"/>
            <w:noProof/>
            <w:webHidden/>
          </w:rPr>
          <w:fldChar w:fldCharType="begin"/>
        </w:r>
        <w:r w:rsidR="003A2272" w:rsidRPr="007956D0">
          <w:rPr>
            <w:rFonts w:ascii="Arial" w:hAnsi="Arial" w:cs="Arial"/>
            <w:noProof/>
            <w:webHidden/>
          </w:rPr>
          <w:instrText xml:space="preserve"> PAGEREF _Toc4581255 \h </w:instrText>
        </w:r>
        <w:r w:rsidRPr="007956D0">
          <w:rPr>
            <w:rFonts w:ascii="Arial" w:hAnsi="Arial" w:cs="Arial"/>
            <w:noProof/>
            <w:webHidden/>
          </w:rPr>
        </w:r>
        <w:r w:rsidRPr="007956D0">
          <w:rPr>
            <w:rFonts w:ascii="Arial" w:hAnsi="Arial" w:cs="Arial"/>
            <w:noProof/>
            <w:webHidden/>
          </w:rPr>
          <w:fldChar w:fldCharType="separate"/>
        </w:r>
        <w:r w:rsidR="00A700A0" w:rsidRPr="007956D0">
          <w:rPr>
            <w:rFonts w:ascii="Arial" w:hAnsi="Arial" w:cs="Arial"/>
            <w:noProof/>
            <w:webHidden/>
          </w:rPr>
          <w:t>5</w:t>
        </w:r>
        <w:r w:rsidRPr="007956D0">
          <w:rPr>
            <w:rFonts w:ascii="Arial" w:hAnsi="Arial" w:cs="Arial"/>
            <w:noProof/>
            <w:webHidden/>
          </w:rPr>
          <w:fldChar w:fldCharType="end"/>
        </w:r>
      </w:hyperlink>
    </w:p>
    <w:p w:rsidR="003A2272" w:rsidRPr="007956D0" w:rsidRDefault="00492AAF">
      <w:pPr>
        <w:pStyle w:val="TOC1"/>
        <w:tabs>
          <w:tab w:val="left" w:pos="440"/>
          <w:tab w:val="right" w:leader="dot" w:pos="9350"/>
        </w:tabs>
        <w:rPr>
          <w:rFonts w:ascii="Arial" w:eastAsiaTheme="minorEastAsia" w:hAnsi="Arial" w:cs="Arial"/>
          <w:noProof/>
          <w:kern w:val="0"/>
          <w:lang w:val="en-GB" w:eastAsia="en-GB"/>
        </w:rPr>
      </w:pPr>
      <w:hyperlink w:anchor="_Toc4581256" w:history="1">
        <w:r w:rsidR="00E21B44" w:rsidRPr="007956D0">
          <w:rPr>
            <w:rStyle w:val="Hyperlink"/>
            <w:rFonts w:ascii="Arial" w:hAnsi="Arial" w:cs="Arial"/>
            <w:noProof/>
            <w:color w:val="auto"/>
          </w:rPr>
          <w:t>1.</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 xml:space="preserve">Tehnički izvještaj o pojavi tehničko-građevinskog kamena </w:t>
        </w:r>
        <w:r w:rsidR="00183B94" w:rsidRPr="007956D0">
          <w:rPr>
            <w:rStyle w:val="Hyperlink"/>
            <w:rFonts w:ascii="Arial" w:hAnsi="Arial" w:cs="Arial"/>
            <w:noProof/>
            <w:color w:val="auto"/>
          </w:rPr>
          <w:t>“Velja Gorana”</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_Toc4581256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6</w:t>
        </w:r>
        <w:r w:rsidR="00D65613" w:rsidRPr="007956D0">
          <w:rPr>
            <w:rFonts w:ascii="Arial" w:hAnsi="Arial" w:cs="Arial"/>
            <w:noProof/>
            <w:webHidden/>
          </w:rPr>
          <w:fldChar w:fldCharType="end"/>
        </w:r>
      </w:hyperlink>
    </w:p>
    <w:p w:rsidR="003A2272" w:rsidRPr="007956D0" w:rsidRDefault="00492AAF">
      <w:pPr>
        <w:pStyle w:val="TOC1"/>
        <w:tabs>
          <w:tab w:val="left" w:pos="440"/>
          <w:tab w:val="right" w:leader="dot" w:pos="9350"/>
        </w:tabs>
        <w:rPr>
          <w:rFonts w:ascii="Arial" w:eastAsiaTheme="minorEastAsia" w:hAnsi="Arial" w:cs="Arial"/>
          <w:noProof/>
          <w:kern w:val="0"/>
          <w:lang w:val="en-GB" w:eastAsia="en-GB"/>
        </w:rPr>
      </w:pPr>
      <w:hyperlink w:anchor="_Toc4581257" w:history="1">
        <w:r w:rsidR="00E21B44" w:rsidRPr="007956D0">
          <w:rPr>
            <w:rStyle w:val="Hyperlink"/>
            <w:rFonts w:ascii="Arial" w:hAnsi="Arial" w:cs="Arial"/>
            <w:noProof/>
            <w:color w:val="auto"/>
          </w:rPr>
          <w:t>2.</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Rok trajanja koncesije</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_Toc4581257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9</w:t>
        </w:r>
        <w:r w:rsidR="00D65613" w:rsidRPr="007956D0">
          <w:rPr>
            <w:rFonts w:ascii="Arial" w:hAnsi="Arial" w:cs="Arial"/>
            <w:noProof/>
            <w:webHidden/>
          </w:rPr>
          <w:fldChar w:fldCharType="end"/>
        </w:r>
      </w:hyperlink>
    </w:p>
    <w:p w:rsidR="003A2272" w:rsidRPr="007956D0" w:rsidRDefault="00492AAF">
      <w:pPr>
        <w:pStyle w:val="TOC1"/>
        <w:tabs>
          <w:tab w:val="left" w:pos="440"/>
          <w:tab w:val="right" w:leader="dot" w:pos="9350"/>
        </w:tabs>
        <w:rPr>
          <w:rFonts w:ascii="Arial" w:eastAsiaTheme="minorEastAsia" w:hAnsi="Arial" w:cs="Arial"/>
          <w:noProof/>
          <w:kern w:val="0"/>
          <w:lang w:val="en-GB" w:eastAsia="en-GB"/>
        </w:rPr>
      </w:pPr>
      <w:hyperlink w:anchor="_Toc4581258" w:history="1">
        <w:r w:rsidR="00E21B44" w:rsidRPr="007956D0">
          <w:rPr>
            <w:rStyle w:val="Hyperlink"/>
            <w:rFonts w:ascii="Arial" w:hAnsi="Arial" w:cs="Arial"/>
            <w:noProof/>
            <w:color w:val="auto"/>
          </w:rPr>
          <w:t>3.</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Osnovni parametri za ocjenu ekonomske opravdanosti investicije</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_Toc4581258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10</w:t>
        </w:r>
        <w:r w:rsidR="00D65613" w:rsidRPr="007956D0">
          <w:rPr>
            <w:rFonts w:ascii="Arial" w:hAnsi="Arial" w:cs="Arial"/>
            <w:noProof/>
            <w:webHidden/>
          </w:rPr>
          <w:fldChar w:fldCharType="end"/>
        </w:r>
      </w:hyperlink>
    </w:p>
    <w:p w:rsidR="003A2272" w:rsidRPr="007956D0" w:rsidRDefault="00492AAF">
      <w:pPr>
        <w:pStyle w:val="TOC1"/>
        <w:tabs>
          <w:tab w:val="left" w:pos="440"/>
          <w:tab w:val="right" w:leader="dot" w:pos="9350"/>
        </w:tabs>
        <w:rPr>
          <w:rFonts w:ascii="Arial" w:eastAsiaTheme="minorEastAsia" w:hAnsi="Arial" w:cs="Arial"/>
          <w:noProof/>
          <w:kern w:val="0"/>
          <w:lang w:val="en-GB" w:eastAsia="en-GB"/>
        </w:rPr>
      </w:pPr>
      <w:hyperlink w:anchor="_Toc4581259" w:history="1">
        <w:r w:rsidR="00E21B44" w:rsidRPr="007956D0">
          <w:rPr>
            <w:rStyle w:val="Hyperlink"/>
            <w:rFonts w:ascii="Arial" w:hAnsi="Arial" w:cs="Arial"/>
            <w:noProof/>
            <w:color w:val="auto"/>
          </w:rPr>
          <w:t>4.</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Mjere za zaštitu životne sredine</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_Toc4581259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13</w:t>
        </w:r>
        <w:r w:rsidR="00D65613" w:rsidRPr="007956D0">
          <w:rPr>
            <w:rFonts w:ascii="Arial" w:hAnsi="Arial" w:cs="Arial"/>
            <w:noProof/>
            <w:webHidden/>
          </w:rPr>
          <w:fldChar w:fldCharType="end"/>
        </w:r>
      </w:hyperlink>
    </w:p>
    <w:p w:rsidR="003A2272" w:rsidRPr="007956D0" w:rsidRDefault="00492AAF">
      <w:pPr>
        <w:pStyle w:val="TOC1"/>
        <w:tabs>
          <w:tab w:val="left" w:pos="440"/>
          <w:tab w:val="right" w:leader="dot" w:pos="9350"/>
        </w:tabs>
        <w:rPr>
          <w:rFonts w:ascii="Arial" w:eastAsiaTheme="minorEastAsia" w:hAnsi="Arial" w:cs="Arial"/>
          <w:noProof/>
          <w:kern w:val="0"/>
          <w:lang w:val="en-GB" w:eastAsia="en-GB"/>
        </w:rPr>
      </w:pPr>
      <w:hyperlink w:anchor="_Toc4581260" w:history="1">
        <w:r w:rsidR="00E21B44" w:rsidRPr="007956D0">
          <w:rPr>
            <w:rStyle w:val="Hyperlink"/>
            <w:rFonts w:ascii="Arial" w:hAnsi="Arial" w:cs="Arial"/>
            <w:noProof/>
            <w:color w:val="auto"/>
          </w:rPr>
          <w:t>5</w:t>
        </w:r>
        <w:r w:rsidR="003A2272" w:rsidRPr="007956D0">
          <w:rPr>
            <w:rStyle w:val="Hyperlink"/>
            <w:rFonts w:ascii="Arial" w:hAnsi="Arial" w:cs="Arial"/>
            <w:noProof/>
            <w:color w:val="auto"/>
          </w:rPr>
          <w:t>.</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 xml:space="preserve">Rekultivacija istražno-eksploatacionog prostora </w:t>
        </w:r>
        <w:r w:rsidR="00183B94" w:rsidRPr="007956D0">
          <w:rPr>
            <w:rStyle w:val="Hyperlink"/>
            <w:rFonts w:ascii="Arial" w:hAnsi="Arial" w:cs="Arial"/>
            <w:noProof/>
            <w:color w:val="auto"/>
          </w:rPr>
          <w:t>“Velja Gorana”</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_Toc4581260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14</w:t>
        </w:r>
        <w:r w:rsidR="00D65613" w:rsidRPr="007956D0">
          <w:rPr>
            <w:rFonts w:ascii="Arial" w:hAnsi="Arial" w:cs="Arial"/>
            <w:noProof/>
            <w:webHidden/>
          </w:rPr>
          <w:fldChar w:fldCharType="end"/>
        </w:r>
      </w:hyperlink>
    </w:p>
    <w:p w:rsidR="003A2272" w:rsidRPr="007956D0" w:rsidRDefault="00492AAF">
      <w:pPr>
        <w:pStyle w:val="TOC1"/>
        <w:tabs>
          <w:tab w:val="left" w:pos="440"/>
          <w:tab w:val="right" w:leader="dot" w:pos="9350"/>
        </w:tabs>
        <w:rPr>
          <w:rFonts w:ascii="Arial" w:eastAsiaTheme="minorEastAsia" w:hAnsi="Arial" w:cs="Arial"/>
          <w:noProof/>
          <w:kern w:val="0"/>
          <w:lang w:val="en-GB" w:eastAsia="en-GB"/>
        </w:rPr>
      </w:pPr>
      <w:hyperlink w:anchor="_Toc4581261" w:history="1">
        <w:r w:rsidR="00E21B44" w:rsidRPr="007956D0">
          <w:rPr>
            <w:rStyle w:val="Hyperlink"/>
            <w:rFonts w:ascii="Arial" w:hAnsi="Arial" w:cs="Arial"/>
            <w:noProof/>
            <w:color w:val="auto"/>
          </w:rPr>
          <w:t>6.</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Unapređenje energetske efikasnosti</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_Toc4581261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15</w:t>
        </w:r>
        <w:r w:rsidR="00D65613" w:rsidRPr="007956D0">
          <w:rPr>
            <w:rFonts w:ascii="Arial" w:hAnsi="Arial" w:cs="Arial"/>
            <w:noProof/>
            <w:webHidden/>
          </w:rPr>
          <w:fldChar w:fldCharType="end"/>
        </w:r>
      </w:hyperlink>
    </w:p>
    <w:p w:rsidR="003A2272" w:rsidRPr="007956D0" w:rsidRDefault="00492AAF">
      <w:pPr>
        <w:pStyle w:val="TOC1"/>
        <w:tabs>
          <w:tab w:val="left" w:pos="440"/>
          <w:tab w:val="right" w:leader="dot" w:pos="9350"/>
        </w:tabs>
        <w:rPr>
          <w:rFonts w:ascii="Arial" w:eastAsiaTheme="minorEastAsia" w:hAnsi="Arial" w:cs="Arial"/>
          <w:noProof/>
          <w:kern w:val="0"/>
          <w:lang w:val="en-GB" w:eastAsia="en-GB"/>
        </w:rPr>
      </w:pPr>
      <w:hyperlink w:anchor="_Toc4581262" w:history="1">
        <w:r w:rsidR="00E21B44" w:rsidRPr="007956D0">
          <w:rPr>
            <w:rStyle w:val="Hyperlink"/>
            <w:rFonts w:ascii="Arial" w:hAnsi="Arial" w:cs="Arial"/>
            <w:noProof/>
            <w:color w:val="auto"/>
          </w:rPr>
          <w:t>7.</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Uslovi koje je dužan da ispunjava koncesionar u pogledu tehničke opremljenosti, finansijske sposobnosti i ostale reference i dokaze o ispunjavanju tih uslova</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_Toc4581262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15</w:t>
        </w:r>
        <w:r w:rsidR="00D65613" w:rsidRPr="007956D0">
          <w:rPr>
            <w:rFonts w:ascii="Arial" w:hAnsi="Arial" w:cs="Arial"/>
            <w:noProof/>
            <w:webHidden/>
          </w:rPr>
          <w:fldChar w:fldCharType="end"/>
        </w:r>
      </w:hyperlink>
    </w:p>
    <w:p w:rsidR="003A2272" w:rsidRPr="007956D0" w:rsidRDefault="00492AAF">
      <w:pPr>
        <w:pStyle w:val="TOC1"/>
        <w:tabs>
          <w:tab w:val="left" w:pos="440"/>
          <w:tab w:val="right" w:leader="dot" w:pos="9350"/>
        </w:tabs>
        <w:rPr>
          <w:rFonts w:ascii="Arial" w:eastAsiaTheme="minorEastAsia" w:hAnsi="Arial" w:cs="Arial"/>
          <w:noProof/>
          <w:kern w:val="0"/>
          <w:lang w:val="en-GB" w:eastAsia="en-GB"/>
        </w:rPr>
      </w:pPr>
      <w:hyperlink w:anchor="_Toc4581263" w:history="1">
        <w:r w:rsidR="00E21B44" w:rsidRPr="007956D0">
          <w:rPr>
            <w:rStyle w:val="Hyperlink"/>
            <w:rFonts w:ascii="Arial" w:hAnsi="Arial" w:cs="Arial"/>
            <w:noProof/>
            <w:color w:val="auto"/>
          </w:rPr>
          <w:t>8.</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Minimalni – početni iznos koncesione naknade</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_Toc4581263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16</w:t>
        </w:r>
        <w:r w:rsidR="00D65613" w:rsidRPr="007956D0">
          <w:rPr>
            <w:rFonts w:ascii="Arial" w:hAnsi="Arial" w:cs="Arial"/>
            <w:noProof/>
            <w:webHidden/>
          </w:rPr>
          <w:fldChar w:fldCharType="end"/>
        </w:r>
      </w:hyperlink>
    </w:p>
    <w:p w:rsidR="003A2272" w:rsidRPr="007956D0" w:rsidRDefault="00492AAF">
      <w:pPr>
        <w:pStyle w:val="TOC1"/>
        <w:tabs>
          <w:tab w:val="left" w:pos="660"/>
          <w:tab w:val="right" w:leader="dot" w:pos="9350"/>
        </w:tabs>
        <w:rPr>
          <w:rFonts w:ascii="Arial" w:eastAsiaTheme="minorEastAsia" w:hAnsi="Arial" w:cs="Arial"/>
          <w:noProof/>
          <w:kern w:val="0"/>
          <w:lang w:val="en-GB" w:eastAsia="en-GB"/>
        </w:rPr>
      </w:pPr>
      <w:hyperlink w:anchor="_Toc4581264" w:history="1">
        <w:r w:rsidR="00E21B44" w:rsidRPr="007956D0">
          <w:rPr>
            <w:rStyle w:val="Hyperlink"/>
            <w:rFonts w:ascii="Arial" w:hAnsi="Arial" w:cs="Arial"/>
            <w:noProof/>
            <w:color w:val="auto"/>
          </w:rPr>
          <w:t>9.</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Kriterijumi za izbor najpovoljnije ponude</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_Toc4581264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1</w:t>
        </w:r>
        <w:r w:rsidR="00D21EF6" w:rsidRPr="007956D0">
          <w:rPr>
            <w:rFonts w:ascii="Arial" w:hAnsi="Arial" w:cs="Arial"/>
            <w:noProof/>
            <w:webHidden/>
          </w:rPr>
          <w:t>8</w:t>
        </w:r>
        <w:r w:rsidR="00D65613" w:rsidRPr="007956D0">
          <w:rPr>
            <w:rFonts w:ascii="Arial" w:hAnsi="Arial" w:cs="Arial"/>
            <w:noProof/>
            <w:webHidden/>
          </w:rPr>
          <w:fldChar w:fldCharType="end"/>
        </w:r>
      </w:hyperlink>
    </w:p>
    <w:p w:rsidR="003A2272" w:rsidRPr="007956D0" w:rsidRDefault="00492AAF">
      <w:pPr>
        <w:pStyle w:val="TOC1"/>
        <w:tabs>
          <w:tab w:val="left" w:pos="660"/>
          <w:tab w:val="right" w:leader="dot" w:pos="9350"/>
        </w:tabs>
        <w:rPr>
          <w:rFonts w:ascii="Arial" w:eastAsiaTheme="minorEastAsia" w:hAnsi="Arial" w:cs="Arial"/>
          <w:noProof/>
          <w:kern w:val="0"/>
          <w:lang w:val="en-GB" w:eastAsia="en-GB"/>
        </w:rPr>
      </w:pPr>
      <w:hyperlink w:anchor="_Toc4581265" w:history="1">
        <w:r w:rsidR="003A2272" w:rsidRPr="007956D0">
          <w:rPr>
            <w:rStyle w:val="Hyperlink"/>
            <w:rFonts w:ascii="Arial" w:hAnsi="Arial" w:cs="Arial"/>
            <w:noProof/>
            <w:color w:val="auto"/>
          </w:rPr>
          <w:t>1</w:t>
        </w:r>
        <w:r w:rsidR="00E21B44" w:rsidRPr="007956D0">
          <w:rPr>
            <w:rStyle w:val="Hyperlink"/>
            <w:rFonts w:ascii="Arial" w:hAnsi="Arial" w:cs="Arial"/>
            <w:noProof/>
            <w:color w:val="auto"/>
          </w:rPr>
          <w:t>0.</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Spisak potrebne tehničke dokumentacije sa uslovima za njenu izradu, odobrenja, saglasnosti i mišljenja za obavljanje koncesione djelatnosti</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_Toc4581265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2</w:t>
        </w:r>
        <w:r w:rsidR="00D21EF6" w:rsidRPr="007956D0">
          <w:rPr>
            <w:rFonts w:ascii="Arial" w:hAnsi="Arial" w:cs="Arial"/>
            <w:noProof/>
            <w:webHidden/>
          </w:rPr>
          <w:t>0</w:t>
        </w:r>
        <w:r w:rsidR="00D65613" w:rsidRPr="007956D0">
          <w:rPr>
            <w:rFonts w:ascii="Arial" w:hAnsi="Arial" w:cs="Arial"/>
            <w:noProof/>
            <w:webHidden/>
          </w:rPr>
          <w:fldChar w:fldCharType="end"/>
        </w:r>
      </w:hyperlink>
    </w:p>
    <w:p w:rsidR="003A2272" w:rsidRPr="007956D0" w:rsidRDefault="00492AAF">
      <w:pPr>
        <w:pStyle w:val="TOC1"/>
        <w:tabs>
          <w:tab w:val="left" w:pos="660"/>
          <w:tab w:val="right" w:leader="dot" w:pos="9350"/>
        </w:tabs>
        <w:rPr>
          <w:rFonts w:ascii="Arial" w:eastAsiaTheme="minorEastAsia" w:hAnsi="Arial" w:cs="Arial"/>
          <w:noProof/>
          <w:kern w:val="0"/>
          <w:lang w:val="en-GB" w:eastAsia="en-GB"/>
        </w:rPr>
      </w:pPr>
      <w:hyperlink w:anchor="_Toc4581266" w:history="1">
        <w:r w:rsidR="003A2272" w:rsidRPr="007956D0">
          <w:rPr>
            <w:rStyle w:val="Hyperlink"/>
            <w:rFonts w:ascii="Arial" w:hAnsi="Arial" w:cs="Arial"/>
            <w:noProof/>
            <w:color w:val="auto"/>
          </w:rPr>
          <w:t>1</w:t>
        </w:r>
        <w:r w:rsidR="00E21B44" w:rsidRPr="007956D0">
          <w:rPr>
            <w:rStyle w:val="Hyperlink"/>
            <w:rFonts w:ascii="Arial" w:hAnsi="Arial" w:cs="Arial"/>
            <w:noProof/>
            <w:color w:val="auto"/>
          </w:rPr>
          <w:t>1</w:t>
        </w:r>
        <w:r w:rsidR="003A2272" w:rsidRPr="007956D0">
          <w:rPr>
            <w:rStyle w:val="Hyperlink"/>
            <w:rFonts w:ascii="Arial" w:hAnsi="Arial" w:cs="Arial"/>
            <w:noProof/>
            <w:color w:val="auto"/>
          </w:rPr>
          <w:t>.</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Hronologija izrade tehničke dokumentacije i pribavljanje odobrenja i saglasnosti za izvođenje rudarskih radova</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_Toc4581266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2</w:t>
        </w:r>
        <w:r w:rsidR="00D21EF6" w:rsidRPr="007956D0">
          <w:rPr>
            <w:rFonts w:ascii="Arial" w:hAnsi="Arial" w:cs="Arial"/>
            <w:noProof/>
            <w:webHidden/>
          </w:rPr>
          <w:t>2</w:t>
        </w:r>
        <w:r w:rsidR="00D65613" w:rsidRPr="007956D0">
          <w:rPr>
            <w:rFonts w:ascii="Arial" w:hAnsi="Arial" w:cs="Arial"/>
            <w:noProof/>
            <w:webHidden/>
          </w:rPr>
          <w:fldChar w:fldCharType="end"/>
        </w:r>
      </w:hyperlink>
    </w:p>
    <w:p w:rsidR="003A2272" w:rsidRPr="007956D0" w:rsidRDefault="00492AAF">
      <w:pPr>
        <w:pStyle w:val="TOC1"/>
        <w:tabs>
          <w:tab w:val="left" w:pos="660"/>
          <w:tab w:val="right" w:leader="dot" w:pos="9350"/>
        </w:tabs>
        <w:rPr>
          <w:rFonts w:ascii="Arial" w:eastAsiaTheme="minorEastAsia" w:hAnsi="Arial" w:cs="Arial"/>
          <w:noProof/>
          <w:spacing w:val="-18"/>
          <w:kern w:val="22"/>
          <w:lang w:val="en-GB" w:eastAsia="en-GB"/>
        </w:rPr>
      </w:pPr>
      <w:hyperlink w:anchor="_Toc4581267" w:history="1">
        <w:r w:rsidR="003A2272" w:rsidRPr="007956D0">
          <w:rPr>
            <w:rStyle w:val="Hyperlink"/>
            <w:rFonts w:ascii="Arial" w:hAnsi="Arial" w:cs="Arial"/>
            <w:noProof/>
            <w:color w:val="auto"/>
            <w:spacing w:val="-18"/>
            <w:kern w:val="22"/>
          </w:rPr>
          <w:t>1</w:t>
        </w:r>
        <w:r w:rsidR="00E21B44" w:rsidRPr="007956D0">
          <w:rPr>
            <w:rStyle w:val="Hyperlink"/>
            <w:rFonts w:ascii="Arial" w:hAnsi="Arial" w:cs="Arial"/>
            <w:noProof/>
            <w:color w:val="auto"/>
            <w:spacing w:val="-18"/>
            <w:kern w:val="22"/>
          </w:rPr>
          <w:t>2</w:t>
        </w:r>
        <w:r w:rsidR="003A2272" w:rsidRPr="007956D0">
          <w:rPr>
            <w:rStyle w:val="Hyperlink"/>
            <w:rFonts w:ascii="Arial" w:hAnsi="Arial" w:cs="Arial"/>
            <w:noProof/>
            <w:color w:val="auto"/>
            <w:spacing w:val="-18"/>
            <w:kern w:val="22"/>
          </w:rPr>
          <w:t>.</w:t>
        </w:r>
        <w:r w:rsidR="003A2272" w:rsidRPr="007956D0">
          <w:rPr>
            <w:rFonts w:ascii="Arial" w:eastAsiaTheme="minorEastAsia" w:hAnsi="Arial" w:cs="Arial"/>
            <w:noProof/>
            <w:spacing w:val="-18"/>
            <w:kern w:val="22"/>
            <w:lang w:val="en-GB" w:eastAsia="en-GB"/>
          </w:rPr>
          <w:tab/>
        </w:r>
        <w:r w:rsidR="003A2272" w:rsidRPr="007956D0">
          <w:rPr>
            <w:rStyle w:val="Hyperlink"/>
            <w:rFonts w:ascii="Arial" w:hAnsi="Arial" w:cs="Arial"/>
            <w:noProof/>
            <w:color w:val="auto"/>
            <w:spacing w:val="-18"/>
            <w:kern w:val="22"/>
          </w:rPr>
          <w:t>Osnovni elementi tenderske dokumentacije (javni oglas, dokumentacija vezana za oglas)</w:t>
        </w:r>
        <w:r w:rsidR="003A2272" w:rsidRPr="007956D0">
          <w:rPr>
            <w:rFonts w:ascii="Arial" w:hAnsi="Arial" w:cs="Arial"/>
            <w:noProof/>
            <w:webHidden/>
            <w:spacing w:val="-18"/>
            <w:kern w:val="22"/>
          </w:rPr>
          <w:tab/>
        </w:r>
        <w:r w:rsidR="00D65613" w:rsidRPr="007956D0">
          <w:rPr>
            <w:rFonts w:ascii="Arial" w:hAnsi="Arial" w:cs="Arial"/>
            <w:noProof/>
            <w:webHidden/>
            <w:spacing w:val="-18"/>
            <w:kern w:val="22"/>
          </w:rPr>
          <w:fldChar w:fldCharType="begin"/>
        </w:r>
        <w:r w:rsidR="003A2272" w:rsidRPr="007956D0">
          <w:rPr>
            <w:rFonts w:ascii="Arial" w:hAnsi="Arial" w:cs="Arial"/>
            <w:noProof/>
            <w:webHidden/>
            <w:spacing w:val="-18"/>
            <w:kern w:val="22"/>
          </w:rPr>
          <w:instrText xml:space="preserve"> PAGEREF _Toc4581267 \h </w:instrText>
        </w:r>
        <w:r w:rsidR="00D65613" w:rsidRPr="007956D0">
          <w:rPr>
            <w:rFonts w:ascii="Arial" w:hAnsi="Arial" w:cs="Arial"/>
            <w:noProof/>
            <w:webHidden/>
            <w:spacing w:val="-18"/>
            <w:kern w:val="22"/>
          </w:rPr>
        </w:r>
        <w:r w:rsidR="00D65613" w:rsidRPr="007956D0">
          <w:rPr>
            <w:rFonts w:ascii="Arial" w:hAnsi="Arial" w:cs="Arial"/>
            <w:noProof/>
            <w:webHidden/>
            <w:spacing w:val="-18"/>
            <w:kern w:val="22"/>
          </w:rPr>
          <w:fldChar w:fldCharType="separate"/>
        </w:r>
        <w:r w:rsidR="00A700A0" w:rsidRPr="007956D0">
          <w:rPr>
            <w:rFonts w:ascii="Arial" w:hAnsi="Arial" w:cs="Arial"/>
            <w:noProof/>
            <w:webHidden/>
            <w:spacing w:val="-18"/>
            <w:kern w:val="22"/>
          </w:rPr>
          <w:t>2</w:t>
        </w:r>
        <w:r w:rsidR="00D21EF6" w:rsidRPr="007956D0">
          <w:rPr>
            <w:rFonts w:ascii="Arial" w:hAnsi="Arial" w:cs="Arial"/>
            <w:noProof/>
            <w:webHidden/>
            <w:spacing w:val="-18"/>
            <w:kern w:val="22"/>
          </w:rPr>
          <w:t>2</w:t>
        </w:r>
        <w:r w:rsidR="00D65613" w:rsidRPr="007956D0">
          <w:rPr>
            <w:rFonts w:ascii="Arial" w:hAnsi="Arial" w:cs="Arial"/>
            <w:noProof/>
            <w:webHidden/>
            <w:spacing w:val="-18"/>
            <w:kern w:val="22"/>
          </w:rPr>
          <w:fldChar w:fldCharType="end"/>
        </w:r>
      </w:hyperlink>
    </w:p>
    <w:p w:rsidR="003A2272" w:rsidRPr="007956D0" w:rsidRDefault="00492AAF">
      <w:pPr>
        <w:pStyle w:val="TOC1"/>
        <w:tabs>
          <w:tab w:val="left" w:pos="660"/>
          <w:tab w:val="right" w:leader="dot" w:pos="9350"/>
        </w:tabs>
        <w:rPr>
          <w:rFonts w:ascii="Arial" w:eastAsiaTheme="minorEastAsia" w:hAnsi="Arial" w:cs="Arial"/>
          <w:noProof/>
          <w:kern w:val="0"/>
          <w:lang w:val="en-GB" w:eastAsia="en-GB"/>
        </w:rPr>
      </w:pPr>
      <w:hyperlink w:anchor="_Toc4581268" w:history="1">
        <w:r w:rsidR="003A2272" w:rsidRPr="007956D0">
          <w:rPr>
            <w:rStyle w:val="Hyperlink"/>
            <w:rFonts w:ascii="Arial" w:hAnsi="Arial" w:cs="Arial"/>
            <w:noProof/>
            <w:color w:val="auto"/>
          </w:rPr>
          <w:t>1</w:t>
        </w:r>
        <w:r w:rsidR="00E21B44" w:rsidRPr="007956D0">
          <w:rPr>
            <w:rStyle w:val="Hyperlink"/>
            <w:rFonts w:ascii="Arial" w:hAnsi="Arial" w:cs="Arial"/>
            <w:noProof/>
            <w:color w:val="auto"/>
          </w:rPr>
          <w:t>3</w:t>
        </w:r>
        <w:r w:rsidR="003A2272" w:rsidRPr="007956D0">
          <w:rPr>
            <w:rStyle w:val="Hyperlink"/>
            <w:rFonts w:ascii="Arial" w:hAnsi="Arial" w:cs="Arial"/>
            <w:noProof/>
            <w:color w:val="auto"/>
          </w:rPr>
          <w:t>.</w:t>
        </w:r>
        <w:r w:rsidR="003A2272" w:rsidRPr="007956D0">
          <w:rPr>
            <w:rFonts w:ascii="Arial" w:eastAsiaTheme="minorEastAsia" w:hAnsi="Arial" w:cs="Arial"/>
            <w:noProof/>
            <w:kern w:val="0"/>
            <w:lang w:val="en-GB" w:eastAsia="en-GB"/>
          </w:rPr>
          <w:tab/>
        </w:r>
        <w:r w:rsidR="003A2272" w:rsidRPr="007956D0">
          <w:rPr>
            <w:rStyle w:val="Hyperlink"/>
            <w:rFonts w:ascii="Arial" w:hAnsi="Arial" w:cs="Arial"/>
            <w:noProof/>
            <w:color w:val="auto"/>
          </w:rPr>
          <w:t>Spisak propisa koji se primijenjuju u postupku davanja koncesije i u vršenju koncesione djelatnosti</w:t>
        </w:r>
        <w:r w:rsidR="003A2272" w:rsidRPr="007956D0">
          <w:rPr>
            <w:rFonts w:ascii="Arial" w:hAnsi="Arial" w:cs="Arial"/>
            <w:noProof/>
            <w:webHidden/>
          </w:rPr>
          <w:tab/>
        </w:r>
        <w:r w:rsidR="00D65613" w:rsidRPr="007956D0">
          <w:rPr>
            <w:rFonts w:ascii="Arial" w:hAnsi="Arial" w:cs="Arial"/>
            <w:noProof/>
            <w:webHidden/>
          </w:rPr>
          <w:fldChar w:fldCharType="begin"/>
        </w:r>
        <w:r w:rsidR="003A2272" w:rsidRPr="007956D0">
          <w:rPr>
            <w:rFonts w:ascii="Arial" w:hAnsi="Arial" w:cs="Arial"/>
            <w:noProof/>
            <w:webHidden/>
          </w:rPr>
          <w:instrText xml:space="preserve"> PAGEREF _Toc4581268 \h </w:instrText>
        </w:r>
        <w:r w:rsidR="00D65613" w:rsidRPr="007956D0">
          <w:rPr>
            <w:rFonts w:ascii="Arial" w:hAnsi="Arial" w:cs="Arial"/>
            <w:noProof/>
            <w:webHidden/>
          </w:rPr>
        </w:r>
        <w:r w:rsidR="00D65613" w:rsidRPr="007956D0">
          <w:rPr>
            <w:rFonts w:ascii="Arial" w:hAnsi="Arial" w:cs="Arial"/>
            <w:noProof/>
            <w:webHidden/>
          </w:rPr>
          <w:fldChar w:fldCharType="separate"/>
        </w:r>
        <w:r w:rsidR="00A700A0" w:rsidRPr="007956D0">
          <w:rPr>
            <w:rFonts w:ascii="Arial" w:hAnsi="Arial" w:cs="Arial"/>
            <w:noProof/>
            <w:webHidden/>
          </w:rPr>
          <w:t>25</w:t>
        </w:r>
        <w:r w:rsidR="00D65613" w:rsidRPr="007956D0">
          <w:rPr>
            <w:rFonts w:ascii="Arial" w:hAnsi="Arial" w:cs="Arial"/>
            <w:noProof/>
            <w:webHidden/>
          </w:rPr>
          <w:fldChar w:fldCharType="end"/>
        </w:r>
      </w:hyperlink>
    </w:p>
    <w:p w:rsidR="00A87E2C" w:rsidRPr="007956D0" w:rsidRDefault="00D65613" w:rsidP="008E7826">
      <w:pPr>
        <w:spacing w:after="0" w:line="240" w:lineRule="auto"/>
        <w:jc w:val="both"/>
        <w:rPr>
          <w:rFonts w:ascii="Arial" w:hAnsi="Arial" w:cs="Arial"/>
          <w:noProof/>
        </w:rPr>
      </w:pPr>
      <w:r w:rsidRPr="007956D0">
        <w:rPr>
          <w:rFonts w:ascii="Arial" w:eastAsia="Arial Unicode MS" w:hAnsi="Arial" w:cs="Arial"/>
          <w:b/>
          <w:noProof/>
          <w:kern w:val="1"/>
        </w:rPr>
        <w:fldChar w:fldCharType="end"/>
      </w:r>
      <w:r w:rsidR="008E24CC" w:rsidRPr="007956D0">
        <w:rPr>
          <w:rFonts w:ascii="Arial" w:eastAsia="Arial Unicode MS" w:hAnsi="Arial" w:cs="Arial"/>
          <w:noProof/>
          <w:kern w:val="1"/>
        </w:rPr>
        <w:t>Prilozi</w:t>
      </w:r>
    </w:p>
    <w:p w:rsidR="00A87E2C" w:rsidRPr="007956D0" w:rsidRDefault="00A87E2C" w:rsidP="008E7826">
      <w:pPr>
        <w:spacing w:after="0" w:line="240" w:lineRule="auto"/>
        <w:jc w:val="both"/>
        <w:rPr>
          <w:rFonts w:ascii="Arial" w:hAnsi="Arial" w:cs="Arial"/>
          <w:b/>
          <w:noProof/>
        </w:rPr>
      </w:pPr>
    </w:p>
    <w:p w:rsidR="00A87E2C" w:rsidRPr="007956D0" w:rsidRDefault="00A87E2C" w:rsidP="008E7826">
      <w:pPr>
        <w:spacing w:after="0" w:line="240" w:lineRule="auto"/>
        <w:jc w:val="both"/>
        <w:rPr>
          <w:rFonts w:ascii="Arial" w:hAnsi="Arial" w:cs="Arial"/>
          <w:b/>
          <w:noProof/>
        </w:rPr>
      </w:pPr>
    </w:p>
    <w:p w:rsidR="00A87E2C" w:rsidRPr="007956D0" w:rsidRDefault="00A87E2C" w:rsidP="008E7826">
      <w:pPr>
        <w:spacing w:after="0" w:line="240" w:lineRule="auto"/>
        <w:jc w:val="both"/>
        <w:rPr>
          <w:rFonts w:ascii="Arial" w:hAnsi="Arial" w:cs="Arial"/>
          <w:b/>
          <w:noProof/>
        </w:rPr>
      </w:pPr>
    </w:p>
    <w:p w:rsidR="00A87E2C" w:rsidRPr="007956D0" w:rsidRDefault="00A87E2C"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647F27" w:rsidRPr="007956D0" w:rsidRDefault="00647F27" w:rsidP="008E7826">
      <w:pPr>
        <w:spacing w:after="0" w:line="240" w:lineRule="auto"/>
        <w:jc w:val="both"/>
        <w:rPr>
          <w:rFonts w:ascii="Arial" w:hAnsi="Arial" w:cs="Arial"/>
          <w:b/>
          <w:noProof/>
        </w:rPr>
      </w:pPr>
    </w:p>
    <w:p w:rsidR="00A87E2C" w:rsidRPr="007956D0" w:rsidRDefault="00A87E2C" w:rsidP="008E7826">
      <w:pPr>
        <w:spacing w:after="0" w:line="240" w:lineRule="auto"/>
        <w:jc w:val="both"/>
        <w:rPr>
          <w:rFonts w:ascii="Arial" w:hAnsi="Arial" w:cs="Arial"/>
          <w:b/>
          <w:noProof/>
        </w:rPr>
      </w:pPr>
    </w:p>
    <w:p w:rsidR="00A87E2C" w:rsidRPr="007956D0" w:rsidRDefault="00A87E2C" w:rsidP="008E7826">
      <w:pPr>
        <w:spacing w:after="0" w:line="240" w:lineRule="auto"/>
        <w:jc w:val="both"/>
        <w:rPr>
          <w:rFonts w:ascii="Arial" w:hAnsi="Arial" w:cs="Arial"/>
          <w:b/>
          <w:noProof/>
        </w:rPr>
      </w:pPr>
    </w:p>
    <w:p w:rsidR="002E4676" w:rsidRPr="007956D0" w:rsidRDefault="006A68F3" w:rsidP="00E21B44">
      <w:pPr>
        <w:pStyle w:val="Heading1"/>
        <w:rPr>
          <w:noProof/>
        </w:rPr>
      </w:pPr>
      <w:bookmarkStart w:id="1" w:name="_Toc4581255"/>
      <w:r w:rsidRPr="007956D0">
        <w:rPr>
          <w:noProof/>
        </w:rPr>
        <w:lastRenderedPageBreak/>
        <w:t>UVOD</w:t>
      </w:r>
      <w:bookmarkEnd w:id="1"/>
    </w:p>
    <w:p w:rsidR="00D021C0" w:rsidRPr="007956D0" w:rsidRDefault="00D021C0" w:rsidP="00D021C0">
      <w:pPr>
        <w:spacing w:after="0" w:line="240" w:lineRule="auto"/>
        <w:jc w:val="both"/>
        <w:rPr>
          <w:rFonts w:ascii="Arial" w:hAnsi="Arial" w:cs="Arial"/>
          <w:noProof/>
        </w:rPr>
      </w:pPr>
    </w:p>
    <w:p w:rsidR="00766EE2" w:rsidRPr="007956D0" w:rsidRDefault="004D45C3" w:rsidP="00766EE2">
      <w:pPr>
        <w:spacing w:after="0" w:line="240" w:lineRule="auto"/>
        <w:jc w:val="both"/>
        <w:rPr>
          <w:rFonts w:ascii="Arial" w:hAnsi="Arial" w:cs="Arial"/>
        </w:rPr>
      </w:pPr>
      <w:r w:rsidRPr="007956D0">
        <w:rPr>
          <w:rFonts w:ascii="Arial" w:hAnsi="Arial" w:cs="Arial"/>
        </w:rPr>
        <w:t xml:space="preserve">U skladu </w:t>
      </w:r>
      <w:r w:rsidRPr="007956D0">
        <w:rPr>
          <w:rFonts w:ascii="Arial" w:hAnsi="Arial" w:cs="Arial"/>
          <w:lang w:val="sr-Latn-CS"/>
        </w:rPr>
        <w:t>sa članom 7</w:t>
      </w:r>
      <w:r w:rsidR="00F27EC2" w:rsidRPr="007956D0">
        <w:rPr>
          <w:rFonts w:ascii="Arial" w:hAnsi="Arial" w:cs="Arial"/>
          <w:lang w:val="sr-Latn-CS"/>
        </w:rPr>
        <w:t>.</w:t>
      </w:r>
      <w:r w:rsidRPr="007956D0">
        <w:rPr>
          <w:rFonts w:ascii="Arial" w:hAnsi="Arial" w:cs="Arial"/>
          <w:lang w:val="sr-Latn-CS"/>
        </w:rPr>
        <w:t xml:space="preserve"> stav</w:t>
      </w:r>
      <w:r w:rsidRPr="007956D0">
        <w:rPr>
          <w:rFonts w:ascii="Arial" w:hAnsi="Arial" w:cs="Arial"/>
        </w:rPr>
        <w:t xml:space="preserve"> 1. </w:t>
      </w:r>
      <w:r w:rsidR="00766EE2" w:rsidRPr="007956D0">
        <w:rPr>
          <w:rFonts w:ascii="Arial" w:hAnsi="Arial" w:cs="Arial"/>
        </w:rPr>
        <w:t>Zakon</w:t>
      </w:r>
      <w:r w:rsidRPr="007956D0">
        <w:rPr>
          <w:rFonts w:ascii="Arial" w:hAnsi="Arial" w:cs="Arial"/>
        </w:rPr>
        <w:t>a</w:t>
      </w:r>
      <w:r w:rsidR="00766EE2" w:rsidRPr="007956D0">
        <w:rPr>
          <w:rFonts w:ascii="Arial" w:hAnsi="Arial" w:cs="Arial"/>
        </w:rPr>
        <w:t xml:space="preserve"> o koncesijama („Službeni list CG”, broj 8/09) i Planom davanja koncesija za detaljna geološka istraživanja i eksploataciju mineralnih sirovina za 2019. godinu, Ministarstvo ekonomije Vlade Crne Gore (u daljem tekstu: Ministarstvo) je pripremilo Koncesioni akt o pojavi mineralne sirovine tehničko-građevinskog kamena „Velja Gorana”, Opština Bar (u daljem tekstu: Koncesioni akt).</w:t>
      </w:r>
    </w:p>
    <w:p w:rsidR="00766EE2" w:rsidRPr="007956D0" w:rsidRDefault="00766EE2" w:rsidP="00766EE2">
      <w:pPr>
        <w:spacing w:after="0" w:line="240" w:lineRule="auto"/>
        <w:jc w:val="both"/>
        <w:rPr>
          <w:rFonts w:ascii="Arial" w:hAnsi="Arial" w:cs="Arial"/>
        </w:rPr>
      </w:pPr>
    </w:p>
    <w:p w:rsidR="00766EE2" w:rsidRPr="007956D0" w:rsidRDefault="00766EE2" w:rsidP="00766EE2">
      <w:pPr>
        <w:spacing w:after="0" w:line="240" w:lineRule="auto"/>
        <w:jc w:val="both"/>
        <w:rPr>
          <w:rFonts w:ascii="Arial" w:hAnsi="Arial" w:cs="Arial"/>
        </w:rPr>
      </w:pPr>
      <w:r w:rsidRPr="007956D0">
        <w:rPr>
          <w:rFonts w:ascii="Arial" w:hAnsi="Arial" w:cs="Arial"/>
        </w:rPr>
        <w:t>Cilj izrade Koncesionog akta je pokretanje postupka javnog nadmetanja za izbor najpovoljnije ponude za dodjelu Ugovora o koncesiji za detaljna geološka istraživanja i eksploataciju pojave mineralne sirovine tehničko-građevinskog kamena „Velja Gorana”, Opština Bar.</w:t>
      </w:r>
    </w:p>
    <w:p w:rsidR="00766EE2" w:rsidRPr="007956D0" w:rsidRDefault="00766EE2" w:rsidP="00766EE2">
      <w:pPr>
        <w:spacing w:after="0" w:line="240" w:lineRule="auto"/>
        <w:jc w:val="both"/>
        <w:rPr>
          <w:rFonts w:ascii="Arial" w:hAnsi="Arial" w:cs="Arial"/>
        </w:rPr>
      </w:pPr>
    </w:p>
    <w:p w:rsidR="00766EE2" w:rsidRPr="007956D0" w:rsidRDefault="00766EE2" w:rsidP="00766EE2">
      <w:pPr>
        <w:spacing w:after="0" w:line="240" w:lineRule="auto"/>
        <w:jc w:val="both"/>
        <w:rPr>
          <w:rFonts w:ascii="Arial" w:hAnsi="Arial" w:cs="Arial"/>
          <w:lang w:val="sr-Latn-CS"/>
        </w:rPr>
      </w:pPr>
      <w:r w:rsidRPr="007956D0">
        <w:rPr>
          <w:rFonts w:ascii="Arial" w:hAnsi="Arial" w:cs="Arial"/>
          <w:lang w:val="sr-Latn-CS"/>
        </w:rPr>
        <w:t xml:space="preserve">Izrada Koncesionog akta izvršena je na osnovu Plana koncesija za 2019. godinu koju je Vlada Crne Gore donijela na sjednici dana </w:t>
      </w:r>
      <w:r w:rsidR="00635535" w:rsidRPr="007956D0">
        <w:rPr>
          <w:rFonts w:ascii="Arial" w:hAnsi="Arial" w:cs="Arial"/>
          <w:lang w:val="sr-Latn-CS"/>
        </w:rPr>
        <w:t>2</w:t>
      </w:r>
      <w:r w:rsidRPr="007956D0">
        <w:rPr>
          <w:rFonts w:ascii="Arial" w:hAnsi="Arial" w:cs="Arial"/>
          <w:lang w:val="sr-Latn-CS"/>
        </w:rPr>
        <w:t xml:space="preserve">7. </w:t>
      </w:r>
      <w:r w:rsidR="00635535" w:rsidRPr="007956D0">
        <w:rPr>
          <w:rFonts w:ascii="Arial" w:hAnsi="Arial" w:cs="Arial"/>
          <w:lang w:val="sr-Latn-CS"/>
        </w:rPr>
        <w:t>decembra</w:t>
      </w:r>
      <w:r w:rsidRPr="007956D0">
        <w:rPr>
          <w:rFonts w:ascii="Arial" w:hAnsi="Arial" w:cs="Arial"/>
          <w:lang w:val="sr-Latn-CS"/>
        </w:rPr>
        <w:t xml:space="preserve"> 2018. godine.</w:t>
      </w:r>
    </w:p>
    <w:p w:rsidR="00766EE2" w:rsidRPr="007956D0" w:rsidRDefault="00766EE2" w:rsidP="00766EE2">
      <w:pPr>
        <w:spacing w:after="0" w:line="240" w:lineRule="auto"/>
        <w:jc w:val="both"/>
        <w:rPr>
          <w:rFonts w:ascii="Arial" w:hAnsi="Arial" w:cs="Arial"/>
          <w:lang w:val="sr-Latn-CS"/>
        </w:rPr>
      </w:pPr>
    </w:p>
    <w:p w:rsidR="00D17158" w:rsidRPr="007956D0" w:rsidRDefault="00D17158" w:rsidP="00D021C0">
      <w:pPr>
        <w:spacing w:after="0" w:line="240" w:lineRule="auto"/>
        <w:jc w:val="both"/>
        <w:rPr>
          <w:rFonts w:ascii="Arial" w:hAnsi="Arial" w:cs="Arial"/>
          <w:lang w:val="sr-Latn-CS"/>
        </w:rPr>
      </w:pPr>
      <w:r w:rsidRPr="007956D0">
        <w:rPr>
          <w:rFonts w:ascii="Arial" w:hAnsi="Arial" w:cs="Arial"/>
          <w:noProof/>
        </w:rPr>
        <w:t xml:space="preserve">U skladu sa </w:t>
      </w:r>
      <w:r w:rsidR="00B94EBF" w:rsidRPr="007956D0">
        <w:rPr>
          <w:rFonts w:ascii="Arial" w:hAnsi="Arial" w:cs="Arial"/>
          <w:noProof/>
        </w:rPr>
        <w:t xml:space="preserve">članom 40 </w:t>
      </w:r>
      <w:r w:rsidRPr="007956D0">
        <w:rPr>
          <w:rFonts w:ascii="Arial" w:hAnsi="Arial" w:cs="Arial"/>
          <w:noProof/>
        </w:rPr>
        <w:t>Zakon</w:t>
      </w:r>
      <w:r w:rsidR="00B94EBF" w:rsidRPr="007956D0">
        <w:rPr>
          <w:rFonts w:ascii="Arial" w:hAnsi="Arial" w:cs="Arial"/>
          <w:noProof/>
        </w:rPr>
        <w:t>a o geološkim istraživanjima</w:t>
      </w:r>
      <w:r w:rsidR="00C64FFA" w:rsidRPr="007956D0">
        <w:rPr>
          <w:rFonts w:ascii="Arial" w:hAnsi="Arial" w:cs="Arial"/>
          <w:noProof/>
        </w:rPr>
        <w:t xml:space="preserve"> („Sl. list RCG’’, br. 28/93, 27/94, 42/94 i 26/07 i „Sl. list CG“, br. 28/11) i Programom geoloških istraživanja za 2019. godinu</w:t>
      </w:r>
      <w:r w:rsidRPr="007956D0">
        <w:rPr>
          <w:rFonts w:ascii="Arial" w:hAnsi="Arial" w:cs="Arial"/>
          <w:noProof/>
        </w:rPr>
        <w:t xml:space="preserve"> JU Zavod za geološka </w:t>
      </w:r>
      <w:r w:rsidR="00C64FFA" w:rsidRPr="007956D0">
        <w:rPr>
          <w:rFonts w:ascii="Arial" w:hAnsi="Arial" w:cs="Arial"/>
          <w:noProof/>
        </w:rPr>
        <w:t xml:space="preserve">istraživanja </w:t>
      </w:r>
      <w:r w:rsidRPr="007956D0">
        <w:rPr>
          <w:rFonts w:ascii="Arial" w:hAnsi="Arial" w:cs="Arial"/>
          <w:noProof/>
        </w:rPr>
        <w:t xml:space="preserve">je pripremila </w:t>
      </w:r>
      <w:r w:rsidR="00C64FFA" w:rsidRPr="007956D0">
        <w:rPr>
          <w:rFonts w:ascii="Arial" w:hAnsi="Arial" w:cs="Arial"/>
          <w:noProof/>
        </w:rPr>
        <w:t>kompleksnu geološku podlogu</w:t>
      </w:r>
      <w:r w:rsidRPr="007956D0">
        <w:rPr>
          <w:rFonts w:ascii="Arial" w:hAnsi="Arial" w:cs="Arial"/>
          <w:noProof/>
        </w:rPr>
        <w:t xml:space="preserve"> </w:t>
      </w:r>
      <w:r w:rsidR="00C64FFA" w:rsidRPr="007956D0">
        <w:rPr>
          <w:rFonts w:ascii="Arial" w:hAnsi="Arial" w:cs="Arial"/>
          <w:noProof/>
        </w:rPr>
        <w:t xml:space="preserve">za potrebe izrade </w:t>
      </w:r>
      <w:r w:rsidRPr="007956D0">
        <w:rPr>
          <w:rFonts w:ascii="Arial" w:hAnsi="Arial" w:cs="Arial"/>
          <w:noProof/>
        </w:rPr>
        <w:t xml:space="preserve">Koncesionog akta </w:t>
      </w:r>
      <w:r w:rsidR="00867A38" w:rsidRPr="007956D0">
        <w:rPr>
          <w:rFonts w:ascii="Arial" w:hAnsi="Arial" w:cs="Arial"/>
          <w:noProof/>
        </w:rPr>
        <w:t>o</w:t>
      </w:r>
      <w:r w:rsidRPr="007956D0">
        <w:rPr>
          <w:rFonts w:ascii="Arial" w:hAnsi="Arial" w:cs="Arial"/>
          <w:noProof/>
        </w:rPr>
        <w:t xml:space="preserve"> </w:t>
      </w:r>
      <w:r w:rsidR="00C64FFA" w:rsidRPr="007956D0">
        <w:rPr>
          <w:rFonts w:ascii="Arial" w:hAnsi="Arial" w:cs="Arial"/>
          <w:noProof/>
        </w:rPr>
        <w:t>pojav</w:t>
      </w:r>
      <w:r w:rsidR="00867A38" w:rsidRPr="007956D0">
        <w:rPr>
          <w:rFonts w:ascii="Arial" w:hAnsi="Arial" w:cs="Arial"/>
          <w:noProof/>
        </w:rPr>
        <w:t>i mineralne sirovine</w:t>
      </w:r>
      <w:r w:rsidR="004C0BB8" w:rsidRPr="007956D0">
        <w:rPr>
          <w:rFonts w:ascii="Arial" w:hAnsi="Arial" w:cs="Arial"/>
          <w:noProof/>
        </w:rPr>
        <w:t xml:space="preserve"> tehničko-građevinskog kamena </w:t>
      </w:r>
      <w:r w:rsidR="00183B94" w:rsidRPr="007956D0">
        <w:rPr>
          <w:rFonts w:ascii="Arial" w:hAnsi="Arial" w:cs="Arial"/>
          <w:noProof/>
        </w:rPr>
        <w:t>“Velja Gorana”</w:t>
      </w:r>
      <w:r w:rsidRPr="007956D0">
        <w:rPr>
          <w:rFonts w:ascii="Arial" w:hAnsi="Arial" w:cs="Arial"/>
          <w:noProof/>
        </w:rPr>
        <w:t xml:space="preserve">, </w:t>
      </w:r>
      <w:r w:rsidR="00A51B18" w:rsidRPr="007956D0">
        <w:rPr>
          <w:rFonts w:ascii="Arial" w:hAnsi="Arial" w:cs="Arial"/>
          <w:noProof/>
        </w:rPr>
        <w:t xml:space="preserve">Opština </w:t>
      </w:r>
      <w:r w:rsidR="00183B94" w:rsidRPr="007956D0">
        <w:rPr>
          <w:rFonts w:ascii="Arial" w:hAnsi="Arial" w:cs="Arial"/>
          <w:noProof/>
        </w:rPr>
        <w:t>Bar</w:t>
      </w:r>
      <w:r w:rsidR="00C64FFA" w:rsidRPr="007956D0">
        <w:rPr>
          <w:rFonts w:ascii="Arial" w:hAnsi="Arial" w:cs="Arial"/>
          <w:noProof/>
        </w:rPr>
        <w:t>.</w:t>
      </w:r>
    </w:p>
    <w:p w:rsidR="00D021C0" w:rsidRPr="007956D0" w:rsidRDefault="00D021C0" w:rsidP="00D021C0">
      <w:pPr>
        <w:spacing w:after="0" w:line="240" w:lineRule="auto"/>
        <w:jc w:val="both"/>
        <w:rPr>
          <w:rFonts w:ascii="Arial" w:hAnsi="Arial" w:cs="Arial"/>
          <w:noProof/>
        </w:rPr>
      </w:pPr>
    </w:p>
    <w:p w:rsidR="00F0778D" w:rsidRPr="007956D0" w:rsidRDefault="00F0778D" w:rsidP="00D021C0">
      <w:pPr>
        <w:spacing w:after="0" w:line="240" w:lineRule="auto"/>
        <w:jc w:val="both"/>
        <w:rPr>
          <w:rFonts w:ascii="Arial" w:hAnsi="Arial" w:cs="Arial"/>
          <w:noProof/>
        </w:rPr>
      </w:pPr>
      <w:r w:rsidRPr="007956D0">
        <w:rPr>
          <w:rFonts w:ascii="Arial" w:hAnsi="Arial" w:cs="Arial"/>
          <w:noProof/>
        </w:rPr>
        <w:t>U skladu sa članom</w:t>
      </w:r>
      <w:r w:rsidR="00682440" w:rsidRPr="007956D0">
        <w:rPr>
          <w:rFonts w:ascii="Arial" w:hAnsi="Arial" w:cs="Arial"/>
          <w:noProof/>
        </w:rPr>
        <w:t xml:space="preserve"> 1</w:t>
      </w:r>
      <w:r w:rsidRPr="007956D0">
        <w:rPr>
          <w:rFonts w:ascii="Arial" w:hAnsi="Arial" w:cs="Arial"/>
          <w:noProof/>
        </w:rPr>
        <w:t>8 stav 3 Zakona o koncesijama, prije upućivanja Koncesionog akta Vladi na usvajanje, Ministarstvo organizuje i sprovodi javnu raspravu u roku od 15 do 30 dana od dana upućivanja javnog poziva za javnu raspravu.</w:t>
      </w:r>
    </w:p>
    <w:p w:rsidR="00D021C0" w:rsidRPr="007956D0" w:rsidRDefault="00D021C0" w:rsidP="00D021C0">
      <w:pPr>
        <w:spacing w:after="0" w:line="240" w:lineRule="auto"/>
        <w:jc w:val="both"/>
        <w:rPr>
          <w:rFonts w:ascii="Arial" w:hAnsi="Arial" w:cs="Arial"/>
          <w:noProof/>
        </w:rPr>
      </w:pPr>
    </w:p>
    <w:p w:rsidR="00F0778D" w:rsidRPr="007956D0" w:rsidRDefault="00F0778D" w:rsidP="00D021C0">
      <w:pPr>
        <w:spacing w:after="0" w:line="240" w:lineRule="auto"/>
        <w:jc w:val="both"/>
        <w:rPr>
          <w:rFonts w:ascii="Arial" w:hAnsi="Arial" w:cs="Arial"/>
          <w:noProof/>
        </w:rPr>
      </w:pPr>
      <w:r w:rsidRPr="007956D0">
        <w:rPr>
          <w:rFonts w:ascii="Arial" w:hAnsi="Arial" w:cs="Arial"/>
          <w:noProof/>
        </w:rPr>
        <w:t>Poslije sprovedene javne rasprave, Ministarstvo dostavlja Vladi, u skladu sa članom 8 stav 6 Zakona o koncesijama, Koncesioni akt sa Izvještajem sa javne rasprave na usvajanje.</w:t>
      </w:r>
    </w:p>
    <w:p w:rsidR="00CE396D" w:rsidRPr="007956D0" w:rsidRDefault="00CE396D" w:rsidP="00D021C0">
      <w:pPr>
        <w:spacing w:after="0" w:line="240" w:lineRule="auto"/>
        <w:jc w:val="both"/>
        <w:rPr>
          <w:rFonts w:ascii="Arial" w:hAnsi="Arial" w:cs="Arial"/>
          <w:noProof/>
        </w:rPr>
      </w:pPr>
    </w:p>
    <w:p w:rsidR="00F0778D" w:rsidRPr="007956D0" w:rsidRDefault="00F0778D" w:rsidP="00D021C0">
      <w:pPr>
        <w:spacing w:after="0" w:line="240" w:lineRule="auto"/>
        <w:jc w:val="both"/>
        <w:rPr>
          <w:rFonts w:ascii="Arial" w:hAnsi="Arial" w:cs="Arial"/>
          <w:noProof/>
        </w:rPr>
      </w:pPr>
      <w:r w:rsidRPr="007956D0">
        <w:rPr>
          <w:rFonts w:ascii="Arial" w:hAnsi="Arial" w:cs="Arial"/>
          <w:noProof/>
        </w:rPr>
        <w:t xml:space="preserve">Nakon usvajanja Koncesionog akta od strane Vlade, Ministarstvo objavljuje Javni oglas za davanje koncesije za detaljna geološka istraživanja i </w:t>
      </w:r>
      <w:r w:rsidR="00670FB8" w:rsidRPr="007956D0">
        <w:rPr>
          <w:rFonts w:ascii="Arial" w:hAnsi="Arial" w:cs="Arial"/>
          <w:noProof/>
        </w:rPr>
        <w:t>e</w:t>
      </w:r>
      <w:r w:rsidRPr="007956D0">
        <w:rPr>
          <w:rFonts w:ascii="Arial" w:hAnsi="Arial" w:cs="Arial"/>
          <w:noProof/>
        </w:rPr>
        <w:t xml:space="preserve">ksploataciju pojave mineralne sirovine tehničko-građevinskog kamena </w:t>
      </w:r>
      <w:r w:rsidR="00183B94" w:rsidRPr="007956D0">
        <w:rPr>
          <w:rFonts w:ascii="Arial" w:hAnsi="Arial" w:cs="Arial"/>
          <w:noProof/>
        </w:rPr>
        <w:t>“Velja Gorana”</w:t>
      </w:r>
      <w:r w:rsidR="00C21350" w:rsidRPr="007956D0">
        <w:rPr>
          <w:rFonts w:ascii="Arial" w:hAnsi="Arial" w:cs="Arial"/>
          <w:noProof/>
        </w:rPr>
        <w:t xml:space="preserve">, </w:t>
      </w:r>
      <w:r w:rsidR="00A51B18" w:rsidRPr="007956D0">
        <w:rPr>
          <w:rFonts w:ascii="Arial" w:hAnsi="Arial" w:cs="Arial"/>
          <w:noProof/>
        </w:rPr>
        <w:t xml:space="preserve">Opština </w:t>
      </w:r>
      <w:r w:rsidR="00183B94" w:rsidRPr="007956D0">
        <w:rPr>
          <w:rFonts w:ascii="Arial" w:hAnsi="Arial" w:cs="Arial"/>
          <w:noProof/>
        </w:rPr>
        <w:t>Bar</w:t>
      </w:r>
      <w:r w:rsidRPr="007956D0">
        <w:rPr>
          <w:rFonts w:ascii="Arial" w:hAnsi="Arial" w:cs="Arial"/>
          <w:noProof/>
        </w:rPr>
        <w:t>.</w:t>
      </w:r>
    </w:p>
    <w:p w:rsidR="00D021C0" w:rsidRPr="007956D0" w:rsidRDefault="00D021C0" w:rsidP="00D021C0">
      <w:pPr>
        <w:spacing w:after="0" w:line="240" w:lineRule="auto"/>
        <w:jc w:val="both"/>
        <w:rPr>
          <w:rFonts w:ascii="Arial" w:hAnsi="Arial" w:cs="Arial"/>
          <w:noProof/>
        </w:rPr>
      </w:pPr>
    </w:p>
    <w:p w:rsidR="00F0778D" w:rsidRPr="007956D0" w:rsidRDefault="00F0778D" w:rsidP="00D021C0">
      <w:pPr>
        <w:spacing w:after="0" w:line="240" w:lineRule="auto"/>
        <w:jc w:val="both"/>
        <w:rPr>
          <w:rFonts w:ascii="Arial" w:hAnsi="Arial" w:cs="Arial"/>
          <w:noProof/>
          <w:lang w:eastAsia="sl-SI"/>
        </w:rPr>
      </w:pPr>
      <w:r w:rsidRPr="007956D0">
        <w:rPr>
          <w:rFonts w:ascii="Arial" w:hAnsi="Arial" w:cs="Arial"/>
          <w:noProof/>
          <w:lang w:eastAsia="sl-SI"/>
        </w:rPr>
        <w:t xml:space="preserve">Koncesija za detaljna geološka istraživanja i </w:t>
      </w:r>
      <w:r w:rsidRPr="007956D0">
        <w:rPr>
          <w:rFonts w:ascii="Arial" w:hAnsi="Arial" w:cs="Arial"/>
          <w:noProof/>
        </w:rPr>
        <w:t xml:space="preserve">eksploataciju </w:t>
      </w:r>
      <w:r w:rsidR="00113B4E" w:rsidRPr="007956D0">
        <w:rPr>
          <w:rFonts w:ascii="Arial" w:hAnsi="Arial" w:cs="Arial"/>
          <w:noProof/>
        </w:rPr>
        <w:t>pojave</w:t>
      </w:r>
      <w:r w:rsidR="008B7111" w:rsidRPr="007956D0">
        <w:rPr>
          <w:rFonts w:ascii="Arial" w:hAnsi="Arial" w:cs="Arial"/>
          <w:noProof/>
        </w:rPr>
        <w:t xml:space="preserve"> mineralne sirovine</w:t>
      </w:r>
      <w:r w:rsidR="00113B4E" w:rsidRPr="007956D0">
        <w:rPr>
          <w:rFonts w:ascii="Arial" w:hAnsi="Arial" w:cs="Arial"/>
          <w:noProof/>
        </w:rPr>
        <w:t xml:space="preserve"> </w:t>
      </w:r>
      <w:r w:rsidRPr="007956D0">
        <w:rPr>
          <w:rFonts w:ascii="Arial" w:hAnsi="Arial" w:cs="Arial"/>
          <w:noProof/>
        </w:rPr>
        <w:t xml:space="preserve">tehničko-građevinskog kamena </w:t>
      </w:r>
      <w:r w:rsidR="00183B94" w:rsidRPr="007956D0">
        <w:rPr>
          <w:rFonts w:ascii="Arial" w:hAnsi="Arial" w:cs="Arial"/>
          <w:noProof/>
        </w:rPr>
        <w:t>“Velja Gorana”</w:t>
      </w:r>
      <w:r w:rsidR="00C21350" w:rsidRPr="007956D0">
        <w:rPr>
          <w:rFonts w:ascii="Arial" w:hAnsi="Arial" w:cs="Arial"/>
          <w:noProof/>
        </w:rPr>
        <w:t xml:space="preserve">, </w:t>
      </w:r>
      <w:r w:rsidR="00A51B18" w:rsidRPr="007956D0">
        <w:rPr>
          <w:rFonts w:ascii="Arial" w:hAnsi="Arial" w:cs="Arial"/>
          <w:noProof/>
        </w:rPr>
        <w:t xml:space="preserve">Opština </w:t>
      </w:r>
      <w:r w:rsidR="00183B94" w:rsidRPr="007956D0">
        <w:rPr>
          <w:rFonts w:ascii="Arial" w:hAnsi="Arial" w:cs="Arial"/>
          <w:noProof/>
        </w:rPr>
        <w:t>Bar</w:t>
      </w:r>
      <w:r w:rsidRPr="007956D0">
        <w:rPr>
          <w:rFonts w:ascii="Arial" w:hAnsi="Arial" w:cs="Arial"/>
          <w:noProof/>
        </w:rPr>
        <w:t>, se daje</w:t>
      </w:r>
      <w:r w:rsidRPr="007956D0">
        <w:rPr>
          <w:rFonts w:ascii="Arial" w:hAnsi="Arial" w:cs="Arial"/>
          <w:noProof/>
          <w:lang w:eastAsia="sl-SI"/>
        </w:rPr>
        <w:t xml:space="preserve"> putem javnog nadmetanja u otvorenom postupku, na način propisan Zakonom o koncesijama.</w:t>
      </w:r>
    </w:p>
    <w:p w:rsidR="00D021C0" w:rsidRPr="007956D0" w:rsidRDefault="00D021C0" w:rsidP="00D021C0">
      <w:pPr>
        <w:spacing w:after="0" w:line="240" w:lineRule="auto"/>
        <w:jc w:val="both"/>
        <w:rPr>
          <w:rFonts w:ascii="Arial" w:hAnsi="Arial" w:cs="Arial"/>
          <w:noProof/>
          <w:lang w:eastAsia="sl-SI"/>
        </w:rPr>
      </w:pPr>
    </w:p>
    <w:p w:rsidR="008B7111" w:rsidRPr="007956D0" w:rsidRDefault="008B7111" w:rsidP="008B7111">
      <w:pPr>
        <w:spacing w:after="0" w:line="240" w:lineRule="auto"/>
        <w:jc w:val="both"/>
        <w:rPr>
          <w:rFonts w:ascii="Arial" w:eastAsia="Arial Unicode MS" w:hAnsi="Arial" w:cs="Arial"/>
          <w:lang w:val="sr-Latn-CS" w:eastAsia="sl-SI"/>
        </w:rPr>
      </w:pPr>
      <w:r w:rsidRPr="007956D0">
        <w:rPr>
          <w:rFonts w:ascii="Arial" w:hAnsi="Arial" w:cs="Arial"/>
          <w:lang w:val="sr-Latn-CS" w:eastAsia="sl-SI"/>
        </w:rPr>
        <w:t>Ponuđač dostavlja ponudu na osnovu Javnog oglasa za davanje koncesije. Rok za dostavljanje ponuda ne može biti kraći od 30 dana od dana objavljivanja Javnog oglasa u ’’Službenom listu Crne Gore’’.</w:t>
      </w:r>
    </w:p>
    <w:p w:rsidR="00D021C0" w:rsidRPr="007956D0" w:rsidRDefault="00D021C0">
      <w:pPr>
        <w:rPr>
          <w:rFonts w:ascii="Arial" w:eastAsia="Arial Unicode MS" w:hAnsi="Arial" w:cs="Arial"/>
          <w:b/>
          <w:bCs/>
          <w:noProof/>
          <w:kern w:val="32"/>
          <w:lang w:val="sv-SE"/>
        </w:rPr>
      </w:pPr>
      <w:r w:rsidRPr="007956D0">
        <w:rPr>
          <w:rFonts w:ascii="Arial" w:hAnsi="Arial" w:cs="Arial"/>
          <w:noProof/>
        </w:rPr>
        <w:br w:type="page"/>
      </w:r>
    </w:p>
    <w:p w:rsidR="002E4676" w:rsidRPr="007956D0" w:rsidRDefault="006A68F3" w:rsidP="005B518B">
      <w:pPr>
        <w:pStyle w:val="Heading1"/>
        <w:numPr>
          <w:ilvl w:val="0"/>
          <w:numId w:val="18"/>
        </w:numPr>
        <w:spacing w:before="120"/>
        <w:ind w:left="360"/>
        <w:rPr>
          <w:noProof/>
        </w:rPr>
      </w:pPr>
      <w:bookmarkStart w:id="2" w:name="_Toc4581256"/>
      <w:r w:rsidRPr="007956D0">
        <w:rPr>
          <w:noProof/>
        </w:rPr>
        <w:lastRenderedPageBreak/>
        <w:t xml:space="preserve">TEHNIČKI IZVJEŠTAJ O POJAVI TEHNIČKO-GRAĐEVINSKOG </w:t>
      </w:r>
      <w:r w:rsidR="00C64FFA" w:rsidRPr="007956D0">
        <w:rPr>
          <w:noProof/>
        </w:rPr>
        <w:t>KAMENA “VELJA GORANA”</w:t>
      </w:r>
      <w:bookmarkEnd w:id="2"/>
    </w:p>
    <w:p w:rsidR="00B6691A" w:rsidRPr="007956D0" w:rsidRDefault="00B6691A" w:rsidP="00B6691A">
      <w:pPr>
        <w:rPr>
          <w:rFonts w:ascii="Arial" w:hAnsi="Arial" w:cs="Arial"/>
          <w:lang w:val="sv-SE"/>
        </w:rPr>
      </w:pPr>
    </w:p>
    <w:p w:rsidR="002E4676" w:rsidRPr="007956D0" w:rsidRDefault="002E4676" w:rsidP="005B518B">
      <w:pPr>
        <w:pStyle w:val="Heading2"/>
        <w:numPr>
          <w:ilvl w:val="1"/>
          <w:numId w:val="18"/>
        </w:numPr>
        <w:spacing w:before="120" w:after="0" w:line="240" w:lineRule="auto"/>
        <w:rPr>
          <w:b/>
          <w:noProof/>
        </w:rPr>
      </w:pPr>
      <w:r w:rsidRPr="007956D0">
        <w:rPr>
          <w:b/>
          <w:noProof/>
        </w:rPr>
        <w:t>Predmet koncesije</w:t>
      </w:r>
    </w:p>
    <w:p w:rsidR="002E4676" w:rsidRPr="007956D0" w:rsidRDefault="002E4676" w:rsidP="00AA39C8">
      <w:pPr>
        <w:spacing w:before="120" w:after="0" w:line="240" w:lineRule="auto"/>
        <w:jc w:val="both"/>
        <w:rPr>
          <w:rFonts w:ascii="Arial" w:hAnsi="Arial" w:cs="Arial"/>
          <w:noProof/>
        </w:rPr>
      </w:pPr>
      <w:r w:rsidRPr="007956D0">
        <w:rPr>
          <w:rFonts w:ascii="Arial" w:hAnsi="Arial" w:cs="Arial"/>
          <w:noProof/>
        </w:rPr>
        <w:t xml:space="preserve">Predmet ovog Koncesionog akta je pojava mineralne sirovine tehničko-građevinskog kamena </w:t>
      </w:r>
      <w:r w:rsidR="00183B94" w:rsidRPr="007956D0">
        <w:rPr>
          <w:rFonts w:ascii="Arial" w:hAnsi="Arial" w:cs="Arial"/>
          <w:noProof/>
        </w:rPr>
        <w:t>“Velja Gorana”</w:t>
      </w:r>
      <w:r w:rsidR="00C21350" w:rsidRPr="007956D0">
        <w:rPr>
          <w:rFonts w:ascii="Arial" w:hAnsi="Arial" w:cs="Arial"/>
          <w:noProof/>
        </w:rPr>
        <w:t>,</w:t>
      </w:r>
      <w:r w:rsidR="00D17158" w:rsidRPr="007956D0">
        <w:rPr>
          <w:rFonts w:ascii="Arial" w:hAnsi="Arial" w:cs="Arial"/>
          <w:noProof/>
        </w:rPr>
        <w:t xml:space="preserve"> </w:t>
      </w:r>
      <w:r w:rsidR="00A51B18" w:rsidRPr="007956D0">
        <w:rPr>
          <w:rFonts w:ascii="Arial" w:hAnsi="Arial" w:cs="Arial"/>
          <w:noProof/>
        </w:rPr>
        <w:t xml:space="preserve">Opština </w:t>
      </w:r>
      <w:r w:rsidR="00183B94" w:rsidRPr="007956D0">
        <w:rPr>
          <w:rFonts w:ascii="Arial" w:hAnsi="Arial" w:cs="Arial"/>
          <w:noProof/>
        </w:rPr>
        <w:t>Bar</w:t>
      </w:r>
      <w:r w:rsidR="0096448F" w:rsidRPr="007956D0">
        <w:rPr>
          <w:rFonts w:ascii="Arial" w:hAnsi="Arial" w:cs="Arial"/>
          <w:noProof/>
        </w:rPr>
        <w:t>.</w:t>
      </w:r>
    </w:p>
    <w:p w:rsidR="002E4676" w:rsidRPr="007956D0" w:rsidRDefault="002E4676" w:rsidP="005B518B">
      <w:pPr>
        <w:pStyle w:val="Heading2"/>
        <w:numPr>
          <w:ilvl w:val="1"/>
          <w:numId w:val="18"/>
        </w:numPr>
        <w:spacing w:before="120" w:after="120" w:line="240" w:lineRule="auto"/>
        <w:rPr>
          <w:b/>
          <w:noProof/>
        </w:rPr>
      </w:pPr>
      <w:r w:rsidRPr="007956D0">
        <w:rPr>
          <w:b/>
          <w:noProof/>
        </w:rPr>
        <w:t xml:space="preserve">Položaj i opis </w:t>
      </w:r>
      <w:r w:rsidR="0059672E" w:rsidRPr="007956D0">
        <w:rPr>
          <w:b/>
          <w:noProof/>
        </w:rPr>
        <w:t xml:space="preserve">pojave tehničko-građevinskog kamena </w:t>
      </w:r>
      <w:r w:rsidR="00183B94" w:rsidRPr="007956D0">
        <w:rPr>
          <w:b/>
          <w:noProof/>
        </w:rPr>
        <w:t>“Velja Gorana”</w:t>
      </w:r>
    </w:p>
    <w:p w:rsidR="00C64FFA" w:rsidRPr="007956D0" w:rsidRDefault="00C64FFA" w:rsidP="00AA39C8">
      <w:pPr>
        <w:spacing w:before="120" w:after="120"/>
        <w:jc w:val="both"/>
        <w:rPr>
          <w:rFonts w:ascii="Arial" w:hAnsi="Arial" w:cs="Arial"/>
        </w:rPr>
      </w:pPr>
      <w:r w:rsidRPr="007956D0">
        <w:rPr>
          <w:rFonts w:ascii="Arial" w:hAnsi="Arial" w:cs="Arial"/>
        </w:rPr>
        <w:t xml:space="preserve">Pojava tehničko-građevinskog kamena „Velja Gorana“ nalazi se na oko 10 km sjeverno od Ulcinja, u klisuri Brdela, na oko 1 km jugoistočno od naselja Velja Gorana, po kojem je predmetni lokalitet nazvan. Istražno-eksploatacioni prostor zahvata jugoistočne granice Opštine Bar, kojoj administrativno i pripada. </w:t>
      </w:r>
    </w:p>
    <w:p w:rsidR="00C64FFA" w:rsidRPr="007956D0" w:rsidRDefault="00C64FFA" w:rsidP="00C64FFA">
      <w:pPr>
        <w:spacing w:before="120" w:after="0"/>
        <w:jc w:val="both"/>
        <w:rPr>
          <w:rFonts w:ascii="Arial" w:hAnsi="Arial" w:cs="Arial"/>
        </w:rPr>
      </w:pPr>
      <w:r w:rsidRPr="007956D0">
        <w:rPr>
          <w:rFonts w:ascii="Arial" w:hAnsi="Arial" w:cs="Arial"/>
        </w:rPr>
        <w:t xml:space="preserve">Do </w:t>
      </w:r>
      <w:r w:rsidR="00515573" w:rsidRPr="007956D0">
        <w:rPr>
          <w:rFonts w:ascii="Arial" w:hAnsi="Arial" w:cs="Arial"/>
        </w:rPr>
        <w:t>lokaliteta</w:t>
      </w:r>
      <w:r w:rsidRPr="007956D0">
        <w:rPr>
          <w:rFonts w:ascii="Arial" w:hAnsi="Arial" w:cs="Arial"/>
        </w:rPr>
        <w:t xml:space="preserve"> “Velja Gorana” postoj</w:t>
      </w:r>
      <w:r w:rsidR="00515573" w:rsidRPr="007956D0">
        <w:rPr>
          <w:rFonts w:ascii="Arial" w:hAnsi="Arial" w:cs="Arial"/>
        </w:rPr>
        <w:t>i</w:t>
      </w:r>
      <w:r w:rsidRPr="007956D0">
        <w:rPr>
          <w:rFonts w:ascii="Arial" w:hAnsi="Arial" w:cs="Arial"/>
        </w:rPr>
        <w:t xml:space="preserve"> pristupni kolski put sa sjeverne strane od Pečurica i sa južne strane od Kruča, a iz Bara pristup je omogućen starim putem Bar - Ulcinj. Do predmetnog lokaliteta, iz pravca Ulcinja, vodi asfaltni put koji povezuje Ulcinj sa zaleđem (Krute, Vladimir, Ostros).</w:t>
      </w:r>
    </w:p>
    <w:p w:rsidR="00C64FFA" w:rsidRPr="007956D0" w:rsidRDefault="00C64FFA" w:rsidP="00C64FFA">
      <w:pPr>
        <w:pStyle w:val="ListParagraph"/>
        <w:spacing w:before="120" w:after="0"/>
        <w:ind w:left="0"/>
        <w:contextualSpacing w:val="0"/>
        <w:jc w:val="both"/>
        <w:rPr>
          <w:rFonts w:ascii="Arial" w:hAnsi="Arial" w:cs="Arial"/>
        </w:rPr>
      </w:pPr>
      <w:r w:rsidRPr="007956D0">
        <w:rPr>
          <w:rFonts w:ascii="Arial" w:hAnsi="Arial" w:cs="Arial"/>
        </w:rPr>
        <w:t>Pojava tehničko-građevinskog kamena „Velja Gorana“ nalazi se na nadmorskoj visini od 90 do 220 m.n.m. Istražno-eksploatacioni prostor tehničko-građevinskog kamena „Velja Gorana“ pripada topografskoj sekciji “Ulcinj”, 1:25 000.</w:t>
      </w:r>
    </w:p>
    <w:p w:rsidR="00CF797A" w:rsidRPr="007956D0" w:rsidRDefault="00CF797A" w:rsidP="00B06A65">
      <w:pPr>
        <w:spacing w:before="120" w:after="0" w:line="240" w:lineRule="auto"/>
        <w:jc w:val="both"/>
        <w:rPr>
          <w:rFonts w:ascii="Arial" w:hAnsi="Arial" w:cs="Arial"/>
          <w:noProof/>
          <w:lang w:val="pl-PL"/>
        </w:rPr>
      </w:pPr>
    </w:p>
    <w:p w:rsidR="00CF797A" w:rsidRPr="007956D0" w:rsidRDefault="00CF797A" w:rsidP="00CF797A">
      <w:pPr>
        <w:spacing w:after="0" w:line="240" w:lineRule="auto"/>
        <w:jc w:val="both"/>
        <w:rPr>
          <w:rFonts w:ascii="Arial" w:hAnsi="Arial" w:cs="Arial"/>
          <w:lang w:val="sr-Latn-CS"/>
        </w:rPr>
      </w:pPr>
      <w:r w:rsidRPr="007956D0">
        <w:rPr>
          <w:rFonts w:ascii="Arial" w:hAnsi="Arial" w:cs="Arial"/>
          <w:lang w:val="pl-PL"/>
        </w:rPr>
        <w:t xml:space="preserve">Na osnovu zahtjeva JU Zavod za geološka istraživanja – Podgorica, u skladu sa Uredbom o povjeravanju dijela poslova iz nadležnosti Ministarstva ekonomije JU Zavod za geološka istraživanja („Sl.list CG“ br. 16/18 i 83/18), a za potrebe izrade koncesionog akta za </w:t>
      </w:r>
      <w:r w:rsidRPr="007956D0">
        <w:rPr>
          <w:rFonts w:ascii="Arial" w:hAnsi="Arial" w:cs="Arial"/>
        </w:rPr>
        <w:t>pojavu tehničko-građevinskog kamena „Velja Gorana“</w:t>
      </w:r>
      <w:r w:rsidRPr="007956D0">
        <w:rPr>
          <w:rFonts w:ascii="Arial" w:hAnsi="Arial" w:cs="Arial"/>
          <w:lang w:val="pl-PL"/>
        </w:rPr>
        <w:t>, Op</w:t>
      </w:r>
      <w:r w:rsidRPr="007956D0">
        <w:rPr>
          <w:rFonts w:ascii="Arial" w:hAnsi="Arial" w:cs="Arial"/>
        </w:rPr>
        <w:t>ština Bar,</w:t>
      </w:r>
      <w:r w:rsidRPr="007956D0">
        <w:rPr>
          <w:rFonts w:ascii="Arial" w:hAnsi="Arial" w:cs="Arial"/>
          <w:lang w:val="pl-PL"/>
        </w:rPr>
        <w:t xml:space="preserve"> preduzeće za izvođenje geodetskih radova Etalon Geo Office doo Podgorica, koje je registrovano i licencirano za tu vrstu posla, je uradilo </w:t>
      </w:r>
      <w:r w:rsidR="00382347" w:rsidRPr="007956D0">
        <w:rPr>
          <w:rFonts w:ascii="Arial" w:hAnsi="Arial" w:cs="Arial"/>
          <w:lang w:val="pl-PL"/>
        </w:rPr>
        <w:tab/>
        <w:t>Tehnički izvještaj sa koordinatama graničnih tačaka istražno- eksploatacionog prostora „Velja Gorana”.</w:t>
      </w:r>
    </w:p>
    <w:p w:rsidR="00CF797A" w:rsidRPr="007956D0" w:rsidRDefault="00CF797A" w:rsidP="00CF797A">
      <w:pPr>
        <w:pStyle w:val="BodyText"/>
        <w:spacing w:after="0" w:line="240" w:lineRule="auto"/>
        <w:jc w:val="both"/>
        <w:rPr>
          <w:rFonts w:ascii="Arial" w:hAnsi="Arial" w:cs="Arial"/>
          <w:lang w:val="pl-PL"/>
        </w:rPr>
      </w:pPr>
    </w:p>
    <w:p w:rsidR="00CF797A" w:rsidRPr="007956D0" w:rsidRDefault="00841F9F" w:rsidP="00CF797A">
      <w:pPr>
        <w:spacing w:after="0" w:line="240" w:lineRule="auto"/>
        <w:jc w:val="both"/>
        <w:rPr>
          <w:rFonts w:ascii="Arial" w:hAnsi="Arial" w:cs="Arial"/>
          <w:lang w:val="pl-PL"/>
        </w:rPr>
      </w:pPr>
      <w:r>
        <w:rPr>
          <w:rFonts w:ascii="Arial" w:hAnsi="Arial" w:cs="Arial"/>
          <w:lang w:val="pl-PL"/>
        </w:rPr>
        <w:t>Na planu KO</w:t>
      </w:r>
      <w:r w:rsidR="00CF797A" w:rsidRPr="007956D0">
        <w:rPr>
          <w:rFonts w:ascii="Arial" w:hAnsi="Arial" w:cs="Arial"/>
          <w:lang w:val="pl-PL"/>
        </w:rPr>
        <w:t xml:space="preserve"> Velja Gorana razmjere 1:2000, na zemljištu na kojem se nalazi pojava tehničko-građevinskog kamena „Velja Gorana“, definisan je </w:t>
      </w:r>
      <w:r w:rsidR="00F55F6A">
        <w:rPr>
          <w:rFonts w:ascii="Arial" w:hAnsi="Arial" w:cs="Arial"/>
          <w:lang w:val="pl-PL"/>
        </w:rPr>
        <w:t xml:space="preserve">istražno- eksploatacioni </w:t>
      </w:r>
      <w:r w:rsidR="00CF797A" w:rsidRPr="007956D0">
        <w:rPr>
          <w:rFonts w:ascii="Arial" w:hAnsi="Arial" w:cs="Arial"/>
          <w:lang w:val="pl-PL"/>
        </w:rPr>
        <w:t>prostor sa 51 graničnom tačkom sa utvrđenim koordinatama državnog koordinatnog sistema (DKS) i površinom koju zahvata područje (108 197,62 m²)</w:t>
      </w:r>
      <w:r w:rsidR="00112305">
        <w:rPr>
          <w:rFonts w:ascii="Arial" w:hAnsi="Arial" w:cs="Arial"/>
          <w:lang w:val="pl-PL"/>
        </w:rPr>
        <w:t>.</w:t>
      </w:r>
    </w:p>
    <w:p w:rsidR="00CF797A" w:rsidRPr="007956D0" w:rsidRDefault="00CF797A" w:rsidP="00CF797A">
      <w:pPr>
        <w:spacing w:after="0" w:line="240" w:lineRule="auto"/>
        <w:jc w:val="both"/>
        <w:rPr>
          <w:rFonts w:ascii="Arial" w:hAnsi="Arial" w:cs="Arial"/>
          <w:lang w:val="pl-PL"/>
        </w:rPr>
      </w:pPr>
    </w:p>
    <w:p w:rsidR="00CF797A" w:rsidRPr="007956D0" w:rsidRDefault="00CF797A" w:rsidP="00CF797A">
      <w:pPr>
        <w:spacing w:after="0" w:line="240" w:lineRule="auto"/>
        <w:jc w:val="both"/>
        <w:rPr>
          <w:rFonts w:ascii="Arial" w:hAnsi="Arial" w:cs="Arial"/>
          <w:lang w:val="pl-PL"/>
        </w:rPr>
      </w:pPr>
      <w:r w:rsidRPr="007956D0">
        <w:rPr>
          <w:rFonts w:ascii="Arial" w:hAnsi="Arial" w:cs="Arial"/>
          <w:lang w:val="pl-PL"/>
        </w:rPr>
        <w:t>Na priloženim skicama prikazano je:</w:t>
      </w:r>
    </w:p>
    <w:p w:rsidR="00CF797A" w:rsidRPr="007956D0" w:rsidRDefault="00CF797A" w:rsidP="00CF797A">
      <w:pPr>
        <w:spacing w:after="0" w:line="240" w:lineRule="auto"/>
        <w:jc w:val="both"/>
        <w:rPr>
          <w:rFonts w:ascii="Arial" w:hAnsi="Arial" w:cs="Arial"/>
          <w:lang w:val="pl-PL"/>
        </w:rPr>
      </w:pPr>
    </w:p>
    <w:p w:rsidR="00CF797A" w:rsidRPr="007956D0" w:rsidRDefault="00CF797A" w:rsidP="00CF797A">
      <w:pPr>
        <w:spacing w:after="0" w:line="240" w:lineRule="auto"/>
        <w:jc w:val="both"/>
        <w:rPr>
          <w:rFonts w:ascii="Arial" w:hAnsi="Arial" w:cs="Arial"/>
          <w:lang w:val="pl-PL"/>
        </w:rPr>
      </w:pPr>
      <w:r w:rsidRPr="007956D0">
        <w:rPr>
          <w:rFonts w:ascii="Arial" w:hAnsi="Arial" w:cs="Arial"/>
          <w:lang w:val="pl-PL"/>
        </w:rPr>
        <w:t>1) Područje koncesije sa naznačen</w:t>
      </w:r>
      <w:r w:rsidR="00433005" w:rsidRPr="007956D0">
        <w:rPr>
          <w:rFonts w:ascii="Arial" w:hAnsi="Arial" w:cs="Arial"/>
          <w:lang w:val="pl-PL"/>
        </w:rPr>
        <w:t>im vlasnicima u trenutku izrade,</w:t>
      </w:r>
    </w:p>
    <w:p w:rsidR="00CF797A" w:rsidRPr="007956D0" w:rsidRDefault="00CF797A" w:rsidP="00CF797A">
      <w:pPr>
        <w:spacing w:after="0" w:line="240" w:lineRule="auto"/>
        <w:jc w:val="both"/>
        <w:rPr>
          <w:rFonts w:ascii="Arial" w:hAnsi="Arial" w:cs="Arial"/>
          <w:lang w:val="pl-PL"/>
        </w:rPr>
      </w:pPr>
      <w:r w:rsidRPr="007956D0">
        <w:rPr>
          <w:rFonts w:ascii="Arial" w:hAnsi="Arial" w:cs="Arial"/>
          <w:lang w:val="pl-PL"/>
        </w:rPr>
        <w:t>2) Područje koncesije na topografskoj karti 1:25000.</w:t>
      </w:r>
    </w:p>
    <w:p w:rsidR="00CF797A" w:rsidRPr="007956D0" w:rsidRDefault="00CF797A" w:rsidP="00CF797A">
      <w:pPr>
        <w:spacing w:after="0" w:line="240" w:lineRule="auto"/>
        <w:jc w:val="both"/>
        <w:rPr>
          <w:rFonts w:ascii="Arial" w:hAnsi="Arial" w:cs="Arial"/>
          <w:lang w:val="pl-PL"/>
        </w:rPr>
      </w:pPr>
      <w:r w:rsidRPr="007956D0">
        <w:rPr>
          <w:rFonts w:ascii="Arial" w:hAnsi="Arial" w:cs="Arial"/>
          <w:lang w:val="pl-PL"/>
        </w:rPr>
        <w:t>3) Područje koncesije na katstrskom planu KO Velja Gorana  sa</w:t>
      </w:r>
      <w:r w:rsidR="0080405F" w:rsidRPr="007956D0">
        <w:rPr>
          <w:rFonts w:ascii="Arial" w:hAnsi="Arial" w:cs="Arial"/>
          <w:lang w:val="pl-PL"/>
        </w:rPr>
        <w:t xml:space="preserve"> koordinatama graničnih tačaka.</w:t>
      </w:r>
    </w:p>
    <w:p w:rsidR="0080405F" w:rsidRPr="007956D0" w:rsidRDefault="0080405F" w:rsidP="00CF797A">
      <w:pPr>
        <w:spacing w:after="0" w:line="240" w:lineRule="auto"/>
        <w:jc w:val="both"/>
        <w:rPr>
          <w:rFonts w:ascii="Arial" w:hAnsi="Arial" w:cs="Arial"/>
          <w:lang w:val="pl-PL"/>
        </w:rPr>
      </w:pPr>
    </w:p>
    <w:p w:rsidR="00B11B8D" w:rsidRPr="007956D0" w:rsidRDefault="00B11B8D" w:rsidP="00B11B8D">
      <w:pPr>
        <w:pStyle w:val="BodyText"/>
        <w:spacing w:after="0" w:line="240" w:lineRule="auto"/>
        <w:jc w:val="both"/>
        <w:rPr>
          <w:rFonts w:ascii="Arial" w:eastAsia="Arial Unicode MS" w:hAnsi="Arial" w:cs="Arial"/>
          <w:lang w:val="hr-HR"/>
        </w:rPr>
      </w:pPr>
      <w:r w:rsidRPr="007956D0">
        <w:rPr>
          <w:rFonts w:ascii="Arial" w:hAnsi="Arial" w:cs="Arial"/>
          <w:lang w:val="hr-HR"/>
        </w:rPr>
        <w:t>Područje se nalazi na području katastarske opštine Velja Gorana i obuhvata:</w:t>
      </w:r>
    </w:p>
    <w:p w:rsidR="00F64494" w:rsidRPr="007956D0" w:rsidRDefault="00501E91" w:rsidP="00F64494">
      <w:pPr>
        <w:pStyle w:val="BodyText"/>
        <w:numPr>
          <w:ilvl w:val="0"/>
          <w:numId w:val="26"/>
        </w:numPr>
        <w:spacing w:after="0" w:line="240" w:lineRule="auto"/>
        <w:jc w:val="both"/>
        <w:rPr>
          <w:rFonts w:ascii="Arial" w:hAnsi="Arial" w:cs="Arial"/>
          <w:lang w:val="pl-PL"/>
        </w:rPr>
      </w:pPr>
      <w:r>
        <w:rPr>
          <w:rFonts w:ascii="Arial" w:hAnsi="Arial" w:cs="Arial"/>
          <w:lang w:val="hr-HR"/>
        </w:rPr>
        <w:t xml:space="preserve">Dio </w:t>
      </w:r>
      <w:r w:rsidR="00B11B8D" w:rsidRPr="007956D0">
        <w:rPr>
          <w:rFonts w:ascii="Arial" w:hAnsi="Arial" w:cs="Arial"/>
          <w:lang w:val="hr-HR"/>
        </w:rPr>
        <w:t xml:space="preserve">KP </w:t>
      </w:r>
      <w:r w:rsidR="00B11B8D" w:rsidRPr="007956D0">
        <w:rPr>
          <w:rFonts w:ascii="Arial" w:hAnsi="Arial" w:cs="Arial"/>
        </w:rPr>
        <w:t xml:space="preserve">235/2 </w:t>
      </w:r>
      <w:r w:rsidR="00B11B8D" w:rsidRPr="007956D0">
        <w:rPr>
          <w:rFonts w:ascii="Arial" w:hAnsi="Arial" w:cs="Arial"/>
          <w:lang w:val="hr-HR"/>
        </w:rPr>
        <w:t>upisan</w:t>
      </w:r>
      <w:r>
        <w:rPr>
          <w:rFonts w:ascii="Arial" w:hAnsi="Arial" w:cs="Arial"/>
          <w:lang w:val="hr-HR"/>
        </w:rPr>
        <w:t>e</w:t>
      </w:r>
      <w:r w:rsidR="00B11B8D" w:rsidRPr="007956D0">
        <w:rPr>
          <w:rFonts w:ascii="Arial" w:hAnsi="Arial" w:cs="Arial"/>
          <w:lang w:val="hr-HR"/>
        </w:rPr>
        <w:t xml:space="preserve"> u List nepokretnosti </w:t>
      </w:r>
      <w:r w:rsidR="00B11B8D" w:rsidRPr="007956D0">
        <w:rPr>
          <w:rFonts w:ascii="Arial" w:hAnsi="Arial" w:cs="Arial"/>
        </w:rPr>
        <w:t>197</w:t>
      </w:r>
      <w:r w:rsidR="00F64494" w:rsidRPr="007956D0">
        <w:rPr>
          <w:rFonts w:ascii="Arial" w:hAnsi="Arial" w:cs="Arial"/>
          <w:lang w:val="hr-HR"/>
        </w:rPr>
        <w:t xml:space="preserve"> KO Velja Gorana</w:t>
      </w:r>
      <w:r w:rsidR="00505748" w:rsidRPr="007956D0">
        <w:rPr>
          <w:rFonts w:ascii="Arial" w:hAnsi="Arial" w:cs="Arial"/>
          <w:lang w:val="hr-HR"/>
        </w:rPr>
        <w:t xml:space="preserve"> </w:t>
      </w:r>
    </w:p>
    <w:p w:rsidR="00F64494" w:rsidRPr="007956D0" w:rsidRDefault="00F64494" w:rsidP="00F64494">
      <w:pPr>
        <w:pStyle w:val="BodyText"/>
        <w:spacing w:after="0" w:line="240" w:lineRule="auto"/>
        <w:jc w:val="both"/>
        <w:rPr>
          <w:rFonts w:ascii="Arial" w:hAnsi="Arial" w:cs="Arial"/>
          <w:lang w:val="hr-HR"/>
        </w:rPr>
      </w:pPr>
    </w:p>
    <w:p w:rsidR="00CF797A" w:rsidRPr="007956D0" w:rsidRDefault="00CF797A" w:rsidP="00F64494">
      <w:pPr>
        <w:pStyle w:val="BodyText"/>
        <w:spacing w:after="0" w:line="240" w:lineRule="auto"/>
        <w:jc w:val="both"/>
        <w:rPr>
          <w:rFonts w:ascii="Arial" w:hAnsi="Arial" w:cs="Arial"/>
          <w:lang w:val="pl-PL"/>
        </w:rPr>
      </w:pPr>
      <w:r w:rsidRPr="007956D0">
        <w:rPr>
          <w:rFonts w:ascii="Arial" w:hAnsi="Arial" w:cs="Arial"/>
          <w:lang w:val="pl-PL"/>
        </w:rPr>
        <w:t xml:space="preserve">Koordinate graničnih tačaka i površina lokaliteta tehničko-građevinskog kamena „Velja Gorana“, dati su u </w:t>
      </w:r>
      <w:r w:rsidR="00433005" w:rsidRPr="007956D0">
        <w:rPr>
          <w:rFonts w:ascii="Arial" w:hAnsi="Arial" w:cs="Arial"/>
          <w:lang w:val="pl-PL"/>
        </w:rPr>
        <w:t>Tehni</w:t>
      </w:r>
      <w:r w:rsidR="00433005" w:rsidRPr="007956D0">
        <w:rPr>
          <w:rFonts w:ascii="Arial" w:hAnsi="Arial" w:cs="Arial"/>
          <w:lang w:val="sr-Latn-ME"/>
        </w:rPr>
        <w:t>čkom izvještaju</w:t>
      </w:r>
      <w:r w:rsidRPr="007956D0">
        <w:rPr>
          <w:rFonts w:ascii="Arial" w:hAnsi="Arial" w:cs="Arial"/>
          <w:lang w:val="pl-PL"/>
        </w:rPr>
        <w:t>, koji je sastavni dio predmetnog Koncesionog akta.</w:t>
      </w:r>
    </w:p>
    <w:p w:rsidR="00B6691A" w:rsidRPr="007956D0" w:rsidRDefault="00B6691A">
      <w:pPr>
        <w:rPr>
          <w:rFonts w:ascii="Arial" w:hAnsi="Arial" w:cs="Arial"/>
          <w:noProof/>
          <w:lang w:val="pl-PL"/>
        </w:rPr>
      </w:pPr>
      <w:r w:rsidRPr="007956D0">
        <w:rPr>
          <w:rFonts w:ascii="Arial" w:hAnsi="Arial" w:cs="Arial"/>
          <w:noProof/>
          <w:lang w:val="pl-PL"/>
        </w:rPr>
        <w:br w:type="page"/>
      </w:r>
    </w:p>
    <w:p w:rsidR="00B06A65" w:rsidRPr="007956D0" w:rsidRDefault="00B06A65" w:rsidP="00C64FFA">
      <w:pPr>
        <w:spacing w:after="0"/>
        <w:jc w:val="both"/>
        <w:rPr>
          <w:rFonts w:ascii="Arial" w:hAnsi="Arial" w:cs="Arial"/>
        </w:rPr>
      </w:pPr>
    </w:p>
    <w:p w:rsidR="007A6033" w:rsidRPr="007956D0" w:rsidRDefault="002E4676" w:rsidP="005B518B">
      <w:pPr>
        <w:pStyle w:val="Heading2"/>
        <w:numPr>
          <w:ilvl w:val="1"/>
          <w:numId w:val="18"/>
        </w:numPr>
        <w:spacing w:before="120" w:after="0" w:line="240" w:lineRule="auto"/>
        <w:rPr>
          <w:b/>
          <w:noProof/>
        </w:rPr>
      </w:pPr>
      <w:r w:rsidRPr="007956D0">
        <w:rPr>
          <w:b/>
          <w:noProof/>
        </w:rPr>
        <w:t xml:space="preserve">Podaci o imovinsko-pravnim odnosima </w:t>
      </w:r>
    </w:p>
    <w:p w:rsidR="0030675D" w:rsidRPr="007956D0" w:rsidRDefault="0030675D" w:rsidP="00AA39C8">
      <w:pPr>
        <w:spacing w:before="120" w:after="0"/>
        <w:jc w:val="both"/>
        <w:rPr>
          <w:rFonts w:ascii="Arial" w:hAnsi="Arial" w:cs="Arial"/>
        </w:rPr>
      </w:pPr>
      <w:r w:rsidRPr="007956D0">
        <w:rPr>
          <w:rFonts w:ascii="Arial" w:hAnsi="Arial" w:cs="Arial"/>
        </w:rPr>
        <w:t xml:space="preserve">Na osnovu akta Uprave za nekretnine, Područna jedinica Bar, br. 460-dj-2176/18 od 14.11.2018. godine, zemljište na kojem se nalazi istražno-eksploatacioni prostor „Velja Gorana” pripada KO Velja Gorana, LN 197 katastarska parcela br. 235/2 i u državnom je vlasništvu, osnov prava korišćenje, obim prava 1/1 Opština Bar. </w:t>
      </w:r>
    </w:p>
    <w:p w:rsidR="00D021C0" w:rsidRPr="007956D0" w:rsidRDefault="00D021C0" w:rsidP="00A700A0">
      <w:pPr>
        <w:spacing w:after="0" w:line="240" w:lineRule="auto"/>
        <w:rPr>
          <w:rFonts w:ascii="Arial" w:hAnsi="Arial" w:cs="Arial"/>
        </w:rPr>
      </w:pPr>
    </w:p>
    <w:p w:rsidR="00B06A65" w:rsidRPr="007956D0" w:rsidRDefault="00B06A65" w:rsidP="00B06A65">
      <w:pPr>
        <w:shd w:val="clear" w:color="auto" w:fill="FFFFFF"/>
        <w:spacing w:after="0" w:line="240" w:lineRule="auto"/>
        <w:jc w:val="both"/>
        <w:rPr>
          <w:rFonts w:ascii="Arial" w:eastAsia="Times New Roman" w:hAnsi="Arial" w:cs="Arial"/>
        </w:rPr>
      </w:pPr>
      <w:r w:rsidRPr="007956D0">
        <w:rPr>
          <w:rFonts w:ascii="Arial" w:eastAsia="Times New Roman" w:hAnsi="Arial" w:cs="Arial"/>
        </w:rPr>
        <w:t xml:space="preserve">Površina zahvata istražno-eksploatacionog prostora prikazana je u okviru </w:t>
      </w:r>
      <w:r w:rsidR="00B11B8D" w:rsidRPr="007956D0">
        <w:rPr>
          <w:rFonts w:ascii="Arial" w:eastAsia="Times New Roman" w:hAnsi="Arial" w:cs="Arial"/>
        </w:rPr>
        <w:t>Tehničkog izvještaja</w:t>
      </w:r>
      <w:r w:rsidRPr="007956D0">
        <w:rPr>
          <w:rFonts w:ascii="Arial" w:eastAsia="Times New Roman" w:hAnsi="Arial" w:cs="Arial"/>
        </w:rPr>
        <w:t xml:space="preserve"> koji sadrži podatke sa naznačenim vlasnicima u trenutku izrade kao i koordinate graničnih tačaka uslovne parcelacije i preparcelacije. </w:t>
      </w:r>
    </w:p>
    <w:p w:rsidR="00B06A65" w:rsidRPr="007956D0" w:rsidRDefault="00B06A65" w:rsidP="00B06A65">
      <w:pPr>
        <w:shd w:val="clear" w:color="auto" w:fill="FFFFFF"/>
        <w:spacing w:after="0" w:line="240" w:lineRule="auto"/>
        <w:jc w:val="both"/>
        <w:rPr>
          <w:rFonts w:ascii="Arial" w:eastAsia="Times New Roman" w:hAnsi="Arial" w:cs="Arial"/>
        </w:rPr>
      </w:pPr>
    </w:p>
    <w:p w:rsidR="00B06A65" w:rsidRPr="007956D0" w:rsidRDefault="00B06A65" w:rsidP="00B06A65">
      <w:pPr>
        <w:shd w:val="clear" w:color="auto" w:fill="FFFFFF"/>
        <w:spacing w:after="0" w:line="240" w:lineRule="auto"/>
        <w:jc w:val="both"/>
        <w:rPr>
          <w:rFonts w:ascii="Arial" w:eastAsia="Times New Roman" w:hAnsi="Arial" w:cs="Arial"/>
        </w:rPr>
      </w:pPr>
      <w:r w:rsidRPr="007956D0">
        <w:rPr>
          <w:rFonts w:ascii="Arial" w:eastAsia="Times New Roman" w:hAnsi="Arial" w:cs="Arial"/>
        </w:rPr>
        <w:t xml:space="preserve">Shodno članu 44 Zakona o koncesijama, ako se u vezi sa korišćenjem koncesije mora izvršiti eksproprijacija nepokretnosti, odnosno uređenje građevinskog zemljišta, troškovi, način i rokovi plaćanja naknade za eksproprijaciju nepokretnosti, odnosno uređenja građevinskog zemljišta, utvrđuju se i sprovodi u skladu sa zakonom. </w:t>
      </w:r>
    </w:p>
    <w:p w:rsidR="00B06A65" w:rsidRPr="007956D0" w:rsidRDefault="00B06A65" w:rsidP="00B06A65">
      <w:pPr>
        <w:shd w:val="clear" w:color="auto" w:fill="FFFFFF"/>
        <w:spacing w:after="0" w:line="240" w:lineRule="auto"/>
        <w:jc w:val="both"/>
        <w:rPr>
          <w:rFonts w:ascii="Arial" w:eastAsia="Times New Roman" w:hAnsi="Arial" w:cs="Arial"/>
          <w:lang w:val="pl-PL"/>
        </w:rPr>
      </w:pPr>
    </w:p>
    <w:p w:rsidR="00B06A65" w:rsidRPr="007956D0" w:rsidRDefault="00B06A65" w:rsidP="00B06A65">
      <w:pPr>
        <w:shd w:val="clear" w:color="auto" w:fill="FFFFFF"/>
        <w:spacing w:after="0" w:line="240" w:lineRule="auto"/>
        <w:jc w:val="both"/>
        <w:rPr>
          <w:rFonts w:ascii="Arial" w:eastAsia="Times New Roman" w:hAnsi="Arial" w:cs="Arial"/>
        </w:rPr>
      </w:pPr>
      <w:r w:rsidRPr="007956D0">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rsidR="00B06A65" w:rsidRPr="007956D0" w:rsidRDefault="00B06A65" w:rsidP="00B06A65">
      <w:pPr>
        <w:shd w:val="clear" w:color="auto" w:fill="FFFFFF"/>
        <w:spacing w:after="0" w:line="240" w:lineRule="auto"/>
        <w:jc w:val="both"/>
        <w:rPr>
          <w:rFonts w:ascii="Arial" w:eastAsia="Times New Roman" w:hAnsi="Arial" w:cs="Arial"/>
        </w:rPr>
      </w:pPr>
    </w:p>
    <w:p w:rsidR="00B06A65" w:rsidRPr="007956D0" w:rsidRDefault="00B06A65" w:rsidP="00B06A65">
      <w:pPr>
        <w:shd w:val="clear" w:color="auto" w:fill="FFFFFF"/>
        <w:spacing w:after="0" w:line="240" w:lineRule="auto"/>
        <w:jc w:val="both"/>
        <w:rPr>
          <w:rFonts w:ascii="Arial" w:eastAsia="Times New Roman" w:hAnsi="Arial" w:cs="Arial"/>
        </w:rPr>
      </w:pPr>
      <w:r w:rsidRPr="007956D0">
        <w:rPr>
          <w:rFonts w:ascii="Arial" w:eastAsia="Times New Roman" w:hAnsi="Arial" w:cs="Arial"/>
        </w:rPr>
        <w:t>Zakonom o eksproprijaciji ("Sl.list RCG", br. 055/00, 012/02, 028/06,“Sl.list CG", br. 021/08,030/17, 075/18) članom 4a definisano je da se nepokretnosti iz člana 2 ovog zakona mogu eksproprisati, između ostalog, radi istraživanja i eksploatacije rudnog i drugog prirodnog bogatstva.</w:t>
      </w:r>
    </w:p>
    <w:p w:rsidR="00B06A65" w:rsidRPr="007956D0" w:rsidRDefault="00B06A65" w:rsidP="00B06A65">
      <w:pPr>
        <w:shd w:val="clear" w:color="auto" w:fill="FFFFFF"/>
        <w:spacing w:after="0" w:line="240" w:lineRule="auto"/>
        <w:jc w:val="both"/>
        <w:rPr>
          <w:rFonts w:ascii="Arial" w:eastAsia="Times New Roman" w:hAnsi="Arial" w:cs="Arial"/>
        </w:rPr>
      </w:pPr>
    </w:p>
    <w:p w:rsidR="00B06A65" w:rsidRPr="007956D0" w:rsidRDefault="00B06A65" w:rsidP="00B06A65">
      <w:pPr>
        <w:shd w:val="clear" w:color="auto" w:fill="FFFFFF"/>
        <w:spacing w:after="0" w:line="240" w:lineRule="auto"/>
        <w:jc w:val="both"/>
        <w:rPr>
          <w:rFonts w:ascii="Arial" w:eastAsia="Times New Roman" w:hAnsi="Arial" w:cs="Arial"/>
        </w:rPr>
      </w:pPr>
      <w:r w:rsidRPr="007956D0">
        <w:rPr>
          <w:rFonts w:ascii="Arial" w:eastAsia="Times New Roman" w:hAnsi="Arial" w:cs="Arial"/>
        </w:rPr>
        <w:t>S tim u vezi Vlada utvrđuje javni interes za eksproprijaciju katastarskih parcela u obuhvatu istražno-eksploatacionog prostora u skladu sa dinamikom eksploatacije u toku trajanja koncesionog ugovora.</w:t>
      </w:r>
    </w:p>
    <w:p w:rsidR="00B06A65" w:rsidRPr="007956D0" w:rsidRDefault="00B06A65" w:rsidP="00B06A65">
      <w:pPr>
        <w:shd w:val="clear" w:color="auto" w:fill="FFFFFF"/>
        <w:spacing w:after="0" w:line="240" w:lineRule="auto"/>
        <w:jc w:val="both"/>
        <w:rPr>
          <w:rFonts w:ascii="Arial" w:eastAsia="Times New Roman" w:hAnsi="Arial" w:cs="Arial"/>
          <w:lang w:val="pl-PL"/>
        </w:rPr>
      </w:pPr>
    </w:p>
    <w:p w:rsidR="00B06A65" w:rsidRPr="007956D0" w:rsidRDefault="00B06A65" w:rsidP="00B06A65">
      <w:pPr>
        <w:shd w:val="clear" w:color="auto" w:fill="FFFFFF"/>
        <w:spacing w:after="0" w:line="240" w:lineRule="auto"/>
        <w:jc w:val="both"/>
        <w:rPr>
          <w:rFonts w:ascii="Arial" w:eastAsia="Times New Roman" w:hAnsi="Arial" w:cs="Arial"/>
          <w:lang w:val="pl-PL"/>
        </w:rPr>
      </w:pPr>
      <w:r w:rsidRPr="007956D0">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p>
    <w:p w:rsidR="002E4676" w:rsidRPr="007956D0" w:rsidRDefault="002E4676" w:rsidP="005B518B">
      <w:pPr>
        <w:pStyle w:val="Heading2"/>
        <w:numPr>
          <w:ilvl w:val="1"/>
          <w:numId w:val="18"/>
        </w:numPr>
        <w:spacing w:before="120" w:after="0" w:line="240" w:lineRule="auto"/>
        <w:rPr>
          <w:b/>
          <w:noProof/>
        </w:rPr>
      </w:pPr>
      <w:r w:rsidRPr="007956D0">
        <w:rPr>
          <w:b/>
          <w:noProof/>
        </w:rPr>
        <w:t xml:space="preserve">Podaci iz prostorno–planske dokumentacije </w:t>
      </w:r>
    </w:p>
    <w:p w:rsidR="0030675D" w:rsidRPr="007956D0" w:rsidRDefault="0030675D" w:rsidP="00AA39C8">
      <w:pPr>
        <w:spacing w:before="120" w:after="0"/>
        <w:jc w:val="both"/>
        <w:rPr>
          <w:rFonts w:ascii="Arial" w:hAnsi="Arial" w:cs="Arial"/>
        </w:rPr>
      </w:pPr>
      <w:r w:rsidRPr="007956D0">
        <w:rPr>
          <w:rFonts w:ascii="Arial" w:hAnsi="Arial" w:cs="Arial"/>
        </w:rPr>
        <w:t xml:space="preserve">U aktu Ministarstva održivog razvoja i turizma, br. 104-83/378-1, od 17.09.2018. godine, arhiviran u Ministarstvu ekonomije pod br. 970-320/2018-1, od 19.09.2018. godine, navedeno je da je, shodno Prostornom planu posebne namjene za Obalno područje Crne Gore </w:t>
      </w:r>
      <w:r w:rsidRPr="007956D0">
        <w:rPr>
          <w:rFonts w:ascii="Arial" w:hAnsi="Arial" w:cs="Arial"/>
          <w:i/>
        </w:rPr>
        <w:t xml:space="preserve">(„Službeni list Crne Gore, br. 56/18), </w:t>
      </w:r>
      <w:r w:rsidRPr="007956D0">
        <w:rPr>
          <w:rFonts w:ascii="Arial" w:hAnsi="Arial" w:cs="Arial"/>
        </w:rPr>
        <w:t>u grafičkom prilogu</w:t>
      </w:r>
      <w:r w:rsidRPr="007956D0">
        <w:rPr>
          <w:rFonts w:ascii="Arial" w:hAnsi="Arial" w:cs="Arial"/>
          <w:i/>
        </w:rPr>
        <w:t xml:space="preserve"> Plan namjene </w:t>
      </w:r>
      <w:r w:rsidRPr="007956D0">
        <w:rPr>
          <w:rFonts w:ascii="Arial" w:hAnsi="Arial" w:cs="Arial"/>
        </w:rPr>
        <w:t>površina lokacija „Velja Gorana“ je definisana kao koncesiono područje, ležište mineralne sirovine i površina eksploatacionog polja broj 3m.</w:t>
      </w:r>
    </w:p>
    <w:p w:rsidR="0030675D" w:rsidRPr="007956D0" w:rsidRDefault="0030675D" w:rsidP="0030675D">
      <w:pPr>
        <w:spacing w:before="120" w:after="0"/>
        <w:jc w:val="both"/>
        <w:rPr>
          <w:rFonts w:ascii="Arial" w:hAnsi="Arial" w:cs="Arial"/>
        </w:rPr>
      </w:pPr>
      <w:r w:rsidRPr="007956D0">
        <w:rPr>
          <w:rFonts w:ascii="Arial" w:hAnsi="Arial" w:cs="Arial"/>
        </w:rPr>
        <w:t>U tekstualnom dijelu plana, poglavlju 7.3 Pregled ležišta mineralnih sirovina, lokalitet „Velja Gorana“ je definisan kao koncesioni prostor. Shodno navedenom, u citiranom aktu Ministarstva održivog razvoja i turizma, navedeno je „da sa aspekta prostorno-planske dokumentacije ne postoje prepreke za izdavanje urbanističko-tehničkih uslova za predmetnu lokaciju“.</w:t>
      </w:r>
    </w:p>
    <w:p w:rsidR="008D6331" w:rsidRPr="007956D0" w:rsidRDefault="008D6331" w:rsidP="005B518B">
      <w:pPr>
        <w:pStyle w:val="BodyText"/>
        <w:numPr>
          <w:ilvl w:val="1"/>
          <w:numId w:val="18"/>
        </w:numPr>
        <w:spacing w:before="120" w:after="0" w:line="240" w:lineRule="auto"/>
        <w:jc w:val="both"/>
        <w:rPr>
          <w:rFonts w:ascii="Arial" w:hAnsi="Arial" w:cs="Arial"/>
          <w:b/>
          <w:noProof/>
        </w:rPr>
      </w:pPr>
      <w:r w:rsidRPr="007956D0">
        <w:rPr>
          <w:rFonts w:ascii="Arial" w:hAnsi="Arial" w:cs="Arial"/>
          <w:b/>
          <w:noProof/>
        </w:rPr>
        <w:t>Mišljenje Uprave za zaštitu kulturnih dobara</w:t>
      </w:r>
    </w:p>
    <w:p w:rsidR="0030675D" w:rsidRPr="007956D0" w:rsidRDefault="0030675D" w:rsidP="00AA39C8">
      <w:pPr>
        <w:spacing w:before="120" w:after="0"/>
        <w:jc w:val="both"/>
        <w:rPr>
          <w:rFonts w:ascii="Arial" w:hAnsi="Arial" w:cs="Arial"/>
        </w:rPr>
      </w:pPr>
      <w:r w:rsidRPr="007956D0">
        <w:rPr>
          <w:rFonts w:ascii="Arial" w:hAnsi="Arial" w:cs="Arial"/>
        </w:rPr>
        <w:t xml:space="preserve">U aktu Uprave za zaštitu kulturnih dobara, br. 03-276/2018-2, od 27.09.2018. godine, arhiviran u Ministarstvu ekonomije pod br. 970-320/2018-4, od 05.10.2018. godine, navedeno je da je uvidom u dokumentaciju ove Uprave, konstatovano da u predmetnom zahvatu nema zakonom zaštićenih kulturnih dobara, kao ni dobara sa potencijalnim </w:t>
      </w:r>
      <w:r w:rsidRPr="007956D0">
        <w:rPr>
          <w:rFonts w:ascii="Arial" w:hAnsi="Arial" w:cs="Arial"/>
        </w:rPr>
        <w:lastRenderedPageBreak/>
        <w:t>kulturnim vrijednostima. „Shodno navedenom, sa aspekta zaštite kulturnih dobara, konstatujemo da nema smetnji za realizaciju predmetne koncesije, uz obavezu da se u dokumentaciju unesu zakonske odredbe precizirane ovim aktom“ („obrađivač plana je u obavezi da u svim fazama izrade dokumentacije unese odredbe čl. 87 i 88 Zakona o zaštiti kulturnih dobara („Sl.list CG“, br. 49/10, 40/11, 47/17), a sve u vezi slučajnih otkrića – nalaza od arheološkog značaja, ukoliko se u toku izvođenja radova naiđe na iste, o čemu je dužan izvijestiti ovu Upravu“).</w:t>
      </w:r>
    </w:p>
    <w:p w:rsidR="002E4676" w:rsidRPr="007956D0" w:rsidRDefault="002E4676" w:rsidP="005B518B">
      <w:pPr>
        <w:pStyle w:val="Heading2"/>
        <w:numPr>
          <w:ilvl w:val="1"/>
          <w:numId w:val="18"/>
        </w:numPr>
        <w:spacing w:before="120" w:after="0" w:line="240" w:lineRule="auto"/>
        <w:rPr>
          <w:b/>
          <w:noProof/>
        </w:rPr>
      </w:pPr>
      <w:r w:rsidRPr="007956D0">
        <w:rPr>
          <w:b/>
          <w:noProof/>
        </w:rPr>
        <w:t xml:space="preserve">Infrastrukturni objekti na </w:t>
      </w:r>
      <w:r w:rsidR="0081009B" w:rsidRPr="007956D0">
        <w:rPr>
          <w:b/>
          <w:noProof/>
        </w:rPr>
        <w:t xml:space="preserve">prostoru pojave tehničko-građevinskog kamena </w:t>
      </w:r>
      <w:r w:rsidR="00183B94" w:rsidRPr="007956D0">
        <w:rPr>
          <w:b/>
          <w:noProof/>
        </w:rPr>
        <w:t>“Velja Gorana”</w:t>
      </w:r>
    </w:p>
    <w:p w:rsidR="0030675D" w:rsidRPr="007956D0" w:rsidRDefault="0030675D" w:rsidP="0030675D">
      <w:pPr>
        <w:spacing w:before="120" w:after="0"/>
        <w:jc w:val="both"/>
        <w:rPr>
          <w:rFonts w:ascii="Arial" w:hAnsi="Arial" w:cs="Arial"/>
        </w:rPr>
      </w:pPr>
      <w:r w:rsidRPr="007956D0">
        <w:rPr>
          <w:rFonts w:ascii="Arial" w:hAnsi="Arial" w:cs="Arial"/>
        </w:rPr>
        <w:t>Do istražno-eksploatacionog prostora “Velja Gorana” postoje pristupni kolski put sa sjeverne strane od Pečurica i sa južne strane od Kruča, a iz Bara pristup je omogućen starim putem Bar - Ulcinj. Do predmetnog lokaliteta, iz pravca Ulcinja, vodi asfaltni put koji povezuje Ulcinj sa zaleđem (Krute, Vladimir, Ostros).</w:t>
      </w:r>
    </w:p>
    <w:p w:rsidR="0030675D" w:rsidRPr="007956D0" w:rsidRDefault="0030675D" w:rsidP="0030675D">
      <w:pPr>
        <w:pStyle w:val="ListParagraph"/>
        <w:spacing w:before="120" w:after="0"/>
        <w:ind w:left="0"/>
        <w:contextualSpacing w:val="0"/>
        <w:jc w:val="both"/>
        <w:rPr>
          <w:rFonts w:ascii="Arial" w:hAnsi="Arial" w:cs="Arial"/>
        </w:rPr>
      </w:pPr>
      <w:r w:rsidRPr="007956D0">
        <w:rPr>
          <w:rFonts w:ascii="Arial" w:hAnsi="Arial" w:cs="Arial"/>
        </w:rPr>
        <w:t xml:space="preserve">Neposredno uz predmetni lokalitet, na oko 20 do 50 m istočno, prolazi lokalna niskonaponska električna mreža, preko koje se područje ulcinjskog zaleđa snabdijeva električnom energijom. S obzirom na navedeno, mreža </w:t>
      </w:r>
      <w:r w:rsidR="00515573" w:rsidRPr="007956D0">
        <w:rPr>
          <w:rFonts w:ascii="Arial" w:hAnsi="Arial" w:cs="Arial"/>
        </w:rPr>
        <w:t xml:space="preserve">se mora „izbjeći“, odnosno, da </w:t>
      </w:r>
      <w:r w:rsidRPr="007956D0">
        <w:rPr>
          <w:rFonts w:ascii="Arial" w:hAnsi="Arial" w:cs="Arial"/>
        </w:rPr>
        <w:t>granice istražno-eksploatacioniog prostora budu van iste, a što je i urađeno definisanjem prostora na topografskoj osnovi, 1:25 000, graničnim tačkama i njihovim koordinatama</w:t>
      </w:r>
      <w:r w:rsidR="00B52D4E" w:rsidRPr="007956D0">
        <w:rPr>
          <w:rFonts w:ascii="Arial" w:hAnsi="Arial" w:cs="Arial"/>
        </w:rPr>
        <w:t>,</w:t>
      </w:r>
      <w:r w:rsidR="00515573" w:rsidRPr="007956D0">
        <w:rPr>
          <w:rFonts w:ascii="Arial" w:hAnsi="Arial" w:cs="Arial"/>
        </w:rPr>
        <w:t xml:space="preserve"> tako da </w:t>
      </w:r>
      <w:r w:rsidR="00B52D4E" w:rsidRPr="007956D0">
        <w:rPr>
          <w:rFonts w:ascii="Arial" w:hAnsi="Arial" w:cs="Arial"/>
        </w:rPr>
        <w:t xml:space="preserve">lokalna niskonaponska električna mreža </w:t>
      </w:r>
      <w:r w:rsidRPr="007956D0">
        <w:rPr>
          <w:rFonts w:ascii="Arial" w:hAnsi="Arial" w:cs="Arial"/>
        </w:rPr>
        <w:t>ne može biti smetnja za obavljanje budućih rudarskih radova.</w:t>
      </w:r>
    </w:p>
    <w:p w:rsidR="0030675D" w:rsidRPr="007956D0" w:rsidRDefault="0030675D" w:rsidP="0030675D">
      <w:pPr>
        <w:spacing w:before="120" w:after="0"/>
        <w:jc w:val="both"/>
        <w:rPr>
          <w:rFonts w:ascii="Arial" w:hAnsi="Arial" w:cs="Arial"/>
        </w:rPr>
      </w:pPr>
      <w:r w:rsidRPr="007956D0">
        <w:rPr>
          <w:rFonts w:ascii="Arial" w:hAnsi="Arial" w:cs="Arial"/>
        </w:rPr>
        <w:t>Za potrebe vodosnabdijevanja može se koristiti voda iz gradskog vodovoda (u neposrednoj blizini lokaliteta prolazi cjevovod kojim se vrši vodosnabdijevanje ulcinjskog zaleđa), uz uslov dobijanja saglasnosti od vlasnika vodovoda.</w:t>
      </w:r>
    </w:p>
    <w:p w:rsidR="0030675D" w:rsidRPr="007956D0" w:rsidRDefault="0030675D" w:rsidP="00AA39C8">
      <w:pPr>
        <w:spacing w:before="120" w:after="0"/>
        <w:jc w:val="both"/>
        <w:rPr>
          <w:rFonts w:ascii="Arial" w:hAnsi="Arial" w:cs="Arial"/>
        </w:rPr>
      </w:pPr>
      <w:r w:rsidRPr="007956D0">
        <w:rPr>
          <w:rFonts w:ascii="Arial" w:hAnsi="Arial" w:cs="Arial"/>
        </w:rPr>
        <w:t xml:space="preserve">Najbliže naselje je Velja Gorana, koje se nalazi jugoistočno od predmetnog istražno-eksploatacionog prostora na udaljenosti od oko 1 km (vazdušnom linijom). </w:t>
      </w:r>
    </w:p>
    <w:p w:rsidR="00A87E2C" w:rsidRPr="007956D0" w:rsidRDefault="00AE40E6" w:rsidP="005B518B">
      <w:pPr>
        <w:pStyle w:val="Heading2"/>
        <w:numPr>
          <w:ilvl w:val="1"/>
          <w:numId w:val="18"/>
        </w:numPr>
        <w:spacing w:before="120" w:after="120" w:line="240" w:lineRule="auto"/>
        <w:rPr>
          <w:b/>
          <w:noProof/>
        </w:rPr>
      </w:pPr>
      <w:r w:rsidRPr="007956D0">
        <w:rPr>
          <w:b/>
          <w:noProof/>
        </w:rPr>
        <w:t xml:space="preserve">Geomorfološke karakteristike </w:t>
      </w:r>
    </w:p>
    <w:p w:rsidR="00D111B9" w:rsidRPr="007956D0" w:rsidRDefault="00D111B9" w:rsidP="00AA39C8">
      <w:pPr>
        <w:spacing w:before="120" w:after="120"/>
        <w:jc w:val="both"/>
        <w:rPr>
          <w:rFonts w:ascii="Arial" w:hAnsi="Arial" w:cs="Arial"/>
        </w:rPr>
      </w:pPr>
      <w:r w:rsidRPr="007956D0">
        <w:rPr>
          <w:rFonts w:ascii="Arial" w:hAnsi="Arial" w:cs="Arial"/>
        </w:rPr>
        <w:t xml:space="preserve">U geomorfološkom pogledu područje </w:t>
      </w:r>
      <w:r w:rsidR="00A87E2C" w:rsidRPr="007956D0">
        <w:rPr>
          <w:rFonts w:ascii="Arial" w:hAnsi="Arial" w:cs="Arial"/>
        </w:rPr>
        <w:t>pojave</w:t>
      </w:r>
      <w:r w:rsidRPr="007956D0">
        <w:rPr>
          <w:rFonts w:ascii="Arial" w:hAnsi="Arial" w:cs="Arial"/>
        </w:rPr>
        <w:t xml:space="preserve"> tehničko-građevinskog kamena </w:t>
      </w:r>
      <w:r w:rsidR="00183B94" w:rsidRPr="007956D0">
        <w:rPr>
          <w:rFonts w:ascii="Arial" w:hAnsi="Arial" w:cs="Arial"/>
        </w:rPr>
        <w:t>“Velja Gorana”</w:t>
      </w:r>
      <w:r w:rsidR="00A87E2C" w:rsidRPr="007956D0">
        <w:rPr>
          <w:rFonts w:ascii="Arial" w:hAnsi="Arial" w:cs="Arial"/>
        </w:rPr>
        <w:t xml:space="preserve"> </w:t>
      </w:r>
      <w:r w:rsidRPr="007956D0">
        <w:rPr>
          <w:rFonts w:ascii="Arial" w:hAnsi="Arial" w:cs="Arial"/>
        </w:rPr>
        <w:t xml:space="preserve">pripada </w:t>
      </w:r>
      <w:r w:rsidR="009C271A" w:rsidRPr="007956D0">
        <w:rPr>
          <w:rFonts w:ascii="Arial" w:hAnsi="Arial" w:cs="Arial"/>
        </w:rPr>
        <w:t xml:space="preserve">južnoj </w:t>
      </w:r>
      <w:r w:rsidRPr="007956D0">
        <w:rPr>
          <w:rFonts w:ascii="Arial" w:hAnsi="Arial" w:cs="Arial"/>
        </w:rPr>
        <w:t>oblasti Crne Gore. Reljef ovog područja je u direktnoj zavisnosti od litološkog sastava i strukturnog sklopa terena. Njegov postojeći izgled, razvijenost i razuđenost, diktirao je dugotrajni uticaj i mnogostruko preplitanje endogenih i egzogenih sila.</w:t>
      </w:r>
    </w:p>
    <w:p w:rsidR="009C271A" w:rsidRPr="007956D0" w:rsidRDefault="009C271A" w:rsidP="009C271A">
      <w:pPr>
        <w:spacing w:before="120" w:after="0"/>
        <w:jc w:val="both"/>
        <w:rPr>
          <w:rFonts w:ascii="Arial" w:hAnsi="Arial" w:cs="Arial"/>
        </w:rPr>
      </w:pPr>
      <w:r w:rsidRPr="007956D0">
        <w:rPr>
          <w:rFonts w:ascii="Arial" w:hAnsi="Arial" w:cs="Arial"/>
        </w:rPr>
        <w:t xml:space="preserve">Priobalni ravničarski pojas uglavnom izgrađuju flišne stijene a u zaleđu preovlađuju karbonatni tereni koji izgrađuju Brisku Goru i Možuru. </w:t>
      </w:r>
    </w:p>
    <w:p w:rsidR="00AA39C8" w:rsidRPr="007956D0" w:rsidRDefault="00AA39C8" w:rsidP="00AA39C8">
      <w:pPr>
        <w:spacing w:before="120" w:after="0"/>
        <w:jc w:val="both"/>
        <w:rPr>
          <w:rFonts w:ascii="Arial" w:hAnsi="Arial" w:cs="Arial"/>
        </w:rPr>
      </w:pPr>
      <w:r w:rsidRPr="007956D0">
        <w:rPr>
          <w:rFonts w:ascii="Arial" w:hAnsi="Arial" w:cs="Arial"/>
        </w:rPr>
        <w:t>Područje istražno-eksploatacionog prostora “Velja Gorana” i šire, uglavnom, je brdovito i karakteristično za kraške terene Jadranske obale. Dominantan je masiv Možure (546 m.n.m), zatim, Kobilica (622 m.n.m) i Štrbina (589 m.n.m.).</w:t>
      </w:r>
    </w:p>
    <w:p w:rsidR="00AE40E6" w:rsidRPr="007956D0" w:rsidRDefault="00AE40E6" w:rsidP="005B518B">
      <w:pPr>
        <w:pStyle w:val="Heading2"/>
        <w:numPr>
          <w:ilvl w:val="1"/>
          <w:numId w:val="18"/>
        </w:numPr>
        <w:spacing w:before="120" w:after="120" w:line="240" w:lineRule="auto"/>
        <w:rPr>
          <w:b/>
          <w:noProof/>
        </w:rPr>
      </w:pPr>
      <w:r w:rsidRPr="007956D0">
        <w:rPr>
          <w:b/>
          <w:noProof/>
        </w:rPr>
        <w:t>Hidrografske karakteristike</w:t>
      </w:r>
    </w:p>
    <w:p w:rsidR="00DA53E8" w:rsidRPr="007956D0" w:rsidRDefault="00DA53E8" w:rsidP="00DA53E8">
      <w:pPr>
        <w:spacing w:before="120" w:after="0"/>
        <w:jc w:val="both"/>
        <w:rPr>
          <w:rFonts w:ascii="Arial" w:hAnsi="Arial" w:cs="Arial"/>
        </w:rPr>
      </w:pPr>
      <w:r w:rsidRPr="007956D0">
        <w:rPr>
          <w:rFonts w:ascii="Arial" w:hAnsi="Arial" w:cs="Arial"/>
        </w:rPr>
        <w:t>Hidrogeološke prilike ovog područja uslovljene su klimom, geološkom građom, litološkim sastavom stijenskih masa i njihovim zalijeganjem, tektonskim i morfološkim karakteristikama.</w:t>
      </w:r>
    </w:p>
    <w:p w:rsidR="006E7AA4" w:rsidRPr="007956D0" w:rsidRDefault="00D111B9" w:rsidP="006E7AA4">
      <w:pPr>
        <w:spacing w:before="120" w:after="120"/>
        <w:jc w:val="both"/>
        <w:rPr>
          <w:rFonts w:ascii="Arial" w:hAnsi="Arial" w:cs="Arial"/>
        </w:rPr>
      </w:pPr>
      <w:r w:rsidRPr="007956D0">
        <w:rPr>
          <w:rFonts w:ascii="Arial" w:hAnsi="Arial" w:cs="Arial"/>
        </w:rPr>
        <w:t>Sa hidrogeološkog aspekta, odlike područja</w:t>
      </w:r>
      <w:r w:rsidR="00B52D4E" w:rsidRPr="007956D0">
        <w:rPr>
          <w:rFonts w:ascii="Arial" w:hAnsi="Arial" w:cs="Arial"/>
        </w:rPr>
        <w:t>,</w:t>
      </w:r>
      <w:r w:rsidRPr="007956D0">
        <w:rPr>
          <w:rFonts w:ascii="Arial" w:hAnsi="Arial" w:cs="Arial"/>
        </w:rPr>
        <w:t xml:space="preserve"> u kome se nalazi </w:t>
      </w:r>
      <w:r w:rsidR="0007263F" w:rsidRPr="007956D0">
        <w:rPr>
          <w:rFonts w:ascii="Arial" w:hAnsi="Arial" w:cs="Arial"/>
        </w:rPr>
        <w:t>pojava</w:t>
      </w:r>
      <w:r w:rsidRPr="007956D0">
        <w:rPr>
          <w:rFonts w:ascii="Arial" w:hAnsi="Arial" w:cs="Arial"/>
        </w:rPr>
        <w:t xml:space="preserve"> tehničko-građevinskog kamena </w:t>
      </w:r>
      <w:r w:rsidR="00183B94" w:rsidRPr="007956D0">
        <w:rPr>
          <w:rFonts w:ascii="Arial" w:hAnsi="Arial" w:cs="Arial"/>
        </w:rPr>
        <w:t>“Velja Gorana”</w:t>
      </w:r>
      <w:r w:rsidR="00B52D4E" w:rsidRPr="007956D0">
        <w:rPr>
          <w:rFonts w:ascii="Arial" w:hAnsi="Arial" w:cs="Arial"/>
        </w:rPr>
        <w:t>,</w:t>
      </w:r>
      <w:r w:rsidR="00855834" w:rsidRPr="007956D0">
        <w:rPr>
          <w:rFonts w:ascii="Arial" w:hAnsi="Arial" w:cs="Arial"/>
        </w:rPr>
        <w:t xml:space="preserve"> </w:t>
      </w:r>
      <w:r w:rsidRPr="007956D0">
        <w:rPr>
          <w:rFonts w:ascii="Arial" w:hAnsi="Arial" w:cs="Arial"/>
        </w:rPr>
        <w:t>su relativno jednostavne.</w:t>
      </w:r>
      <w:r w:rsidR="009C271A" w:rsidRPr="007956D0">
        <w:rPr>
          <w:rFonts w:ascii="Arial" w:hAnsi="Arial" w:cs="Arial"/>
        </w:rPr>
        <w:t xml:space="preserve"> Od površinskih tokova najznačajnija je rijeka Bojana, a zatim Međurečka rijeka.</w:t>
      </w:r>
      <w:r w:rsidR="00AA39C8" w:rsidRPr="007956D0">
        <w:rPr>
          <w:rFonts w:ascii="Arial" w:hAnsi="Arial" w:cs="Arial"/>
        </w:rPr>
        <w:t xml:space="preserve"> Između Briske gore i Možure povremeno protiče rječica Brdela. Ovaj povremeni vodotok, generalnog pravca pruženja SZ-JI, se formira u području Preskalje i nastavlja svoj tok prema Zoganjskom jezeru. Rječna dolina povremenog </w:t>
      </w:r>
      <w:r w:rsidR="00AA39C8" w:rsidRPr="007956D0">
        <w:rPr>
          <w:rFonts w:ascii="Arial" w:hAnsi="Arial" w:cs="Arial"/>
        </w:rPr>
        <w:lastRenderedPageBreak/>
        <w:t>toka Brdele, usječena je u gornjokredne krečnjake Možure i Briske gore, gdje ima karakter plitkog kanjona, iz koga dalje, nastavlja svoj tok Zoganjskim poljem, u pravcu juga i uliva se u kanal „Milena“.</w:t>
      </w:r>
      <w:r w:rsidR="00B52D4E" w:rsidRPr="007956D0">
        <w:rPr>
          <w:rFonts w:ascii="Arial" w:hAnsi="Arial" w:cs="Arial"/>
        </w:rPr>
        <w:t xml:space="preserve"> </w:t>
      </w:r>
      <w:r w:rsidR="00AA39C8" w:rsidRPr="007956D0">
        <w:rPr>
          <w:rFonts w:ascii="Arial" w:hAnsi="Arial" w:cs="Arial"/>
        </w:rPr>
        <w:t>Korito Brdele je suva rječna dolina, duž koje se javljaju povremena karstna vrela. Nekada je ovim koritom tekla Međurečka rijeka, koja se danas uliva u Šasko jezero</w:t>
      </w:r>
      <w:r w:rsidR="009C271A" w:rsidRPr="007956D0">
        <w:rPr>
          <w:rFonts w:ascii="Arial" w:hAnsi="Arial" w:cs="Arial"/>
        </w:rPr>
        <w:t xml:space="preserve"> U kišnim periodima aktivni su povremeni površinski tokovi: Brdela, Miđanska rijeka, Goranski potok i dr</w:t>
      </w:r>
      <w:r w:rsidR="006E7AA4" w:rsidRPr="007956D0">
        <w:rPr>
          <w:rFonts w:ascii="Arial" w:hAnsi="Arial" w:cs="Arial"/>
        </w:rPr>
        <w:t>.</w:t>
      </w:r>
    </w:p>
    <w:p w:rsidR="006E7AA4" w:rsidRPr="007956D0" w:rsidRDefault="006E7AA4" w:rsidP="006E7AA4">
      <w:pPr>
        <w:spacing w:before="120" w:after="120"/>
        <w:jc w:val="both"/>
        <w:rPr>
          <w:rFonts w:ascii="Arial" w:hAnsi="Arial" w:cs="Arial"/>
        </w:rPr>
      </w:pPr>
      <w:r w:rsidRPr="007956D0">
        <w:rPr>
          <w:rFonts w:ascii="Arial" w:hAnsi="Arial" w:cs="Arial"/>
        </w:rPr>
        <w:t xml:space="preserve">Na sjeveroistočnim i jugozapadnim padinama Možure, duž kontakta karbonatnih sedimenata gornje krede i srednjeg eocena sa gornjeeocenskim flišem, prisutno je nekoliko, najčešće kaptiranih, izvora (Kovačevića česma, Gazivoda, Balađan, i dr.). </w:t>
      </w:r>
    </w:p>
    <w:p w:rsidR="00FE6C0C" w:rsidRPr="007956D0" w:rsidRDefault="00FE6C0C" w:rsidP="006E7AA4">
      <w:pPr>
        <w:spacing w:before="120" w:after="120"/>
        <w:jc w:val="both"/>
        <w:rPr>
          <w:rFonts w:ascii="Arial" w:hAnsi="Arial" w:cs="Arial"/>
        </w:rPr>
      </w:pPr>
      <w:r w:rsidRPr="007956D0">
        <w:rPr>
          <w:rFonts w:ascii="Arial" w:hAnsi="Arial" w:cs="Arial"/>
        </w:rPr>
        <w:t>Na samom lokalitetu nema stalnih riječnih tokova, izvora, niti povremenih vodotoka. Krečnjačk</w:t>
      </w:r>
      <w:r w:rsidR="009C271A" w:rsidRPr="007956D0">
        <w:rPr>
          <w:rFonts w:ascii="Arial" w:hAnsi="Arial" w:cs="Arial"/>
        </w:rPr>
        <w:t>i</w:t>
      </w:r>
      <w:r w:rsidRPr="007956D0">
        <w:rPr>
          <w:rFonts w:ascii="Arial" w:hAnsi="Arial" w:cs="Arial"/>
        </w:rPr>
        <w:t xml:space="preserve"> kompleks ovog područja ima pukotinsko-kavernoznu poroznost.</w:t>
      </w:r>
    </w:p>
    <w:p w:rsidR="00AE40E6" w:rsidRPr="007956D0" w:rsidRDefault="00AE40E6" w:rsidP="005B518B">
      <w:pPr>
        <w:pStyle w:val="Heading2"/>
        <w:numPr>
          <w:ilvl w:val="1"/>
          <w:numId w:val="18"/>
        </w:numPr>
        <w:spacing w:before="120" w:after="0" w:line="240" w:lineRule="auto"/>
        <w:rPr>
          <w:b/>
          <w:noProof/>
        </w:rPr>
      </w:pPr>
      <w:r w:rsidRPr="007956D0">
        <w:rPr>
          <w:b/>
          <w:noProof/>
        </w:rPr>
        <w:t>Klimatske odlike</w:t>
      </w:r>
    </w:p>
    <w:p w:rsidR="006E7AA4" w:rsidRPr="007956D0" w:rsidRDefault="006E7AA4" w:rsidP="006E7AA4">
      <w:pPr>
        <w:spacing w:before="120" w:after="0"/>
        <w:jc w:val="both"/>
        <w:rPr>
          <w:rFonts w:ascii="Arial" w:hAnsi="Arial" w:cs="Arial"/>
        </w:rPr>
      </w:pPr>
      <w:r w:rsidRPr="007956D0">
        <w:rPr>
          <w:rFonts w:ascii="Arial" w:hAnsi="Arial" w:cs="Arial"/>
        </w:rPr>
        <w:t xml:space="preserve">Klimu područja Bara, kao i cijelog Crnogorskog primorja, karakterišu sezonske oscilacije u režimu padavina u toku godine. </w:t>
      </w:r>
    </w:p>
    <w:p w:rsidR="0030675D" w:rsidRPr="007956D0" w:rsidRDefault="0030675D" w:rsidP="00AA39C8">
      <w:pPr>
        <w:spacing w:before="120" w:after="0"/>
        <w:jc w:val="both"/>
        <w:rPr>
          <w:rFonts w:ascii="Arial" w:hAnsi="Arial" w:cs="Arial"/>
        </w:rPr>
      </w:pPr>
      <w:r w:rsidRPr="007956D0">
        <w:rPr>
          <w:rFonts w:ascii="Arial" w:hAnsi="Arial" w:cs="Arial"/>
        </w:rPr>
        <w:t>U klimatskom pogledu, područje pripada mediteranskom tipu sa bogatstvom padavina, velikom vlažnošću, temperaturama sa malim dnevnim i godišnjim kolebanjima, dok vjetrovi duvaju pretežno iz pravca sjevera, kad su hladni i suvi, a iz pravca juga topli i praćeni obilnim padavinama. Obilježja područja sa mediteranskom klimom su dugi, topli i sušni letnji periodi, a blagi i kišni zimski periodi. Ovakve klimatske karakteristike područja omogućavaju kontinualnu eksploataciju, odnosno, rad na eksploataciji i obradi tehničko-građevinskog kamena tokom čitave kalendarske godine.</w:t>
      </w:r>
    </w:p>
    <w:p w:rsidR="00925256" w:rsidRPr="007956D0" w:rsidRDefault="002E4676" w:rsidP="005B518B">
      <w:pPr>
        <w:pStyle w:val="Heading2"/>
        <w:numPr>
          <w:ilvl w:val="1"/>
          <w:numId w:val="18"/>
        </w:numPr>
        <w:spacing w:before="120" w:after="120" w:line="240" w:lineRule="auto"/>
        <w:rPr>
          <w:b/>
          <w:noProof/>
        </w:rPr>
      </w:pPr>
      <w:r w:rsidRPr="007956D0">
        <w:rPr>
          <w:b/>
          <w:noProof/>
        </w:rPr>
        <w:t>Podaci o izvršenim geološkim istraživanjima, rezervama i kvalitetu mineralne sirovine</w:t>
      </w:r>
    </w:p>
    <w:p w:rsidR="0030675D" w:rsidRPr="007956D0" w:rsidRDefault="0030675D" w:rsidP="00AA39C8">
      <w:pPr>
        <w:pStyle w:val="ListParagraph"/>
        <w:spacing w:before="120" w:after="120"/>
        <w:ind w:left="0"/>
        <w:contextualSpacing w:val="0"/>
        <w:jc w:val="both"/>
        <w:rPr>
          <w:rFonts w:ascii="Arial" w:hAnsi="Arial" w:cs="Arial"/>
        </w:rPr>
      </w:pPr>
      <w:r w:rsidRPr="007956D0">
        <w:rPr>
          <w:rFonts w:ascii="Arial" w:hAnsi="Arial" w:cs="Arial"/>
        </w:rPr>
        <w:t>Na ovom prostoru vršena su osnovna geološka istraživanja, a rezultati istraživanja prikazani su na Osnovnoj geološkoj karti SFRJ lista “Ulcinj”, 1:100 000 (K 34-75), sa Tumačem, koje je uradio Zavod za geološka istraživanja – Titograd, 1968. godine (autori: M. Mirković, M. Kalezić, M. Pajović, M. Živaljević I V. Đokić).</w:t>
      </w:r>
    </w:p>
    <w:p w:rsidR="0030675D" w:rsidRPr="007956D0" w:rsidRDefault="0030675D" w:rsidP="0030675D">
      <w:pPr>
        <w:spacing w:before="120" w:after="0"/>
        <w:jc w:val="both"/>
        <w:rPr>
          <w:rFonts w:ascii="Arial" w:hAnsi="Arial" w:cs="Arial"/>
        </w:rPr>
      </w:pPr>
      <w:r w:rsidRPr="007956D0">
        <w:rPr>
          <w:rFonts w:ascii="Arial" w:hAnsi="Arial" w:cs="Arial"/>
        </w:rPr>
        <w:t>U periodu od 1998. do 2002. godine, JU Republički zavod za geološka istraživanja – Podgorica (D. Ilić sa saradnicima) je, kroz Program geoloških istraživanja od interesa za Crnu Goru, vršila osnovna geološka istraživanja ukrasnog kamena na prostoru Bara i Ulcinja. Na osnovu podataka ovih istraživanja na širem području istražno-eksploatacionog prostora „Velja Gorana“ konstatovano je prisustvo gornjokrednih naslaga, paleogena i kvartarnih tvorevina.</w:t>
      </w:r>
    </w:p>
    <w:p w:rsidR="0030675D" w:rsidRPr="007956D0" w:rsidRDefault="0030675D" w:rsidP="0030675D">
      <w:pPr>
        <w:spacing w:before="120" w:after="0"/>
        <w:jc w:val="both"/>
        <w:rPr>
          <w:rFonts w:ascii="Arial" w:hAnsi="Arial" w:cs="Arial"/>
        </w:rPr>
      </w:pPr>
      <w:r w:rsidRPr="007956D0">
        <w:rPr>
          <w:rFonts w:ascii="Arial" w:hAnsi="Arial" w:cs="Arial"/>
        </w:rPr>
        <w:t>Uže područje pojave tehničko-građevinskog kamena „Velja Gorana“ izgrađuju karbonatni sedimenti predstavljeni debelobankovitim do masivnim krečnjačkim brečama i brečiziranim krečnjacima, kao i slojevitim, debeloslojevitim i bankovitim krečnjacima santon-kampana, odnosno mastrihta.</w:t>
      </w:r>
    </w:p>
    <w:p w:rsidR="0030675D" w:rsidRPr="007956D0" w:rsidRDefault="0030675D" w:rsidP="00AA39C8">
      <w:pPr>
        <w:spacing w:before="120" w:after="0"/>
        <w:jc w:val="both"/>
        <w:rPr>
          <w:rFonts w:ascii="Arial" w:hAnsi="Arial" w:cs="Arial"/>
        </w:rPr>
      </w:pPr>
      <w:r w:rsidRPr="007956D0">
        <w:rPr>
          <w:rFonts w:ascii="Arial" w:hAnsi="Arial" w:cs="Arial"/>
        </w:rPr>
        <w:t>Na osnovu otkrivenosti profila naslaga, može se zaključiti da su prognozne rezerve tehničko-građevinskog kamena, računate sa nivoom od 100 m.n.m, oko 3.000.000 m</w:t>
      </w:r>
      <w:r w:rsidRPr="007956D0">
        <w:rPr>
          <w:rFonts w:ascii="Arial" w:hAnsi="Arial" w:cs="Arial"/>
          <w:vertAlign w:val="superscript"/>
        </w:rPr>
        <w:t>3</w:t>
      </w:r>
      <w:r w:rsidRPr="007956D0">
        <w:rPr>
          <w:rFonts w:ascii="Arial" w:hAnsi="Arial" w:cs="Arial"/>
        </w:rPr>
        <w:t>. Procijenjene eksploatacione rezerve iznose oko 2.700.000 m</w:t>
      </w:r>
      <w:r w:rsidRPr="007956D0">
        <w:rPr>
          <w:rFonts w:ascii="Arial" w:hAnsi="Arial" w:cs="Arial"/>
          <w:vertAlign w:val="superscript"/>
        </w:rPr>
        <w:t xml:space="preserve">3 </w:t>
      </w:r>
      <w:r w:rsidRPr="007956D0">
        <w:rPr>
          <w:rFonts w:ascii="Arial" w:hAnsi="Arial" w:cs="Arial"/>
        </w:rPr>
        <w:t>č.s.m.</w:t>
      </w:r>
    </w:p>
    <w:p w:rsidR="0030675D" w:rsidRPr="007956D0" w:rsidRDefault="0030675D" w:rsidP="00AA39C8">
      <w:pPr>
        <w:spacing w:before="120" w:after="0"/>
        <w:jc w:val="both"/>
        <w:rPr>
          <w:rFonts w:ascii="Arial" w:hAnsi="Arial" w:cs="Arial"/>
        </w:rPr>
      </w:pPr>
      <w:r w:rsidRPr="007956D0">
        <w:rPr>
          <w:rFonts w:ascii="Arial" w:hAnsi="Arial" w:cs="Arial"/>
        </w:rPr>
        <w:t>Na osnovu izvršenih preliminarnih ispitivanja i analogije sa ležištima tehničko-građevinskog kamena sličnih geoloških karakteristika</w:t>
      </w:r>
      <w:r w:rsidR="006E7AA4" w:rsidRPr="007956D0">
        <w:rPr>
          <w:rFonts w:ascii="Arial" w:hAnsi="Arial" w:cs="Arial"/>
        </w:rPr>
        <w:t>, koj</w:t>
      </w:r>
      <w:r w:rsidR="00DA53E8" w:rsidRPr="007956D0">
        <w:rPr>
          <w:rFonts w:ascii="Arial" w:hAnsi="Arial" w:cs="Arial"/>
        </w:rPr>
        <w:t>a</w:t>
      </w:r>
      <w:r w:rsidR="006E7AA4" w:rsidRPr="007956D0">
        <w:rPr>
          <w:rFonts w:ascii="Arial" w:hAnsi="Arial" w:cs="Arial"/>
        </w:rPr>
        <w:t xml:space="preserve"> se nalaze u </w:t>
      </w:r>
      <w:r w:rsidR="00DA53E8" w:rsidRPr="007956D0">
        <w:rPr>
          <w:rFonts w:ascii="Arial" w:hAnsi="Arial" w:cs="Arial"/>
        </w:rPr>
        <w:t>bližoj okolini</w:t>
      </w:r>
      <w:r w:rsidR="0056486B" w:rsidRPr="007956D0">
        <w:rPr>
          <w:rFonts w:ascii="Arial" w:hAnsi="Arial" w:cs="Arial"/>
        </w:rPr>
        <w:t xml:space="preserve"> predmetne lokacije, </w:t>
      </w:r>
      <w:r w:rsidR="0056486B" w:rsidRPr="007956D0">
        <w:rPr>
          <w:rFonts w:ascii="Arial" w:hAnsi="Arial" w:cs="Arial"/>
        </w:rPr>
        <w:lastRenderedPageBreak/>
        <w:t>“Darza”,</w:t>
      </w:r>
      <w:r w:rsidR="006E7AA4" w:rsidRPr="007956D0">
        <w:rPr>
          <w:rFonts w:ascii="Arial" w:hAnsi="Arial" w:cs="Arial"/>
        </w:rPr>
        <w:t xml:space="preserve"> “Možura” i “Ristova ponta”</w:t>
      </w:r>
      <w:r w:rsidRPr="007956D0">
        <w:rPr>
          <w:rFonts w:ascii="Arial" w:hAnsi="Arial" w:cs="Arial"/>
        </w:rPr>
        <w:t>, konstatuje se da se krečnjak sa ovog lokaliteta može koristiti za:</w:t>
      </w:r>
    </w:p>
    <w:p w:rsidR="0030675D" w:rsidRPr="007956D0" w:rsidRDefault="0030675D" w:rsidP="0030675D">
      <w:pPr>
        <w:spacing w:after="0"/>
        <w:jc w:val="both"/>
        <w:rPr>
          <w:rFonts w:ascii="Arial" w:hAnsi="Arial" w:cs="Arial"/>
        </w:rPr>
      </w:pPr>
    </w:p>
    <w:p w:rsidR="0030675D" w:rsidRPr="007956D0" w:rsidRDefault="0030675D" w:rsidP="005B518B">
      <w:pPr>
        <w:pStyle w:val="ListParagraph"/>
        <w:numPr>
          <w:ilvl w:val="0"/>
          <w:numId w:val="24"/>
        </w:numPr>
        <w:spacing w:after="0"/>
        <w:contextualSpacing w:val="0"/>
        <w:jc w:val="both"/>
        <w:rPr>
          <w:rFonts w:ascii="Arial" w:hAnsi="Arial" w:cs="Arial"/>
        </w:rPr>
      </w:pPr>
      <w:r w:rsidRPr="007956D0">
        <w:rPr>
          <w:rFonts w:ascii="Arial" w:hAnsi="Arial" w:cs="Arial"/>
        </w:rPr>
        <w:t>priozvodnju kamenih agregata za izradu betona,</w:t>
      </w:r>
    </w:p>
    <w:p w:rsidR="0030675D" w:rsidRPr="007956D0" w:rsidRDefault="0030675D" w:rsidP="005B518B">
      <w:pPr>
        <w:pStyle w:val="ListParagraph"/>
        <w:numPr>
          <w:ilvl w:val="0"/>
          <w:numId w:val="24"/>
        </w:numPr>
        <w:spacing w:after="0"/>
        <w:contextualSpacing w:val="0"/>
        <w:jc w:val="both"/>
        <w:rPr>
          <w:rFonts w:ascii="Arial" w:hAnsi="Arial" w:cs="Arial"/>
        </w:rPr>
      </w:pPr>
      <w:r w:rsidRPr="007956D0">
        <w:rPr>
          <w:rFonts w:ascii="Arial" w:hAnsi="Arial" w:cs="Arial"/>
        </w:rPr>
        <w:t xml:space="preserve">proizvodnju kamenih agregata za klasične i savremene podloge za puteve, </w:t>
      </w:r>
    </w:p>
    <w:p w:rsidR="0030675D" w:rsidRPr="007956D0" w:rsidRDefault="0030675D" w:rsidP="005B518B">
      <w:pPr>
        <w:pStyle w:val="ListParagraph"/>
        <w:numPr>
          <w:ilvl w:val="0"/>
          <w:numId w:val="24"/>
        </w:numPr>
        <w:spacing w:after="0"/>
        <w:contextualSpacing w:val="0"/>
        <w:jc w:val="both"/>
        <w:rPr>
          <w:rFonts w:ascii="Arial" w:hAnsi="Arial" w:cs="Arial"/>
        </w:rPr>
      </w:pPr>
      <w:r w:rsidRPr="007956D0">
        <w:rPr>
          <w:rFonts w:ascii="Arial" w:hAnsi="Arial" w:cs="Arial"/>
        </w:rPr>
        <w:t>proizvodnju agregata za donje i gornje noseće slojeve od bituminoznog materijala po vrućem postupku, kao i za</w:t>
      </w:r>
    </w:p>
    <w:p w:rsidR="0030675D" w:rsidRPr="007956D0" w:rsidRDefault="0030675D" w:rsidP="005B518B">
      <w:pPr>
        <w:pStyle w:val="ListParagraph"/>
        <w:numPr>
          <w:ilvl w:val="0"/>
          <w:numId w:val="24"/>
        </w:numPr>
        <w:spacing w:after="0"/>
        <w:contextualSpacing w:val="0"/>
        <w:jc w:val="both"/>
        <w:rPr>
          <w:rFonts w:ascii="Arial" w:hAnsi="Arial" w:cs="Arial"/>
        </w:rPr>
      </w:pPr>
      <w:r w:rsidRPr="007956D0">
        <w:rPr>
          <w:rFonts w:ascii="Arial" w:hAnsi="Arial" w:cs="Arial"/>
        </w:rPr>
        <w:t>proizvodnju lomljenog kamena i tesanika za gruba zidanja u niskogradnji i hidrogradnji.</w:t>
      </w:r>
    </w:p>
    <w:p w:rsidR="00AA39C8" w:rsidRPr="007956D0" w:rsidRDefault="00AA39C8" w:rsidP="00D021C0">
      <w:pPr>
        <w:pStyle w:val="BodyText"/>
        <w:spacing w:after="0" w:line="240" w:lineRule="auto"/>
        <w:jc w:val="both"/>
        <w:rPr>
          <w:rFonts w:ascii="Arial" w:hAnsi="Arial" w:cs="Arial"/>
          <w:noProof/>
        </w:rPr>
      </w:pPr>
    </w:p>
    <w:p w:rsidR="002E4676" w:rsidRPr="007956D0" w:rsidRDefault="006A68F3" w:rsidP="005B518B">
      <w:pPr>
        <w:pStyle w:val="Heading1"/>
        <w:numPr>
          <w:ilvl w:val="0"/>
          <w:numId w:val="18"/>
        </w:numPr>
        <w:ind w:left="360"/>
        <w:rPr>
          <w:noProof/>
        </w:rPr>
      </w:pPr>
      <w:bookmarkStart w:id="3" w:name="_Toc4581257"/>
      <w:r w:rsidRPr="007956D0">
        <w:rPr>
          <w:noProof/>
        </w:rPr>
        <w:t>ROK TRAJANJA KONCESIJE</w:t>
      </w:r>
      <w:bookmarkEnd w:id="3"/>
    </w:p>
    <w:p w:rsidR="00D021C0" w:rsidRPr="007956D0" w:rsidRDefault="00D021C0" w:rsidP="00D021C0">
      <w:pPr>
        <w:pStyle w:val="BodyText"/>
        <w:spacing w:after="0" w:line="240" w:lineRule="auto"/>
        <w:jc w:val="both"/>
        <w:rPr>
          <w:rFonts w:ascii="Arial" w:hAnsi="Arial" w:cs="Arial"/>
          <w:noProof/>
        </w:rPr>
      </w:pPr>
    </w:p>
    <w:p w:rsidR="00A85E72" w:rsidRPr="007956D0" w:rsidRDefault="00A85E72" w:rsidP="00D021C0">
      <w:pPr>
        <w:pStyle w:val="BodyText"/>
        <w:spacing w:after="0" w:line="240" w:lineRule="auto"/>
        <w:jc w:val="both"/>
        <w:rPr>
          <w:rFonts w:ascii="Arial" w:hAnsi="Arial" w:cs="Arial"/>
          <w:noProof/>
        </w:rPr>
      </w:pPr>
      <w:r w:rsidRPr="007956D0">
        <w:rPr>
          <w:rFonts w:ascii="Arial" w:hAnsi="Arial" w:cs="Arial"/>
          <w:noProof/>
        </w:rPr>
        <w:t>Rok trajanja eksploatacije mineralne sirovine (vijek eksploatacije) zavisi od utvrđenih rezervi istih, godišnjeg kapaciteta eksploatacije i od zahtjeva tržišta.</w:t>
      </w:r>
    </w:p>
    <w:p w:rsidR="00D021C0" w:rsidRPr="007956D0" w:rsidRDefault="00D021C0" w:rsidP="00D021C0">
      <w:pPr>
        <w:pStyle w:val="BodyText"/>
        <w:spacing w:after="0" w:line="240" w:lineRule="auto"/>
        <w:jc w:val="both"/>
        <w:rPr>
          <w:rFonts w:ascii="Arial" w:hAnsi="Arial" w:cs="Arial"/>
          <w:noProof/>
        </w:rPr>
      </w:pPr>
    </w:p>
    <w:p w:rsidR="00A85E72" w:rsidRPr="007956D0" w:rsidRDefault="00ED1607" w:rsidP="00D021C0">
      <w:pPr>
        <w:pStyle w:val="BodyText"/>
        <w:spacing w:after="0" w:line="240" w:lineRule="auto"/>
        <w:jc w:val="both"/>
        <w:rPr>
          <w:rFonts w:ascii="Arial" w:hAnsi="Arial" w:cs="Arial"/>
          <w:noProof/>
        </w:rPr>
      </w:pPr>
      <w:r w:rsidRPr="007956D0">
        <w:rPr>
          <w:rFonts w:ascii="Arial" w:hAnsi="Arial" w:cs="Arial"/>
          <w:noProof/>
        </w:rPr>
        <w:t xml:space="preserve">S obzirom da na </w:t>
      </w:r>
      <w:r w:rsidR="00A85E72" w:rsidRPr="007956D0">
        <w:rPr>
          <w:rFonts w:ascii="Arial" w:hAnsi="Arial" w:cs="Arial"/>
          <w:noProof/>
        </w:rPr>
        <w:t>prostoru pojave tehničko-</w:t>
      </w:r>
      <w:r w:rsidR="00925256" w:rsidRPr="007956D0">
        <w:rPr>
          <w:rFonts w:ascii="Arial" w:hAnsi="Arial" w:cs="Arial"/>
          <w:noProof/>
        </w:rPr>
        <w:t xml:space="preserve">građevinskog kamena </w:t>
      </w:r>
      <w:r w:rsidR="00183B94" w:rsidRPr="007956D0">
        <w:rPr>
          <w:rFonts w:ascii="Arial" w:hAnsi="Arial" w:cs="Arial"/>
          <w:noProof/>
        </w:rPr>
        <w:t>“Velja Gorana”</w:t>
      </w:r>
      <w:r w:rsidR="00FF101B" w:rsidRPr="007956D0">
        <w:rPr>
          <w:rFonts w:ascii="Arial" w:hAnsi="Arial" w:cs="Arial"/>
          <w:noProof/>
        </w:rPr>
        <w:t xml:space="preserve"> ni</w:t>
      </w:r>
      <w:r w:rsidR="00A85E72" w:rsidRPr="007956D0">
        <w:rPr>
          <w:rFonts w:ascii="Arial" w:hAnsi="Arial" w:cs="Arial"/>
          <w:noProof/>
        </w:rPr>
        <w:t xml:space="preserve">su vršena </w:t>
      </w:r>
      <w:r w:rsidRPr="007956D0">
        <w:rPr>
          <w:rFonts w:ascii="Arial" w:hAnsi="Arial" w:cs="Arial"/>
          <w:noProof/>
        </w:rPr>
        <w:t xml:space="preserve">detaljna geološka istraživanja </w:t>
      </w:r>
      <w:r w:rsidR="00E0285B" w:rsidRPr="007956D0">
        <w:rPr>
          <w:rFonts w:ascii="Arial" w:hAnsi="Arial" w:cs="Arial"/>
          <w:noProof/>
        </w:rPr>
        <w:t>može se govoriti samo</w:t>
      </w:r>
      <w:r w:rsidR="00A85E72" w:rsidRPr="007956D0">
        <w:rPr>
          <w:rFonts w:ascii="Arial" w:hAnsi="Arial" w:cs="Arial"/>
          <w:noProof/>
        </w:rPr>
        <w:t xml:space="preserve"> </w:t>
      </w:r>
      <w:r w:rsidR="00E0285B" w:rsidRPr="007956D0">
        <w:rPr>
          <w:rFonts w:ascii="Arial" w:hAnsi="Arial" w:cs="Arial"/>
          <w:noProof/>
        </w:rPr>
        <w:t xml:space="preserve">o </w:t>
      </w:r>
      <w:r w:rsidR="00A85E72" w:rsidRPr="007956D0">
        <w:rPr>
          <w:rFonts w:ascii="Arial" w:hAnsi="Arial" w:cs="Arial"/>
          <w:noProof/>
        </w:rPr>
        <w:t>pro</w:t>
      </w:r>
      <w:r w:rsidR="00925256" w:rsidRPr="007956D0">
        <w:rPr>
          <w:rFonts w:ascii="Arial" w:hAnsi="Arial" w:cs="Arial"/>
          <w:noProof/>
        </w:rPr>
        <w:t>gnozn</w:t>
      </w:r>
      <w:r w:rsidR="00E0285B" w:rsidRPr="007956D0">
        <w:rPr>
          <w:rFonts w:ascii="Arial" w:hAnsi="Arial" w:cs="Arial"/>
          <w:noProof/>
        </w:rPr>
        <w:t>im</w:t>
      </w:r>
      <w:r w:rsidR="00925256" w:rsidRPr="007956D0">
        <w:rPr>
          <w:rFonts w:ascii="Arial" w:hAnsi="Arial" w:cs="Arial"/>
          <w:noProof/>
        </w:rPr>
        <w:t xml:space="preserve"> rezerv</w:t>
      </w:r>
      <w:r w:rsidR="00E0285B" w:rsidRPr="007956D0">
        <w:rPr>
          <w:rFonts w:ascii="Arial" w:hAnsi="Arial" w:cs="Arial"/>
          <w:noProof/>
        </w:rPr>
        <w:t>ama</w:t>
      </w:r>
      <w:r w:rsidR="00925256" w:rsidRPr="007956D0">
        <w:rPr>
          <w:rFonts w:ascii="Arial" w:hAnsi="Arial" w:cs="Arial"/>
          <w:noProof/>
        </w:rPr>
        <w:t xml:space="preserve"> koje iznose oko </w:t>
      </w:r>
      <w:r w:rsidR="003A2272" w:rsidRPr="007956D0">
        <w:rPr>
          <w:rFonts w:ascii="Arial" w:hAnsi="Arial" w:cs="Arial"/>
          <w:noProof/>
        </w:rPr>
        <w:t>3</w:t>
      </w:r>
      <w:r w:rsidR="00D620F2" w:rsidRPr="007956D0">
        <w:rPr>
          <w:rFonts w:ascii="Arial" w:hAnsi="Arial" w:cs="Arial"/>
          <w:noProof/>
        </w:rPr>
        <w:t>.0</w:t>
      </w:r>
      <w:r w:rsidR="00A85E72" w:rsidRPr="007956D0">
        <w:rPr>
          <w:rFonts w:ascii="Arial" w:hAnsi="Arial" w:cs="Arial"/>
          <w:noProof/>
        </w:rPr>
        <w:t>00.000 m</w:t>
      </w:r>
      <w:r w:rsidR="00A85E72" w:rsidRPr="007956D0">
        <w:rPr>
          <w:rFonts w:ascii="Arial" w:hAnsi="Arial" w:cs="Arial"/>
          <w:noProof/>
          <w:vertAlign w:val="superscript"/>
        </w:rPr>
        <w:t>3</w:t>
      </w:r>
      <w:r w:rsidR="00A85E72" w:rsidRPr="007956D0">
        <w:rPr>
          <w:rFonts w:ascii="Arial" w:hAnsi="Arial" w:cs="Arial"/>
          <w:noProof/>
        </w:rPr>
        <w:t xml:space="preserve"> č.s.m.</w:t>
      </w:r>
    </w:p>
    <w:p w:rsidR="00D021C0" w:rsidRPr="007956D0" w:rsidRDefault="00D021C0" w:rsidP="00D021C0">
      <w:pPr>
        <w:pStyle w:val="BodyText"/>
        <w:spacing w:after="0" w:line="240" w:lineRule="auto"/>
        <w:jc w:val="both"/>
        <w:rPr>
          <w:rFonts w:ascii="Arial" w:hAnsi="Arial" w:cs="Arial"/>
          <w:noProof/>
        </w:rPr>
      </w:pPr>
    </w:p>
    <w:p w:rsidR="00A85E72" w:rsidRPr="007956D0" w:rsidRDefault="00A85E72" w:rsidP="00D021C0">
      <w:pPr>
        <w:pStyle w:val="BodyText"/>
        <w:spacing w:after="0" w:line="240" w:lineRule="auto"/>
        <w:jc w:val="both"/>
        <w:rPr>
          <w:rFonts w:ascii="Arial" w:hAnsi="Arial" w:cs="Arial"/>
          <w:noProof/>
        </w:rPr>
      </w:pPr>
      <w:r w:rsidRPr="007956D0">
        <w:rPr>
          <w:rFonts w:ascii="Arial" w:hAnsi="Arial" w:cs="Arial"/>
          <w:noProof/>
        </w:rPr>
        <w:t>Za optimalno poznavanje ležišta</w:t>
      </w:r>
      <w:r w:rsidR="00FF101B" w:rsidRPr="007956D0">
        <w:rPr>
          <w:rFonts w:ascii="Arial" w:hAnsi="Arial" w:cs="Arial"/>
          <w:noProof/>
        </w:rPr>
        <w:t>,</w:t>
      </w:r>
      <w:r w:rsidRPr="007956D0">
        <w:rPr>
          <w:rFonts w:ascii="Arial" w:hAnsi="Arial" w:cs="Arial"/>
          <w:noProof/>
        </w:rPr>
        <w:t xml:space="preserve"> u smislu utvrđenih rezervi viših kategorija, njihovog kvaliteta, ležišnih uslova, a u vezi sa tim</w:t>
      </w:r>
      <w:r w:rsidR="00E0285B" w:rsidRPr="007956D0">
        <w:rPr>
          <w:rFonts w:ascii="Arial" w:hAnsi="Arial" w:cs="Arial"/>
          <w:noProof/>
        </w:rPr>
        <w:t>,</w:t>
      </w:r>
      <w:r w:rsidRPr="007956D0">
        <w:rPr>
          <w:rFonts w:ascii="Arial" w:hAnsi="Arial" w:cs="Arial"/>
          <w:noProof/>
        </w:rPr>
        <w:t xml:space="preserve"> i mogućnost primjene i plasmana na tržište, budući Koncesinar je dužan da izvede detaljna geološka istraživanja na istražno-e</w:t>
      </w:r>
      <w:r w:rsidR="00E0212F" w:rsidRPr="007956D0">
        <w:rPr>
          <w:rFonts w:ascii="Arial" w:hAnsi="Arial" w:cs="Arial"/>
          <w:noProof/>
        </w:rPr>
        <w:t>ks</w:t>
      </w:r>
      <w:r w:rsidRPr="007956D0">
        <w:rPr>
          <w:rFonts w:ascii="Arial" w:hAnsi="Arial" w:cs="Arial"/>
          <w:noProof/>
        </w:rPr>
        <w:t xml:space="preserve">ploatacionom prostoru </w:t>
      </w:r>
      <w:r w:rsidR="00183B94" w:rsidRPr="007956D0">
        <w:rPr>
          <w:rFonts w:ascii="Arial" w:hAnsi="Arial" w:cs="Arial"/>
          <w:noProof/>
        </w:rPr>
        <w:t>“Velja Gorana”</w:t>
      </w:r>
      <w:r w:rsidR="00477320" w:rsidRPr="007956D0">
        <w:rPr>
          <w:rFonts w:ascii="Arial" w:hAnsi="Arial" w:cs="Arial"/>
          <w:noProof/>
        </w:rPr>
        <w:t xml:space="preserve"> </w:t>
      </w:r>
      <w:r w:rsidRPr="007956D0">
        <w:rPr>
          <w:rFonts w:ascii="Arial" w:hAnsi="Arial" w:cs="Arial"/>
          <w:noProof/>
        </w:rPr>
        <w:t>i da rezultate sprovedenih istraživanja prikaže u Elaboratu o klasifikaciji, kategorizaciji i proračunu rezervi tehničko-građevin</w:t>
      </w:r>
      <w:r w:rsidR="00D620F2" w:rsidRPr="007956D0">
        <w:rPr>
          <w:rFonts w:ascii="Arial" w:hAnsi="Arial" w:cs="Arial"/>
          <w:noProof/>
        </w:rPr>
        <w:t>skog kamena ležišta</w:t>
      </w:r>
      <w:r w:rsidR="00925256" w:rsidRPr="007956D0">
        <w:rPr>
          <w:rFonts w:ascii="Arial" w:hAnsi="Arial" w:cs="Arial"/>
          <w:noProof/>
        </w:rPr>
        <w:t xml:space="preserve"> </w:t>
      </w:r>
      <w:r w:rsidR="00183B94" w:rsidRPr="007956D0">
        <w:rPr>
          <w:rFonts w:ascii="Arial" w:hAnsi="Arial" w:cs="Arial"/>
          <w:noProof/>
        </w:rPr>
        <w:t>“Velja Gorana”</w:t>
      </w:r>
      <w:r w:rsidR="00E0285B" w:rsidRPr="007956D0">
        <w:rPr>
          <w:rFonts w:ascii="Arial" w:hAnsi="Arial" w:cs="Arial"/>
          <w:noProof/>
        </w:rPr>
        <w:t>.</w:t>
      </w:r>
    </w:p>
    <w:p w:rsidR="00DA5F8F" w:rsidRPr="007956D0" w:rsidRDefault="00DA5F8F" w:rsidP="00D021C0">
      <w:pPr>
        <w:pStyle w:val="BodyText"/>
        <w:spacing w:after="0" w:line="240" w:lineRule="auto"/>
        <w:jc w:val="both"/>
        <w:rPr>
          <w:rFonts w:ascii="Arial" w:hAnsi="Arial" w:cs="Arial"/>
          <w:noProof/>
        </w:rPr>
      </w:pPr>
    </w:p>
    <w:p w:rsidR="00A85E72" w:rsidRPr="007956D0" w:rsidRDefault="00A85E72" w:rsidP="00D021C0">
      <w:pPr>
        <w:pStyle w:val="BodyText"/>
        <w:spacing w:after="0" w:line="240" w:lineRule="auto"/>
        <w:jc w:val="both"/>
        <w:rPr>
          <w:rFonts w:ascii="Arial" w:hAnsi="Arial" w:cs="Arial"/>
          <w:noProof/>
        </w:rPr>
      </w:pPr>
      <w:r w:rsidRPr="007956D0">
        <w:rPr>
          <w:rFonts w:ascii="Arial" w:hAnsi="Arial" w:cs="Arial"/>
          <w:noProof/>
        </w:rPr>
        <w:t>Geološki istražni proces (izrada i revizija Projekta detaljnih geoloških istraživanja, izvođenje istražnih radova po istom i izrada Elaborata o klasifikaciji, kategorizaciji i proračunu rezervi tehničko-građevin</w:t>
      </w:r>
      <w:r w:rsidR="00F03306" w:rsidRPr="007956D0">
        <w:rPr>
          <w:rFonts w:ascii="Arial" w:hAnsi="Arial" w:cs="Arial"/>
          <w:noProof/>
        </w:rPr>
        <w:t xml:space="preserve">skog kamena ležišta </w:t>
      </w:r>
      <w:r w:rsidR="00183B94" w:rsidRPr="007956D0">
        <w:rPr>
          <w:rFonts w:ascii="Arial" w:hAnsi="Arial" w:cs="Arial"/>
          <w:noProof/>
        </w:rPr>
        <w:t>“Velja Gorana”</w:t>
      </w:r>
      <w:r w:rsidRPr="007956D0">
        <w:rPr>
          <w:rFonts w:ascii="Arial" w:hAnsi="Arial" w:cs="Arial"/>
          <w:noProof/>
        </w:rPr>
        <w:t xml:space="preserve">) budući Koncesionar će uraditi u roku od </w:t>
      </w:r>
      <w:r w:rsidR="00E0285B" w:rsidRPr="007956D0">
        <w:rPr>
          <w:rFonts w:ascii="Arial" w:hAnsi="Arial" w:cs="Arial"/>
          <w:noProof/>
        </w:rPr>
        <w:t>godinu dana</w:t>
      </w:r>
      <w:r w:rsidRPr="007956D0">
        <w:rPr>
          <w:rFonts w:ascii="Arial" w:hAnsi="Arial" w:cs="Arial"/>
          <w:noProof/>
        </w:rPr>
        <w:t xml:space="preserve"> od dana zaključenja Ugovora o koncesiji.</w:t>
      </w:r>
    </w:p>
    <w:p w:rsidR="00D021C0" w:rsidRPr="007956D0" w:rsidRDefault="00D021C0" w:rsidP="00D021C0">
      <w:pPr>
        <w:pStyle w:val="BodyText"/>
        <w:spacing w:after="0" w:line="240" w:lineRule="auto"/>
        <w:jc w:val="both"/>
        <w:rPr>
          <w:rFonts w:ascii="Arial" w:hAnsi="Arial" w:cs="Arial"/>
          <w:noProof/>
        </w:rPr>
      </w:pPr>
    </w:p>
    <w:p w:rsidR="00913DB8" w:rsidRPr="007956D0" w:rsidRDefault="00913DB8" w:rsidP="00D021C0">
      <w:pPr>
        <w:pStyle w:val="BodyText"/>
        <w:spacing w:after="0" w:line="240" w:lineRule="auto"/>
        <w:jc w:val="both"/>
        <w:rPr>
          <w:rFonts w:ascii="Arial" w:hAnsi="Arial" w:cs="Arial"/>
          <w:noProof/>
        </w:rPr>
      </w:pPr>
      <w:r w:rsidRPr="007956D0">
        <w:rPr>
          <w:rFonts w:ascii="Arial" w:hAnsi="Arial" w:cs="Arial"/>
          <w:noProof/>
        </w:rPr>
        <w:t>Ovim koncesionim aktom daje se maksimalni rok koncesije za eksploataciju tehničko-građevinskog kamen</w:t>
      </w:r>
      <w:r w:rsidR="00107794" w:rsidRPr="007956D0">
        <w:rPr>
          <w:rFonts w:ascii="Arial" w:hAnsi="Arial" w:cs="Arial"/>
          <w:noProof/>
        </w:rPr>
        <w:t xml:space="preserve">a iz lokaliteta </w:t>
      </w:r>
      <w:r w:rsidR="00183B94" w:rsidRPr="007956D0">
        <w:rPr>
          <w:rFonts w:ascii="Arial" w:hAnsi="Arial" w:cs="Arial"/>
          <w:noProof/>
        </w:rPr>
        <w:t>“Velja Gorana”</w:t>
      </w:r>
      <w:r w:rsidR="001966E1" w:rsidRPr="007956D0">
        <w:rPr>
          <w:rFonts w:ascii="Arial" w:hAnsi="Arial" w:cs="Arial"/>
          <w:noProof/>
        </w:rPr>
        <w:t xml:space="preserve"> </w:t>
      </w:r>
      <w:r w:rsidRPr="007956D0">
        <w:rPr>
          <w:rFonts w:ascii="Arial" w:hAnsi="Arial" w:cs="Arial"/>
          <w:noProof/>
        </w:rPr>
        <w:t xml:space="preserve">na period od 30 godina, sa minimalnom godišnjom proizvodnjom od </w:t>
      </w:r>
      <w:r w:rsidR="0013707F" w:rsidRPr="007956D0">
        <w:rPr>
          <w:rFonts w:ascii="Arial" w:hAnsi="Arial" w:cs="Arial"/>
          <w:noProof/>
        </w:rPr>
        <w:t>20</w:t>
      </w:r>
      <w:r w:rsidRPr="007956D0">
        <w:rPr>
          <w:rFonts w:ascii="Arial" w:hAnsi="Arial" w:cs="Arial"/>
          <w:noProof/>
        </w:rPr>
        <w:t>.000 m</w:t>
      </w:r>
      <w:r w:rsidRPr="007956D0">
        <w:rPr>
          <w:rFonts w:ascii="Arial" w:hAnsi="Arial" w:cs="Arial"/>
          <w:noProof/>
          <w:vertAlign w:val="superscript"/>
        </w:rPr>
        <w:t>3</w:t>
      </w:r>
      <w:r w:rsidR="00785C23" w:rsidRPr="007956D0">
        <w:rPr>
          <w:rFonts w:ascii="Arial" w:hAnsi="Arial" w:cs="Arial"/>
          <w:noProof/>
        </w:rPr>
        <w:t xml:space="preserve"> </w:t>
      </w:r>
      <w:r w:rsidRPr="007956D0">
        <w:rPr>
          <w:rFonts w:ascii="Arial" w:hAnsi="Arial" w:cs="Arial"/>
          <w:noProof/>
        </w:rPr>
        <w:t xml:space="preserve">č.s.m., odnosno oko </w:t>
      </w:r>
      <w:r w:rsidR="0013707F" w:rsidRPr="007956D0">
        <w:rPr>
          <w:rFonts w:ascii="Arial" w:hAnsi="Arial" w:cs="Arial"/>
          <w:noProof/>
        </w:rPr>
        <w:t>30</w:t>
      </w:r>
      <w:r w:rsidRPr="007956D0">
        <w:rPr>
          <w:rFonts w:ascii="Arial" w:hAnsi="Arial" w:cs="Arial"/>
          <w:noProof/>
        </w:rPr>
        <w:t>.000 m</w:t>
      </w:r>
      <w:r w:rsidRPr="007956D0">
        <w:rPr>
          <w:rFonts w:ascii="Arial" w:hAnsi="Arial" w:cs="Arial"/>
          <w:noProof/>
          <w:vertAlign w:val="superscript"/>
        </w:rPr>
        <w:t>3</w:t>
      </w:r>
      <w:r w:rsidRPr="007956D0">
        <w:rPr>
          <w:rFonts w:ascii="Arial" w:hAnsi="Arial" w:cs="Arial"/>
          <w:noProof/>
        </w:rPr>
        <w:t xml:space="preserve"> agregata različitih frakcija. </w:t>
      </w:r>
    </w:p>
    <w:p w:rsidR="00913DB8" w:rsidRPr="007956D0" w:rsidRDefault="00913DB8" w:rsidP="00D021C0">
      <w:pPr>
        <w:pStyle w:val="BodyText"/>
        <w:spacing w:after="0" w:line="240" w:lineRule="auto"/>
        <w:jc w:val="both"/>
        <w:rPr>
          <w:rFonts w:ascii="Arial" w:hAnsi="Arial" w:cs="Arial"/>
          <w:noProof/>
        </w:rPr>
      </w:pPr>
      <w:r w:rsidRPr="007956D0">
        <w:rPr>
          <w:rFonts w:ascii="Arial" w:hAnsi="Arial" w:cs="Arial"/>
          <w:noProof/>
        </w:rPr>
        <w:t xml:space="preserve">Koncesija za eksploataciju tehničko-građevinskog kamena iz </w:t>
      </w:r>
      <w:r w:rsidR="0013707F" w:rsidRPr="007956D0">
        <w:rPr>
          <w:rFonts w:ascii="Arial" w:hAnsi="Arial" w:cs="Arial"/>
          <w:noProof/>
        </w:rPr>
        <w:t xml:space="preserve">lokaliteta </w:t>
      </w:r>
      <w:r w:rsidR="00183B94" w:rsidRPr="007956D0">
        <w:rPr>
          <w:rFonts w:ascii="Arial" w:hAnsi="Arial" w:cs="Arial"/>
          <w:noProof/>
        </w:rPr>
        <w:t>“Velja Gorana”</w:t>
      </w:r>
      <w:r w:rsidRPr="007956D0">
        <w:rPr>
          <w:rFonts w:ascii="Arial" w:hAnsi="Arial" w:cs="Arial"/>
          <w:noProof/>
        </w:rPr>
        <w:t xml:space="preserve"> daje se na maksimalni period od 30 godina, od čega: </w:t>
      </w:r>
    </w:p>
    <w:p w:rsidR="00D021C0" w:rsidRPr="007956D0" w:rsidRDefault="00D021C0" w:rsidP="00D021C0">
      <w:pPr>
        <w:pStyle w:val="BodyText"/>
        <w:spacing w:after="0" w:line="240" w:lineRule="auto"/>
        <w:jc w:val="both"/>
        <w:rPr>
          <w:rFonts w:ascii="Arial" w:hAnsi="Arial" w:cs="Arial"/>
          <w:noProof/>
        </w:rPr>
      </w:pPr>
    </w:p>
    <w:p w:rsidR="00913DB8" w:rsidRPr="007956D0" w:rsidRDefault="00913DB8" w:rsidP="005B518B">
      <w:pPr>
        <w:pStyle w:val="ListParagraph"/>
        <w:numPr>
          <w:ilvl w:val="0"/>
          <w:numId w:val="20"/>
        </w:numPr>
        <w:shd w:val="clear" w:color="auto" w:fill="FFFFFF"/>
        <w:spacing w:after="0" w:line="240" w:lineRule="auto"/>
        <w:contextualSpacing w:val="0"/>
        <w:jc w:val="both"/>
        <w:rPr>
          <w:rFonts w:ascii="Arial" w:eastAsia="Times New Roman" w:hAnsi="Arial" w:cs="Arial"/>
          <w:noProof/>
        </w:rPr>
      </w:pPr>
      <w:r w:rsidRPr="007956D0">
        <w:rPr>
          <w:rFonts w:ascii="Arial" w:eastAsia="Times New Roman" w:hAnsi="Arial" w:cs="Arial"/>
          <w:noProof/>
        </w:rPr>
        <w:t xml:space="preserve">jedna godina za detaljna geološka istraživanja, </w:t>
      </w:r>
    </w:p>
    <w:p w:rsidR="00913DB8" w:rsidRPr="007956D0" w:rsidRDefault="00913DB8" w:rsidP="005B518B">
      <w:pPr>
        <w:pStyle w:val="ListParagraph"/>
        <w:numPr>
          <w:ilvl w:val="0"/>
          <w:numId w:val="19"/>
        </w:numPr>
        <w:shd w:val="clear" w:color="auto" w:fill="FFFFFF"/>
        <w:spacing w:after="0" w:line="240" w:lineRule="auto"/>
        <w:contextualSpacing w:val="0"/>
        <w:jc w:val="both"/>
        <w:rPr>
          <w:rFonts w:ascii="Arial" w:eastAsia="Times New Roman" w:hAnsi="Arial" w:cs="Arial"/>
          <w:noProof/>
        </w:rPr>
      </w:pPr>
      <w:r w:rsidRPr="007956D0">
        <w:rPr>
          <w:rFonts w:ascii="Arial" w:hAnsi="Arial" w:cs="Arial"/>
          <w:noProof/>
        </w:rPr>
        <w:t xml:space="preserve">jedna godina za: izradu rudarske dokumentacije, pribavljanja odobrenja, saglasnosti i dozvola za izvođenje radova po istoj, pripremu ležišta za eksploataciju, instaliranje postrojenja i opreme potrebne za eksploataciju, kao i pribavljanje upotrebne dozvole za izgrađene objekte, </w:t>
      </w:r>
    </w:p>
    <w:p w:rsidR="00913DB8" w:rsidRPr="007956D0" w:rsidRDefault="00913DB8" w:rsidP="005B518B">
      <w:pPr>
        <w:pStyle w:val="ListParagraph"/>
        <w:numPr>
          <w:ilvl w:val="0"/>
          <w:numId w:val="19"/>
        </w:numPr>
        <w:shd w:val="clear" w:color="auto" w:fill="FFFFFF"/>
        <w:spacing w:after="0" w:line="240" w:lineRule="auto"/>
        <w:contextualSpacing w:val="0"/>
        <w:jc w:val="both"/>
        <w:rPr>
          <w:rFonts w:ascii="Arial" w:eastAsia="Times New Roman" w:hAnsi="Arial" w:cs="Arial"/>
          <w:noProof/>
        </w:rPr>
      </w:pPr>
      <w:r w:rsidRPr="007956D0">
        <w:rPr>
          <w:rFonts w:ascii="Arial" w:eastAsia="Times New Roman" w:hAnsi="Arial" w:cs="Arial"/>
          <w:noProof/>
        </w:rPr>
        <w:t>28 (dvadeset osam) godina za eksploataciju mineralne sirovine.</w:t>
      </w:r>
    </w:p>
    <w:p w:rsidR="00CE396D" w:rsidRPr="007956D0" w:rsidRDefault="00CE396D" w:rsidP="00CE396D">
      <w:pPr>
        <w:shd w:val="clear" w:color="auto" w:fill="FFFFFF"/>
        <w:spacing w:after="0" w:line="240" w:lineRule="auto"/>
        <w:ind w:left="360"/>
        <w:jc w:val="both"/>
        <w:rPr>
          <w:rFonts w:ascii="Arial" w:eastAsia="Times New Roman" w:hAnsi="Arial" w:cs="Arial"/>
          <w:noProof/>
        </w:rPr>
      </w:pPr>
    </w:p>
    <w:p w:rsidR="00CE396D" w:rsidRPr="007956D0" w:rsidRDefault="00CE396D" w:rsidP="00CE396D">
      <w:pPr>
        <w:shd w:val="clear" w:color="auto" w:fill="FFFFFF"/>
        <w:spacing w:after="0" w:line="240" w:lineRule="auto"/>
        <w:jc w:val="both"/>
        <w:rPr>
          <w:rFonts w:ascii="Arial" w:eastAsia="Times New Roman" w:hAnsi="Arial" w:cs="Arial"/>
          <w:noProof/>
        </w:rPr>
      </w:pPr>
      <w:r w:rsidRPr="007956D0">
        <w:rPr>
          <w:rFonts w:ascii="Arial" w:eastAsia="Times New Roman" w:hAnsi="Arial" w:cs="Arial"/>
          <w:lang w:val="sr-Latn-CS"/>
        </w:rPr>
        <w:t>U</w:t>
      </w:r>
      <w:r w:rsidRPr="007956D0">
        <w:rPr>
          <w:rFonts w:ascii="Arial" w:eastAsia="Times New Roman" w:hAnsi="Arial" w:cs="Arial"/>
        </w:rPr>
        <w:t>kupan koncesioni period, koji obuhvata sve gore navedene faze, ne prelazi zakonom definisan rok trajanja koncesije od 30 godina</w:t>
      </w:r>
      <w:r w:rsidR="00D94FCC" w:rsidRPr="007956D0">
        <w:rPr>
          <w:rFonts w:ascii="Arial" w:eastAsia="Times New Roman" w:hAnsi="Arial" w:cs="Arial"/>
        </w:rPr>
        <w:t>.</w:t>
      </w:r>
    </w:p>
    <w:p w:rsidR="00D021C0" w:rsidRPr="007956D0" w:rsidRDefault="00D021C0" w:rsidP="00D021C0">
      <w:pPr>
        <w:pStyle w:val="BodyText"/>
        <w:spacing w:after="0" w:line="240" w:lineRule="auto"/>
        <w:jc w:val="both"/>
        <w:rPr>
          <w:rFonts w:ascii="Arial" w:hAnsi="Arial" w:cs="Arial"/>
          <w:noProof/>
        </w:rPr>
      </w:pPr>
    </w:p>
    <w:p w:rsidR="00AC0094" w:rsidRPr="007956D0" w:rsidRDefault="00AC0094" w:rsidP="00D021C0">
      <w:pPr>
        <w:pStyle w:val="BodyText"/>
        <w:spacing w:after="0" w:line="240" w:lineRule="auto"/>
        <w:jc w:val="both"/>
        <w:rPr>
          <w:rFonts w:ascii="Arial" w:hAnsi="Arial" w:cs="Arial"/>
          <w:noProof/>
        </w:rPr>
      </w:pPr>
      <w:r w:rsidRPr="007956D0">
        <w:rPr>
          <w:rFonts w:ascii="Arial" w:hAnsi="Arial" w:cs="Arial"/>
          <w:noProof/>
        </w:rPr>
        <w:t>Rok trajanja faze detaljnih geoloških istraživanja i izrade rudarske i tehničke dokumentacije i pripremnih radova se ne može mijenjati.</w:t>
      </w:r>
    </w:p>
    <w:p w:rsidR="00760267" w:rsidRPr="007956D0" w:rsidRDefault="00760267" w:rsidP="00D021C0">
      <w:pPr>
        <w:pStyle w:val="BodyText"/>
        <w:spacing w:after="0" w:line="240" w:lineRule="auto"/>
        <w:jc w:val="both"/>
        <w:rPr>
          <w:rFonts w:ascii="Arial" w:hAnsi="Arial" w:cs="Arial"/>
          <w:noProof/>
        </w:rPr>
      </w:pPr>
    </w:p>
    <w:p w:rsidR="00D021C0" w:rsidRPr="007956D0" w:rsidRDefault="00D021C0" w:rsidP="00D021C0">
      <w:pPr>
        <w:pStyle w:val="BodyText"/>
        <w:spacing w:after="0" w:line="240" w:lineRule="auto"/>
        <w:jc w:val="both"/>
        <w:rPr>
          <w:rFonts w:ascii="Arial" w:hAnsi="Arial" w:cs="Arial"/>
          <w:noProof/>
        </w:rPr>
      </w:pPr>
    </w:p>
    <w:p w:rsidR="00D620F2" w:rsidRPr="007956D0" w:rsidRDefault="006A68F3" w:rsidP="005B518B">
      <w:pPr>
        <w:pStyle w:val="Heading1"/>
        <w:numPr>
          <w:ilvl w:val="0"/>
          <w:numId w:val="18"/>
        </w:numPr>
        <w:ind w:left="360"/>
        <w:rPr>
          <w:noProof/>
        </w:rPr>
      </w:pPr>
      <w:bookmarkStart w:id="4" w:name="_Toc402262934"/>
      <w:bookmarkStart w:id="5" w:name="_Toc4581258"/>
      <w:r w:rsidRPr="007956D0">
        <w:rPr>
          <w:noProof/>
        </w:rPr>
        <w:lastRenderedPageBreak/>
        <w:t>OSNOVNI PARAMETRI ZA OCJENU EKONOMSKE OPRAVDANOSTI INVESTICIJE</w:t>
      </w:r>
      <w:bookmarkEnd w:id="4"/>
      <w:bookmarkEnd w:id="5"/>
    </w:p>
    <w:p w:rsidR="00D021C0" w:rsidRPr="007956D0" w:rsidRDefault="00D021C0" w:rsidP="00D021C0">
      <w:pPr>
        <w:pStyle w:val="ListParagraph"/>
        <w:spacing w:after="0" w:line="240" w:lineRule="auto"/>
        <w:ind w:left="0"/>
        <w:rPr>
          <w:rFonts w:ascii="Arial" w:hAnsi="Arial" w:cs="Arial"/>
          <w:i/>
          <w:noProof/>
          <w:u w:val="single"/>
        </w:rPr>
      </w:pPr>
    </w:p>
    <w:p w:rsidR="00CE396D" w:rsidRPr="007956D0" w:rsidRDefault="00D620F2" w:rsidP="00CE396D">
      <w:pPr>
        <w:pStyle w:val="ListParagraph"/>
        <w:spacing w:after="0" w:line="240" w:lineRule="auto"/>
        <w:ind w:left="0"/>
        <w:rPr>
          <w:rFonts w:ascii="Arial" w:hAnsi="Arial" w:cs="Arial"/>
          <w:i/>
          <w:noProof/>
          <w:u w:val="single"/>
        </w:rPr>
      </w:pPr>
      <w:r w:rsidRPr="007956D0">
        <w:rPr>
          <w:rFonts w:ascii="Arial" w:hAnsi="Arial" w:cs="Arial"/>
          <w:i/>
          <w:noProof/>
          <w:u w:val="single"/>
        </w:rPr>
        <w:t>Opis tehničko-tehnološkog procesa eksploatacije</w:t>
      </w:r>
    </w:p>
    <w:p w:rsidR="00CE396D" w:rsidRPr="007956D0" w:rsidRDefault="00CE396D" w:rsidP="00CE396D">
      <w:pPr>
        <w:pStyle w:val="ListParagraph"/>
        <w:spacing w:after="0" w:line="240" w:lineRule="auto"/>
        <w:ind w:left="0"/>
        <w:rPr>
          <w:rFonts w:ascii="Arial" w:hAnsi="Arial" w:cs="Arial"/>
          <w:i/>
          <w:noProof/>
          <w:u w:val="single"/>
        </w:rPr>
      </w:pPr>
    </w:p>
    <w:p w:rsidR="00D620F2" w:rsidRPr="007956D0" w:rsidRDefault="00D620F2" w:rsidP="00CE396D">
      <w:pPr>
        <w:pStyle w:val="ListParagraph"/>
        <w:spacing w:after="0" w:line="240" w:lineRule="auto"/>
        <w:ind w:left="0"/>
        <w:rPr>
          <w:rFonts w:ascii="Arial" w:hAnsi="Arial" w:cs="Arial"/>
          <w:noProof/>
        </w:rPr>
      </w:pPr>
      <w:r w:rsidRPr="007956D0">
        <w:rPr>
          <w:rFonts w:ascii="Arial" w:hAnsi="Arial" w:cs="Arial"/>
          <w:noProof/>
        </w:rPr>
        <w:t>U ovom poglavlju daju se osnovni parametri koji treba da posluže ponuđačima, odnosno potencijalnim investitorima pri obradi proizvodnog i ekonomsk</w:t>
      </w:r>
      <w:r w:rsidR="003F58F1" w:rsidRPr="007956D0">
        <w:rPr>
          <w:rFonts w:ascii="Arial" w:hAnsi="Arial" w:cs="Arial"/>
          <w:noProof/>
        </w:rPr>
        <w:t>og aspekta</w:t>
      </w:r>
      <w:r w:rsidRPr="007956D0">
        <w:rPr>
          <w:rFonts w:ascii="Arial" w:hAnsi="Arial" w:cs="Arial"/>
          <w:noProof/>
        </w:rPr>
        <w:t xml:space="preserve"> ponude i tehn</w:t>
      </w:r>
      <w:r w:rsidR="00E530C1" w:rsidRPr="007956D0">
        <w:rPr>
          <w:rFonts w:ascii="Arial" w:hAnsi="Arial" w:cs="Arial"/>
          <w:noProof/>
        </w:rPr>
        <w:t>ičko</w:t>
      </w:r>
      <w:r w:rsidRPr="007956D0">
        <w:rPr>
          <w:rFonts w:ascii="Arial" w:hAnsi="Arial" w:cs="Arial"/>
          <w:noProof/>
        </w:rPr>
        <w:t>-ekonomske ocjene opravdanosti ove investicije.</w:t>
      </w:r>
    </w:p>
    <w:p w:rsidR="00D021C0" w:rsidRPr="007956D0" w:rsidRDefault="00D021C0" w:rsidP="00D021C0">
      <w:pPr>
        <w:pStyle w:val="BodyText"/>
        <w:spacing w:after="0" w:line="240" w:lineRule="auto"/>
        <w:jc w:val="both"/>
        <w:rPr>
          <w:rFonts w:ascii="Arial" w:hAnsi="Arial" w:cs="Arial"/>
          <w:noProof/>
        </w:rPr>
      </w:pPr>
    </w:p>
    <w:p w:rsidR="00D620F2" w:rsidRPr="007956D0" w:rsidRDefault="00E21B44" w:rsidP="00D021C0">
      <w:pPr>
        <w:pStyle w:val="Heading2"/>
        <w:spacing w:before="0" w:after="0" w:line="240" w:lineRule="auto"/>
        <w:ind w:left="576" w:hanging="576"/>
        <w:rPr>
          <w:b/>
          <w:noProof/>
        </w:rPr>
      </w:pPr>
      <w:bookmarkStart w:id="6" w:name="_Toc402262936"/>
      <w:r w:rsidRPr="007956D0">
        <w:rPr>
          <w:b/>
          <w:noProof/>
        </w:rPr>
        <w:t>3</w:t>
      </w:r>
      <w:r w:rsidR="00472C68" w:rsidRPr="007956D0">
        <w:rPr>
          <w:b/>
          <w:noProof/>
        </w:rPr>
        <w:t xml:space="preserve">.1. </w:t>
      </w:r>
      <w:r w:rsidR="00D620F2" w:rsidRPr="007956D0">
        <w:rPr>
          <w:b/>
          <w:noProof/>
        </w:rPr>
        <w:t>Ocjena mogućnosti korišćenja mineralne sirovine</w:t>
      </w:r>
      <w:bookmarkEnd w:id="6"/>
    </w:p>
    <w:p w:rsidR="00D620F2" w:rsidRPr="007956D0" w:rsidRDefault="00D620F2" w:rsidP="00D021C0">
      <w:pPr>
        <w:spacing w:after="0" w:line="240" w:lineRule="auto"/>
        <w:rPr>
          <w:rFonts w:ascii="Arial" w:hAnsi="Arial" w:cs="Arial"/>
          <w:noProof/>
        </w:rPr>
      </w:pPr>
    </w:p>
    <w:p w:rsidR="00D620F2" w:rsidRPr="007956D0" w:rsidRDefault="00787A0E" w:rsidP="00D021C0">
      <w:pPr>
        <w:shd w:val="clear" w:color="auto" w:fill="FFFFFF" w:themeFill="background1"/>
        <w:spacing w:after="0" w:line="240" w:lineRule="auto"/>
        <w:jc w:val="both"/>
        <w:rPr>
          <w:rFonts w:ascii="Arial" w:hAnsi="Arial" w:cs="Arial"/>
          <w:noProof/>
        </w:rPr>
      </w:pPr>
      <w:r w:rsidRPr="007956D0">
        <w:rPr>
          <w:rFonts w:ascii="Arial" w:hAnsi="Arial" w:cs="Arial"/>
          <w:noProof/>
        </w:rPr>
        <w:t>U poglavlju 1</w:t>
      </w:r>
      <w:r w:rsidR="00D620F2" w:rsidRPr="007956D0">
        <w:rPr>
          <w:rFonts w:ascii="Arial" w:hAnsi="Arial" w:cs="Arial"/>
          <w:noProof/>
        </w:rPr>
        <w:t>.</w:t>
      </w:r>
      <w:r w:rsidR="00B154E8" w:rsidRPr="007956D0">
        <w:rPr>
          <w:rFonts w:ascii="Arial" w:hAnsi="Arial" w:cs="Arial"/>
          <w:noProof/>
        </w:rPr>
        <w:t>1</w:t>
      </w:r>
      <w:r w:rsidR="003A2272" w:rsidRPr="007956D0">
        <w:rPr>
          <w:rFonts w:ascii="Arial" w:hAnsi="Arial" w:cs="Arial"/>
          <w:noProof/>
        </w:rPr>
        <w:t>0</w:t>
      </w:r>
      <w:r w:rsidR="003F58F1" w:rsidRPr="007956D0">
        <w:rPr>
          <w:rFonts w:ascii="Arial" w:hAnsi="Arial" w:cs="Arial"/>
          <w:noProof/>
        </w:rPr>
        <w:t>.</w:t>
      </w:r>
      <w:r w:rsidR="00D620F2" w:rsidRPr="007956D0">
        <w:rPr>
          <w:rFonts w:ascii="Arial" w:hAnsi="Arial" w:cs="Arial"/>
          <w:noProof/>
        </w:rPr>
        <w:t xml:space="preserve">ovog akta date su potencijalne rezerve i </w:t>
      </w:r>
      <w:r w:rsidR="00F57721" w:rsidRPr="007956D0">
        <w:rPr>
          <w:rFonts w:ascii="Arial" w:hAnsi="Arial" w:cs="Arial"/>
          <w:noProof/>
        </w:rPr>
        <w:t xml:space="preserve">podaci o </w:t>
      </w:r>
      <w:r w:rsidR="00D620F2" w:rsidRPr="007956D0">
        <w:rPr>
          <w:rFonts w:ascii="Arial" w:hAnsi="Arial" w:cs="Arial"/>
          <w:noProof/>
        </w:rPr>
        <w:t>kvalitet</w:t>
      </w:r>
      <w:r w:rsidR="00F57721" w:rsidRPr="007956D0">
        <w:rPr>
          <w:rFonts w:ascii="Arial" w:hAnsi="Arial" w:cs="Arial"/>
          <w:noProof/>
        </w:rPr>
        <w:t>u</w:t>
      </w:r>
      <w:r w:rsidR="00D620F2" w:rsidRPr="007956D0">
        <w:rPr>
          <w:rFonts w:ascii="Arial" w:hAnsi="Arial" w:cs="Arial"/>
          <w:noProof/>
        </w:rPr>
        <w:t xml:space="preserve"> mineralne sirovine</w:t>
      </w:r>
      <w:r w:rsidR="00F57721" w:rsidRPr="007956D0">
        <w:rPr>
          <w:rFonts w:ascii="Arial" w:hAnsi="Arial" w:cs="Arial"/>
          <w:noProof/>
        </w:rPr>
        <w:t>.</w:t>
      </w:r>
    </w:p>
    <w:p w:rsidR="00D021C0" w:rsidRPr="007956D0" w:rsidRDefault="00D021C0" w:rsidP="00CE396D">
      <w:pPr>
        <w:shd w:val="clear" w:color="auto" w:fill="FFFFFF" w:themeFill="background1"/>
        <w:spacing w:after="0" w:line="240" w:lineRule="auto"/>
        <w:jc w:val="both"/>
        <w:rPr>
          <w:rFonts w:ascii="Arial" w:hAnsi="Arial" w:cs="Arial"/>
          <w:noProof/>
        </w:rPr>
      </w:pPr>
    </w:p>
    <w:p w:rsidR="00D620F2" w:rsidRPr="007956D0" w:rsidRDefault="00E21B44" w:rsidP="00CE396D">
      <w:pPr>
        <w:pStyle w:val="Heading2"/>
        <w:shd w:val="clear" w:color="auto" w:fill="FFFFFF" w:themeFill="background1"/>
        <w:spacing w:before="0" w:after="0" w:line="240" w:lineRule="auto"/>
        <w:ind w:left="576" w:hanging="576"/>
        <w:rPr>
          <w:b/>
          <w:noProof/>
        </w:rPr>
      </w:pPr>
      <w:bookmarkStart w:id="7" w:name="_Toc402262937"/>
      <w:r w:rsidRPr="007956D0">
        <w:rPr>
          <w:b/>
          <w:noProof/>
        </w:rPr>
        <w:t>3</w:t>
      </w:r>
      <w:r w:rsidR="00472C68" w:rsidRPr="007956D0">
        <w:rPr>
          <w:b/>
          <w:noProof/>
        </w:rPr>
        <w:t xml:space="preserve">.2. </w:t>
      </w:r>
      <w:r w:rsidR="00D620F2" w:rsidRPr="007956D0">
        <w:rPr>
          <w:b/>
          <w:noProof/>
        </w:rPr>
        <w:t>Proizvodni kapacitet i vijek eksploatacije</w:t>
      </w:r>
      <w:bookmarkEnd w:id="7"/>
    </w:p>
    <w:p w:rsidR="00D021C0" w:rsidRPr="007956D0" w:rsidRDefault="00D021C0" w:rsidP="00CE396D">
      <w:pPr>
        <w:spacing w:after="0"/>
        <w:rPr>
          <w:rFonts w:ascii="Arial" w:hAnsi="Arial" w:cs="Arial"/>
        </w:rPr>
      </w:pPr>
    </w:p>
    <w:p w:rsidR="0013707F" w:rsidRPr="007956D0" w:rsidRDefault="0013707F" w:rsidP="00CE396D">
      <w:pPr>
        <w:pStyle w:val="BodyText"/>
        <w:spacing w:after="0" w:line="240" w:lineRule="auto"/>
        <w:jc w:val="both"/>
        <w:rPr>
          <w:rFonts w:ascii="Arial" w:hAnsi="Arial" w:cs="Arial"/>
          <w:noProof/>
        </w:rPr>
      </w:pPr>
      <w:r w:rsidRPr="007956D0">
        <w:rPr>
          <w:rFonts w:ascii="Arial" w:hAnsi="Arial" w:cs="Arial"/>
          <w:noProof/>
        </w:rPr>
        <w:t xml:space="preserve">Potencijalne rezerve tehničko-građevinskog kamena iznose oko </w:t>
      </w:r>
      <w:r w:rsidR="001966E1" w:rsidRPr="007956D0">
        <w:rPr>
          <w:rFonts w:ascii="Arial" w:hAnsi="Arial" w:cs="Arial"/>
          <w:noProof/>
        </w:rPr>
        <w:t>3</w:t>
      </w:r>
      <w:r w:rsidRPr="007956D0">
        <w:rPr>
          <w:rFonts w:ascii="Arial" w:hAnsi="Arial" w:cs="Arial"/>
          <w:noProof/>
        </w:rPr>
        <w:t>.000.000 m</w:t>
      </w:r>
      <w:r w:rsidRPr="007956D0">
        <w:rPr>
          <w:rFonts w:ascii="Arial" w:hAnsi="Arial" w:cs="Arial"/>
          <w:noProof/>
          <w:vertAlign w:val="superscript"/>
        </w:rPr>
        <w:t>3</w:t>
      </w:r>
      <w:r w:rsidRPr="007956D0">
        <w:rPr>
          <w:rFonts w:ascii="Arial" w:hAnsi="Arial" w:cs="Arial"/>
          <w:noProof/>
        </w:rPr>
        <w:t xml:space="preserve"> č.s.m. i biće zahvaćene konturama površinskog kopa, a za predloženi period trajanja koncesije od 28 godine (za eksploataciju) proizvodni kapacitet će iznositi do 20.000 m</w:t>
      </w:r>
      <w:r w:rsidRPr="007956D0">
        <w:rPr>
          <w:rFonts w:ascii="Arial" w:hAnsi="Arial" w:cs="Arial"/>
          <w:noProof/>
          <w:vertAlign w:val="superscript"/>
        </w:rPr>
        <w:t>3</w:t>
      </w:r>
      <w:r w:rsidRPr="007956D0">
        <w:rPr>
          <w:rFonts w:ascii="Arial" w:hAnsi="Arial" w:cs="Arial"/>
          <w:noProof/>
        </w:rPr>
        <w:t xml:space="preserve"> č.s.m. ili 30.000 m</w:t>
      </w:r>
      <w:r w:rsidRPr="007956D0">
        <w:rPr>
          <w:rFonts w:ascii="Arial" w:hAnsi="Arial" w:cs="Arial"/>
          <w:noProof/>
          <w:vertAlign w:val="superscript"/>
        </w:rPr>
        <w:t>3</w:t>
      </w:r>
      <w:r w:rsidRPr="007956D0">
        <w:rPr>
          <w:rFonts w:ascii="Arial" w:hAnsi="Arial" w:cs="Arial"/>
          <w:noProof/>
        </w:rPr>
        <w:t xml:space="preserve"> agregata (svih frakcija) na godišnjem nivou (Kr=1,50).</w:t>
      </w:r>
    </w:p>
    <w:p w:rsidR="00D021C0" w:rsidRPr="007956D0" w:rsidRDefault="00D021C0" w:rsidP="00D021C0">
      <w:pPr>
        <w:pStyle w:val="BodyText"/>
        <w:spacing w:after="0" w:line="240" w:lineRule="auto"/>
        <w:jc w:val="both"/>
        <w:rPr>
          <w:rFonts w:ascii="Arial" w:hAnsi="Arial" w:cs="Arial"/>
          <w:noProof/>
        </w:rPr>
      </w:pPr>
    </w:p>
    <w:p w:rsidR="0013707F" w:rsidRPr="007956D0" w:rsidRDefault="0013707F" w:rsidP="00D021C0">
      <w:pPr>
        <w:pStyle w:val="BodyText"/>
        <w:spacing w:after="0" w:line="240" w:lineRule="auto"/>
        <w:jc w:val="both"/>
        <w:rPr>
          <w:rFonts w:ascii="Arial" w:hAnsi="Arial" w:cs="Arial"/>
          <w:noProof/>
        </w:rPr>
      </w:pPr>
      <w:r w:rsidRPr="007956D0">
        <w:rPr>
          <w:rFonts w:ascii="Arial" w:hAnsi="Arial" w:cs="Arial"/>
          <w:noProof/>
        </w:rPr>
        <w:t>Za godišnji kapacitet površinskog kopa od 20.000 m</w:t>
      </w:r>
      <w:r w:rsidRPr="007956D0">
        <w:rPr>
          <w:rFonts w:ascii="Arial" w:hAnsi="Arial" w:cs="Arial"/>
          <w:noProof/>
          <w:vertAlign w:val="superscript"/>
        </w:rPr>
        <w:t>3</w:t>
      </w:r>
      <w:r w:rsidRPr="007956D0">
        <w:rPr>
          <w:rFonts w:ascii="Arial" w:hAnsi="Arial" w:cs="Arial"/>
          <w:noProof/>
        </w:rPr>
        <w:t xml:space="preserve"> č.s.m., u predviđenom periodu eksploatacije od 28 godina, potrebno je </w:t>
      </w:r>
      <w:r w:rsidR="00B154E8" w:rsidRPr="007956D0">
        <w:rPr>
          <w:rFonts w:ascii="Arial" w:hAnsi="Arial" w:cs="Arial"/>
          <w:noProof/>
        </w:rPr>
        <w:t>560</w:t>
      </w:r>
      <w:r w:rsidRPr="007956D0">
        <w:rPr>
          <w:rFonts w:ascii="Arial" w:hAnsi="Arial" w:cs="Arial"/>
          <w:noProof/>
        </w:rPr>
        <w:t>.000 m</w:t>
      </w:r>
      <w:r w:rsidRPr="007956D0">
        <w:rPr>
          <w:rFonts w:ascii="Arial" w:hAnsi="Arial" w:cs="Arial"/>
          <w:noProof/>
          <w:vertAlign w:val="superscript"/>
        </w:rPr>
        <w:t>3</w:t>
      </w:r>
      <w:r w:rsidRPr="007956D0">
        <w:rPr>
          <w:rFonts w:ascii="Arial" w:hAnsi="Arial" w:cs="Arial"/>
          <w:noProof/>
        </w:rPr>
        <w:t xml:space="preserve"> č.s.m ili </w:t>
      </w:r>
      <w:r w:rsidR="001966E1" w:rsidRPr="007956D0">
        <w:rPr>
          <w:rFonts w:ascii="Arial" w:hAnsi="Arial" w:cs="Arial"/>
          <w:noProof/>
        </w:rPr>
        <w:t>18,7</w:t>
      </w:r>
      <w:r w:rsidRPr="007956D0">
        <w:rPr>
          <w:rFonts w:ascii="Arial" w:hAnsi="Arial" w:cs="Arial"/>
          <w:noProof/>
        </w:rPr>
        <w:t xml:space="preserve">% od procijenjenih rezervi što daje mogućnost rada na ovom lokalitetu ne samo za predviđeni period trajanja koncesije nego i </w:t>
      </w:r>
      <w:r w:rsidR="00B154E8" w:rsidRPr="007956D0">
        <w:rPr>
          <w:rFonts w:ascii="Arial" w:hAnsi="Arial" w:cs="Arial"/>
          <w:noProof/>
        </w:rPr>
        <w:t>za mnogo duži period</w:t>
      </w:r>
      <w:r w:rsidRPr="007956D0">
        <w:rPr>
          <w:rFonts w:ascii="Arial" w:hAnsi="Arial" w:cs="Arial"/>
          <w:noProof/>
        </w:rPr>
        <w:t xml:space="preserve">. </w:t>
      </w:r>
    </w:p>
    <w:p w:rsidR="00D021C0" w:rsidRPr="007956D0" w:rsidRDefault="00D021C0" w:rsidP="00D021C0">
      <w:pPr>
        <w:pStyle w:val="BodyText"/>
        <w:spacing w:after="0" w:line="240" w:lineRule="auto"/>
        <w:jc w:val="both"/>
        <w:rPr>
          <w:rFonts w:ascii="Arial" w:hAnsi="Arial" w:cs="Arial"/>
          <w:noProof/>
        </w:rPr>
      </w:pPr>
    </w:p>
    <w:p w:rsidR="00D021C0" w:rsidRPr="007956D0" w:rsidRDefault="0013707F" w:rsidP="00D021C0">
      <w:pPr>
        <w:pStyle w:val="BodyText"/>
        <w:spacing w:after="0" w:line="240" w:lineRule="auto"/>
        <w:jc w:val="both"/>
        <w:rPr>
          <w:rFonts w:ascii="Arial" w:hAnsi="Arial" w:cs="Arial"/>
          <w:noProof/>
        </w:rPr>
      </w:pPr>
      <w:r w:rsidRPr="007956D0">
        <w:rPr>
          <w:rFonts w:ascii="Arial" w:hAnsi="Arial" w:cs="Arial"/>
          <w:noProof/>
        </w:rPr>
        <w:t>S obzirom na potencijalne rezerve, konfiguraciju terena, mogući razvoj kopa i druge povoljnosti, godišnji kapacitet se može povećati u odnosu na početni - minimalni godišnji kapacitet. To predstavlja značajnu povoljnost za ponuđače.</w:t>
      </w:r>
    </w:p>
    <w:p w:rsidR="00DA53E8" w:rsidRPr="007956D0" w:rsidRDefault="00DA53E8" w:rsidP="00DA53E8">
      <w:pPr>
        <w:pStyle w:val="Heading2"/>
        <w:shd w:val="clear" w:color="auto" w:fill="FFFFFF" w:themeFill="background1"/>
        <w:spacing w:before="0" w:after="0" w:line="240" w:lineRule="auto"/>
        <w:ind w:left="576" w:hanging="576"/>
        <w:rPr>
          <w:i/>
          <w:noProof/>
        </w:rPr>
      </w:pPr>
      <w:bookmarkStart w:id="8" w:name="_Toc402262938"/>
    </w:p>
    <w:p w:rsidR="00D620F2" w:rsidRPr="007956D0" w:rsidRDefault="00E21B44" w:rsidP="00DA53E8">
      <w:pPr>
        <w:pStyle w:val="Heading2"/>
        <w:shd w:val="clear" w:color="auto" w:fill="FFFFFF" w:themeFill="background1"/>
        <w:spacing w:before="0" w:after="0" w:line="240" w:lineRule="auto"/>
        <w:ind w:left="576" w:hanging="576"/>
        <w:rPr>
          <w:b/>
          <w:noProof/>
        </w:rPr>
      </w:pPr>
      <w:r w:rsidRPr="007956D0">
        <w:rPr>
          <w:b/>
          <w:noProof/>
        </w:rPr>
        <w:t>3</w:t>
      </w:r>
      <w:r w:rsidR="00472C68" w:rsidRPr="007956D0">
        <w:rPr>
          <w:b/>
          <w:noProof/>
        </w:rPr>
        <w:t xml:space="preserve">.3. </w:t>
      </w:r>
      <w:r w:rsidR="00D620F2" w:rsidRPr="007956D0">
        <w:rPr>
          <w:b/>
          <w:noProof/>
        </w:rPr>
        <w:t>Opis tehničko-tehnološkog procesa eksploatacije</w:t>
      </w:r>
      <w:bookmarkEnd w:id="8"/>
    </w:p>
    <w:p w:rsidR="00D021C0" w:rsidRPr="007956D0" w:rsidRDefault="00D021C0" w:rsidP="00D021C0">
      <w:pPr>
        <w:spacing w:after="0" w:line="240" w:lineRule="auto"/>
        <w:rPr>
          <w:rFonts w:ascii="Arial" w:hAnsi="Arial" w:cs="Arial"/>
        </w:rPr>
      </w:pPr>
    </w:p>
    <w:p w:rsidR="00D620F2" w:rsidRPr="007956D0" w:rsidRDefault="003F58F1" w:rsidP="00D021C0">
      <w:pPr>
        <w:pStyle w:val="BodyText"/>
        <w:spacing w:after="0" w:line="240" w:lineRule="auto"/>
        <w:jc w:val="both"/>
        <w:rPr>
          <w:rFonts w:ascii="Arial" w:hAnsi="Arial" w:cs="Arial"/>
          <w:noProof/>
        </w:rPr>
      </w:pPr>
      <w:r w:rsidRPr="007956D0">
        <w:rPr>
          <w:rFonts w:ascii="Arial" w:hAnsi="Arial" w:cs="Arial"/>
          <w:noProof/>
        </w:rPr>
        <w:t>Na ovom ležištu</w:t>
      </w:r>
      <w:r w:rsidR="00F03306" w:rsidRPr="007956D0">
        <w:rPr>
          <w:rFonts w:ascii="Arial" w:hAnsi="Arial" w:cs="Arial"/>
          <w:noProof/>
        </w:rPr>
        <w:t>,</w:t>
      </w:r>
      <w:r w:rsidR="00D620F2" w:rsidRPr="007956D0">
        <w:rPr>
          <w:rFonts w:ascii="Arial" w:hAnsi="Arial" w:cs="Arial"/>
          <w:noProof/>
        </w:rPr>
        <w:t xml:space="preserve"> tip površinskog</w:t>
      </w:r>
      <w:r w:rsidR="006E698A" w:rsidRPr="007956D0">
        <w:rPr>
          <w:rFonts w:ascii="Arial" w:hAnsi="Arial" w:cs="Arial"/>
          <w:noProof/>
        </w:rPr>
        <w:t xml:space="preserve"> kopa će biti</w:t>
      </w:r>
      <w:r w:rsidR="00E530C1" w:rsidRPr="007956D0">
        <w:rPr>
          <w:rFonts w:ascii="Arial" w:hAnsi="Arial" w:cs="Arial"/>
          <w:noProof/>
        </w:rPr>
        <w:t xml:space="preserve"> tipično brdski</w:t>
      </w:r>
      <w:r w:rsidR="006E698A" w:rsidRPr="007956D0">
        <w:rPr>
          <w:rFonts w:ascii="Arial" w:hAnsi="Arial" w:cs="Arial"/>
          <w:noProof/>
        </w:rPr>
        <w:t xml:space="preserve">, </w:t>
      </w:r>
      <w:r w:rsidR="00E530C1" w:rsidRPr="007956D0">
        <w:rPr>
          <w:rFonts w:ascii="Arial" w:hAnsi="Arial" w:cs="Arial"/>
          <w:noProof/>
        </w:rPr>
        <w:t>što</w:t>
      </w:r>
      <w:r w:rsidR="00D620F2" w:rsidRPr="007956D0">
        <w:rPr>
          <w:rFonts w:ascii="Arial" w:hAnsi="Arial" w:cs="Arial"/>
          <w:noProof/>
        </w:rPr>
        <w:t xml:space="preserve"> omogućuje primjenu klasične tehnologije na istom, eksploataci</w:t>
      </w:r>
      <w:r w:rsidRPr="007956D0">
        <w:rPr>
          <w:rFonts w:ascii="Arial" w:hAnsi="Arial" w:cs="Arial"/>
          <w:noProof/>
        </w:rPr>
        <w:t>ja tehničko-građevinskog kamena</w:t>
      </w:r>
      <w:r w:rsidR="00D620F2" w:rsidRPr="007956D0">
        <w:rPr>
          <w:rFonts w:ascii="Arial" w:hAnsi="Arial" w:cs="Arial"/>
          <w:noProof/>
        </w:rPr>
        <w:t xml:space="preserve"> vršiće se od najvisočije etaže prema najnižoj.</w:t>
      </w:r>
    </w:p>
    <w:p w:rsidR="00F10DEF" w:rsidRPr="007956D0" w:rsidRDefault="00D620F2" w:rsidP="00D021C0">
      <w:pPr>
        <w:spacing w:after="0" w:line="240" w:lineRule="auto"/>
        <w:jc w:val="both"/>
        <w:rPr>
          <w:rFonts w:ascii="Arial" w:hAnsi="Arial" w:cs="Arial"/>
          <w:noProof/>
        </w:rPr>
      </w:pPr>
      <w:r w:rsidRPr="007956D0">
        <w:rPr>
          <w:rFonts w:ascii="Arial" w:hAnsi="Arial" w:cs="Arial"/>
          <w:noProof/>
        </w:rPr>
        <w:t xml:space="preserve">Tehnološki proces rada na površinskom kopu sastoji se od radnih operacija: </w:t>
      </w:r>
    </w:p>
    <w:p w:rsidR="00AC5997" w:rsidRPr="007956D0" w:rsidRDefault="00AC5997" w:rsidP="00D021C0">
      <w:pPr>
        <w:pStyle w:val="ListParagraph"/>
        <w:spacing w:after="0" w:line="240" w:lineRule="auto"/>
        <w:rPr>
          <w:rFonts w:ascii="Arial" w:hAnsi="Arial" w:cs="Arial"/>
          <w:noProof/>
        </w:rPr>
      </w:pPr>
    </w:p>
    <w:p w:rsidR="00D620F2" w:rsidRPr="007956D0" w:rsidRDefault="00D620F2" w:rsidP="005B518B">
      <w:pPr>
        <w:pStyle w:val="ListParagraph"/>
        <w:numPr>
          <w:ilvl w:val="0"/>
          <w:numId w:val="5"/>
        </w:numPr>
        <w:spacing w:after="0" w:line="240" w:lineRule="auto"/>
        <w:rPr>
          <w:rFonts w:ascii="Arial" w:hAnsi="Arial" w:cs="Arial"/>
          <w:noProof/>
        </w:rPr>
      </w:pPr>
      <w:r w:rsidRPr="007956D0">
        <w:rPr>
          <w:rFonts w:ascii="Arial" w:hAnsi="Arial" w:cs="Arial"/>
          <w:noProof/>
        </w:rPr>
        <w:t xml:space="preserve">pripremni radovi, </w:t>
      </w:r>
    </w:p>
    <w:p w:rsidR="00D620F2" w:rsidRPr="007956D0" w:rsidRDefault="00D620F2" w:rsidP="005B518B">
      <w:pPr>
        <w:pStyle w:val="Default"/>
        <w:numPr>
          <w:ilvl w:val="0"/>
          <w:numId w:val="5"/>
        </w:numPr>
        <w:shd w:val="clear" w:color="auto" w:fill="FFFFFF" w:themeFill="background1"/>
        <w:jc w:val="both"/>
        <w:rPr>
          <w:rFonts w:ascii="Arial" w:hAnsi="Arial" w:cs="Arial"/>
          <w:noProof/>
          <w:color w:val="auto"/>
          <w:sz w:val="22"/>
          <w:szCs w:val="22"/>
        </w:rPr>
      </w:pPr>
      <w:r w:rsidRPr="007956D0">
        <w:rPr>
          <w:rFonts w:ascii="Arial" w:hAnsi="Arial" w:cs="Arial"/>
          <w:noProof/>
          <w:color w:val="auto"/>
          <w:sz w:val="22"/>
          <w:szCs w:val="22"/>
        </w:rPr>
        <w:t xml:space="preserve">bušenje, </w:t>
      </w:r>
    </w:p>
    <w:p w:rsidR="00D620F2" w:rsidRPr="007956D0" w:rsidRDefault="00D620F2" w:rsidP="005B518B">
      <w:pPr>
        <w:pStyle w:val="Default"/>
        <w:numPr>
          <w:ilvl w:val="0"/>
          <w:numId w:val="5"/>
        </w:numPr>
        <w:shd w:val="clear" w:color="auto" w:fill="FFFFFF" w:themeFill="background1"/>
        <w:jc w:val="both"/>
        <w:rPr>
          <w:rFonts w:ascii="Arial" w:hAnsi="Arial" w:cs="Arial"/>
          <w:noProof/>
          <w:color w:val="auto"/>
          <w:sz w:val="22"/>
          <w:szCs w:val="22"/>
        </w:rPr>
      </w:pPr>
      <w:r w:rsidRPr="007956D0">
        <w:rPr>
          <w:rFonts w:ascii="Arial" w:hAnsi="Arial" w:cs="Arial"/>
          <w:noProof/>
          <w:color w:val="auto"/>
          <w:sz w:val="22"/>
          <w:szCs w:val="22"/>
        </w:rPr>
        <w:t xml:space="preserve">miniranje, </w:t>
      </w:r>
    </w:p>
    <w:p w:rsidR="00D620F2" w:rsidRPr="007956D0" w:rsidRDefault="00D620F2" w:rsidP="005B518B">
      <w:pPr>
        <w:pStyle w:val="Default"/>
        <w:numPr>
          <w:ilvl w:val="0"/>
          <w:numId w:val="5"/>
        </w:numPr>
        <w:shd w:val="clear" w:color="auto" w:fill="FFFFFF" w:themeFill="background1"/>
        <w:jc w:val="both"/>
        <w:rPr>
          <w:rFonts w:ascii="Arial" w:hAnsi="Arial" w:cs="Arial"/>
          <w:noProof/>
          <w:color w:val="auto"/>
          <w:sz w:val="22"/>
          <w:szCs w:val="22"/>
        </w:rPr>
      </w:pPr>
      <w:r w:rsidRPr="007956D0">
        <w:rPr>
          <w:rFonts w:ascii="Arial" w:hAnsi="Arial" w:cs="Arial"/>
          <w:noProof/>
          <w:color w:val="auto"/>
          <w:sz w:val="22"/>
          <w:szCs w:val="22"/>
        </w:rPr>
        <w:t xml:space="preserve">utovar, </w:t>
      </w:r>
    </w:p>
    <w:p w:rsidR="00D620F2" w:rsidRPr="007956D0" w:rsidRDefault="00D620F2" w:rsidP="005B518B">
      <w:pPr>
        <w:pStyle w:val="Default"/>
        <w:numPr>
          <w:ilvl w:val="0"/>
          <w:numId w:val="5"/>
        </w:numPr>
        <w:shd w:val="clear" w:color="auto" w:fill="FFFFFF" w:themeFill="background1"/>
        <w:jc w:val="both"/>
        <w:rPr>
          <w:rFonts w:ascii="Arial" w:hAnsi="Arial" w:cs="Arial"/>
          <w:noProof/>
          <w:color w:val="auto"/>
          <w:sz w:val="22"/>
          <w:szCs w:val="22"/>
        </w:rPr>
      </w:pPr>
      <w:r w:rsidRPr="007956D0">
        <w:rPr>
          <w:rFonts w:ascii="Arial" w:hAnsi="Arial" w:cs="Arial"/>
          <w:noProof/>
          <w:color w:val="auto"/>
          <w:sz w:val="22"/>
          <w:szCs w:val="22"/>
        </w:rPr>
        <w:t xml:space="preserve">transport, </w:t>
      </w:r>
    </w:p>
    <w:p w:rsidR="00AC0094" w:rsidRPr="007956D0" w:rsidRDefault="00D620F2" w:rsidP="005B518B">
      <w:pPr>
        <w:pStyle w:val="Default"/>
        <w:numPr>
          <w:ilvl w:val="0"/>
          <w:numId w:val="5"/>
        </w:numPr>
        <w:shd w:val="clear" w:color="auto" w:fill="FFFFFF" w:themeFill="background1"/>
        <w:jc w:val="both"/>
        <w:rPr>
          <w:rFonts w:ascii="Arial" w:hAnsi="Arial" w:cs="Arial"/>
          <w:noProof/>
          <w:color w:val="auto"/>
          <w:sz w:val="22"/>
          <w:szCs w:val="22"/>
        </w:rPr>
      </w:pPr>
      <w:r w:rsidRPr="007956D0">
        <w:rPr>
          <w:rFonts w:ascii="Arial" w:hAnsi="Arial" w:cs="Arial"/>
          <w:noProof/>
          <w:color w:val="auto"/>
          <w:sz w:val="22"/>
          <w:szCs w:val="22"/>
        </w:rPr>
        <w:t xml:space="preserve">drobljenje i klasiranje. </w:t>
      </w:r>
    </w:p>
    <w:p w:rsidR="00B6691A" w:rsidRPr="007956D0" w:rsidRDefault="00B6691A" w:rsidP="00760267">
      <w:pPr>
        <w:rPr>
          <w:rFonts w:ascii="Arial" w:eastAsiaTheme="minorHAnsi" w:hAnsi="Arial" w:cs="Arial"/>
          <w:b/>
          <w:bCs/>
          <w:i/>
          <w:iCs/>
          <w:noProof/>
        </w:rPr>
      </w:pPr>
    </w:p>
    <w:p w:rsidR="00D021C0" w:rsidRPr="007956D0" w:rsidRDefault="00D620F2" w:rsidP="00D021C0">
      <w:pPr>
        <w:pStyle w:val="Default"/>
        <w:shd w:val="clear" w:color="auto" w:fill="FFFFFF" w:themeFill="background1"/>
        <w:jc w:val="both"/>
        <w:rPr>
          <w:rFonts w:ascii="Arial" w:hAnsi="Arial" w:cs="Arial"/>
          <w:b/>
          <w:bCs/>
          <w:i/>
          <w:iCs/>
          <w:noProof/>
          <w:color w:val="auto"/>
          <w:sz w:val="22"/>
          <w:szCs w:val="22"/>
        </w:rPr>
      </w:pPr>
      <w:r w:rsidRPr="007956D0">
        <w:rPr>
          <w:rFonts w:ascii="Arial" w:hAnsi="Arial" w:cs="Arial"/>
          <w:b/>
          <w:bCs/>
          <w:i/>
          <w:iCs/>
          <w:noProof/>
          <w:color w:val="auto"/>
          <w:sz w:val="22"/>
          <w:szCs w:val="22"/>
        </w:rPr>
        <w:t>Pripremni radovi</w:t>
      </w:r>
    </w:p>
    <w:p w:rsidR="006A68F3" w:rsidRPr="007956D0" w:rsidRDefault="006A68F3" w:rsidP="00D021C0">
      <w:pPr>
        <w:pStyle w:val="Default"/>
        <w:shd w:val="clear" w:color="auto" w:fill="FFFFFF" w:themeFill="background1"/>
        <w:jc w:val="both"/>
        <w:rPr>
          <w:rFonts w:ascii="Arial" w:hAnsi="Arial" w:cs="Arial"/>
          <w:b/>
          <w:bCs/>
          <w:i/>
          <w:iCs/>
          <w:noProof/>
          <w:color w:val="auto"/>
          <w:sz w:val="22"/>
          <w:szCs w:val="22"/>
        </w:rPr>
      </w:pPr>
    </w:p>
    <w:p w:rsidR="00AC0094"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Pripremni radovi obuhvataju čišćenje i ravnanje terena, čišćenje etažnih ravni i pripremu istih za potrebe bušenja, miniranja i druge pomoćne radove. Pripremni radovi izvodiće se</w:t>
      </w:r>
      <w:r w:rsidR="006E698A" w:rsidRPr="007956D0">
        <w:rPr>
          <w:rFonts w:ascii="Arial" w:hAnsi="Arial" w:cs="Arial"/>
          <w:noProof/>
        </w:rPr>
        <w:t xml:space="preserve"> buldož</w:t>
      </w:r>
      <w:r w:rsidR="00E530C1" w:rsidRPr="007956D0">
        <w:rPr>
          <w:rFonts w:ascii="Arial" w:hAnsi="Arial" w:cs="Arial"/>
          <w:noProof/>
        </w:rPr>
        <w:t>erom</w:t>
      </w:r>
      <w:r w:rsidR="00AC0094" w:rsidRPr="007956D0">
        <w:rPr>
          <w:rFonts w:ascii="Arial" w:hAnsi="Arial" w:cs="Arial"/>
          <w:noProof/>
        </w:rPr>
        <w:t xml:space="preserve"> snage 300 KW</w:t>
      </w:r>
      <w:r w:rsidR="00E530C1" w:rsidRPr="007956D0">
        <w:rPr>
          <w:rFonts w:ascii="Arial" w:hAnsi="Arial" w:cs="Arial"/>
          <w:noProof/>
        </w:rPr>
        <w:t xml:space="preserve"> i </w:t>
      </w:r>
      <w:r w:rsidRPr="007956D0">
        <w:rPr>
          <w:rFonts w:ascii="Arial" w:hAnsi="Arial" w:cs="Arial"/>
          <w:noProof/>
        </w:rPr>
        <w:t>bagerom sa dubinskom korpom uz povremenu upotrebu hidrauličnog čekića.</w:t>
      </w:r>
    </w:p>
    <w:p w:rsidR="00D021C0" w:rsidRPr="007956D0" w:rsidRDefault="00D021C0" w:rsidP="00D021C0">
      <w:pPr>
        <w:spacing w:after="0" w:line="240" w:lineRule="auto"/>
        <w:jc w:val="both"/>
        <w:rPr>
          <w:rFonts w:ascii="Arial" w:hAnsi="Arial" w:cs="Arial"/>
          <w:b/>
          <w:bCs/>
          <w:i/>
          <w:iCs/>
          <w:noProof/>
        </w:rPr>
      </w:pPr>
    </w:p>
    <w:p w:rsidR="006A68F3" w:rsidRPr="007956D0" w:rsidRDefault="00D620F2" w:rsidP="00D021C0">
      <w:pPr>
        <w:spacing w:after="0" w:line="240" w:lineRule="auto"/>
        <w:jc w:val="both"/>
        <w:rPr>
          <w:rFonts w:ascii="Arial" w:hAnsi="Arial" w:cs="Arial"/>
          <w:b/>
          <w:bCs/>
          <w:i/>
          <w:iCs/>
          <w:noProof/>
        </w:rPr>
      </w:pPr>
      <w:r w:rsidRPr="007956D0">
        <w:rPr>
          <w:rFonts w:ascii="Arial" w:hAnsi="Arial" w:cs="Arial"/>
          <w:b/>
          <w:bCs/>
          <w:i/>
          <w:iCs/>
          <w:noProof/>
        </w:rPr>
        <w:t xml:space="preserve">Bušenje </w:t>
      </w:r>
    </w:p>
    <w:p w:rsidR="00AC0094" w:rsidRPr="007956D0" w:rsidRDefault="00D620F2" w:rsidP="00D021C0">
      <w:pPr>
        <w:pStyle w:val="Default"/>
        <w:shd w:val="clear" w:color="auto" w:fill="FFFFFF" w:themeFill="background1"/>
        <w:jc w:val="both"/>
        <w:rPr>
          <w:rFonts w:ascii="Arial" w:hAnsi="Arial" w:cs="Arial"/>
          <w:noProof/>
          <w:color w:val="auto"/>
          <w:sz w:val="22"/>
          <w:szCs w:val="22"/>
        </w:rPr>
      </w:pPr>
      <w:r w:rsidRPr="007956D0">
        <w:rPr>
          <w:rFonts w:ascii="Arial" w:hAnsi="Arial" w:cs="Arial"/>
          <w:noProof/>
          <w:color w:val="auto"/>
          <w:sz w:val="22"/>
          <w:szCs w:val="22"/>
        </w:rPr>
        <w:t>Bušenje minskih b</w:t>
      </w:r>
      <w:r w:rsidR="00F03306" w:rsidRPr="007956D0">
        <w:rPr>
          <w:rFonts w:ascii="Arial" w:hAnsi="Arial" w:cs="Arial"/>
          <w:noProof/>
          <w:color w:val="auto"/>
          <w:sz w:val="22"/>
          <w:szCs w:val="22"/>
        </w:rPr>
        <w:t>ušotina vršilo bi se sa udarno</w:t>
      </w:r>
      <w:r w:rsidRPr="007956D0">
        <w:rPr>
          <w:rFonts w:ascii="Arial" w:hAnsi="Arial" w:cs="Arial"/>
          <w:noProof/>
          <w:color w:val="auto"/>
          <w:sz w:val="22"/>
          <w:szCs w:val="22"/>
        </w:rPr>
        <w:t>-</w:t>
      </w:r>
      <w:r w:rsidR="00E530C1" w:rsidRPr="007956D0">
        <w:rPr>
          <w:rFonts w:ascii="Arial" w:hAnsi="Arial" w:cs="Arial"/>
          <w:noProof/>
          <w:color w:val="auto"/>
          <w:sz w:val="22"/>
          <w:szCs w:val="22"/>
        </w:rPr>
        <w:t>ro</w:t>
      </w:r>
      <w:r w:rsidRPr="007956D0">
        <w:rPr>
          <w:rFonts w:ascii="Arial" w:hAnsi="Arial" w:cs="Arial"/>
          <w:noProof/>
          <w:color w:val="auto"/>
          <w:sz w:val="22"/>
          <w:szCs w:val="22"/>
        </w:rPr>
        <w:t xml:space="preserve">tacionom bušilicom prečnika  Ø 76 mm. </w:t>
      </w:r>
    </w:p>
    <w:p w:rsidR="00D021C0" w:rsidRPr="007956D0" w:rsidRDefault="00D021C0" w:rsidP="00D021C0">
      <w:pPr>
        <w:pStyle w:val="Default"/>
        <w:shd w:val="clear" w:color="auto" w:fill="FFFFFF" w:themeFill="background1"/>
        <w:jc w:val="both"/>
        <w:rPr>
          <w:rFonts w:ascii="Arial" w:hAnsi="Arial" w:cs="Arial"/>
          <w:b/>
          <w:bCs/>
          <w:i/>
          <w:iCs/>
          <w:noProof/>
          <w:color w:val="auto"/>
          <w:sz w:val="22"/>
          <w:szCs w:val="22"/>
        </w:rPr>
      </w:pPr>
    </w:p>
    <w:p w:rsidR="006A68F3" w:rsidRPr="007956D0" w:rsidRDefault="00D620F2" w:rsidP="00D021C0">
      <w:pPr>
        <w:pStyle w:val="Default"/>
        <w:shd w:val="clear" w:color="auto" w:fill="FFFFFF" w:themeFill="background1"/>
        <w:jc w:val="both"/>
        <w:rPr>
          <w:rFonts w:ascii="Arial" w:hAnsi="Arial" w:cs="Arial"/>
          <w:b/>
          <w:bCs/>
          <w:i/>
          <w:iCs/>
          <w:noProof/>
          <w:color w:val="auto"/>
          <w:sz w:val="22"/>
          <w:szCs w:val="22"/>
        </w:rPr>
      </w:pPr>
      <w:r w:rsidRPr="007956D0">
        <w:rPr>
          <w:rFonts w:ascii="Arial" w:hAnsi="Arial" w:cs="Arial"/>
          <w:b/>
          <w:bCs/>
          <w:i/>
          <w:iCs/>
          <w:noProof/>
          <w:color w:val="auto"/>
          <w:sz w:val="22"/>
          <w:szCs w:val="22"/>
        </w:rPr>
        <w:t>Miniranje</w:t>
      </w:r>
    </w:p>
    <w:p w:rsidR="00D620F2" w:rsidRPr="007956D0" w:rsidRDefault="00E530C1" w:rsidP="00D021C0">
      <w:pPr>
        <w:pStyle w:val="Default"/>
        <w:shd w:val="clear" w:color="auto" w:fill="FFFFFF" w:themeFill="background1"/>
        <w:jc w:val="both"/>
        <w:rPr>
          <w:rFonts w:ascii="Arial" w:hAnsi="Arial" w:cs="Arial"/>
          <w:noProof/>
          <w:color w:val="auto"/>
          <w:sz w:val="22"/>
          <w:szCs w:val="22"/>
        </w:rPr>
      </w:pPr>
      <w:r w:rsidRPr="007956D0">
        <w:rPr>
          <w:rFonts w:ascii="Arial" w:hAnsi="Arial" w:cs="Arial"/>
          <w:noProof/>
          <w:color w:val="auto"/>
          <w:sz w:val="22"/>
          <w:szCs w:val="22"/>
        </w:rPr>
        <w:lastRenderedPageBreak/>
        <w:t>Miniranje krečnjaka</w:t>
      </w:r>
      <w:r w:rsidR="00D620F2" w:rsidRPr="007956D0">
        <w:rPr>
          <w:rFonts w:ascii="Arial" w:hAnsi="Arial" w:cs="Arial"/>
          <w:noProof/>
          <w:color w:val="auto"/>
          <w:sz w:val="22"/>
          <w:szCs w:val="22"/>
        </w:rPr>
        <w:t xml:space="preserve"> vršilo bi se praškastim eksplozivom, prečnika patrone Ø 60</w:t>
      </w:r>
      <w:r w:rsidR="00F03306" w:rsidRPr="007956D0">
        <w:rPr>
          <w:rFonts w:ascii="Arial" w:hAnsi="Arial" w:cs="Arial"/>
          <w:noProof/>
          <w:color w:val="auto"/>
          <w:sz w:val="22"/>
          <w:szCs w:val="22"/>
        </w:rPr>
        <w:t xml:space="preserve"> </w:t>
      </w:r>
      <w:r w:rsidR="00D620F2" w:rsidRPr="007956D0">
        <w:rPr>
          <w:rFonts w:ascii="Arial" w:hAnsi="Arial" w:cs="Arial"/>
          <w:noProof/>
          <w:color w:val="auto"/>
          <w:sz w:val="22"/>
          <w:szCs w:val="22"/>
        </w:rPr>
        <w:t xml:space="preserve">mm. </w:t>
      </w:r>
    </w:p>
    <w:p w:rsidR="00D021C0" w:rsidRPr="007956D0" w:rsidRDefault="00D021C0" w:rsidP="00D021C0">
      <w:pPr>
        <w:pStyle w:val="Default"/>
        <w:shd w:val="clear" w:color="auto" w:fill="FFFFFF" w:themeFill="background1"/>
        <w:jc w:val="both"/>
        <w:rPr>
          <w:rFonts w:ascii="Arial" w:hAnsi="Arial" w:cs="Arial"/>
          <w:b/>
          <w:bCs/>
          <w:i/>
          <w:iCs/>
          <w:noProof/>
          <w:color w:val="auto"/>
          <w:sz w:val="22"/>
          <w:szCs w:val="22"/>
        </w:rPr>
      </w:pPr>
    </w:p>
    <w:p w:rsidR="006A68F3" w:rsidRPr="007956D0" w:rsidRDefault="00D620F2" w:rsidP="00D021C0">
      <w:pPr>
        <w:pStyle w:val="Default"/>
        <w:shd w:val="clear" w:color="auto" w:fill="FFFFFF" w:themeFill="background1"/>
        <w:jc w:val="both"/>
        <w:rPr>
          <w:rFonts w:ascii="Arial" w:hAnsi="Arial" w:cs="Arial"/>
          <w:b/>
          <w:bCs/>
          <w:i/>
          <w:iCs/>
          <w:noProof/>
          <w:color w:val="auto"/>
          <w:sz w:val="22"/>
          <w:szCs w:val="22"/>
        </w:rPr>
      </w:pPr>
      <w:r w:rsidRPr="007956D0">
        <w:rPr>
          <w:rFonts w:ascii="Arial" w:hAnsi="Arial" w:cs="Arial"/>
          <w:b/>
          <w:bCs/>
          <w:i/>
          <w:iCs/>
          <w:noProof/>
          <w:color w:val="auto"/>
          <w:sz w:val="22"/>
          <w:szCs w:val="22"/>
        </w:rPr>
        <w:t>Utovar</w:t>
      </w: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Utovar odminiranog krečnjaka vršio bi se bagerom kašikarom, zapremine kašike od 1,5 m</w:t>
      </w:r>
      <w:r w:rsidRPr="007956D0">
        <w:rPr>
          <w:rFonts w:ascii="Arial" w:hAnsi="Arial" w:cs="Arial"/>
          <w:noProof/>
          <w:vertAlign w:val="superscript"/>
        </w:rPr>
        <w:t>3</w:t>
      </w:r>
      <w:r w:rsidRPr="007956D0">
        <w:rPr>
          <w:rFonts w:ascii="Arial" w:hAnsi="Arial" w:cs="Arial"/>
          <w:noProof/>
        </w:rPr>
        <w:t>,</w:t>
      </w:r>
      <w:r w:rsidR="00F03306" w:rsidRPr="007956D0">
        <w:rPr>
          <w:rFonts w:ascii="Arial" w:hAnsi="Arial" w:cs="Arial"/>
          <w:noProof/>
        </w:rPr>
        <w:t xml:space="preserve"> </w:t>
      </w:r>
      <w:r w:rsidRPr="007956D0">
        <w:rPr>
          <w:rFonts w:ascii="Arial" w:hAnsi="Arial" w:cs="Arial"/>
          <w:noProof/>
        </w:rPr>
        <w:t>a utovar gotovog proizvoda utovarivačem zapremine korpe 3</w:t>
      </w:r>
      <w:r w:rsidR="006B0693" w:rsidRPr="007956D0">
        <w:rPr>
          <w:rFonts w:ascii="Arial" w:hAnsi="Arial" w:cs="Arial"/>
          <w:noProof/>
        </w:rPr>
        <w:t xml:space="preserve"> </w:t>
      </w:r>
      <w:r w:rsidRPr="007956D0">
        <w:rPr>
          <w:rFonts w:ascii="Arial" w:hAnsi="Arial" w:cs="Arial"/>
          <w:noProof/>
        </w:rPr>
        <w:t>m</w:t>
      </w:r>
      <w:r w:rsidRPr="007956D0">
        <w:rPr>
          <w:rFonts w:ascii="Arial" w:hAnsi="Arial" w:cs="Arial"/>
          <w:noProof/>
          <w:vertAlign w:val="superscript"/>
        </w:rPr>
        <w:t>3</w:t>
      </w:r>
      <w:r w:rsidR="00472C68" w:rsidRPr="007956D0">
        <w:rPr>
          <w:rFonts w:ascii="Arial" w:hAnsi="Arial" w:cs="Arial"/>
          <w:noProof/>
        </w:rPr>
        <w:t>.</w:t>
      </w:r>
    </w:p>
    <w:p w:rsidR="006A68F3" w:rsidRPr="007956D0" w:rsidRDefault="006A68F3" w:rsidP="00D021C0">
      <w:pPr>
        <w:spacing w:after="0" w:line="240" w:lineRule="auto"/>
        <w:jc w:val="both"/>
        <w:rPr>
          <w:rFonts w:ascii="Arial" w:hAnsi="Arial" w:cs="Arial"/>
          <w:noProof/>
        </w:rPr>
      </w:pPr>
    </w:p>
    <w:p w:rsidR="006A68F3" w:rsidRPr="007956D0" w:rsidRDefault="00D620F2" w:rsidP="00D021C0">
      <w:pPr>
        <w:pStyle w:val="Default"/>
        <w:shd w:val="clear" w:color="auto" w:fill="FFFFFF" w:themeFill="background1"/>
        <w:jc w:val="both"/>
        <w:rPr>
          <w:rFonts w:ascii="Arial" w:hAnsi="Arial" w:cs="Arial"/>
          <w:b/>
          <w:bCs/>
          <w:i/>
          <w:iCs/>
          <w:noProof/>
          <w:color w:val="auto"/>
          <w:sz w:val="22"/>
          <w:szCs w:val="22"/>
        </w:rPr>
      </w:pPr>
      <w:r w:rsidRPr="007956D0">
        <w:rPr>
          <w:rFonts w:ascii="Arial" w:hAnsi="Arial" w:cs="Arial"/>
          <w:b/>
          <w:bCs/>
          <w:i/>
          <w:iCs/>
          <w:noProof/>
          <w:color w:val="auto"/>
          <w:sz w:val="22"/>
          <w:szCs w:val="22"/>
        </w:rPr>
        <w:t xml:space="preserve">Transport </w:t>
      </w: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Transport krečnjaka će biti gravitacijski, a mobilno drobiličn</w:t>
      </w:r>
      <w:r w:rsidR="00F03306" w:rsidRPr="007956D0">
        <w:rPr>
          <w:rFonts w:ascii="Arial" w:hAnsi="Arial" w:cs="Arial"/>
          <w:noProof/>
        </w:rPr>
        <w:t>o postojenje će se postavljati i</w:t>
      </w:r>
      <w:r w:rsidRPr="007956D0">
        <w:rPr>
          <w:rFonts w:ascii="Arial" w:hAnsi="Arial" w:cs="Arial"/>
          <w:noProof/>
        </w:rPr>
        <w:t xml:space="preserve"> raditi do odminiranog ili naguranog tehničko-građevinskog kamena.</w:t>
      </w:r>
    </w:p>
    <w:p w:rsidR="00D021C0" w:rsidRPr="007956D0" w:rsidRDefault="00D021C0" w:rsidP="00D021C0">
      <w:pPr>
        <w:pStyle w:val="Default"/>
        <w:shd w:val="clear" w:color="auto" w:fill="FFFFFF" w:themeFill="background1"/>
        <w:jc w:val="both"/>
        <w:rPr>
          <w:rFonts w:ascii="Arial" w:hAnsi="Arial" w:cs="Arial"/>
          <w:b/>
          <w:bCs/>
          <w:i/>
          <w:iCs/>
          <w:noProof/>
          <w:color w:val="auto"/>
          <w:sz w:val="22"/>
          <w:szCs w:val="22"/>
        </w:rPr>
      </w:pPr>
    </w:p>
    <w:p w:rsidR="006A68F3" w:rsidRPr="007956D0" w:rsidRDefault="00D620F2" w:rsidP="00D021C0">
      <w:pPr>
        <w:pStyle w:val="Default"/>
        <w:shd w:val="clear" w:color="auto" w:fill="FFFFFF" w:themeFill="background1"/>
        <w:jc w:val="both"/>
        <w:rPr>
          <w:rFonts w:ascii="Arial" w:hAnsi="Arial" w:cs="Arial"/>
          <w:b/>
          <w:bCs/>
          <w:i/>
          <w:iCs/>
          <w:noProof/>
          <w:color w:val="auto"/>
          <w:sz w:val="22"/>
          <w:szCs w:val="22"/>
        </w:rPr>
      </w:pPr>
      <w:r w:rsidRPr="007956D0">
        <w:rPr>
          <w:rFonts w:ascii="Arial" w:hAnsi="Arial" w:cs="Arial"/>
          <w:b/>
          <w:bCs/>
          <w:i/>
          <w:iCs/>
          <w:noProof/>
          <w:color w:val="auto"/>
          <w:sz w:val="22"/>
          <w:szCs w:val="22"/>
        </w:rPr>
        <w:t xml:space="preserve">Drobljenje i klasiranje </w:t>
      </w:r>
    </w:p>
    <w:p w:rsidR="008A6A67" w:rsidRPr="007956D0" w:rsidRDefault="00D620F2" w:rsidP="00760267">
      <w:pPr>
        <w:spacing w:after="0" w:line="240" w:lineRule="auto"/>
        <w:jc w:val="both"/>
        <w:rPr>
          <w:rFonts w:ascii="Arial" w:hAnsi="Arial" w:cs="Arial"/>
          <w:noProof/>
        </w:rPr>
      </w:pPr>
      <w:r w:rsidRPr="007956D0">
        <w:rPr>
          <w:rFonts w:ascii="Arial" w:hAnsi="Arial" w:cs="Arial"/>
          <w:noProof/>
        </w:rPr>
        <w:t>Za dro</w:t>
      </w:r>
      <w:r w:rsidR="00E530C1" w:rsidRPr="007956D0">
        <w:rPr>
          <w:rFonts w:ascii="Arial" w:hAnsi="Arial" w:cs="Arial"/>
          <w:noProof/>
        </w:rPr>
        <w:t xml:space="preserve">bljenje materijala potrebno je </w:t>
      </w:r>
      <w:r w:rsidR="00F03306" w:rsidRPr="007956D0">
        <w:rPr>
          <w:rFonts w:ascii="Arial" w:hAnsi="Arial" w:cs="Arial"/>
          <w:noProof/>
        </w:rPr>
        <w:t xml:space="preserve">mobilno </w:t>
      </w:r>
      <w:r w:rsidRPr="007956D0">
        <w:rPr>
          <w:rFonts w:ascii="Arial" w:hAnsi="Arial" w:cs="Arial"/>
          <w:noProof/>
        </w:rPr>
        <w:t>postrojenje kapaciteta od 15 m</w:t>
      </w:r>
      <w:r w:rsidRPr="007956D0">
        <w:rPr>
          <w:rFonts w:ascii="Arial" w:hAnsi="Arial" w:cs="Arial"/>
          <w:noProof/>
          <w:vertAlign w:val="superscript"/>
        </w:rPr>
        <w:t>3</w:t>
      </w:r>
      <w:r w:rsidRPr="007956D0">
        <w:rPr>
          <w:rFonts w:ascii="Arial" w:hAnsi="Arial" w:cs="Arial"/>
          <w:noProof/>
        </w:rPr>
        <w:t>/h, a za klasiranje mobilna sijačica is</w:t>
      </w:r>
      <w:r w:rsidR="00E530C1" w:rsidRPr="007956D0">
        <w:rPr>
          <w:rFonts w:ascii="Arial" w:hAnsi="Arial" w:cs="Arial"/>
          <w:noProof/>
        </w:rPr>
        <w:t>t</w:t>
      </w:r>
      <w:r w:rsidRPr="007956D0">
        <w:rPr>
          <w:rFonts w:ascii="Arial" w:hAnsi="Arial" w:cs="Arial"/>
          <w:noProof/>
        </w:rPr>
        <w:t>og kapacieta.</w:t>
      </w:r>
    </w:p>
    <w:p w:rsidR="00760267" w:rsidRPr="007956D0" w:rsidRDefault="00760267" w:rsidP="00760267">
      <w:pPr>
        <w:spacing w:after="0" w:line="240" w:lineRule="auto"/>
        <w:jc w:val="both"/>
        <w:rPr>
          <w:rFonts w:ascii="Arial" w:hAnsi="Arial" w:cs="Arial"/>
          <w:noProof/>
        </w:rPr>
      </w:pPr>
    </w:p>
    <w:p w:rsidR="00760267" w:rsidRPr="007956D0" w:rsidRDefault="00760267" w:rsidP="00760267">
      <w:pPr>
        <w:spacing w:after="0" w:line="240" w:lineRule="auto"/>
        <w:jc w:val="both"/>
        <w:rPr>
          <w:rFonts w:ascii="Arial" w:hAnsi="Arial" w:cs="Arial"/>
          <w:noProof/>
        </w:rPr>
      </w:pPr>
    </w:p>
    <w:p w:rsidR="00D620F2" w:rsidRPr="007956D0" w:rsidRDefault="00E21B44" w:rsidP="00D021C0">
      <w:pPr>
        <w:pStyle w:val="Heading2"/>
        <w:shd w:val="clear" w:color="auto" w:fill="FFFFFF" w:themeFill="background1"/>
        <w:spacing w:before="0" w:after="0" w:line="240" w:lineRule="auto"/>
        <w:jc w:val="both"/>
        <w:rPr>
          <w:b/>
          <w:i/>
          <w:noProof/>
        </w:rPr>
      </w:pPr>
      <w:bookmarkStart w:id="9" w:name="_Toc402262939"/>
      <w:r w:rsidRPr="007956D0">
        <w:rPr>
          <w:b/>
          <w:i/>
          <w:noProof/>
        </w:rPr>
        <w:t>3</w:t>
      </w:r>
      <w:r w:rsidR="00261C5D" w:rsidRPr="007956D0">
        <w:rPr>
          <w:b/>
          <w:i/>
          <w:noProof/>
        </w:rPr>
        <w:t xml:space="preserve">.4. </w:t>
      </w:r>
      <w:r w:rsidR="00D620F2" w:rsidRPr="007956D0">
        <w:rPr>
          <w:b/>
          <w:i/>
          <w:noProof/>
        </w:rPr>
        <w:t>Snabdijevanje električnom energijom, gorivom, vodom i eksplozivom i eksplozivnim sredstvima</w:t>
      </w:r>
      <w:bookmarkEnd w:id="9"/>
    </w:p>
    <w:p w:rsidR="00D021C0" w:rsidRPr="007956D0" w:rsidRDefault="00D021C0" w:rsidP="00D021C0">
      <w:pPr>
        <w:spacing w:after="0" w:line="240" w:lineRule="auto"/>
        <w:rPr>
          <w:rFonts w:ascii="Arial" w:hAnsi="Arial" w:cs="Arial"/>
          <w:b/>
        </w:rPr>
      </w:pPr>
    </w:p>
    <w:p w:rsidR="006A68F3" w:rsidRPr="007956D0" w:rsidRDefault="00261C5D" w:rsidP="00D021C0">
      <w:pPr>
        <w:pStyle w:val="BodyText"/>
        <w:spacing w:after="0" w:line="240" w:lineRule="auto"/>
        <w:jc w:val="both"/>
        <w:rPr>
          <w:rFonts w:ascii="Arial" w:hAnsi="Arial" w:cs="Arial"/>
          <w:noProof/>
        </w:rPr>
      </w:pPr>
      <w:bookmarkStart w:id="10" w:name="_Toc402262940"/>
      <w:r w:rsidRPr="007956D0">
        <w:rPr>
          <w:rFonts w:ascii="Arial" w:hAnsi="Arial" w:cs="Arial"/>
          <w:noProof/>
        </w:rPr>
        <w:t xml:space="preserve">Budući da kroz sela koja </w:t>
      </w:r>
      <w:r w:rsidR="007B3E2C" w:rsidRPr="007956D0">
        <w:rPr>
          <w:rFonts w:ascii="Arial" w:hAnsi="Arial" w:cs="Arial"/>
          <w:noProof/>
        </w:rPr>
        <w:t>se nalaze u blizini</w:t>
      </w:r>
      <w:r w:rsidRPr="007956D0">
        <w:rPr>
          <w:rFonts w:ascii="Arial" w:hAnsi="Arial" w:cs="Arial"/>
          <w:noProof/>
        </w:rPr>
        <w:t xml:space="preserve"> predmetn</w:t>
      </w:r>
      <w:r w:rsidR="007B3E2C" w:rsidRPr="007956D0">
        <w:rPr>
          <w:rFonts w:ascii="Arial" w:hAnsi="Arial" w:cs="Arial"/>
          <w:noProof/>
        </w:rPr>
        <w:t>e</w:t>
      </w:r>
      <w:r w:rsidR="00457E75" w:rsidRPr="007956D0">
        <w:rPr>
          <w:rFonts w:ascii="Arial" w:hAnsi="Arial" w:cs="Arial"/>
          <w:noProof/>
        </w:rPr>
        <w:t xml:space="preserve"> loka</w:t>
      </w:r>
      <w:r w:rsidR="007B3E2C" w:rsidRPr="007956D0">
        <w:rPr>
          <w:rFonts w:ascii="Arial" w:hAnsi="Arial" w:cs="Arial"/>
          <w:noProof/>
        </w:rPr>
        <w:t>cije</w:t>
      </w:r>
      <w:r w:rsidRPr="007956D0">
        <w:rPr>
          <w:rFonts w:ascii="Arial" w:hAnsi="Arial" w:cs="Arial"/>
          <w:noProof/>
        </w:rPr>
        <w:t xml:space="preserve">, prolazi nisko naponska električna mreža i visokonaponski dalekovod, snabdijevanje električnom energijom moguće je priključenjem na prenosni ili distributivni sistem a voda se može </w:t>
      </w:r>
      <w:r w:rsidR="00457E75" w:rsidRPr="007956D0">
        <w:rPr>
          <w:rFonts w:ascii="Arial" w:hAnsi="Arial" w:cs="Arial"/>
          <w:noProof/>
        </w:rPr>
        <w:t>o</w:t>
      </w:r>
      <w:r w:rsidRPr="007956D0">
        <w:rPr>
          <w:rFonts w:ascii="Arial" w:hAnsi="Arial" w:cs="Arial"/>
          <w:noProof/>
        </w:rPr>
        <w:t>bezbij</w:t>
      </w:r>
      <w:r w:rsidR="007B3E2C" w:rsidRPr="007956D0">
        <w:rPr>
          <w:rFonts w:ascii="Arial" w:hAnsi="Arial" w:cs="Arial"/>
          <w:noProof/>
        </w:rPr>
        <w:t>editi pomoću cistijerne za vodu</w:t>
      </w:r>
      <w:r w:rsidRPr="007956D0">
        <w:rPr>
          <w:rFonts w:ascii="Arial" w:hAnsi="Arial" w:cs="Arial"/>
          <w:noProof/>
        </w:rPr>
        <w:t xml:space="preserve"> </w:t>
      </w:r>
      <w:r w:rsidR="007B3E2C" w:rsidRPr="007956D0">
        <w:rPr>
          <w:rFonts w:ascii="Arial" w:hAnsi="Arial" w:cs="Arial"/>
          <w:noProof/>
        </w:rPr>
        <w:t xml:space="preserve">ili pumpanjem vode iz rijeke Lješnice, pomoću vodenih pumpi, </w:t>
      </w:r>
      <w:r w:rsidRPr="007956D0">
        <w:rPr>
          <w:rFonts w:ascii="Arial" w:hAnsi="Arial" w:cs="Arial"/>
          <w:noProof/>
        </w:rPr>
        <w:t>dok će se eksploziv i eksplozivna sredstva obezbijediti na tržištu kod specijalizovanih firmi.</w:t>
      </w:r>
    </w:p>
    <w:p w:rsidR="00E73558" w:rsidRPr="007956D0" w:rsidRDefault="00E73558" w:rsidP="00D021C0">
      <w:pPr>
        <w:pStyle w:val="BodyText"/>
        <w:spacing w:after="0" w:line="240" w:lineRule="auto"/>
        <w:jc w:val="both"/>
        <w:rPr>
          <w:rFonts w:ascii="Arial" w:hAnsi="Arial" w:cs="Arial"/>
          <w:noProof/>
        </w:rPr>
      </w:pPr>
    </w:p>
    <w:p w:rsidR="00F03306" w:rsidRPr="007956D0" w:rsidRDefault="00E21B44" w:rsidP="00D021C0">
      <w:pPr>
        <w:shd w:val="clear" w:color="auto" w:fill="FFFFFF" w:themeFill="background1"/>
        <w:spacing w:after="0" w:line="240" w:lineRule="auto"/>
        <w:rPr>
          <w:rFonts w:ascii="Arial" w:hAnsi="Arial" w:cs="Arial"/>
          <w:b/>
          <w:noProof/>
        </w:rPr>
      </w:pPr>
      <w:r w:rsidRPr="007956D0">
        <w:rPr>
          <w:rFonts w:ascii="Arial" w:hAnsi="Arial" w:cs="Arial"/>
          <w:b/>
          <w:noProof/>
        </w:rPr>
        <w:t>3</w:t>
      </w:r>
      <w:r w:rsidR="003F58F1" w:rsidRPr="007956D0">
        <w:rPr>
          <w:rFonts w:ascii="Arial" w:hAnsi="Arial" w:cs="Arial"/>
          <w:b/>
          <w:noProof/>
        </w:rPr>
        <w:t>.</w:t>
      </w:r>
      <w:r w:rsidR="00261C5D" w:rsidRPr="007956D0">
        <w:rPr>
          <w:rFonts w:ascii="Arial" w:hAnsi="Arial" w:cs="Arial"/>
          <w:b/>
          <w:noProof/>
        </w:rPr>
        <w:t>5.</w:t>
      </w:r>
      <w:r w:rsidR="00D620F2" w:rsidRPr="007956D0">
        <w:rPr>
          <w:rFonts w:ascii="Arial" w:hAnsi="Arial" w:cs="Arial"/>
          <w:b/>
          <w:noProof/>
        </w:rPr>
        <w:t>Potrebna oprema i mehanizacija</w:t>
      </w:r>
      <w:bookmarkEnd w:id="10"/>
    </w:p>
    <w:p w:rsidR="00D021C0" w:rsidRPr="007956D0" w:rsidRDefault="00D021C0" w:rsidP="00D021C0">
      <w:pPr>
        <w:shd w:val="clear" w:color="auto" w:fill="FFFFFF" w:themeFill="background1"/>
        <w:spacing w:after="0" w:line="240" w:lineRule="auto"/>
        <w:rPr>
          <w:rFonts w:ascii="Arial" w:hAnsi="Arial" w:cs="Arial"/>
          <w:i/>
          <w:noProof/>
        </w:rPr>
      </w:pPr>
    </w:p>
    <w:p w:rsidR="00F03306" w:rsidRPr="007956D0" w:rsidRDefault="00F03306" w:rsidP="00D021C0">
      <w:pPr>
        <w:shd w:val="clear" w:color="auto" w:fill="FFFFFF" w:themeFill="background1"/>
        <w:spacing w:after="0" w:line="240" w:lineRule="auto"/>
        <w:rPr>
          <w:rFonts w:ascii="Arial" w:hAnsi="Arial" w:cs="Arial"/>
          <w:i/>
          <w:noProof/>
        </w:rPr>
      </w:pPr>
      <w:r w:rsidRPr="007956D0">
        <w:rPr>
          <w:rFonts w:ascii="Arial" w:hAnsi="Arial" w:cs="Arial"/>
          <w:i/>
          <w:noProof/>
        </w:rPr>
        <w:t>Tabela 2. Potrebna oprema i mehanizacija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7956D0" w:rsidRPr="007956D0" w:rsidTr="00A700A0">
        <w:tc>
          <w:tcPr>
            <w:tcW w:w="1134" w:type="dxa"/>
          </w:tcPr>
          <w:p w:rsidR="00261C5D" w:rsidRPr="007956D0" w:rsidRDefault="00261C5D" w:rsidP="00D021C0">
            <w:pPr>
              <w:spacing w:after="0" w:line="240" w:lineRule="auto"/>
              <w:jc w:val="center"/>
              <w:rPr>
                <w:rFonts w:ascii="Arial" w:hAnsi="Arial" w:cs="Arial"/>
                <w:b/>
                <w:noProof/>
              </w:rPr>
            </w:pPr>
            <w:bookmarkStart w:id="11" w:name="_Toc402262941"/>
            <w:r w:rsidRPr="007956D0">
              <w:rPr>
                <w:rFonts w:ascii="Arial" w:hAnsi="Arial" w:cs="Arial"/>
                <w:b/>
                <w:noProof/>
              </w:rPr>
              <w:t>Redni broj</w:t>
            </w:r>
          </w:p>
        </w:tc>
        <w:tc>
          <w:tcPr>
            <w:tcW w:w="2610" w:type="dxa"/>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Naziv</w:t>
            </w:r>
          </w:p>
        </w:tc>
        <w:tc>
          <w:tcPr>
            <w:tcW w:w="1072" w:type="dxa"/>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Količina</w:t>
            </w:r>
          </w:p>
        </w:tc>
        <w:tc>
          <w:tcPr>
            <w:tcW w:w="1260" w:type="dxa"/>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Cijena (€)</w:t>
            </w:r>
          </w:p>
        </w:tc>
      </w:tr>
      <w:tr w:rsidR="007956D0" w:rsidRPr="007956D0" w:rsidTr="00A700A0">
        <w:tc>
          <w:tcPr>
            <w:tcW w:w="1134"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c>
          <w:tcPr>
            <w:tcW w:w="261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Utovarivač</w:t>
            </w:r>
          </w:p>
        </w:tc>
        <w:tc>
          <w:tcPr>
            <w:tcW w:w="1072"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c>
          <w:tcPr>
            <w:tcW w:w="126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90.000</w:t>
            </w:r>
          </w:p>
        </w:tc>
      </w:tr>
      <w:tr w:rsidR="007956D0" w:rsidRPr="007956D0" w:rsidTr="00A700A0">
        <w:tc>
          <w:tcPr>
            <w:tcW w:w="1134"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2</w:t>
            </w:r>
          </w:p>
        </w:tc>
        <w:tc>
          <w:tcPr>
            <w:tcW w:w="261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Bušilica</w:t>
            </w:r>
          </w:p>
        </w:tc>
        <w:tc>
          <w:tcPr>
            <w:tcW w:w="1072"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c>
          <w:tcPr>
            <w:tcW w:w="126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60.000</w:t>
            </w:r>
          </w:p>
        </w:tc>
      </w:tr>
      <w:tr w:rsidR="007956D0" w:rsidRPr="007956D0" w:rsidTr="00A700A0">
        <w:tc>
          <w:tcPr>
            <w:tcW w:w="1134"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3</w:t>
            </w:r>
          </w:p>
        </w:tc>
        <w:tc>
          <w:tcPr>
            <w:tcW w:w="261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Kamion</w:t>
            </w:r>
          </w:p>
        </w:tc>
        <w:tc>
          <w:tcPr>
            <w:tcW w:w="1072"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2</w:t>
            </w:r>
          </w:p>
        </w:tc>
        <w:tc>
          <w:tcPr>
            <w:tcW w:w="126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80.000</w:t>
            </w:r>
          </w:p>
        </w:tc>
      </w:tr>
      <w:tr w:rsidR="007956D0" w:rsidRPr="007956D0" w:rsidTr="00A700A0">
        <w:tc>
          <w:tcPr>
            <w:tcW w:w="1134"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4</w:t>
            </w:r>
          </w:p>
        </w:tc>
        <w:tc>
          <w:tcPr>
            <w:tcW w:w="261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Drobilično postrojenje</w:t>
            </w:r>
          </w:p>
        </w:tc>
        <w:tc>
          <w:tcPr>
            <w:tcW w:w="1072"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c>
          <w:tcPr>
            <w:tcW w:w="126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170.000</w:t>
            </w:r>
          </w:p>
        </w:tc>
      </w:tr>
      <w:tr w:rsidR="007956D0" w:rsidRPr="007956D0" w:rsidTr="00A700A0">
        <w:tc>
          <w:tcPr>
            <w:tcW w:w="1134"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5</w:t>
            </w:r>
          </w:p>
        </w:tc>
        <w:tc>
          <w:tcPr>
            <w:tcW w:w="2610" w:type="dxa"/>
          </w:tcPr>
          <w:p w:rsidR="00261C5D" w:rsidRPr="007956D0" w:rsidRDefault="006E698A" w:rsidP="00D021C0">
            <w:pPr>
              <w:spacing w:after="0" w:line="240" w:lineRule="auto"/>
              <w:jc w:val="center"/>
              <w:rPr>
                <w:rFonts w:ascii="Arial" w:hAnsi="Arial" w:cs="Arial"/>
                <w:noProof/>
              </w:rPr>
            </w:pPr>
            <w:r w:rsidRPr="007956D0">
              <w:rPr>
                <w:rFonts w:ascii="Arial" w:hAnsi="Arial" w:cs="Arial"/>
                <w:noProof/>
              </w:rPr>
              <w:t>Buldož</w:t>
            </w:r>
            <w:r w:rsidR="00261C5D" w:rsidRPr="007956D0">
              <w:rPr>
                <w:rFonts w:ascii="Arial" w:hAnsi="Arial" w:cs="Arial"/>
                <w:noProof/>
              </w:rPr>
              <w:t>er</w:t>
            </w:r>
          </w:p>
        </w:tc>
        <w:tc>
          <w:tcPr>
            <w:tcW w:w="1072"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c>
          <w:tcPr>
            <w:tcW w:w="126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150.000</w:t>
            </w:r>
          </w:p>
        </w:tc>
      </w:tr>
      <w:tr w:rsidR="007956D0" w:rsidRPr="007956D0" w:rsidTr="00A700A0">
        <w:tc>
          <w:tcPr>
            <w:tcW w:w="1134"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6</w:t>
            </w:r>
          </w:p>
        </w:tc>
        <w:tc>
          <w:tcPr>
            <w:tcW w:w="261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Bager</w:t>
            </w:r>
          </w:p>
        </w:tc>
        <w:tc>
          <w:tcPr>
            <w:tcW w:w="1072"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c>
          <w:tcPr>
            <w:tcW w:w="126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80.000</w:t>
            </w:r>
          </w:p>
        </w:tc>
      </w:tr>
      <w:tr w:rsidR="007956D0" w:rsidRPr="007956D0" w:rsidTr="00A700A0">
        <w:tc>
          <w:tcPr>
            <w:tcW w:w="1134"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7</w:t>
            </w:r>
          </w:p>
        </w:tc>
        <w:tc>
          <w:tcPr>
            <w:tcW w:w="261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Cistijerna za vodu</w:t>
            </w:r>
          </w:p>
        </w:tc>
        <w:tc>
          <w:tcPr>
            <w:tcW w:w="1072"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c>
          <w:tcPr>
            <w:tcW w:w="126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15.000</w:t>
            </w:r>
          </w:p>
        </w:tc>
      </w:tr>
      <w:tr w:rsidR="00261C5D" w:rsidRPr="007956D0" w:rsidTr="00A700A0">
        <w:tc>
          <w:tcPr>
            <w:tcW w:w="4816" w:type="dxa"/>
            <w:gridSpan w:val="3"/>
          </w:tcPr>
          <w:p w:rsidR="00261C5D" w:rsidRPr="007956D0" w:rsidRDefault="00261C5D" w:rsidP="00D021C0">
            <w:pPr>
              <w:spacing w:after="0" w:line="240" w:lineRule="auto"/>
              <w:rPr>
                <w:rFonts w:ascii="Arial" w:hAnsi="Arial" w:cs="Arial"/>
                <w:b/>
                <w:noProof/>
              </w:rPr>
            </w:pPr>
            <w:r w:rsidRPr="007956D0">
              <w:rPr>
                <w:rFonts w:ascii="Arial" w:hAnsi="Arial" w:cs="Arial"/>
                <w:b/>
                <w:noProof/>
              </w:rPr>
              <w:t>UKUPNO</w:t>
            </w:r>
          </w:p>
        </w:tc>
        <w:tc>
          <w:tcPr>
            <w:tcW w:w="1260" w:type="dxa"/>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645.000</w:t>
            </w:r>
          </w:p>
        </w:tc>
      </w:tr>
    </w:tbl>
    <w:p w:rsidR="00D021C0" w:rsidRPr="007956D0" w:rsidRDefault="00D021C0" w:rsidP="00D021C0">
      <w:pPr>
        <w:pStyle w:val="Heading2"/>
        <w:shd w:val="clear" w:color="auto" w:fill="FFFFFF" w:themeFill="background1"/>
        <w:spacing w:before="0" w:after="0" w:line="240" w:lineRule="auto"/>
        <w:rPr>
          <w:i/>
          <w:noProof/>
        </w:rPr>
      </w:pPr>
    </w:p>
    <w:p w:rsidR="00760267" w:rsidRPr="007956D0" w:rsidRDefault="00760267" w:rsidP="00760267">
      <w:pPr>
        <w:rPr>
          <w:rFonts w:ascii="Arial" w:hAnsi="Arial" w:cs="Arial"/>
        </w:rPr>
      </w:pPr>
    </w:p>
    <w:p w:rsidR="00D620F2" w:rsidRPr="007956D0" w:rsidRDefault="00E21B44" w:rsidP="00D021C0">
      <w:pPr>
        <w:pStyle w:val="Heading2"/>
        <w:shd w:val="clear" w:color="auto" w:fill="FFFFFF" w:themeFill="background1"/>
        <w:spacing w:before="0" w:after="0" w:line="240" w:lineRule="auto"/>
        <w:rPr>
          <w:b/>
          <w:noProof/>
        </w:rPr>
      </w:pPr>
      <w:r w:rsidRPr="007956D0">
        <w:rPr>
          <w:b/>
          <w:noProof/>
        </w:rPr>
        <w:t>3</w:t>
      </w:r>
      <w:r w:rsidR="00497848" w:rsidRPr="007956D0">
        <w:rPr>
          <w:b/>
          <w:noProof/>
        </w:rPr>
        <w:t>.6.</w:t>
      </w:r>
      <w:r w:rsidR="00D620F2" w:rsidRPr="007956D0">
        <w:rPr>
          <w:b/>
          <w:noProof/>
        </w:rPr>
        <w:t xml:space="preserve"> Objekti</w:t>
      </w:r>
      <w:bookmarkEnd w:id="11"/>
    </w:p>
    <w:p w:rsidR="00D021C0" w:rsidRPr="007956D0" w:rsidRDefault="00D021C0" w:rsidP="00D021C0">
      <w:pPr>
        <w:spacing w:after="0" w:line="240" w:lineRule="auto"/>
        <w:rPr>
          <w:rFonts w:ascii="Arial" w:hAnsi="Arial" w:cs="Arial"/>
        </w:rPr>
      </w:pPr>
    </w:p>
    <w:p w:rsidR="00F03306" w:rsidRPr="007956D0" w:rsidRDefault="00F03306" w:rsidP="00D021C0">
      <w:pPr>
        <w:spacing w:after="0" w:line="240" w:lineRule="auto"/>
        <w:rPr>
          <w:rFonts w:ascii="Arial" w:hAnsi="Arial" w:cs="Arial"/>
          <w:i/>
        </w:rPr>
      </w:pPr>
      <w:r w:rsidRPr="007956D0">
        <w:rPr>
          <w:rFonts w:ascii="Arial" w:hAnsi="Arial" w:cs="Arial"/>
          <w:i/>
        </w:rPr>
        <w:t>Tabela 3. Objekti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7956D0" w:rsidRPr="007956D0" w:rsidTr="00A700A0">
        <w:tc>
          <w:tcPr>
            <w:tcW w:w="1134" w:type="dxa"/>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Redni broj</w:t>
            </w:r>
          </w:p>
        </w:tc>
        <w:tc>
          <w:tcPr>
            <w:tcW w:w="2610" w:type="dxa"/>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Naziv</w:t>
            </w:r>
          </w:p>
        </w:tc>
        <w:tc>
          <w:tcPr>
            <w:tcW w:w="1072" w:type="dxa"/>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Količina</w:t>
            </w:r>
          </w:p>
        </w:tc>
        <w:tc>
          <w:tcPr>
            <w:tcW w:w="1260" w:type="dxa"/>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Cijena (€)</w:t>
            </w:r>
          </w:p>
        </w:tc>
      </w:tr>
      <w:tr w:rsidR="007956D0" w:rsidRPr="007956D0" w:rsidTr="00A700A0">
        <w:tc>
          <w:tcPr>
            <w:tcW w:w="1134"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c>
          <w:tcPr>
            <w:tcW w:w="2610" w:type="dxa"/>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Kontejner za kancelarije i magacin (20m</w:t>
            </w:r>
            <w:r w:rsidRPr="007956D0">
              <w:rPr>
                <w:rFonts w:ascii="Arial" w:hAnsi="Arial" w:cs="Arial"/>
                <w:noProof/>
                <w:vertAlign w:val="superscript"/>
              </w:rPr>
              <w:t>2</w:t>
            </w:r>
            <w:r w:rsidRPr="007956D0">
              <w:rPr>
                <w:rFonts w:ascii="Arial" w:hAnsi="Arial" w:cs="Arial"/>
                <w:noProof/>
              </w:rPr>
              <w:t>)</w:t>
            </w:r>
          </w:p>
        </w:tc>
        <w:tc>
          <w:tcPr>
            <w:tcW w:w="1072"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2</w:t>
            </w:r>
          </w:p>
        </w:tc>
        <w:tc>
          <w:tcPr>
            <w:tcW w:w="1260"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5.000</w:t>
            </w:r>
          </w:p>
        </w:tc>
      </w:tr>
      <w:tr w:rsidR="00261C5D" w:rsidRPr="007956D0" w:rsidTr="00A700A0">
        <w:tc>
          <w:tcPr>
            <w:tcW w:w="4816" w:type="dxa"/>
            <w:gridSpan w:val="3"/>
          </w:tcPr>
          <w:p w:rsidR="00261C5D" w:rsidRPr="007956D0" w:rsidRDefault="00261C5D" w:rsidP="00D021C0">
            <w:pPr>
              <w:spacing w:after="0" w:line="240" w:lineRule="auto"/>
              <w:rPr>
                <w:rFonts w:ascii="Arial" w:hAnsi="Arial" w:cs="Arial"/>
                <w:b/>
                <w:noProof/>
              </w:rPr>
            </w:pPr>
            <w:r w:rsidRPr="007956D0">
              <w:rPr>
                <w:rFonts w:ascii="Arial" w:hAnsi="Arial" w:cs="Arial"/>
                <w:b/>
                <w:noProof/>
              </w:rPr>
              <w:t>UKUPNO</w:t>
            </w:r>
          </w:p>
        </w:tc>
        <w:tc>
          <w:tcPr>
            <w:tcW w:w="1260" w:type="dxa"/>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10.000</w:t>
            </w:r>
          </w:p>
        </w:tc>
      </w:tr>
    </w:tbl>
    <w:p w:rsidR="00D021C0" w:rsidRPr="007956D0" w:rsidRDefault="00D021C0" w:rsidP="00D021C0">
      <w:pPr>
        <w:pStyle w:val="Heading2"/>
        <w:shd w:val="clear" w:color="auto" w:fill="FFFFFF" w:themeFill="background1"/>
        <w:spacing w:before="0" w:after="0" w:line="240" w:lineRule="auto"/>
        <w:rPr>
          <w:rFonts w:eastAsia="Calibri"/>
          <w:bCs w:val="0"/>
          <w:i/>
          <w:iCs w:val="0"/>
          <w:noProof/>
        </w:rPr>
      </w:pPr>
      <w:bookmarkStart w:id="12" w:name="_Toc402262942"/>
    </w:p>
    <w:p w:rsidR="00D620F2" w:rsidRPr="007956D0" w:rsidRDefault="00E21B44" w:rsidP="00D021C0">
      <w:pPr>
        <w:pStyle w:val="Heading2"/>
        <w:shd w:val="clear" w:color="auto" w:fill="FFFFFF" w:themeFill="background1"/>
        <w:spacing w:before="0" w:after="0" w:line="240" w:lineRule="auto"/>
        <w:rPr>
          <w:b/>
          <w:noProof/>
        </w:rPr>
      </w:pPr>
      <w:r w:rsidRPr="007956D0">
        <w:rPr>
          <w:rFonts w:eastAsia="Calibri"/>
          <w:b/>
          <w:bCs w:val="0"/>
          <w:iCs w:val="0"/>
          <w:noProof/>
        </w:rPr>
        <w:t>3</w:t>
      </w:r>
      <w:r w:rsidR="00497848" w:rsidRPr="007956D0">
        <w:rPr>
          <w:rFonts w:eastAsia="Calibri"/>
          <w:b/>
          <w:bCs w:val="0"/>
          <w:iCs w:val="0"/>
          <w:noProof/>
        </w:rPr>
        <w:t xml:space="preserve">.7. </w:t>
      </w:r>
      <w:r w:rsidR="00D620F2" w:rsidRPr="007956D0">
        <w:rPr>
          <w:b/>
          <w:noProof/>
        </w:rPr>
        <w:t>Radna snaga</w:t>
      </w:r>
      <w:bookmarkEnd w:id="12"/>
    </w:p>
    <w:p w:rsidR="00D021C0" w:rsidRPr="007956D0" w:rsidRDefault="00D021C0" w:rsidP="00D021C0">
      <w:pPr>
        <w:spacing w:after="0" w:line="240" w:lineRule="auto"/>
        <w:rPr>
          <w:rFonts w:ascii="Arial" w:hAnsi="Arial" w:cs="Arial"/>
        </w:rPr>
      </w:pPr>
    </w:p>
    <w:p w:rsidR="00F03306" w:rsidRPr="007956D0" w:rsidRDefault="00F03306" w:rsidP="00D021C0">
      <w:pPr>
        <w:spacing w:after="0" w:line="240" w:lineRule="auto"/>
        <w:rPr>
          <w:rFonts w:ascii="Arial" w:hAnsi="Arial" w:cs="Arial"/>
          <w:i/>
        </w:rPr>
      </w:pPr>
      <w:r w:rsidRPr="007956D0">
        <w:rPr>
          <w:rFonts w:ascii="Arial" w:hAnsi="Arial" w:cs="Arial"/>
          <w:i/>
        </w:rPr>
        <w:t xml:space="preserve">Tabela 4. </w:t>
      </w:r>
      <w:r w:rsidR="00791705" w:rsidRPr="007956D0">
        <w:rPr>
          <w:rFonts w:ascii="Arial" w:hAnsi="Arial" w:cs="Arial"/>
          <w:i/>
        </w:rPr>
        <w:t>Radna snaga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28"/>
        <w:gridCol w:w="2610"/>
        <w:gridCol w:w="1325"/>
        <w:gridCol w:w="2912"/>
        <w:gridCol w:w="1158"/>
      </w:tblGrid>
      <w:tr w:rsidR="002A13C9" w:rsidRPr="007956D0" w:rsidTr="00946ACF">
        <w:tc>
          <w:tcPr>
            <w:tcW w:w="828" w:type="dxa"/>
            <w:vAlign w:val="center"/>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Redni broj</w:t>
            </w:r>
          </w:p>
        </w:tc>
        <w:tc>
          <w:tcPr>
            <w:tcW w:w="2610" w:type="dxa"/>
            <w:vAlign w:val="center"/>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Naziv radnog mjesta</w:t>
            </w:r>
          </w:p>
        </w:tc>
        <w:tc>
          <w:tcPr>
            <w:tcW w:w="1325" w:type="dxa"/>
            <w:vAlign w:val="center"/>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Potrebna kvalifikaci</w:t>
            </w:r>
            <w:r w:rsidRPr="007956D0">
              <w:rPr>
                <w:rFonts w:ascii="Arial" w:hAnsi="Arial" w:cs="Arial"/>
                <w:b/>
                <w:noProof/>
              </w:rPr>
              <w:lastRenderedPageBreak/>
              <w:t>ja</w:t>
            </w:r>
          </w:p>
        </w:tc>
        <w:tc>
          <w:tcPr>
            <w:tcW w:w="2912" w:type="dxa"/>
            <w:vAlign w:val="center"/>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lastRenderedPageBreak/>
              <w:t>Struka</w:t>
            </w:r>
          </w:p>
        </w:tc>
        <w:tc>
          <w:tcPr>
            <w:tcW w:w="1158" w:type="dxa"/>
            <w:vAlign w:val="center"/>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Broj izvršioca</w:t>
            </w:r>
          </w:p>
        </w:tc>
      </w:tr>
      <w:tr w:rsidR="002A13C9" w:rsidRPr="007956D0" w:rsidTr="00946ACF">
        <w:tc>
          <w:tcPr>
            <w:tcW w:w="82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lastRenderedPageBreak/>
              <w:t>1</w:t>
            </w:r>
          </w:p>
        </w:tc>
        <w:tc>
          <w:tcPr>
            <w:tcW w:w="2610"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Upravnik</w:t>
            </w:r>
          </w:p>
        </w:tc>
        <w:tc>
          <w:tcPr>
            <w:tcW w:w="1325"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VSS</w:t>
            </w:r>
          </w:p>
        </w:tc>
        <w:tc>
          <w:tcPr>
            <w:tcW w:w="2912"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Dipl.inž. rudarstva</w:t>
            </w:r>
          </w:p>
        </w:tc>
        <w:tc>
          <w:tcPr>
            <w:tcW w:w="115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r>
      <w:tr w:rsidR="002A13C9" w:rsidRPr="007956D0" w:rsidTr="00946ACF">
        <w:tc>
          <w:tcPr>
            <w:tcW w:w="82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2</w:t>
            </w:r>
          </w:p>
        </w:tc>
        <w:tc>
          <w:tcPr>
            <w:tcW w:w="2610"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Poslovođa</w:t>
            </w:r>
          </w:p>
        </w:tc>
        <w:tc>
          <w:tcPr>
            <w:tcW w:w="1325"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SSS</w:t>
            </w:r>
          </w:p>
        </w:tc>
        <w:tc>
          <w:tcPr>
            <w:tcW w:w="2912"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Rudarski tehničar</w:t>
            </w:r>
          </w:p>
        </w:tc>
        <w:tc>
          <w:tcPr>
            <w:tcW w:w="115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r>
      <w:tr w:rsidR="002A13C9" w:rsidRPr="007956D0" w:rsidTr="00946ACF">
        <w:tc>
          <w:tcPr>
            <w:tcW w:w="82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3</w:t>
            </w:r>
          </w:p>
        </w:tc>
        <w:tc>
          <w:tcPr>
            <w:tcW w:w="2610" w:type="dxa"/>
            <w:vAlign w:val="center"/>
          </w:tcPr>
          <w:p w:rsidR="00261C5D" w:rsidRPr="007956D0" w:rsidRDefault="00261C5D" w:rsidP="00946ACF">
            <w:pPr>
              <w:spacing w:after="0" w:line="240" w:lineRule="auto"/>
              <w:jc w:val="center"/>
              <w:rPr>
                <w:rFonts w:ascii="Arial" w:hAnsi="Arial" w:cs="Arial"/>
                <w:noProof/>
              </w:rPr>
            </w:pPr>
            <w:r w:rsidRPr="007956D0">
              <w:rPr>
                <w:rFonts w:ascii="Arial" w:hAnsi="Arial" w:cs="Arial"/>
                <w:noProof/>
              </w:rPr>
              <w:t>Rukovalac mobilnog postrojenja za pr</w:t>
            </w:r>
            <w:r w:rsidR="00946ACF" w:rsidRPr="007956D0">
              <w:rPr>
                <w:rFonts w:ascii="Arial" w:hAnsi="Arial" w:cs="Arial"/>
                <w:noProof/>
              </w:rPr>
              <w:t>ipremu</w:t>
            </w:r>
          </w:p>
        </w:tc>
        <w:tc>
          <w:tcPr>
            <w:tcW w:w="1325"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KV</w:t>
            </w:r>
          </w:p>
        </w:tc>
        <w:tc>
          <w:tcPr>
            <w:tcW w:w="2912"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Rukovalac rud.-građ. mašina</w:t>
            </w:r>
          </w:p>
        </w:tc>
        <w:tc>
          <w:tcPr>
            <w:tcW w:w="1158" w:type="dxa"/>
            <w:vAlign w:val="center"/>
          </w:tcPr>
          <w:p w:rsidR="00261C5D" w:rsidRPr="007956D0" w:rsidRDefault="008E7826" w:rsidP="00D021C0">
            <w:pPr>
              <w:spacing w:after="0" w:line="240" w:lineRule="auto"/>
              <w:jc w:val="center"/>
              <w:rPr>
                <w:rFonts w:ascii="Arial" w:hAnsi="Arial" w:cs="Arial"/>
                <w:noProof/>
              </w:rPr>
            </w:pPr>
            <w:r w:rsidRPr="007956D0">
              <w:rPr>
                <w:rFonts w:ascii="Arial" w:hAnsi="Arial" w:cs="Arial"/>
                <w:noProof/>
              </w:rPr>
              <w:t>2</w:t>
            </w:r>
          </w:p>
        </w:tc>
      </w:tr>
      <w:tr w:rsidR="002A13C9" w:rsidRPr="007956D0" w:rsidTr="00946ACF">
        <w:tc>
          <w:tcPr>
            <w:tcW w:w="82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4</w:t>
            </w:r>
          </w:p>
        </w:tc>
        <w:tc>
          <w:tcPr>
            <w:tcW w:w="2610"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Rukovalac mašinama</w:t>
            </w:r>
          </w:p>
        </w:tc>
        <w:tc>
          <w:tcPr>
            <w:tcW w:w="1325"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KV</w:t>
            </w:r>
          </w:p>
        </w:tc>
        <w:tc>
          <w:tcPr>
            <w:tcW w:w="2912"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Rukovalac rud.-građ. mašina</w:t>
            </w:r>
          </w:p>
        </w:tc>
        <w:tc>
          <w:tcPr>
            <w:tcW w:w="115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3</w:t>
            </w:r>
          </w:p>
        </w:tc>
      </w:tr>
      <w:tr w:rsidR="002A13C9" w:rsidRPr="007956D0" w:rsidTr="00946ACF">
        <w:tc>
          <w:tcPr>
            <w:tcW w:w="82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5</w:t>
            </w:r>
          </w:p>
        </w:tc>
        <w:tc>
          <w:tcPr>
            <w:tcW w:w="2610"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Vozač</w:t>
            </w:r>
          </w:p>
        </w:tc>
        <w:tc>
          <w:tcPr>
            <w:tcW w:w="1325"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KV</w:t>
            </w:r>
          </w:p>
        </w:tc>
        <w:tc>
          <w:tcPr>
            <w:tcW w:w="2912"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Vozač</w:t>
            </w:r>
          </w:p>
        </w:tc>
        <w:tc>
          <w:tcPr>
            <w:tcW w:w="115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2</w:t>
            </w:r>
          </w:p>
        </w:tc>
      </w:tr>
      <w:tr w:rsidR="002A13C9" w:rsidRPr="007956D0" w:rsidTr="00946ACF">
        <w:tc>
          <w:tcPr>
            <w:tcW w:w="82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6</w:t>
            </w:r>
          </w:p>
        </w:tc>
        <w:tc>
          <w:tcPr>
            <w:tcW w:w="2610"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Bušač</w:t>
            </w:r>
          </w:p>
        </w:tc>
        <w:tc>
          <w:tcPr>
            <w:tcW w:w="1325"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KV</w:t>
            </w:r>
          </w:p>
        </w:tc>
        <w:tc>
          <w:tcPr>
            <w:tcW w:w="2912"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Rudarski tehničar</w:t>
            </w:r>
          </w:p>
        </w:tc>
        <w:tc>
          <w:tcPr>
            <w:tcW w:w="115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1</w:t>
            </w:r>
          </w:p>
        </w:tc>
      </w:tr>
      <w:tr w:rsidR="002A13C9" w:rsidRPr="007956D0" w:rsidTr="00946ACF">
        <w:tc>
          <w:tcPr>
            <w:tcW w:w="82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7</w:t>
            </w:r>
          </w:p>
        </w:tc>
        <w:tc>
          <w:tcPr>
            <w:tcW w:w="2610"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Stražar</w:t>
            </w:r>
          </w:p>
        </w:tc>
        <w:tc>
          <w:tcPr>
            <w:tcW w:w="1325"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PK</w:t>
            </w:r>
          </w:p>
        </w:tc>
        <w:tc>
          <w:tcPr>
            <w:tcW w:w="2912" w:type="dxa"/>
            <w:vAlign w:val="center"/>
          </w:tcPr>
          <w:p w:rsidR="00261C5D" w:rsidRPr="007956D0" w:rsidRDefault="00261C5D" w:rsidP="00D021C0">
            <w:pPr>
              <w:spacing w:after="0" w:line="240" w:lineRule="auto"/>
              <w:jc w:val="center"/>
              <w:rPr>
                <w:rFonts w:ascii="Arial" w:hAnsi="Arial" w:cs="Arial"/>
                <w:noProof/>
              </w:rPr>
            </w:pPr>
          </w:p>
        </w:tc>
        <w:tc>
          <w:tcPr>
            <w:tcW w:w="1158" w:type="dxa"/>
            <w:vAlign w:val="center"/>
          </w:tcPr>
          <w:p w:rsidR="00261C5D" w:rsidRPr="007956D0" w:rsidRDefault="00261C5D" w:rsidP="00D021C0">
            <w:pPr>
              <w:spacing w:after="0" w:line="240" w:lineRule="auto"/>
              <w:jc w:val="center"/>
              <w:rPr>
                <w:rFonts w:ascii="Arial" w:hAnsi="Arial" w:cs="Arial"/>
                <w:noProof/>
              </w:rPr>
            </w:pPr>
            <w:r w:rsidRPr="007956D0">
              <w:rPr>
                <w:rFonts w:ascii="Arial" w:hAnsi="Arial" w:cs="Arial"/>
                <w:noProof/>
              </w:rPr>
              <w:t>2</w:t>
            </w:r>
          </w:p>
        </w:tc>
      </w:tr>
      <w:tr w:rsidR="002A13C9" w:rsidRPr="007956D0" w:rsidTr="00946ACF">
        <w:trPr>
          <w:trHeight w:val="243"/>
        </w:trPr>
        <w:tc>
          <w:tcPr>
            <w:tcW w:w="7675" w:type="dxa"/>
            <w:gridSpan w:val="4"/>
            <w:vAlign w:val="center"/>
          </w:tcPr>
          <w:p w:rsidR="00261C5D" w:rsidRPr="007956D0" w:rsidRDefault="00261C5D" w:rsidP="00D021C0">
            <w:pPr>
              <w:spacing w:after="0" w:line="240" w:lineRule="auto"/>
              <w:rPr>
                <w:rFonts w:ascii="Arial" w:hAnsi="Arial" w:cs="Arial"/>
                <w:b/>
                <w:noProof/>
              </w:rPr>
            </w:pPr>
            <w:r w:rsidRPr="007956D0">
              <w:rPr>
                <w:rFonts w:ascii="Arial" w:hAnsi="Arial" w:cs="Arial"/>
                <w:b/>
                <w:noProof/>
              </w:rPr>
              <w:t>UKUPNO</w:t>
            </w:r>
          </w:p>
        </w:tc>
        <w:tc>
          <w:tcPr>
            <w:tcW w:w="1158" w:type="dxa"/>
            <w:vAlign w:val="center"/>
          </w:tcPr>
          <w:p w:rsidR="00261C5D" w:rsidRPr="007956D0" w:rsidRDefault="00261C5D" w:rsidP="00D021C0">
            <w:pPr>
              <w:spacing w:after="0" w:line="240" w:lineRule="auto"/>
              <w:jc w:val="center"/>
              <w:rPr>
                <w:rFonts w:ascii="Arial" w:hAnsi="Arial" w:cs="Arial"/>
                <w:b/>
                <w:noProof/>
              </w:rPr>
            </w:pPr>
            <w:r w:rsidRPr="007956D0">
              <w:rPr>
                <w:rFonts w:ascii="Arial" w:hAnsi="Arial" w:cs="Arial"/>
                <w:b/>
                <w:noProof/>
              </w:rPr>
              <w:t>12</w:t>
            </w:r>
          </w:p>
        </w:tc>
      </w:tr>
    </w:tbl>
    <w:p w:rsidR="00D620F2" w:rsidRPr="007956D0" w:rsidRDefault="00D620F2" w:rsidP="00D021C0">
      <w:pPr>
        <w:shd w:val="clear" w:color="auto" w:fill="FFFFFF" w:themeFill="background1"/>
        <w:spacing w:after="0" w:line="240" w:lineRule="auto"/>
        <w:jc w:val="both"/>
        <w:rPr>
          <w:rFonts w:ascii="Arial" w:hAnsi="Arial" w:cs="Arial"/>
          <w:noProof/>
        </w:rPr>
      </w:pPr>
      <w:r w:rsidRPr="007956D0">
        <w:rPr>
          <w:rFonts w:ascii="Arial" w:hAnsi="Arial" w:cs="Arial"/>
          <w:b/>
          <w:noProof/>
        </w:rPr>
        <w:t>Napomena:</w:t>
      </w:r>
      <w:r w:rsidRPr="007956D0">
        <w:rPr>
          <w:rFonts w:ascii="Arial" w:hAnsi="Arial" w:cs="Arial"/>
          <w:noProof/>
        </w:rPr>
        <w:t xml:space="preserve"> Zaposleni treba da ispunjavaju uslove propisane čl. 93 Zakona o rudarstvu („Sl. list CG“, br. 65/08). </w:t>
      </w:r>
    </w:p>
    <w:p w:rsidR="00C1043C" w:rsidRPr="007956D0" w:rsidRDefault="00C1043C" w:rsidP="006A68F3">
      <w:pPr>
        <w:spacing w:after="0" w:line="240" w:lineRule="auto"/>
        <w:rPr>
          <w:rFonts w:ascii="Arial" w:hAnsi="Arial" w:cs="Arial"/>
          <w:noProof/>
        </w:rPr>
      </w:pPr>
    </w:p>
    <w:p w:rsidR="00D021C0" w:rsidRPr="007956D0" w:rsidRDefault="00D021C0" w:rsidP="006A68F3">
      <w:pPr>
        <w:spacing w:after="0" w:line="240" w:lineRule="auto"/>
        <w:rPr>
          <w:rFonts w:ascii="Arial" w:hAnsi="Arial" w:cs="Arial"/>
          <w:noProof/>
        </w:rPr>
      </w:pPr>
    </w:p>
    <w:p w:rsidR="00D620F2" w:rsidRPr="007956D0" w:rsidRDefault="006A68F3" w:rsidP="005B518B">
      <w:pPr>
        <w:pStyle w:val="Heading1"/>
        <w:numPr>
          <w:ilvl w:val="0"/>
          <w:numId w:val="18"/>
        </w:numPr>
        <w:ind w:left="360"/>
        <w:rPr>
          <w:noProof/>
        </w:rPr>
      </w:pPr>
      <w:bookmarkStart w:id="13" w:name="_Toc4581259"/>
      <w:r w:rsidRPr="007956D0">
        <w:rPr>
          <w:noProof/>
        </w:rPr>
        <w:t>MJERE ZA ZAŠTITU ŽIVOTNE SREDINE</w:t>
      </w:r>
      <w:bookmarkEnd w:id="13"/>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Detaljna geološka istraživanja u manjoj mjeri mogu imati uticaj na životnu sredinu, dok eksploatacija i obrada mineralne sirovine, a time i tehničko-građevinskog kamena, je proces koji se, sa aspekta ekologije, smatra rizičnim.</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U zakonskim propisima koji regulušu zaštitu životne sredine naglašeni su osnovni principi njene zaštite, i to: prirodnih vrijednosti zemljišta, vode i vazduha, kao i biodiverziteta (biljni i životinjski svijet).</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Shodno naprijed navedenom, Koncesi</w:t>
      </w:r>
      <w:r w:rsidR="00D75329" w:rsidRPr="007956D0">
        <w:rPr>
          <w:rFonts w:ascii="Arial" w:hAnsi="Arial" w:cs="Arial"/>
          <w:noProof/>
        </w:rPr>
        <w:t>o</w:t>
      </w:r>
      <w:r w:rsidRPr="007956D0">
        <w:rPr>
          <w:rFonts w:ascii="Arial" w:hAnsi="Arial" w:cs="Arial"/>
          <w:noProof/>
        </w:rPr>
        <w:t>nar je dužan da na istražno-ekspl</w:t>
      </w:r>
      <w:r w:rsidR="00F10DEF" w:rsidRPr="007956D0">
        <w:rPr>
          <w:rFonts w:ascii="Arial" w:hAnsi="Arial" w:cs="Arial"/>
          <w:noProof/>
        </w:rPr>
        <w:t xml:space="preserve">oatacionom prostoru </w:t>
      </w:r>
      <w:r w:rsidR="00183B94" w:rsidRPr="007956D0">
        <w:rPr>
          <w:rFonts w:ascii="Arial" w:hAnsi="Arial" w:cs="Arial"/>
          <w:noProof/>
        </w:rPr>
        <w:t>“Velja Gorana”</w:t>
      </w:r>
      <w:r w:rsidRPr="007956D0">
        <w:rPr>
          <w:rFonts w:ascii="Arial" w:hAnsi="Arial" w:cs="Arial"/>
          <w:noProof/>
        </w:rPr>
        <w:t>, pri planiranju i sprovođen</w:t>
      </w:r>
      <w:r w:rsidR="00D75329" w:rsidRPr="007956D0">
        <w:rPr>
          <w:rFonts w:ascii="Arial" w:hAnsi="Arial" w:cs="Arial"/>
          <w:noProof/>
        </w:rPr>
        <w:t>ju investicionog zahvata, sprove</w:t>
      </w:r>
      <w:r w:rsidRPr="007956D0">
        <w:rPr>
          <w:rFonts w:ascii="Arial" w:hAnsi="Arial" w:cs="Arial"/>
          <w:noProof/>
        </w:rPr>
        <w:t>de postupak prethodne procjene uticaja na životnu sredinu, u sladu sa zakonom.</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Shodno ovome, ekološko-tehnički uslovi treba da obezbijede zaštitu od uticaja buke, vibracija, prašine i d</w:t>
      </w:r>
      <w:r w:rsidR="00D75329" w:rsidRPr="007956D0">
        <w:rPr>
          <w:rFonts w:ascii="Arial" w:hAnsi="Arial" w:cs="Arial"/>
          <w:noProof/>
        </w:rPr>
        <w:t>r</w:t>
      </w:r>
      <w:r w:rsidRPr="007956D0">
        <w:rPr>
          <w:rFonts w:ascii="Arial" w:hAnsi="Arial" w:cs="Arial"/>
          <w:noProof/>
        </w:rPr>
        <w:t>ugih štetnih uticaja po okolinu. Ove zahtjeve Koncesionar treba imati u vidu prilikom izbora opreme i mehanizacije, odnosno, da se od proizvođača istih posjeduje garancija za ispunjavanje zakonom propisanih standarda.</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Nadležni državni organ procjenjuje potrebu izrade Elaborata o procjeni uticaja zahvata na životnu sredinu, koji se radi u skladu sa Zakonom o procjeni uticaja zahvata na životnu sredinu („Sl. list RCG“, br. 80/05 i „Sl. list CG“, br. 40/10, 73/10, 40/11 i 27/13).</w:t>
      </w:r>
    </w:p>
    <w:p w:rsidR="00D021C0" w:rsidRPr="007956D0" w:rsidRDefault="00D021C0" w:rsidP="00D021C0">
      <w:pPr>
        <w:pStyle w:val="BodyText"/>
        <w:spacing w:after="0" w:line="240" w:lineRule="auto"/>
        <w:jc w:val="both"/>
        <w:rPr>
          <w:rFonts w:ascii="Arial" w:hAnsi="Arial" w:cs="Arial"/>
          <w:noProof/>
        </w:rPr>
      </w:pPr>
    </w:p>
    <w:p w:rsidR="004B061D" w:rsidRPr="007956D0" w:rsidRDefault="004B061D" w:rsidP="00D021C0">
      <w:pPr>
        <w:pStyle w:val="BodyText"/>
        <w:spacing w:after="0" w:line="240" w:lineRule="auto"/>
        <w:jc w:val="both"/>
        <w:rPr>
          <w:rFonts w:ascii="Arial" w:hAnsi="Arial" w:cs="Arial"/>
          <w:noProof/>
        </w:rPr>
      </w:pPr>
      <w:bookmarkStart w:id="14" w:name="_Toc402262949"/>
      <w:r w:rsidRPr="007956D0">
        <w:rPr>
          <w:rFonts w:ascii="Arial" w:hAnsi="Arial" w:cs="Arial"/>
          <w:noProof/>
        </w:rPr>
        <w:t>S obzirom na značaj očuvanja životne sredine, Koncesionar je dužan da se pridržava svih mjera zaštite u skladu sa zakonskim propisima.</w:t>
      </w:r>
    </w:p>
    <w:p w:rsidR="00D021C0" w:rsidRPr="007956D0" w:rsidRDefault="00D021C0" w:rsidP="00D021C0">
      <w:pPr>
        <w:pStyle w:val="BodyText"/>
        <w:spacing w:after="0" w:line="240" w:lineRule="auto"/>
        <w:jc w:val="both"/>
        <w:rPr>
          <w:rFonts w:ascii="Arial" w:hAnsi="Arial" w:cs="Arial"/>
          <w:noProof/>
        </w:rPr>
      </w:pPr>
    </w:p>
    <w:p w:rsidR="004B061D" w:rsidRPr="007956D0" w:rsidRDefault="004B061D" w:rsidP="00D021C0">
      <w:pPr>
        <w:spacing w:after="0" w:line="240" w:lineRule="auto"/>
        <w:jc w:val="both"/>
        <w:rPr>
          <w:rFonts w:ascii="Arial" w:hAnsi="Arial" w:cs="Arial"/>
          <w:noProof/>
        </w:rPr>
      </w:pPr>
      <w:r w:rsidRPr="007956D0">
        <w:rPr>
          <w:rFonts w:ascii="Arial" w:hAnsi="Arial" w:cs="Arial"/>
          <w:noProof/>
        </w:rPr>
        <w:t>Zakonska regulativa koja uređuje ovu djelatnost je sljedeća:</w:t>
      </w:r>
    </w:p>
    <w:p w:rsidR="00D021C0" w:rsidRPr="007956D0" w:rsidRDefault="00D021C0" w:rsidP="00D021C0">
      <w:pPr>
        <w:spacing w:after="0" w:line="240" w:lineRule="auto"/>
        <w:jc w:val="both"/>
        <w:rPr>
          <w:rFonts w:ascii="Arial" w:hAnsi="Arial" w:cs="Arial"/>
          <w:noProof/>
        </w:rPr>
      </w:pPr>
    </w:p>
    <w:p w:rsidR="004B061D" w:rsidRPr="007956D0" w:rsidRDefault="004B061D" w:rsidP="005B518B">
      <w:pPr>
        <w:pStyle w:val="ListParagraph"/>
        <w:numPr>
          <w:ilvl w:val="0"/>
          <w:numId w:val="22"/>
        </w:numPr>
        <w:suppressAutoHyphens/>
        <w:spacing w:after="0" w:line="240" w:lineRule="auto"/>
        <w:contextualSpacing w:val="0"/>
        <w:jc w:val="both"/>
        <w:rPr>
          <w:rFonts w:ascii="Arial" w:hAnsi="Arial" w:cs="Arial"/>
          <w:noProof/>
        </w:rPr>
      </w:pPr>
      <w:r w:rsidRPr="007956D0">
        <w:rPr>
          <w:rFonts w:ascii="Arial" w:hAnsi="Arial" w:cs="Arial"/>
          <w:noProof/>
        </w:rPr>
        <w:t>Zakon o procjeni uticaja zahvata na životnu sredinu („Sl. list RCG“, br. 80/05 i „Sl. list CG“, br. 40/10, 73/10, 40/11, 27/13 i 52/16);</w:t>
      </w:r>
    </w:p>
    <w:p w:rsidR="004B061D" w:rsidRPr="007956D0" w:rsidRDefault="004B061D" w:rsidP="005B518B">
      <w:pPr>
        <w:pStyle w:val="ListParagraph"/>
        <w:numPr>
          <w:ilvl w:val="0"/>
          <w:numId w:val="22"/>
        </w:numPr>
        <w:suppressAutoHyphens/>
        <w:spacing w:after="0" w:line="240" w:lineRule="auto"/>
        <w:contextualSpacing w:val="0"/>
        <w:jc w:val="both"/>
        <w:rPr>
          <w:rFonts w:ascii="Arial" w:hAnsi="Arial" w:cs="Arial"/>
          <w:noProof/>
        </w:rPr>
      </w:pPr>
      <w:r w:rsidRPr="007956D0">
        <w:rPr>
          <w:rFonts w:ascii="Arial" w:hAnsi="Arial" w:cs="Arial"/>
          <w:noProof/>
        </w:rPr>
        <w:t>Zakon o zaštiti prirode („Sl. list CG“, br. 54/16);</w:t>
      </w:r>
    </w:p>
    <w:p w:rsidR="004B061D" w:rsidRPr="007956D0" w:rsidRDefault="004B061D" w:rsidP="005B518B">
      <w:pPr>
        <w:pStyle w:val="ListParagraph"/>
        <w:numPr>
          <w:ilvl w:val="0"/>
          <w:numId w:val="22"/>
        </w:numPr>
        <w:suppressAutoHyphens/>
        <w:spacing w:after="0" w:line="240" w:lineRule="auto"/>
        <w:contextualSpacing w:val="0"/>
        <w:jc w:val="both"/>
        <w:rPr>
          <w:rFonts w:ascii="Arial" w:hAnsi="Arial" w:cs="Arial"/>
          <w:noProof/>
        </w:rPr>
      </w:pPr>
      <w:r w:rsidRPr="007956D0">
        <w:rPr>
          <w:rFonts w:ascii="Arial" w:hAnsi="Arial" w:cs="Arial"/>
          <w:noProof/>
        </w:rPr>
        <w:t>Uredba o projektima za koje se vrši procjena uticaja na životnu sredinu („Sl. list RCG“, br. 20/07 i „Sl. list CG“, br. 47/13 i 53/14);</w:t>
      </w:r>
    </w:p>
    <w:p w:rsidR="004B061D" w:rsidRPr="007956D0" w:rsidRDefault="004B061D" w:rsidP="005B518B">
      <w:pPr>
        <w:pStyle w:val="ListParagraph"/>
        <w:numPr>
          <w:ilvl w:val="0"/>
          <w:numId w:val="22"/>
        </w:numPr>
        <w:suppressAutoHyphens/>
        <w:spacing w:after="0" w:line="240" w:lineRule="auto"/>
        <w:contextualSpacing w:val="0"/>
        <w:jc w:val="both"/>
        <w:rPr>
          <w:rFonts w:ascii="Arial" w:hAnsi="Arial" w:cs="Arial"/>
          <w:noProof/>
        </w:rPr>
      </w:pPr>
      <w:r w:rsidRPr="007956D0">
        <w:rPr>
          <w:rFonts w:ascii="Arial" w:hAnsi="Arial" w:cs="Arial"/>
          <w:noProof/>
        </w:rPr>
        <w:lastRenderedPageBreak/>
        <w:t>Uredba o visini naknada, načinu obračuna i plaćanja naknada zbog zagađenja životne sredine („Sl. list RCG“, br. 26/97, 09/00 i 52/00 i „Sl. list CG“, br. 33/08, 05/09, 64/09, 40/11 i 49/11);</w:t>
      </w:r>
    </w:p>
    <w:p w:rsidR="004B061D" w:rsidRPr="007956D0" w:rsidRDefault="004B061D" w:rsidP="005B518B">
      <w:pPr>
        <w:pStyle w:val="ListParagraph"/>
        <w:numPr>
          <w:ilvl w:val="0"/>
          <w:numId w:val="22"/>
        </w:numPr>
        <w:suppressAutoHyphens/>
        <w:spacing w:after="0" w:line="240" w:lineRule="auto"/>
        <w:contextualSpacing w:val="0"/>
        <w:jc w:val="both"/>
        <w:rPr>
          <w:rFonts w:ascii="Arial" w:hAnsi="Arial" w:cs="Arial"/>
          <w:noProof/>
        </w:rPr>
      </w:pPr>
      <w:r w:rsidRPr="007956D0">
        <w:rPr>
          <w:rFonts w:ascii="Arial" w:hAnsi="Arial" w:cs="Arial"/>
          <w:noProof/>
        </w:rPr>
        <w:t>Pravilnik o sadržaju dokumentacije koja se podnosi uz zahtjev za odlučivanje o potrebi procjene uticaja na životnu sredinu („Sl. list CG“, br. 14/07);</w:t>
      </w:r>
    </w:p>
    <w:p w:rsidR="004B061D" w:rsidRPr="007956D0" w:rsidRDefault="004B061D" w:rsidP="005B518B">
      <w:pPr>
        <w:pStyle w:val="ListParagraph"/>
        <w:numPr>
          <w:ilvl w:val="0"/>
          <w:numId w:val="22"/>
        </w:numPr>
        <w:suppressAutoHyphens/>
        <w:spacing w:after="0" w:line="240" w:lineRule="auto"/>
        <w:contextualSpacing w:val="0"/>
        <w:jc w:val="both"/>
        <w:rPr>
          <w:rFonts w:ascii="Arial" w:hAnsi="Arial" w:cs="Arial"/>
          <w:noProof/>
        </w:rPr>
      </w:pPr>
      <w:r w:rsidRPr="007956D0">
        <w:rPr>
          <w:rFonts w:ascii="Arial" w:hAnsi="Arial" w:cs="Arial"/>
          <w:noProof/>
        </w:rPr>
        <w:t>Pravilnik o sadržaju dokumentacije koja se podnosi uz zahtjev za određivanje obima i sadržaja Elaborata o procjeni uticaja na životnu sredinu („Sl. list CG“, br. 14/07);</w:t>
      </w:r>
    </w:p>
    <w:p w:rsidR="004B061D" w:rsidRPr="007956D0" w:rsidRDefault="004B061D" w:rsidP="005B518B">
      <w:pPr>
        <w:pStyle w:val="ListParagraph"/>
        <w:numPr>
          <w:ilvl w:val="0"/>
          <w:numId w:val="22"/>
        </w:numPr>
        <w:suppressAutoHyphens/>
        <w:spacing w:after="0" w:line="240" w:lineRule="auto"/>
        <w:contextualSpacing w:val="0"/>
        <w:jc w:val="both"/>
        <w:rPr>
          <w:rFonts w:ascii="Arial" w:hAnsi="Arial" w:cs="Arial"/>
          <w:noProof/>
        </w:rPr>
      </w:pPr>
      <w:r w:rsidRPr="007956D0">
        <w:rPr>
          <w:rFonts w:ascii="Arial" w:hAnsi="Arial" w:cs="Arial"/>
          <w:noProof/>
        </w:rPr>
        <w:t>Pravilnik o sadržini Elaborata o procjeni uticaja na životnu sredinu („Sl. list CG“, br. 14/07).</w:t>
      </w:r>
    </w:p>
    <w:p w:rsidR="008B6571" w:rsidRPr="007956D0" w:rsidRDefault="008B6571" w:rsidP="00760267">
      <w:pPr>
        <w:rPr>
          <w:rFonts w:ascii="Arial" w:hAnsi="Arial" w:cs="Arial"/>
          <w:noProof/>
        </w:rPr>
      </w:pPr>
    </w:p>
    <w:p w:rsidR="00D620F2" w:rsidRPr="007956D0" w:rsidRDefault="006A68F3" w:rsidP="005B518B">
      <w:pPr>
        <w:pStyle w:val="Heading1"/>
        <w:numPr>
          <w:ilvl w:val="0"/>
          <w:numId w:val="18"/>
        </w:numPr>
        <w:ind w:left="360"/>
        <w:rPr>
          <w:noProof/>
        </w:rPr>
      </w:pPr>
      <w:bookmarkStart w:id="15" w:name="_Toc4581260"/>
      <w:r w:rsidRPr="007956D0">
        <w:rPr>
          <w:noProof/>
        </w:rPr>
        <w:t xml:space="preserve">REKULTIVACIJA ISTRAŽNO-EKSPLOATACIONOG PROSTORA </w:t>
      </w:r>
      <w:r w:rsidR="00D83F66" w:rsidRPr="007956D0">
        <w:rPr>
          <w:noProof/>
        </w:rPr>
        <w:t>“VELJA GORANA”</w:t>
      </w:r>
      <w:bookmarkEnd w:id="14"/>
      <w:bookmarkEnd w:id="15"/>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 xml:space="preserve">Negativni uticaji budućih rudarskih aktivnosti </w:t>
      </w:r>
      <w:r w:rsidR="00B77602" w:rsidRPr="007956D0">
        <w:rPr>
          <w:rFonts w:ascii="Arial" w:hAnsi="Arial" w:cs="Arial"/>
          <w:noProof/>
        </w:rPr>
        <w:t>na</w:t>
      </w:r>
      <w:r w:rsidR="00F10DEF" w:rsidRPr="007956D0">
        <w:rPr>
          <w:rFonts w:ascii="Arial" w:hAnsi="Arial" w:cs="Arial"/>
          <w:noProof/>
        </w:rPr>
        <w:t xml:space="preserve"> površinskom kopu </w:t>
      </w:r>
      <w:r w:rsidR="00183B94" w:rsidRPr="007956D0">
        <w:rPr>
          <w:rFonts w:ascii="Arial" w:hAnsi="Arial" w:cs="Arial"/>
          <w:noProof/>
        </w:rPr>
        <w:t>“Velja Gorana”</w:t>
      </w:r>
      <w:r w:rsidRPr="007956D0">
        <w:rPr>
          <w:rFonts w:ascii="Arial" w:hAnsi="Arial" w:cs="Arial"/>
          <w:noProof/>
        </w:rPr>
        <w:t xml:space="preserve"> sa kvalitativnom procjenom mogućih nepovoljnih uticaja na radnu i životnu sredinu, obrađeni su u poglavlju </w:t>
      </w:r>
      <w:r w:rsidR="00F765BD" w:rsidRPr="007956D0">
        <w:rPr>
          <w:rFonts w:ascii="Arial" w:hAnsi="Arial" w:cs="Arial"/>
          <w:noProof/>
        </w:rPr>
        <w:t>5.</w:t>
      </w:r>
      <w:r w:rsidRPr="007956D0">
        <w:rPr>
          <w:rFonts w:ascii="Arial" w:hAnsi="Arial" w:cs="Arial"/>
          <w:noProof/>
        </w:rPr>
        <w:t>Mjere za zaštitu životne sredine.</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U ovom poglavlju se obrađuje faza rekultivacije istražno-eksploatacionog prostora.</w:t>
      </w:r>
    </w:p>
    <w:p w:rsidR="00D021C0" w:rsidRPr="007956D0" w:rsidRDefault="00D021C0" w:rsidP="00D021C0">
      <w:pPr>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Novi zakonski uslovi za eksploataciju zahtijevaju da se izvrši rekultivacija prostora koji će biti degradiran obavljanjem koncesione djelatnosti, a sve to u cilju poboljšanja ekoloških uslova na samom lokalitetu i neposrednoj okolini.</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Ako bi se degradirane površine ostavile, nakon izvođenja radova na eksploataciji, u istom stanju, mogu se očekivati neki od sljedećih negativnih uticaja:</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5B518B">
      <w:pPr>
        <w:pStyle w:val="ListParagraph"/>
        <w:numPr>
          <w:ilvl w:val="0"/>
          <w:numId w:val="21"/>
        </w:numPr>
        <w:suppressAutoHyphens/>
        <w:spacing w:after="0" w:line="240" w:lineRule="auto"/>
        <w:jc w:val="both"/>
        <w:rPr>
          <w:rFonts w:ascii="Arial" w:hAnsi="Arial" w:cs="Arial"/>
          <w:noProof/>
        </w:rPr>
      </w:pPr>
      <w:r w:rsidRPr="007956D0">
        <w:rPr>
          <w:rFonts w:ascii="Arial" w:hAnsi="Arial" w:cs="Arial"/>
          <w:noProof/>
        </w:rPr>
        <w:t>produžavanje nepovoljnog uticaja pejzažnog izgleda terena,</w:t>
      </w:r>
    </w:p>
    <w:p w:rsidR="00D620F2" w:rsidRPr="007956D0" w:rsidRDefault="00D620F2" w:rsidP="005B518B">
      <w:pPr>
        <w:pStyle w:val="ListParagraph"/>
        <w:numPr>
          <w:ilvl w:val="0"/>
          <w:numId w:val="21"/>
        </w:numPr>
        <w:suppressAutoHyphens/>
        <w:spacing w:after="0" w:line="240" w:lineRule="auto"/>
        <w:contextualSpacing w:val="0"/>
        <w:jc w:val="both"/>
        <w:rPr>
          <w:rFonts w:ascii="Arial" w:hAnsi="Arial" w:cs="Arial"/>
          <w:noProof/>
        </w:rPr>
      </w:pPr>
      <w:r w:rsidRPr="007956D0">
        <w:rPr>
          <w:rFonts w:ascii="Arial" w:hAnsi="Arial" w:cs="Arial"/>
          <w:noProof/>
        </w:rPr>
        <w:t>pogoršavanje stanja degradiranih površina zbog pojave erozije, klizišta i sl.,</w:t>
      </w:r>
    </w:p>
    <w:p w:rsidR="00D620F2" w:rsidRPr="007956D0" w:rsidRDefault="00D620F2" w:rsidP="005B518B">
      <w:pPr>
        <w:pStyle w:val="ListParagraph"/>
        <w:numPr>
          <w:ilvl w:val="0"/>
          <w:numId w:val="21"/>
        </w:numPr>
        <w:suppressAutoHyphens/>
        <w:spacing w:after="0" w:line="240" w:lineRule="auto"/>
        <w:contextualSpacing w:val="0"/>
        <w:jc w:val="both"/>
        <w:rPr>
          <w:rFonts w:ascii="Arial" w:hAnsi="Arial" w:cs="Arial"/>
          <w:noProof/>
        </w:rPr>
      </w:pPr>
      <w:r w:rsidRPr="007956D0">
        <w:rPr>
          <w:rFonts w:ascii="Arial" w:hAnsi="Arial" w:cs="Arial"/>
          <w:noProof/>
        </w:rPr>
        <w:t>produžavanje negativnih uticaja na vazduh i okolno zemljište (podizanje prašine izazvane vjetrom, odnošenje materijala površinskim – atmosferskim vodama).</w:t>
      </w:r>
    </w:p>
    <w:p w:rsidR="00D021C0" w:rsidRPr="007956D0" w:rsidRDefault="00D021C0" w:rsidP="00D021C0">
      <w:pPr>
        <w:pStyle w:val="BodyText"/>
        <w:spacing w:after="0" w:line="240" w:lineRule="auto"/>
        <w:jc w:val="both"/>
        <w:rPr>
          <w:rFonts w:ascii="Arial" w:hAnsi="Arial" w:cs="Arial"/>
          <w:noProof/>
        </w:rPr>
      </w:pPr>
    </w:p>
    <w:p w:rsidR="00732534" w:rsidRPr="007956D0" w:rsidRDefault="005047E3" w:rsidP="00732534">
      <w:pPr>
        <w:spacing w:after="0" w:line="240" w:lineRule="auto"/>
        <w:jc w:val="both"/>
        <w:rPr>
          <w:rFonts w:ascii="Arial" w:hAnsi="Arial" w:cs="Arial"/>
          <w:lang w:val="sr-Latn-CS"/>
        </w:rPr>
      </w:pPr>
      <w:r w:rsidRPr="007956D0">
        <w:rPr>
          <w:rFonts w:ascii="Arial" w:hAnsi="Arial" w:cs="Arial"/>
        </w:rPr>
        <w:t>Projekat se mora realizovati u fazama, odnosno radovi na rekultivaciji izvoditi sukcesivno, paralelno sa razvojem kopa. To znači da je sa radovima na rekultivaciji potrebno početi odmah po završetku svake etaže.</w:t>
      </w:r>
      <w:r w:rsidR="00732534" w:rsidRPr="007956D0">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rsidR="00D021C0" w:rsidRPr="007956D0" w:rsidRDefault="00D021C0" w:rsidP="00D021C0">
      <w:pPr>
        <w:pStyle w:val="BodyText"/>
        <w:spacing w:after="0" w:line="240" w:lineRule="auto"/>
        <w:jc w:val="both"/>
        <w:rPr>
          <w:rFonts w:ascii="Arial" w:hAnsi="Arial" w:cs="Arial"/>
          <w:noProof/>
        </w:rPr>
      </w:pPr>
    </w:p>
    <w:p w:rsidR="000B1014" w:rsidRPr="007956D0" w:rsidRDefault="000B1014" w:rsidP="00D021C0">
      <w:pPr>
        <w:pStyle w:val="BodyText"/>
        <w:spacing w:after="0" w:line="240" w:lineRule="auto"/>
        <w:jc w:val="both"/>
        <w:rPr>
          <w:rFonts w:ascii="Arial" w:hAnsi="Arial" w:cs="Arial"/>
          <w:noProof/>
        </w:rPr>
      </w:pPr>
      <w:r w:rsidRPr="007956D0">
        <w:rPr>
          <w:rFonts w:ascii="Arial" w:hAnsi="Arial" w:cs="Arial"/>
          <w:noProof/>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rsidR="00D021C0" w:rsidRPr="007956D0" w:rsidRDefault="00D021C0" w:rsidP="00D021C0">
      <w:pPr>
        <w:pStyle w:val="BodyText"/>
        <w:spacing w:after="0" w:line="240" w:lineRule="auto"/>
        <w:jc w:val="both"/>
        <w:rPr>
          <w:rFonts w:ascii="Arial" w:hAnsi="Arial" w:cs="Arial"/>
          <w:noProof/>
        </w:rPr>
      </w:pPr>
    </w:p>
    <w:p w:rsidR="000B1014" w:rsidRPr="007956D0" w:rsidRDefault="000B1014" w:rsidP="00D021C0">
      <w:pPr>
        <w:pStyle w:val="BodyText"/>
        <w:spacing w:after="0" w:line="240" w:lineRule="auto"/>
        <w:jc w:val="both"/>
        <w:rPr>
          <w:rFonts w:ascii="Arial" w:hAnsi="Arial" w:cs="Arial"/>
          <w:noProof/>
        </w:rPr>
      </w:pPr>
      <w:r w:rsidRPr="007956D0">
        <w:rPr>
          <w:rFonts w:ascii="Arial" w:hAnsi="Arial" w:cs="Arial"/>
          <w:noProof/>
        </w:rPr>
        <w:t>Zbog velike važnosti ove faze rada, zakonskim propisima utvrđena je obaveza izrade projektnih rješenja rekultivacije, izradom Glavnog rudarsko</w:t>
      </w:r>
      <w:r w:rsidR="002A7265" w:rsidRPr="007956D0">
        <w:rPr>
          <w:rFonts w:ascii="Arial" w:hAnsi="Arial" w:cs="Arial"/>
          <w:noProof/>
        </w:rPr>
        <w:t>g projekta (Pravilnik o sadržaju</w:t>
      </w:r>
      <w:r w:rsidRPr="007956D0">
        <w:rPr>
          <w:rFonts w:ascii="Arial" w:hAnsi="Arial" w:cs="Arial"/>
          <w:noProof/>
        </w:rPr>
        <w:t xml:space="preserve"> rudarskih projekata) ili izradom posebnog tehničkog projekta rekultivacije, koji je sastavni dio Glavnog rudarskog projekta.</w:t>
      </w:r>
    </w:p>
    <w:p w:rsidR="00D021C0" w:rsidRPr="007956D0" w:rsidRDefault="00D021C0" w:rsidP="00D021C0">
      <w:pPr>
        <w:pStyle w:val="BodyText"/>
        <w:spacing w:after="0" w:line="240" w:lineRule="auto"/>
        <w:jc w:val="both"/>
        <w:rPr>
          <w:rFonts w:ascii="Arial" w:hAnsi="Arial" w:cs="Arial"/>
          <w:noProof/>
        </w:rPr>
      </w:pPr>
    </w:p>
    <w:p w:rsidR="000B1014" w:rsidRPr="007956D0" w:rsidRDefault="000B1014" w:rsidP="00D021C0">
      <w:pPr>
        <w:pStyle w:val="BodyText"/>
        <w:spacing w:after="0" w:line="240" w:lineRule="auto"/>
        <w:jc w:val="both"/>
        <w:rPr>
          <w:rFonts w:ascii="Arial" w:hAnsi="Arial" w:cs="Arial"/>
          <w:noProof/>
        </w:rPr>
      </w:pPr>
      <w:r w:rsidRPr="007956D0">
        <w:rPr>
          <w:rFonts w:ascii="Arial" w:hAnsi="Arial" w:cs="Arial"/>
          <w:noProof/>
        </w:rPr>
        <w:t>Projektima se daju rješenja rudarsko-tehničke i biološke rekultivacije površina degradiranih izvođenjem rudarskih radova, uz uvažavanje uslova koji su utvrđeni Elaboratom o procjeni uticaja na životnu sredinu, vodnih uslova i sl.</w:t>
      </w:r>
    </w:p>
    <w:p w:rsidR="004B061D" w:rsidRPr="007956D0" w:rsidRDefault="004B061D" w:rsidP="00D021C0">
      <w:pPr>
        <w:spacing w:after="0" w:line="240" w:lineRule="auto"/>
        <w:rPr>
          <w:rFonts w:ascii="Arial" w:hAnsi="Arial" w:cs="Arial"/>
          <w:noProof/>
        </w:rPr>
      </w:pPr>
    </w:p>
    <w:p w:rsidR="008B6571" w:rsidRPr="007956D0" w:rsidRDefault="008B6571" w:rsidP="008B6571">
      <w:pPr>
        <w:pStyle w:val="Heading2"/>
        <w:spacing w:before="0" w:after="0" w:line="240" w:lineRule="auto"/>
        <w:rPr>
          <w:b/>
          <w:i/>
          <w:noProof/>
        </w:rPr>
      </w:pPr>
      <w:bookmarkStart w:id="16" w:name="_Toc402262950"/>
    </w:p>
    <w:p w:rsidR="008B6571" w:rsidRPr="007956D0" w:rsidRDefault="008B6571" w:rsidP="008B6571">
      <w:pPr>
        <w:pStyle w:val="Heading2"/>
        <w:spacing w:before="0" w:after="0" w:line="240" w:lineRule="auto"/>
        <w:rPr>
          <w:b/>
          <w:i/>
          <w:noProof/>
        </w:rPr>
      </w:pPr>
    </w:p>
    <w:p w:rsidR="00D620F2" w:rsidRPr="007956D0" w:rsidRDefault="00D620F2" w:rsidP="005B518B">
      <w:pPr>
        <w:pStyle w:val="Heading2"/>
        <w:numPr>
          <w:ilvl w:val="1"/>
          <w:numId w:val="18"/>
        </w:numPr>
        <w:spacing w:before="0" w:after="0" w:line="240" w:lineRule="auto"/>
        <w:rPr>
          <w:b/>
          <w:i/>
          <w:noProof/>
        </w:rPr>
      </w:pPr>
      <w:r w:rsidRPr="007956D0">
        <w:rPr>
          <w:b/>
          <w:i/>
          <w:noProof/>
        </w:rPr>
        <w:t>Zaključak</w:t>
      </w:r>
      <w:bookmarkEnd w:id="16"/>
    </w:p>
    <w:p w:rsidR="00D021C0" w:rsidRPr="007956D0" w:rsidRDefault="00D021C0" w:rsidP="00D021C0">
      <w:pPr>
        <w:pStyle w:val="BodyText"/>
        <w:spacing w:after="0" w:line="240" w:lineRule="auto"/>
        <w:jc w:val="both"/>
        <w:rPr>
          <w:rFonts w:ascii="Arial" w:hAnsi="Arial" w:cs="Arial"/>
          <w:noProof/>
        </w:rPr>
      </w:pPr>
    </w:p>
    <w:p w:rsidR="00732534"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w:t>
      </w:r>
      <w:r w:rsidR="00BF5CFA" w:rsidRPr="007956D0">
        <w:rPr>
          <w:rFonts w:ascii="Arial" w:hAnsi="Arial" w:cs="Arial"/>
          <w:noProof/>
        </w:rPr>
        <w:t>,</w:t>
      </w:r>
      <w:r w:rsidRPr="007956D0">
        <w:rPr>
          <w:rFonts w:ascii="Arial" w:hAnsi="Arial" w:cs="Arial"/>
          <w:noProof/>
        </w:rPr>
        <w:t xml:space="preserve"> od strane organa državne uprave nadležnog za poslove zaštite životne sredine</w:t>
      </w:r>
      <w:r w:rsidR="00BF5CFA" w:rsidRPr="007956D0">
        <w:rPr>
          <w:rFonts w:ascii="Arial" w:hAnsi="Arial" w:cs="Arial"/>
          <w:noProof/>
        </w:rPr>
        <w:t>,</w:t>
      </w:r>
      <w:r w:rsidRPr="007956D0">
        <w:rPr>
          <w:rFonts w:ascii="Arial" w:hAnsi="Arial" w:cs="Arial"/>
          <w:noProof/>
        </w:rPr>
        <w:t xml:space="preserve"> data saglasnost i mjere zaštite voda u skladu sa zakonom.</w:t>
      </w: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O naprijed navedenim mjerama izvještavaju se nadležno ministarstvo za rudarstvo i ministarstva nadležna za poslove poljoprivrede, vodoprivrede, zaštite životne sredine i</w:t>
      </w:r>
      <w:r w:rsidR="00732534" w:rsidRPr="007956D0">
        <w:rPr>
          <w:rFonts w:ascii="Arial" w:hAnsi="Arial" w:cs="Arial"/>
          <w:noProof/>
        </w:rPr>
        <w:t xml:space="preserve"> nadležni organ lokalne uprave.</w:t>
      </w:r>
      <w:r w:rsidRPr="007956D0">
        <w:rPr>
          <w:rFonts w:ascii="Arial" w:hAnsi="Arial" w:cs="Arial"/>
          <w:noProof/>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732534" w:rsidRPr="007956D0" w:rsidRDefault="00732534"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Visina sredstava za sanaciju i rekultivaciju prostora na kojem se izvode rudarski radovi, način obračunavanja, plaćanja i korišćenja sredstava bliže je uređen Uredbom o visini sredstava za sanaciju i rekultiva</w:t>
      </w:r>
      <w:r w:rsidR="002A7265" w:rsidRPr="007956D0">
        <w:rPr>
          <w:rFonts w:ascii="Arial" w:hAnsi="Arial" w:cs="Arial"/>
          <w:noProof/>
        </w:rPr>
        <w:t>ciju prostora na kojem se izvode</w:t>
      </w:r>
      <w:r w:rsidRPr="007956D0">
        <w:rPr>
          <w:rFonts w:ascii="Arial" w:hAnsi="Arial" w:cs="Arial"/>
          <w:noProof/>
        </w:rPr>
        <w:t xml:space="preserve"> rudarski radovi, načinu obračunavanja, plaćan</w:t>
      </w:r>
      <w:r w:rsidR="002A7265" w:rsidRPr="007956D0">
        <w:rPr>
          <w:rFonts w:ascii="Arial" w:hAnsi="Arial" w:cs="Arial"/>
          <w:noProof/>
        </w:rPr>
        <w:t>ja i korišćenja tih sredstava („</w:t>
      </w:r>
      <w:r w:rsidRPr="007956D0">
        <w:rPr>
          <w:rFonts w:ascii="Arial" w:hAnsi="Arial" w:cs="Arial"/>
          <w:noProof/>
        </w:rPr>
        <w:t>Sl. list CG”, br. 51/11).</w:t>
      </w:r>
    </w:p>
    <w:p w:rsidR="00D021C0" w:rsidRPr="007956D0" w:rsidRDefault="00D021C0" w:rsidP="00D021C0">
      <w:pPr>
        <w:pStyle w:val="BodyText"/>
        <w:spacing w:after="0" w:line="240" w:lineRule="auto"/>
        <w:jc w:val="both"/>
        <w:rPr>
          <w:rFonts w:ascii="Arial" w:hAnsi="Arial" w:cs="Arial"/>
          <w:noProof/>
        </w:rPr>
      </w:pPr>
    </w:p>
    <w:p w:rsidR="00D620F2" w:rsidRPr="007956D0" w:rsidRDefault="0056486B" w:rsidP="005B518B">
      <w:pPr>
        <w:pStyle w:val="Heading1"/>
        <w:numPr>
          <w:ilvl w:val="0"/>
          <w:numId w:val="18"/>
        </w:numPr>
        <w:ind w:left="360"/>
        <w:rPr>
          <w:noProof/>
        </w:rPr>
      </w:pPr>
      <w:bookmarkStart w:id="17" w:name="_Toc402262951"/>
      <w:bookmarkStart w:id="18" w:name="_Toc4581261"/>
      <w:r w:rsidRPr="007956D0">
        <w:rPr>
          <w:noProof/>
        </w:rPr>
        <w:t>UNAPR</w:t>
      </w:r>
      <w:r w:rsidR="006A68F3" w:rsidRPr="007956D0">
        <w:rPr>
          <w:noProof/>
        </w:rPr>
        <w:t>EĐENJE ENERGETSKE EFIKASNOSTI</w:t>
      </w:r>
      <w:bookmarkEnd w:id="17"/>
      <w:bookmarkEnd w:id="18"/>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 xml:space="preserve">Radi efikasnog korišćenja energije, u skladu sa odredbama </w:t>
      </w:r>
      <w:r w:rsidR="00E85A09" w:rsidRPr="007956D0">
        <w:rPr>
          <w:rFonts w:ascii="Arial" w:hAnsi="Arial" w:cs="Arial"/>
          <w:lang w:val="sr-Latn-CS"/>
        </w:rPr>
        <w:t xml:space="preserve">Zakona o efikasnom korišćenju energije </w:t>
      </w:r>
      <w:r w:rsidR="008162F7" w:rsidRPr="007956D0">
        <w:rPr>
          <w:rFonts w:ascii="Arial" w:hAnsi="Arial" w:cs="Arial"/>
          <w:noProof/>
        </w:rPr>
        <w:t>(„</w:t>
      </w:r>
      <w:r w:rsidR="009B1797" w:rsidRPr="007956D0">
        <w:rPr>
          <w:rFonts w:ascii="Arial" w:hAnsi="Arial" w:cs="Arial"/>
          <w:noProof/>
          <w:spacing w:val="-12"/>
        </w:rPr>
        <w:t>Sl.</w:t>
      </w:r>
      <w:r w:rsidR="008162F7" w:rsidRPr="007956D0">
        <w:rPr>
          <w:rFonts w:ascii="Arial" w:hAnsi="Arial" w:cs="Arial"/>
          <w:noProof/>
          <w:spacing w:val="-12"/>
        </w:rPr>
        <w:t xml:space="preserve"> </w:t>
      </w:r>
      <w:r w:rsidR="009B1797" w:rsidRPr="007956D0">
        <w:rPr>
          <w:rFonts w:ascii="Arial" w:hAnsi="Arial" w:cs="Arial"/>
          <w:noProof/>
          <w:spacing w:val="-12"/>
        </w:rPr>
        <w:t>list</w:t>
      </w:r>
      <w:r w:rsidR="00FE5E13" w:rsidRPr="007956D0">
        <w:rPr>
          <w:rFonts w:ascii="Arial" w:hAnsi="Arial" w:cs="Arial"/>
          <w:noProof/>
        </w:rPr>
        <w:t xml:space="preserve">”. CG br. 57/14, </w:t>
      </w:r>
      <w:r w:rsidR="009B1797" w:rsidRPr="007956D0">
        <w:rPr>
          <w:rFonts w:ascii="Arial" w:hAnsi="Arial" w:cs="Arial"/>
          <w:noProof/>
        </w:rPr>
        <w:t>3/15</w:t>
      </w:r>
      <w:r w:rsidR="00FE5E13" w:rsidRPr="007956D0">
        <w:rPr>
          <w:rFonts w:ascii="Arial" w:hAnsi="Arial" w:cs="Arial"/>
          <w:noProof/>
        </w:rPr>
        <w:t xml:space="preserve"> i 25/19</w:t>
      </w:r>
      <w:r w:rsidR="009B1797" w:rsidRPr="007956D0">
        <w:rPr>
          <w:rFonts w:ascii="Arial" w:hAnsi="Arial" w:cs="Arial"/>
          <w:noProof/>
        </w:rPr>
        <w:t xml:space="preserve">), </w:t>
      </w:r>
      <w:r w:rsidRPr="007956D0">
        <w:rPr>
          <w:rFonts w:ascii="Arial" w:hAnsi="Arial" w:cs="Arial"/>
          <w:noProof/>
        </w:rPr>
        <w:t>koncesionar je dužan da preduzima mjere za poboljšanje energetske efikasnosti.</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Konces</w:t>
      </w:r>
      <w:r w:rsidR="008162F7" w:rsidRPr="007956D0">
        <w:rPr>
          <w:rFonts w:ascii="Arial" w:hAnsi="Arial" w:cs="Arial"/>
          <w:noProof/>
        </w:rPr>
        <w:t>i</w:t>
      </w:r>
      <w:r w:rsidRPr="007956D0">
        <w:rPr>
          <w:rFonts w:ascii="Arial" w:hAnsi="Arial" w:cs="Arial"/>
          <w:noProof/>
        </w:rPr>
        <w:t xml:space="preserve">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D021C0" w:rsidRPr="007956D0" w:rsidRDefault="00D021C0"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Sprovođenje mjera energetske efikasnosti utiče na kvalitet radne i životne sredine.</w:t>
      </w:r>
    </w:p>
    <w:p w:rsidR="00740CC3" w:rsidRPr="007956D0" w:rsidRDefault="00740CC3" w:rsidP="00D021C0">
      <w:pPr>
        <w:pStyle w:val="BodyText"/>
        <w:spacing w:after="0" w:line="240" w:lineRule="auto"/>
        <w:jc w:val="both"/>
        <w:rPr>
          <w:rFonts w:ascii="Arial" w:hAnsi="Arial" w:cs="Arial"/>
          <w:noProof/>
        </w:rPr>
      </w:pPr>
    </w:p>
    <w:p w:rsidR="00D620F2" w:rsidRPr="007956D0" w:rsidRDefault="006A68F3" w:rsidP="005B518B">
      <w:pPr>
        <w:pStyle w:val="Heading1"/>
        <w:numPr>
          <w:ilvl w:val="0"/>
          <w:numId w:val="18"/>
        </w:numPr>
        <w:ind w:left="360"/>
        <w:rPr>
          <w:noProof/>
        </w:rPr>
      </w:pPr>
      <w:bookmarkStart w:id="19" w:name="_Toc4581262"/>
      <w:bookmarkStart w:id="20" w:name="_Toc390549906"/>
      <w:bookmarkStart w:id="21" w:name="_Toc402262952"/>
      <w:r w:rsidRPr="007956D0">
        <w:rPr>
          <w:noProof/>
        </w:rPr>
        <w:t>USLOVI KOJE JE DUŽAN DA ISPUNJAVA KONCESIONAR U POGLEDU TEHNIČKE OPREMLJENOSTI, FINANSIJSKE SPOSOBNOSTI I OSTALE REFERENCE I DOKAZE O ISPUNJAVANJU TIH USLOVA</w:t>
      </w:r>
      <w:bookmarkEnd w:id="19"/>
      <w:r w:rsidRPr="007956D0">
        <w:rPr>
          <w:noProof/>
        </w:rPr>
        <w:t xml:space="preserve"> </w:t>
      </w:r>
      <w:bookmarkEnd w:id="20"/>
      <w:bookmarkEnd w:id="21"/>
    </w:p>
    <w:p w:rsidR="00D620F2" w:rsidRPr="007956D0" w:rsidRDefault="00D620F2" w:rsidP="00D021C0">
      <w:pPr>
        <w:spacing w:after="0" w:line="240" w:lineRule="auto"/>
        <w:jc w:val="center"/>
        <w:rPr>
          <w:rFonts w:ascii="Arial" w:hAnsi="Arial" w:cs="Arial"/>
          <w:b/>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Obaveze koncesionara u pogledu ispunjavanja uslova definisanih u ovom poglavlju su sljedeće:</w:t>
      </w:r>
    </w:p>
    <w:p w:rsidR="00D021C0" w:rsidRPr="007956D0" w:rsidRDefault="00D021C0" w:rsidP="00D021C0">
      <w:pPr>
        <w:spacing w:after="0" w:line="240" w:lineRule="auto"/>
        <w:jc w:val="both"/>
        <w:rPr>
          <w:rFonts w:ascii="Arial" w:hAnsi="Arial" w:cs="Arial"/>
          <w:noProof/>
        </w:rPr>
      </w:pPr>
    </w:p>
    <w:p w:rsidR="00D620F2" w:rsidRPr="007956D0" w:rsidRDefault="00D620F2" w:rsidP="005B518B">
      <w:pPr>
        <w:numPr>
          <w:ilvl w:val="0"/>
          <w:numId w:val="3"/>
        </w:numPr>
        <w:suppressAutoHyphens/>
        <w:spacing w:after="0" w:line="240" w:lineRule="auto"/>
        <w:jc w:val="both"/>
        <w:rPr>
          <w:rFonts w:ascii="Arial" w:hAnsi="Arial" w:cs="Arial"/>
          <w:noProof/>
        </w:rPr>
      </w:pPr>
      <w:r w:rsidRPr="007956D0">
        <w:rPr>
          <w:rFonts w:ascii="Arial" w:hAnsi="Arial" w:cs="Arial"/>
          <w:noProof/>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B77602" w:rsidRPr="007956D0" w:rsidRDefault="00D620F2" w:rsidP="005B518B">
      <w:pPr>
        <w:numPr>
          <w:ilvl w:val="0"/>
          <w:numId w:val="3"/>
        </w:numPr>
        <w:suppressAutoHyphens/>
        <w:spacing w:after="0" w:line="240" w:lineRule="auto"/>
        <w:jc w:val="both"/>
        <w:rPr>
          <w:rFonts w:ascii="Arial" w:hAnsi="Arial" w:cs="Arial"/>
          <w:noProof/>
        </w:rPr>
      </w:pPr>
      <w:r w:rsidRPr="007956D0">
        <w:rPr>
          <w:rFonts w:ascii="Arial" w:hAnsi="Arial" w:cs="Arial"/>
          <w:noProof/>
        </w:rPr>
        <w:t>da obezbijedi svu potrebnu geološku i rudarsku dokumentaciju, odobrenja i saglasnosti potrebnih za zakonito izvođenje radova;</w:t>
      </w:r>
    </w:p>
    <w:p w:rsidR="00D620F2" w:rsidRPr="007956D0" w:rsidRDefault="00D620F2" w:rsidP="005B518B">
      <w:pPr>
        <w:numPr>
          <w:ilvl w:val="0"/>
          <w:numId w:val="3"/>
        </w:numPr>
        <w:suppressAutoHyphens/>
        <w:spacing w:after="0" w:line="240" w:lineRule="auto"/>
        <w:jc w:val="both"/>
        <w:rPr>
          <w:rFonts w:ascii="Arial" w:hAnsi="Arial" w:cs="Arial"/>
          <w:noProof/>
        </w:rPr>
      </w:pPr>
      <w:r w:rsidRPr="007956D0">
        <w:rPr>
          <w:rFonts w:ascii="Arial" w:hAnsi="Arial" w:cs="Arial"/>
          <w:noProof/>
        </w:rPr>
        <w:t>da obezbijedi opremu i mehanizaciju saglasno verifikovanoj rudarskoj i tehničkoj dokumentaciji - oprema i mehanizacija treba da ispunjava uslove propisane pravilnicima o tehičkim normativima za izvođenje planirane vrste radova na predmetnom lokalitetu;</w:t>
      </w:r>
    </w:p>
    <w:p w:rsidR="00D620F2" w:rsidRPr="007956D0" w:rsidRDefault="00D620F2" w:rsidP="005B518B">
      <w:pPr>
        <w:numPr>
          <w:ilvl w:val="0"/>
          <w:numId w:val="3"/>
        </w:numPr>
        <w:suppressAutoHyphens/>
        <w:spacing w:after="0" w:line="240" w:lineRule="auto"/>
        <w:jc w:val="both"/>
        <w:rPr>
          <w:rFonts w:ascii="Arial" w:hAnsi="Arial" w:cs="Arial"/>
          <w:noProof/>
        </w:rPr>
      </w:pPr>
      <w:r w:rsidRPr="007956D0">
        <w:rPr>
          <w:rFonts w:ascii="Arial" w:hAnsi="Arial" w:cs="Arial"/>
          <w:noProof/>
        </w:rPr>
        <w:lastRenderedPageBreak/>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D620F2" w:rsidRPr="007956D0" w:rsidRDefault="00D620F2" w:rsidP="005B518B">
      <w:pPr>
        <w:numPr>
          <w:ilvl w:val="0"/>
          <w:numId w:val="3"/>
        </w:numPr>
        <w:suppressAutoHyphens/>
        <w:spacing w:after="0" w:line="240" w:lineRule="auto"/>
        <w:jc w:val="both"/>
        <w:rPr>
          <w:rFonts w:ascii="Arial" w:hAnsi="Arial" w:cs="Arial"/>
          <w:noProof/>
        </w:rPr>
      </w:pPr>
      <w:r w:rsidRPr="007956D0">
        <w:rPr>
          <w:rFonts w:ascii="Arial" w:hAnsi="Arial" w:cs="Arial"/>
          <w:noProof/>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D021C0" w:rsidRPr="007956D0" w:rsidRDefault="00D021C0" w:rsidP="00D021C0">
      <w:pPr>
        <w:suppressAutoHyphens/>
        <w:spacing w:after="0" w:line="240" w:lineRule="auto"/>
        <w:ind w:left="720"/>
        <w:jc w:val="both"/>
        <w:rPr>
          <w:rFonts w:ascii="Arial" w:hAnsi="Arial" w:cs="Arial"/>
          <w:noProof/>
        </w:rPr>
      </w:pPr>
    </w:p>
    <w:p w:rsidR="00787A0E" w:rsidRPr="007956D0" w:rsidRDefault="00787A0E" w:rsidP="00D021C0">
      <w:pPr>
        <w:suppressAutoHyphens/>
        <w:spacing w:after="0" w:line="240" w:lineRule="auto"/>
        <w:ind w:left="720"/>
        <w:jc w:val="both"/>
        <w:rPr>
          <w:rFonts w:ascii="Arial" w:hAnsi="Arial" w:cs="Arial"/>
          <w:noProof/>
        </w:rPr>
      </w:pPr>
    </w:p>
    <w:p w:rsidR="00D620F2" w:rsidRPr="007956D0" w:rsidRDefault="006A68F3" w:rsidP="005B518B">
      <w:pPr>
        <w:pStyle w:val="Heading1"/>
        <w:numPr>
          <w:ilvl w:val="0"/>
          <w:numId w:val="18"/>
        </w:numPr>
        <w:ind w:left="360"/>
        <w:rPr>
          <w:noProof/>
        </w:rPr>
      </w:pPr>
      <w:bookmarkStart w:id="22" w:name="_Toc402262953"/>
      <w:bookmarkStart w:id="23" w:name="_Toc4581263"/>
      <w:r w:rsidRPr="007956D0">
        <w:rPr>
          <w:noProof/>
        </w:rPr>
        <w:t>MINIMALNI – POČETNI IZNOS KONCESIONE NAKNADE</w:t>
      </w:r>
      <w:bookmarkEnd w:id="22"/>
      <w:bookmarkEnd w:id="23"/>
    </w:p>
    <w:p w:rsidR="00D021C0" w:rsidRPr="007956D0" w:rsidRDefault="00D021C0" w:rsidP="00D021C0">
      <w:pPr>
        <w:spacing w:after="0" w:line="240" w:lineRule="auto"/>
        <w:jc w:val="both"/>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Za korišćenje prava na eksploataciju mineralne sirovine, zakonskim propisima predviđeno je plaćanje koncesione naknade.</w:t>
      </w:r>
    </w:p>
    <w:p w:rsidR="00D021C0" w:rsidRPr="007956D0" w:rsidRDefault="00D021C0" w:rsidP="00D021C0">
      <w:pPr>
        <w:spacing w:after="0" w:line="240" w:lineRule="auto"/>
        <w:jc w:val="both"/>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Koncesionim aktom se utvrđuje minimalni - početni iznos koncesione naknade.</w:t>
      </w:r>
    </w:p>
    <w:p w:rsidR="00732534" w:rsidRPr="007956D0" w:rsidRDefault="0009522A" w:rsidP="00D021C0">
      <w:pPr>
        <w:pStyle w:val="BodyText"/>
        <w:spacing w:after="0" w:line="240" w:lineRule="auto"/>
        <w:jc w:val="both"/>
        <w:rPr>
          <w:rFonts w:ascii="Arial" w:hAnsi="Arial" w:cs="Arial"/>
          <w:noProof/>
        </w:rPr>
      </w:pPr>
      <w:r w:rsidRPr="007956D0">
        <w:rPr>
          <w:rFonts w:ascii="Arial" w:hAnsi="Arial" w:cs="Arial"/>
          <w:noProof/>
        </w:rPr>
        <w:t>Minimalna</w:t>
      </w:r>
      <w:r w:rsidR="00D620F2" w:rsidRPr="007956D0">
        <w:rPr>
          <w:rFonts w:ascii="Arial" w:hAnsi="Arial" w:cs="Arial"/>
          <w:noProof/>
        </w:rPr>
        <w:t xml:space="preserve"> koncesiona naknada se utvrđuje na osnovu Uredbe o kriterijumima i načinu obračuna iznosa minimalne koncesione naknade za ustupanje prava na istraživanje i eksploataciju mineralnih sirovina („Sl. list CG“, br. 37/11</w:t>
      </w:r>
      <w:r w:rsidR="009B1797" w:rsidRPr="007956D0">
        <w:rPr>
          <w:rFonts w:ascii="Arial" w:hAnsi="Arial" w:cs="Arial"/>
          <w:noProof/>
        </w:rPr>
        <w:t xml:space="preserve"> i 40/16</w:t>
      </w:r>
      <w:r w:rsidR="00732534" w:rsidRPr="007956D0">
        <w:rPr>
          <w:rFonts w:ascii="Arial" w:hAnsi="Arial" w:cs="Arial"/>
          <w:noProof/>
        </w:rPr>
        <w:t xml:space="preserve">). </w:t>
      </w:r>
    </w:p>
    <w:p w:rsidR="00732534" w:rsidRPr="007956D0" w:rsidRDefault="00732534" w:rsidP="00D021C0">
      <w:pPr>
        <w:pStyle w:val="BodyText"/>
        <w:spacing w:after="0" w:line="240" w:lineRule="auto"/>
        <w:jc w:val="both"/>
        <w:rPr>
          <w:rFonts w:ascii="Arial" w:hAnsi="Arial" w:cs="Arial"/>
          <w:noProof/>
        </w:rPr>
      </w:pPr>
    </w:p>
    <w:p w:rsidR="00D620F2" w:rsidRPr="007956D0" w:rsidRDefault="00D620F2" w:rsidP="00D021C0">
      <w:pPr>
        <w:pStyle w:val="BodyText"/>
        <w:spacing w:after="0" w:line="240" w:lineRule="auto"/>
        <w:jc w:val="both"/>
        <w:rPr>
          <w:rFonts w:ascii="Arial" w:hAnsi="Arial" w:cs="Arial"/>
          <w:noProof/>
        </w:rPr>
      </w:pPr>
      <w:r w:rsidRPr="007956D0">
        <w:rPr>
          <w:rFonts w:ascii="Arial" w:hAnsi="Arial" w:cs="Arial"/>
          <w:noProof/>
        </w:rPr>
        <w:t>Navedenom Uredbom je utvrđeno da se minimalna koncesiona naknada određuje za eksploataciju mineralnih sirovina, tj.</w:t>
      </w:r>
      <w:r w:rsidR="008162F7" w:rsidRPr="007956D0">
        <w:rPr>
          <w:rFonts w:ascii="Arial" w:hAnsi="Arial" w:cs="Arial"/>
          <w:noProof/>
        </w:rPr>
        <w:t xml:space="preserve"> </w:t>
      </w:r>
      <w:r w:rsidRPr="007956D0">
        <w:rPr>
          <w:rFonts w:ascii="Arial" w:hAnsi="Arial" w:cs="Arial"/>
          <w:noProof/>
        </w:rPr>
        <w:t>za period eksploatacije, a ne i za period koji je predviđen za detaljna geološka istraživanja.</w:t>
      </w:r>
    </w:p>
    <w:p w:rsidR="00D021C0" w:rsidRPr="007956D0" w:rsidRDefault="00D021C0" w:rsidP="00D021C0">
      <w:pPr>
        <w:pStyle w:val="BodyText"/>
        <w:spacing w:after="0" w:line="240" w:lineRule="auto"/>
        <w:jc w:val="both"/>
        <w:rPr>
          <w:rFonts w:ascii="Arial" w:hAnsi="Arial" w:cs="Arial"/>
          <w:noProof/>
        </w:rPr>
      </w:pPr>
    </w:p>
    <w:p w:rsidR="00D620F2" w:rsidRPr="007956D0" w:rsidRDefault="00E21B44" w:rsidP="00D021C0">
      <w:pPr>
        <w:pStyle w:val="Heading2"/>
        <w:numPr>
          <w:ilvl w:val="1"/>
          <w:numId w:val="0"/>
        </w:numPr>
        <w:spacing w:before="0" w:after="0" w:line="240" w:lineRule="auto"/>
        <w:ind w:left="576" w:hanging="576"/>
        <w:rPr>
          <w:b/>
          <w:noProof/>
        </w:rPr>
      </w:pPr>
      <w:bookmarkStart w:id="24" w:name="_Toc402262954"/>
      <w:r w:rsidRPr="007956D0">
        <w:rPr>
          <w:b/>
          <w:noProof/>
        </w:rPr>
        <w:t>8</w:t>
      </w:r>
      <w:r w:rsidR="0056714D" w:rsidRPr="007956D0">
        <w:rPr>
          <w:b/>
          <w:noProof/>
        </w:rPr>
        <w:t xml:space="preserve">.1. </w:t>
      </w:r>
      <w:r w:rsidR="00D620F2" w:rsidRPr="007956D0">
        <w:rPr>
          <w:b/>
          <w:noProof/>
        </w:rPr>
        <w:t>Minimalni - početni iznos koncesione naknade za eksploataciju</w:t>
      </w:r>
      <w:bookmarkEnd w:id="24"/>
    </w:p>
    <w:p w:rsidR="00D620F2" w:rsidRPr="007956D0" w:rsidRDefault="00D620F2" w:rsidP="00D021C0">
      <w:pPr>
        <w:spacing w:after="0" w:line="240" w:lineRule="auto"/>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Minimalna koncesiona naknada za eksploataciju (čl. 3 Uredbe) određuje se na osnovu sljedećih kriterijuma:</w:t>
      </w:r>
    </w:p>
    <w:p w:rsidR="00D620F2" w:rsidRPr="007956D0" w:rsidRDefault="00D620F2" w:rsidP="005B518B">
      <w:pPr>
        <w:numPr>
          <w:ilvl w:val="0"/>
          <w:numId w:val="2"/>
        </w:numPr>
        <w:suppressAutoHyphens/>
        <w:spacing w:after="0" w:line="240" w:lineRule="auto"/>
        <w:jc w:val="both"/>
        <w:rPr>
          <w:rFonts w:ascii="Arial" w:hAnsi="Arial" w:cs="Arial"/>
          <w:noProof/>
        </w:rPr>
      </w:pPr>
      <w:r w:rsidRPr="007956D0">
        <w:rPr>
          <w:rFonts w:ascii="Arial" w:hAnsi="Arial" w:cs="Arial"/>
          <w:noProof/>
        </w:rPr>
        <w:t>rezervi mineralne sirovine koja je predmet koncesije;</w:t>
      </w:r>
    </w:p>
    <w:p w:rsidR="00D620F2" w:rsidRPr="007956D0" w:rsidRDefault="00D620F2" w:rsidP="005B518B">
      <w:pPr>
        <w:numPr>
          <w:ilvl w:val="0"/>
          <w:numId w:val="2"/>
        </w:numPr>
        <w:suppressAutoHyphens/>
        <w:spacing w:after="0" w:line="240" w:lineRule="auto"/>
        <w:jc w:val="both"/>
        <w:rPr>
          <w:rFonts w:ascii="Arial" w:hAnsi="Arial" w:cs="Arial"/>
          <w:noProof/>
        </w:rPr>
      </w:pPr>
      <w:r w:rsidRPr="007956D0">
        <w:rPr>
          <w:rFonts w:ascii="Arial" w:hAnsi="Arial" w:cs="Arial"/>
          <w:noProof/>
        </w:rPr>
        <w:t>pripadnosti grupi ležišta;</w:t>
      </w:r>
    </w:p>
    <w:p w:rsidR="00D620F2" w:rsidRPr="007956D0" w:rsidRDefault="00D620F2" w:rsidP="005B518B">
      <w:pPr>
        <w:numPr>
          <w:ilvl w:val="0"/>
          <w:numId w:val="2"/>
        </w:numPr>
        <w:suppressAutoHyphens/>
        <w:spacing w:after="0" w:line="240" w:lineRule="auto"/>
        <w:jc w:val="both"/>
        <w:rPr>
          <w:rFonts w:ascii="Arial" w:hAnsi="Arial" w:cs="Arial"/>
          <w:noProof/>
        </w:rPr>
      </w:pPr>
      <w:r w:rsidRPr="007956D0">
        <w:rPr>
          <w:rFonts w:ascii="Arial" w:hAnsi="Arial" w:cs="Arial"/>
          <w:noProof/>
        </w:rPr>
        <w:t>kvaliteta mineralne sirovine; i</w:t>
      </w:r>
    </w:p>
    <w:p w:rsidR="00D620F2" w:rsidRPr="007956D0" w:rsidRDefault="00D620F2" w:rsidP="005B518B">
      <w:pPr>
        <w:numPr>
          <w:ilvl w:val="0"/>
          <w:numId w:val="2"/>
        </w:numPr>
        <w:suppressAutoHyphens/>
        <w:spacing w:after="0" w:line="240" w:lineRule="auto"/>
        <w:jc w:val="both"/>
        <w:rPr>
          <w:rFonts w:ascii="Arial" w:hAnsi="Arial" w:cs="Arial"/>
          <w:noProof/>
        </w:rPr>
      </w:pPr>
      <w:r w:rsidRPr="007956D0">
        <w:rPr>
          <w:rFonts w:ascii="Arial" w:hAnsi="Arial" w:cs="Arial"/>
          <w:noProof/>
        </w:rPr>
        <w:t>tržišne cijene mineralne sirovine.</w:t>
      </w:r>
    </w:p>
    <w:p w:rsidR="00D620F2" w:rsidRPr="007956D0" w:rsidRDefault="00D620F2" w:rsidP="00A700A0">
      <w:pPr>
        <w:spacing w:after="0" w:line="240" w:lineRule="auto"/>
        <w:jc w:val="both"/>
        <w:rPr>
          <w:rFonts w:ascii="Arial" w:hAnsi="Arial" w:cs="Arial"/>
          <w:noProof/>
        </w:rPr>
      </w:pPr>
    </w:p>
    <w:p w:rsidR="00D620F2" w:rsidRPr="007956D0" w:rsidRDefault="00E21B44" w:rsidP="00D021C0">
      <w:pPr>
        <w:pStyle w:val="Heading3"/>
        <w:numPr>
          <w:ilvl w:val="2"/>
          <w:numId w:val="0"/>
        </w:numPr>
        <w:suppressAutoHyphens/>
        <w:ind w:left="720" w:hanging="720"/>
        <w:jc w:val="left"/>
        <w:rPr>
          <w:rFonts w:ascii="Arial" w:hAnsi="Arial" w:cs="Arial"/>
          <w:i/>
          <w:noProof/>
          <w:sz w:val="22"/>
          <w:szCs w:val="22"/>
        </w:rPr>
      </w:pPr>
      <w:bookmarkStart w:id="25" w:name="_Toc402262955"/>
      <w:r w:rsidRPr="007956D0">
        <w:rPr>
          <w:rFonts w:ascii="Arial" w:hAnsi="Arial" w:cs="Arial"/>
          <w:i/>
          <w:noProof/>
          <w:sz w:val="22"/>
          <w:szCs w:val="22"/>
        </w:rPr>
        <w:t>8</w:t>
      </w:r>
      <w:r w:rsidR="0056714D" w:rsidRPr="007956D0">
        <w:rPr>
          <w:rFonts w:ascii="Arial" w:hAnsi="Arial" w:cs="Arial"/>
          <w:i/>
          <w:noProof/>
          <w:sz w:val="22"/>
          <w:szCs w:val="22"/>
        </w:rPr>
        <w:t xml:space="preserve">.1.1. </w:t>
      </w:r>
      <w:r w:rsidR="00D620F2" w:rsidRPr="007956D0">
        <w:rPr>
          <w:rFonts w:ascii="Arial" w:hAnsi="Arial" w:cs="Arial"/>
          <w:i/>
          <w:noProof/>
          <w:sz w:val="22"/>
          <w:szCs w:val="22"/>
        </w:rPr>
        <w:t>Rezerve mineralne sirovine</w:t>
      </w:r>
      <w:bookmarkEnd w:id="25"/>
    </w:p>
    <w:p w:rsidR="00D620F2" w:rsidRPr="007956D0" w:rsidRDefault="00D620F2" w:rsidP="00D021C0">
      <w:pPr>
        <w:spacing w:after="0" w:line="240" w:lineRule="auto"/>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Potencijalne geološke rezerve tehničko-građevinskog kamena na istražno-eksploatac</w:t>
      </w:r>
      <w:r w:rsidR="004742BA" w:rsidRPr="007956D0">
        <w:rPr>
          <w:rFonts w:ascii="Arial" w:hAnsi="Arial" w:cs="Arial"/>
          <w:noProof/>
        </w:rPr>
        <w:t xml:space="preserve">ionom prostoru </w:t>
      </w:r>
      <w:r w:rsidR="00183B94" w:rsidRPr="007956D0">
        <w:rPr>
          <w:rFonts w:ascii="Arial" w:hAnsi="Arial" w:cs="Arial"/>
          <w:noProof/>
        </w:rPr>
        <w:t>“Velja Gorana”</w:t>
      </w:r>
      <w:r w:rsidR="001966E1" w:rsidRPr="007956D0">
        <w:rPr>
          <w:rFonts w:ascii="Arial" w:hAnsi="Arial" w:cs="Arial"/>
          <w:noProof/>
        </w:rPr>
        <w:t xml:space="preserve"> </w:t>
      </w:r>
      <w:r w:rsidRPr="007956D0">
        <w:rPr>
          <w:rFonts w:ascii="Arial" w:hAnsi="Arial" w:cs="Arial"/>
          <w:noProof/>
        </w:rPr>
        <w:t>iznose</w:t>
      </w:r>
      <w:r w:rsidR="006B0693" w:rsidRPr="007956D0">
        <w:rPr>
          <w:rFonts w:ascii="Arial" w:hAnsi="Arial" w:cs="Arial"/>
          <w:noProof/>
        </w:rPr>
        <w:t xml:space="preserve"> </w:t>
      </w:r>
      <w:r w:rsidR="001966E1" w:rsidRPr="007956D0">
        <w:rPr>
          <w:rFonts w:ascii="Arial" w:hAnsi="Arial" w:cs="Arial"/>
          <w:noProof/>
        </w:rPr>
        <w:t>3</w:t>
      </w:r>
      <w:r w:rsidRPr="007956D0">
        <w:rPr>
          <w:rFonts w:ascii="Arial" w:hAnsi="Arial" w:cs="Arial"/>
          <w:noProof/>
        </w:rPr>
        <w:t>.</w:t>
      </w:r>
      <w:r w:rsidR="00E842BF" w:rsidRPr="007956D0">
        <w:rPr>
          <w:rFonts w:ascii="Arial" w:hAnsi="Arial" w:cs="Arial"/>
          <w:noProof/>
        </w:rPr>
        <w:t>0</w:t>
      </w:r>
      <w:r w:rsidRPr="007956D0">
        <w:rPr>
          <w:rFonts w:ascii="Arial" w:hAnsi="Arial" w:cs="Arial"/>
          <w:noProof/>
        </w:rPr>
        <w:t>00.000 m</w:t>
      </w:r>
      <w:r w:rsidRPr="007956D0">
        <w:rPr>
          <w:rFonts w:ascii="Arial" w:hAnsi="Arial" w:cs="Arial"/>
          <w:noProof/>
          <w:vertAlign w:val="superscript"/>
        </w:rPr>
        <w:t>3</w:t>
      </w:r>
      <w:r w:rsidRPr="007956D0">
        <w:rPr>
          <w:rFonts w:ascii="Arial" w:hAnsi="Arial" w:cs="Arial"/>
          <w:noProof/>
        </w:rPr>
        <w:t xml:space="preserve"> č.s.m.</w:t>
      </w:r>
    </w:p>
    <w:p w:rsidR="0056714D" w:rsidRPr="007956D0" w:rsidRDefault="0056714D" w:rsidP="00D021C0">
      <w:pPr>
        <w:spacing w:after="0" w:line="240" w:lineRule="auto"/>
        <w:jc w:val="both"/>
        <w:rPr>
          <w:rFonts w:ascii="Arial" w:hAnsi="Arial" w:cs="Arial"/>
          <w:noProof/>
        </w:rPr>
      </w:pPr>
    </w:p>
    <w:p w:rsidR="00D620F2" w:rsidRPr="007956D0" w:rsidRDefault="00D620F2" w:rsidP="00D021C0">
      <w:pPr>
        <w:spacing w:after="0" w:line="240" w:lineRule="auto"/>
        <w:jc w:val="both"/>
        <w:rPr>
          <w:rFonts w:ascii="Arial" w:hAnsi="Arial" w:cs="Arial"/>
          <w:b/>
          <w:noProof/>
        </w:rPr>
      </w:pPr>
      <w:r w:rsidRPr="007956D0">
        <w:rPr>
          <w:rFonts w:ascii="Arial" w:hAnsi="Arial" w:cs="Arial"/>
          <w:b/>
          <w:noProof/>
        </w:rPr>
        <w:t>Prema minimalnom godišnjem kapacitetu od 20.000 m</w:t>
      </w:r>
      <w:r w:rsidRPr="007956D0">
        <w:rPr>
          <w:rFonts w:ascii="Arial" w:hAnsi="Arial" w:cs="Arial"/>
          <w:b/>
          <w:noProof/>
          <w:vertAlign w:val="superscript"/>
        </w:rPr>
        <w:t>3</w:t>
      </w:r>
      <w:r w:rsidRPr="007956D0">
        <w:rPr>
          <w:rFonts w:ascii="Arial" w:hAnsi="Arial" w:cs="Arial"/>
          <w:b/>
          <w:noProof/>
        </w:rPr>
        <w:t xml:space="preserve"> č.s.m. tehničko-građevinskog kamena, za</w:t>
      </w:r>
      <w:r w:rsidR="00F10DEF" w:rsidRPr="007956D0">
        <w:rPr>
          <w:rFonts w:ascii="Arial" w:hAnsi="Arial" w:cs="Arial"/>
          <w:b/>
          <w:noProof/>
        </w:rPr>
        <w:t xml:space="preserve"> period od </w:t>
      </w:r>
      <w:r w:rsidR="000B1014" w:rsidRPr="007956D0">
        <w:rPr>
          <w:rFonts w:ascii="Arial" w:hAnsi="Arial" w:cs="Arial"/>
          <w:b/>
          <w:noProof/>
        </w:rPr>
        <w:t>28</w:t>
      </w:r>
      <w:r w:rsidRPr="007956D0">
        <w:rPr>
          <w:rFonts w:ascii="Arial" w:hAnsi="Arial" w:cs="Arial"/>
          <w:b/>
          <w:noProof/>
        </w:rPr>
        <w:t xml:space="preserve"> godin</w:t>
      </w:r>
      <w:r w:rsidR="00FE7B21" w:rsidRPr="007956D0">
        <w:rPr>
          <w:rFonts w:ascii="Arial" w:hAnsi="Arial" w:cs="Arial"/>
          <w:b/>
          <w:noProof/>
        </w:rPr>
        <w:t>a</w:t>
      </w:r>
      <w:r w:rsidRPr="007956D0">
        <w:rPr>
          <w:rFonts w:ascii="Arial" w:hAnsi="Arial" w:cs="Arial"/>
          <w:b/>
          <w:noProof/>
        </w:rPr>
        <w:t xml:space="preserve"> (period koncesije za eksploataciju) </w:t>
      </w:r>
      <w:r w:rsidR="00F10DEF" w:rsidRPr="007956D0">
        <w:rPr>
          <w:rFonts w:ascii="Arial" w:hAnsi="Arial" w:cs="Arial"/>
          <w:b/>
          <w:noProof/>
        </w:rPr>
        <w:t xml:space="preserve">otkopalo bi se </w:t>
      </w:r>
      <w:r w:rsidR="000B1014" w:rsidRPr="007956D0">
        <w:rPr>
          <w:rFonts w:ascii="Arial" w:hAnsi="Arial" w:cs="Arial"/>
          <w:b/>
          <w:noProof/>
        </w:rPr>
        <w:t>560</w:t>
      </w:r>
      <w:r w:rsidR="00472C68" w:rsidRPr="007956D0">
        <w:rPr>
          <w:rFonts w:ascii="Arial" w:hAnsi="Arial" w:cs="Arial"/>
          <w:b/>
          <w:noProof/>
        </w:rPr>
        <w:t>.</w:t>
      </w:r>
      <w:r w:rsidRPr="007956D0">
        <w:rPr>
          <w:rFonts w:ascii="Arial" w:hAnsi="Arial" w:cs="Arial"/>
          <w:b/>
          <w:noProof/>
        </w:rPr>
        <w:t>000 m</w:t>
      </w:r>
      <w:r w:rsidRPr="007956D0">
        <w:rPr>
          <w:rFonts w:ascii="Arial" w:hAnsi="Arial" w:cs="Arial"/>
          <w:b/>
          <w:noProof/>
          <w:vertAlign w:val="superscript"/>
        </w:rPr>
        <w:t>3</w:t>
      </w:r>
      <w:r w:rsidRPr="007956D0">
        <w:rPr>
          <w:rFonts w:ascii="Arial" w:hAnsi="Arial" w:cs="Arial"/>
          <w:b/>
          <w:noProof/>
        </w:rPr>
        <w:t xml:space="preserve"> č.s.m tehničko-građevinskog kamena. Od 20.000 m</w:t>
      </w:r>
      <w:r w:rsidRPr="007956D0">
        <w:rPr>
          <w:rFonts w:ascii="Arial" w:hAnsi="Arial" w:cs="Arial"/>
          <w:b/>
          <w:noProof/>
          <w:vertAlign w:val="superscript"/>
        </w:rPr>
        <w:t>3</w:t>
      </w:r>
      <w:r w:rsidRPr="007956D0">
        <w:rPr>
          <w:rFonts w:ascii="Arial" w:hAnsi="Arial" w:cs="Arial"/>
          <w:b/>
          <w:noProof/>
        </w:rPr>
        <w:t xml:space="preserve"> č.s.m. na godišnjem nivou u procesu dalje obrade sirovine dobilo bi se 30.000 m</w:t>
      </w:r>
      <w:r w:rsidRPr="007956D0">
        <w:rPr>
          <w:rFonts w:ascii="Arial" w:hAnsi="Arial" w:cs="Arial"/>
          <w:b/>
          <w:noProof/>
          <w:vertAlign w:val="superscript"/>
        </w:rPr>
        <w:t>3</w:t>
      </w:r>
      <w:r w:rsidRPr="007956D0">
        <w:rPr>
          <w:rFonts w:ascii="Arial" w:hAnsi="Arial" w:cs="Arial"/>
          <w:b/>
          <w:noProof/>
        </w:rPr>
        <w:t xml:space="preserve"> agregata različitih frakcija (kr,=1,5) što bi za period </w:t>
      </w:r>
      <w:r w:rsidR="00F10DEF" w:rsidRPr="007956D0">
        <w:rPr>
          <w:rFonts w:ascii="Arial" w:hAnsi="Arial" w:cs="Arial"/>
          <w:b/>
          <w:noProof/>
        </w:rPr>
        <w:t xml:space="preserve">od </w:t>
      </w:r>
      <w:r w:rsidR="000B1014" w:rsidRPr="007956D0">
        <w:rPr>
          <w:rFonts w:ascii="Arial" w:hAnsi="Arial" w:cs="Arial"/>
          <w:b/>
          <w:noProof/>
        </w:rPr>
        <w:t>28</w:t>
      </w:r>
      <w:r w:rsidR="00067923" w:rsidRPr="007956D0">
        <w:rPr>
          <w:rFonts w:ascii="Arial" w:hAnsi="Arial" w:cs="Arial"/>
          <w:b/>
          <w:noProof/>
        </w:rPr>
        <w:t xml:space="preserve"> </w:t>
      </w:r>
      <w:r w:rsidRPr="007956D0">
        <w:rPr>
          <w:rFonts w:ascii="Arial" w:hAnsi="Arial" w:cs="Arial"/>
          <w:b/>
          <w:noProof/>
        </w:rPr>
        <w:t>godin</w:t>
      </w:r>
      <w:r w:rsidR="00FE7B21" w:rsidRPr="007956D0">
        <w:rPr>
          <w:rFonts w:ascii="Arial" w:hAnsi="Arial" w:cs="Arial"/>
          <w:b/>
          <w:noProof/>
        </w:rPr>
        <w:t>a</w:t>
      </w:r>
      <w:r w:rsidRPr="007956D0">
        <w:rPr>
          <w:rFonts w:ascii="Arial" w:hAnsi="Arial" w:cs="Arial"/>
          <w:b/>
          <w:noProof/>
        </w:rPr>
        <w:t xml:space="preserve"> iznosilo </w:t>
      </w:r>
      <w:r w:rsidR="000B1014" w:rsidRPr="007956D0">
        <w:rPr>
          <w:rFonts w:ascii="Arial" w:hAnsi="Arial" w:cs="Arial"/>
          <w:b/>
          <w:noProof/>
        </w:rPr>
        <w:t>840</w:t>
      </w:r>
      <w:r w:rsidRPr="007956D0">
        <w:rPr>
          <w:rFonts w:ascii="Arial" w:hAnsi="Arial" w:cs="Arial"/>
          <w:b/>
          <w:noProof/>
        </w:rPr>
        <w:t>.000 m</w:t>
      </w:r>
      <w:r w:rsidRPr="007956D0">
        <w:rPr>
          <w:rFonts w:ascii="Arial" w:hAnsi="Arial" w:cs="Arial"/>
          <w:b/>
          <w:noProof/>
          <w:vertAlign w:val="superscript"/>
        </w:rPr>
        <w:t>3</w:t>
      </w:r>
      <w:r w:rsidRPr="007956D0">
        <w:rPr>
          <w:rFonts w:ascii="Arial" w:hAnsi="Arial" w:cs="Arial"/>
          <w:b/>
          <w:noProof/>
        </w:rPr>
        <w:t xml:space="preserve"> tržišnog proizvoda.</w:t>
      </w:r>
    </w:p>
    <w:p w:rsidR="00D620F2" w:rsidRPr="007956D0" w:rsidRDefault="00D620F2" w:rsidP="00A700A0">
      <w:pPr>
        <w:spacing w:after="0" w:line="240" w:lineRule="auto"/>
        <w:jc w:val="both"/>
        <w:rPr>
          <w:rFonts w:ascii="Arial" w:hAnsi="Arial" w:cs="Arial"/>
          <w:noProof/>
        </w:rPr>
      </w:pPr>
    </w:p>
    <w:p w:rsidR="00D620F2" w:rsidRPr="007956D0" w:rsidRDefault="00E21B44" w:rsidP="00A700A0">
      <w:pPr>
        <w:pStyle w:val="Heading3"/>
        <w:numPr>
          <w:ilvl w:val="2"/>
          <w:numId w:val="0"/>
        </w:numPr>
        <w:suppressAutoHyphens/>
        <w:ind w:left="720" w:hanging="720"/>
        <w:jc w:val="left"/>
        <w:rPr>
          <w:rFonts w:ascii="Arial" w:hAnsi="Arial" w:cs="Arial"/>
          <w:i/>
          <w:noProof/>
          <w:sz w:val="22"/>
          <w:szCs w:val="22"/>
        </w:rPr>
      </w:pPr>
      <w:bookmarkStart w:id="26" w:name="_Toc402262956"/>
      <w:r w:rsidRPr="007956D0">
        <w:rPr>
          <w:rFonts w:ascii="Arial" w:hAnsi="Arial" w:cs="Arial"/>
          <w:i/>
          <w:noProof/>
          <w:sz w:val="22"/>
          <w:szCs w:val="22"/>
        </w:rPr>
        <w:t>8</w:t>
      </w:r>
      <w:r w:rsidR="00D620F2" w:rsidRPr="007956D0">
        <w:rPr>
          <w:rFonts w:ascii="Arial" w:hAnsi="Arial" w:cs="Arial"/>
          <w:i/>
          <w:noProof/>
          <w:sz w:val="22"/>
          <w:szCs w:val="22"/>
        </w:rPr>
        <w:t>.1.2</w:t>
      </w:r>
      <w:r w:rsidR="0056714D" w:rsidRPr="007956D0">
        <w:rPr>
          <w:rFonts w:ascii="Arial" w:hAnsi="Arial" w:cs="Arial"/>
          <w:i/>
          <w:noProof/>
          <w:sz w:val="22"/>
          <w:szCs w:val="22"/>
        </w:rPr>
        <w:t>.</w:t>
      </w:r>
      <w:r w:rsidR="00D620F2" w:rsidRPr="007956D0">
        <w:rPr>
          <w:rFonts w:ascii="Arial" w:hAnsi="Arial" w:cs="Arial"/>
          <w:i/>
          <w:noProof/>
          <w:sz w:val="22"/>
          <w:szCs w:val="22"/>
        </w:rPr>
        <w:t xml:space="preserve"> Pripadnost grupi ležišta</w:t>
      </w:r>
      <w:bookmarkEnd w:id="26"/>
    </w:p>
    <w:p w:rsidR="00D021C0" w:rsidRPr="007956D0" w:rsidRDefault="00D021C0" w:rsidP="00A700A0">
      <w:pPr>
        <w:spacing w:after="0" w:line="240" w:lineRule="auto"/>
        <w:rPr>
          <w:rFonts w:ascii="Arial" w:hAnsi="Arial" w:cs="Arial"/>
        </w:rPr>
      </w:pPr>
    </w:p>
    <w:p w:rsidR="006E4E99" w:rsidRPr="007956D0" w:rsidRDefault="00D620F2" w:rsidP="00A700A0">
      <w:pPr>
        <w:spacing w:after="0" w:line="240" w:lineRule="auto"/>
        <w:jc w:val="both"/>
        <w:rPr>
          <w:rFonts w:ascii="Arial" w:hAnsi="Arial" w:cs="Arial"/>
          <w:noProof/>
        </w:rPr>
      </w:pPr>
      <w:r w:rsidRPr="007956D0">
        <w:rPr>
          <w:rFonts w:ascii="Arial" w:hAnsi="Arial" w:cs="Arial"/>
          <w:noProof/>
        </w:rPr>
        <w:t>Istražno-eksploatacioni prostor tehničko-</w:t>
      </w:r>
      <w:r w:rsidR="00E842BF" w:rsidRPr="007956D0">
        <w:rPr>
          <w:rFonts w:ascii="Arial" w:hAnsi="Arial" w:cs="Arial"/>
          <w:noProof/>
        </w:rPr>
        <w:t>građevins</w:t>
      </w:r>
      <w:r w:rsidR="00F10DEF" w:rsidRPr="007956D0">
        <w:rPr>
          <w:rFonts w:ascii="Arial" w:hAnsi="Arial" w:cs="Arial"/>
          <w:noProof/>
        </w:rPr>
        <w:t xml:space="preserve">kog kamena </w:t>
      </w:r>
      <w:r w:rsidR="00183B94" w:rsidRPr="007956D0">
        <w:rPr>
          <w:rFonts w:ascii="Arial" w:hAnsi="Arial" w:cs="Arial"/>
          <w:noProof/>
        </w:rPr>
        <w:t>“Velja Gorana”</w:t>
      </w:r>
      <w:r w:rsidRPr="007956D0">
        <w:rPr>
          <w:rFonts w:ascii="Arial" w:hAnsi="Arial" w:cs="Arial"/>
          <w:noProof/>
        </w:rPr>
        <w:t>, prema navedenoj Uredbi, a na osnovu postojećih karakteristika i očekivanih uslova za eksploataciju, svrstana je u treću grupu geogenih ležišta (G</w:t>
      </w:r>
      <w:r w:rsidRPr="007956D0">
        <w:rPr>
          <w:rFonts w:ascii="Arial" w:hAnsi="Arial" w:cs="Arial"/>
          <w:noProof/>
          <w:vertAlign w:val="subscript"/>
        </w:rPr>
        <w:t>3</w:t>
      </w:r>
      <w:r w:rsidRPr="007956D0">
        <w:rPr>
          <w:rFonts w:ascii="Arial" w:hAnsi="Arial" w:cs="Arial"/>
          <w:noProof/>
        </w:rPr>
        <w:t>).</w:t>
      </w:r>
    </w:p>
    <w:p w:rsidR="00D021C0" w:rsidRPr="007956D0" w:rsidRDefault="00D021C0" w:rsidP="00A700A0">
      <w:pPr>
        <w:spacing w:after="0" w:line="240" w:lineRule="auto"/>
        <w:jc w:val="both"/>
        <w:rPr>
          <w:rFonts w:ascii="Arial" w:hAnsi="Arial" w:cs="Arial"/>
          <w:noProof/>
        </w:rPr>
      </w:pPr>
    </w:p>
    <w:p w:rsidR="00F10DEF" w:rsidRPr="007956D0" w:rsidRDefault="00D620F2" w:rsidP="00A700A0">
      <w:pPr>
        <w:spacing w:after="0" w:line="240" w:lineRule="auto"/>
        <w:jc w:val="both"/>
        <w:rPr>
          <w:rFonts w:ascii="Arial" w:hAnsi="Arial" w:cs="Arial"/>
          <w:noProof/>
        </w:rPr>
      </w:pPr>
      <w:r w:rsidRPr="007956D0">
        <w:rPr>
          <w:rFonts w:ascii="Arial" w:hAnsi="Arial" w:cs="Arial"/>
          <w:noProof/>
        </w:rPr>
        <w:t>Po tom osnovu procentni iznos za obračun minimalne - početne koncesione naknade (čl. 15 Uredbe) iznosi 7%</w:t>
      </w:r>
      <w:r w:rsidR="00815ABC" w:rsidRPr="007956D0">
        <w:rPr>
          <w:rFonts w:ascii="Arial" w:hAnsi="Arial" w:cs="Arial"/>
          <w:noProof/>
        </w:rPr>
        <w:t xml:space="preserve"> </w:t>
      </w:r>
      <w:r w:rsidRPr="007956D0">
        <w:rPr>
          <w:rFonts w:ascii="Arial" w:hAnsi="Arial" w:cs="Arial"/>
          <w:noProof/>
        </w:rPr>
        <w:t>od tržišne vrijednosti eksploatacionih rezervi tehničko-građevinskog kamena, za koncesioni period</w:t>
      </w:r>
      <w:r w:rsidR="00F10DEF" w:rsidRPr="007956D0">
        <w:rPr>
          <w:rFonts w:ascii="Arial" w:hAnsi="Arial" w:cs="Arial"/>
          <w:noProof/>
        </w:rPr>
        <w:t xml:space="preserve"> za eksploataciju od </w:t>
      </w:r>
      <w:r w:rsidR="000B1014" w:rsidRPr="007956D0">
        <w:rPr>
          <w:rFonts w:ascii="Arial" w:hAnsi="Arial" w:cs="Arial"/>
          <w:noProof/>
        </w:rPr>
        <w:t>28</w:t>
      </w:r>
      <w:r w:rsidRPr="007956D0">
        <w:rPr>
          <w:rFonts w:ascii="Arial" w:hAnsi="Arial" w:cs="Arial"/>
          <w:noProof/>
        </w:rPr>
        <w:t xml:space="preserve"> godin</w:t>
      </w:r>
      <w:r w:rsidR="000B1014" w:rsidRPr="007956D0">
        <w:rPr>
          <w:rFonts w:ascii="Arial" w:hAnsi="Arial" w:cs="Arial"/>
          <w:noProof/>
        </w:rPr>
        <w:t>a</w:t>
      </w:r>
      <w:r w:rsidRPr="007956D0">
        <w:rPr>
          <w:rFonts w:ascii="Arial" w:hAnsi="Arial" w:cs="Arial"/>
          <w:noProof/>
        </w:rPr>
        <w:t>.</w:t>
      </w:r>
    </w:p>
    <w:p w:rsidR="00D620F2" w:rsidRPr="007956D0" w:rsidRDefault="00E21B44" w:rsidP="00A700A0">
      <w:pPr>
        <w:spacing w:after="0" w:line="240" w:lineRule="auto"/>
        <w:jc w:val="both"/>
        <w:rPr>
          <w:rFonts w:ascii="Arial" w:hAnsi="Arial" w:cs="Arial"/>
          <w:i/>
          <w:noProof/>
        </w:rPr>
      </w:pPr>
      <w:bookmarkStart w:id="27" w:name="_Toc402262957"/>
      <w:r w:rsidRPr="007956D0">
        <w:rPr>
          <w:rFonts w:ascii="Arial" w:hAnsi="Arial" w:cs="Arial"/>
          <w:i/>
          <w:noProof/>
        </w:rPr>
        <w:t>8</w:t>
      </w:r>
      <w:r w:rsidR="00306531" w:rsidRPr="007956D0">
        <w:rPr>
          <w:rFonts w:ascii="Arial" w:hAnsi="Arial" w:cs="Arial"/>
          <w:i/>
          <w:noProof/>
        </w:rPr>
        <w:t xml:space="preserve">.1.3. </w:t>
      </w:r>
      <w:r w:rsidR="00D620F2" w:rsidRPr="007956D0">
        <w:rPr>
          <w:rFonts w:ascii="Arial" w:hAnsi="Arial" w:cs="Arial"/>
          <w:i/>
          <w:noProof/>
        </w:rPr>
        <w:t>Kvalitet mineralne sirovine</w:t>
      </w:r>
      <w:bookmarkEnd w:id="27"/>
    </w:p>
    <w:p w:rsidR="00D021C0" w:rsidRPr="007956D0" w:rsidRDefault="00D021C0" w:rsidP="00A700A0">
      <w:pPr>
        <w:spacing w:after="0" w:line="240" w:lineRule="auto"/>
        <w:jc w:val="both"/>
        <w:rPr>
          <w:rFonts w:ascii="Arial" w:hAnsi="Arial" w:cs="Arial"/>
          <w:i/>
          <w:noProof/>
        </w:rPr>
      </w:pPr>
    </w:p>
    <w:p w:rsidR="00D620F2" w:rsidRPr="007956D0" w:rsidRDefault="006E4E99" w:rsidP="00A700A0">
      <w:pPr>
        <w:spacing w:after="0" w:line="240" w:lineRule="auto"/>
        <w:jc w:val="both"/>
        <w:rPr>
          <w:rFonts w:ascii="Arial" w:hAnsi="Arial" w:cs="Arial"/>
          <w:noProof/>
        </w:rPr>
      </w:pPr>
      <w:r w:rsidRPr="007956D0">
        <w:rPr>
          <w:rFonts w:ascii="Arial" w:hAnsi="Arial" w:cs="Arial"/>
          <w:noProof/>
        </w:rPr>
        <w:t>Na predmetnom lokalitetu ni</w:t>
      </w:r>
      <w:r w:rsidR="00D620F2" w:rsidRPr="007956D0">
        <w:rPr>
          <w:rFonts w:ascii="Arial" w:hAnsi="Arial" w:cs="Arial"/>
          <w:noProof/>
        </w:rPr>
        <w:t xml:space="preserve">su vršena detaljna geološka istraživanja i na osnovu analogije sa ležištima tehničko-građevinskog kamena sličnih geoloških karakteristika, </w:t>
      </w:r>
      <w:r w:rsidRPr="007956D0">
        <w:rPr>
          <w:rFonts w:ascii="Arial" w:hAnsi="Arial" w:cs="Arial"/>
          <w:noProof/>
        </w:rPr>
        <w:t>očekuje se</w:t>
      </w:r>
      <w:r w:rsidR="00D620F2" w:rsidRPr="007956D0">
        <w:rPr>
          <w:rFonts w:ascii="Arial" w:hAnsi="Arial" w:cs="Arial"/>
          <w:noProof/>
        </w:rPr>
        <w:t xml:space="preserve"> da se krečnjak sa ovog lokaliteta može koristiti kao tehničko-građevinski kamen.</w:t>
      </w:r>
    </w:p>
    <w:p w:rsidR="00732534" w:rsidRPr="007956D0" w:rsidRDefault="00732534" w:rsidP="00A700A0">
      <w:pPr>
        <w:spacing w:after="0" w:line="240" w:lineRule="auto"/>
        <w:jc w:val="both"/>
        <w:rPr>
          <w:rFonts w:ascii="Arial" w:hAnsi="Arial" w:cs="Arial"/>
          <w:noProof/>
        </w:rPr>
      </w:pPr>
    </w:p>
    <w:p w:rsidR="00D620F2" w:rsidRPr="007956D0" w:rsidRDefault="00E21B44" w:rsidP="00D021C0">
      <w:pPr>
        <w:pStyle w:val="Heading3"/>
        <w:numPr>
          <w:ilvl w:val="2"/>
          <w:numId w:val="0"/>
        </w:numPr>
        <w:suppressAutoHyphens/>
        <w:ind w:left="720" w:hanging="720"/>
        <w:jc w:val="left"/>
        <w:rPr>
          <w:rFonts w:ascii="Arial" w:hAnsi="Arial" w:cs="Arial"/>
          <w:i/>
          <w:noProof/>
          <w:sz w:val="22"/>
          <w:szCs w:val="22"/>
        </w:rPr>
      </w:pPr>
      <w:bookmarkStart w:id="28" w:name="_Toc402262958"/>
      <w:r w:rsidRPr="007956D0">
        <w:rPr>
          <w:rFonts w:ascii="Arial" w:hAnsi="Arial" w:cs="Arial"/>
          <w:i/>
          <w:noProof/>
          <w:sz w:val="22"/>
          <w:szCs w:val="22"/>
        </w:rPr>
        <w:t>8</w:t>
      </w:r>
      <w:r w:rsidR="00306531" w:rsidRPr="007956D0">
        <w:rPr>
          <w:rFonts w:ascii="Arial" w:hAnsi="Arial" w:cs="Arial"/>
          <w:i/>
          <w:noProof/>
          <w:sz w:val="22"/>
          <w:szCs w:val="22"/>
        </w:rPr>
        <w:t xml:space="preserve">.1.4. </w:t>
      </w:r>
      <w:r w:rsidR="00D620F2" w:rsidRPr="007956D0">
        <w:rPr>
          <w:rFonts w:ascii="Arial" w:hAnsi="Arial" w:cs="Arial"/>
          <w:i/>
          <w:noProof/>
          <w:sz w:val="22"/>
          <w:szCs w:val="22"/>
        </w:rPr>
        <w:t>Tržišna vrijednost rezervi</w:t>
      </w:r>
      <w:bookmarkEnd w:id="28"/>
    </w:p>
    <w:p w:rsidR="00D021C0" w:rsidRPr="007956D0" w:rsidRDefault="00D021C0" w:rsidP="00D021C0">
      <w:pPr>
        <w:spacing w:after="0" w:line="240" w:lineRule="auto"/>
        <w:rPr>
          <w:rFonts w:ascii="Arial" w:hAnsi="Arial" w:cs="Arial"/>
        </w:rPr>
      </w:pPr>
    </w:p>
    <w:p w:rsidR="009B1797" w:rsidRPr="007956D0" w:rsidRDefault="009B1797" w:rsidP="00D021C0">
      <w:pPr>
        <w:spacing w:after="0" w:line="240" w:lineRule="auto"/>
        <w:jc w:val="both"/>
        <w:rPr>
          <w:rFonts w:ascii="Arial" w:hAnsi="Arial" w:cs="Arial"/>
          <w:noProof/>
        </w:rPr>
      </w:pPr>
      <w:r w:rsidRPr="007956D0">
        <w:rPr>
          <w:rFonts w:ascii="Arial" w:hAnsi="Arial" w:cs="Arial"/>
          <w:noProof/>
        </w:rPr>
        <w:t xml:space="preserve">Na osnovu podataka, dostavljenih od </w:t>
      </w:r>
      <w:r w:rsidR="00C32E6C" w:rsidRPr="007956D0">
        <w:rPr>
          <w:rFonts w:ascii="Arial" w:hAnsi="Arial" w:cs="Arial"/>
          <w:noProof/>
        </w:rPr>
        <w:t>Zavoda</w:t>
      </w:r>
      <w:r w:rsidRPr="007956D0">
        <w:rPr>
          <w:rFonts w:ascii="Arial" w:hAnsi="Arial" w:cs="Arial"/>
          <w:noProof/>
        </w:rPr>
        <w:t xml:space="preserve"> za statistiku </w:t>
      </w:r>
      <w:r w:rsidR="00506D42" w:rsidRPr="007956D0">
        <w:rPr>
          <w:rFonts w:ascii="Arial" w:hAnsi="Arial" w:cs="Arial"/>
          <w:noProof/>
        </w:rPr>
        <w:t xml:space="preserve">Crne Gore </w:t>
      </w:r>
      <w:r w:rsidRPr="007956D0">
        <w:rPr>
          <w:rFonts w:ascii="Arial" w:hAnsi="Arial" w:cs="Arial"/>
          <w:noProof/>
        </w:rPr>
        <w:t>o ostvarenim prodajnim cijenama mineralnih sir</w:t>
      </w:r>
      <w:r w:rsidR="006A4198" w:rsidRPr="007956D0">
        <w:rPr>
          <w:rFonts w:ascii="Arial" w:hAnsi="Arial" w:cs="Arial"/>
          <w:noProof/>
        </w:rPr>
        <w:t>ovina za period januar-decembar</w:t>
      </w:r>
      <w:r w:rsidRPr="007956D0">
        <w:rPr>
          <w:rFonts w:ascii="Arial" w:hAnsi="Arial" w:cs="Arial"/>
          <w:noProof/>
        </w:rPr>
        <w:t xml:space="preserve"> 201</w:t>
      </w:r>
      <w:r w:rsidR="00506D42" w:rsidRPr="007956D0">
        <w:rPr>
          <w:rFonts w:ascii="Arial" w:hAnsi="Arial" w:cs="Arial"/>
          <w:noProof/>
        </w:rPr>
        <w:t>8</w:t>
      </w:r>
      <w:r w:rsidRPr="007956D0">
        <w:rPr>
          <w:rFonts w:ascii="Arial" w:hAnsi="Arial" w:cs="Arial"/>
          <w:noProof/>
        </w:rPr>
        <w:t>. godine, br. 01-</w:t>
      </w:r>
      <w:r w:rsidR="00506D42" w:rsidRPr="007956D0">
        <w:rPr>
          <w:rFonts w:ascii="Arial" w:hAnsi="Arial" w:cs="Arial"/>
          <w:noProof/>
        </w:rPr>
        <w:t>639</w:t>
      </w:r>
      <w:r w:rsidRPr="007956D0">
        <w:rPr>
          <w:rFonts w:ascii="Arial" w:hAnsi="Arial" w:cs="Arial"/>
          <w:noProof/>
        </w:rPr>
        <w:t>/2 od 0</w:t>
      </w:r>
      <w:r w:rsidR="00506D42" w:rsidRPr="007956D0">
        <w:rPr>
          <w:rFonts w:ascii="Arial" w:hAnsi="Arial" w:cs="Arial"/>
          <w:noProof/>
        </w:rPr>
        <w:t>5</w:t>
      </w:r>
      <w:r w:rsidRPr="007956D0">
        <w:rPr>
          <w:rFonts w:ascii="Arial" w:hAnsi="Arial" w:cs="Arial"/>
          <w:noProof/>
        </w:rPr>
        <w:t>.03.201</w:t>
      </w:r>
      <w:r w:rsidR="00506D42" w:rsidRPr="007956D0">
        <w:rPr>
          <w:rFonts w:ascii="Arial" w:hAnsi="Arial" w:cs="Arial"/>
          <w:noProof/>
        </w:rPr>
        <w:t>9</w:t>
      </w:r>
      <w:r w:rsidRPr="007956D0">
        <w:rPr>
          <w:rFonts w:ascii="Arial" w:hAnsi="Arial" w:cs="Arial"/>
          <w:noProof/>
        </w:rPr>
        <w:t xml:space="preserve">. godine. (zaveden u arhivi Ministarstva ekonomije </w:t>
      </w:r>
      <w:r w:rsidR="00506D42" w:rsidRPr="007956D0">
        <w:rPr>
          <w:rFonts w:ascii="Arial" w:hAnsi="Arial" w:cs="Arial"/>
          <w:noProof/>
        </w:rPr>
        <w:t>07</w:t>
      </w:r>
      <w:r w:rsidR="00787A0E" w:rsidRPr="007956D0">
        <w:rPr>
          <w:rFonts w:ascii="Arial" w:hAnsi="Arial" w:cs="Arial"/>
          <w:noProof/>
        </w:rPr>
        <w:t>.</w:t>
      </w:r>
      <w:r w:rsidR="006A4198" w:rsidRPr="007956D0">
        <w:rPr>
          <w:rFonts w:ascii="Arial" w:hAnsi="Arial" w:cs="Arial"/>
          <w:noProof/>
        </w:rPr>
        <w:t>3.2018.</w:t>
      </w:r>
      <w:r w:rsidRPr="007956D0">
        <w:rPr>
          <w:rFonts w:ascii="Arial" w:hAnsi="Arial" w:cs="Arial"/>
          <w:noProof/>
        </w:rPr>
        <w:t xml:space="preserve"> godine pod brojem 970-</w:t>
      </w:r>
      <w:r w:rsidR="00506D42" w:rsidRPr="007956D0">
        <w:rPr>
          <w:rFonts w:ascii="Arial" w:hAnsi="Arial" w:cs="Arial"/>
          <w:noProof/>
        </w:rPr>
        <w:t>42/2019</w:t>
      </w:r>
      <w:r w:rsidR="006A4198" w:rsidRPr="007956D0">
        <w:rPr>
          <w:rFonts w:ascii="Arial" w:hAnsi="Arial" w:cs="Arial"/>
          <w:noProof/>
        </w:rPr>
        <w:t xml:space="preserve">-2), </w:t>
      </w:r>
      <w:r w:rsidRPr="007956D0">
        <w:rPr>
          <w:rFonts w:ascii="Arial" w:hAnsi="Arial" w:cs="Arial"/>
          <w:noProof/>
        </w:rPr>
        <w:t>prosječna ostvarena cijena proizvoda mineralne sirovine tehničko-građevinskog kamena u Crnoj Gori u 201</w:t>
      </w:r>
      <w:r w:rsidR="00732534" w:rsidRPr="007956D0">
        <w:rPr>
          <w:rFonts w:ascii="Arial" w:hAnsi="Arial" w:cs="Arial"/>
          <w:noProof/>
        </w:rPr>
        <w:t>8</w:t>
      </w:r>
      <w:r w:rsidRPr="007956D0">
        <w:rPr>
          <w:rFonts w:ascii="Arial" w:hAnsi="Arial" w:cs="Arial"/>
          <w:noProof/>
        </w:rPr>
        <w:t xml:space="preserve">. godini (čl. 16 Uredbe) iznosi </w:t>
      </w:r>
      <w:r w:rsidR="00506D42" w:rsidRPr="007956D0">
        <w:rPr>
          <w:rFonts w:ascii="Arial" w:hAnsi="Arial" w:cs="Arial"/>
          <w:b/>
          <w:noProof/>
        </w:rPr>
        <w:t>16,32</w:t>
      </w:r>
      <w:r w:rsidRPr="007956D0">
        <w:rPr>
          <w:rFonts w:ascii="Arial" w:hAnsi="Arial" w:cs="Arial"/>
          <w:b/>
          <w:noProof/>
        </w:rPr>
        <w:t xml:space="preserve"> €/m</w:t>
      </w:r>
      <w:r w:rsidRPr="007956D0">
        <w:rPr>
          <w:rFonts w:ascii="Arial" w:hAnsi="Arial" w:cs="Arial"/>
          <w:b/>
          <w:noProof/>
          <w:vertAlign w:val="superscript"/>
        </w:rPr>
        <w:t xml:space="preserve">3 </w:t>
      </w:r>
      <w:r w:rsidRPr="007956D0">
        <w:rPr>
          <w:rFonts w:ascii="Arial" w:hAnsi="Arial" w:cs="Arial"/>
          <w:noProof/>
        </w:rPr>
        <w:t xml:space="preserve">r.m. </w:t>
      </w:r>
    </w:p>
    <w:p w:rsidR="00732534" w:rsidRPr="007956D0" w:rsidRDefault="00732534" w:rsidP="00D021C0">
      <w:pPr>
        <w:spacing w:after="0" w:line="240" w:lineRule="auto"/>
        <w:jc w:val="both"/>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Na osnovu usvojenih parametara, tržišna vrijednost rezervi tehničko-građevinskog kamena koje se mogu otkopati prema mini</w:t>
      </w:r>
      <w:r w:rsidR="00F10DEF" w:rsidRPr="007956D0">
        <w:rPr>
          <w:rFonts w:ascii="Arial" w:hAnsi="Arial" w:cs="Arial"/>
          <w:noProof/>
        </w:rPr>
        <w:t xml:space="preserve">malnom godišnjem kapacitetu za </w:t>
      </w:r>
      <w:r w:rsidR="00815ABC" w:rsidRPr="007956D0">
        <w:rPr>
          <w:rFonts w:ascii="Arial" w:hAnsi="Arial" w:cs="Arial"/>
          <w:noProof/>
        </w:rPr>
        <w:t>28</w:t>
      </w:r>
      <w:r w:rsidRPr="007956D0">
        <w:rPr>
          <w:rFonts w:ascii="Arial" w:hAnsi="Arial" w:cs="Arial"/>
          <w:noProof/>
        </w:rPr>
        <w:t xml:space="preserve"> godina je: </w:t>
      </w:r>
    </w:p>
    <w:p w:rsidR="00D021C0" w:rsidRPr="007956D0" w:rsidRDefault="00D021C0" w:rsidP="00D021C0">
      <w:pPr>
        <w:spacing w:after="0" w:line="240" w:lineRule="auto"/>
        <w:jc w:val="both"/>
        <w:rPr>
          <w:rFonts w:ascii="Arial" w:hAnsi="Arial" w:cs="Arial"/>
          <w:noProof/>
        </w:rPr>
      </w:pPr>
    </w:p>
    <w:p w:rsidR="00D620F2" w:rsidRPr="007956D0" w:rsidRDefault="00F10DEF" w:rsidP="00D021C0">
      <w:pPr>
        <w:spacing w:after="0" w:line="240" w:lineRule="auto"/>
        <w:jc w:val="center"/>
        <w:rPr>
          <w:rFonts w:ascii="Arial" w:hAnsi="Arial" w:cs="Arial"/>
          <w:b/>
          <w:noProof/>
        </w:rPr>
      </w:pPr>
      <w:r w:rsidRPr="007956D0">
        <w:rPr>
          <w:rFonts w:ascii="Arial" w:hAnsi="Arial" w:cs="Arial"/>
          <w:b/>
          <w:noProof/>
        </w:rPr>
        <w:t xml:space="preserve">VP= </w:t>
      </w:r>
      <w:r w:rsidR="000B1014" w:rsidRPr="007956D0">
        <w:rPr>
          <w:rFonts w:ascii="Arial" w:hAnsi="Arial" w:cs="Arial"/>
          <w:b/>
          <w:noProof/>
        </w:rPr>
        <w:t>560</w:t>
      </w:r>
      <w:r w:rsidR="00D620F2" w:rsidRPr="007956D0">
        <w:rPr>
          <w:rFonts w:ascii="Arial" w:hAnsi="Arial" w:cs="Arial"/>
          <w:b/>
          <w:noProof/>
        </w:rPr>
        <w:t>.000 m</w:t>
      </w:r>
      <w:r w:rsidR="00D620F2" w:rsidRPr="007956D0">
        <w:rPr>
          <w:rFonts w:ascii="Arial" w:hAnsi="Arial" w:cs="Arial"/>
          <w:b/>
          <w:noProof/>
          <w:vertAlign w:val="superscript"/>
        </w:rPr>
        <w:t xml:space="preserve">3 </w:t>
      </w:r>
      <w:r w:rsidR="00FD71B8" w:rsidRPr="007956D0">
        <w:rPr>
          <w:rFonts w:ascii="Arial" w:hAnsi="Arial" w:cs="Arial"/>
          <w:b/>
          <w:noProof/>
        </w:rPr>
        <w:t>č.s.m x 1,5 x 16,32</w:t>
      </w:r>
      <w:r w:rsidR="00D620F2" w:rsidRPr="007956D0">
        <w:rPr>
          <w:rFonts w:ascii="Arial" w:hAnsi="Arial" w:cs="Arial"/>
          <w:b/>
          <w:noProof/>
        </w:rPr>
        <w:t xml:space="preserve"> €/m</w:t>
      </w:r>
      <w:r w:rsidR="00D620F2" w:rsidRPr="007956D0">
        <w:rPr>
          <w:rFonts w:ascii="Arial" w:hAnsi="Arial" w:cs="Arial"/>
          <w:b/>
          <w:noProof/>
          <w:vertAlign w:val="superscript"/>
        </w:rPr>
        <w:t xml:space="preserve">3 </w:t>
      </w:r>
      <w:r w:rsidRPr="007956D0">
        <w:rPr>
          <w:rFonts w:ascii="Arial" w:hAnsi="Arial" w:cs="Arial"/>
          <w:b/>
          <w:noProof/>
        </w:rPr>
        <w:t xml:space="preserve">= </w:t>
      </w:r>
      <w:r w:rsidR="00FD71B8" w:rsidRPr="007956D0">
        <w:rPr>
          <w:rFonts w:ascii="Arial" w:hAnsi="Arial" w:cs="Arial"/>
          <w:b/>
          <w:noProof/>
        </w:rPr>
        <w:t>13 708</w:t>
      </w:r>
      <w:r w:rsidR="000B1014" w:rsidRPr="007956D0">
        <w:rPr>
          <w:rFonts w:ascii="Arial" w:hAnsi="Arial" w:cs="Arial"/>
          <w:b/>
          <w:noProof/>
        </w:rPr>
        <w:t xml:space="preserve"> </w:t>
      </w:r>
      <w:r w:rsidR="00FD71B8" w:rsidRPr="007956D0">
        <w:rPr>
          <w:rFonts w:ascii="Arial" w:hAnsi="Arial" w:cs="Arial"/>
          <w:b/>
          <w:noProof/>
        </w:rPr>
        <w:t>8</w:t>
      </w:r>
      <w:r w:rsidR="00815ABC" w:rsidRPr="007956D0">
        <w:rPr>
          <w:rFonts w:ascii="Arial" w:hAnsi="Arial" w:cs="Arial"/>
          <w:b/>
          <w:noProof/>
        </w:rPr>
        <w:t>00</w:t>
      </w:r>
      <w:r w:rsidR="000B1014" w:rsidRPr="007956D0">
        <w:rPr>
          <w:rFonts w:ascii="Arial" w:hAnsi="Arial" w:cs="Arial"/>
          <w:b/>
          <w:noProof/>
        </w:rPr>
        <w:t>,00</w:t>
      </w:r>
      <w:r w:rsidR="00D620F2" w:rsidRPr="007956D0">
        <w:rPr>
          <w:rFonts w:ascii="Arial" w:hAnsi="Arial" w:cs="Arial"/>
          <w:b/>
          <w:noProof/>
        </w:rPr>
        <w:t xml:space="preserve"> € ili 4</w:t>
      </w:r>
      <w:r w:rsidR="00FD71B8" w:rsidRPr="007956D0">
        <w:rPr>
          <w:rFonts w:ascii="Arial" w:hAnsi="Arial" w:cs="Arial"/>
          <w:b/>
          <w:noProof/>
        </w:rPr>
        <w:t>89 600</w:t>
      </w:r>
      <w:r w:rsidR="00D620F2" w:rsidRPr="007956D0">
        <w:rPr>
          <w:rFonts w:ascii="Arial" w:hAnsi="Arial" w:cs="Arial"/>
          <w:b/>
          <w:noProof/>
        </w:rPr>
        <w:t>,00 €/godišnje</w:t>
      </w:r>
    </w:p>
    <w:p w:rsidR="00D620F2" w:rsidRPr="007956D0" w:rsidRDefault="00D620F2" w:rsidP="00D021C0">
      <w:pPr>
        <w:spacing w:after="0" w:line="240" w:lineRule="auto"/>
        <w:rPr>
          <w:rFonts w:ascii="Arial" w:hAnsi="Arial" w:cs="Arial"/>
          <w:b/>
          <w:noProof/>
        </w:rPr>
      </w:pPr>
    </w:p>
    <w:p w:rsidR="00D620F2" w:rsidRPr="007956D0" w:rsidRDefault="00D620F2" w:rsidP="00D021C0">
      <w:pPr>
        <w:pStyle w:val="Heading2"/>
        <w:numPr>
          <w:ilvl w:val="1"/>
          <w:numId w:val="0"/>
        </w:numPr>
        <w:spacing w:before="0" w:after="0" w:line="240" w:lineRule="auto"/>
        <w:ind w:left="576" w:hanging="576"/>
        <w:rPr>
          <w:noProof/>
        </w:rPr>
      </w:pPr>
      <w:bookmarkStart w:id="29" w:name="_Toc402262959"/>
      <w:r w:rsidRPr="007956D0">
        <w:rPr>
          <w:noProof/>
        </w:rPr>
        <w:t>Obračun minimalne koncesione naknade</w:t>
      </w:r>
      <w:bookmarkEnd w:id="29"/>
      <w:r w:rsidR="006A4198" w:rsidRPr="007956D0">
        <w:rPr>
          <w:noProof/>
        </w:rPr>
        <w:t>:</w:t>
      </w:r>
    </w:p>
    <w:p w:rsidR="00D021C0" w:rsidRPr="007956D0" w:rsidRDefault="00D021C0" w:rsidP="00D021C0">
      <w:pPr>
        <w:spacing w:after="0" w:line="240" w:lineRule="auto"/>
        <w:rPr>
          <w:rFonts w:ascii="Arial" w:hAnsi="Arial" w:cs="Arial"/>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Minimalna koncesiona naknada za eksploataciju (čl. 18 Uredbe) obračunava se po obrascu:</w:t>
      </w:r>
    </w:p>
    <w:p w:rsidR="00D620F2" w:rsidRPr="007956D0" w:rsidRDefault="00D620F2" w:rsidP="00D021C0">
      <w:pPr>
        <w:spacing w:after="0" w:line="240" w:lineRule="auto"/>
        <w:jc w:val="both"/>
        <w:rPr>
          <w:rFonts w:ascii="Arial" w:hAnsi="Arial" w:cs="Arial"/>
          <w:b/>
          <w:noProof/>
        </w:rPr>
      </w:pPr>
      <w:r w:rsidRPr="007956D0">
        <w:rPr>
          <w:rFonts w:ascii="Arial" w:hAnsi="Arial" w:cs="Arial"/>
          <w:b/>
          <w:noProof/>
        </w:rPr>
        <w:t>MDN= VP x G</w:t>
      </w: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gdje su</w:t>
      </w:r>
      <w:r w:rsidR="007B4C3A" w:rsidRPr="007956D0">
        <w:rPr>
          <w:rFonts w:ascii="Arial" w:hAnsi="Arial" w:cs="Arial"/>
          <w:noProof/>
        </w:rPr>
        <w:t>:</w:t>
      </w:r>
    </w:p>
    <w:p w:rsidR="00D620F2" w:rsidRPr="007956D0" w:rsidRDefault="00D442AC" w:rsidP="00D021C0">
      <w:pPr>
        <w:spacing w:after="0" w:line="240" w:lineRule="auto"/>
        <w:jc w:val="both"/>
        <w:rPr>
          <w:rFonts w:ascii="Arial" w:hAnsi="Arial" w:cs="Arial"/>
          <w:noProof/>
        </w:rPr>
      </w:pPr>
      <w:r w:rsidRPr="007956D0">
        <w:rPr>
          <w:rFonts w:ascii="Arial" w:hAnsi="Arial" w:cs="Arial"/>
          <w:noProof/>
        </w:rPr>
        <w:t xml:space="preserve">VP - vrijednost proizvodnje = </w:t>
      </w:r>
      <w:r w:rsidR="000B1014" w:rsidRPr="007956D0">
        <w:rPr>
          <w:rFonts w:ascii="Arial" w:hAnsi="Arial" w:cs="Arial"/>
          <w:noProof/>
        </w:rPr>
        <w:t>13</w:t>
      </w:r>
      <w:r w:rsidR="00815ABC" w:rsidRPr="007956D0">
        <w:rPr>
          <w:rFonts w:ascii="Arial" w:hAnsi="Arial" w:cs="Arial"/>
          <w:noProof/>
        </w:rPr>
        <w:t xml:space="preserve"> </w:t>
      </w:r>
      <w:r w:rsidR="00FD71B8" w:rsidRPr="007956D0">
        <w:rPr>
          <w:rFonts w:ascii="Arial" w:hAnsi="Arial" w:cs="Arial"/>
          <w:noProof/>
        </w:rPr>
        <w:t>708 8</w:t>
      </w:r>
      <w:r w:rsidR="006E4E99" w:rsidRPr="007956D0">
        <w:rPr>
          <w:rFonts w:ascii="Arial" w:hAnsi="Arial" w:cs="Arial"/>
          <w:noProof/>
        </w:rPr>
        <w:t>00,00</w:t>
      </w:r>
      <w:r w:rsidRPr="007956D0">
        <w:rPr>
          <w:rFonts w:ascii="Arial" w:hAnsi="Arial" w:cs="Arial"/>
          <w:noProof/>
        </w:rPr>
        <w:t xml:space="preserve"> € (za </w:t>
      </w:r>
      <w:r w:rsidR="00815ABC" w:rsidRPr="007956D0">
        <w:rPr>
          <w:rFonts w:ascii="Arial" w:hAnsi="Arial" w:cs="Arial"/>
          <w:noProof/>
        </w:rPr>
        <w:t>28</w:t>
      </w:r>
      <w:r w:rsidR="00D620F2" w:rsidRPr="007956D0">
        <w:rPr>
          <w:rFonts w:ascii="Arial" w:hAnsi="Arial" w:cs="Arial"/>
          <w:noProof/>
        </w:rPr>
        <w:t xml:space="preserve"> godin</w:t>
      </w:r>
      <w:r w:rsidR="006E4E99" w:rsidRPr="007956D0">
        <w:rPr>
          <w:rFonts w:ascii="Arial" w:hAnsi="Arial" w:cs="Arial"/>
          <w:noProof/>
        </w:rPr>
        <w:t>e</w:t>
      </w:r>
      <w:r w:rsidR="00D620F2" w:rsidRPr="007956D0">
        <w:rPr>
          <w:rFonts w:ascii="Arial" w:hAnsi="Arial" w:cs="Arial"/>
          <w:noProof/>
        </w:rPr>
        <w:t>)</w:t>
      </w: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 xml:space="preserve">VP - vrijednost godišnje proizvodnje = </w:t>
      </w:r>
      <w:r w:rsidR="00FD71B8" w:rsidRPr="007956D0">
        <w:rPr>
          <w:rFonts w:ascii="Arial" w:hAnsi="Arial" w:cs="Arial"/>
          <w:noProof/>
        </w:rPr>
        <w:t>489 6</w:t>
      </w:r>
      <w:r w:rsidRPr="007956D0">
        <w:rPr>
          <w:rFonts w:ascii="Arial" w:hAnsi="Arial" w:cs="Arial"/>
          <w:noProof/>
        </w:rPr>
        <w:t>00,00 €</w:t>
      </w: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G - minimalni procentni iznos (7%)</w:t>
      </w:r>
    </w:p>
    <w:p w:rsidR="00D021C0" w:rsidRPr="007956D0" w:rsidRDefault="00D021C0" w:rsidP="00D021C0">
      <w:pPr>
        <w:spacing w:after="0" w:line="240" w:lineRule="auto"/>
        <w:jc w:val="both"/>
        <w:rPr>
          <w:rFonts w:ascii="Arial" w:hAnsi="Arial" w:cs="Arial"/>
          <w:noProof/>
        </w:rPr>
      </w:pPr>
    </w:p>
    <w:p w:rsidR="00D620F2" w:rsidRPr="007956D0" w:rsidRDefault="00D620F2" w:rsidP="00D021C0">
      <w:pPr>
        <w:spacing w:after="0" w:line="240" w:lineRule="auto"/>
        <w:jc w:val="center"/>
        <w:rPr>
          <w:rFonts w:ascii="Arial" w:hAnsi="Arial" w:cs="Arial"/>
          <w:noProof/>
        </w:rPr>
      </w:pPr>
      <w:r w:rsidRPr="007956D0">
        <w:rPr>
          <w:rFonts w:ascii="Arial" w:hAnsi="Arial" w:cs="Arial"/>
          <w:b/>
          <w:noProof/>
        </w:rPr>
        <w:t>M</w:t>
      </w:r>
      <w:r w:rsidR="00D442AC" w:rsidRPr="007956D0">
        <w:rPr>
          <w:rFonts w:ascii="Arial" w:hAnsi="Arial" w:cs="Arial"/>
          <w:b/>
          <w:noProof/>
        </w:rPr>
        <w:t xml:space="preserve">DN = </w:t>
      </w:r>
      <w:r w:rsidR="00A95535" w:rsidRPr="007956D0">
        <w:rPr>
          <w:rFonts w:ascii="Arial" w:hAnsi="Arial" w:cs="Arial"/>
          <w:b/>
          <w:noProof/>
        </w:rPr>
        <w:t>13</w:t>
      </w:r>
      <w:r w:rsidR="00815ABC" w:rsidRPr="007956D0">
        <w:rPr>
          <w:rFonts w:ascii="Arial" w:hAnsi="Arial" w:cs="Arial"/>
          <w:b/>
          <w:noProof/>
        </w:rPr>
        <w:t xml:space="preserve"> </w:t>
      </w:r>
      <w:r w:rsidR="00FD71B8" w:rsidRPr="007956D0">
        <w:rPr>
          <w:rFonts w:ascii="Arial" w:hAnsi="Arial" w:cs="Arial"/>
          <w:b/>
          <w:noProof/>
        </w:rPr>
        <w:t>708 8</w:t>
      </w:r>
      <w:r w:rsidR="00815ABC" w:rsidRPr="007956D0">
        <w:rPr>
          <w:rFonts w:ascii="Arial" w:hAnsi="Arial" w:cs="Arial"/>
          <w:b/>
          <w:noProof/>
        </w:rPr>
        <w:t xml:space="preserve">00,00 </w:t>
      </w:r>
      <w:r w:rsidR="00F600F6" w:rsidRPr="007956D0">
        <w:rPr>
          <w:rFonts w:ascii="Arial" w:hAnsi="Arial" w:cs="Arial"/>
          <w:b/>
          <w:noProof/>
        </w:rPr>
        <w:t xml:space="preserve">x 0,07 = </w:t>
      </w:r>
      <w:r w:rsidR="00FD71B8" w:rsidRPr="007956D0">
        <w:rPr>
          <w:rFonts w:ascii="Arial" w:hAnsi="Arial" w:cs="Arial"/>
          <w:b/>
          <w:noProof/>
        </w:rPr>
        <w:t>959 616</w:t>
      </w:r>
      <w:r w:rsidR="00815ABC" w:rsidRPr="007956D0">
        <w:rPr>
          <w:rFonts w:ascii="Arial" w:hAnsi="Arial" w:cs="Arial"/>
          <w:b/>
          <w:noProof/>
        </w:rPr>
        <w:t xml:space="preserve">,00 </w:t>
      </w:r>
      <w:r w:rsidRPr="007956D0">
        <w:rPr>
          <w:rFonts w:ascii="Arial" w:hAnsi="Arial" w:cs="Arial"/>
          <w:b/>
          <w:noProof/>
        </w:rPr>
        <w:t>€</w:t>
      </w:r>
      <w:r w:rsidR="00D442AC" w:rsidRPr="007956D0">
        <w:rPr>
          <w:rFonts w:ascii="Arial" w:hAnsi="Arial" w:cs="Arial"/>
          <w:noProof/>
        </w:rPr>
        <w:t xml:space="preserve"> (ukupno za </w:t>
      </w:r>
      <w:r w:rsidR="00815ABC" w:rsidRPr="007956D0">
        <w:rPr>
          <w:rFonts w:ascii="Arial" w:hAnsi="Arial" w:cs="Arial"/>
          <w:noProof/>
        </w:rPr>
        <w:t>28</w:t>
      </w:r>
      <w:r w:rsidRPr="007956D0">
        <w:rPr>
          <w:rFonts w:ascii="Arial" w:hAnsi="Arial" w:cs="Arial"/>
          <w:noProof/>
        </w:rPr>
        <w:t xml:space="preserve"> godina)</w:t>
      </w:r>
    </w:p>
    <w:p w:rsidR="00D620F2" w:rsidRPr="007956D0" w:rsidRDefault="006E4E99" w:rsidP="00D021C0">
      <w:pPr>
        <w:spacing w:after="0" w:line="240" w:lineRule="auto"/>
        <w:jc w:val="center"/>
        <w:rPr>
          <w:rFonts w:ascii="Arial" w:hAnsi="Arial" w:cs="Arial"/>
          <w:b/>
          <w:noProof/>
        </w:rPr>
      </w:pPr>
      <w:r w:rsidRPr="007956D0">
        <w:rPr>
          <w:rFonts w:ascii="Arial" w:hAnsi="Arial" w:cs="Arial"/>
          <w:b/>
          <w:noProof/>
        </w:rPr>
        <w:t>MDN = 4</w:t>
      </w:r>
      <w:r w:rsidR="00FD71B8" w:rsidRPr="007956D0">
        <w:rPr>
          <w:rFonts w:ascii="Arial" w:hAnsi="Arial" w:cs="Arial"/>
          <w:b/>
          <w:noProof/>
        </w:rPr>
        <w:t>89 600</w:t>
      </w:r>
      <w:r w:rsidRPr="007956D0">
        <w:rPr>
          <w:rFonts w:ascii="Arial" w:hAnsi="Arial" w:cs="Arial"/>
          <w:b/>
          <w:noProof/>
        </w:rPr>
        <w:t xml:space="preserve">,00 x 0,07 = </w:t>
      </w:r>
      <w:r w:rsidR="00815ABC" w:rsidRPr="007956D0">
        <w:rPr>
          <w:rFonts w:ascii="Arial" w:hAnsi="Arial" w:cs="Arial"/>
          <w:b/>
          <w:noProof/>
        </w:rPr>
        <w:t>3</w:t>
      </w:r>
      <w:r w:rsidR="00FD71B8" w:rsidRPr="007956D0">
        <w:rPr>
          <w:rFonts w:ascii="Arial" w:hAnsi="Arial" w:cs="Arial"/>
          <w:b/>
          <w:noProof/>
        </w:rPr>
        <w:t>4</w:t>
      </w:r>
      <w:r w:rsidR="00815ABC" w:rsidRPr="007956D0">
        <w:rPr>
          <w:rFonts w:ascii="Arial" w:hAnsi="Arial" w:cs="Arial"/>
          <w:b/>
          <w:noProof/>
        </w:rPr>
        <w:t xml:space="preserve"> </w:t>
      </w:r>
      <w:r w:rsidR="00FD71B8" w:rsidRPr="007956D0">
        <w:rPr>
          <w:rFonts w:ascii="Arial" w:hAnsi="Arial" w:cs="Arial"/>
          <w:b/>
          <w:noProof/>
        </w:rPr>
        <w:t>272</w:t>
      </w:r>
      <w:r w:rsidR="00815ABC" w:rsidRPr="007956D0">
        <w:rPr>
          <w:rFonts w:ascii="Arial" w:hAnsi="Arial" w:cs="Arial"/>
          <w:b/>
          <w:noProof/>
        </w:rPr>
        <w:t>,00</w:t>
      </w:r>
      <w:r w:rsidR="00D620F2" w:rsidRPr="007956D0">
        <w:rPr>
          <w:rFonts w:ascii="Arial" w:hAnsi="Arial" w:cs="Arial"/>
          <w:b/>
          <w:noProof/>
        </w:rPr>
        <w:t xml:space="preserve"> €/godišnje</w:t>
      </w:r>
    </w:p>
    <w:p w:rsidR="00D021C0" w:rsidRPr="007956D0" w:rsidRDefault="00D021C0" w:rsidP="00D021C0">
      <w:pPr>
        <w:spacing w:after="0" w:line="240" w:lineRule="auto"/>
        <w:jc w:val="center"/>
        <w:rPr>
          <w:rFonts w:ascii="Arial" w:hAnsi="Arial" w:cs="Arial"/>
          <w:b/>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Koncesiona naknada (čl. 19 Uredbe) za eksploataciju sastoji</w:t>
      </w:r>
      <w:r w:rsidR="006A4198" w:rsidRPr="007956D0">
        <w:rPr>
          <w:rFonts w:ascii="Arial" w:hAnsi="Arial" w:cs="Arial"/>
          <w:noProof/>
        </w:rPr>
        <w:t xml:space="preserve"> se iz stalnog (SDN) (nepromjenlj</w:t>
      </w:r>
      <w:r w:rsidRPr="007956D0">
        <w:rPr>
          <w:rFonts w:ascii="Arial" w:hAnsi="Arial" w:cs="Arial"/>
          <w:noProof/>
        </w:rPr>
        <w:t>ivog) i promjen</w:t>
      </w:r>
      <w:r w:rsidR="006A4198" w:rsidRPr="007956D0">
        <w:rPr>
          <w:rFonts w:ascii="Arial" w:hAnsi="Arial" w:cs="Arial"/>
          <w:noProof/>
        </w:rPr>
        <w:t>lj</w:t>
      </w:r>
      <w:r w:rsidRPr="007956D0">
        <w:rPr>
          <w:rFonts w:ascii="Arial" w:hAnsi="Arial" w:cs="Arial"/>
          <w:noProof/>
        </w:rPr>
        <w:t>ivog (PDN) dijela naknade.</w:t>
      </w:r>
    </w:p>
    <w:p w:rsidR="00D620F2" w:rsidRPr="007956D0" w:rsidRDefault="00D620F2" w:rsidP="00D021C0">
      <w:pPr>
        <w:spacing w:after="0" w:line="240" w:lineRule="auto"/>
        <w:jc w:val="both"/>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Obračunata minimalna kon</w:t>
      </w:r>
      <w:r w:rsidR="00FD0CB6" w:rsidRPr="007956D0">
        <w:rPr>
          <w:rFonts w:ascii="Arial" w:hAnsi="Arial" w:cs="Arial"/>
          <w:noProof/>
        </w:rPr>
        <w:t>cesiona naknada</w:t>
      </w:r>
      <w:r w:rsidRPr="007956D0">
        <w:rPr>
          <w:rFonts w:ascii="Arial" w:hAnsi="Arial" w:cs="Arial"/>
          <w:noProof/>
        </w:rPr>
        <w:t xml:space="preserve"> predstavlja min</w:t>
      </w:r>
      <w:r w:rsidR="006A4198" w:rsidRPr="007956D0">
        <w:rPr>
          <w:rFonts w:ascii="Arial" w:hAnsi="Arial" w:cs="Arial"/>
          <w:noProof/>
        </w:rPr>
        <w:t>imalni iznos stalnog (nepromjenlj</w:t>
      </w:r>
      <w:r w:rsidRPr="007956D0">
        <w:rPr>
          <w:rFonts w:ascii="Arial" w:hAnsi="Arial" w:cs="Arial"/>
          <w:noProof/>
        </w:rPr>
        <w:t>ivog) dijela koncesione naknade:</w:t>
      </w:r>
    </w:p>
    <w:p w:rsidR="00D021C0" w:rsidRPr="007956D0" w:rsidRDefault="00D021C0" w:rsidP="00D021C0">
      <w:pPr>
        <w:spacing w:after="0" w:line="240" w:lineRule="auto"/>
        <w:jc w:val="both"/>
        <w:rPr>
          <w:rFonts w:ascii="Arial" w:hAnsi="Arial" w:cs="Arial"/>
          <w:noProof/>
        </w:rPr>
      </w:pPr>
    </w:p>
    <w:p w:rsidR="00FD0CB6" w:rsidRPr="007956D0" w:rsidRDefault="00D620F2" w:rsidP="00D021C0">
      <w:pPr>
        <w:spacing w:after="0" w:line="240" w:lineRule="auto"/>
        <w:jc w:val="both"/>
        <w:rPr>
          <w:rFonts w:ascii="Arial" w:hAnsi="Arial" w:cs="Arial"/>
          <w:b/>
          <w:noProof/>
        </w:rPr>
      </w:pPr>
      <w:r w:rsidRPr="007956D0">
        <w:rPr>
          <w:rFonts w:ascii="Arial" w:hAnsi="Arial" w:cs="Arial"/>
          <w:b/>
          <w:noProof/>
        </w:rPr>
        <w:t>-</w:t>
      </w:r>
      <w:r w:rsidR="00D442AC" w:rsidRPr="007956D0">
        <w:rPr>
          <w:rFonts w:ascii="Arial" w:hAnsi="Arial" w:cs="Arial"/>
          <w:b/>
          <w:noProof/>
        </w:rPr>
        <w:t>Za period od</w:t>
      </w:r>
      <w:r w:rsidR="00815ABC" w:rsidRPr="007956D0">
        <w:rPr>
          <w:rFonts w:ascii="Arial" w:hAnsi="Arial" w:cs="Arial"/>
          <w:b/>
          <w:noProof/>
        </w:rPr>
        <w:t xml:space="preserve"> 28</w:t>
      </w:r>
      <w:r w:rsidR="00D442AC" w:rsidRPr="007956D0">
        <w:rPr>
          <w:rFonts w:ascii="Arial" w:hAnsi="Arial" w:cs="Arial"/>
          <w:b/>
          <w:noProof/>
        </w:rPr>
        <w:t xml:space="preserve"> godina SDN = </w:t>
      </w:r>
      <w:r w:rsidR="00FD71B8" w:rsidRPr="007956D0">
        <w:rPr>
          <w:rFonts w:ascii="Arial" w:hAnsi="Arial" w:cs="Arial"/>
          <w:b/>
          <w:noProof/>
        </w:rPr>
        <w:t xml:space="preserve">959 616,00 </w:t>
      </w:r>
      <w:r w:rsidR="00815ABC" w:rsidRPr="007956D0">
        <w:rPr>
          <w:rFonts w:ascii="Arial" w:hAnsi="Arial" w:cs="Arial"/>
          <w:b/>
          <w:noProof/>
        </w:rPr>
        <w:t>€</w:t>
      </w:r>
    </w:p>
    <w:p w:rsidR="00D620F2" w:rsidRPr="007956D0" w:rsidRDefault="006A4198" w:rsidP="00D021C0">
      <w:pPr>
        <w:spacing w:after="0" w:line="240" w:lineRule="auto"/>
        <w:jc w:val="both"/>
        <w:rPr>
          <w:rFonts w:ascii="Arial" w:hAnsi="Arial" w:cs="Arial"/>
          <w:b/>
          <w:noProof/>
        </w:rPr>
      </w:pPr>
      <w:r w:rsidRPr="007956D0">
        <w:rPr>
          <w:rFonts w:ascii="Arial" w:hAnsi="Arial" w:cs="Arial"/>
          <w:b/>
          <w:noProof/>
        </w:rPr>
        <w:t>-</w:t>
      </w:r>
      <w:r w:rsidR="00D620F2" w:rsidRPr="007956D0">
        <w:rPr>
          <w:rFonts w:ascii="Arial" w:hAnsi="Arial" w:cs="Arial"/>
          <w:b/>
          <w:noProof/>
        </w:rPr>
        <w:t xml:space="preserve">SDN (godišnje) = </w:t>
      </w:r>
      <w:r w:rsidR="00FD71B8" w:rsidRPr="007956D0">
        <w:rPr>
          <w:rFonts w:ascii="Arial" w:hAnsi="Arial" w:cs="Arial"/>
          <w:b/>
          <w:noProof/>
        </w:rPr>
        <w:t>34 272,00</w:t>
      </w:r>
      <w:r w:rsidR="00D620F2" w:rsidRPr="007956D0">
        <w:rPr>
          <w:rFonts w:ascii="Arial" w:hAnsi="Arial" w:cs="Arial"/>
          <w:b/>
          <w:noProof/>
        </w:rPr>
        <w:t xml:space="preserve"> €.</w:t>
      </w:r>
    </w:p>
    <w:p w:rsidR="00D021C0" w:rsidRPr="007956D0" w:rsidRDefault="00D021C0" w:rsidP="00D021C0">
      <w:pPr>
        <w:spacing w:after="0" w:line="240" w:lineRule="auto"/>
        <w:jc w:val="both"/>
        <w:rPr>
          <w:rFonts w:ascii="Arial" w:hAnsi="Arial" w:cs="Arial"/>
          <w:b/>
          <w:noProof/>
        </w:rPr>
      </w:pPr>
    </w:p>
    <w:p w:rsidR="00D620F2" w:rsidRPr="007956D0" w:rsidRDefault="00D620F2" w:rsidP="00D021C0">
      <w:pPr>
        <w:spacing w:after="0" w:line="240" w:lineRule="auto"/>
        <w:jc w:val="both"/>
        <w:rPr>
          <w:rFonts w:ascii="Arial" w:hAnsi="Arial" w:cs="Arial"/>
          <w:b/>
          <w:noProof/>
        </w:rPr>
      </w:pPr>
      <w:r w:rsidRPr="007956D0">
        <w:rPr>
          <w:rFonts w:ascii="Arial" w:hAnsi="Arial" w:cs="Arial"/>
          <w:b/>
          <w:noProof/>
        </w:rPr>
        <w:t xml:space="preserve">Stalni dio koncesione naknade koji se utvrđuje Ugovorom o koncesiji, može, u </w:t>
      </w:r>
      <w:r w:rsidR="00400519" w:rsidRPr="007956D0">
        <w:rPr>
          <w:rFonts w:ascii="Arial" w:hAnsi="Arial" w:cs="Arial"/>
          <w:b/>
          <w:noProof/>
        </w:rPr>
        <w:t xml:space="preserve">zavisnosti od ponuda, biti veći </w:t>
      </w:r>
      <w:r w:rsidRPr="007956D0">
        <w:rPr>
          <w:rFonts w:ascii="Arial" w:hAnsi="Arial" w:cs="Arial"/>
          <w:b/>
          <w:noProof/>
        </w:rPr>
        <w:t>od obračunatog minimalnog iznosa.</w:t>
      </w:r>
    </w:p>
    <w:p w:rsidR="00D021C0" w:rsidRPr="007956D0" w:rsidRDefault="00D021C0" w:rsidP="00D021C0">
      <w:pPr>
        <w:spacing w:after="0" w:line="240" w:lineRule="auto"/>
        <w:jc w:val="both"/>
        <w:rPr>
          <w:rFonts w:ascii="Arial" w:hAnsi="Arial" w:cs="Arial"/>
          <w:b/>
          <w:noProof/>
        </w:rPr>
      </w:pPr>
    </w:p>
    <w:p w:rsidR="00D620F2" w:rsidRPr="007956D0" w:rsidRDefault="00D620F2" w:rsidP="00D021C0">
      <w:pPr>
        <w:spacing w:after="0" w:line="240" w:lineRule="auto"/>
        <w:jc w:val="both"/>
        <w:rPr>
          <w:rFonts w:ascii="Arial" w:hAnsi="Arial" w:cs="Arial"/>
          <w:b/>
          <w:noProof/>
        </w:rPr>
      </w:pPr>
      <w:r w:rsidRPr="007956D0">
        <w:rPr>
          <w:rFonts w:ascii="Arial" w:hAnsi="Arial" w:cs="Arial"/>
          <w:b/>
          <w:noProof/>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rsidR="00D021C0" w:rsidRPr="007956D0" w:rsidRDefault="00D021C0" w:rsidP="00D021C0">
      <w:pPr>
        <w:spacing w:after="0" w:line="240" w:lineRule="auto"/>
        <w:jc w:val="both"/>
        <w:rPr>
          <w:rFonts w:ascii="Arial" w:hAnsi="Arial" w:cs="Arial"/>
          <w:b/>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Ugovoreni godišnji iznos SDN Koncesionar plaća tokom kon</w:t>
      </w:r>
      <w:r w:rsidR="00400519" w:rsidRPr="007956D0">
        <w:rPr>
          <w:rFonts w:ascii="Arial" w:hAnsi="Arial" w:cs="Arial"/>
          <w:noProof/>
        </w:rPr>
        <w:t>c</w:t>
      </w:r>
      <w:r w:rsidRPr="007956D0">
        <w:rPr>
          <w:rFonts w:ascii="Arial" w:hAnsi="Arial" w:cs="Arial"/>
          <w:noProof/>
        </w:rPr>
        <w:t>esionog perioda u jednakim polugodišnjim ratama do kraja juna, odnosno, decembra tekuće godine.</w:t>
      </w:r>
    </w:p>
    <w:p w:rsidR="00D021C0" w:rsidRPr="007956D0" w:rsidRDefault="00D021C0">
      <w:pPr>
        <w:rPr>
          <w:rFonts w:ascii="Arial" w:hAnsi="Arial" w:cs="Arial"/>
          <w:noProof/>
        </w:rPr>
      </w:pPr>
      <w:r w:rsidRPr="007956D0">
        <w:rPr>
          <w:rFonts w:ascii="Arial" w:hAnsi="Arial" w:cs="Arial"/>
          <w:noProof/>
        </w:rPr>
        <w:br w:type="page"/>
      </w:r>
    </w:p>
    <w:p w:rsidR="00D620F2" w:rsidRPr="007956D0" w:rsidRDefault="00E21B44" w:rsidP="00D021C0">
      <w:pPr>
        <w:pStyle w:val="Heading2"/>
        <w:numPr>
          <w:ilvl w:val="1"/>
          <w:numId w:val="0"/>
        </w:numPr>
        <w:spacing w:before="0" w:after="0" w:line="240" w:lineRule="auto"/>
        <w:ind w:left="576" w:hanging="576"/>
        <w:rPr>
          <w:b/>
          <w:noProof/>
        </w:rPr>
      </w:pPr>
      <w:bookmarkStart w:id="30" w:name="_Toc402262960"/>
      <w:r w:rsidRPr="007956D0">
        <w:rPr>
          <w:b/>
          <w:noProof/>
        </w:rPr>
        <w:lastRenderedPageBreak/>
        <w:t>8</w:t>
      </w:r>
      <w:r w:rsidR="00306531" w:rsidRPr="007956D0">
        <w:rPr>
          <w:b/>
          <w:noProof/>
        </w:rPr>
        <w:t xml:space="preserve">.2. </w:t>
      </w:r>
      <w:r w:rsidR="006A4198" w:rsidRPr="007956D0">
        <w:rPr>
          <w:b/>
          <w:noProof/>
        </w:rPr>
        <w:t>Promjenl</w:t>
      </w:r>
      <w:r w:rsidR="00D620F2" w:rsidRPr="007956D0">
        <w:rPr>
          <w:b/>
          <w:noProof/>
        </w:rPr>
        <w:t>jivi dio koncesione naknade (PDN)</w:t>
      </w:r>
      <w:bookmarkEnd w:id="30"/>
    </w:p>
    <w:p w:rsidR="00D021C0" w:rsidRPr="007956D0" w:rsidRDefault="00D021C0" w:rsidP="00D021C0">
      <w:pPr>
        <w:spacing w:after="0" w:line="240" w:lineRule="auto"/>
        <w:rPr>
          <w:rFonts w:ascii="Arial" w:hAnsi="Arial" w:cs="Arial"/>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Promjen</w:t>
      </w:r>
      <w:r w:rsidR="006A4198" w:rsidRPr="007956D0">
        <w:rPr>
          <w:rFonts w:ascii="Arial" w:hAnsi="Arial" w:cs="Arial"/>
          <w:noProof/>
        </w:rPr>
        <w:t>l</w:t>
      </w:r>
      <w:r w:rsidRPr="007956D0">
        <w:rPr>
          <w:rFonts w:ascii="Arial" w:hAnsi="Arial" w:cs="Arial"/>
          <w:noProof/>
        </w:rPr>
        <w:t>jivi dio naknade obračunava se godišnje po obrascu:</w:t>
      </w:r>
    </w:p>
    <w:p w:rsidR="00D620F2" w:rsidRPr="007956D0" w:rsidRDefault="007B37D3" w:rsidP="00D021C0">
      <w:pPr>
        <w:spacing w:after="0" w:line="240" w:lineRule="auto"/>
        <w:jc w:val="both"/>
        <w:rPr>
          <w:rFonts w:ascii="Arial" w:hAnsi="Arial" w:cs="Arial"/>
          <w:b/>
          <w:noProof/>
        </w:rPr>
      </w:pPr>
      <w:r w:rsidRPr="007956D0">
        <w:rPr>
          <w:rFonts w:ascii="Arial" w:hAnsi="Arial" w:cs="Arial"/>
          <w:b/>
          <w:noProof/>
        </w:rPr>
        <w:t>PDN=VPx(</w:t>
      </w:r>
      <w:r w:rsidR="00D620F2" w:rsidRPr="007956D0">
        <w:rPr>
          <w:rFonts w:ascii="Arial" w:hAnsi="Arial" w:cs="Arial"/>
          <w:b/>
          <w:noProof/>
        </w:rPr>
        <w:t>G</w:t>
      </w:r>
      <w:r w:rsidR="00F600F6" w:rsidRPr="007956D0">
        <w:rPr>
          <w:rFonts w:ascii="Arial" w:hAnsi="Arial" w:cs="Arial"/>
          <w:b/>
          <w:noProof/>
        </w:rPr>
        <w:t>+</w:t>
      </w:r>
      <w:r w:rsidR="00D620F2" w:rsidRPr="007956D0">
        <w:rPr>
          <w:rFonts w:ascii="Arial" w:hAnsi="Arial" w:cs="Arial"/>
          <w:b/>
          <w:noProof/>
        </w:rPr>
        <w:t>K) &gt; SDN (godišnjeg iznosa)</w:t>
      </w:r>
    </w:p>
    <w:p w:rsidR="00D021C0" w:rsidRPr="007956D0" w:rsidRDefault="00D021C0" w:rsidP="00D021C0">
      <w:pPr>
        <w:spacing w:after="0" w:line="240" w:lineRule="auto"/>
        <w:jc w:val="both"/>
        <w:rPr>
          <w:rFonts w:ascii="Arial" w:hAnsi="Arial" w:cs="Arial"/>
          <w:b/>
          <w:noProof/>
        </w:rPr>
      </w:pPr>
    </w:p>
    <w:p w:rsidR="00D620F2" w:rsidRPr="007956D0" w:rsidRDefault="00D021C0" w:rsidP="00D021C0">
      <w:pPr>
        <w:spacing w:after="0" w:line="240" w:lineRule="auto"/>
        <w:jc w:val="both"/>
        <w:rPr>
          <w:rFonts w:ascii="Arial" w:hAnsi="Arial" w:cs="Arial"/>
          <w:noProof/>
        </w:rPr>
      </w:pPr>
      <w:r w:rsidRPr="007956D0">
        <w:rPr>
          <w:rFonts w:ascii="Arial" w:hAnsi="Arial" w:cs="Arial"/>
          <w:noProof/>
        </w:rPr>
        <w:t>g</w:t>
      </w:r>
      <w:r w:rsidR="00D620F2" w:rsidRPr="007956D0">
        <w:rPr>
          <w:rFonts w:ascii="Arial" w:hAnsi="Arial" w:cs="Arial"/>
          <w:noProof/>
        </w:rPr>
        <w:t>dje su:</w:t>
      </w:r>
    </w:p>
    <w:p w:rsidR="00D620F2" w:rsidRPr="007956D0" w:rsidRDefault="00D620F2" w:rsidP="00D021C0">
      <w:pPr>
        <w:spacing w:after="0" w:line="240" w:lineRule="auto"/>
        <w:jc w:val="both"/>
        <w:rPr>
          <w:rFonts w:ascii="Arial" w:hAnsi="Arial" w:cs="Arial"/>
          <w:b/>
          <w:noProof/>
        </w:rPr>
      </w:pPr>
      <w:r w:rsidRPr="007956D0">
        <w:rPr>
          <w:rFonts w:ascii="Arial" w:hAnsi="Arial" w:cs="Arial"/>
          <w:noProof/>
        </w:rPr>
        <w:t xml:space="preserve">VP - godišnja vrijednost proizvodnje obračunata na osnovu ostvarene godišnje proizvodnje mineralne sirovine </w:t>
      </w:r>
      <w:r w:rsidR="007B4C3A" w:rsidRPr="007956D0">
        <w:rPr>
          <w:rFonts w:ascii="Arial" w:hAnsi="Arial" w:cs="Arial"/>
          <w:noProof/>
        </w:rPr>
        <w:t>i</w:t>
      </w:r>
      <w:r w:rsidRPr="007956D0">
        <w:rPr>
          <w:rFonts w:ascii="Arial" w:hAnsi="Arial" w:cs="Arial"/>
          <w:noProof/>
        </w:rPr>
        <w:t xml:space="preserve"> prosječne godišnje prodajne cijene proizvoda</w:t>
      </w: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G - ugovoreni procentualni iznos za pripadnost grupi ležišta (ne manji od 7%)</w:t>
      </w:r>
    </w:p>
    <w:p w:rsidR="00A8364D" w:rsidRPr="007956D0" w:rsidRDefault="00A8364D" w:rsidP="00A8364D">
      <w:pPr>
        <w:spacing w:after="0" w:line="240" w:lineRule="auto"/>
        <w:jc w:val="both"/>
        <w:rPr>
          <w:rFonts w:ascii="Arial" w:hAnsi="Arial" w:cs="Arial"/>
          <w:lang w:val="sr-Latn-CS"/>
        </w:rPr>
      </w:pPr>
      <w:r w:rsidRPr="007956D0">
        <w:rPr>
          <w:rFonts w:ascii="Arial" w:hAnsi="Arial" w:cs="Arial"/>
          <w:noProof/>
        </w:rPr>
        <w:t xml:space="preserve">K - </w:t>
      </w:r>
      <w:r w:rsidRPr="007956D0">
        <w:rPr>
          <w:rFonts w:ascii="Arial" w:hAnsi="Arial" w:cs="Arial"/>
          <w:lang w:val="sr-Latn-CS"/>
        </w:rPr>
        <w:t>vrijednost korektivnog faktora po osnovu ostvarene proizvodnje, obraču</w:t>
      </w:r>
      <w:r w:rsidR="00740CC3" w:rsidRPr="007956D0">
        <w:rPr>
          <w:rFonts w:ascii="Arial" w:hAnsi="Arial" w:cs="Arial"/>
          <w:lang w:val="sr-Latn-CS"/>
        </w:rPr>
        <w:t>nati iznos se uvećava od 0 do 3</w:t>
      </w:r>
      <w:r w:rsidRPr="007956D0">
        <w:rPr>
          <w:rFonts w:ascii="Arial" w:hAnsi="Arial" w:cs="Arial"/>
          <w:lang w:val="sr-Latn-CS"/>
        </w:rPr>
        <w:t>% (čl. 21 Uredbe).</w:t>
      </w:r>
    </w:p>
    <w:p w:rsidR="00D021C0" w:rsidRPr="007956D0" w:rsidRDefault="00D021C0" w:rsidP="00D021C0">
      <w:pPr>
        <w:spacing w:after="0" w:line="240" w:lineRule="auto"/>
        <w:jc w:val="both"/>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Promjen</w:t>
      </w:r>
      <w:r w:rsidR="006A4198" w:rsidRPr="007956D0">
        <w:rPr>
          <w:rFonts w:ascii="Arial" w:hAnsi="Arial" w:cs="Arial"/>
          <w:noProof/>
        </w:rPr>
        <w:t>l</w:t>
      </w:r>
      <w:r w:rsidRPr="007956D0">
        <w:rPr>
          <w:rFonts w:ascii="Arial" w:hAnsi="Arial" w:cs="Arial"/>
          <w:noProof/>
        </w:rPr>
        <w:t>jivi dio naknade, obračunava se na kraju svake godine. Uplata se vrši jedanput godišnje na osnovu Rješenja nadležnog ministarstva.</w:t>
      </w:r>
    </w:p>
    <w:p w:rsidR="00D021C0" w:rsidRPr="007956D0" w:rsidRDefault="00D021C0" w:rsidP="00D021C0">
      <w:pPr>
        <w:spacing w:after="0" w:line="240" w:lineRule="auto"/>
        <w:rPr>
          <w:rFonts w:ascii="Arial" w:hAnsi="Arial" w:cs="Arial"/>
          <w:noProof/>
        </w:rPr>
      </w:pPr>
    </w:p>
    <w:p w:rsidR="00D620F2" w:rsidRPr="007956D0" w:rsidRDefault="00D620F2" w:rsidP="00D021C0">
      <w:pPr>
        <w:spacing w:after="0" w:line="240" w:lineRule="auto"/>
        <w:rPr>
          <w:rFonts w:ascii="Arial" w:hAnsi="Arial" w:cs="Arial"/>
          <w:noProof/>
        </w:rPr>
      </w:pPr>
      <w:r w:rsidRPr="007956D0">
        <w:rPr>
          <w:rFonts w:ascii="Arial" w:hAnsi="Arial" w:cs="Arial"/>
          <w:noProof/>
        </w:rPr>
        <w:t>Obračun PDN se vrši na osnovu sljedeće dokumentacije:</w:t>
      </w:r>
    </w:p>
    <w:p w:rsidR="00A8364D" w:rsidRPr="007956D0" w:rsidRDefault="00A8364D" w:rsidP="00D021C0">
      <w:pPr>
        <w:spacing w:after="0" w:line="240" w:lineRule="auto"/>
        <w:rPr>
          <w:rFonts w:ascii="Arial" w:hAnsi="Arial" w:cs="Arial"/>
          <w:noProof/>
        </w:rPr>
      </w:pPr>
    </w:p>
    <w:p w:rsidR="00D620F2" w:rsidRPr="007956D0" w:rsidRDefault="00D620F2" w:rsidP="005B518B">
      <w:pPr>
        <w:numPr>
          <w:ilvl w:val="0"/>
          <w:numId w:val="2"/>
        </w:numPr>
        <w:suppressAutoHyphens/>
        <w:spacing w:after="0" w:line="240" w:lineRule="auto"/>
        <w:jc w:val="both"/>
        <w:rPr>
          <w:rFonts w:ascii="Arial" w:hAnsi="Arial" w:cs="Arial"/>
          <w:noProof/>
        </w:rPr>
      </w:pPr>
      <w:r w:rsidRPr="007956D0">
        <w:rPr>
          <w:rFonts w:ascii="Arial" w:hAnsi="Arial" w:cs="Arial"/>
          <w:noProof/>
        </w:rPr>
        <w:t>godišnjeg tehničkog izvještaja;</w:t>
      </w:r>
    </w:p>
    <w:p w:rsidR="00D620F2" w:rsidRPr="007956D0" w:rsidRDefault="00D620F2" w:rsidP="005B518B">
      <w:pPr>
        <w:numPr>
          <w:ilvl w:val="0"/>
          <w:numId w:val="2"/>
        </w:numPr>
        <w:suppressAutoHyphens/>
        <w:spacing w:after="0" w:line="240" w:lineRule="auto"/>
        <w:jc w:val="both"/>
        <w:rPr>
          <w:rFonts w:ascii="Arial" w:hAnsi="Arial" w:cs="Arial"/>
          <w:noProof/>
        </w:rPr>
      </w:pPr>
      <w:r w:rsidRPr="007956D0">
        <w:rPr>
          <w:rFonts w:ascii="Arial" w:hAnsi="Arial" w:cs="Arial"/>
          <w:noProof/>
        </w:rPr>
        <w:t>izvještaja o radu i ostvarenom prihodu po osnovu ostvarene proizvodnje mineralne sirovine; i</w:t>
      </w:r>
    </w:p>
    <w:p w:rsidR="009B1797" w:rsidRPr="007956D0" w:rsidRDefault="00D620F2" w:rsidP="005B518B">
      <w:pPr>
        <w:numPr>
          <w:ilvl w:val="0"/>
          <w:numId w:val="2"/>
        </w:numPr>
        <w:suppressAutoHyphens/>
        <w:spacing w:after="0" w:line="240" w:lineRule="auto"/>
        <w:jc w:val="both"/>
        <w:rPr>
          <w:rFonts w:ascii="Arial" w:hAnsi="Arial" w:cs="Arial"/>
          <w:noProof/>
        </w:rPr>
      </w:pPr>
      <w:r w:rsidRPr="007956D0">
        <w:rPr>
          <w:rFonts w:ascii="Arial" w:hAnsi="Arial" w:cs="Arial"/>
          <w:noProof/>
        </w:rPr>
        <w:t>dokaza o količinama i prosječno ostvarenim prodajnim cijenama jedinice proizvoda na domaćem i stranom tržištu.</w:t>
      </w:r>
    </w:p>
    <w:p w:rsidR="00D021C0" w:rsidRPr="007956D0" w:rsidRDefault="00D021C0" w:rsidP="00D021C0">
      <w:pPr>
        <w:suppressAutoHyphens/>
        <w:spacing w:after="0" w:line="240" w:lineRule="auto"/>
        <w:jc w:val="both"/>
        <w:rPr>
          <w:rFonts w:ascii="Arial" w:hAnsi="Arial" w:cs="Arial"/>
          <w:noProof/>
        </w:rPr>
      </w:pPr>
    </w:p>
    <w:p w:rsidR="00D620F2" w:rsidRPr="007956D0" w:rsidRDefault="00D620F2" w:rsidP="00D021C0">
      <w:pPr>
        <w:suppressAutoHyphens/>
        <w:spacing w:after="0" w:line="240" w:lineRule="auto"/>
        <w:jc w:val="both"/>
        <w:rPr>
          <w:rFonts w:ascii="Arial" w:hAnsi="Arial" w:cs="Arial"/>
          <w:noProof/>
        </w:rPr>
      </w:pPr>
      <w:r w:rsidRPr="007956D0">
        <w:rPr>
          <w:rFonts w:ascii="Arial" w:hAnsi="Arial" w:cs="Arial"/>
          <w:noProof/>
        </w:rPr>
        <w:t>Dokumentaciju za obračun PDN podnosi koncesionar najkasnije do kraja m</w:t>
      </w:r>
      <w:r w:rsidR="00A460E0" w:rsidRPr="007956D0">
        <w:rPr>
          <w:rFonts w:ascii="Arial" w:hAnsi="Arial" w:cs="Arial"/>
          <w:noProof/>
        </w:rPr>
        <w:t>arta tekuće, za prethodnu godinu</w:t>
      </w:r>
      <w:r w:rsidRPr="007956D0">
        <w:rPr>
          <w:rFonts w:ascii="Arial" w:hAnsi="Arial" w:cs="Arial"/>
          <w:noProof/>
        </w:rPr>
        <w:t>.</w:t>
      </w:r>
    </w:p>
    <w:p w:rsidR="00A8364D" w:rsidRPr="007956D0" w:rsidRDefault="00A8364D" w:rsidP="00D021C0">
      <w:pPr>
        <w:suppressAutoHyphens/>
        <w:spacing w:after="0" w:line="240" w:lineRule="auto"/>
        <w:jc w:val="both"/>
        <w:rPr>
          <w:rFonts w:ascii="Arial" w:hAnsi="Arial" w:cs="Arial"/>
          <w:noProof/>
        </w:rPr>
      </w:pPr>
    </w:p>
    <w:p w:rsidR="00D620F2" w:rsidRPr="007956D0" w:rsidRDefault="006A68F3" w:rsidP="005B518B">
      <w:pPr>
        <w:pStyle w:val="Heading1"/>
        <w:numPr>
          <w:ilvl w:val="0"/>
          <w:numId w:val="18"/>
        </w:numPr>
        <w:ind w:left="360"/>
        <w:rPr>
          <w:noProof/>
        </w:rPr>
      </w:pPr>
      <w:bookmarkStart w:id="31" w:name="_Toc390549915"/>
      <w:bookmarkStart w:id="32" w:name="_Toc4581264"/>
      <w:r w:rsidRPr="007956D0">
        <w:rPr>
          <w:noProof/>
        </w:rPr>
        <w:t>KRITERIJUMI ZA IZBOR NAJPOVOLJNIJE PONUDE</w:t>
      </w:r>
      <w:bookmarkEnd w:id="31"/>
      <w:bookmarkEnd w:id="32"/>
    </w:p>
    <w:p w:rsidR="00D021C0" w:rsidRPr="007956D0" w:rsidRDefault="00D021C0" w:rsidP="00D021C0">
      <w:pPr>
        <w:spacing w:after="0" w:line="240" w:lineRule="auto"/>
        <w:rPr>
          <w:rFonts w:ascii="Arial" w:hAnsi="Arial" w:cs="Arial"/>
          <w:lang w:val="sv-SE"/>
        </w:rPr>
      </w:pPr>
    </w:p>
    <w:p w:rsidR="00B06A65" w:rsidRPr="007956D0" w:rsidRDefault="00B06A65" w:rsidP="00B06A65">
      <w:pPr>
        <w:spacing w:after="0" w:line="240" w:lineRule="auto"/>
        <w:jc w:val="both"/>
        <w:rPr>
          <w:rFonts w:ascii="Arial" w:hAnsi="Arial" w:cs="Arial"/>
          <w:noProof/>
        </w:rPr>
      </w:pPr>
      <w:bookmarkStart w:id="33" w:name="_Toc390549916"/>
      <w:bookmarkStart w:id="34" w:name="_Toc402262962"/>
      <w:r w:rsidRPr="007956D0">
        <w:rPr>
          <w:rFonts w:ascii="Arial" w:hAnsi="Arial" w:cs="Arial"/>
          <w:noProof/>
        </w:rPr>
        <w:t>Kriterijumi na osnovu kojih se vrši vrednovanje ponuda su sljedeći:</w:t>
      </w:r>
    </w:p>
    <w:p w:rsidR="00B06A65" w:rsidRPr="007956D0" w:rsidRDefault="00B06A65" w:rsidP="00B06A65">
      <w:pPr>
        <w:spacing w:after="0" w:line="240" w:lineRule="auto"/>
        <w:jc w:val="both"/>
        <w:rPr>
          <w:rFonts w:ascii="Arial" w:hAnsi="Arial" w:cs="Arial"/>
          <w:noProof/>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6983"/>
        <w:gridCol w:w="1604"/>
      </w:tblGrid>
      <w:tr w:rsidR="007956D0" w:rsidRPr="007956D0" w:rsidTr="008D26C8">
        <w:trPr>
          <w:trHeight w:val="285"/>
        </w:trPr>
        <w:tc>
          <w:tcPr>
            <w:tcW w:w="656" w:type="dxa"/>
            <w:shd w:val="clear" w:color="auto" w:fill="FFFFFF"/>
          </w:tcPr>
          <w:p w:rsidR="00B06A65" w:rsidRPr="007956D0" w:rsidRDefault="00B06A65" w:rsidP="008D26C8">
            <w:pPr>
              <w:spacing w:after="0" w:line="240" w:lineRule="auto"/>
              <w:jc w:val="center"/>
              <w:rPr>
                <w:rFonts w:ascii="Arial" w:hAnsi="Arial" w:cs="Arial"/>
                <w:b/>
                <w:noProof/>
              </w:rPr>
            </w:pPr>
            <w:r w:rsidRPr="007956D0">
              <w:rPr>
                <w:rFonts w:ascii="Arial" w:hAnsi="Arial" w:cs="Arial"/>
                <w:b/>
                <w:noProof/>
              </w:rPr>
              <w:t>R.B.</w:t>
            </w:r>
          </w:p>
        </w:tc>
        <w:tc>
          <w:tcPr>
            <w:tcW w:w="7283" w:type="dxa"/>
            <w:shd w:val="clear" w:color="auto" w:fill="FFFFFF"/>
          </w:tcPr>
          <w:p w:rsidR="00B06A65" w:rsidRPr="007956D0" w:rsidRDefault="00B06A65" w:rsidP="008D26C8">
            <w:pPr>
              <w:spacing w:after="0" w:line="240" w:lineRule="auto"/>
              <w:jc w:val="center"/>
              <w:rPr>
                <w:rFonts w:ascii="Arial" w:hAnsi="Arial" w:cs="Arial"/>
                <w:b/>
                <w:noProof/>
                <w:lang w:val="pl-PL"/>
              </w:rPr>
            </w:pPr>
            <w:r w:rsidRPr="007956D0">
              <w:rPr>
                <w:rFonts w:ascii="Arial" w:hAnsi="Arial" w:cs="Arial"/>
                <w:b/>
                <w:noProof/>
                <w:lang w:val="pl-PL"/>
              </w:rPr>
              <w:t>K R I T E R I J U M I</w:t>
            </w:r>
          </w:p>
        </w:tc>
        <w:tc>
          <w:tcPr>
            <w:tcW w:w="1637" w:type="dxa"/>
            <w:shd w:val="clear" w:color="auto" w:fill="FFFFFF"/>
          </w:tcPr>
          <w:p w:rsidR="00B06A65" w:rsidRPr="007956D0" w:rsidRDefault="00B06A65" w:rsidP="008D26C8">
            <w:pPr>
              <w:spacing w:after="0" w:line="240" w:lineRule="auto"/>
              <w:jc w:val="center"/>
              <w:rPr>
                <w:rFonts w:ascii="Arial" w:hAnsi="Arial" w:cs="Arial"/>
                <w:b/>
                <w:noProof/>
              </w:rPr>
            </w:pPr>
            <w:r w:rsidRPr="007956D0">
              <w:rPr>
                <w:rFonts w:ascii="Arial" w:hAnsi="Arial" w:cs="Arial"/>
                <w:b/>
                <w:noProof/>
              </w:rPr>
              <w:t>Broj bodova</w:t>
            </w:r>
          </w:p>
        </w:tc>
      </w:tr>
      <w:tr w:rsidR="007956D0" w:rsidRPr="007956D0" w:rsidTr="008D26C8">
        <w:tc>
          <w:tcPr>
            <w:tcW w:w="656" w:type="dxa"/>
          </w:tcPr>
          <w:p w:rsidR="00B06A65" w:rsidRPr="007956D0" w:rsidRDefault="00B06A65" w:rsidP="008D26C8">
            <w:pPr>
              <w:spacing w:after="0" w:line="240" w:lineRule="auto"/>
              <w:jc w:val="center"/>
              <w:rPr>
                <w:rFonts w:ascii="Arial" w:hAnsi="Arial" w:cs="Arial"/>
                <w:b/>
                <w:noProof/>
              </w:rPr>
            </w:pPr>
            <w:r w:rsidRPr="007956D0">
              <w:rPr>
                <w:rFonts w:ascii="Arial" w:hAnsi="Arial" w:cs="Arial"/>
                <w:b/>
                <w:noProof/>
              </w:rPr>
              <w:t>9.1</w:t>
            </w:r>
          </w:p>
        </w:tc>
        <w:tc>
          <w:tcPr>
            <w:tcW w:w="7283" w:type="dxa"/>
            <w:tcBorders>
              <w:top w:val="single" w:sz="12" w:space="0" w:color="auto"/>
              <w:left w:val="single" w:sz="12" w:space="0" w:color="auto"/>
              <w:bottom w:val="single" w:sz="4" w:space="0" w:color="auto"/>
              <w:right w:val="single" w:sz="12" w:space="0" w:color="auto"/>
            </w:tcBorders>
          </w:tcPr>
          <w:p w:rsidR="00B06A65" w:rsidRPr="007956D0" w:rsidRDefault="00B06A65" w:rsidP="008D26C8">
            <w:pPr>
              <w:pStyle w:val="NoSpacing"/>
              <w:spacing w:line="276" w:lineRule="auto"/>
              <w:jc w:val="center"/>
              <w:rPr>
                <w:rFonts w:ascii="Arial" w:hAnsi="Arial" w:cs="Arial"/>
                <w:noProof/>
              </w:rPr>
            </w:pPr>
            <w:r w:rsidRPr="007956D0">
              <w:rPr>
                <w:rFonts w:ascii="Arial" w:hAnsi="Arial" w:cs="Arial"/>
                <w:noProof/>
              </w:rPr>
              <w:t>Ponuđeni procentualni iznos za obračun koncesione naknade</w:t>
            </w:r>
          </w:p>
        </w:tc>
        <w:tc>
          <w:tcPr>
            <w:tcW w:w="1637" w:type="dxa"/>
            <w:tcBorders>
              <w:top w:val="single" w:sz="12" w:space="0" w:color="auto"/>
              <w:left w:val="single" w:sz="12" w:space="0" w:color="auto"/>
              <w:right w:val="single" w:sz="12" w:space="0" w:color="auto"/>
            </w:tcBorders>
          </w:tcPr>
          <w:p w:rsidR="00B06A65" w:rsidRPr="007956D0" w:rsidRDefault="00B06A65" w:rsidP="008D26C8">
            <w:pPr>
              <w:pStyle w:val="NoSpacing"/>
              <w:spacing w:line="276" w:lineRule="auto"/>
              <w:jc w:val="center"/>
              <w:rPr>
                <w:rFonts w:ascii="Arial" w:hAnsi="Arial" w:cs="Arial"/>
                <w:b/>
                <w:noProof/>
              </w:rPr>
            </w:pPr>
            <w:r w:rsidRPr="007956D0">
              <w:rPr>
                <w:rFonts w:ascii="Arial" w:hAnsi="Arial" w:cs="Arial"/>
                <w:b/>
                <w:noProof/>
              </w:rPr>
              <w:t>40</w:t>
            </w:r>
          </w:p>
        </w:tc>
      </w:tr>
      <w:tr w:rsidR="007956D0" w:rsidRPr="007956D0" w:rsidTr="008D26C8">
        <w:trPr>
          <w:trHeight w:val="285"/>
        </w:trPr>
        <w:tc>
          <w:tcPr>
            <w:tcW w:w="656" w:type="dxa"/>
          </w:tcPr>
          <w:p w:rsidR="00B06A65" w:rsidRPr="007956D0" w:rsidRDefault="00B06A65" w:rsidP="008D26C8">
            <w:pPr>
              <w:spacing w:after="0" w:line="240" w:lineRule="auto"/>
              <w:jc w:val="center"/>
              <w:rPr>
                <w:rFonts w:ascii="Arial" w:hAnsi="Arial" w:cs="Arial"/>
                <w:b/>
                <w:noProof/>
              </w:rPr>
            </w:pPr>
            <w:r w:rsidRPr="007956D0">
              <w:rPr>
                <w:rFonts w:ascii="Arial" w:hAnsi="Arial" w:cs="Arial"/>
                <w:b/>
                <w:noProof/>
              </w:rPr>
              <w:t>9.2</w:t>
            </w:r>
          </w:p>
        </w:tc>
        <w:tc>
          <w:tcPr>
            <w:tcW w:w="7283" w:type="dxa"/>
            <w:tcBorders>
              <w:left w:val="single" w:sz="12" w:space="0" w:color="auto"/>
              <w:bottom w:val="single" w:sz="4" w:space="0" w:color="auto"/>
              <w:right w:val="single" w:sz="12" w:space="0" w:color="auto"/>
            </w:tcBorders>
          </w:tcPr>
          <w:p w:rsidR="00B06A65" w:rsidRPr="007956D0" w:rsidRDefault="00B06A65" w:rsidP="008D26C8">
            <w:pPr>
              <w:pStyle w:val="NoSpacing"/>
              <w:spacing w:line="276" w:lineRule="auto"/>
              <w:jc w:val="center"/>
              <w:rPr>
                <w:rFonts w:ascii="Arial" w:hAnsi="Arial" w:cs="Arial"/>
                <w:noProof/>
              </w:rPr>
            </w:pPr>
            <w:r w:rsidRPr="007956D0">
              <w:rPr>
                <w:rFonts w:ascii="Arial" w:hAnsi="Arial" w:cs="Arial"/>
                <w:noProof/>
              </w:rPr>
              <w:t>Ponuđeni obim godišnje rudarske proizvodnje</w:t>
            </w:r>
          </w:p>
        </w:tc>
        <w:tc>
          <w:tcPr>
            <w:tcW w:w="1637" w:type="dxa"/>
            <w:tcBorders>
              <w:left w:val="single" w:sz="12" w:space="0" w:color="auto"/>
              <w:right w:val="single" w:sz="12" w:space="0" w:color="auto"/>
            </w:tcBorders>
          </w:tcPr>
          <w:p w:rsidR="00B06A65" w:rsidRPr="007956D0" w:rsidRDefault="00B06A65" w:rsidP="008D26C8">
            <w:pPr>
              <w:pStyle w:val="NoSpacing"/>
              <w:spacing w:line="276" w:lineRule="auto"/>
              <w:jc w:val="center"/>
              <w:rPr>
                <w:rFonts w:ascii="Arial" w:hAnsi="Arial" w:cs="Arial"/>
                <w:b/>
                <w:noProof/>
              </w:rPr>
            </w:pPr>
            <w:r w:rsidRPr="007956D0">
              <w:rPr>
                <w:rFonts w:ascii="Arial" w:hAnsi="Arial" w:cs="Arial"/>
                <w:b/>
                <w:noProof/>
              </w:rPr>
              <w:t>20</w:t>
            </w:r>
          </w:p>
        </w:tc>
      </w:tr>
      <w:tr w:rsidR="007956D0" w:rsidRPr="007956D0" w:rsidTr="008D26C8">
        <w:trPr>
          <w:trHeight w:val="285"/>
        </w:trPr>
        <w:tc>
          <w:tcPr>
            <w:tcW w:w="656" w:type="dxa"/>
          </w:tcPr>
          <w:p w:rsidR="00B06A65" w:rsidRPr="007956D0" w:rsidRDefault="00B06A65" w:rsidP="008D26C8">
            <w:pPr>
              <w:spacing w:after="0" w:line="240" w:lineRule="auto"/>
              <w:jc w:val="center"/>
              <w:rPr>
                <w:rFonts w:ascii="Arial" w:hAnsi="Arial" w:cs="Arial"/>
                <w:b/>
                <w:noProof/>
              </w:rPr>
            </w:pPr>
            <w:r w:rsidRPr="007956D0">
              <w:rPr>
                <w:rFonts w:ascii="Arial" w:hAnsi="Arial" w:cs="Arial"/>
                <w:b/>
                <w:noProof/>
              </w:rPr>
              <w:t>9.3</w:t>
            </w:r>
          </w:p>
        </w:tc>
        <w:tc>
          <w:tcPr>
            <w:tcW w:w="7283" w:type="dxa"/>
            <w:tcBorders>
              <w:left w:val="single" w:sz="12" w:space="0" w:color="auto"/>
              <w:right w:val="single" w:sz="12" w:space="0" w:color="auto"/>
            </w:tcBorders>
          </w:tcPr>
          <w:p w:rsidR="00B06A65" w:rsidRPr="007956D0" w:rsidRDefault="00B06A65" w:rsidP="008D26C8">
            <w:pPr>
              <w:pStyle w:val="NoSpacing"/>
              <w:spacing w:line="276" w:lineRule="auto"/>
              <w:jc w:val="center"/>
              <w:rPr>
                <w:rFonts w:ascii="Arial" w:hAnsi="Arial" w:cs="Arial"/>
                <w:noProof/>
              </w:rPr>
            </w:pPr>
            <w:r w:rsidRPr="007956D0">
              <w:rPr>
                <w:rFonts w:ascii="Arial" w:hAnsi="Arial" w:cs="Arial"/>
                <w:noProof/>
              </w:rPr>
              <w:t>Reference ponuđača</w:t>
            </w:r>
          </w:p>
        </w:tc>
        <w:tc>
          <w:tcPr>
            <w:tcW w:w="1637" w:type="dxa"/>
            <w:tcBorders>
              <w:left w:val="single" w:sz="12" w:space="0" w:color="auto"/>
              <w:right w:val="single" w:sz="12" w:space="0" w:color="auto"/>
            </w:tcBorders>
          </w:tcPr>
          <w:p w:rsidR="00B06A65" w:rsidRPr="007956D0" w:rsidRDefault="00B06A65" w:rsidP="008D26C8">
            <w:pPr>
              <w:pStyle w:val="NoSpacing"/>
              <w:spacing w:line="276" w:lineRule="auto"/>
              <w:jc w:val="center"/>
              <w:rPr>
                <w:rFonts w:ascii="Arial" w:hAnsi="Arial" w:cs="Arial"/>
                <w:b/>
                <w:noProof/>
              </w:rPr>
            </w:pPr>
            <w:r w:rsidRPr="007956D0">
              <w:rPr>
                <w:rFonts w:ascii="Arial" w:hAnsi="Arial" w:cs="Arial"/>
                <w:b/>
                <w:noProof/>
              </w:rPr>
              <w:t>15</w:t>
            </w:r>
          </w:p>
        </w:tc>
      </w:tr>
      <w:tr w:rsidR="007956D0" w:rsidRPr="007956D0" w:rsidTr="008D26C8">
        <w:trPr>
          <w:trHeight w:val="285"/>
        </w:trPr>
        <w:tc>
          <w:tcPr>
            <w:tcW w:w="656" w:type="dxa"/>
          </w:tcPr>
          <w:p w:rsidR="00B06A65" w:rsidRPr="007956D0" w:rsidRDefault="00B06A65" w:rsidP="008D26C8">
            <w:pPr>
              <w:spacing w:after="0" w:line="240" w:lineRule="auto"/>
              <w:jc w:val="center"/>
              <w:rPr>
                <w:rFonts w:ascii="Arial" w:hAnsi="Arial" w:cs="Arial"/>
                <w:b/>
                <w:noProof/>
              </w:rPr>
            </w:pPr>
            <w:r w:rsidRPr="007956D0">
              <w:rPr>
                <w:rFonts w:ascii="Arial" w:hAnsi="Arial" w:cs="Arial"/>
                <w:b/>
                <w:noProof/>
              </w:rPr>
              <w:t>9.4</w:t>
            </w:r>
          </w:p>
        </w:tc>
        <w:tc>
          <w:tcPr>
            <w:tcW w:w="7283" w:type="dxa"/>
            <w:tcBorders>
              <w:left w:val="single" w:sz="12" w:space="0" w:color="auto"/>
              <w:right w:val="single" w:sz="12" w:space="0" w:color="auto"/>
            </w:tcBorders>
          </w:tcPr>
          <w:p w:rsidR="00B06A65" w:rsidRPr="007956D0" w:rsidRDefault="00B06A65" w:rsidP="008D26C8">
            <w:pPr>
              <w:pStyle w:val="NoSpacing"/>
              <w:spacing w:line="276" w:lineRule="auto"/>
              <w:jc w:val="center"/>
              <w:rPr>
                <w:rFonts w:ascii="Arial" w:hAnsi="Arial" w:cs="Arial"/>
                <w:noProof/>
              </w:rPr>
            </w:pPr>
            <w:r w:rsidRPr="007956D0">
              <w:rPr>
                <w:rFonts w:ascii="Arial" w:hAnsi="Arial" w:cs="Arial"/>
                <w:noProof/>
              </w:rPr>
              <w:t>Finansijski aspekt - prosječni bruto prihod u posljednje tri godine</w:t>
            </w:r>
          </w:p>
        </w:tc>
        <w:tc>
          <w:tcPr>
            <w:tcW w:w="1637" w:type="dxa"/>
            <w:tcBorders>
              <w:left w:val="single" w:sz="12" w:space="0" w:color="auto"/>
              <w:right w:val="single" w:sz="12" w:space="0" w:color="auto"/>
            </w:tcBorders>
          </w:tcPr>
          <w:p w:rsidR="00B06A65" w:rsidRPr="007956D0" w:rsidRDefault="00B06A65" w:rsidP="008D26C8">
            <w:pPr>
              <w:pStyle w:val="NoSpacing"/>
              <w:spacing w:line="276" w:lineRule="auto"/>
              <w:jc w:val="center"/>
              <w:rPr>
                <w:rFonts w:ascii="Arial" w:hAnsi="Arial" w:cs="Arial"/>
                <w:b/>
                <w:noProof/>
              </w:rPr>
            </w:pPr>
            <w:r w:rsidRPr="007956D0">
              <w:rPr>
                <w:rFonts w:ascii="Arial" w:hAnsi="Arial" w:cs="Arial"/>
                <w:b/>
                <w:noProof/>
              </w:rPr>
              <w:t>10</w:t>
            </w:r>
          </w:p>
        </w:tc>
      </w:tr>
      <w:tr w:rsidR="007956D0" w:rsidRPr="007956D0" w:rsidTr="008D26C8">
        <w:trPr>
          <w:trHeight w:val="257"/>
        </w:trPr>
        <w:tc>
          <w:tcPr>
            <w:tcW w:w="656" w:type="dxa"/>
          </w:tcPr>
          <w:p w:rsidR="00B06A65" w:rsidRPr="007956D0" w:rsidRDefault="00B06A65" w:rsidP="008D26C8">
            <w:pPr>
              <w:spacing w:after="0" w:line="240" w:lineRule="auto"/>
              <w:jc w:val="center"/>
              <w:rPr>
                <w:rFonts w:ascii="Arial" w:hAnsi="Arial" w:cs="Arial"/>
                <w:b/>
                <w:noProof/>
              </w:rPr>
            </w:pPr>
            <w:r w:rsidRPr="007956D0">
              <w:rPr>
                <w:rFonts w:ascii="Arial" w:hAnsi="Arial" w:cs="Arial"/>
                <w:b/>
                <w:noProof/>
              </w:rPr>
              <w:t>9.5</w:t>
            </w:r>
          </w:p>
        </w:tc>
        <w:tc>
          <w:tcPr>
            <w:tcW w:w="7283" w:type="dxa"/>
            <w:tcBorders>
              <w:left w:val="single" w:sz="12" w:space="0" w:color="auto"/>
              <w:bottom w:val="single" w:sz="12" w:space="0" w:color="auto"/>
              <w:right w:val="single" w:sz="12" w:space="0" w:color="auto"/>
            </w:tcBorders>
          </w:tcPr>
          <w:p w:rsidR="00B06A65" w:rsidRPr="007956D0" w:rsidRDefault="00B06A65" w:rsidP="008D26C8">
            <w:pPr>
              <w:pStyle w:val="NoSpacing"/>
              <w:spacing w:line="276" w:lineRule="auto"/>
              <w:jc w:val="center"/>
              <w:rPr>
                <w:rFonts w:ascii="Arial" w:hAnsi="Arial" w:cs="Arial"/>
                <w:noProof/>
              </w:rPr>
            </w:pPr>
            <w:r w:rsidRPr="007956D0">
              <w:rPr>
                <w:rFonts w:ascii="Arial" w:hAnsi="Arial" w:cs="Arial"/>
                <w:noProof/>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rsidR="00B06A65" w:rsidRPr="007956D0" w:rsidRDefault="00B06A65" w:rsidP="008D26C8">
            <w:pPr>
              <w:pStyle w:val="NoSpacing"/>
              <w:spacing w:line="276" w:lineRule="auto"/>
              <w:jc w:val="center"/>
              <w:rPr>
                <w:rFonts w:ascii="Arial" w:hAnsi="Arial" w:cs="Arial"/>
                <w:b/>
                <w:noProof/>
              </w:rPr>
            </w:pPr>
            <w:r w:rsidRPr="007956D0">
              <w:rPr>
                <w:rFonts w:ascii="Arial" w:hAnsi="Arial" w:cs="Arial"/>
                <w:b/>
                <w:noProof/>
              </w:rPr>
              <w:t>15</w:t>
            </w:r>
          </w:p>
        </w:tc>
      </w:tr>
    </w:tbl>
    <w:p w:rsidR="00760267" w:rsidRPr="007956D0" w:rsidRDefault="00760267" w:rsidP="00760267">
      <w:pPr>
        <w:pStyle w:val="Heading2"/>
        <w:spacing w:before="0" w:after="0" w:line="240" w:lineRule="auto"/>
        <w:ind w:left="1080"/>
        <w:rPr>
          <w:b/>
          <w:noProof/>
        </w:rPr>
      </w:pPr>
    </w:p>
    <w:p w:rsidR="00D620F2" w:rsidRPr="007956D0" w:rsidRDefault="00D620F2" w:rsidP="005B518B">
      <w:pPr>
        <w:pStyle w:val="Heading2"/>
        <w:numPr>
          <w:ilvl w:val="1"/>
          <w:numId w:val="18"/>
        </w:numPr>
        <w:spacing w:before="0" w:after="0" w:line="240" w:lineRule="auto"/>
        <w:rPr>
          <w:b/>
          <w:noProof/>
        </w:rPr>
      </w:pPr>
      <w:r w:rsidRPr="007956D0">
        <w:rPr>
          <w:b/>
          <w:noProof/>
        </w:rPr>
        <w:t>Ponuđeni procentualni iznos za obračun koncesione naknade</w:t>
      </w:r>
      <w:bookmarkEnd w:id="33"/>
      <w:bookmarkEnd w:id="34"/>
    </w:p>
    <w:p w:rsidR="00D021C0" w:rsidRPr="007956D0" w:rsidRDefault="00D021C0" w:rsidP="00D021C0">
      <w:pPr>
        <w:spacing w:after="0" w:line="240" w:lineRule="auto"/>
        <w:rPr>
          <w:rFonts w:ascii="Arial" w:hAnsi="Arial" w:cs="Arial"/>
        </w:rPr>
      </w:pPr>
    </w:p>
    <w:p w:rsidR="00D620F2" w:rsidRPr="007956D0" w:rsidRDefault="00D620F2" w:rsidP="00D021C0">
      <w:pPr>
        <w:spacing w:after="0" w:line="240" w:lineRule="auto"/>
        <w:jc w:val="both"/>
        <w:rPr>
          <w:rFonts w:ascii="Arial" w:hAnsi="Arial" w:cs="Arial"/>
          <w:noProof/>
        </w:rPr>
      </w:pPr>
      <w:r w:rsidRPr="007956D0">
        <w:rPr>
          <w:rFonts w:ascii="Arial" w:hAnsi="Arial" w:cs="Arial"/>
          <w:b/>
          <w:noProof/>
        </w:rPr>
        <w:t xml:space="preserve">Tačkom </w:t>
      </w:r>
      <w:r w:rsidR="00E21B44" w:rsidRPr="007956D0">
        <w:rPr>
          <w:rFonts w:ascii="Arial" w:hAnsi="Arial" w:cs="Arial"/>
          <w:b/>
          <w:noProof/>
        </w:rPr>
        <w:t>8</w:t>
      </w:r>
      <w:r w:rsidRPr="007956D0">
        <w:rPr>
          <w:rFonts w:ascii="Arial" w:hAnsi="Arial" w:cs="Arial"/>
          <w:b/>
          <w:noProof/>
        </w:rPr>
        <w:t>.1.2 Koncesionog akta – Pripadnost grupi ležišta</w:t>
      </w:r>
      <w:r w:rsidRPr="007956D0">
        <w:rPr>
          <w:rFonts w:ascii="Arial" w:hAnsi="Arial" w:cs="Arial"/>
          <w:noProof/>
        </w:rPr>
        <w:t>, je definisano da se ležište tehničko-građevinskog</w:t>
      </w:r>
      <w:r w:rsidR="00D442AC" w:rsidRPr="007956D0">
        <w:rPr>
          <w:rFonts w:ascii="Arial" w:hAnsi="Arial" w:cs="Arial"/>
          <w:noProof/>
        </w:rPr>
        <w:t xml:space="preserve"> kamena </w:t>
      </w:r>
      <w:r w:rsidR="00183B94" w:rsidRPr="007956D0">
        <w:rPr>
          <w:rFonts w:ascii="Arial" w:hAnsi="Arial" w:cs="Arial"/>
          <w:noProof/>
        </w:rPr>
        <w:t>“Velja Gorana”</w:t>
      </w:r>
      <w:r w:rsidRPr="007956D0">
        <w:rPr>
          <w:rFonts w:ascii="Arial" w:hAnsi="Arial" w:cs="Arial"/>
          <w:noProof/>
        </w:rPr>
        <w:t>, na osnovu postojećih karakteristika i očekivanih uslova za eksploataciju, svrstava u treću grupu geogenih ležišta (G</w:t>
      </w:r>
      <w:r w:rsidRPr="007956D0">
        <w:rPr>
          <w:rFonts w:ascii="Arial" w:hAnsi="Arial" w:cs="Arial"/>
          <w:noProof/>
          <w:vertAlign w:val="subscript"/>
        </w:rPr>
        <w:t>3</w:t>
      </w:r>
      <w:r w:rsidRPr="007956D0">
        <w:rPr>
          <w:rFonts w:ascii="Arial" w:hAnsi="Arial" w:cs="Arial"/>
          <w:noProof/>
        </w:rPr>
        <w:t>).</w:t>
      </w:r>
    </w:p>
    <w:p w:rsidR="00D021C0" w:rsidRPr="007956D0" w:rsidRDefault="00D021C0" w:rsidP="00D021C0">
      <w:pPr>
        <w:spacing w:after="0" w:line="240" w:lineRule="auto"/>
        <w:jc w:val="both"/>
        <w:rPr>
          <w:rFonts w:ascii="Arial" w:hAnsi="Arial" w:cs="Arial"/>
          <w:noProof/>
        </w:rPr>
      </w:pPr>
    </w:p>
    <w:p w:rsidR="00787A0E" w:rsidRPr="007956D0" w:rsidRDefault="00D620F2" w:rsidP="00D021C0">
      <w:pPr>
        <w:spacing w:after="0" w:line="240" w:lineRule="auto"/>
        <w:jc w:val="both"/>
        <w:rPr>
          <w:rFonts w:ascii="Arial" w:hAnsi="Arial" w:cs="Arial"/>
          <w:noProof/>
        </w:rPr>
      </w:pPr>
      <w:r w:rsidRPr="007956D0">
        <w:rPr>
          <w:rFonts w:ascii="Arial" w:hAnsi="Arial" w:cs="Arial"/>
          <w:noProof/>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Pr="007956D0">
        <w:rPr>
          <w:rFonts w:ascii="Arial" w:hAnsi="Arial" w:cs="Arial"/>
          <w:b/>
          <w:noProof/>
        </w:rPr>
        <w:t>7%</w:t>
      </w:r>
      <w:r w:rsidRPr="007956D0">
        <w:rPr>
          <w:rFonts w:ascii="Arial" w:hAnsi="Arial" w:cs="Arial"/>
          <w:noProof/>
        </w:rPr>
        <w:t xml:space="preserve"> od tržišne vrijednosti bilansnih ili eksploatacionih rezervi tehničko-građevinskog kamena, odnosno, ukupnog tržišnog proizvoda, za koncesioni period za eksploataciju od </w:t>
      </w:r>
      <w:r w:rsidR="00A95535" w:rsidRPr="007956D0">
        <w:rPr>
          <w:rFonts w:ascii="Arial" w:hAnsi="Arial" w:cs="Arial"/>
          <w:noProof/>
        </w:rPr>
        <w:t xml:space="preserve">28 </w:t>
      </w:r>
      <w:r w:rsidRPr="007956D0">
        <w:rPr>
          <w:rFonts w:ascii="Arial" w:hAnsi="Arial" w:cs="Arial"/>
          <w:noProof/>
        </w:rPr>
        <w:t>godin</w:t>
      </w:r>
      <w:r w:rsidR="00A95535" w:rsidRPr="007956D0">
        <w:rPr>
          <w:rFonts w:ascii="Arial" w:hAnsi="Arial" w:cs="Arial"/>
          <w:noProof/>
        </w:rPr>
        <w:t>a</w:t>
      </w:r>
      <w:r w:rsidR="00C6688C" w:rsidRPr="007956D0">
        <w:rPr>
          <w:rFonts w:ascii="Arial" w:hAnsi="Arial" w:cs="Arial"/>
          <w:noProof/>
        </w:rPr>
        <w:t>.</w:t>
      </w: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Ponuđači mogu ponuditi procentni iznos tržišne vrijednosti bilansnih ili eksploatacioni</w:t>
      </w:r>
      <w:r w:rsidR="00A95535" w:rsidRPr="007956D0">
        <w:rPr>
          <w:rFonts w:ascii="Arial" w:hAnsi="Arial" w:cs="Arial"/>
          <w:noProof/>
        </w:rPr>
        <w:t>h rezervi tehničko-građevinskog</w:t>
      </w:r>
      <w:r w:rsidR="00B530BE" w:rsidRPr="007956D0">
        <w:rPr>
          <w:rFonts w:ascii="Arial" w:hAnsi="Arial" w:cs="Arial"/>
          <w:noProof/>
        </w:rPr>
        <w:t xml:space="preserve"> kamena koji</w:t>
      </w:r>
      <w:r w:rsidRPr="007956D0">
        <w:rPr>
          <w:rFonts w:ascii="Arial" w:hAnsi="Arial" w:cs="Arial"/>
          <w:noProof/>
        </w:rPr>
        <w:t xml:space="preserve"> je </w:t>
      </w:r>
      <w:r w:rsidR="00A8364D" w:rsidRPr="007956D0">
        <w:rPr>
          <w:rFonts w:ascii="Arial" w:hAnsi="Arial" w:cs="Arial"/>
          <w:lang w:val="sr-Latn-CS"/>
        </w:rPr>
        <w:t xml:space="preserve">jednak ili </w:t>
      </w:r>
      <w:r w:rsidRPr="007956D0">
        <w:rPr>
          <w:rFonts w:ascii="Arial" w:hAnsi="Arial" w:cs="Arial"/>
          <w:noProof/>
        </w:rPr>
        <w:t>veći od 7%.</w:t>
      </w:r>
    </w:p>
    <w:p w:rsidR="00D021C0" w:rsidRPr="007956D0" w:rsidRDefault="00D021C0" w:rsidP="00D021C0">
      <w:pPr>
        <w:spacing w:after="0" w:line="240" w:lineRule="auto"/>
        <w:jc w:val="both"/>
        <w:rPr>
          <w:rFonts w:ascii="Arial" w:hAnsi="Arial" w:cs="Arial"/>
          <w:noProof/>
        </w:rPr>
      </w:pPr>
    </w:p>
    <w:p w:rsidR="00B06A65" w:rsidRPr="007956D0" w:rsidRDefault="00B06A65" w:rsidP="00B06A65">
      <w:pPr>
        <w:spacing w:before="120" w:after="0" w:line="240" w:lineRule="auto"/>
        <w:jc w:val="both"/>
        <w:rPr>
          <w:rFonts w:ascii="Arial" w:hAnsi="Arial" w:cs="Arial"/>
          <w:noProof/>
        </w:rPr>
      </w:pPr>
      <w:r w:rsidRPr="007956D0">
        <w:rPr>
          <w:rFonts w:ascii="Arial" w:hAnsi="Arial" w:cs="Arial"/>
          <w:noProof/>
        </w:rPr>
        <w:t>Ovaj kriterijum se izračunava na sljedeći način:</w:t>
      </w:r>
    </w:p>
    <w:p w:rsidR="00B06A65" w:rsidRPr="007956D0" w:rsidRDefault="00B06A65" w:rsidP="00B06A65">
      <w:pPr>
        <w:spacing w:before="120" w:after="0" w:line="240" w:lineRule="auto"/>
        <w:jc w:val="both"/>
        <w:rPr>
          <w:rFonts w:ascii="Arial" w:hAnsi="Arial" w:cs="Arial"/>
          <w:b/>
          <w:noProof/>
        </w:rPr>
      </w:pPr>
      <w:r w:rsidRPr="007956D0">
        <w:rPr>
          <w:rFonts w:ascii="Arial" w:hAnsi="Arial" w:cs="Arial"/>
          <w:b/>
          <w:noProof/>
        </w:rPr>
        <w:lastRenderedPageBreak/>
        <w:t>Kriterijum: P % / MP % x 40,</w:t>
      </w:r>
    </w:p>
    <w:p w:rsidR="00B06A65" w:rsidRPr="007956D0" w:rsidRDefault="00B06A65" w:rsidP="00B06A65">
      <w:pPr>
        <w:spacing w:before="120" w:after="0" w:line="240" w:lineRule="auto"/>
        <w:jc w:val="both"/>
        <w:rPr>
          <w:rFonts w:ascii="Arial" w:hAnsi="Arial" w:cs="Arial"/>
          <w:noProof/>
        </w:rPr>
      </w:pPr>
      <w:r w:rsidRPr="007956D0">
        <w:rPr>
          <w:rFonts w:ascii="Arial" w:hAnsi="Arial" w:cs="Arial"/>
          <w:noProof/>
        </w:rPr>
        <w:t>gdje:</w:t>
      </w:r>
    </w:p>
    <w:p w:rsidR="00B06A65" w:rsidRPr="007956D0" w:rsidRDefault="00B06A65" w:rsidP="00B06A65">
      <w:pPr>
        <w:spacing w:after="0" w:line="240" w:lineRule="auto"/>
        <w:jc w:val="both"/>
        <w:rPr>
          <w:rFonts w:ascii="Arial" w:hAnsi="Arial" w:cs="Arial"/>
          <w:noProof/>
        </w:rPr>
      </w:pPr>
      <w:r w:rsidRPr="007956D0">
        <w:rPr>
          <w:rFonts w:ascii="Arial" w:hAnsi="Arial" w:cs="Arial"/>
          <w:noProof/>
        </w:rPr>
        <w:t>P % - označava % ponuđača</w:t>
      </w:r>
    </w:p>
    <w:p w:rsidR="00B06A65" w:rsidRPr="007956D0" w:rsidRDefault="00B06A65" w:rsidP="00B06A65">
      <w:pPr>
        <w:spacing w:after="0" w:line="240" w:lineRule="auto"/>
        <w:jc w:val="both"/>
        <w:rPr>
          <w:rFonts w:ascii="Arial" w:hAnsi="Arial" w:cs="Arial"/>
          <w:noProof/>
        </w:rPr>
      </w:pPr>
      <w:r w:rsidRPr="007956D0">
        <w:rPr>
          <w:rFonts w:ascii="Arial" w:hAnsi="Arial" w:cs="Arial"/>
          <w:noProof/>
        </w:rPr>
        <w:t>MP % - označava maksimalno ponuđeni % na tenderu</w:t>
      </w:r>
    </w:p>
    <w:p w:rsidR="00B06A65" w:rsidRPr="007956D0" w:rsidRDefault="00B06A65" w:rsidP="00B06A65">
      <w:pPr>
        <w:spacing w:after="0" w:line="240" w:lineRule="auto"/>
        <w:jc w:val="both"/>
        <w:rPr>
          <w:rFonts w:ascii="Arial" w:hAnsi="Arial" w:cs="Arial"/>
          <w:noProof/>
        </w:rPr>
      </w:pPr>
      <w:r w:rsidRPr="007956D0">
        <w:rPr>
          <w:rFonts w:ascii="Arial" w:hAnsi="Arial" w:cs="Arial"/>
          <w:b/>
          <w:noProof/>
        </w:rPr>
        <w:t>40</w:t>
      </w:r>
      <w:r w:rsidRPr="007956D0">
        <w:rPr>
          <w:rFonts w:ascii="Arial" w:hAnsi="Arial" w:cs="Arial"/>
          <w:noProof/>
        </w:rPr>
        <w:t xml:space="preserve"> – broj bodova za ovaj kriterijum</w:t>
      </w:r>
    </w:p>
    <w:p w:rsidR="00D021C0" w:rsidRPr="007956D0" w:rsidRDefault="00D021C0" w:rsidP="00D021C0">
      <w:pPr>
        <w:spacing w:after="0" w:line="240" w:lineRule="auto"/>
        <w:jc w:val="both"/>
        <w:rPr>
          <w:rFonts w:ascii="Arial" w:hAnsi="Arial" w:cs="Arial"/>
          <w:noProof/>
        </w:rPr>
      </w:pPr>
    </w:p>
    <w:p w:rsidR="00D620F2" w:rsidRPr="007956D0" w:rsidRDefault="00E21B44" w:rsidP="00D021C0">
      <w:pPr>
        <w:pStyle w:val="Heading2"/>
        <w:numPr>
          <w:ilvl w:val="1"/>
          <w:numId w:val="0"/>
        </w:numPr>
        <w:spacing w:before="0" w:after="0" w:line="240" w:lineRule="auto"/>
        <w:ind w:left="576" w:hanging="576"/>
        <w:rPr>
          <w:b/>
          <w:noProof/>
        </w:rPr>
      </w:pPr>
      <w:bookmarkStart w:id="35" w:name="_Toc390549917"/>
      <w:bookmarkStart w:id="36" w:name="_Toc402262963"/>
      <w:r w:rsidRPr="007956D0">
        <w:rPr>
          <w:b/>
          <w:noProof/>
        </w:rPr>
        <w:t>9</w:t>
      </w:r>
      <w:r w:rsidR="00D620F2" w:rsidRPr="007956D0">
        <w:rPr>
          <w:b/>
          <w:noProof/>
        </w:rPr>
        <w:t>.2</w:t>
      </w:r>
      <w:r w:rsidR="0064798C" w:rsidRPr="007956D0">
        <w:rPr>
          <w:b/>
          <w:noProof/>
        </w:rPr>
        <w:t>.</w:t>
      </w:r>
      <w:r w:rsidR="00D620F2" w:rsidRPr="007956D0">
        <w:rPr>
          <w:b/>
          <w:noProof/>
        </w:rPr>
        <w:t xml:space="preserve"> Ponuđeni ukupni obim rudarske proizvodnje</w:t>
      </w:r>
      <w:bookmarkEnd w:id="35"/>
      <w:bookmarkEnd w:id="36"/>
    </w:p>
    <w:p w:rsidR="00D021C0" w:rsidRPr="007956D0" w:rsidRDefault="00D021C0" w:rsidP="00D021C0">
      <w:pPr>
        <w:spacing w:after="0" w:line="240" w:lineRule="auto"/>
        <w:jc w:val="both"/>
        <w:rPr>
          <w:rFonts w:ascii="Arial" w:hAnsi="Arial" w:cs="Arial"/>
          <w:b/>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b/>
          <w:noProof/>
        </w:rPr>
        <w:t xml:space="preserve">Tačkom </w:t>
      </w:r>
      <w:r w:rsidR="00544A09" w:rsidRPr="007956D0">
        <w:rPr>
          <w:rFonts w:ascii="Arial" w:hAnsi="Arial" w:cs="Arial"/>
          <w:b/>
          <w:noProof/>
        </w:rPr>
        <w:t>8</w:t>
      </w:r>
      <w:r w:rsidRPr="007956D0">
        <w:rPr>
          <w:rFonts w:ascii="Arial" w:hAnsi="Arial" w:cs="Arial"/>
          <w:b/>
          <w:noProof/>
        </w:rPr>
        <w:t>.1.1 Koncesionog akta - Rezerv</w:t>
      </w:r>
      <w:r w:rsidR="00126DB1" w:rsidRPr="007956D0">
        <w:rPr>
          <w:rFonts w:ascii="Arial" w:hAnsi="Arial" w:cs="Arial"/>
          <w:b/>
          <w:noProof/>
        </w:rPr>
        <w:t>e</w:t>
      </w:r>
      <w:r w:rsidRPr="007956D0">
        <w:rPr>
          <w:rFonts w:ascii="Arial" w:hAnsi="Arial" w:cs="Arial"/>
          <w:b/>
          <w:noProof/>
        </w:rPr>
        <w:t xml:space="preserve"> mineralne sirovine</w:t>
      </w:r>
      <w:r w:rsidRPr="007956D0">
        <w:rPr>
          <w:rFonts w:ascii="Arial" w:hAnsi="Arial" w:cs="Arial"/>
          <w:noProof/>
        </w:rPr>
        <w:t xml:space="preserve">, definisano </w:t>
      </w:r>
      <w:r w:rsidR="00126DB1" w:rsidRPr="007956D0">
        <w:rPr>
          <w:rFonts w:ascii="Arial" w:hAnsi="Arial" w:cs="Arial"/>
          <w:noProof/>
        </w:rPr>
        <w:t xml:space="preserve">je </w:t>
      </w:r>
      <w:r w:rsidRPr="007956D0">
        <w:rPr>
          <w:rFonts w:ascii="Arial" w:hAnsi="Arial" w:cs="Arial"/>
          <w:noProof/>
        </w:rPr>
        <w:t>da</w:t>
      </w:r>
      <w:r w:rsidR="00126DB1" w:rsidRPr="007956D0">
        <w:rPr>
          <w:rFonts w:ascii="Arial" w:hAnsi="Arial" w:cs="Arial"/>
          <w:noProof/>
        </w:rPr>
        <w:t xml:space="preserve"> </w:t>
      </w:r>
      <w:r w:rsidRPr="007956D0">
        <w:rPr>
          <w:rFonts w:ascii="Arial" w:hAnsi="Arial" w:cs="Arial"/>
          <w:noProof/>
        </w:rPr>
        <w:t>potencijalne</w:t>
      </w:r>
      <w:r w:rsidR="00A95535" w:rsidRPr="007956D0">
        <w:rPr>
          <w:rFonts w:ascii="Arial" w:hAnsi="Arial" w:cs="Arial"/>
          <w:noProof/>
        </w:rPr>
        <w:t xml:space="preserve"> (procijenjene)</w:t>
      </w:r>
      <w:r w:rsidRPr="007956D0">
        <w:rPr>
          <w:rFonts w:ascii="Arial" w:hAnsi="Arial" w:cs="Arial"/>
          <w:noProof/>
        </w:rPr>
        <w:t xml:space="preserve"> rezerve pojave tehničko-g</w:t>
      </w:r>
      <w:r w:rsidR="00A95535" w:rsidRPr="007956D0">
        <w:rPr>
          <w:rFonts w:ascii="Arial" w:hAnsi="Arial" w:cs="Arial"/>
          <w:noProof/>
        </w:rPr>
        <w:t>rađevinskog</w:t>
      </w:r>
      <w:r w:rsidR="00D442AC" w:rsidRPr="007956D0">
        <w:rPr>
          <w:rFonts w:ascii="Arial" w:hAnsi="Arial" w:cs="Arial"/>
          <w:noProof/>
        </w:rPr>
        <w:t xml:space="preserve"> kamena </w:t>
      </w:r>
      <w:r w:rsidR="00183B94" w:rsidRPr="007956D0">
        <w:rPr>
          <w:rFonts w:ascii="Arial" w:hAnsi="Arial" w:cs="Arial"/>
          <w:noProof/>
        </w:rPr>
        <w:t>“Velja Gorana”</w:t>
      </w:r>
      <w:r w:rsidRPr="007956D0">
        <w:rPr>
          <w:rFonts w:ascii="Arial" w:hAnsi="Arial" w:cs="Arial"/>
          <w:noProof/>
        </w:rPr>
        <w:t xml:space="preserve"> iznose </w:t>
      </w:r>
      <w:r w:rsidR="001966E1" w:rsidRPr="007956D0">
        <w:rPr>
          <w:rFonts w:ascii="Arial" w:hAnsi="Arial" w:cs="Arial"/>
          <w:noProof/>
        </w:rPr>
        <w:t>3</w:t>
      </w:r>
      <w:r w:rsidRPr="007956D0">
        <w:rPr>
          <w:rFonts w:ascii="Arial" w:hAnsi="Arial" w:cs="Arial"/>
          <w:noProof/>
        </w:rPr>
        <w:t>.</w:t>
      </w:r>
      <w:r w:rsidR="00E842BF" w:rsidRPr="007956D0">
        <w:rPr>
          <w:rFonts w:ascii="Arial" w:hAnsi="Arial" w:cs="Arial"/>
          <w:noProof/>
        </w:rPr>
        <w:t>0</w:t>
      </w:r>
      <w:r w:rsidRPr="007956D0">
        <w:rPr>
          <w:rFonts w:ascii="Arial" w:hAnsi="Arial" w:cs="Arial"/>
          <w:noProof/>
        </w:rPr>
        <w:t>00.000</w:t>
      </w:r>
      <w:r w:rsidR="00A95535" w:rsidRPr="007956D0">
        <w:rPr>
          <w:rFonts w:ascii="Arial" w:hAnsi="Arial" w:cs="Arial"/>
          <w:noProof/>
        </w:rPr>
        <w:t xml:space="preserve"> </w:t>
      </w:r>
      <w:r w:rsidRPr="007956D0">
        <w:rPr>
          <w:rFonts w:ascii="Arial" w:hAnsi="Arial" w:cs="Arial"/>
          <w:noProof/>
        </w:rPr>
        <w:t>m</w:t>
      </w:r>
      <w:r w:rsidRPr="007956D0">
        <w:rPr>
          <w:rFonts w:ascii="Arial" w:hAnsi="Arial" w:cs="Arial"/>
          <w:noProof/>
          <w:vertAlign w:val="superscript"/>
        </w:rPr>
        <w:t>3</w:t>
      </w:r>
      <w:r w:rsidRPr="007956D0">
        <w:rPr>
          <w:rFonts w:ascii="Arial" w:hAnsi="Arial" w:cs="Arial"/>
          <w:noProof/>
        </w:rPr>
        <w:t xml:space="preserve"> č.s.m. Prema minimalnom godišnjem kapacitetu od 20.000 m</w:t>
      </w:r>
      <w:r w:rsidRPr="007956D0">
        <w:rPr>
          <w:rFonts w:ascii="Arial" w:hAnsi="Arial" w:cs="Arial"/>
          <w:noProof/>
          <w:vertAlign w:val="superscript"/>
        </w:rPr>
        <w:t>3</w:t>
      </w:r>
      <w:r w:rsidRPr="007956D0">
        <w:rPr>
          <w:rFonts w:ascii="Arial" w:hAnsi="Arial" w:cs="Arial"/>
          <w:noProof/>
        </w:rPr>
        <w:t xml:space="preserve"> č.s.m. tehničko-gra</w:t>
      </w:r>
      <w:r w:rsidR="00D442AC" w:rsidRPr="007956D0">
        <w:rPr>
          <w:rFonts w:ascii="Arial" w:hAnsi="Arial" w:cs="Arial"/>
          <w:noProof/>
        </w:rPr>
        <w:t xml:space="preserve">đevinskog kamena, za period od </w:t>
      </w:r>
      <w:r w:rsidR="00A95535" w:rsidRPr="007956D0">
        <w:rPr>
          <w:rFonts w:ascii="Arial" w:hAnsi="Arial" w:cs="Arial"/>
          <w:noProof/>
        </w:rPr>
        <w:t>28</w:t>
      </w:r>
      <w:r w:rsidRPr="007956D0">
        <w:rPr>
          <w:rFonts w:ascii="Arial" w:hAnsi="Arial" w:cs="Arial"/>
          <w:noProof/>
        </w:rPr>
        <w:t xml:space="preserve"> godin</w:t>
      </w:r>
      <w:r w:rsidR="00A95535" w:rsidRPr="007956D0">
        <w:rPr>
          <w:rFonts w:ascii="Arial" w:hAnsi="Arial" w:cs="Arial"/>
          <w:noProof/>
        </w:rPr>
        <w:t>a</w:t>
      </w:r>
      <w:r w:rsidRPr="007956D0">
        <w:rPr>
          <w:rFonts w:ascii="Arial" w:hAnsi="Arial" w:cs="Arial"/>
          <w:noProof/>
        </w:rPr>
        <w:t xml:space="preserve"> (period koncesije za</w:t>
      </w:r>
      <w:r w:rsidR="00D442AC" w:rsidRPr="007956D0">
        <w:rPr>
          <w:rFonts w:ascii="Arial" w:hAnsi="Arial" w:cs="Arial"/>
          <w:noProof/>
        </w:rPr>
        <w:t xml:space="preserve"> eksploataciju) otkopalo bi se </w:t>
      </w:r>
      <w:r w:rsidR="00A95535" w:rsidRPr="007956D0">
        <w:rPr>
          <w:rFonts w:ascii="Arial" w:hAnsi="Arial" w:cs="Arial"/>
          <w:noProof/>
        </w:rPr>
        <w:t>560</w:t>
      </w:r>
      <w:r w:rsidRPr="007956D0">
        <w:rPr>
          <w:rFonts w:ascii="Arial" w:hAnsi="Arial" w:cs="Arial"/>
          <w:noProof/>
        </w:rPr>
        <w:t>.000 m</w:t>
      </w:r>
      <w:r w:rsidRPr="007956D0">
        <w:rPr>
          <w:rFonts w:ascii="Arial" w:hAnsi="Arial" w:cs="Arial"/>
          <w:noProof/>
          <w:vertAlign w:val="superscript"/>
        </w:rPr>
        <w:t>3</w:t>
      </w:r>
      <w:r w:rsidRPr="007956D0">
        <w:rPr>
          <w:rFonts w:ascii="Arial" w:hAnsi="Arial" w:cs="Arial"/>
          <w:noProof/>
        </w:rPr>
        <w:t xml:space="preserve"> č.s.m tehničko-građevinskog kamena. Od 20.000 m</w:t>
      </w:r>
      <w:r w:rsidRPr="007956D0">
        <w:rPr>
          <w:rFonts w:ascii="Arial" w:hAnsi="Arial" w:cs="Arial"/>
          <w:noProof/>
          <w:vertAlign w:val="superscript"/>
        </w:rPr>
        <w:t>3</w:t>
      </w:r>
      <w:r w:rsidRPr="007956D0">
        <w:rPr>
          <w:rFonts w:ascii="Arial" w:hAnsi="Arial" w:cs="Arial"/>
          <w:noProof/>
        </w:rPr>
        <w:t xml:space="preserve"> č.s.m. na godišnjem nivou</w:t>
      </w:r>
      <w:r w:rsidR="00A95535" w:rsidRPr="007956D0">
        <w:rPr>
          <w:rFonts w:ascii="Arial" w:hAnsi="Arial" w:cs="Arial"/>
          <w:noProof/>
        </w:rPr>
        <w:t>,</w:t>
      </w:r>
      <w:r w:rsidRPr="007956D0">
        <w:rPr>
          <w:rFonts w:ascii="Arial" w:hAnsi="Arial" w:cs="Arial"/>
          <w:noProof/>
        </w:rPr>
        <w:t xml:space="preserve"> u procesu dalje obrade sirovine dobilo bi se 30.000 m</w:t>
      </w:r>
      <w:r w:rsidRPr="007956D0">
        <w:rPr>
          <w:rFonts w:ascii="Arial" w:hAnsi="Arial" w:cs="Arial"/>
          <w:noProof/>
          <w:vertAlign w:val="superscript"/>
        </w:rPr>
        <w:t>3</w:t>
      </w:r>
      <w:r w:rsidRPr="007956D0">
        <w:rPr>
          <w:rFonts w:ascii="Arial" w:hAnsi="Arial" w:cs="Arial"/>
          <w:noProof/>
        </w:rPr>
        <w:t xml:space="preserve"> agregata različitih</w:t>
      </w:r>
      <w:r w:rsidR="00D442AC" w:rsidRPr="007956D0">
        <w:rPr>
          <w:rFonts w:ascii="Arial" w:hAnsi="Arial" w:cs="Arial"/>
          <w:noProof/>
        </w:rPr>
        <w:t xml:space="preserve"> frakcija, što bi za period od </w:t>
      </w:r>
      <w:r w:rsidR="00A95535" w:rsidRPr="007956D0">
        <w:rPr>
          <w:rFonts w:ascii="Arial" w:hAnsi="Arial" w:cs="Arial"/>
          <w:noProof/>
        </w:rPr>
        <w:t>28</w:t>
      </w:r>
      <w:r w:rsidR="00D442AC" w:rsidRPr="007956D0">
        <w:rPr>
          <w:rFonts w:ascii="Arial" w:hAnsi="Arial" w:cs="Arial"/>
          <w:noProof/>
        </w:rPr>
        <w:t xml:space="preserve"> godin</w:t>
      </w:r>
      <w:r w:rsidR="00A95535" w:rsidRPr="007956D0">
        <w:rPr>
          <w:rFonts w:ascii="Arial" w:hAnsi="Arial" w:cs="Arial"/>
          <w:noProof/>
        </w:rPr>
        <w:t>a</w:t>
      </w:r>
      <w:r w:rsidR="00D442AC" w:rsidRPr="007956D0">
        <w:rPr>
          <w:rFonts w:ascii="Arial" w:hAnsi="Arial" w:cs="Arial"/>
          <w:noProof/>
        </w:rPr>
        <w:t xml:space="preserve"> iznosilo </w:t>
      </w:r>
      <w:r w:rsidR="00A95535" w:rsidRPr="007956D0">
        <w:rPr>
          <w:rFonts w:ascii="Arial" w:hAnsi="Arial" w:cs="Arial"/>
          <w:noProof/>
        </w:rPr>
        <w:t>840</w:t>
      </w:r>
      <w:r w:rsidRPr="007956D0">
        <w:rPr>
          <w:rFonts w:ascii="Arial" w:hAnsi="Arial" w:cs="Arial"/>
          <w:noProof/>
        </w:rPr>
        <w:t>.000 m</w:t>
      </w:r>
      <w:r w:rsidRPr="007956D0">
        <w:rPr>
          <w:rFonts w:ascii="Arial" w:hAnsi="Arial" w:cs="Arial"/>
          <w:noProof/>
          <w:vertAlign w:val="superscript"/>
        </w:rPr>
        <w:t>3</w:t>
      </w:r>
      <w:r w:rsidRPr="007956D0">
        <w:rPr>
          <w:rFonts w:ascii="Arial" w:hAnsi="Arial" w:cs="Arial"/>
          <w:noProof/>
        </w:rPr>
        <w:t xml:space="preserve"> tržišnog proizvoda.</w:t>
      </w:r>
    </w:p>
    <w:p w:rsidR="00D021C0" w:rsidRPr="007956D0" w:rsidRDefault="00D021C0" w:rsidP="00D021C0">
      <w:pPr>
        <w:spacing w:after="0" w:line="240" w:lineRule="auto"/>
        <w:jc w:val="both"/>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Ponuđači mogu ponuditi obim godišnje rudarske proizvodnje koji je jednak ili veći od 20.000 m</w:t>
      </w:r>
      <w:r w:rsidRPr="007956D0">
        <w:rPr>
          <w:rFonts w:ascii="Arial" w:hAnsi="Arial" w:cs="Arial"/>
          <w:noProof/>
          <w:vertAlign w:val="superscript"/>
        </w:rPr>
        <w:t>3</w:t>
      </w:r>
      <w:r w:rsidRPr="007956D0">
        <w:rPr>
          <w:rFonts w:ascii="Arial" w:hAnsi="Arial" w:cs="Arial"/>
          <w:noProof/>
        </w:rPr>
        <w:t xml:space="preserve"> č.s.m. </w:t>
      </w:r>
    </w:p>
    <w:p w:rsidR="00A700A0" w:rsidRPr="007956D0" w:rsidRDefault="00A700A0" w:rsidP="00D021C0">
      <w:pPr>
        <w:spacing w:after="0" w:line="240" w:lineRule="auto"/>
        <w:jc w:val="both"/>
        <w:rPr>
          <w:rFonts w:ascii="Arial" w:hAnsi="Arial" w:cs="Arial"/>
          <w:noProof/>
        </w:rPr>
      </w:pPr>
    </w:p>
    <w:p w:rsidR="00B06A65" w:rsidRPr="007956D0" w:rsidRDefault="00B06A65" w:rsidP="00B06A65">
      <w:pPr>
        <w:spacing w:before="120" w:after="0" w:line="240" w:lineRule="auto"/>
        <w:jc w:val="both"/>
        <w:rPr>
          <w:rFonts w:ascii="Arial" w:hAnsi="Arial" w:cs="Arial"/>
          <w:noProof/>
          <w:lang w:val="pl-PL"/>
        </w:rPr>
      </w:pPr>
      <w:bookmarkStart w:id="37" w:name="_Toc390549918"/>
      <w:r w:rsidRPr="007956D0">
        <w:rPr>
          <w:rFonts w:ascii="Arial" w:hAnsi="Arial" w:cs="Arial"/>
          <w:noProof/>
          <w:lang w:val="pl-PL"/>
        </w:rPr>
        <w:t>Ovaj kriterijum se izračunava na sljedeći način:</w:t>
      </w:r>
    </w:p>
    <w:p w:rsidR="00B06A65" w:rsidRPr="007956D0" w:rsidRDefault="00B06A65" w:rsidP="00B06A65">
      <w:pPr>
        <w:spacing w:before="120" w:after="0" w:line="240" w:lineRule="auto"/>
        <w:rPr>
          <w:rFonts w:ascii="Arial" w:hAnsi="Arial" w:cs="Arial"/>
          <w:b/>
          <w:bCs/>
          <w:noProof/>
          <w:lang w:val="pl-PL"/>
        </w:rPr>
      </w:pPr>
      <w:r w:rsidRPr="007956D0">
        <w:rPr>
          <w:rFonts w:ascii="Arial" w:hAnsi="Arial" w:cs="Arial"/>
          <w:b/>
          <w:bCs/>
          <w:noProof/>
          <w:lang w:val="pl-PL"/>
        </w:rPr>
        <w:t>Kriterijum: PGP/MPGP x 20,</w:t>
      </w:r>
    </w:p>
    <w:p w:rsidR="00B06A65" w:rsidRPr="007956D0" w:rsidRDefault="00B06A65" w:rsidP="00B06A65">
      <w:pPr>
        <w:spacing w:before="120" w:after="0" w:line="240" w:lineRule="auto"/>
        <w:rPr>
          <w:rFonts w:ascii="Arial" w:hAnsi="Arial" w:cs="Arial"/>
          <w:bCs/>
          <w:noProof/>
          <w:lang w:val="pl-PL"/>
        </w:rPr>
      </w:pPr>
      <w:r w:rsidRPr="007956D0">
        <w:rPr>
          <w:rFonts w:ascii="Arial" w:hAnsi="Arial" w:cs="Arial"/>
          <w:bCs/>
          <w:noProof/>
          <w:lang w:val="pl-PL"/>
        </w:rPr>
        <w:t>gdje:</w:t>
      </w:r>
    </w:p>
    <w:p w:rsidR="00B06A65" w:rsidRPr="007956D0" w:rsidRDefault="00B06A65" w:rsidP="00B06A65">
      <w:pPr>
        <w:spacing w:after="0" w:line="240" w:lineRule="auto"/>
        <w:rPr>
          <w:rFonts w:ascii="Arial" w:hAnsi="Arial" w:cs="Arial"/>
          <w:bCs/>
          <w:noProof/>
          <w:lang w:val="pl-PL"/>
        </w:rPr>
      </w:pPr>
      <w:r w:rsidRPr="007956D0">
        <w:rPr>
          <w:rFonts w:ascii="Arial" w:hAnsi="Arial" w:cs="Arial"/>
          <w:bCs/>
          <w:noProof/>
          <w:lang w:val="pl-PL"/>
        </w:rPr>
        <w:t>PGP - označava ponuđenu godišnju proizvodnju</w:t>
      </w:r>
    </w:p>
    <w:p w:rsidR="00B06A65" w:rsidRPr="007956D0" w:rsidRDefault="00B06A65" w:rsidP="00B06A65">
      <w:pPr>
        <w:spacing w:after="0" w:line="240" w:lineRule="auto"/>
        <w:rPr>
          <w:rFonts w:ascii="Arial" w:hAnsi="Arial" w:cs="Arial"/>
          <w:bCs/>
          <w:noProof/>
          <w:lang w:val="pl-PL"/>
        </w:rPr>
      </w:pPr>
      <w:r w:rsidRPr="007956D0">
        <w:rPr>
          <w:rFonts w:ascii="Arial" w:hAnsi="Arial" w:cs="Arial"/>
          <w:bCs/>
          <w:noProof/>
          <w:lang w:val="pl-PL"/>
        </w:rPr>
        <w:t>MPGP - označava maskimalno ponuđenu godišnju proizvodnju ponuđenu na tenderu</w:t>
      </w:r>
    </w:p>
    <w:p w:rsidR="00B06A65" w:rsidRPr="007956D0" w:rsidRDefault="00B06A65" w:rsidP="00B06A65">
      <w:pPr>
        <w:spacing w:after="0" w:line="240" w:lineRule="auto"/>
        <w:rPr>
          <w:rFonts w:ascii="Arial" w:hAnsi="Arial" w:cs="Arial"/>
          <w:bCs/>
          <w:noProof/>
          <w:lang w:val="pl-PL"/>
        </w:rPr>
      </w:pPr>
      <w:r w:rsidRPr="007956D0">
        <w:rPr>
          <w:rFonts w:ascii="Arial" w:hAnsi="Arial" w:cs="Arial"/>
          <w:b/>
          <w:bCs/>
          <w:noProof/>
          <w:lang w:val="pl-PL"/>
        </w:rPr>
        <w:t>20</w:t>
      </w:r>
      <w:r w:rsidRPr="007956D0">
        <w:rPr>
          <w:rFonts w:ascii="Arial" w:hAnsi="Arial" w:cs="Arial"/>
          <w:bCs/>
          <w:noProof/>
          <w:lang w:val="pl-PL"/>
        </w:rPr>
        <w:t xml:space="preserve"> – broj bodova za ovaj kriterijum</w:t>
      </w:r>
    </w:p>
    <w:p w:rsidR="00D021C0" w:rsidRPr="007956D0" w:rsidRDefault="00D021C0" w:rsidP="00D021C0">
      <w:pPr>
        <w:spacing w:after="0" w:line="240" w:lineRule="auto"/>
        <w:rPr>
          <w:rFonts w:ascii="Arial" w:hAnsi="Arial" w:cs="Arial"/>
          <w:bCs/>
          <w:noProof/>
        </w:rPr>
      </w:pPr>
    </w:p>
    <w:p w:rsidR="00D620F2" w:rsidRPr="007956D0" w:rsidRDefault="00E21B44" w:rsidP="00D021C0">
      <w:pPr>
        <w:pStyle w:val="Heading2"/>
        <w:numPr>
          <w:ilvl w:val="1"/>
          <w:numId w:val="0"/>
        </w:numPr>
        <w:spacing w:before="0" w:after="0" w:line="240" w:lineRule="auto"/>
        <w:rPr>
          <w:b/>
          <w:noProof/>
        </w:rPr>
      </w:pPr>
      <w:bookmarkStart w:id="38" w:name="_Toc401751594"/>
      <w:bookmarkStart w:id="39" w:name="_Toc401849820"/>
      <w:bookmarkStart w:id="40" w:name="_Toc402262965"/>
      <w:bookmarkEnd w:id="37"/>
      <w:r w:rsidRPr="007956D0">
        <w:rPr>
          <w:b/>
          <w:noProof/>
        </w:rPr>
        <w:t>9</w:t>
      </w:r>
      <w:r w:rsidR="00F92896" w:rsidRPr="007956D0">
        <w:rPr>
          <w:b/>
          <w:noProof/>
        </w:rPr>
        <w:t>.</w:t>
      </w:r>
      <w:r w:rsidR="005F6969" w:rsidRPr="007956D0">
        <w:rPr>
          <w:b/>
          <w:noProof/>
        </w:rPr>
        <w:t>3</w:t>
      </w:r>
      <w:r w:rsidR="0064798C" w:rsidRPr="007956D0">
        <w:rPr>
          <w:b/>
          <w:noProof/>
        </w:rPr>
        <w:t xml:space="preserve">. </w:t>
      </w:r>
      <w:r w:rsidR="00D620F2" w:rsidRPr="007956D0">
        <w:rPr>
          <w:b/>
          <w:noProof/>
        </w:rPr>
        <w:t xml:space="preserve">Reference ponuđača </w:t>
      </w:r>
      <w:bookmarkEnd w:id="38"/>
      <w:bookmarkEnd w:id="39"/>
      <w:bookmarkEnd w:id="40"/>
    </w:p>
    <w:p w:rsidR="00D021C0" w:rsidRPr="007956D0" w:rsidRDefault="00D021C0" w:rsidP="00D021C0">
      <w:pPr>
        <w:spacing w:after="0" w:line="240" w:lineRule="auto"/>
        <w:jc w:val="both"/>
        <w:rPr>
          <w:rFonts w:ascii="Arial" w:hAnsi="Arial" w:cs="Arial"/>
          <w:noProof/>
        </w:rPr>
      </w:pPr>
    </w:p>
    <w:p w:rsidR="00760267" w:rsidRPr="007956D0" w:rsidRDefault="00760267" w:rsidP="00760267">
      <w:pPr>
        <w:spacing w:before="120" w:after="0" w:line="240" w:lineRule="auto"/>
        <w:jc w:val="both"/>
        <w:rPr>
          <w:rFonts w:ascii="Arial" w:hAnsi="Arial" w:cs="Arial"/>
          <w:noProof/>
        </w:rPr>
      </w:pPr>
      <w:r w:rsidRPr="007956D0">
        <w:rPr>
          <w:rFonts w:ascii="Arial"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priprema mineralne sirovine - drobljenje, prosijavanje, izvođenje svih vrsta istražnih radova, izvođenje bušenja i miniranja), zatim  djelatnosti proizvodnje betona i betonske galanterije, proizvodnje asfalta,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 plasman proizvoda i usluga na tržište.</w:t>
      </w:r>
    </w:p>
    <w:p w:rsidR="00760267" w:rsidRPr="007956D0" w:rsidRDefault="00760267" w:rsidP="00760267">
      <w:pPr>
        <w:spacing w:before="120" w:after="0" w:line="240" w:lineRule="auto"/>
        <w:jc w:val="both"/>
        <w:rPr>
          <w:rFonts w:ascii="Arial" w:hAnsi="Arial" w:cs="Arial"/>
          <w:noProof/>
        </w:rPr>
      </w:pPr>
      <w:r w:rsidRPr="007956D0">
        <w:rPr>
          <w:rFonts w:ascii="Arial" w:hAnsi="Arial" w:cs="Arial"/>
          <w:noProof/>
        </w:rPr>
        <w:t>U proceduru bodovanja ulaze reference potvrđene od strane Tenderske komisije.</w:t>
      </w:r>
    </w:p>
    <w:p w:rsidR="00760267" w:rsidRPr="007956D0" w:rsidRDefault="00760267" w:rsidP="00760267">
      <w:pPr>
        <w:spacing w:before="120" w:after="0" w:line="240" w:lineRule="auto"/>
        <w:jc w:val="both"/>
        <w:rPr>
          <w:rFonts w:ascii="Arial" w:hAnsi="Arial" w:cs="Arial"/>
          <w:noProof/>
        </w:rPr>
      </w:pPr>
      <w:r w:rsidRPr="007956D0">
        <w:rPr>
          <w:rFonts w:ascii="Arial" w:hAnsi="Arial" w:cs="Arial"/>
          <w:noProof/>
        </w:rPr>
        <w:t>Ponuđač koji ne dokaže ili ne dostavi reference dobija 0 bodova.</w:t>
      </w:r>
    </w:p>
    <w:p w:rsidR="00760267" w:rsidRPr="007956D0" w:rsidRDefault="00760267" w:rsidP="00760267">
      <w:pPr>
        <w:spacing w:before="120" w:after="0" w:line="240" w:lineRule="auto"/>
        <w:jc w:val="both"/>
        <w:rPr>
          <w:rFonts w:ascii="Arial" w:hAnsi="Arial" w:cs="Arial"/>
          <w:b/>
          <w:noProof/>
        </w:rPr>
      </w:pPr>
      <w:r w:rsidRPr="007956D0">
        <w:rPr>
          <w:rFonts w:ascii="Arial" w:hAnsi="Arial" w:cs="Arial"/>
          <w:b/>
          <w:noProof/>
        </w:rPr>
        <w:t>Kriterijum: BPR / NBPR x 15,</w:t>
      </w:r>
    </w:p>
    <w:p w:rsidR="00760267" w:rsidRPr="007956D0" w:rsidRDefault="00760267" w:rsidP="00760267">
      <w:pPr>
        <w:spacing w:before="120" w:after="0" w:line="240" w:lineRule="auto"/>
        <w:jc w:val="both"/>
        <w:rPr>
          <w:rFonts w:ascii="Arial" w:hAnsi="Arial" w:cs="Arial"/>
          <w:b/>
          <w:noProof/>
        </w:rPr>
      </w:pPr>
      <w:r w:rsidRPr="007956D0">
        <w:rPr>
          <w:rFonts w:ascii="Arial" w:hAnsi="Arial" w:cs="Arial"/>
          <w:b/>
          <w:noProof/>
        </w:rPr>
        <w:t>gdje:</w:t>
      </w:r>
    </w:p>
    <w:p w:rsidR="00760267" w:rsidRPr="007956D0" w:rsidRDefault="00760267" w:rsidP="00760267">
      <w:pPr>
        <w:spacing w:before="120" w:after="0" w:line="240" w:lineRule="auto"/>
        <w:jc w:val="both"/>
        <w:rPr>
          <w:rFonts w:ascii="Arial" w:hAnsi="Arial" w:cs="Arial"/>
          <w:noProof/>
        </w:rPr>
      </w:pPr>
      <w:r w:rsidRPr="007956D0">
        <w:rPr>
          <w:rFonts w:ascii="Arial" w:hAnsi="Arial" w:cs="Arial"/>
          <w:b/>
          <w:noProof/>
        </w:rPr>
        <w:t>BPR</w:t>
      </w:r>
      <w:r w:rsidRPr="007956D0">
        <w:rPr>
          <w:rFonts w:ascii="Arial" w:hAnsi="Arial" w:cs="Arial"/>
          <w:noProof/>
        </w:rPr>
        <w:t>- označava broj potvrđenih referenci</w:t>
      </w:r>
    </w:p>
    <w:p w:rsidR="00760267" w:rsidRPr="007956D0" w:rsidRDefault="00760267" w:rsidP="00760267">
      <w:pPr>
        <w:spacing w:before="120" w:after="0" w:line="240" w:lineRule="auto"/>
        <w:jc w:val="both"/>
        <w:rPr>
          <w:rFonts w:ascii="Arial" w:hAnsi="Arial" w:cs="Arial"/>
          <w:noProof/>
        </w:rPr>
      </w:pPr>
      <w:r w:rsidRPr="007956D0">
        <w:rPr>
          <w:rFonts w:ascii="Arial" w:hAnsi="Arial" w:cs="Arial"/>
          <w:b/>
          <w:noProof/>
        </w:rPr>
        <w:t>NBPR</w:t>
      </w:r>
      <w:r w:rsidRPr="007956D0">
        <w:rPr>
          <w:rFonts w:ascii="Arial" w:hAnsi="Arial" w:cs="Arial"/>
          <w:noProof/>
        </w:rPr>
        <w:t>- označava najveći broj potvrđenih referenci</w:t>
      </w:r>
    </w:p>
    <w:p w:rsidR="00760267" w:rsidRPr="007956D0" w:rsidRDefault="00760267" w:rsidP="00760267">
      <w:pPr>
        <w:spacing w:before="120" w:after="0" w:line="240" w:lineRule="auto"/>
        <w:jc w:val="both"/>
        <w:rPr>
          <w:rFonts w:ascii="Arial" w:hAnsi="Arial" w:cs="Arial"/>
          <w:noProof/>
        </w:rPr>
      </w:pPr>
      <w:r w:rsidRPr="007956D0">
        <w:rPr>
          <w:rFonts w:ascii="Arial" w:hAnsi="Arial" w:cs="Arial"/>
          <w:b/>
          <w:noProof/>
        </w:rPr>
        <w:t>15</w:t>
      </w:r>
      <w:r w:rsidRPr="007956D0">
        <w:rPr>
          <w:rFonts w:ascii="Arial" w:hAnsi="Arial" w:cs="Arial"/>
          <w:noProof/>
        </w:rPr>
        <w:t>- označava broj bodova za ovaj kriterijum</w:t>
      </w:r>
    </w:p>
    <w:p w:rsidR="00760267" w:rsidRPr="007956D0" w:rsidRDefault="00760267" w:rsidP="00760267">
      <w:pPr>
        <w:spacing w:before="120" w:after="0" w:line="240" w:lineRule="auto"/>
        <w:jc w:val="both"/>
        <w:rPr>
          <w:rFonts w:ascii="Arial" w:hAnsi="Arial" w:cs="Arial"/>
          <w:noProof/>
        </w:rPr>
      </w:pPr>
      <w:r w:rsidRPr="007956D0">
        <w:rPr>
          <w:rFonts w:ascii="Arial" w:hAnsi="Arial" w:cs="Arial"/>
          <w:noProof/>
        </w:rPr>
        <w:t>Ponuđač sa najvećim brojem potvrđenih referenci dobija maksimalni broj bodova, dok ostali ponuđači dobijaju proporcionalno manji broj bodova u skladu sa navedenom formulom.</w:t>
      </w:r>
    </w:p>
    <w:p w:rsidR="00D021C0" w:rsidRPr="007956D0" w:rsidRDefault="00D021C0" w:rsidP="00D021C0">
      <w:pPr>
        <w:spacing w:after="0" w:line="240" w:lineRule="auto"/>
        <w:jc w:val="both"/>
        <w:rPr>
          <w:rFonts w:ascii="Arial" w:eastAsia="Times New Roman" w:hAnsi="Arial" w:cs="Arial"/>
          <w:noProof/>
        </w:rPr>
      </w:pPr>
    </w:p>
    <w:p w:rsidR="00D620F2" w:rsidRPr="007956D0" w:rsidRDefault="00E21B44" w:rsidP="00D021C0">
      <w:pPr>
        <w:pStyle w:val="Heading2"/>
        <w:numPr>
          <w:ilvl w:val="1"/>
          <w:numId w:val="0"/>
        </w:numPr>
        <w:suppressAutoHyphens w:val="0"/>
        <w:spacing w:before="0" w:after="0" w:line="240" w:lineRule="auto"/>
        <w:rPr>
          <w:rFonts w:eastAsia="Calibri"/>
          <w:b/>
          <w:noProof/>
        </w:rPr>
      </w:pPr>
      <w:r w:rsidRPr="007956D0">
        <w:rPr>
          <w:rFonts w:eastAsia="Calibri"/>
          <w:b/>
          <w:noProof/>
        </w:rPr>
        <w:lastRenderedPageBreak/>
        <w:t>9</w:t>
      </w:r>
      <w:r w:rsidR="00F92896" w:rsidRPr="007956D0">
        <w:rPr>
          <w:rFonts w:eastAsia="Calibri"/>
          <w:b/>
          <w:noProof/>
        </w:rPr>
        <w:t>.</w:t>
      </w:r>
      <w:r w:rsidR="005F6969" w:rsidRPr="007956D0">
        <w:rPr>
          <w:rFonts w:eastAsia="Calibri"/>
          <w:b/>
          <w:noProof/>
        </w:rPr>
        <w:t>4</w:t>
      </w:r>
      <w:r w:rsidR="0064798C" w:rsidRPr="007956D0">
        <w:rPr>
          <w:rFonts w:eastAsia="Calibri"/>
          <w:b/>
          <w:noProof/>
        </w:rPr>
        <w:t xml:space="preserve">. </w:t>
      </w:r>
      <w:r w:rsidR="00D620F2" w:rsidRPr="007956D0">
        <w:rPr>
          <w:rFonts w:eastAsia="Calibri"/>
          <w:b/>
          <w:noProof/>
        </w:rPr>
        <w:t>Finansijski aspekt</w:t>
      </w:r>
      <w:r w:rsidR="00B530BE" w:rsidRPr="007956D0">
        <w:rPr>
          <w:rFonts w:eastAsia="Calibri"/>
          <w:b/>
          <w:noProof/>
        </w:rPr>
        <w:t xml:space="preserve"> </w:t>
      </w:r>
      <w:r w:rsidR="00D620F2" w:rsidRPr="007956D0">
        <w:rPr>
          <w:rFonts w:eastAsia="Calibri"/>
          <w:b/>
          <w:noProof/>
        </w:rPr>
        <w:t>-</w:t>
      </w:r>
      <w:r w:rsidR="00B530BE" w:rsidRPr="007956D0">
        <w:rPr>
          <w:rFonts w:eastAsia="Calibri"/>
          <w:b/>
          <w:noProof/>
        </w:rPr>
        <w:t xml:space="preserve"> </w:t>
      </w:r>
      <w:r w:rsidR="00D620F2" w:rsidRPr="007956D0">
        <w:rPr>
          <w:rFonts w:eastAsia="Calibri"/>
          <w:b/>
          <w:noProof/>
        </w:rPr>
        <w:t>Prosječni bruto prihod ponuđača u posljednje tri godine</w:t>
      </w:r>
    </w:p>
    <w:p w:rsidR="00D021C0" w:rsidRPr="007956D0" w:rsidRDefault="00D021C0" w:rsidP="00D021C0">
      <w:pPr>
        <w:spacing w:after="0" w:line="240" w:lineRule="auto"/>
        <w:jc w:val="both"/>
        <w:rPr>
          <w:rFonts w:ascii="Arial" w:hAnsi="Arial" w:cs="Arial"/>
          <w:noProof/>
        </w:rPr>
      </w:pPr>
    </w:p>
    <w:p w:rsidR="00B06A65" w:rsidRPr="007956D0" w:rsidRDefault="00B06A65" w:rsidP="00B06A65">
      <w:pPr>
        <w:spacing w:after="0" w:line="240" w:lineRule="auto"/>
        <w:jc w:val="both"/>
        <w:rPr>
          <w:rFonts w:ascii="Arial" w:hAnsi="Arial" w:cs="Arial"/>
          <w:noProof/>
        </w:rPr>
      </w:pPr>
      <w:r w:rsidRPr="007956D0">
        <w:rPr>
          <w:rFonts w:ascii="Arial" w:hAnsi="Arial" w:cs="Arial"/>
          <w:noProof/>
        </w:rPr>
        <w:t>Ovaj kriterijum se izračunava na sljedeći način:</w:t>
      </w:r>
    </w:p>
    <w:p w:rsidR="00B06A65" w:rsidRPr="007956D0" w:rsidRDefault="00B06A65" w:rsidP="00B06A65">
      <w:pPr>
        <w:spacing w:after="0" w:line="240" w:lineRule="auto"/>
        <w:jc w:val="both"/>
        <w:rPr>
          <w:rFonts w:ascii="Arial" w:hAnsi="Arial" w:cs="Arial"/>
          <w:noProof/>
        </w:rPr>
      </w:pPr>
    </w:p>
    <w:p w:rsidR="00B06A65" w:rsidRPr="007956D0" w:rsidRDefault="00B06A65" w:rsidP="00B06A65">
      <w:pPr>
        <w:spacing w:after="0" w:line="240" w:lineRule="auto"/>
        <w:jc w:val="both"/>
        <w:rPr>
          <w:rFonts w:ascii="Arial" w:hAnsi="Arial" w:cs="Arial"/>
          <w:b/>
          <w:noProof/>
        </w:rPr>
      </w:pPr>
      <w:r w:rsidRPr="007956D0">
        <w:rPr>
          <w:rFonts w:ascii="Arial" w:hAnsi="Arial" w:cs="Arial"/>
          <w:b/>
          <w:noProof/>
        </w:rPr>
        <w:t>Kriterijum: PBP / MBP x 10,</w:t>
      </w:r>
    </w:p>
    <w:p w:rsidR="00B06A65" w:rsidRPr="007956D0" w:rsidRDefault="00B06A65" w:rsidP="00B06A65">
      <w:pPr>
        <w:spacing w:after="0" w:line="240" w:lineRule="auto"/>
        <w:jc w:val="both"/>
        <w:rPr>
          <w:rFonts w:ascii="Arial" w:hAnsi="Arial" w:cs="Arial"/>
          <w:noProof/>
        </w:rPr>
      </w:pPr>
    </w:p>
    <w:p w:rsidR="00B06A65" w:rsidRPr="007956D0" w:rsidRDefault="00B06A65" w:rsidP="00B06A65">
      <w:pPr>
        <w:spacing w:after="0" w:line="240" w:lineRule="auto"/>
        <w:jc w:val="both"/>
        <w:rPr>
          <w:rFonts w:ascii="Arial" w:hAnsi="Arial" w:cs="Arial"/>
          <w:noProof/>
        </w:rPr>
      </w:pPr>
      <w:r w:rsidRPr="007956D0">
        <w:rPr>
          <w:rFonts w:ascii="Arial" w:hAnsi="Arial" w:cs="Arial"/>
          <w:noProof/>
        </w:rPr>
        <w:t>gdje:</w:t>
      </w:r>
    </w:p>
    <w:p w:rsidR="00B06A65" w:rsidRPr="007956D0" w:rsidRDefault="00B06A65" w:rsidP="00B06A65">
      <w:pPr>
        <w:spacing w:after="0" w:line="240" w:lineRule="auto"/>
        <w:jc w:val="both"/>
        <w:rPr>
          <w:rFonts w:ascii="Arial" w:hAnsi="Arial" w:cs="Arial"/>
          <w:noProof/>
        </w:rPr>
      </w:pPr>
    </w:p>
    <w:p w:rsidR="00B06A65" w:rsidRPr="007956D0" w:rsidRDefault="00B06A65" w:rsidP="00B06A65">
      <w:pPr>
        <w:spacing w:after="0" w:line="240" w:lineRule="auto"/>
        <w:jc w:val="both"/>
        <w:rPr>
          <w:rFonts w:ascii="Arial" w:hAnsi="Arial" w:cs="Arial"/>
          <w:noProof/>
        </w:rPr>
      </w:pPr>
      <w:r w:rsidRPr="007956D0">
        <w:rPr>
          <w:rFonts w:ascii="Arial" w:hAnsi="Arial" w:cs="Arial"/>
          <w:b/>
          <w:noProof/>
        </w:rPr>
        <w:t xml:space="preserve">PBP – </w:t>
      </w:r>
      <w:r w:rsidRPr="007956D0">
        <w:rPr>
          <w:rFonts w:ascii="Arial" w:hAnsi="Arial" w:cs="Arial"/>
          <w:noProof/>
        </w:rPr>
        <w:t>označava prosječni bruto prihod ponuđača za posljednje tri godine</w:t>
      </w:r>
    </w:p>
    <w:p w:rsidR="00B06A65" w:rsidRPr="007956D0" w:rsidRDefault="00B06A65" w:rsidP="00B06A65">
      <w:pPr>
        <w:spacing w:after="0" w:line="240" w:lineRule="auto"/>
        <w:jc w:val="both"/>
        <w:rPr>
          <w:rFonts w:ascii="Arial" w:hAnsi="Arial" w:cs="Arial"/>
          <w:noProof/>
          <w:lang w:val="pl-PL"/>
        </w:rPr>
      </w:pPr>
      <w:r w:rsidRPr="007956D0">
        <w:rPr>
          <w:rFonts w:ascii="Arial" w:hAnsi="Arial" w:cs="Arial"/>
          <w:b/>
          <w:noProof/>
          <w:lang w:val="pl-PL"/>
        </w:rPr>
        <w:t>MBP –</w:t>
      </w:r>
      <w:r w:rsidRPr="007956D0">
        <w:rPr>
          <w:rFonts w:ascii="Arial" w:hAnsi="Arial" w:cs="Arial"/>
          <w:noProof/>
          <w:lang w:val="pl-PL"/>
        </w:rPr>
        <w:t xml:space="preserve"> označava maksimalni prosječni bruto prihod za posljednje tri godine od ponuda koje se upoređuju</w:t>
      </w:r>
    </w:p>
    <w:p w:rsidR="00B06A65" w:rsidRPr="007956D0" w:rsidRDefault="00B06A65" w:rsidP="00B06A65">
      <w:pPr>
        <w:spacing w:after="0" w:line="240" w:lineRule="auto"/>
        <w:jc w:val="both"/>
        <w:rPr>
          <w:rFonts w:ascii="Arial" w:hAnsi="Arial" w:cs="Arial"/>
          <w:noProof/>
          <w:lang w:val="pl-PL"/>
        </w:rPr>
      </w:pPr>
      <w:r w:rsidRPr="007956D0">
        <w:rPr>
          <w:rFonts w:ascii="Arial" w:hAnsi="Arial" w:cs="Arial"/>
          <w:b/>
          <w:noProof/>
          <w:lang w:val="pl-PL"/>
        </w:rPr>
        <w:t>10 –</w:t>
      </w:r>
      <w:r w:rsidRPr="007956D0">
        <w:rPr>
          <w:rFonts w:ascii="Arial" w:hAnsi="Arial" w:cs="Arial"/>
          <w:noProof/>
          <w:lang w:val="pl-PL"/>
        </w:rPr>
        <w:t>označava broj bodova po ovom kriterijumu</w:t>
      </w:r>
    </w:p>
    <w:p w:rsidR="00B06A65" w:rsidRPr="007956D0" w:rsidRDefault="00B06A65" w:rsidP="00B06A65">
      <w:pPr>
        <w:spacing w:before="120" w:after="0" w:line="240" w:lineRule="auto"/>
        <w:jc w:val="both"/>
        <w:rPr>
          <w:rFonts w:ascii="Arial" w:hAnsi="Arial" w:cs="Arial"/>
          <w:noProof/>
        </w:rPr>
      </w:pPr>
      <w:r w:rsidRPr="007956D0">
        <w:rPr>
          <w:rFonts w:ascii="Arial" w:hAnsi="Arial" w:cs="Arial"/>
          <w:noProof/>
        </w:rPr>
        <w:t xml:space="preserve">Ukoliko je ponuđač konzorcijum, boduje se finansijska sposobnost svakog člana konzorcijuma. </w:t>
      </w:r>
    </w:p>
    <w:p w:rsidR="00B06A65" w:rsidRPr="007956D0" w:rsidRDefault="00B06A65" w:rsidP="00B06A65">
      <w:pPr>
        <w:spacing w:before="120" w:after="0" w:line="240" w:lineRule="auto"/>
        <w:jc w:val="both"/>
        <w:rPr>
          <w:rFonts w:ascii="Arial" w:hAnsi="Arial" w:cs="Arial"/>
          <w:noProof/>
        </w:rPr>
      </w:pPr>
      <w:r w:rsidRPr="007956D0">
        <w:rPr>
          <w:rFonts w:ascii="Arial" w:hAnsi="Arial" w:cs="Arial"/>
          <w:noProof/>
        </w:rPr>
        <w:t>Za ponuđače koji su registrovani u periodu kraćem od poslednje tri godine, prosjek se određuje po broju godina poslovanja s tim da je jedna godina poslovanja obavezni minimum.</w:t>
      </w:r>
    </w:p>
    <w:p w:rsidR="00D021C0" w:rsidRPr="007956D0" w:rsidRDefault="00D021C0" w:rsidP="00D021C0">
      <w:pPr>
        <w:spacing w:after="0" w:line="240" w:lineRule="auto"/>
        <w:jc w:val="both"/>
        <w:rPr>
          <w:rFonts w:ascii="Arial" w:hAnsi="Arial" w:cs="Arial"/>
          <w:noProof/>
        </w:rPr>
      </w:pPr>
    </w:p>
    <w:p w:rsidR="00D620F2" w:rsidRPr="007956D0" w:rsidRDefault="00E21B44" w:rsidP="00D021C0">
      <w:pPr>
        <w:pStyle w:val="Heading2"/>
        <w:numPr>
          <w:ilvl w:val="1"/>
          <w:numId w:val="0"/>
        </w:numPr>
        <w:suppressAutoHyphens w:val="0"/>
        <w:spacing w:before="0" w:after="0" w:line="240" w:lineRule="auto"/>
        <w:ind w:left="576" w:hanging="576"/>
        <w:rPr>
          <w:rFonts w:eastAsia="Calibri"/>
          <w:b/>
          <w:noProof/>
        </w:rPr>
      </w:pPr>
      <w:bookmarkStart w:id="41" w:name="_Toc436124908"/>
      <w:r w:rsidRPr="007956D0">
        <w:rPr>
          <w:rFonts w:eastAsia="Calibri"/>
          <w:b/>
          <w:noProof/>
        </w:rPr>
        <w:t>9</w:t>
      </w:r>
      <w:r w:rsidR="00F92896" w:rsidRPr="007956D0">
        <w:rPr>
          <w:rFonts w:eastAsia="Calibri"/>
          <w:b/>
          <w:noProof/>
        </w:rPr>
        <w:t>.</w:t>
      </w:r>
      <w:r w:rsidR="00B06A65" w:rsidRPr="007956D0">
        <w:rPr>
          <w:rFonts w:eastAsia="Calibri"/>
          <w:b/>
          <w:noProof/>
        </w:rPr>
        <w:t>5</w:t>
      </w:r>
      <w:r w:rsidR="0064798C" w:rsidRPr="007956D0">
        <w:rPr>
          <w:rFonts w:eastAsia="Calibri"/>
          <w:b/>
          <w:noProof/>
        </w:rPr>
        <w:t xml:space="preserve">. </w:t>
      </w:r>
      <w:r w:rsidR="00D620F2" w:rsidRPr="007956D0">
        <w:rPr>
          <w:rFonts w:eastAsia="Calibri"/>
          <w:b/>
          <w:noProof/>
        </w:rPr>
        <w:t>Kvalitet poslovnog plana i efekti na zapošljavanje i ekonomski razvoj</w:t>
      </w:r>
      <w:bookmarkEnd w:id="41"/>
    </w:p>
    <w:p w:rsidR="00D021C0" w:rsidRPr="007956D0" w:rsidRDefault="00D021C0" w:rsidP="00D021C0">
      <w:pPr>
        <w:spacing w:after="0" w:line="240" w:lineRule="auto"/>
        <w:jc w:val="both"/>
        <w:rPr>
          <w:rFonts w:ascii="Arial" w:hAnsi="Arial" w:cs="Arial"/>
          <w:noProof/>
        </w:rPr>
      </w:pPr>
    </w:p>
    <w:p w:rsidR="00B06A65" w:rsidRPr="007956D0" w:rsidRDefault="00B06A65" w:rsidP="00B06A65">
      <w:pPr>
        <w:spacing w:after="0" w:line="240" w:lineRule="auto"/>
        <w:jc w:val="both"/>
        <w:rPr>
          <w:rFonts w:ascii="Arial" w:hAnsi="Arial" w:cs="Arial"/>
          <w:noProof/>
          <w:lang w:val="pl-PL"/>
        </w:rPr>
      </w:pPr>
      <w:r w:rsidRPr="007956D0">
        <w:rPr>
          <w:rFonts w:ascii="Arial" w:hAnsi="Arial" w:cs="Arial"/>
          <w:noProof/>
          <w:lang w:val="pl-PL"/>
        </w:rPr>
        <w:t>Ponuđač je dužan da u skladu sa parametrima iz Koncesionog akta opiše poslovni plan za realizaciju koncesije i efekte realizacije koncesije na zapošljavanje i ekonomski razvoj.</w:t>
      </w:r>
    </w:p>
    <w:p w:rsidR="00B06A65" w:rsidRPr="007956D0" w:rsidRDefault="00B06A65" w:rsidP="00B06A65">
      <w:pPr>
        <w:spacing w:after="0" w:line="240" w:lineRule="auto"/>
        <w:jc w:val="both"/>
        <w:rPr>
          <w:rFonts w:ascii="Arial" w:hAnsi="Arial" w:cs="Arial"/>
          <w:noProof/>
          <w:lang w:val="pl-PL"/>
        </w:rPr>
      </w:pPr>
    </w:p>
    <w:p w:rsidR="00B06A65" w:rsidRPr="007956D0" w:rsidRDefault="00B06A65" w:rsidP="00B06A65">
      <w:pPr>
        <w:spacing w:after="0" w:line="240" w:lineRule="auto"/>
        <w:jc w:val="both"/>
        <w:rPr>
          <w:rFonts w:ascii="Arial" w:hAnsi="Arial" w:cs="Arial"/>
          <w:noProof/>
          <w:lang w:val="pl-PL"/>
        </w:rPr>
      </w:pPr>
      <w:r w:rsidRPr="007956D0">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rsidR="00B06A65" w:rsidRPr="007956D0" w:rsidRDefault="00B06A65" w:rsidP="00B06A65">
      <w:pPr>
        <w:spacing w:after="0" w:line="240" w:lineRule="auto"/>
        <w:jc w:val="both"/>
        <w:rPr>
          <w:rFonts w:ascii="Arial" w:hAnsi="Arial" w:cs="Arial"/>
          <w:noProof/>
          <w:lang w:val="pl-PL"/>
        </w:rPr>
      </w:pPr>
    </w:p>
    <w:p w:rsidR="00B06A65" w:rsidRPr="007956D0" w:rsidRDefault="00B06A65" w:rsidP="00B06A65">
      <w:pPr>
        <w:spacing w:after="0" w:line="240" w:lineRule="auto"/>
        <w:jc w:val="both"/>
        <w:rPr>
          <w:rFonts w:ascii="Arial" w:hAnsi="Arial" w:cs="Arial"/>
          <w:noProof/>
          <w:lang w:val="pl-PL"/>
        </w:rPr>
      </w:pPr>
      <w:r w:rsidRPr="007956D0">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rsidR="00A700A0" w:rsidRPr="007956D0" w:rsidRDefault="00A700A0" w:rsidP="00A700A0">
      <w:pPr>
        <w:spacing w:after="0" w:line="240" w:lineRule="auto"/>
        <w:jc w:val="both"/>
        <w:rPr>
          <w:rFonts w:ascii="Arial" w:hAnsi="Arial" w:cs="Arial"/>
          <w:noProof/>
        </w:rPr>
      </w:pPr>
    </w:p>
    <w:p w:rsidR="00D620F2" w:rsidRPr="007956D0" w:rsidRDefault="00323187" w:rsidP="005B518B">
      <w:pPr>
        <w:pStyle w:val="Heading1"/>
        <w:numPr>
          <w:ilvl w:val="0"/>
          <w:numId w:val="18"/>
        </w:numPr>
        <w:ind w:left="360"/>
        <w:rPr>
          <w:noProof/>
        </w:rPr>
      </w:pPr>
      <w:bookmarkStart w:id="42" w:name="_Toc390549920"/>
      <w:bookmarkStart w:id="43" w:name="_Toc402262970"/>
      <w:bookmarkStart w:id="44" w:name="_Toc4581265"/>
      <w:r w:rsidRPr="007956D0">
        <w:rPr>
          <w:noProof/>
        </w:rPr>
        <w:t>SPISAK POTREBNE TEHNIČKE DOKUMENTACIJE SA USLOVIMA ZA NJENU IZRADU, ODOBRENJA, SAGLASNOSTI I MIŠLJENJA ZA OBAVLJANJE KONCESIONE DJELATNOSTI</w:t>
      </w:r>
      <w:bookmarkEnd w:id="42"/>
      <w:bookmarkEnd w:id="43"/>
      <w:bookmarkEnd w:id="44"/>
    </w:p>
    <w:p w:rsidR="00A700A0" w:rsidRPr="007956D0" w:rsidRDefault="00A700A0" w:rsidP="00A700A0">
      <w:pPr>
        <w:spacing w:after="0" w:line="240" w:lineRule="auto"/>
        <w:rPr>
          <w:rFonts w:ascii="Arial" w:hAnsi="Arial" w:cs="Arial"/>
          <w:lang w:val="sv-SE"/>
        </w:rPr>
      </w:pPr>
    </w:p>
    <w:p w:rsidR="00D620F2" w:rsidRPr="007956D0" w:rsidRDefault="005F6969" w:rsidP="005B518B">
      <w:pPr>
        <w:pStyle w:val="Heading2"/>
        <w:numPr>
          <w:ilvl w:val="1"/>
          <w:numId w:val="18"/>
        </w:numPr>
        <w:spacing w:before="0" w:after="0" w:line="240" w:lineRule="auto"/>
        <w:rPr>
          <w:b/>
          <w:noProof/>
        </w:rPr>
      </w:pPr>
      <w:bookmarkStart w:id="45" w:name="_Toc402221835"/>
      <w:r w:rsidRPr="007956D0">
        <w:rPr>
          <w:b/>
          <w:noProof/>
        </w:rPr>
        <w:t>D</w:t>
      </w:r>
      <w:r w:rsidR="00A8364D" w:rsidRPr="007956D0">
        <w:rPr>
          <w:b/>
          <w:noProof/>
        </w:rPr>
        <w:t>etaljna geološ</w:t>
      </w:r>
      <w:r w:rsidR="004C52AB" w:rsidRPr="007956D0">
        <w:rPr>
          <w:b/>
          <w:noProof/>
        </w:rPr>
        <w:t>k</w:t>
      </w:r>
      <w:r w:rsidR="00A8364D" w:rsidRPr="007956D0">
        <w:rPr>
          <w:b/>
          <w:noProof/>
        </w:rPr>
        <w:t xml:space="preserve">a </w:t>
      </w:r>
      <w:r w:rsidR="00D620F2" w:rsidRPr="007956D0">
        <w:rPr>
          <w:b/>
          <w:noProof/>
        </w:rPr>
        <w:t>istraživanja</w:t>
      </w:r>
      <w:bookmarkEnd w:id="45"/>
    </w:p>
    <w:p w:rsidR="00A700A0" w:rsidRPr="007956D0" w:rsidRDefault="00A700A0" w:rsidP="00A700A0">
      <w:pPr>
        <w:spacing w:after="0" w:line="240" w:lineRule="auto"/>
        <w:rPr>
          <w:rFonts w:ascii="Arial" w:hAnsi="Arial" w:cs="Arial"/>
        </w:rPr>
      </w:pPr>
    </w:p>
    <w:p w:rsidR="000221CF" w:rsidRPr="007956D0" w:rsidRDefault="000221CF" w:rsidP="00A700A0">
      <w:pPr>
        <w:spacing w:after="0" w:line="240" w:lineRule="auto"/>
        <w:jc w:val="both"/>
        <w:rPr>
          <w:rFonts w:ascii="Arial" w:hAnsi="Arial" w:cs="Arial"/>
          <w:noProof/>
        </w:rPr>
      </w:pPr>
      <w:bookmarkStart w:id="46" w:name="_Toc402221836"/>
      <w:r w:rsidRPr="007956D0">
        <w:rPr>
          <w:rFonts w:ascii="Arial" w:hAnsi="Arial" w:cs="Arial"/>
          <w:noProof/>
        </w:rPr>
        <w:t>Tokom eksploatacije, shodno odredbama Zakona o geološkim istraživanjima, budući Koncesionar je dužan da izvodi geološka istraživanja u cilju povećanja ukupnih rezervi mineralne sirovine.</w:t>
      </w:r>
    </w:p>
    <w:p w:rsidR="000221CF" w:rsidRPr="007956D0" w:rsidRDefault="000221CF" w:rsidP="00A700A0">
      <w:pPr>
        <w:spacing w:after="0" w:line="240" w:lineRule="auto"/>
        <w:jc w:val="both"/>
        <w:rPr>
          <w:rFonts w:ascii="Arial" w:hAnsi="Arial" w:cs="Arial"/>
          <w:noProof/>
        </w:rPr>
      </w:pPr>
      <w:r w:rsidRPr="007956D0">
        <w:rPr>
          <w:rFonts w:ascii="Arial" w:hAnsi="Arial" w:cs="Arial"/>
          <w:noProof/>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rsidR="00544A09" w:rsidRPr="007956D0" w:rsidRDefault="00544A09" w:rsidP="00A700A0">
      <w:pPr>
        <w:spacing w:after="0" w:line="240" w:lineRule="auto"/>
        <w:jc w:val="both"/>
        <w:rPr>
          <w:rFonts w:ascii="Arial" w:hAnsi="Arial" w:cs="Arial"/>
          <w:noProof/>
        </w:rPr>
      </w:pPr>
    </w:p>
    <w:p w:rsidR="00D620F2" w:rsidRPr="007956D0" w:rsidRDefault="005F6969" w:rsidP="005B518B">
      <w:pPr>
        <w:pStyle w:val="Heading2"/>
        <w:numPr>
          <w:ilvl w:val="1"/>
          <w:numId w:val="18"/>
        </w:numPr>
        <w:spacing w:before="0" w:after="0" w:line="240" w:lineRule="auto"/>
        <w:rPr>
          <w:b/>
          <w:noProof/>
        </w:rPr>
      </w:pPr>
      <w:r w:rsidRPr="007956D0">
        <w:rPr>
          <w:b/>
          <w:noProof/>
        </w:rPr>
        <w:t>E</w:t>
      </w:r>
      <w:r w:rsidR="00D620F2" w:rsidRPr="007956D0">
        <w:rPr>
          <w:b/>
          <w:noProof/>
        </w:rPr>
        <w:t>ksploatacij</w:t>
      </w:r>
      <w:r w:rsidRPr="007956D0">
        <w:rPr>
          <w:b/>
          <w:noProof/>
        </w:rPr>
        <w:t>a</w:t>
      </w:r>
      <w:r w:rsidR="00D620F2" w:rsidRPr="007956D0">
        <w:rPr>
          <w:b/>
          <w:noProof/>
        </w:rPr>
        <w:t xml:space="preserve"> mineralne sirovine</w:t>
      </w:r>
      <w:bookmarkEnd w:id="46"/>
    </w:p>
    <w:p w:rsidR="00A700A0" w:rsidRPr="007956D0" w:rsidRDefault="00A700A0" w:rsidP="00A700A0">
      <w:pPr>
        <w:spacing w:after="0" w:line="240" w:lineRule="auto"/>
        <w:rPr>
          <w:rFonts w:ascii="Arial" w:hAnsi="Arial" w:cs="Arial"/>
        </w:rPr>
      </w:pPr>
    </w:p>
    <w:p w:rsidR="00D620F2" w:rsidRPr="007956D0" w:rsidRDefault="00D620F2" w:rsidP="00A700A0">
      <w:pPr>
        <w:pStyle w:val="Heading2"/>
        <w:numPr>
          <w:ilvl w:val="1"/>
          <w:numId w:val="0"/>
        </w:numPr>
        <w:spacing w:before="0" w:after="0" w:line="240" w:lineRule="auto"/>
        <w:ind w:left="576" w:hanging="576"/>
        <w:rPr>
          <w:noProof/>
        </w:rPr>
      </w:pPr>
      <w:bookmarkStart w:id="47" w:name="_Toc402262971"/>
      <w:r w:rsidRPr="007956D0">
        <w:rPr>
          <w:noProof/>
        </w:rPr>
        <w:t>1</w:t>
      </w:r>
      <w:r w:rsidR="00E21B44" w:rsidRPr="007956D0">
        <w:rPr>
          <w:noProof/>
        </w:rPr>
        <w:t>0</w:t>
      </w:r>
      <w:r w:rsidRPr="007956D0">
        <w:rPr>
          <w:noProof/>
        </w:rPr>
        <w:t>.2.1</w:t>
      </w:r>
      <w:r w:rsidR="00781B19" w:rsidRPr="007956D0">
        <w:rPr>
          <w:noProof/>
        </w:rPr>
        <w:t>.</w:t>
      </w:r>
      <w:r w:rsidRPr="007956D0">
        <w:rPr>
          <w:noProof/>
        </w:rPr>
        <w:t xml:space="preserve"> Odobrenje za eksploataciju mineralne sirovine na eksploatacionom polju</w:t>
      </w:r>
      <w:bookmarkEnd w:id="47"/>
    </w:p>
    <w:p w:rsidR="00A700A0" w:rsidRPr="007956D0" w:rsidRDefault="00A700A0" w:rsidP="00A700A0">
      <w:pPr>
        <w:spacing w:after="0" w:line="240" w:lineRule="auto"/>
        <w:jc w:val="both"/>
        <w:rPr>
          <w:rFonts w:ascii="Arial" w:hAnsi="Arial" w:cs="Arial"/>
          <w:noProof/>
        </w:rPr>
      </w:pPr>
    </w:p>
    <w:p w:rsidR="00B6691A" w:rsidRPr="007956D0" w:rsidRDefault="00D620F2" w:rsidP="00A700A0">
      <w:pPr>
        <w:spacing w:after="0" w:line="240" w:lineRule="auto"/>
        <w:jc w:val="both"/>
        <w:rPr>
          <w:rFonts w:ascii="Arial" w:hAnsi="Arial" w:cs="Arial"/>
          <w:noProof/>
        </w:rPr>
      </w:pPr>
      <w:r w:rsidRPr="007956D0">
        <w:rPr>
          <w:rFonts w:ascii="Arial" w:hAnsi="Arial" w:cs="Arial"/>
          <w:noProof/>
        </w:rPr>
        <w:lastRenderedPageBreak/>
        <w:t>Odobrenje za eksploataciju mineralne sirovine na eksploatacionom polju, u skladu sa članom 33 Zakona o rudarstvu, izdaje Ministarstvo ekonomije na zahtjev investitora. Uz zahtjev se dostavlja i sljedeća dokumentacija:</w:t>
      </w:r>
    </w:p>
    <w:p w:rsidR="00D620F2" w:rsidRPr="007956D0" w:rsidRDefault="00D620F2" w:rsidP="005B518B">
      <w:pPr>
        <w:pStyle w:val="ListParagraph"/>
        <w:numPr>
          <w:ilvl w:val="0"/>
          <w:numId w:val="6"/>
        </w:numPr>
        <w:autoSpaceDE w:val="0"/>
        <w:autoSpaceDN w:val="0"/>
        <w:adjustRightInd w:val="0"/>
        <w:spacing w:after="0" w:line="240" w:lineRule="auto"/>
        <w:jc w:val="both"/>
        <w:rPr>
          <w:rFonts w:ascii="Arial" w:hAnsi="Arial" w:cs="Arial"/>
          <w:noProof/>
        </w:rPr>
      </w:pPr>
      <w:r w:rsidRPr="007956D0">
        <w:rPr>
          <w:rFonts w:ascii="Arial" w:hAnsi="Arial" w:cs="Arial"/>
          <w:noProof/>
        </w:rPr>
        <w:t>ugovor o koncesiji;</w:t>
      </w:r>
    </w:p>
    <w:p w:rsidR="00D620F2" w:rsidRPr="007956D0" w:rsidRDefault="00D620F2" w:rsidP="005B518B">
      <w:pPr>
        <w:pStyle w:val="ListParagraph"/>
        <w:numPr>
          <w:ilvl w:val="0"/>
          <w:numId w:val="6"/>
        </w:numPr>
        <w:autoSpaceDE w:val="0"/>
        <w:autoSpaceDN w:val="0"/>
        <w:adjustRightInd w:val="0"/>
        <w:spacing w:after="0" w:line="240" w:lineRule="auto"/>
        <w:jc w:val="both"/>
        <w:rPr>
          <w:rFonts w:ascii="Arial" w:hAnsi="Arial" w:cs="Arial"/>
          <w:noProof/>
        </w:rPr>
      </w:pPr>
      <w:r w:rsidRPr="007956D0">
        <w:rPr>
          <w:rFonts w:ascii="Arial" w:hAnsi="Arial" w:cs="Arial"/>
          <w:noProof/>
        </w:rPr>
        <w:t xml:space="preserve">situaciona karta </w:t>
      </w:r>
      <w:r w:rsidR="00B530BE" w:rsidRPr="007956D0">
        <w:rPr>
          <w:rFonts w:ascii="Arial" w:hAnsi="Arial" w:cs="Arial"/>
          <w:noProof/>
        </w:rPr>
        <w:t>u razmjeri 1:10.000 (</w:t>
      </w:r>
      <w:r w:rsidRPr="007956D0">
        <w:rPr>
          <w:rFonts w:ascii="Arial" w:hAnsi="Arial" w:cs="Arial"/>
          <w:noProof/>
        </w:rPr>
        <w:t>ili većoj) sa ucrtanim granicama eksploatacionog polja, javnim saobraćajnicama, rudarskim radovima i drugim objektima koji se nalaze na eksploatacionom polju, opisom granica, nazivom eksploatacionog polja i naznačenjem opštine na čijoj se teritoriji nalazi;</w:t>
      </w:r>
    </w:p>
    <w:p w:rsidR="00D620F2" w:rsidRPr="007956D0" w:rsidRDefault="00D620F2" w:rsidP="005B518B">
      <w:pPr>
        <w:pStyle w:val="ListParagraph"/>
        <w:numPr>
          <w:ilvl w:val="0"/>
          <w:numId w:val="6"/>
        </w:numPr>
        <w:autoSpaceDE w:val="0"/>
        <w:autoSpaceDN w:val="0"/>
        <w:adjustRightInd w:val="0"/>
        <w:spacing w:after="0" w:line="240" w:lineRule="auto"/>
        <w:jc w:val="both"/>
        <w:rPr>
          <w:rFonts w:ascii="Arial" w:hAnsi="Arial" w:cs="Arial"/>
          <w:noProof/>
        </w:rPr>
      </w:pPr>
      <w:r w:rsidRPr="007956D0">
        <w:rPr>
          <w:rFonts w:ascii="Arial" w:hAnsi="Arial" w:cs="Arial"/>
          <w:noProof/>
        </w:rPr>
        <w:t>potvrdu o bilansnim rezervama mineralnih sirovina koja se izdaje u skladu sa važećim propisima o klasifikaciji i kategorizaciji rezervi;</w:t>
      </w:r>
    </w:p>
    <w:p w:rsidR="00D620F2" w:rsidRPr="007956D0" w:rsidRDefault="00D620F2" w:rsidP="005B518B">
      <w:pPr>
        <w:pStyle w:val="ListParagraph"/>
        <w:numPr>
          <w:ilvl w:val="0"/>
          <w:numId w:val="6"/>
        </w:numPr>
        <w:autoSpaceDE w:val="0"/>
        <w:autoSpaceDN w:val="0"/>
        <w:adjustRightInd w:val="0"/>
        <w:spacing w:after="0" w:line="240" w:lineRule="auto"/>
        <w:jc w:val="both"/>
        <w:rPr>
          <w:rFonts w:ascii="Arial" w:hAnsi="Arial" w:cs="Arial"/>
          <w:noProof/>
        </w:rPr>
      </w:pPr>
      <w:r w:rsidRPr="007956D0">
        <w:rPr>
          <w:rFonts w:ascii="Arial" w:hAnsi="Arial" w:cs="Arial"/>
          <w:noProof/>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D620F2" w:rsidRPr="007956D0" w:rsidRDefault="00D620F2" w:rsidP="005B518B">
      <w:pPr>
        <w:pStyle w:val="ListParagraph"/>
        <w:numPr>
          <w:ilvl w:val="0"/>
          <w:numId w:val="6"/>
        </w:numPr>
        <w:autoSpaceDE w:val="0"/>
        <w:autoSpaceDN w:val="0"/>
        <w:adjustRightInd w:val="0"/>
        <w:spacing w:after="0" w:line="240" w:lineRule="auto"/>
        <w:jc w:val="both"/>
        <w:rPr>
          <w:rFonts w:ascii="Arial" w:hAnsi="Arial" w:cs="Arial"/>
          <w:noProof/>
        </w:rPr>
      </w:pPr>
      <w:r w:rsidRPr="007956D0">
        <w:rPr>
          <w:rFonts w:ascii="Arial" w:hAnsi="Arial" w:cs="Arial"/>
          <w:noProof/>
        </w:rPr>
        <w:t>mišljenje nadležnog organa za zaštitu životne sredine na studiju izvodljivosti eksploatacije;</w:t>
      </w:r>
    </w:p>
    <w:p w:rsidR="00D620F2" w:rsidRPr="007956D0" w:rsidRDefault="00D620F2" w:rsidP="005B518B">
      <w:pPr>
        <w:pStyle w:val="ListParagraph"/>
        <w:numPr>
          <w:ilvl w:val="0"/>
          <w:numId w:val="6"/>
        </w:numPr>
        <w:autoSpaceDE w:val="0"/>
        <w:autoSpaceDN w:val="0"/>
        <w:adjustRightInd w:val="0"/>
        <w:spacing w:after="0" w:line="240" w:lineRule="auto"/>
        <w:jc w:val="both"/>
        <w:rPr>
          <w:rFonts w:ascii="Arial" w:hAnsi="Arial" w:cs="Arial"/>
          <w:noProof/>
        </w:rPr>
      </w:pPr>
      <w:r w:rsidRPr="007956D0">
        <w:rPr>
          <w:rFonts w:ascii="Arial" w:hAnsi="Arial" w:cs="Arial"/>
          <w:noProof/>
        </w:rPr>
        <w:t>akt organa nadležnog za poslove urbanizma u pogledu usaglašenosti planirane eksploatacije mineralnih sirovina sa odgovarajućim prostornim, odnosno urbanističkim planovima;</w:t>
      </w:r>
    </w:p>
    <w:p w:rsidR="00D620F2" w:rsidRPr="007956D0" w:rsidRDefault="00D620F2" w:rsidP="005B518B">
      <w:pPr>
        <w:pStyle w:val="ListParagraph"/>
        <w:numPr>
          <w:ilvl w:val="0"/>
          <w:numId w:val="6"/>
        </w:numPr>
        <w:autoSpaceDE w:val="0"/>
        <w:autoSpaceDN w:val="0"/>
        <w:adjustRightInd w:val="0"/>
        <w:spacing w:after="0" w:line="240" w:lineRule="auto"/>
        <w:jc w:val="both"/>
        <w:rPr>
          <w:rFonts w:ascii="Arial" w:hAnsi="Arial" w:cs="Arial"/>
          <w:noProof/>
        </w:rPr>
      </w:pPr>
      <w:r w:rsidRPr="007956D0">
        <w:rPr>
          <w:rFonts w:ascii="Arial" w:hAnsi="Arial" w:cs="Arial"/>
          <w:noProof/>
        </w:rPr>
        <w:t>licenca za izvođenje radova;</w:t>
      </w:r>
    </w:p>
    <w:p w:rsidR="00D620F2" w:rsidRPr="007956D0" w:rsidRDefault="00D620F2" w:rsidP="005B518B">
      <w:pPr>
        <w:pStyle w:val="ListParagraph"/>
        <w:numPr>
          <w:ilvl w:val="0"/>
          <w:numId w:val="6"/>
        </w:numPr>
        <w:autoSpaceDE w:val="0"/>
        <w:autoSpaceDN w:val="0"/>
        <w:adjustRightInd w:val="0"/>
        <w:spacing w:after="0" w:line="240" w:lineRule="auto"/>
        <w:jc w:val="both"/>
        <w:rPr>
          <w:rFonts w:ascii="Arial" w:hAnsi="Arial" w:cs="Arial"/>
          <w:noProof/>
        </w:rPr>
      </w:pPr>
      <w:r w:rsidRPr="007956D0">
        <w:rPr>
          <w:rFonts w:ascii="Arial" w:hAnsi="Arial" w:cs="Arial"/>
          <w:noProof/>
        </w:rPr>
        <w:t>drugi podaci od značaja za izdavanje odobrenja na zahtjev nadležnog organa.</w:t>
      </w:r>
    </w:p>
    <w:p w:rsidR="00A700A0" w:rsidRPr="007956D0" w:rsidRDefault="00A700A0" w:rsidP="00A700A0">
      <w:pPr>
        <w:autoSpaceDE w:val="0"/>
        <w:autoSpaceDN w:val="0"/>
        <w:adjustRightInd w:val="0"/>
        <w:spacing w:after="0" w:line="240" w:lineRule="auto"/>
        <w:ind w:left="360"/>
        <w:jc w:val="both"/>
        <w:rPr>
          <w:rFonts w:ascii="Arial" w:hAnsi="Arial" w:cs="Arial"/>
          <w:noProof/>
        </w:rPr>
      </w:pPr>
    </w:p>
    <w:p w:rsidR="00D620F2" w:rsidRPr="007956D0" w:rsidRDefault="00D620F2" w:rsidP="00A700A0">
      <w:pPr>
        <w:pStyle w:val="Heading2"/>
        <w:numPr>
          <w:ilvl w:val="1"/>
          <w:numId w:val="0"/>
        </w:numPr>
        <w:spacing w:before="0" w:after="0" w:line="240" w:lineRule="auto"/>
        <w:rPr>
          <w:noProof/>
        </w:rPr>
      </w:pPr>
      <w:bookmarkStart w:id="48" w:name="_Toc402262972"/>
      <w:r w:rsidRPr="007956D0">
        <w:rPr>
          <w:rFonts w:eastAsia="Calibri"/>
          <w:bCs w:val="0"/>
          <w:iCs w:val="0"/>
          <w:noProof/>
          <w:kern w:val="0"/>
        </w:rPr>
        <w:t>1</w:t>
      </w:r>
      <w:r w:rsidR="00E21B44" w:rsidRPr="007956D0">
        <w:rPr>
          <w:rFonts w:eastAsia="Calibri"/>
          <w:bCs w:val="0"/>
          <w:iCs w:val="0"/>
          <w:noProof/>
          <w:kern w:val="0"/>
        </w:rPr>
        <w:t>0</w:t>
      </w:r>
      <w:r w:rsidRPr="007956D0">
        <w:rPr>
          <w:rFonts w:eastAsia="Calibri"/>
          <w:bCs w:val="0"/>
          <w:iCs w:val="0"/>
          <w:noProof/>
          <w:kern w:val="0"/>
        </w:rPr>
        <w:t>.2.2</w:t>
      </w:r>
      <w:r w:rsidR="00781B19" w:rsidRPr="007956D0">
        <w:rPr>
          <w:rFonts w:eastAsia="Calibri"/>
          <w:bCs w:val="0"/>
          <w:iCs w:val="0"/>
          <w:noProof/>
          <w:kern w:val="0"/>
        </w:rPr>
        <w:t>.</w:t>
      </w:r>
      <w:r w:rsidR="002637DE" w:rsidRPr="007956D0">
        <w:rPr>
          <w:rFonts w:eastAsia="Calibri"/>
          <w:bCs w:val="0"/>
          <w:iCs w:val="0"/>
          <w:noProof/>
          <w:kern w:val="0"/>
        </w:rPr>
        <w:t xml:space="preserve"> </w:t>
      </w:r>
      <w:r w:rsidRPr="007956D0">
        <w:rPr>
          <w:noProof/>
        </w:rPr>
        <w:t>Odobrenje</w:t>
      </w:r>
      <w:r w:rsidR="00606AF7" w:rsidRPr="007956D0">
        <w:rPr>
          <w:noProof/>
        </w:rPr>
        <w:t xml:space="preserve"> </w:t>
      </w:r>
      <w:r w:rsidRPr="007956D0">
        <w:rPr>
          <w:noProof/>
        </w:rPr>
        <w:t>za</w:t>
      </w:r>
      <w:r w:rsidR="00606AF7" w:rsidRPr="007956D0">
        <w:rPr>
          <w:noProof/>
        </w:rPr>
        <w:t xml:space="preserve"> </w:t>
      </w:r>
      <w:r w:rsidRPr="007956D0">
        <w:rPr>
          <w:noProof/>
        </w:rPr>
        <w:t>izvođenje</w:t>
      </w:r>
      <w:r w:rsidR="00606AF7" w:rsidRPr="007956D0">
        <w:rPr>
          <w:noProof/>
        </w:rPr>
        <w:t xml:space="preserve"> </w:t>
      </w:r>
      <w:r w:rsidRPr="007956D0">
        <w:rPr>
          <w:noProof/>
        </w:rPr>
        <w:t>radova po rudarskom projektu</w:t>
      </w:r>
      <w:bookmarkEnd w:id="48"/>
    </w:p>
    <w:p w:rsidR="00A700A0" w:rsidRPr="007956D0" w:rsidRDefault="00A700A0" w:rsidP="00A700A0">
      <w:pPr>
        <w:spacing w:after="0" w:line="240" w:lineRule="auto"/>
        <w:jc w:val="both"/>
        <w:rPr>
          <w:rFonts w:ascii="Arial" w:hAnsi="Arial" w:cs="Arial"/>
          <w:noProof/>
        </w:rPr>
      </w:pPr>
    </w:p>
    <w:p w:rsidR="00D620F2" w:rsidRPr="007956D0" w:rsidRDefault="00D620F2" w:rsidP="00A700A0">
      <w:pPr>
        <w:spacing w:after="0" w:line="240" w:lineRule="auto"/>
        <w:jc w:val="both"/>
        <w:rPr>
          <w:rFonts w:ascii="Arial" w:hAnsi="Arial" w:cs="Arial"/>
          <w:noProof/>
        </w:rPr>
      </w:pPr>
      <w:r w:rsidRPr="007956D0">
        <w:rPr>
          <w:rFonts w:ascii="Arial" w:hAnsi="Arial" w:cs="Arial"/>
          <w:noProof/>
        </w:rPr>
        <w:t>Nakon dobijanja odobrenja za eksploataciju mineralne sirovine na eksploatacionom polju, pristupa se izradi rudarske tehničke dokumentacije –</w:t>
      </w:r>
      <w:r w:rsidR="002637DE" w:rsidRPr="007956D0">
        <w:rPr>
          <w:rFonts w:ascii="Arial" w:hAnsi="Arial" w:cs="Arial"/>
          <w:noProof/>
        </w:rPr>
        <w:t xml:space="preserve"> </w:t>
      </w:r>
      <w:r w:rsidRPr="007956D0">
        <w:rPr>
          <w:rFonts w:ascii="Arial" w:hAnsi="Arial" w:cs="Arial"/>
          <w:noProof/>
        </w:rPr>
        <w:t>rudarskog projekta eksploatacije.</w:t>
      </w:r>
    </w:p>
    <w:p w:rsidR="00DC0935" w:rsidRPr="007956D0" w:rsidRDefault="00D620F2" w:rsidP="00A700A0">
      <w:pPr>
        <w:spacing w:after="0" w:line="240" w:lineRule="auto"/>
        <w:jc w:val="both"/>
        <w:rPr>
          <w:rFonts w:ascii="Arial" w:hAnsi="Arial" w:cs="Arial"/>
          <w:noProof/>
        </w:rPr>
      </w:pPr>
      <w:r w:rsidRPr="007956D0">
        <w:rPr>
          <w:rFonts w:ascii="Arial" w:hAnsi="Arial" w:cs="Arial"/>
          <w:noProof/>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rsidR="00D620F2" w:rsidRPr="007956D0" w:rsidRDefault="00D620F2" w:rsidP="00A700A0">
      <w:pPr>
        <w:spacing w:after="0" w:line="240" w:lineRule="auto"/>
        <w:jc w:val="both"/>
        <w:rPr>
          <w:rFonts w:ascii="Arial" w:hAnsi="Arial" w:cs="Arial"/>
          <w:noProof/>
        </w:rPr>
      </w:pPr>
      <w:r w:rsidRPr="007956D0">
        <w:rPr>
          <w:rFonts w:ascii="Arial" w:hAnsi="Arial" w:cs="Arial"/>
          <w:noProof/>
        </w:rPr>
        <w:t>Odobrenje za izvođenje radova po rudarskom projektu, u skladu sa članom 53 Zakona o rudarstvu, izdaje Ministarstvo ekonomije na zahtjev investitora. Uz zahtjev se dostavlja i sljedeća dokumentacija:</w:t>
      </w:r>
    </w:p>
    <w:p w:rsidR="00A700A0" w:rsidRPr="007956D0" w:rsidRDefault="00A700A0" w:rsidP="00A700A0">
      <w:pPr>
        <w:spacing w:after="0" w:line="240" w:lineRule="auto"/>
        <w:jc w:val="both"/>
        <w:rPr>
          <w:rFonts w:ascii="Arial" w:hAnsi="Arial" w:cs="Arial"/>
          <w:noProof/>
        </w:rPr>
      </w:pPr>
    </w:p>
    <w:p w:rsidR="00D620F2" w:rsidRPr="007956D0" w:rsidRDefault="00D620F2" w:rsidP="005B518B">
      <w:pPr>
        <w:pStyle w:val="ListParagraph"/>
        <w:numPr>
          <w:ilvl w:val="0"/>
          <w:numId w:val="7"/>
        </w:numPr>
        <w:spacing w:after="0" w:line="240" w:lineRule="auto"/>
        <w:jc w:val="both"/>
        <w:rPr>
          <w:rFonts w:ascii="Arial" w:hAnsi="Arial" w:cs="Arial"/>
          <w:noProof/>
        </w:rPr>
      </w:pPr>
      <w:r w:rsidRPr="007956D0">
        <w:rPr>
          <w:rFonts w:ascii="Arial" w:hAnsi="Arial" w:cs="Arial"/>
          <w:noProof/>
        </w:rPr>
        <w:t>rudarski projekat sa revizionom klauzulom;</w:t>
      </w:r>
    </w:p>
    <w:p w:rsidR="00D620F2" w:rsidRPr="007956D0" w:rsidRDefault="00D620F2" w:rsidP="005B518B">
      <w:pPr>
        <w:pStyle w:val="ListParagraph"/>
        <w:numPr>
          <w:ilvl w:val="0"/>
          <w:numId w:val="7"/>
        </w:numPr>
        <w:spacing w:after="0" w:line="240" w:lineRule="auto"/>
        <w:jc w:val="both"/>
        <w:rPr>
          <w:rFonts w:ascii="Arial" w:hAnsi="Arial" w:cs="Arial"/>
          <w:noProof/>
        </w:rPr>
      </w:pPr>
      <w:r w:rsidRPr="007956D0">
        <w:rPr>
          <w:rFonts w:ascii="Arial" w:hAnsi="Arial" w:cs="Arial"/>
          <w:noProof/>
        </w:rPr>
        <w:t>potvrda-saglasnost organa koji je izdao uslove da je rudarski projekat urađen u skladu sa izdatim uslovima;</w:t>
      </w:r>
    </w:p>
    <w:p w:rsidR="00D620F2" w:rsidRPr="007956D0" w:rsidRDefault="00D620F2" w:rsidP="005B518B">
      <w:pPr>
        <w:pStyle w:val="ListParagraph"/>
        <w:numPr>
          <w:ilvl w:val="0"/>
          <w:numId w:val="7"/>
        </w:numPr>
        <w:spacing w:after="0" w:line="240" w:lineRule="auto"/>
        <w:jc w:val="both"/>
        <w:rPr>
          <w:rFonts w:ascii="Arial" w:hAnsi="Arial" w:cs="Arial"/>
          <w:noProof/>
        </w:rPr>
      </w:pPr>
      <w:r w:rsidRPr="007956D0">
        <w:rPr>
          <w:rFonts w:ascii="Arial" w:hAnsi="Arial" w:cs="Arial"/>
          <w:noProof/>
        </w:rPr>
        <w:t>urbanističko-tehnički uslovi;</w:t>
      </w:r>
    </w:p>
    <w:p w:rsidR="00D620F2" w:rsidRPr="007956D0" w:rsidRDefault="00D620F2" w:rsidP="005B518B">
      <w:pPr>
        <w:pStyle w:val="ListParagraph"/>
        <w:numPr>
          <w:ilvl w:val="0"/>
          <w:numId w:val="7"/>
        </w:numPr>
        <w:spacing w:after="0" w:line="240" w:lineRule="auto"/>
        <w:jc w:val="both"/>
        <w:rPr>
          <w:rFonts w:ascii="Arial" w:hAnsi="Arial" w:cs="Arial"/>
          <w:noProof/>
        </w:rPr>
      </w:pPr>
      <w:r w:rsidRPr="007956D0">
        <w:rPr>
          <w:rFonts w:ascii="Arial" w:hAnsi="Arial" w:cs="Arial"/>
          <w:noProof/>
        </w:rPr>
        <w:t>dokaz o pravu svojine ili korišćenja na zemljištu, odnosno službenosti za najmanje dvije godine eksploatacije mineralne sirovine prema dinamici utvrđenoj koncesionim pravom;</w:t>
      </w:r>
    </w:p>
    <w:p w:rsidR="00D620F2" w:rsidRPr="007956D0" w:rsidRDefault="00D620F2" w:rsidP="005B518B">
      <w:pPr>
        <w:pStyle w:val="ListParagraph"/>
        <w:numPr>
          <w:ilvl w:val="0"/>
          <w:numId w:val="7"/>
        </w:numPr>
        <w:spacing w:after="0" w:line="240" w:lineRule="auto"/>
        <w:jc w:val="both"/>
        <w:rPr>
          <w:rFonts w:ascii="Arial" w:hAnsi="Arial" w:cs="Arial"/>
          <w:noProof/>
        </w:rPr>
      </w:pPr>
      <w:r w:rsidRPr="007956D0">
        <w:rPr>
          <w:rFonts w:ascii="Arial" w:hAnsi="Arial" w:cs="Arial"/>
          <w:noProof/>
        </w:rPr>
        <w:t>saglasnost organa državne uprave nadležnog za poslove zaštite životne sredine na elaborat procjene uticaja na životnu sredinu ili odluku da nije potrebno vršiti procjenu uticaja koje se izdaju u skladu sa posebnim propisom;</w:t>
      </w:r>
    </w:p>
    <w:p w:rsidR="00D620F2" w:rsidRPr="007956D0" w:rsidRDefault="00D620F2" w:rsidP="005B518B">
      <w:pPr>
        <w:pStyle w:val="ListParagraph"/>
        <w:numPr>
          <w:ilvl w:val="0"/>
          <w:numId w:val="7"/>
        </w:numPr>
        <w:spacing w:after="0" w:line="240" w:lineRule="auto"/>
        <w:jc w:val="both"/>
        <w:rPr>
          <w:rFonts w:ascii="Arial" w:hAnsi="Arial" w:cs="Arial"/>
          <w:noProof/>
        </w:rPr>
      </w:pPr>
      <w:r w:rsidRPr="007956D0">
        <w:rPr>
          <w:rFonts w:ascii="Arial" w:hAnsi="Arial" w:cs="Arial"/>
          <w:noProof/>
        </w:rPr>
        <w:t>vodoprivredna saglasnost na projekte kada eksploatacija mineralnih sirovina utiče na režim voda;</w:t>
      </w:r>
    </w:p>
    <w:p w:rsidR="00D620F2" w:rsidRPr="007956D0" w:rsidRDefault="00D620F2" w:rsidP="005B518B">
      <w:pPr>
        <w:pStyle w:val="ListParagraph"/>
        <w:numPr>
          <w:ilvl w:val="0"/>
          <w:numId w:val="7"/>
        </w:numPr>
        <w:spacing w:after="0" w:line="240" w:lineRule="auto"/>
        <w:jc w:val="both"/>
        <w:rPr>
          <w:rFonts w:ascii="Arial" w:hAnsi="Arial" w:cs="Arial"/>
          <w:noProof/>
        </w:rPr>
      </w:pPr>
      <w:r w:rsidRPr="007956D0">
        <w:rPr>
          <w:rFonts w:ascii="Arial" w:hAnsi="Arial" w:cs="Arial"/>
          <w:noProof/>
        </w:rPr>
        <w:t>saobraćajna saglasnost za pristup javnim saobraćajnicama;</w:t>
      </w:r>
    </w:p>
    <w:p w:rsidR="00D620F2" w:rsidRPr="007956D0" w:rsidRDefault="00D620F2" w:rsidP="005B518B">
      <w:pPr>
        <w:pStyle w:val="ListParagraph"/>
        <w:numPr>
          <w:ilvl w:val="0"/>
          <w:numId w:val="7"/>
        </w:numPr>
        <w:spacing w:after="0" w:line="240" w:lineRule="auto"/>
        <w:jc w:val="both"/>
        <w:rPr>
          <w:rFonts w:ascii="Arial" w:hAnsi="Arial" w:cs="Arial"/>
          <w:noProof/>
        </w:rPr>
      </w:pPr>
      <w:r w:rsidRPr="007956D0">
        <w:rPr>
          <w:rFonts w:ascii="Arial" w:hAnsi="Arial" w:cs="Arial"/>
          <w:noProof/>
        </w:rPr>
        <w:t>licenca za izvođenje radova;</w:t>
      </w:r>
    </w:p>
    <w:p w:rsidR="00D620F2" w:rsidRPr="007956D0" w:rsidRDefault="00D620F2" w:rsidP="005B518B">
      <w:pPr>
        <w:pStyle w:val="ListParagraph"/>
        <w:numPr>
          <w:ilvl w:val="0"/>
          <w:numId w:val="7"/>
        </w:numPr>
        <w:spacing w:after="0" w:line="240" w:lineRule="auto"/>
        <w:jc w:val="both"/>
        <w:rPr>
          <w:rFonts w:ascii="Arial" w:hAnsi="Arial" w:cs="Arial"/>
          <w:noProof/>
        </w:rPr>
      </w:pPr>
      <w:r w:rsidRPr="007956D0">
        <w:rPr>
          <w:rFonts w:ascii="Arial" w:hAnsi="Arial" w:cs="Arial"/>
          <w:noProof/>
        </w:rPr>
        <w:t>dokaz o plaćenoj naknadi za promjenu namjene korišćenja poljoprivrednog zemljišta.</w:t>
      </w:r>
    </w:p>
    <w:p w:rsidR="00A700A0" w:rsidRPr="007956D0" w:rsidRDefault="00A700A0" w:rsidP="00A700A0">
      <w:pPr>
        <w:spacing w:after="0" w:line="240" w:lineRule="auto"/>
        <w:jc w:val="both"/>
        <w:rPr>
          <w:rFonts w:ascii="Arial" w:hAnsi="Arial" w:cs="Arial"/>
          <w:noProof/>
        </w:rPr>
      </w:pPr>
    </w:p>
    <w:p w:rsidR="00D620F2" w:rsidRPr="007956D0" w:rsidRDefault="00D620F2" w:rsidP="00A700A0">
      <w:pPr>
        <w:spacing w:after="0" w:line="240" w:lineRule="auto"/>
        <w:jc w:val="both"/>
        <w:rPr>
          <w:rFonts w:ascii="Arial" w:hAnsi="Arial" w:cs="Arial"/>
          <w:noProof/>
        </w:rPr>
      </w:pPr>
      <w:r w:rsidRPr="007956D0">
        <w:rPr>
          <w:rFonts w:ascii="Arial" w:hAnsi="Arial" w:cs="Arial"/>
          <w:noProof/>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A700A0" w:rsidRPr="007956D0" w:rsidRDefault="00A700A0" w:rsidP="00A700A0">
      <w:pPr>
        <w:spacing w:after="0" w:line="240" w:lineRule="auto"/>
        <w:jc w:val="both"/>
        <w:rPr>
          <w:rFonts w:ascii="Arial" w:hAnsi="Arial" w:cs="Arial"/>
          <w:noProof/>
        </w:rPr>
      </w:pPr>
    </w:p>
    <w:p w:rsidR="000156A4" w:rsidRPr="007956D0" w:rsidRDefault="00D620F2" w:rsidP="00A700A0">
      <w:pPr>
        <w:pStyle w:val="Heading3"/>
        <w:suppressAutoHyphens/>
        <w:jc w:val="left"/>
        <w:rPr>
          <w:rFonts w:ascii="Arial" w:hAnsi="Arial" w:cs="Arial"/>
          <w:noProof/>
          <w:sz w:val="22"/>
          <w:szCs w:val="22"/>
        </w:rPr>
      </w:pPr>
      <w:bookmarkStart w:id="49" w:name="_Toc435529036"/>
      <w:bookmarkStart w:id="50" w:name="_Toc436124913"/>
      <w:r w:rsidRPr="007956D0">
        <w:rPr>
          <w:rFonts w:ascii="Arial" w:hAnsi="Arial" w:cs="Arial"/>
          <w:noProof/>
          <w:sz w:val="22"/>
          <w:szCs w:val="22"/>
        </w:rPr>
        <w:t>1</w:t>
      </w:r>
      <w:r w:rsidR="00E21B44" w:rsidRPr="007956D0">
        <w:rPr>
          <w:rFonts w:ascii="Arial" w:hAnsi="Arial" w:cs="Arial"/>
          <w:noProof/>
          <w:sz w:val="22"/>
          <w:szCs w:val="22"/>
        </w:rPr>
        <w:t>0</w:t>
      </w:r>
      <w:r w:rsidRPr="007956D0">
        <w:rPr>
          <w:rFonts w:ascii="Arial" w:hAnsi="Arial" w:cs="Arial"/>
          <w:noProof/>
          <w:sz w:val="22"/>
          <w:szCs w:val="22"/>
        </w:rPr>
        <w:t>.2.3</w:t>
      </w:r>
      <w:r w:rsidR="00781B19" w:rsidRPr="007956D0">
        <w:rPr>
          <w:rFonts w:ascii="Arial" w:hAnsi="Arial" w:cs="Arial"/>
          <w:noProof/>
          <w:sz w:val="22"/>
          <w:szCs w:val="22"/>
        </w:rPr>
        <w:t>.</w:t>
      </w:r>
      <w:r w:rsidRPr="007956D0">
        <w:rPr>
          <w:rFonts w:ascii="Arial" w:hAnsi="Arial" w:cs="Arial"/>
          <w:noProof/>
          <w:sz w:val="22"/>
          <w:szCs w:val="22"/>
        </w:rPr>
        <w:t xml:space="preserve"> Odobrenje za upotrebu rudarskih objekata</w:t>
      </w:r>
      <w:bookmarkEnd w:id="49"/>
      <w:bookmarkEnd w:id="50"/>
    </w:p>
    <w:p w:rsidR="00A700A0" w:rsidRPr="007956D0" w:rsidRDefault="00A700A0" w:rsidP="00A700A0">
      <w:pPr>
        <w:spacing w:after="0" w:line="240" w:lineRule="auto"/>
        <w:jc w:val="both"/>
        <w:rPr>
          <w:rFonts w:ascii="Arial" w:hAnsi="Arial" w:cs="Arial"/>
          <w:noProof/>
        </w:rPr>
      </w:pPr>
    </w:p>
    <w:p w:rsidR="00D620F2" w:rsidRPr="007956D0" w:rsidRDefault="00D620F2" w:rsidP="00A700A0">
      <w:pPr>
        <w:spacing w:after="0" w:line="240" w:lineRule="auto"/>
        <w:jc w:val="both"/>
        <w:rPr>
          <w:rFonts w:ascii="Arial" w:hAnsi="Arial" w:cs="Arial"/>
          <w:noProof/>
        </w:rPr>
      </w:pPr>
      <w:r w:rsidRPr="007956D0">
        <w:rPr>
          <w:rFonts w:ascii="Arial" w:hAnsi="Arial" w:cs="Arial"/>
          <w:noProof/>
        </w:rPr>
        <w:t>Izgrađeni rudarski objekti ili d</w:t>
      </w:r>
      <w:r w:rsidR="002637DE" w:rsidRPr="007956D0">
        <w:rPr>
          <w:rFonts w:ascii="Arial" w:hAnsi="Arial" w:cs="Arial"/>
          <w:noProof/>
        </w:rPr>
        <w:t>i</w:t>
      </w:r>
      <w:r w:rsidRPr="007956D0">
        <w:rPr>
          <w:rFonts w:ascii="Arial" w:hAnsi="Arial" w:cs="Arial"/>
          <w:noProof/>
        </w:rPr>
        <w:t>jelovi rudarskih objekata koji se mogu samostalno koristiti, prije početka korišćenja, podliježu tehničkom pregledu, koji obuhvata pregled: rudarskih i građevinskih radova, električnih postrojenja, uređaja i instalacija i rudarske opreme i postrojenja.</w:t>
      </w:r>
    </w:p>
    <w:p w:rsidR="00D620F2" w:rsidRPr="007956D0" w:rsidRDefault="00D620F2" w:rsidP="00A700A0">
      <w:pPr>
        <w:spacing w:after="0" w:line="240" w:lineRule="auto"/>
        <w:jc w:val="both"/>
        <w:rPr>
          <w:rFonts w:ascii="Arial" w:hAnsi="Arial" w:cs="Arial"/>
          <w:noProof/>
        </w:rPr>
      </w:pPr>
      <w:r w:rsidRPr="007956D0">
        <w:rPr>
          <w:rFonts w:ascii="Arial" w:hAnsi="Arial" w:cs="Arial"/>
          <w:noProof/>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A700A0" w:rsidRPr="007956D0" w:rsidRDefault="00A700A0" w:rsidP="00A700A0">
      <w:pPr>
        <w:spacing w:after="0" w:line="240" w:lineRule="auto"/>
        <w:jc w:val="both"/>
        <w:rPr>
          <w:rFonts w:ascii="Arial" w:hAnsi="Arial" w:cs="Arial"/>
          <w:noProof/>
        </w:rPr>
      </w:pP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Tehnički pregled i odobrenje za upotrebu rudarskih objekata ili dijela objekta vrši nadležni organ preko stručne komisije ili pravnog lica u skladu sa propisima o izgradnji objekata.</w:t>
      </w:r>
    </w:p>
    <w:p w:rsidR="00D620F2" w:rsidRPr="007956D0" w:rsidRDefault="00D620F2" w:rsidP="00D021C0">
      <w:pPr>
        <w:spacing w:after="0" w:line="240" w:lineRule="auto"/>
        <w:jc w:val="both"/>
        <w:rPr>
          <w:rFonts w:ascii="Arial" w:hAnsi="Arial" w:cs="Arial"/>
          <w:noProof/>
        </w:rPr>
      </w:pPr>
      <w:r w:rsidRPr="007956D0">
        <w:rPr>
          <w:rFonts w:ascii="Arial" w:hAnsi="Arial" w:cs="Arial"/>
          <w:noProof/>
        </w:rPr>
        <w:t xml:space="preserve">Ako je za izdavanje odobrenja za upotrebu rudarskih objekata posebnim zakonom propisana obaveza prethodnog pribavljanja saglasnosti ili dozvole drugih organa ili organizacija, uz zahtjev za izdavanje odobrenja podnosi se </w:t>
      </w:r>
      <w:r w:rsidR="00A700A0" w:rsidRPr="007956D0">
        <w:rPr>
          <w:rFonts w:ascii="Arial" w:hAnsi="Arial" w:cs="Arial"/>
          <w:noProof/>
        </w:rPr>
        <w:t>i saglasnost, odnosno, dozvola.</w:t>
      </w:r>
    </w:p>
    <w:p w:rsidR="00A700A0" w:rsidRPr="007956D0" w:rsidRDefault="00A700A0" w:rsidP="00D021C0">
      <w:pPr>
        <w:spacing w:after="0" w:line="240" w:lineRule="auto"/>
        <w:jc w:val="both"/>
        <w:rPr>
          <w:rFonts w:ascii="Arial" w:hAnsi="Arial" w:cs="Arial"/>
          <w:noProof/>
        </w:rPr>
      </w:pPr>
    </w:p>
    <w:p w:rsidR="00D620F2" w:rsidRPr="007956D0" w:rsidRDefault="00323187" w:rsidP="005B518B">
      <w:pPr>
        <w:pStyle w:val="Heading1"/>
        <w:numPr>
          <w:ilvl w:val="0"/>
          <w:numId w:val="18"/>
        </w:numPr>
        <w:ind w:left="360"/>
        <w:rPr>
          <w:noProof/>
        </w:rPr>
      </w:pPr>
      <w:bookmarkStart w:id="51" w:name="_Toc390549926"/>
      <w:bookmarkStart w:id="52" w:name="_Toc402262974"/>
      <w:bookmarkStart w:id="53" w:name="_Toc4581266"/>
      <w:r w:rsidRPr="007956D0">
        <w:rPr>
          <w:noProof/>
        </w:rPr>
        <w:t>HRONOLOGIJA IZRADE TEHNIČKE DOKUMENTACIJE I PRIBAVLJANJE ODOBRENJA I SAGLASNOSTI ZA IZVOĐENJE RUDARSKIH RADOVA</w:t>
      </w:r>
      <w:bookmarkEnd w:id="51"/>
      <w:bookmarkEnd w:id="52"/>
      <w:bookmarkEnd w:id="53"/>
    </w:p>
    <w:p w:rsidR="00A700A0" w:rsidRPr="007956D0" w:rsidRDefault="00A700A0" w:rsidP="00A700A0">
      <w:pPr>
        <w:spacing w:after="0" w:line="240" w:lineRule="auto"/>
        <w:rPr>
          <w:rFonts w:ascii="Arial" w:hAnsi="Arial" w:cs="Arial"/>
          <w:lang w:val="sv-SE"/>
        </w:rPr>
      </w:pPr>
    </w:p>
    <w:p w:rsidR="005F6969" w:rsidRPr="007956D0" w:rsidRDefault="007D7746" w:rsidP="00A700A0">
      <w:pPr>
        <w:pStyle w:val="ListParagraph"/>
        <w:tabs>
          <w:tab w:val="left" w:pos="1980"/>
        </w:tabs>
        <w:spacing w:after="0" w:line="240" w:lineRule="auto"/>
        <w:ind w:left="0"/>
        <w:contextualSpacing w:val="0"/>
        <w:jc w:val="both"/>
        <w:rPr>
          <w:rFonts w:ascii="Arial" w:hAnsi="Arial" w:cs="Arial"/>
          <w:noProof/>
        </w:rPr>
      </w:pPr>
      <w:r w:rsidRPr="007956D0">
        <w:rPr>
          <w:rFonts w:ascii="Arial" w:hAnsi="Arial" w:cs="Arial"/>
          <w:b/>
          <w:noProof/>
        </w:rPr>
        <w:t>Korak 1</w:t>
      </w:r>
      <w:r w:rsidR="00785C23" w:rsidRPr="007956D0">
        <w:rPr>
          <w:rFonts w:ascii="Arial" w:hAnsi="Arial" w:cs="Arial"/>
          <w:noProof/>
        </w:rPr>
        <w:t>.</w:t>
      </w:r>
      <w:r w:rsidRPr="007956D0">
        <w:rPr>
          <w:rFonts w:ascii="Arial" w:hAnsi="Arial" w:cs="Arial"/>
          <w:noProof/>
        </w:rPr>
        <w:t xml:space="preserve"> </w:t>
      </w:r>
      <w:r w:rsidR="005F6969" w:rsidRPr="007956D0">
        <w:rPr>
          <w:rFonts w:ascii="Arial" w:hAnsi="Arial" w:cs="Arial"/>
          <w:noProof/>
        </w:rPr>
        <w:t xml:space="preserve">Izdavanje Licence za izvođenje rudarskih radova; </w:t>
      </w:r>
    </w:p>
    <w:p w:rsidR="005F6969" w:rsidRPr="007956D0" w:rsidRDefault="007B4C3A" w:rsidP="00A700A0">
      <w:pPr>
        <w:pStyle w:val="ListParagraph"/>
        <w:tabs>
          <w:tab w:val="left" w:pos="1980"/>
        </w:tabs>
        <w:spacing w:after="0" w:line="240" w:lineRule="auto"/>
        <w:ind w:left="0"/>
        <w:contextualSpacing w:val="0"/>
        <w:jc w:val="both"/>
        <w:rPr>
          <w:rFonts w:ascii="Arial" w:hAnsi="Arial" w:cs="Arial"/>
          <w:noProof/>
        </w:rPr>
      </w:pPr>
      <w:r w:rsidRPr="007956D0">
        <w:rPr>
          <w:rFonts w:ascii="Arial" w:hAnsi="Arial" w:cs="Arial"/>
          <w:b/>
          <w:noProof/>
        </w:rPr>
        <w:t>Korak 2</w:t>
      </w:r>
      <w:r w:rsidR="00785C23" w:rsidRPr="007956D0">
        <w:rPr>
          <w:rFonts w:ascii="Arial" w:hAnsi="Arial" w:cs="Arial"/>
          <w:b/>
          <w:noProof/>
        </w:rPr>
        <w:t>.</w:t>
      </w:r>
      <w:r w:rsidR="007D7746" w:rsidRPr="007956D0">
        <w:rPr>
          <w:rFonts w:ascii="Arial" w:hAnsi="Arial" w:cs="Arial"/>
          <w:noProof/>
        </w:rPr>
        <w:t xml:space="preserve"> </w:t>
      </w:r>
      <w:r w:rsidR="005F6969" w:rsidRPr="007956D0">
        <w:rPr>
          <w:rFonts w:ascii="Arial" w:hAnsi="Arial" w:cs="Arial"/>
          <w:noProof/>
        </w:rPr>
        <w:t>Izrada rudarskog projekta i njegova revizija od strane Ministarstva ekonomije;</w:t>
      </w:r>
    </w:p>
    <w:p w:rsidR="005F6969" w:rsidRPr="007956D0" w:rsidRDefault="007B4C3A" w:rsidP="00A700A0">
      <w:pPr>
        <w:pStyle w:val="ListParagraph"/>
        <w:tabs>
          <w:tab w:val="left" w:pos="1980"/>
        </w:tabs>
        <w:spacing w:after="0" w:line="240" w:lineRule="auto"/>
        <w:ind w:left="0"/>
        <w:contextualSpacing w:val="0"/>
        <w:jc w:val="both"/>
        <w:rPr>
          <w:rFonts w:ascii="Arial" w:hAnsi="Arial" w:cs="Arial"/>
          <w:noProof/>
        </w:rPr>
      </w:pPr>
      <w:r w:rsidRPr="007956D0">
        <w:rPr>
          <w:rFonts w:ascii="Arial" w:hAnsi="Arial" w:cs="Arial"/>
          <w:b/>
          <w:noProof/>
        </w:rPr>
        <w:t>Korak 3</w:t>
      </w:r>
      <w:r w:rsidR="00785C23" w:rsidRPr="007956D0">
        <w:rPr>
          <w:rFonts w:ascii="Arial" w:hAnsi="Arial" w:cs="Arial"/>
          <w:b/>
          <w:noProof/>
        </w:rPr>
        <w:t>.</w:t>
      </w:r>
      <w:r w:rsidR="007D7746" w:rsidRPr="007956D0">
        <w:rPr>
          <w:rFonts w:ascii="Arial" w:hAnsi="Arial" w:cs="Arial"/>
          <w:noProof/>
        </w:rPr>
        <w:t xml:space="preserve"> </w:t>
      </w:r>
      <w:r w:rsidR="005F6969" w:rsidRPr="007956D0">
        <w:rPr>
          <w:rFonts w:ascii="Arial" w:hAnsi="Arial" w:cs="Arial"/>
          <w:noProof/>
        </w:rPr>
        <w:t>Dobijanje odobrenja za eksploataciju mineralne sirovine na eksploatacionom polju;</w:t>
      </w:r>
    </w:p>
    <w:p w:rsidR="005F6969" w:rsidRPr="007956D0" w:rsidRDefault="007B4C3A" w:rsidP="00A700A0">
      <w:pPr>
        <w:pStyle w:val="ListParagraph"/>
        <w:tabs>
          <w:tab w:val="left" w:pos="1980"/>
        </w:tabs>
        <w:spacing w:after="0" w:line="240" w:lineRule="auto"/>
        <w:ind w:left="0"/>
        <w:contextualSpacing w:val="0"/>
        <w:jc w:val="both"/>
        <w:rPr>
          <w:rFonts w:ascii="Arial" w:hAnsi="Arial" w:cs="Arial"/>
          <w:noProof/>
        </w:rPr>
      </w:pPr>
      <w:r w:rsidRPr="007956D0">
        <w:rPr>
          <w:rFonts w:ascii="Arial" w:hAnsi="Arial" w:cs="Arial"/>
          <w:b/>
          <w:noProof/>
        </w:rPr>
        <w:t>Korak 4</w:t>
      </w:r>
      <w:r w:rsidR="00785C23" w:rsidRPr="007956D0">
        <w:rPr>
          <w:rFonts w:ascii="Arial" w:hAnsi="Arial" w:cs="Arial"/>
          <w:noProof/>
        </w:rPr>
        <w:t>.</w:t>
      </w:r>
      <w:r w:rsidR="007D7746" w:rsidRPr="007956D0">
        <w:rPr>
          <w:rFonts w:ascii="Arial" w:hAnsi="Arial" w:cs="Arial"/>
          <w:noProof/>
        </w:rPr>
        <w:t xml:space="preserve"> </w:t>
      </w:r>
      <w:r w:rsidR="005F6969" w:rsidRPr="007956D0">
        <w:rPr>
          <w:rFonts w:ascii="Arial" w:hAnsi="Arial" w:cs="Arial"/>
          <w:noProof/>
        </w:rPr>
        <w:t>Dobijanje odobrenja za izvođenje radova po rudarskom projektu;</w:t>
      </w:r>
    </w:p>
    <w:p w:rsidR="007B4C3A" w:rsidRPr="007956D0" w:rsidRDefault="007B4C3A" w:rsidP="00A700A0">
      <w:pPr>
        <w:pStyle w:val="ListParagraph"/>
        <w:tabs>
          <w:tab w:val="left" w:pos="1980"/>
        </w:tabs>
        <w:spacing w:after="0" w:line="240" w:lineRule="auto"/>
        <w:ind w:left="0"/>
        <w:contextualSpacing w:val="0"/>
        <w:jc w:val="both"/>
        <w:rPr>
          <w:rFonts w:ascii="Arial" w:hAnsi="Arial" w:cs="Arial"/>
          <w:noProof/>
        </w:rPr>
      </w:pPr>
      <w:r w:rsidRPr="007956D0">
        <w:rPr>
          <w:rFonts w:ascii="Arial" w:hAnsi="Arial" w:cs="Arial"/>
          <w:b/>
          <w:noProof/>
        </w:rPr>
        <w:t>Korak 5</w:t>
      </w:r>
      <w:r w:rsidR="00785C23" w:rsidRPr="007956D0">
        <w:rPr>
          <w:rFonts w:ascii="Arial" w:hAnsi="Arial" w:cs="Arial"/>
          <w:noProof/>
        </w:rPr>
        <w:t>.</w:t>
      </w:r>
      <w:r w:rsidR="007D7746" w:rsidRPr="007956D0">
        <w:rPr>
          <w:rFonts w:ascii="Arial" w:hAnsi="Arial" w:cs="Arial"/>
          <w:noProof/>
        </w:rPr>
        <w:t xml:space="preserve"> </w:t>
      </w:r>
      <w:r w:rsidR="005F6969" w:rsidRPr="007956D0">
        <w:rPr>
          <w:rFonts w:ascii="Arial" w:hAnsi="Arial" w:cs="Arial"/>
          <w:noProof/>
        </w:rPr>
        <w:t>Tehnički prijem rudarskih objekata.</w:t>
      </w:r>
    </w:p>
    <w:p w:rsidR="00D21EF6" w:rsidRPr="007956D0" w:rsidRDefault="00D21EF6" w:rsidP="00A700A0">
      <w:pPr>
        <w:pStyle w:val="ListParagraph"/>
        <w:tabs>
          <w:tab w:val="left" w:pos="1980"/>
        </w:tabs>
        <w:spacing w:after="0" w:line="240" w:lineRule="auto"/>
        <w:ind w:left="0"/>
        <w:contextualSpacing w:val="0"/>
        <w:jc w:val="both"/>
        <w:rPr>
          <w:rFonts w:ascii="Arial" w:hAnsi="Arial" w:cs="Arial"/>
          <w:noProof/>
        </w:rPr>
      </w:pPr>
    </w:p>
    <w:p w:rsidR="00D620F2" w:rsidRPr="007956D0" w:rsidRDefault="00323187" w:rsidP="005B518B">
      <w:pPr>
        <w:pStyle w:val="Heading1"/>
        <w:numPr>
          <w:ilvl w:val="0"/>
          <w:numId w:val="18"/>
        </w:numPr>
        <w:ind w:left="360"/>
        <w:rPr>
          <w:noProof/>
        </w:rPr>
      </w:pPr>
      <w:bookmarkStart w:id="54" w:name="_Toc402262975"/>
      <w:bookmarkStart w:id="55" w:name="_Toc4581267"/>
      <w:r w:rsidRPr="007956D0">
        <w:rPr>
          <w:noProof/>
        </w:rPr>
        <w:t>OSNOVNI ELEMENTI TENDERSKE DOKUMENTACIJE (JAVNI OGLAS, DOKUMENTACIJA VEZANA ZA OGLAS)</w:t>
      </w:r>
      <w:bookmarkEnd w:id="54"/>
      <w:bookmarkEnd w:id="55"/>
    </w:p>
    <w:p w:rsidR="00A700A0" w:rsidRPr="007956D0" w:rsidRDefault="00A700A0" w:rsidP="00A700A0">
      <w:pPr>
        <w:spacing w:after="0" w:line="240" w:lineRule="auto"/>
        <w:jc w:val="both"/>
        <w:rPr>
          <w:rFonts w:ascii="Arial" w:hAnsi="Arial" w:cs="Arial"/>
          <w:b/>
          <w:noProof/>
        </w:rPr>
      </w:pPr>
    </w:p>
    <w:p w:rsidR="00D620F2" w:rsidRPr="007956D0" w:rsidRDefault="00D620F2" w:rsidP="00A700A0">
      <w:pPr>
        <w:spacing w:after="0" w:line="240" w:lineRule="auto"/>
        <w:jc w:val="both"/>
        <w:rPr>
          <w:rFonts w:ascii="Arial" w:hAnsi="Arial" w:cs="Arial"/>
          <w:b/>
          <w:noProof/>
        </w:rPr>
      </w:pPr>
      <w:r w:rsidRPr="007956D0">
        <w:rPr>
          <w:rFonts w:ascii="Arial" w:hAnsi="Arial" w:cs="Arial"/>
          <w:b/>
          <w:noProof/>
        </w:rPr>
        <w:t>Tendersku dokumentaciju čine sljedeća dokumenta:</w:t>
      </w:r>
    </w:p>
    <w:p w:rsidR="00A700A0" w:rsidRPr="007956D0" w:rsidRDefault="00A700A0" w:rsidP="00A700A0">
      <w:pPr>
        <w:spacing w:after="0" w:line="240" w:lineRule="auto"/>
        <w:jc w:val="both"/>
        <w:rPr>
          <w:rFonts w:ascii="Arial" w:hAnsi="Arial" w:cs="Arial"/>
          <w:b/>
          <w:noProof/>
        </w:rPr>
      </w:pPr>
    </w:p>
    <w:p w:rsidR="00D620F2" w:rsidRPr="007956D0" w:rsidRDefault="00D620F2" w:rsidP="005B518B">
      <w:pPr>
        <w:pStyle w:val="ListParagraph"/>
        <w:numPr>
          <w:ilvl w:val="0"/>
          <w:numId w:val="1"/>
        </w:numPr>
        <w:suppressAutoHyphens/>
        <w:spacing w:after="0" w:line="240" w:lineRule="auto"/>
        <w:jc w:val="both"/>
        <w:rPr>
          <w:rFonts w:ascii="Arial" w:hAnsi="Arial" w:cs="Arial"/>
          <w:noProof/>
        </w:rPr>
      </w:pPr>
      <w:r w:rsidRPr="007956D0">
        <w:rPr>
          <w:rFonts w:ascii="Arial" w:hAnsi="Arial" w:cs="Arial"/>
          <w:noProof/>
        </w:rPr>
        <w:t>Koncesioni akt;</w:t>
      </w:r>
    </w:p>
    <w:p w:rsidR="00D620F2" w:rsidRPr="007956D0" w:rsidRDefault="00D620F2" w:rsidP="005B518B">
      <w:pPr>
        <w:pStyle w:val="ListParagraph"/>
        <w:numPr>
          <w:ilvl w:val="0"/>
          <w:numId w:val="1"/>
        </w:numPr>
        <w:suppressAutoHyphens/>
        <w:spacing w:after="0" w:line="240" w:lineRule="auto"/>
        <w:jc w:val="both"/>
        <w:rPr>
          <w:rFonts w:ascii="Arial" w:hAnsi="Arial" w:cs="Arial"/>
          <w:noProof/>
        </w:rPr>
      </w:pPr>
      <w:r w:rsidRPr="007956D0">
        <w:rPr>
          <w:rFonts w:ascii="Arial" w:hAnsi="Arial" w:cs="Arial"/>
          <w:noProof/>
        </w:rPr>
        <w:t>Dokumentacija vezana uz ponudu;</w:t>
      </w:r>
    </w:p>
    <w:p w:rsidR="00D620F2" w:rsidRPr="007956D0" w:rsidRDefault="00D620F2" w:rsidP="005B518B">
      <w:pPr>
        <w:pStyle w:val="ListParagraph"/>
        <w:numPr>
          <w:ilvl w:val="0"/>
          <w:numId w:val="1"/>
        </w:numPr>
        <w:suppressAutoHyphens/>
        <w:spacing w:after="0" w:line="240" w:lineRule="auto"/>
        <w:jc w:val="both"/>
        <w:rPr>
          <w:rFonts w:ascii="Arial" w:hAnsi="Arial" w:cs="Arial"/>
          <w:noProof/>
        </w:rPr>
      </w:pPr>
      <w:r w:rsidRPr="007956D0">
        <w:rPr>
          <w:rFonts w:ascii="Arial" w:hAnsi="Arial" w:cs="Arial"/>
          <w:noProof/>
        </w:rPr>
        <w:t>Javni oglas,</w:t>
      </w:r>
    </w:p>
    <w:p w:rsidR="00D620F2" w:rsidRPr="007956D0" w:rsidRDefault="00D620F2" w:rsidP="005B518B">
      <w:pPr>
        <w:pStyle w:val="ListParagraph"/>
        <w:numPr>
          <w:ilvl w:val="0"/>
          <w:numId w:val="1"/>
        </w:numPr>
        <w:suppressAutoHyphens/>
        <w:spacing w:after="0" w:line="240" w:lineRule="auto"/>
        <w:jc w:val="both"/>
        <w:rPr>
          <w:rFonts w:ascii="Arial" w:hAnsi="Arial" w:cs="Arial"/>
          <w:noProof/>
        </w:rPr>
      </w:pPr>
      <w:r w:rsidRPr="007956D0">
        <w:rPr>
          <w:rFonts w:ascii="Arial" w:hAnsi="Arial" w:cs="Arial"/>
          <w:noProof/>
        </w:rPr>
        <w:t>Uputstvo za podnošenje ponuda i</w:t>
      </w:r>
    </w:p>
    <w:p w:rsidR="00D620F2" w:rsidRPr="007956D0" w:rsidRDefault="00D620F2" w:rsidP="005B518B">
      <w:pPr>
        <w:pStyle w:val="ListParagraph"/>
        <w:numPr>
          <w:ilvl w:val="0"/>
          <w:numId w:val="1"/>
        </w:numPr>
        <w:suppressAutoHyphens/>
        <w:spacing w:after="0" w:line="240" w:lineRule="auto"/>
        <w:jc w:val="both"/>
        <w:rPr>
          <w:rFonts w:ascii="Arial" w:hAnsi="Arial" w:cs="Arial"/>
          <w:noProof/>
        </w:rPr>
      </w:pPr>
      <w:r w:rsidRPr="007956D0">
        <w:rPr>
          <w:rFonts w:ascii="Arial" w:hAnsi="Arial" w:cs="Arial"/>
          <w:noProof/>
        </w:rPr>
        <w:t>Nacrt ugovora o koncesiji.</w:t>
      </w:r>
      <w:bookmarkStart w:id="56" w:name="_Toc401959458"/>
      <w:bookmarkStart w:id="57" w:name="_Toc401959551"/>
      <w:bookmarkStart w:id="58" w:name="_Toc435529039"/>
      <w:bookmarkStart w:id="59" w:name="_Toc436124916"/>
    </w:p>
    <w:p w:rsidR="00A700A0" w:rsidRPr="007956D0" w:rsidRDefault="00A700A0" w:rsidP="00A700A0">
      <w:pPr>
        <w:suppressAutoHyphens/>
        <w:spacing w:after="0" w:line="240" w:lineRule="auto"/>
        <w:jc w:val="both"/>
        <w:rPr>
          <w:rFonts w:ascii="Arial" w:hAnsi="Arial" w:cs="Arial"/>
          <w:noProof/>
        </w:rPr>
      </w:pPr>
    </w:p>
    <w:p w:rsidR="00D620F2" w:rsidRPr="007956D0" w:rsidRDefault="00D620F2" w:rsidP="00A700A0">
      <w:pPr>
        <w:pStyle w:val="Heading2"/>
        <w:numPr>
          <w:ilvl w:val="1"/>
          <w:numId w:val="0"/>
        </w:numPr>
        <w:spacing w:before="0" w:after="0" w:line="240" w:lineRule="auto"/>
        <w:ind w:left="576" w:hanging="576"/>
        <w:rPr>
          <w:b/>
          <w:noProof/>
        </w:rPr>
      </w:pPr>
      <w:r w:rsidRPr="007956D0">
        <w:rPr>
          <w:b/>
          <w:noProof/>
        </w:rPr>
        <w:t>1</w:t>
      </w:r>
      <w:r w:rsidR="00E21B44" w:rsidRPr="007956D0">
        <w:rPr>
          <w:b/>
          <w:noProof/>
        </w:rPr>
        <w:t>2</w:t>
      </w:r>
      <w:r w:rsidRPr="007956D0">
        <w:rPr>
          <w:b/>
          <w:noProof/>
        </w:rPr>
        <w:t>.1</w:t>
      </w:r>
      <w:r w:rsidR="00781B19" w:rsidRPr="007956D0">
        <w:rPr>
          <w:b/>
          <w:noProof/>
        </w:rPr>
        <w:t>.</w:t>
      </w:r>
      <w:r w:rsidRPr="007956D0">
        <w:rPr>
          <w:b/>
          <w:noProof/>
        </w:rPr>
        <w:t xml:space="preserve"> Dokumentacija koja se prilaže uz ponudu</w:t>
      </w:r>
      <w:bookmarkEnd w:id="56"/>
      <w:bookmarkEnd w:id="57"/>
      <w:bookmarkEnd w:id="58"/>
      <w:bookmarkEnd w:id="59"/>
    </w:p>
    <w:p w:rsidR="00A700A0" w:rsidRPr="007956D0" w:rsidRDefault="00A700A0" w:rsidP="00A700A0">
      <w:pPr>
        <w:spacing w:after="0" w:line="240" w:lineRule="auto"/>
        <w:jc w:val="both"/>
        <w:rPr>
          <w:rFonts w:ascii="Arial" w:hAnsi="Arial" w:cs="Arial"/>
          <w:noProof/>
        </w:rPr>
      </w:pPr>
    </w:p>
    <w:p w:rsidR="00D21EF6" w:rsidRPr="007956D0" w:rsidRDefault="0044322A" w:rsidP="00760267">
      <w:pPr>
        <w:spacing w:after="0" w:line="240" w:lineRule="auto"/>
        <w:jc w:val="both"/>
        <w:rPr>
          <w:rFonts w:ascii="Arial" w:hAnsi="Arial" w:cs="Arial"/>
          <w:noProof/>
        </w:rPr>
      </w:pPr>
      <w:r w:rsidRPr="007956D0">
        <w:rPr>
          <w:rFonts w:ascii="Arial" w:hAnsi="Arial" w:cs="Arial"/>
          <w:noProof/>
        </w:rPr>
        <w:t>Shodno članu 23 Zakona o koncesijama nepodobni da učestvuju na javnom nadmetanju za davanje koncesije su:</w:t>
      </w:r>
    </w:p>
    <w:p w:rsidR="00A700A0" w:rsidRPr="007956D0" w:rsidRDefault="00A700A0" w:rsidP="00A700A0">
      <w:pPr>
        <w:spacing w:after="0" w:line="240" w:lineRule="auto"/>
        <w:jc w:val="both"/>
        <w:rPr>
          <w:rFonts w:ascii="Arial" w:hAnsi="Arial" w:cs="Arial"/>
          <w:noProof/>
        </w:rPr>
      </w:pPr>
    </w:p>
    <w:p w:rsidR="0044322A" w:rsidRPr="007956D0" w:rsidRDefault="0044322A" w:rsidP="005B518B">
      <w:pPr>
        <w:pStyle w:val="ListParagraph"/>
        <w:numPr>
          <w:ilvl w:val="0"/>
          <w:numId w:val="15"/>
        </w:numPr>
        <w:spacing w:after="0" w:line="240" w:lineRule="auto"/>
        <w:ind w:left="360"/>
        <w:contextualSpacing w:val="0"/>
        <w:jc w:val="both"/>
        <w:rPr>
          <w:rFonts w:ascii="Arial" w:hAnsi="Arial" w:cs="Arial"/>
          <w:noProof/>
        </w:rPr>
      </w:pPr>
      <w:r w:rsidRPr="007956D0">
        <w:rPr>
          <w:rFonts w:ascii="Arial" w:hAnsi="Arial" w:cs="Arial"/>
          <w:noProof/>
        </w:rPr>
        <w:t>privredna društva, druga pravna lica i preduzetnici nad kojima je pokrenut postupak stečaja ili likvidacije, osim postupka reorganizacije u skladu sa zakonom kojim je uređena insolventnost privrednih društava;</w:t>
      </w:r>
    </w:p>
    <w:p w:rsidR="0044322A" w:rsidRPr="007956D0" w:rsidRDefault="0044322A" w:rsidP="005B518B">
      <w:pPr>
        <w:pStyle w:val="ListParagraph"/>
        <w:numPr>
          <w:ilvl w:val="0"/>
          <w:numId w:val="8"/>
        </w:numPr>
        <w:spacing w:after="0" w:line="240" w:lineRule="auto"/>
        <w:ind w:left="360"/>
        <w:contextualSpacing w:val="0"/>
        <w:jc w:val="both"/>
        <w:rPr>
          <w:rFonts w:ascii="Arial" w:hAnsi="Arial" w:cs="Arial"/>
          <w:noProof/>
        </w:rPr>
      </w:pPr>
      <w:r w:rsidRPr="007956D0">
        <w:rPr>
          <w:rFonts w:ascii="Arial" w:hAnsi="Arial" w:cs="Arial"/>
          <w:noProof/>
        </w:rPr>
        <w:t>privredna društva, druga pravna lica, preduzetnici i fizička lica koja su pravosnažnom presudom osuđena za krivično djelo izvršeno u vršenju profesionalne djelatnosti;</w:t>
      </w:r>
    </w:p>
    <w:p w:rsidR="0044322A" w:rsidRPr="007956D0" w:rsidRDefault="0044322A" w:rsidP="005B518B">
      <w:pPr>
        <w:pStyle w:val="ListParagraph"/>
        <w:numPr>
          <w:ilvl w:val="0"/>
          <w:numId w:val="17"/>
        </w:numPr>
        <w:spacing w:after="0" w:line="240" w:lineRule="auto"/>
        <w:ind w:left="360"/>
        <w:contextualSpacing w:val="0"/>
        <w:jc w:val="both"/>
        <w:rPr>
          <w:rFonts w:ascii="Arial" w:hAnsi="Arial" w:cs="Arial"/>
          <w:noProof/>
        </w:rPr>
      </w:pPr>
      <w:r w:rsidRPr="007956D0">
        <w:rPr>
          <w:rFonts w:ascii="Arial" w:hAnsi="Arial" w:cs="Arial"/>
          <w:noProof/>
        </w:rPr>
        <w:t>privredna društva, druga pravna lica, preduzetnici i fizička lica koja imaju neizmirene poreske obaveze i obaveze po osnovu kazni izrečenih u krivičnom ili prekršajnom postupku, u periodu od najmanje tri godine prije objavljivanja javnog oglasa.</w:t>
      </w:r>
    </w:p>
    <w:p w:rsidR="00A700A0" w:rsidRPr="007956D0" w:rsidRDefault="00A700A0" w:rsidP="00A700A0">
      <w:pPr>
        <w:spacing w:after="0" w:line="240" w:lineRule="auto"/>
        <w:jc w:val="both"/>
        <w:rPr>
          <w:rFonts w:ascii="Arial" w:hAnsi="Arial" w:cs="Arial"/>
          <w:noProof/>
        </w:rPr>
      </w:pPr>
    </w:p>
    <w:p w:rsidR="0044322A" w:rsidRPr="007956D0" w:rsidRDefault="0044322A" w:rsidP="00A700A0">
      <w:pPr>
        <w:spacing w:after="0" w:line="240" w:lineRule="auto"/>
        <w:jc w:val="both"/>
        <w:rPr>
          <w:rFonts w:ascii="Arial" w:hAnsi="Arial" w:cs="Arial"/>
          <w:noProof/>
        </w:rPr>
      </w:pPr>
      <w:r w:rsidRPr="007956D0">
        <w:rPr>
          <w:rFonts w:ascii="Arial" w:hAnsi="Arial" w:cs="Arial"/>
          <w:noProof/>
        </w:rPr>
        <w:t>S tim u vezi, u cilju dokazivanja da je ponuđač podoban da učestvuje u postupku jav</w:t>
      </w:r>
      <w:r w:rsidR="002637DE" w:rsidRPr="007956D0">
        <w:rPr>
          <w:rFonts w:ascii="Arial" w:hAnsi="Arial" w:cs="Arial"/>
          <w:noProof/>
        </w:rPr>
        <w:t>n</w:t>
      </w:r>
      <w:r w:rsidRPr="007956D0">
        <w:rPr>
          <w:rFonts w:ascii="Arial" w:hAnsi="Arial" w:cs="Arial"/>
          <w:noProof/>
        </w:rPr>
        <w:t>og nadmetanja, neophodno je dostaviti sljedeću dokumentaciju:</w:t>
      </w:r>
    </w:p>
    <w:p w:rsidR="00A700A0" w:rsidRPr="007956D0" w:rsidRDefault="00A700A0" w:rsidP="00A700A0">
      <w:pPr>
        <w:spacing w:after="0" w:line="240" w:lineRule="auto"/>
        <w:jc w:val="both"/>
        <w:rPr>
          <w:rFonts w:ascii="Arial" w:hAnsi="Arial" w:cs="Arial"/>
          <w:noProof/>
        </w:rPr>
      </w:pPr>
    </w:p>
    <w:p w:rsidR="0044322A" w:rsidRPr="007956D0" w:rsidRDefault="0044322A" w:rsidP="005B518B">
      <w:pPr>
        <w:pStyle w:val="ListParagraph"/>
        <w:numPr>
          <w:ilvl w:val="0"/>
          <w:numId w:val="17"/>
        </w:numPr>
        <w:spacing w:after="0" w:line="240" w:lineRule="auto"/>
        <w:contextualSpacing w:val="0"/>
        <w:jc w:val="both"/>
        <w:rPr>
          <w:rFonts w:ascii="Arial" w:eastAsia="Times New Roman" w:hAnsi="Arial" w:cs="Arial"/>
          <w:noProof/>
        </w:rPr>
      </w:pPr>
      <w:r w:rsidRPr="007956D0">
        <w:rPr>
          <w:rFonts w:ascii="Arial" w:eastAsia="Times New Roman" w:hAnsi="Arial" w:cs="Arial"/>
          <w:noProof/>
        </w:rPr>
        <w:lastRenderedPageBreak/>
        <w:t>Izvod iz sudskog, ili drugog odgovarajućeg registra države u kojoj ponuđač ima sjedište- dokaz izdaje CRPS;</w:t>
      </w:r>
    </w:p>
    <w:p w:rsidR="0044322A" w:rsidRPr="007956D0" w:rsidRDefault="0044322A" w:rsidP="005B518B">
      <w:pPr>
        <w:pStyle w:val="ListParagraph"/>
        <w:numPr>
          <w:ilvl w:val="0"/>
          <w:numId w:val="10"/>
        </w:numPr>
        <w:spacing w:after="0" w:line="240" w:lineRule="auto"/>
        <w:contextualSpacing w:val="0"/>
        <w:jc w:val="both"/>
        <w:rPr>
          <w:rFonts w:ascii="Arial" w:eastAsia="Times New Roman" w:hAnsi="Arial" w:cs="Arial"/>
          <w:noProof/>
        </w:rPr>
      </w:pPr>
      <w:r w:rsidRPr="007956D0">
        <w:rPr>
          <w:rFonts w:ascii="Arial" w:eastAsia="Times New Roman" w:hAnsi="Arial" w:cs="Arial"/>
          <w:noProof/>
        </w:rPr>
        <w:t>dokaz da protiv privrednog društva, drugog pravnog lica i preduzetnika nije pokrenut postupak stečaja - dokaz/potvrdu izdaje Privredni sud;</w:t>
      </w:r>
    </w:p>
    <w:p w:rsidR="0044322A" w:rsidRPr="007956D0" w:rsidRDefault="0044322A" w:rsidP="005B518B">
      <w:pPr>
        <w:pStyle w:val="ListParagraph"/>
        <w:numPr>
          <w:ilvl w:val="0"/>
          <w:numId w:val="10"/>
        </w:numPr>
        <w:spacing w:after="0" w:line="240" w:lineRule="auto"/>
        <w:contextualSpacing w:val="0"/>
        <w:jc w:val="both"/>
        <w:rPr>
          <w:rFonts w:ascii="Arial" w:eastAsia="Times New Roman" w:hAnsi="Arial" w:cs="Arial"/>
          <w:noProof/>
        </w:rPr>
      </w:pPr>
      <w:r w:rsidRPr="007956D0">
        <w:rPr>
          <w:rFonts w:ascii="Arial" w:eastAsia="Times New Roman" w:hAnsi="Arial" w:cs="Arial"/>
          <w:noProof/>
        </w:rPr>
        <w:t>dokaz da privredno društvo, drugo pravno lica i preduzetnik nijesu pokrenuli postupak dobrovoljne likvidacije - dokaz/potvrdu izdaje CRPS;</w:t>
      </w:r>
    </w:p>
    <w:p w:rsidR="0044322A" w:rsidRPr="007956D0" w:rsidRDefault="0044322A" w:rsidP="005B518B">
      <w:pPr>
        <w:pStyle w:val="ListParagraph"/>
        <w:numPr>
          <w:ilvl w:val="0"/>
          <w:numId w:val="10"/>
        </w:numPr>
        <w:spacing w:after="0" w:line="240" w:lineRule="auto"/>
        <w:contextualSpacing w:val="0"/>
        <w:jc w:val="both"/>
        <w:rPr>
          <w:rFonts w:ascii="Arial" w:eastAsia="Times New Roman" w:hAnsi="Arial" w:cs="Arial"/>
          <w:noProof/>
          <w:u w:val="single"/>
        </w:rPr>
      </w:pPr>
      <w:r w:rsidRPr="007956D0">
        <w:rPr>
          <w:rFonts w:ascii="Arial" w:eastAsia="Times New Roman" w:hAnsi="Arial" w:cs="Arial"/>
          <w:noProof/>
        </w:rPr>
        <w:t xml:space="preserve">dokaz da privredno društvo, drugo pravno lice, preduzetnik i fizičko lice nije pravosnažno osuđeno za krivično djelo izvršeno u vršenju profesionalne djelatnosti – </w:t>
      </w:r>
      <w:r w:rsidRPr="007956D0">
        <w:rPr>
          <w:rFonts w:ascii="Arial" w:eastAsia="Times New Roman" w:hAnsi="Arial" w:cs="Arial"/>
          <w:noProof/>
          <w:u w:val="single"/>
        </w:rPr>
        <w:t>dokaz/potvrdu za privredno društvo, drugo pravno lice i preduzetnika izdaje Ministarstvo pravde,</w:t>
      </w:r>
      <w:r w:rsidRPr="007956D0">
        <w:rPr>
          <w:rFonts w:ascii="Arial" w:eastAsia="Times New Roman" w:hAnsi="Arial" w:cs="Arial"/>
          <w:noProof/>
        </w:rPr>
        <w:t xml:space="preserve"> a za fizička lica dokaz/potvrdu izdaje </w:t>
      </w:r>
      <w:r w:rsidRPr="007956D0">
        <w:rPr>
          <w:rFonts w:ascii="Arial" w:eastAsia="Times New Roman" w:hAnsi="Arial" w:cs="Arial"/>
          <w:noProof/>
          <w:u w:val="single"/>
        </w:rPr>
        <w:t>nadležni Osnovni sud;</w:t>
      </w:r>
    </w:p>
    <w:p w:rsidR="0044322A" w:rsidRPr="007956D0" w:rsidRDefault="0044322A" w:rsidP="005B518B">
      <w:pPr>
        <w:pStyle w:val="ListParagraph"/>
        <w:numPr>
          <w:ilvl w:val="0"/>
          <w:numId w:val="10"/>
        </w:numPr>
        <w:spacing w:after="0" w:line="240" w:lineRule="auto"/>
        <w:contextualSpacing w:val="0"/>
        <w:jc w:val="both"/>
        <w:rPr>
          <w:rFonts w:ascii="Arial" w:eastAsia="Times New Roman" w:hAnsi="Arial" w:cs="Arial"/>
          <w:noProof/>
        </w:rPr>
      </w:pPr>
      <w:r w:rsidRPr="007956D0">
        <w:rPr>
          <w:rFonts w:ascii="Arial" w:eastAsia="Times New Roman" w:hAnsi="Arial" w:cs="Arial"/>
          <w:noProof/>
        </w:rPr>
        <w:t>dokaz da je privredno društvo, drugo pravno lice, preduzetnik i fizičko lice izmirilo obaveze po osnovu svih poreza na državnom i lokalnom nivou – dokaz/e izdaje/u poreski/e organ/i uprave na državnom i lokalnom nivou;</w:t>
      </w:r>
    </w:p>
    <w:p w:rsidR="0044322A" w:rsidRPr="007956D0" w:rsidRDefault="0044322A" w:rsidP="005B518B">
      <w:pPr>
        <w:pStyle w:val="ListParagraph"/>
        <w:numPr>
          <w:ilvl w:val="0"/>
          <w:numId w:val="10"/>
        </w:numPr>
        <w:suppressAutoHyphens/>
        <w:spacing w:after="0" w:line="240" w:lineRule="auto"/>
        <w:contextualSpacing w:val="0"/>
        <w:jc w:val="both"/>
        <w:rPr>
          <w:rFonts w:ascii="Arial" w:eastAsia="Times New Roman" w:hAnsi="Arial" w:cs="Arial"/>
          <w:noProof/>
        </w:rPr>
      </w:pPr>
      <w:r w:rsidRPr="007956D0">
        <w:rPr>
          <w:rFonts w:ascii="Arial" w:eastAsia="Times New Roman" w:hAnsi="Arial" w:cs="Arial"/>
          <w:noProof/>
        </w:rPr>
        <w:t xml:space="preserve">dokaz da privredno društvo, drugo pravno lice, preduzetnik i fizičko lice nema neizmirenih obaveza po osnovu kazni izrečenih u krivičnom ili prekršajnom postupku u periodu od najmanje tri godine prije objavljivanja javnog oglasa- </w:t>
      </w:r>
      <w:r w:rsidRPr="007956D0">
        <w:rPr>
          <w:rFonts w:ascii="Arial" w:eastAsia="Times New Roman" w:hAnsi="Arial" w:cs="Arial"/>
          <w:noProof/>
          <w:u w:val="single"/>
        </w:rPr>
        <w:t>dokaz/potvrdu izdaje Ministarstvo pravde</w:t>
      </w:r>
    </w:p>
    <w:p w:rsidR="00A700A0" w:rsidRPr="007956D0" w:rsidRDefault="00A700A0" w:rsidP="00A700A0">
      <w:pPr>
        <w:spacing w:after="0" w:line="240" w:lineRule="auto"/>
        <w:jc w:val="both"/>
        <w:rPr>
          <w:rFonts w:ascii="Arial" w:hAnsi="Arial" w:cs="Arial"/>
          <w:noProof/>
        </w:rPr>
      </w:pPr>
    </w:p>
    <w:p w:rsidR="0044322A" w:rsidRPr="007956D0" w:rsidRDefault="0044322A" w:rsidP="00A700A0">
      <w:pPr>
        <w:spacing w:after="0" w:line="240" w:lineRule="auto"/>
        <w:jc w:val="both"/>
        <w:rPr>
          <w:rFonts w:ascii="Arial" w:hAnsi="Arial" w:cs="Arial"/>
          <w:noProof/>
        </w:rPr>
      </w:pPr>
      <w:r w:rsidRPr="007956D0">
        <w:rPr>
          <w:rFonts w:ascii="Arial" w:hAnsi="Arial" w:cs="Arial"/>
          <w:noProof/>
        </w:rPr>
        <w:t>Navedeni dokazi ne smiju biti stariji od devedeset (90) dana od dana objavljivanja oglasa.</w:t>
      </w:r>
    </w:p>
    <w:p w:rsidR="0044322A" w:rsidRPr="007956D0" w:rsidRDefault="0044322A" w:rsidP="00A700A0">
      <w:pPr>
        <w:spacing w:after="0" w:line="240" w:lineRule="auto"/>
        <w:jc w:val="both"/>
        <w:rPr>
          <w:rFonts w:ascii="Arial" w:hAnsi="Arial" w:cs="Arial"/>
          <w:noProof/>
        </w:rPr>
      </w:pPr>
      <w:r w:rsidRPr="007956D0">
        <w:rPr>
          <w:rFonts w:ascii="Arial" w:hAnsi="Arial" w:cs="Arial"/>
          <w:noProof/>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A700A0" w:rsidRPr="007956D0" w:rsidRDefault="00A700A0" w:rsidP="00A700A0">
      <w:pPr>
        <w:spacing w:after="0" w:line="240" w:lineRule="auto"/>
        <w:jc w:val="both"/>
        <w:rPr>
          <w:rFonts w:ascii="Arial" w:hAnsi="Arial" w:cs="Arial"/>
          <w:noProof/>
        </w:rPr>
      </w:pPr>
    </w:p>
    <w:p w:rsidR="0044322A" w:rsidRPr="007956D0" w:rsidRDefault="0044322A" w:rsidP="00A700A0">
      <w:pPr>
        <w:spacing w:after="0" w:line="240" w:lineRule="auto"/>
        <w:jc w:val="both"/>
        <w:rPr>
          <w:rFonts w:ascii="Arial" w:hAnsi="Arial" w:cs="Arial"/>
          <w:noProof/>
        </w:rPr>
      </w:pPr>
      <w:r w:rsidRPr="007956D0">
        <w:rPr>
          <w:rFonts w:ascii="Arial" w:hAnsi="Arial" w:cs="Arial"/>
          <w:noProof/>
        </w:rPr>
        <w:t>Pored navedenog, ponuđač je dužan dostaviti i:</w:t>
      </w:r>
    </w:p>
    <w:p w:rsidR="0044322A" w:rsidRPr="007956D0" w:rsidRDefault="0044322A" w:rsidP="005B518B">
      <w:pPr>
        <w:pStyle w:val="Default"/>
        <w:widowControl w:val="0"/>
        <w:numPr>
          <w:ilvl w:val="0"/>
          <w:numId w:val="13"/>
        </w:numPr>
        <w:jc w:val="both"/>
        <w:rPr>
          <w:rFonts w:ascii="Arial" w:eastAsia="Times New Roman" w:hAnsi="Arial" w:cs="Arial"/>
          <w:noProof/>
          <w:color w:val="auto"/>
          <w:sz w:val="22"/>
          <w:szCs w:val="22"/>
        </w:rPr>
      </w:pPr>
      <w:r w:rsidRPr="007956D0">
        <w:rPr>
          <w:rFonts w:ascii="Arial" w:eastAsia="Times New Roman" w:hAnsi="Arial" w:cs="Arial"/>
          <w:noProof/>
          <w:color w:val="auto"/>
          <w:sz w:val="22"/>
          <w:szCs w:val="22"/>
        </w:rPr>
        <w:t>Bankarsku garanciju ponude u skladu sa Uputstvom za podnošenje ponuda i</w:t>
      </w:r>
    </w:p>
    <w:p w:rsidR="0044322A" w:rsidRPr="007956D0" w:rsidRDefault="0044322A" w:rsidP="005B518B">
      <w:pPr>
        <w:pStyle w:val="Default"/>
        <w:widowControl w:val="0"/>
        <w:numPr>
          <w:ilvl w:val="0"/>
          <w:numId w:val="13"/>
        </w:numPr>
        <w:jc w:val="both"/>
        <w:rPr>
          <w:rFonts w:ascii="Arial" w:eastAsia="Times New Roman" w:hAnsi="Arial" w:cs="Arial"/>
          <w:noProof/>
          <w:color w:val="auto"/>
          <w:sz w:val="22"/>
          <w:szCs w:val="22"/>
        </w:rPr>
      </w:pPr>
      <w:r w:rsidRPr="007956D0">
        <w:rPr>
          <w:rFonts w:ascii="Arial" w:eastAsia="Times New Roman" w:hAnsi="Arial" w:cs="Arial"/>
          <w:noProof/>
          <w:color w:val="auto"/>
          <w:sz w:val="22"/>
          <w:szCs w:val="22"/>
        </w:rPr>
        <w:t>Popunjeni Obrazac iz Uputstva za podnošenje ponuda.</w:t>
      </w:r>
    </w:p>
    <w:p w:rsidR="00A700A0" w:rsidRPr="007956D0" w:rsidRDefault="00A700A0" w:rsidP="00A700A0">
      <w:pPr>
        <w:pStyle w:val="Default"/>
        <w:jc w:val="both"/>
        <w:rPr>
          <w:rFonts w:ascii="Arial" w:eastAsia="Times New Roman" w:hAnsi="Arial" w:cs="Arial"/>
          <w:noProof/>
          <w:color w:val="auto"/>
          <w:sz w:val="22"/>
          <w:szCs w:val="22"/>
        </w:rPr>
      </w:pPr>
    </w:p>
    <w:p w:rsidR="0044322A" w:rsidRPr="007956D0" w:rsidRDefault="0044322A" w:rsidP="00A700A0">
      <w:pPr>
        <w:pStyle w:val="Default"/>
        <w:jc w:val="both"/>
        <w:rPr>
          <w:rFonts w:ascii="Arial" w:hAnsi="Arial" w:cs="Arial"/>
          <w:noProof/>
          <w:color w:val="auto"/>
          <w:sz w:val="22"/>
          <w:szCs w:val="22"/>
        </w:rPr>
      </w:pPr>
      <w:r w:rsidRPr="007956D0">
        <w:rPr>
          <w:rFonts w:ascii="Arial" w:eastAsia="Times New Roman" w:hAnsi="Arial" w:cs="Arial"/>
          <w:noProof/>
          <w:color w:val="auto"/>
          <w:sz w:val="22"/>
          <w:szCs w:val="22"/>
        </w:rPr>
        <w:t xml:space="preserve">U slučaju da Ponuđač nastupa kao konzorcijum kompanija, onda je za svakog člana konzorcijuma neophodno dostaviti dokaze kojima se potvrđuje da je član </w:t>
      </w:r>
      <w:r w:rsidRPr="007956D0">
        <w:rPr>
          <w:rFonts w:ascii="Arial" w:hAnsi="Arial" w:cs="Arial"/>
          <w:noProof/>
          <w:color w:val="auto"/>
          <w:sz w:val="22"/>
          <w:szCs w:val="22"/>
        </w:rPr>
        <w:t>podoban da učestvuje u postupku javnog nadmetanja, kao i ugovor o konzorcijumu, koji izričito predviđa:</w:t>
      </w:r>
    </w:p>
    <w:p w:rsidR="0044322A" w:rsidRPr="007956D0" w:rsidRDefault="0044322A" w:rsidP="005B518B">
      <w:pPr>
        <w:pStyle w:val="Default"/>
        <w:widowControl w:val="0"/>
        <w:numPr>
          <w:ilvl w:val="0"/>
          <w:numId w:val="14"/>
        </w:numPr>
        <w:jc w:val="both"/>
        <w:rPr>
          <w:rFonts w:ascii="Arial" w:hAnsi="Arial" w:cs="Arial"/>
          <w:noProof/>
          <w:color w:val="auto"/>
          <w:sz w:val="22"/>
          <w:szCs w:val="22"/>
        </w:rPr>
      </w:pPr>
      <w:r w:rsidRPr="007956D0">
        <w:rPr>
          <w:rFonts w:ascii="Arial" w:hAnsi="Arial" w:cs="Arial"/>
          <w:noProof/>
          <w:color w:val="auto"/>
          <w:sz w:val="22"/>
          <w:szCs w:val="22"/>
        </w:rPr>
        <w:t xml:space="preserve">da će svi članovi konzorcijuma biti solidarno odgovorni za izvršenje Ugovora u skladu sa njegovim uslovima; </w:t>
      </w:r>
    </w:p>
    <w:p w:rsidR="0044322A" w:rsidRPr="007956D0" w:rsidRDefault="0044322A" w:rsidP="005B518B">
      <w:pPr>
        <w:pStyle w:val="Default"/>
        <w:widowControl w:val="0"/>
        <w:numPr>
          <w:ilvl w:val="0"/>
          <w:numId w:val="14"/>
        </w:numPr>
        <w:jc w:val="both"/>
        <w:rPr>
          <w:rFonts w:ascii="Arial" w:hAnsi="Arial" w:cs="Arial"/>
          <w:noProof/>
          <w:color w:val="auto"/>
          <w:sz w:val="22"/>
          <w:szCs w:val="22"/>
        </w:rPr>
      </w:pPr>
      <w:r w:rsidRPr="007956D0">
        <w:rPr>
          <w:rFonts w:ascii="Arial" w:hAnsi="Arial" w:cs="Arial"/>
          <w:noProof/>
          <w:color w:val="auto"/>
          <w:sz w:val="22"/>
          <w:szCs w:val="22"/>
        </w:rPr>
        <w:t>procenat učešća u konzorcijumu;</w:t>
      </w:r>
    </w:p>
    <w:p w:rsidR="0044322A" w:rsidRPr="007956D0" w:rsidRDefault="0044322A" w:rsidP="005B518B">
      <w:pPr>
        <w:pStyle w:val="Default"/>
        <w:widowControl w:val="0"/>
        <w:numPr>
          <w:ilvl w:val="0"/>
          <w:numId w:val="14"/>
        </w:numPr>
        <w:jc w:val="both"/>
        <w:rPr>
          <w:rFonts w:ascii="Arial" w:hAnsi="Arial" w:cs="Arial"/>
          <w:noProof/>
          <w:color w:val="auto"/>
          <w:sz w:val="22"/>
          <w:szCs w:val="22"/>
        </w:rPr>
      </w:pPr>
      <w:r w:rsidRPr="007956D0">
        <w:rPr>
          <w:rFonts w:ascii="Arial" w:hAnsi="Arial" w:cs="Arial"/>
          <w:noProof/>
          <w:color w:val="auto"/>
          <w:sz w:val="22"/>
          <w:szCs w:val="22"/>
        </w:rPr>
        <w:t xml:space="preserve">obaveze svakog člana konzorcijuma i </w:t>
      </w:r>
    </w:p>
    <w:p w:rsidR="0044322A" w:rsidRPr="007956D0" w:rsidRDefault="0044322A" w:rsidP="005B518B">
      <w:pPr>
        <w:pStyle w:val="Default"/>
        <w:widowControl w:val="0"/>
        <w:numPr>
          <w:ilvl w:val="0"/>
          <w:numId w:val="14"/>
        </w:numPr>
        <w:jc w:val="both"/>
        <w:rPr>
          <w:rFonts w:ascii="Arial" w:hAnsi="Arial" w:cs="Arial"/>
          <w:noProof/>
          <w:color w:val="auto"/>
          <w:sz w:val="22"/>
          <w:szCs w:val="22"/>
        </w:rPr>
      </w:pPr>
      <w:r w:rsidRPr="007956D0">
        <w:rPr>
          <w:rFonts w:ascii="Arial" w:hAnsi="Arial" w:cs="Arial"/>
          <w:noProof/>
          <w:color w:val="auto"/>
          <w:sz w:val="22"/>
          <w:szCs w:val="22"/>
        </w:rPr>
        <w:t xml:space="preserve">ovlašćenje jednog člana koji će istupati u ime konzorcijuma. </w:t>
      </w:r>
    </w:p>
    <w:p w:rsidR="00A700A0" w:rsidRPr="007956D0" w:rsidRDefault="00A700A0" w:rsidP="00A700A0">
      <w:pPr>
        <w:pStyle w:val="Default"/>
        <w:jc w:val="both"/>
        <w:rPr>
          <w:rFonts w:ascii="Arial" w:hAnsi="Arial" w:cs="Arial"/>
          <w:noProof/>
          <w:color w:val="auto"/>
          <w:sz w:val="22"/>
          <w:szCs w:val="22"/>
        </w:rPr>
      </w:pPr>
    </w:p>
    <w:p w:rsidR="0044322A" w:rsidRPr="007956D0" w:rsidRDefault="0044322A" w:rsidP="00A700A0">
      <w:pPr>
        <w:pStyle w:val="Default"/>
        <w:jc w:val="both"/>
        <w:rPr>
          <w:rFonts w:ascii="Arial" w:hAnsi="Arial" w:cs="Arial"/>
          <w:noProof/>
          <w:color w:val="auto"/>
          <w:sz w:val="22"/>
          <w:szCs w:val="22"/>
        </w:rPr>
      </w:pPr>
      <w:r w:rsidRPr="007956D0">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w:t>
      </w:r>
    </w:p>
    <w:p w:rsidR="00A700A0" w:rsidRPr="007956D0" w:rsidRDefault="00A700A0" w:rsidP="00A700A0">
      <w:pPr>
        <w:pStyle w:val="Default"/>
        <w:jc w:val="both"/>
        <w:rPr>
          <w:rFonts w:ascii="Arial" w:hAnsi="Arial" w:cs="Arial"/>
          <w:noProof/>
          <w:color w:val="auto"/>
          <w:sz w:val="22"/>
          <w:szCs w:val="22"/>
        </w:rPr>
      </w:pPr>
    </w:p>
    <w:p w:rsidR="00D620F2" w:rsidRPr="007956D0" w:rsidRDefault="00781B19" w:rsidP="00A700A0">
      <w:pPr>
        <w:pStyle w:val="Heading2"/>
        <w:numPr>
          <w:ilvl w:val="1"/>
          <w:numId w:val="0"/>
        </w:numPr>
        <w:spacing w:before="0" w:after="0" w:line="240" w:lineRule="auto"/>
        <w:ind w:left="576" w:hanging="576"/>
        <w:rPr>
          <w:b/>
          <w:noProof/>
        </w:rPr>
      </w:pPr>
      <w:bookmarkStart w:id="60" w:name="_Toc390549929"/>
      <w:bookmarkStart w:id="61" w:name="_Toc401959459"/>
      <w:bookmarkStart w:id="62" w:name="_Toc401959552"/>
      <w:bookmarkStart w:id="63" w:name="_Toc435529040"/>
      <w:bookmarkStart w:id="64" w:name="_Toc436124917"/>
      <w:r w:rsidRPr="007956D0">
        <w:rPr>
          <w:b/>
          <w:noProof/>
        </w:rPr>
        <w:t>1</w:t>
      </w:r>
      <w:r w:rsidR="00E21B44" w:rsidRPr="007956D0">
        <w:rPr>
          <w:b/>
          <w:noProof/>
        </w:rPr>
        <w:t>2</w:t>
      </w:r>
      <w:r w:rsidRPr="007956D0">
        <w:rPr>
          <w:b/>
          <w:noProof/>
        </w:rPr>
        <w:t xml:space="preserve">.2. </w:t>
      </w:r>
      <w:r w:rsidR="00D620F2" w:rsidRPr="007956D0">
        <w:rPr>
          <w:b/>
          <w:noProof/>
        </w:rPr>
        <w:t>Javni oglas</w:t>
      </w:r>
      <w:bookmarkEnd w:id="60"/>
      <w:bookmarkEnd w:id="61"/>
      <w:bookmarkEnd w:id="62"/>
      <w:bookmarkEnd w:id="63"/>
      <w:bookmarkEnd w:id="64"/>
    </w:p>
    <w:p w:rsidR="00A700A0" w:rsidRPr="007956D0" w:rsidRDefault="00A700A0" w:rsidP="00A700A0">
      <w:pPr>
        <w:spacing w:after="0" w:line="240" w:lineRule="auto"/>
        <w:jc w:val="both"/>
        <w:rPr>
          <w:rFonts w:ascii="Arial" w:eastAsia="Times New Roman" w:hAnsi="Arial" w:cs="Arial"/>
          <w:noProof/>
        </w:rPr>
      </w:pPr>
    </w:p>
    <w:p w:rsidR="00DC0935" w:rsidRPr="007956D0" w:rsidRDefault="00D620F2" w:rsidP="00A700A0">
      <w:pPr>
        <w:spacing w:after="0" w:line="240" w:lineRule="auto"/>
        <w:jc w:val="both"/>
        <w:rPr>
          <w:rFonts w:ascii="Arial" w:eastAsia="Times New Roman" w:hAnsi="Arial" w:cs="Arial"/>
          <w:noProof/>
        </w:rPr>
      </w:pPr>
      <w:r w:rsidRPr="007956D0">
        <w:rPr>
          <w:rFonts w:ascii="Arial" w:eastAsia="Times New Roman" w:hAnsi="Arial" w:cs="Arial"/>
          <w:noProof/>
        </w:rPr>
        <w:t xml:space="preserve">Javni oglas, u skladu sa članom 21 Zakona </w:t>
      </w:r>
      <w:r w:rsidR="002637DE" w:rsidRPr="007956D0">
        <w:rPr>
          <w:rFonts w:ascii="Arial" w:eastAsia="Times New Roman" w:hAnsi="Arial" w:cs="Arial"/>
          <w:noProof/>
        </w:rPr>
        <w:t>o koncesijama, objavljuje se u „</w:t>
      </w:r>
      <w:r w:rsidRPr="007956D0">
        <w:rPr>
          <w:rFonts w:ascii="Arial" w:eastAsia="Times New Roman" w:hAnsi="Arial" w:cs="Arial"/>
          <w:noProof/>
        </w:rPr>
        <w:t>Službenom listu Crne Gore”, najmanje u jednom dnevnom štampanom mediju koji se distribuira na te</w:t>
      </w:r>
      <w:r w:rsidR="002637DE" w:rsidRPr="007956D0">
        <w:rPr>
          <w:rFonts w:ascii="Arial" w:eastAsia="Times New Roman" w:hAnsi="Arial" w:cs="Arial"/>
          <w:noProof/>
        </w:rPr>
        <w:t>ritoriji cijele Crne Gore i na i</w:t>
      </w:r>
      <w:r w:rsidRPr="007956D0">
        <w:rPr>
          <w:rFonts w:ascii="Arial" w:eastAsia="Times New Roman" w:hAnsi="Arial" w:cs="Arial"/>
          <w:noProof/>
        </w:rPr>
        <w:t>nternet stranici nadležnog organa, odnosno, u ovom slučaju Ministarstva ekonomije.</w:t>
      </w:r>
    </w:p>
    <w:p w:rsidR="00A700A0" w:rsidRPr="007956D0" w:rsidRDefault="00A700A0" w:rsidP="00A700A0">
      <w:pPr>
        <w:spacing w:after="0" w:line="240" w:lineRule="auto"/>
        <w:jc w:val="both"/>
        <w:rPr>
          <w:rFonts w:ascii="Arial" w:eastAsia="Times New Roman" w:hAnsi="Arial" w:cs="Arial"/>
          <w:noProof/>
        </w:rPr>
      </w:pPr>
    </w:p>
    <w:p w:rsidR="00D620F2" w:rsidRPr="007956D0" w:rsidRDefault="00D620F2" w:rsidP="00A700A0">
      <w:pPr>
        <w:spacing w:after="0" w:line="240" w:lineRule="auto"/>
        <w:jc w:val="both"/>
        <w:rPr>
          <w:rFonts w:ascii="Arial" w:eastAsia="Times New Roman" w:hAnsi="Arial" w:cs="Arial"/>
          <w:noProof/>
        </w:rPr>
      </w:pPr>
      <w:r w:rsidRPr="007956D0">
        <w:rPr>
          <w:rFonts w:ascii="Arial" w:eastAsia="Times New Roman" w:hAnsi="Arial" w:cs="Arial"/>
          <w:noProof/>
        </w:rPr>
        <w:t>Javni oglas za dodjelu predmetne koncesije sadrži sljedeće:</w:t>
      </w:r>
    </w:p>
    <w:p w:rsidR="00D620F2" w:rsidRPr="007956D0" w:rsidRDefault="00D620F2" w:rsidP="005B518B">
      <w:pPr>
        <w:pStyle w:val="ListParagraph"/>
        <w:numPr>
          <w:ilvl w:val="0"/>
          <w:numId w:val="23"/>
        </w:numPr>
        <w:spacing w:after="0" w:line="240" w:lineRule="auto"/>
        <w:rPr>
          <w:rFonts w:ascii="Arial" w:eastAsia="Times New Roman" w:hAnsi="Arial" w:cs="Arial"/>
          <w:noProof/>
        </w:rPr>
      </w:pPr>
      <w:r w:rsidRPr="007956D0">
        <w:rPr>
          <w:rFonts w:ascii="Arial" w:eastAsia="Times New Roman" w:hAnsi="Arial" w:cs="Arial"/>
          <w:noProof/>
        </w:rPr>
        <w:t>opis predmeta koncesije, granice istražno-eksploatacionog prostora;</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osnovne elemente Koncesionog akta;</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lastRenderedPageBreak/>
        <w:t>adresu i rok za dostavljanje ponude na Javni oglas (rok se određuje prema periodu za pripremu ponude i teče od dana objavljivanja javnog oglasa u „Službenom listu Crne Gore“ i ne može biti kraći od 30 dana);</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kriterijume za učešće na Javnom oglasu i mogućnost podnošenja zajedničke ponude;</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pravila prema kojima se Javni oglas sprovodi;</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način dostavljanja ponude;</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moguće vrijeme posjete lokacije na kojoj će se vršiti koncesiona djelatnost;</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datum, vrijeme i mjesto otvaranja prispjelih ponuda na Javni oglas;</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rok u kome se ponuda na Javni oglas može povući;</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određivanje vrste ponude (tehničke i finansijske ili samo finansijske ponude);</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podatke o visini i obliku depozita i garancije i perioda za koji se traže;</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uslove, rok i način vraćanja depozita i garancije;</w:t>
      </w:r>
    </w:p>
    <w:p w:rsidR="00D620F2" w:rsidRPr="007956D0" w:rsidRDefault="00D620F2" w:rsidP="005B518B">
      <w:pPr>
        <w:numPr>
          <w:ilvl w:val="0"/>
          <w:numId w:val="9"/>
        </w:numPr>
        <w:spacing w:after="0" w:line="240" w:lineRule="auto"/>
        <w:jc w:val="both"/>
        <w:rPr>
          <w:rFonts w:ascii="Arial" w:eastAsia="Times New Roman" w:hAnsi="Arial" w:cs="Arial"/>
          <w:noProof/>
        </w:rPr>
      </w:pPr>
      <w:r w:rsidRPr="007956D0">
        <w:rPr>
          <w:rFonts w:ascii="Arial" w:eastAsia="Times New Roman" w:hAnsi="Arial" w:cs="Arial"/>
          <w:noProof/>
        </w:rPr>
        <w:t>ime lica zaduženog za davanje relevantnih informacija u postupku Javnog oglasa;</w:t>
      </w:r>
    </w:p>
    <w:p w:rsidR="00D620F2" w:rsidRPr="007956D0" w:rsidRDefault="00D620F2" w:rsidP="005B518B">
      <w:pPr>
        <w:numPr>
          <w:ilvl w:val="0"/>
          <w:numId w:val="9"/>
        </w:numPr>
        <w:spacing w:after="0" w:line="240" w:lineRule="auto"/>
        <w:jc w:val="both"/>
        <w:rPr>
          <w:rFonts w:ascii="Arial" w:hAnsi="Arial" w:cs="Arial"/>
          <w:noProof/>
        </w:rPr>
      </w:pPr>
      <w:r w:rsidRPr="007956D0">
        <w:rPr>
          <w:rFonts w:ascii="Arial" w:eastAsia="Times New Roman" w:hAnsi="Arial" w:cs="Arial"/>
          <w:noProof/>
        </w:rPr>
        <w:t>mjesto na kojem se može i vrijeme u kojem se može preuzeti Koncesioni akt i Tenderska dokumentacija, kao i cijena Tenderske dokumentacije u visini troškova njene izrade.</w:t>
      </w:r>
    </w:p>
    <w:p w:rsidR="00A700A0" w:rsidRPr="007956D0" w:rsidRDefault="00A700A0" w:rsidP="00A700A0">
      <w:pPr>
        <w:spacing w:after="0" w:line="240" w:lineRule="auto"/>
        <w:jc w:val="both"/>
        <w:rPr>
          <w:rFonts w:ascii="Arial" w:eastAsia="Times New Roman" w:hAnsi="Arial" w:cs="Arial"/>
          <w:noProof/>
        </w:rPr>
      </w:pPr>
    </w:p>
    <w:p w:rsidR="00D620F2" w:rsidRPr="007956D0" w:rsidRDefault="00D620F2" w:rsidP="00A700A0">
      <w:pPr>
        <w:spacing w:after="0" w:line="240" w:lineRule="auto"/>
        <w:jc w:val="both"/>
        <w:rPr>
          <w:rFonts w:ascii="Arial" w:eastAsia="Times New Roman" w:hAnsi="Arial" w:cs="Arial"/>
          <w:noProof/>
        </w:rPr>
      </w:pPr>
      <w:r w:rsidRPr="007956D0">
        <w:rPr>
          <w:rFonts w:ascii="Arial" w:eastAsia="Times New Roman" w:hAnsi="Arial" w:cs="Arial"/>
          <w:noProof/>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65" w:name="_Toc390549930"/>
    </w:p>
    <w:p w:rsidR="00A700A0" w:rsidRPr="007956D0" w:rsidRDefault="00A700A0" w:rsidP="00A700A0">
      <w:pPr>
        <w:spacing w:after="0" w:line="240" w:lineRule="auto"/>
        <w:jc w:val="both"/>
        <w:rPr>
          <w:rFonts w:ascii="Arial" w:eastAsia="Times New Roman" w:hAnsi="Arial" w:cs="Arial"/>
          <w:noProof/>
        </w:rPr>
      </w:pPr>
    </w:p>
    <w:p w:rsidR="00D620F2" w:rsidRPr="007956D0" w:rsidRDefault="00781B19" w:rsidP="00A700A0">
      <w:pPr>
        <w:pStyle w:val="Heading2"/>
        <w:numPr>
          <w:ilvl w:val="1"/>
          <w:numId w:val="0"/>
        </w:numPr>
        <w:spacing w:before="0" w:after="0" w:line="240" w:lineRule="auto"/>
        <w:ind w:left="576" w:hanging="576"/>
        <w:rPr>
          <w:b/>
          <w:noProof/>
        </w:rPr>
      </w:pPr>
      <w:bookmarkStart w:id="66" w:name="_Toc401959460"/>
      <w:bookmarkStart w:id="67" w:name="_Toc401959553"/>
      <w:bookmarkStart w:id="68" w:name="_Toc435529041"/>
      <w:bookmarkStart w:id="69" w:name="_Toc436124918"/>
      <w:r w:rsidRPr="007956D0">
        <w:rPr>
          <w:b/>
          <w:noProof/>
        </w:rPr>
        <w:t>1</w:t>
      </w:r>
      <w:r w:rsidR="00E21B44" w:rsidRPr="007956D0">
        <w:rPr>
          <w:b/>
          <w:noProof/>
        </w:rPr>
        <w:t>2</w:t>
      </w:r>
      <w:r w:rsidRPr="007956D0">
        <w:rPr>
          <w:b/>
          <w:noProof/>
        </w:rPr>
        <w:t xml:space="preserve">.3. </w:t>
      </w:r>
      <w:r w:rsidR="00D620F2" w:rsidRPr="007956D0">
        <w:rPr>
          <w:b/>
          <w:noProof/>
        </w:rPr>
        <w:t>Ugovor o koncesiji</w:t>
      </w:r>
      <w:bookmarkEnd w:id="65"/>
      <w:bookmarkEnd w:id="66"/>
      <w:bookmarkEnd w:id="67"/>
      <w:bookmarkEnd w:id="68"/>
      <w:bookmarkEnd w:id="69"/>
    </w:p>
    <w:p w:rsidR="00A700A0" w:rsidRPr="007956D0" w:rsidRDefault="00A700A0" w:rsidP="00A700A0">
      <w:pPr>
        <w:spacing w:after="0" w:line="240" w:lineRule="auto"/>
        <w:jc w:val="both"/>
        <w:rPr>
          <w:rFonts w:ascii="Arial" w:eastAsia="Times New Roman" w:hAnsi="Arial" w:cs="Arial"/>
          <w:noProof/>
        </w:rPr>
      </w:pPr>
    </w:p>
    <w:p w:rsidR="00D620F2" w:rsidRPr="007956D0" w:rsidRDefault="00D620F2" w:rsidP="00A700A0">
      <w:pPr>
        <w:spacing w:after="0" w:line="240" w:lineRule="auto"/>
        <w:jc w:val="both"/>
        <w:rPr>
          <w:rFonts w:ascii="Arial" w:hAnsi="Arial" w:cs="Arial"/>
          <w:noProof/>
        </w:rPr>
      </w:pPr>
      <w:r w:rsidRPr="007956D0">
        <w:rPr>
          <w:rFonts w:ascii="Arial" w:eastAsia="Times New Roman" w:hAnsi="Arial" w:cs="Arial"/>
          <w:noProof/>
        </w:rPr>
        <w:t>Sastavni dio Tenederske dokumentacije je i Nacrt</w:t>
      </w:r>
      <w:r w:rsidRPr="007956D0">
        <w:rPr>
          <w:rFonts w:ascii="Arial" w:hAnsi="Arial" w:cs="Arial"/>
          <w:noProof/>
        </w:rPr>
        <w:t xml:space="preserve"> ugovora o koncesiji, koji je dat kao Prilog Koncesionog akta.</w:t>
      </w:r>
    </w:p>
    <w:p w:rsidR="00A700A0" w:rsidRPr="007956D0" w:rsidRDefault="00A700A0" w:rsidP="00A700A0">
      <w:pPr>
        <w:spacing w:after="0" w:line="240" w:lineRule="auto"/>
        <w:jc w:val="both"/>
        <w:rPr>
          <w:rFonts w:ascii="Arial" w:hAnsi="Arial" w:cs="Arial"/>
          <w:noProof/>
        </w:rPr>
      </w:pPr>
    </w:p>
    <w:p w:rsidR="00D620F2" w:rsidRPr="007956D0" w:rsidRDefault="00781B19" w:rsidP="00A700A0">
      <w:pPr>
        <w:pStyle w:val="Heading2"/>
        <w:numPr>
          <w:ilvl w:val="1"/>
          <w:numId w:val="0"/>
        </w:numPr>
        <w:spacing w:before="0" w:after="0" w:line="240" w:lineRule="auto"/>
        <w:ind w:left="576" w:hanging="576"/>
        <w:rPr>
          <w:b/>
          <w:noProof/>
        </w:rPr>
      </w:pPr>
      <w:bookmarkStart w:id="70" w:name="_Toc390549931"/>
      <w:bookmarkStart w:id="71" w:name="_Toc401959461"/>
      <w:bookmarkStart w:id="72" w:name="_Toc401959554"/>
      <w:bookmarkStart w:id="73" w:name="_Toc435529042"/>
      <w:bookmarkStart w:id="74" w:name="_Toc436124919"/>
      <w:r w:rsidRPr="007956D0">
        <w:rPr>
          <w:b/>
          <w:noProof/>
        </w:rPr>
        <w:t>1</w:t>
      </w:r>
      <w:r w:rsidR="00E21B44" w:rsidRPr="007956D0">
        <w:rPr>
          <w:b/>
          <w:noProof/>
        </w:rPr>
        <w:t>2</w:t>
      </w:r>
      <w:r w:rsidRPr="007956D0">
        <w:rPr>
          <w:b/>
          <w:noProof/>
        </w:rPr>
        <w:t xml:space="preserve">.4. </w:t>
      </w:r>
      <w:r w:rsidR="00D620F2" w:rsidRPr="007956D0">
        <w:rPr>
          <w:b/>
          <w:noProof/>
        </w:rPr>
        <w:t>Uputstvo za podnošenje ponuda</w:t>
      </w:r>
      <w:bookmarkEnd w:id="70"/>
      <w:bookmarkEnd w:id="71"/>
      <w:bookmarkEnd w:id="72"/>
      <w:bookmarkEnd w:id="73"/>
      <w:bookmarkEnd w:id="74"/>
    </w:p>
    <w:p w:rsidR="00A700A0" w:rsidRPr="007956D0" w:rsidRDefault="00A700A0" w:rsidP="00A700A0">
      <w:pPr>
        <w:spacing w:after="0" w:line="240" w:lineRule="auto"/>
        <w:jc w:val="both"/>
        <w:rPr>
          <w:rFonts w:ascii="Arial" w:eastAsia="Times New Roman" w:hAnsi="Arial" w:cs="Arial"/>
          <w:noProof/>
        </w:rPr>
      </w:pPr>
    </w:p>
    <w:p w:rsidR="00D620F2" w:rsidRPr="007956D0" w:rsidRDefault="00D620F2" w:rsidP="00A700A0">
      <w:pPr>
        <w:spacing w:after="0" w:line="240" w:lineRule="auto"/>
        <w:jc w:val="both"/>
        <w:rPr>
          <w:rFonts w:ascii="Arial" w:hAnsi="Arial" w:cs="Arial"/>
          <w:noProof/>
        </w:rPr>
      </w:pPr>
      <w:r w:rsidRPr="007956D0">
        <w:rPr>
          <w:rFonts w:ascii="Arial" w:eastAsia="Times New Roman" w:hAnsi="Arial" w:cs="Arial"/>
          <w:noProof/>
        </w:rPr>
        <w:t xml:space="preserve">Sastavni dio Tenederske dokumentacije je i </w:t>
      </w:r>
      <w:r w:rsidRPr="007956D0">
        <w:rPr>
          <w:rFonts w:ascii="Arial" w:hAnsi="Arial" w:cs="Arial"/>
          <w:noProof/>
        </w:rPr>
        <w:t>Uputstvo za podnošenje ponuda, koj</w:t>
      </w:r>
      <w:r w:rsidR="002637DE" w:rsidRPr="007956D0">
        <w:rPr>
          <w:rFonts w:ascii="Arial" w:hAnsi="Arial" w:cs="Arial"/>
          <w:noProof/>
        </w:rPr>
        <w:t>e</w:t>
      </w:r>
      <w:r w:rsidRPr="007956D0">
        <w:rPr>
          <w:rFonts w:ascii="Arial" w:hAnsi="Arial" w:cs="Arial"/>
          <w:noProof/>
        </w:rPr>
        <w:t xml:space="preserve"> je dato kao Prilog Koncesionog akta.</w:t>
      </w:r>
    </w:p>
    <w:p w:rsidR="00647F27" w:rsidRPr="007956D0" w:rsidRDefault="00647F27" w:rsidP="00A700A0">
      <w:pPr>
        <w:spacing w:after="0" w:line="240" w:lineRule="auto"/>
        <w:jc w:val="both"/>
        <w:rPr>
          <w:rFonts w:ascii="Arial" w:hAnsi="Arial" w:cs="Arial"/>
          <w:noProof/>
        </w:rPr>
      </w:pPr>
    </w:p>
    <w:p w:rsidR="00D620F2" w:rsidRPr="007956D0" w:rsidRDefault="00323187" w:rsidP="005B518B">
      <w:pPr>
        <w:pStyle w:val="Heading1"/>
        <w:numPr>
          <w:ilvl w:val="0"/>
          <w:numId w:val="18"/>
        </w:numPr>
        <w:ind w:left="360"/>
        <w:rPr>
          <w:noProof/>
        </w:rPr>
      </w:pPr>
      <w:bookmarkStart w:id="75" w:name="_Toc4581268"/>
      <w:bookmarkStart w:id="76" w:name="_Toc401959462"/>
      <w:bookmarkStart w:id="77" w:name="_Toc401959555"/>
      <w:bookmarkStart w:id="78" w:name="_Toc435529043"/>
      <w:bookmarkStart w:id="79" w:name="_Toc436124920"/>
      <w:r w:rsidRPr="007956D0">
        <w:rPr>
          <w:noProof/>
        </w:rPr>
        <w:t>SPISAK PROPISA KOJI SE PRIMIJENJUJU U POSTUPKU DAVANJA KONCESIJE I U VRŠENJU KONCESIONE DJELATNOSTI</w:t>
      </w:r>
      <w:bookmarkEnd w:id="75"/>
      <w:r w:rsidRPr="007956D0">
        <w:rPr>
          <w:noProof/>
        </w:rPr>
        <w:t xml:space="preserve"> </w:t>
      </w:r>
      <w:bookmarkEnd w:id="76"/>
      <w:bookmarkEnd w:id="77"/>
      <w:bookmarkEnd w:id="78"/>
      <w:bookmarkEnd w:id="79"/>
    </w:p>
    <w:p w:rsidR="00A700A0" w:rsidRPr="007956D0" w:rsidRDefault="00A700A0" w:rsidP="00A700A0">
      <w:pPr>
        <w:spacing w:after="0" w:line="240" w:lineRule="auto"/>
        <w:jc w:val="both"/>
        <w:rPr>
          <w:rFonts w:ascii="Arial" w:hAnsi="Arial" w:cs="Arial"/>
          <w:noProof/>
        </w:rPr>
      </w:pPr>
    </w:p>
    <w:p w:rsidR="0044322A" w:rsidRPr="007956D0" w:rsidRDefault="0044322A" w:rsidP="00A700A0">
      <w:pPr>
        <w:spacing w:after="0" w:line="240" w:lineRule="auto"/>
        <w:jc w:val="both"/>
        <w:rPr>
          <w:rFonts w:ascii="Arial" w:eastAsia="Times New Roman" w:hAnsi="Arial" w:cs="Arial"/>
          <w:noProof/>
        </w:rPr>
      </w:pPr>
      <w:r w:rsidRPr="007956D0">
        <w:rPr>
          <w:rFonts w:ascii="Arial" w:hAnsi="Arial" w:cs="Arial"/>
          <w:noProof/>
        </w:rPr>
        <w:t>P</w:t>
      </w:r>
      <w:r w:rsidRPr="007956D0">
        <w:rPr>
          <w:rFonts w:ascii="Arial" w:eastAsia="Times New Roman" w:hAnsi="Arial" w:cs="Arial"/>
          <w:noProof/>
        </w:rPr>
        <w:t>ropisi koji se primijenjuju u postupku</w:t>
      </w:r>
      <w:r w:rsidRPr="007956D0">
        <w:rPr>
          <w:rFonts w:ascii="Arial" w:hAnsi="Arial" w:cs="Arial"/>
          <w:noProof/>
        </w:rPr>
        <w:t xml:space="preserve"> davanja koncesije i</w:t>
      </w:r>
      <w:r w:rsidRPr="007956D0">
        <w:rPr>
          <w:rFonts w:ascii="Arial" w:eastAsia="Times New Roman" w:hAnsi="Arial" w:cs="Arial"/>
          <w:noProof/>
        </w:rPr>
        <w:t xml:space="preserve"> vršenja koncesione djelatnosti: </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Zakon o k</w:t>
      </w:r>
      <w:r w:rsidR="007455EB" w:rsidRPr="007956D0">
        <w:rPr>
          <w:rFonts w:ascii="Arial" w:hAnsi="Arial" w:cs="Arial"/>
          <w:noProof/>
        </w:rPr>
        <w:t xml:space="preserve">oncesijama (“Sl. list CG”, br. </w:t>
      </w:r>
      <w:r w:rsidRPr="007956D0">
        <w:rPr>
          <w:rFonts w:ascii="Arial" w:hAnsi="Arial" w:cs="Arial"/>
          <w:noProof/>
        </w:rPr>
        <w:t>8/09);</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 xml:space="preserve">Uredba o bližem načinu sprovođenja postupka javnog nadmetanja u otvorenom i dvostepenom postupku davanja koncesije </w:t>
      </w:r>
      <w:r w:rsidR="007455EB" w:rsidRPr="007956D0">
        <w:rPr>
          <w:rFonts w:ascii="Arial" w:eastAsia="Times New Roman" w:hAnsi="Arial" w:cs="Arial"/>
          <w:noProof/>
        </w:rPr>
        <w:t>(“Sl. list CG”, br. 67</w:t>
      </w:r>
      <w:r w:rsidRPr="007956D0">
        <w:rPr>
          <w:rFonts w:ascii="Arial" w:eastAsia="Times New Roman" w:hAnsi="Arial" w:cs="Arial"/>
          <w:noProof/>
        </w:rPr>
        <w:t>/09);</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Zakon o rudarstvu („Sl. list CG“, br. 65/08</w:t>
      </w:r>
      <w:r w:rsidR="007455EB" w:rsidRPr="007956D0">
        <w:rPr>
          <w:rFonts w:ascii="Arial" w:hAnsi="Arial" w:cs="Arial"/>
          <w:noProof/>
        </w:rPr>
        <w:t>, 74/10 i 40/11</w:t>
      </w:r>
      <w:r w:rsidRPr="007956D0">
        <w:rPr>
          <w:rFonts w:ascii="Arial" w:hAnsi="Arial" w:cs="Arial"/>
          <w:noProof/>
        </w:rPr>
        <w:t>);</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Zakon o geološkim istraživanjima (‘’Sl. list RCG’’, br. 28/93, 27/94, 42/94 i 26/07 i „Sl. list CG“, br. 28/11);</w:t>
      </w:r>
    </w:p>
    <w:p w:rsidR="0044322A" w:rsidRPr="007956D0" w:rsidRDefault="0044322A" w:rsidP="005B518B">
      <w:pPr>
        <w:pStyle w:val="ListParagraph"/>
        <w:numPr>
          <w:ilvl w:val="0"/>
          <w:numId w:val="16"/>
        </w:numPr>
        <w:suppressAutoHyphens/>
        <w:spacing w:after="0" w:line="240" w:lineRule="auto"/>
        <w:jc w:val="both"/>
        <w:rPr>
          <w:rFonts w:ascii="Arial" w:eastAsia="Times New Roman" w:hAnsi="Arial" w:cs="Arial"/>
          <w:noProof/>
        </w:rPr>
      </w:pPr>
      <w:r w:rsidRPr="007956D0">
        <w:rPr>
          <w:rFonts w:ascii="Arial" w:hAnsi="Arial" w:cs="Arial"/>
          <w:noProof/>
        </w:rPr>
        <w:t>Zakon o zaštiti i zdravlju na radu  („Sl. list CG“, br. 34/14);</w:t>
      </w:r>
    </w:p>
    <w:p w:rsidR="0044322A" w:rsidRPr="007956D0" w:rsidRDefault="0044322A" w:rsidP="005B518B">
      <w:pPr>
        <w:pStyle w:val="ListParagraph"/>
        <w:numPr>
          <w:ilvl w:val="0"/>
          <w:numId w:val="16"/>
        </w:numPr>
        <w:suppressAutoHyphens/>
        <w:spacing w:after="0" w:line="240" w:lineRule="auto"/>
        <w:jc w:val="both"/>
        <w:rPr>
          <w:rFonts w:ascii="Arial" w:eastAsia="Times New Roman" w:hAnsi="Arial" w:cs="Arial"/>
          <w:noProof/>
        </w:rPr>
      </w:pPr>
      <w:r w:rsidRPr="007956D0">
        <w:rPr>
          <w:rFonts w:ascii="Arial" w:hAnsi="Arial" w:cs="Arial"/>
          <w:noProof/>
        </w:rPr>
        <w:t>Zakon o planiranju prostora i izgradnji objekata (“Sl. list CG”, br. 64/17);</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Zakon o procjeni uticaja na životnu sredinu („Sl. list RCG“, br. 80/05 i „Sl. list CG“, br. 40/10, 73/10, 40/11, 27/13 i 52/16);</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Zakon o zaštiti prirode („Sl. list CG“, br. 54/16);</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Zakon o životnoj sredini („Sl. list CG“, br. 52/16);</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Zakon o zaštiti kulturnih dobara Crne Gore („Sl</w:t>
      </w:r>
      <w:r w:rsidR="00635A6D" w:rsidRPr="007956D0">
        <w:rPr>
          <w:rFonts w:ascii="Arial" w:hAnsi="Arial" w:cs="Arial"/>
          <w:noProof/>
        </w:rPr>
        <w:t xml:space="preserve">. </w:t>
      </w:r>
      <w:r w:rsidRPr="007956D0">
        <w:rPr>
          <w:rFonts w:ascii="Arial" w:hAnsi="Arial" w:cs="Arial"/>
          <w:noProof/>
        </w:rPr>
        <w:t>list CG“, br. 49/10);</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Zakon o državnoj imovini (“Sl. list CG”, br. 21/09 i 40/11);</w:t>
      </w:r>
    </w:p>
    <w:p w:rsidR="00CB48EF" w:rsidRPr="007956D0" w:rsidRDefault="00CB48EF"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Zakon o zaštiti konkurencije („Sl. list CG“, br. 44/12 i 13/18);</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Uredba o kriterijumima i načinu obračuna iznosa minimalne koncesione naknade za ustupanje prava na istraživanje i eksploataciju mineralnih sirovina („Sl. list CG“, br. 37/11 i 40/16);</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lastRenderedPageBreak/>
        <w:t>Uredba o visini sredstava za sanaciju i rekultivaciju prostora na kojem se izvode rudarski radovi, način obračunavanja, plaćanja i korišćenja tih sredstava („Sl. list CG“, br. 51/11);</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Pravlnik o klasifikaciji, kategorizaciji i proračunu rezervi čvrstih mineralnih sirovina i vođenju evidencije o njima („Sl. list SFRJ“, br. 53/79);</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Pravilnik o rudarskim mjerenjima („Sl. list RCG“, br. 26/94);</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Pravilnik o izradi projekata geoloških istraživanja („Sl. list SRCG“, br. 09/85 i 16/85);</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Pravilnik o sadržini rudarskih projekata („Sl. list CG“, br. 74/09);</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Pravilnik o tehničkim normativima za površinsku eksploataciju ležišta mineralnih sirovina („Sl. list SFRJ“, br. 62/87);</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Pravilnik o tehničkim normativima za površinsku eksploataciju arhitektonsko-građevinskog (ukrasnog) kamena, tehničko-građevinskog kamena, šljunka i pijeska i preradu arhitektonsko-građevinskog (ukrasnog) kamena („Sl. list SFRJ“, br. 11/86);</w:t>
      </w:r>
    </w:p>
    <w:p w:rsidR="0044322A"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hAnsi="Arial" w:cs="Arial"/>
          <w:noProof/>
        </w:rPr>
        <w:t xml:space="preserve">Uputstvo o izradi godišnjeg tehničkog izvještaja i godišnjeg finansijskog izvještaja o poslovanju koncesionara koji imaju pravo na eksploataciju mineralnih sirovina („Sl. list RCG“, br. 10/95) i </w:t>
      </w:r>
    </w:p>
    <w:p w:rsidR="00A700A0" w:rsidRPr="007956D0" w:rsidRDefault="0044322A" w:rsidP="005B518B">
      <w:pPr>
        <w:pStyle w:val="ListParagraph"/>
        <w:numPr>
          <w:ilvl w:val="0"/>
          <w:numId w:val="16"/>
        </w:numPr>
        <w:suppressAutoHyphens/>
        <w:spacing w:after="0" w:line="240" w:lineRule="auto"/>
        <w:jc w:val="both"/>
        <w:rPr>
          <w:rFonts w:ascii="Arial" w:hAnsi="Arial" w:cs="Arial"/>
          <w:noProof/>
        </w:rPr>
      </w:pPr>
      <w:r w:rsidRPr="007956D0">
        <w:rPr>
          <w:rFonts w:ascii="Arial" w:eastAsia="Times New Roman" w:hAnsi="Arial" w:cs="Arial"/>
          <w:noProof/>
        </w:rPr>
        <w:t>ostali propisi.</w:t>
      </w:r>
    </w:p>
    <w:p w:rsidR="00FA3E55" w:rsidRPr="007956D0" w:rsidRDefault="00FA3E55" w:rsidP="00A700A0">
      <w:pPr>
        <w:pStyle w:val="ListParagraph"/>
        <w:suppressAutoHyphens/>
        <w:spacing w:after="0" w:line="240" w:lineRule="auto"/>
        <w:ind w:left="0"/>
        <w:contextualSpacing w:val="0"/>
        <w:jc w:val="both"/>
        <w:rPr>
          <w:rFonts w:ascii="Arial" w:eastAsia="Times New Roman" w:hAnsi="Arial" w:cs="Arial"/>
          <w:b/>
          <w:noProof/>
        </w:rPr>
      </w:pPr>
    </w:p>
    <w:p w:rsidR="0044322A" w:rsidRPr="007956D0" w:rsidRDefault="0044322A" w:rsidP="00A700A0">
      <w:pPr>
        <w:pStyle w:val="ListParagraph"/>
        <w:suppressAutoHyphens/>
        <w:spacing w:after="0" w:line="240" w:lineRule="auto"/>
        <w:ind w:left="0"/>
        <w:contextualSpacing w:val="0"/>
        <w:jc w:val="both"/>
        <w:rPr>
          <w:rFonts w:ascii="Arial" w:hAnsi="Arial" w:cs="Arial"/>
          <w:noProof/>
        </w:rPr>
      </w:pPr>
      <w:r w:rsidRPr="007956D0">
        <w:rPr>
          <w:rFonts w:ascii="Arial" w:eastAsia="Times New Roman" w:hAnsi="Arial" w:cs="Arial"/>
          <w:b/>
          <w:noProof/>
        </w:rPr>
        <w:t>Napomena</w:t>
      </w:r>
    </w:p>
    <w:p w:rsidR="00A700A0" w:rsidRPr="007956D0" w:rsidRDefault="00A700A0" w:rsidP="00A700A0">
      <w:pPr>
        <w:pStyle w:val="ListParagraph"/>
        <w:suppressAutoHyphens/>
        <w:spacing w:after="0" w:line="240" w:lineRule="auto"/>
        <w:ind w:left="0"/>
        <w:jc w:val="both"/>
        <w:rPr>
          <w:rFonts w:ascii="Arial" w:eastAsia="Times New Roman" w:hAnsi="Arial" w:cs="Arial"/>
          <w:noProof/>
        </w:rPr>
      </w:pPr>
    </w:p>
    <w:p w:rsidR="0044322A" w:rsidRPr="007956D0" w:rsidRDefault="0044322A" w:rsidP="00A700A0">
      <w:pPr>
        <w:pStyle w:val="ListParagraph"/>
        <w:suppressAutoHyphens/>
        <w:spacing w:after="0" w:line="240" w:lineRule="auto"/>
        <w:ind w:left="0"/>
        <w:jc w:val="both"/>
        <w:rPr>
          <w:rFonts w:ascii="Arial" w:eastAsia="Times New Roman" w:hAnsi="Arial" w:cs="Arial"/>
          <w:noProof/>
        </w:rPr>
      </w:pPr>
      <w:r w:rsidRPr="007956D0">
        <w:rPr>
          <w:rFonts w:ascii="Arial" w:eastAsia="Times New Roman" w:hAnsi="Arial" w:cs="Arial"/>
          <w:noProof/>
        </w:rPr>
        <w:t>Prikazani parametri i podaci predstavljaju samo okvirnu, aproksimativnu ocjenu ekonomske opravdanosti investicije i nijesu garancija investitorima na osnovu koje imaju pravo na bilo kakvu štetu, već ponuđač prihvata kompletan rizik prilikom podnošenja ponude.</w:t>
      </w:r>
    </w:p>
    <w:p w:rsidR="00A700A0" w:rsidRPr="007956D0" w:rsidRDefault="00A700A0" w:rsidP="00A700A0">
      <w:pPr>
        <w:pStyle w:val="ListParagraph"/>
        <w:suppressAutoHyphens/>
        <w:spacing w:after="0" w:line="240" w:lineRule="auto"/>
        <w:ind w:left="0"/>
        <w:jc w:val="both"/>
        <w:rPr>
          <w:rFonts w:ascii="Arial" w:eastAsia="Times New Roman" w:hAnsi="Arial" w:cs="Arial"/>
          <w:noProof/>
        </w:rPr>
      </w:pPr>
    </w:p>
    <w:p w:rsidR="00544A09" w:rsidRPr="007956D0" w:rsidRDefault="00544A09" w:rsidP="00A700A0">
      <w:pPr>
        <w:pStyle w:val="ListParagraph"/>
        <w:suppressAutoHyphens/>
        <w:spacing w:after="0" w:line="240" w:lineRule="auto"/>
        <w:ind w:left="0"/>
        <w:jc w:val="both"/>
        <w:rPr>
          <w:rFonts w:ascii="Arial" w:eastAsia="Times New Roman" w:hAnsi="Arial" w:cs="Arial"/>
          <w:noProof/>
        </w:rPr>
      </w:pPr>
    </w:p>
    <w:p w:rsidR="00544A09" w:rsidRPr="007956D0" w:rsidRDefault="00544A09" w:rsidP="00A700A0">
      <w:pPr>
        <w:pStyle w:val="ListParagraph"/>
        <w:suppressAutoHyphens/>
        <w:spacing w:after="0" w:line="240" w:lineRule="auto"/>
        <w:ind w:left="0"/>
        <w:jc w:val="both"/>
        <w:rPr>
          <w:rFonts w:ascii="Arial" w:eastAsia="Times New Roman" w:hAnsi="Arial" w:cs="Arial"/>
          <w:noProof/>
        </w:rPr>
      </w:pPr>
    </w:p>
    <w:p w:rsidR="00544A09" w:rsidRPr="007956D0" w:rsidRDefault="00544A09" w:rsidP="00A700A0">
      <w:pPr>
        <w:pStyle w:val="ListParagraph"/>
        <w:suppressAutoHyphens/>
        <w:spacing w:after="0" w:line="240" w:lineRule="auto"/>
        <w:ind w:left="0"/>
        <w:jc w:val="both"/>
        <w:rPr>
          <w:rFonts w:ascii="Arial" w:eastAsia="Times New Roman" w:hAnsi="Arial" w:cs="Arial"/>
          <w:noProof/>
        </w:rPr>
      </w:pPr>
    </w:p>
    <w:p w:rsidR="00544A09" w:rsidRPr="007956D0" w:rsidRDefault="00544A09" w:rsidP="00A700A0">
      <w:pPr>
        <w:pStyle w:val="ListParagraph"/>
        <w:suppressAutoHyphens/>
        <w:spacing w:after="0" w:line="240" w:lineRule="auto"/>
        <w:ind w:left="0"/>
        <w:jc w:val="both"/>
        <w:rPr>
          <w:rFonts w:ascii="Arial" w:eastAsia="Times New Roman" w:hAnsi="Arial" w:cs="Arial"/>
          <w:noProof/>
        </w:rPr>
      </w:pPr>
    </w:p>
    <w:p w:rsidR="00544A09" w:rsidRPr="007956D0" w:rsidRDefault="00544A09" w:rsidP="00A700A0">
      <w:pPr>
        <w:pStyle w:val="ListParagraph"/>
        <w:suppressAutoHyphens/>
        <w:spacing w:after="0" w:line="240" w:lineRule="auto"/>
        <w:ind w:left="0"/>
        <w:jc w:val="both"/>
        <w:rPr>
          <w:rFonts w:ascii="Arial" w:eastAsia="Times New Roman" w:hAnsi="Arial" w:cs="Arial"/>
          <w:noProof/>
        </w:rPr>
      </w:pPr>
    </w:p>
    <w:p w:rsidR="0044322A" w:rsidRPr="007956D0" w:rsidRDefault="0044322A" w:rsidP="00A700A0">
      <w:pPr>
        <w:spacing w:after="0" w:line="240" w:lineRule="auto"/>
        <w:jc w:val="both"/>
        <w:rPr>
          <w:rFonts w:ascii="Arial" w:hAnsi="Arial" w:cs="Arial"/>
          <w:b/>
          <w:bCs/>
          <w:noProof/>
        </w:rPr>
      </w:pPr>
      <w:r w:rsidRPr="007956D0">
        <w:rPr>
          <w:rFonts w:ascii="Arial" w:hAnsi="Arial" w:cs="Arial"/>
          <w:b/>
          <w:bCs/>
          <w:noProof/>
        </w:rPr>
        <w:t>P R I L O Z I</w:t>
      </w:r>
    </w:p>
    <w:p w:rsidR="00A700A0" w:rsidRPr="007956D0" w:rsidRDefault="00A700A0" w:rsidP="00A700A0">
      <w:pPr>
        <w:spacing w:after="0" w:line="240" w:lineRule="auto"/>
        <w:jc w:val="both"/>
        <w:rPr>
          <w:rFonts w:ascii="Arial" w:hAnsi="Arial" w:cs="Arial"/>
          <w:noProof/>
        </w:rPr>
      </w:pPr>
    </w:p>
    <w:p w:rsidR="0044322A" w:rsidRPr="007956D0" w:rsidRDefault="0044322A" w:rsidP="00A700A0">
      <w:pPr>
        <w:spacing w:after="0" w:line="240" w:lineRule="auto"/>
        <w:jc w:val="both"/>
        <w:rPr>
          <w:rFonts w:ascii="Arial" w:hAnsi="Arial" w:cs="Arial"/>
          <w:noProof/>
        </w:rPr>
      </w:pPr>
      <w:r w:rsidRPr="007956D0">
        <w:rPr>
          <w:rFonts w:ascii="Arial" w:hAnsi="Arial" w:cs="Arial"/>
          <w:b/>
          <w:noProof/>
        </w:rPr>
        <w:t>1.</w:t>
      </w:r>
      <w:r w:rsidRPr="007956D0">
        <w:rPr>
          <w:rFonts w:ascii="Arial" w:hAnsi="Arial" w:cs="Arial"/>
          <w:noProof/>
        </w:rPr>
        <w:t xml:space="preserve"> </w:t>
      </w:r>
      <w:r w:rsidR="00F64494" w:rsidRPr="007956D0">
        <w:rPr>
          <w:rFonts w:ascii="Arial" w:hAnsi="Arial" w:cs="Arial"/>
          <w:noProof/>
        </w:rPr>
        <w:t>Nacrt</w:t>
      </w:r>
      <w:r w:rsidRPr="007956D0">
        <w:rPr>
          <w:rFonts w:ascii="Arial" w:hAnsi="Arial" w:cs="Arial"/>
          <w:noProof/>
        </w:rPr>
        <w:t xml:space="preserve"> Ugovora</w:t>
      </w:r>
    </w:p>
    <w:p w:rsidR="00F831D9" w:rsidRPr="007956D0" w:rsidRDefault="00F831D9" w:rsidP="00F831D9">
      <w:pPr>
        <w:pStyle w:val="ListParagraph"/>
        <w:numPr>
          <w:ilvl w:val="0"/>
          <w:numId w:val="4"/>
        </w:numPr>
        <w:spacing w:after="0" w:line="240" w:lineRule="auto"/>
        <w:ind w:left="0" w:firstLine="0"/>
        <w:contextualSpacing w:val="0"/>
        <w:jc w:val="both"/>
        <w:rPr>
          <w:rFonts w:ascii="Arial" w:hAnsi="Arial" w:cs="Arial"/>
          <w:noProof/>
        </w:rPr>
      </w:pPr>
      <w:r w:rsidRPr="007956D0">
        <w:rPr>
          <w:rFonts w:ascii="Arial" w:hAnsi="Arial" w:cs="Arial"/>
          <w:noProof/>
        </w:rPr>
        <w:t xml:space="preserve">Prilog 1 – obrazac bankarske garancije za </w:t>
      </w:r>
      <w:r w:rsidR="008939F5" w:rsidRPr="007956D0">
        <w:rPr>
          <w:rFonts w:ascii="Arial" w:hAnsi="Arial" w:cs="Arial"/>
          <w:noProof/>
        </w:rPr>
        <w:t>f</w:t>
      </w:r>
      <w:r w:rsidRPr="007956D0">
        <w:rPr>
          <w:rFonts w:ascii="Arial" w:hAnsi="Arial" w:cs="Arial"/>
          <w:noProof/>
        </w:rPr>
        <w:t>azu detaljnih geoloških istraživanja</w:t>
      </w:r>
    </w:p>
    <w:p w:rsidR="00F831D9" w:rsidRPr="007956D0" w:rsidRDefault="00F831D9" w:rsidP="00F831D9">
      <w:pPr>
        <w:pStyle w:val="ListParagraph"/>
        <w:numPr>
          <w:ilvl w:val="0"/>
          <w:numId w:val="4"/>
        </w:numPr>
        <w:spacing w:after="0" w:line="240" w:lineRule="auto"/>
        <w:ind w:left="0" w:firstLine="0"/>
        <w:contextualSpacing w:val="0"/>
        <w:jc w:val="both"/>
        <w:rPr>
          <w:rFonts w:ascii="Arial" w:hAnsi="Arial" w:cs="Arial"/>
          <w:noProof/>
        </w:rPr>
      </w:pPr>
      <w:r w:rsidRPr="007956D0">
        <w:rPr>
          <w:rFonts w:ascii="Arial" w:hAnsi="Arial" w:cs="Arial"/>
          <w:noProof/>
        </w:rPr>
        <w:t>Prilog 2 – obrazac bankarske garancije za ispunjavanje ugovornih obaveza</w:t>
      </w:r>
    </w:p>
    <w:p w:rsidR="00F831D9" w:rsidRPr="007956D0" w:rsidRDefault="00F831D9" w:rsidP="00F831D9">
      <w:pPr>
        <w:pStyle w:val="ListParagraph"/>
        <w:numPr>
          <w:ilvl w:val="0"/>
          <w:numId w:val="4"/>
        </w:numPr>
        <w:spacing w:after="0" w:line="240" w:lineRule="auto"/>
        <w:ind w:left="0" w:firstLine="0"/>
        <w:contextualSpacing w:val="0"/>
        <w:jc w:val="both"/>
        <w:rPr>
          <w:rFonts w:ascii="Arial" w:hAnsi="Arial" w:cs="Arial"/>
          <w:noProof/>
        </w:rPr>
      </w:pPr>
      <w:r w:rsidRPr="007956D0">
        <w:rPr>
          <w:rFonts w:ascii="Arial" w:hAnsi="Arial" w:cs="Arial"/>
          <w:noProof/>
        </w:rPr>
        <w:t>Prilog 3 – obrazac bankarske garancije za rekultivaciju</w:t>
      </w:r>
    </w:p>
    <w:p w:rsidR="00DC385F" w:rsidRDefault="00F64494" w:rsidP="00DC385F">
      <w:pPr>
        <w:pStyle w:val="ListParagraph"/>
        <w:numPr>
          <w:ilvl w:val="0"/>
          <w:numId w:val="4"/>
        </w:numPr>
        <w:spacing w:after="0" w:line="240" w:lineRule="auto"/>
        <w:ind w:left="0" w:firstLine="0"/>
        <w:contextualSpacing w:val="0"/>
        <w:jc w:val="both"/>
        <w:rPr>
          <w:rFonts w:ascii="Arial" w:hAnsi="Arial" w:cs="Arial"/>
          <w:lang w:val="pl-PL"/>
        </w:rPr>
      </w:pPr>
      <w:r w:rsidRPr="00DC385F">
        <w:rPr>
          <w:rFonts w:ascii="Arial" w:hAnsi="Arial" w:cs="Arial"/>
          <w:noProof/>
        </w:rPr>
        <w:t xml:space="preserve">Prilog 5- </w:t>
      </w:r>
      <w:r w:rsidRPr="00DC385F">
        <w:rPr>
          <w:rFonts w:ascii="Arial" w:hAnsi="Arial" w:cs="Arial"/>
          <w:lang w:val="pl-PL"/>
        </w:rPr>
        <w:t>Tehnički izvještaj sa koordinatama graničnih tač</w:t>
      </w:r>
      <w:r w:rsidR="00DC385F">
        <w:rPr>
          <w:rFonts w:ascii="Arial" w:hAnsi="Arial" w:cs="Arial"/>
          <w:lang w:val="pl-PL"/>
        </w:rPr>
        <w:t xml:space="preserve">aka istražno-     </w:t>
      </w:r>
    </w:p>
    <w:p w:rsidR="00F831D9" w:rsidRPr="00DC385F" w:rsidRDefault="00DC385F" w:rsidP="00DC385F">
      <w:pPr>
        <w:pStyle w:val="ListParagraph"/>
        <w:spacing w:after="0" w:line="240" w:lineRule="auto"/>
        <w:ind w:left="0"/>
        <w:contextualSpacing w:val="0"/>
        <w:jc w:val="both"/>
        <w:rPr>
          <w:rFonts w:ascii="Arial" w:hAnsi="Arial" w:cs="Arial"/>
          <w:lang w:val="pl-PL"/>
        </w:rPr>
      </w:pPr>
      <w:r>
        <w:rPr>
          <w:rFonts w:ascii="Arial" w:hAnsi="Arial" w:cs="Arial"/>
          <w:lang w:val="pl-PL"/>
        </w:rPr>
        <w:t xml:space="preserve">           </w:t>
      </w:r>
      <w:r w:rsidRPr="00DC385F">
        <w:rPr>
          <w:rFonts w:ascii="Arial" w:hAnsi="Arial" w:cs="Arial"/>
          <w:lang w:val="pl-PL"/>
        </w:rPr>
        <w:t xml:space="preserve">eksploatacionog </w:t>
      </w:r>
      <w:r w:rsidR="00F64494" w:rsidRPr="00DC385F">
        <w:rPr>
          <w:rFonts w:ascii="Arial" w:hAnsi="Arial" w:cs="Arial"/>
          <w:lang w:val="pl-PL"/>
        </w:rPr>
        <w:t>prostora „Velja Gorana</w:t>
      </w:r>
      <w:r>
        <w:rPr>
          <w:rFonts w:ascii="Arial" w:hAnsi="Arial" w:cs="Arial"/>
          <w:lang w:val="pl-PL"/>
        </w:rPr>
        <w:t>’’</w:t>
      </w:r>
    </w:p>
    <w:p w:rsidR="00F64494" w:rsidRPr="007956D0" w:rsidRDefault="00F64494" w:rsidP="00F64494">
      <w:pPr>
        <w:pStyle w:val="ListParagraph"/>
        <w:spacing w:after="0" w:line="240" w:lineRule="auto"/>
        <w:ind w:left="0"/>
        <w:contextualSpacing w:val="0"/>
        <w:jc w:val="both"/>
        <w:rPr>
          <w:rFonts w:ascii="Arial" w:hAnsi="Arial" w:cs="Arial"/>
          <w:noProof/>
        </w:rPr>
      </w:pPr>
    </w:p>
    <w:p w:rsidR="0044322A" w:rsidRPr="007956D0" w:rsidRDefault="0044322A" w:rsidP="00A700A0">
      <w:pPr>
        <w:spacing w:after="0" w:line="240" w:lineRule="auto"/>
        <w:jc w:val="both"/>
        <w:rPr>
          <w:rFonts w:ascii="Arial" w:hAnsi="Arial" w:cs="Arial"/>
          <w:noProof/>
        </w:rPr>
      </w:pPr>
      <w:r w:rsidRPr="007956D0">
        <w:rPr>
          <w:rFonts w:ascii="Arial" w:hAnsi="Arial" w:cs="Arial"/>
          <w:b/>
          <w:noProof/>
        </w:rPr>
        <w:t>2.</w:t>
      </w:r>
      <w:r w:rsidRPr="007956D0">
        <w:rPr>
          <w:rFonts w:ascii="Arial" w:hAnsi="Arial" w:cs="Arial"/>
          <w:noProof/>
        </w:rPr>
        <w:t xml:space="preserve"> Prilozi i uputstva</w:t>
      </w:r>
    </w:p>
    <w:p w:rsidR="0044322A" w:rsidRPr="007956D0" w:rsidRDefault="0044322A" w:rsidP="005B518B">
      <w:pPr>
        <w:pStyle w:val="ListParagraph"/>
        <w:numPr>
          <w:ilvl w:val="0"/>
          <w:numId w:val="4"/>
        </w:numPr>
        <w:spacing w:after="0" w:line="240" w:lineRule="auto"/>
        <w:ind w:left="0" w:firstLine="0"/>
        <w:contextualSpacing w:val="0"/>
        <w:jc w:val="both"/>
        <w:rPr>
          <w:rFonts w:ascii="Arial" w:hAnsi="Arial" w:cs="Arial"/>
          <w:noProof/>
        </w:rPr>
      </w:pPr>
      <w:r w:rsidRPr="007956D0">
        <w:rPr>
          <w:rFonts w:ascii="Arial" w:hAnsi="Arial" w:cs="Arial"/>
          <w:noProof/>
        </w:rPr>
        <w:t>Obrazac A – Podaci o ponuđaču</w:t>
      </w:r>
    </w:p>
    <w:p w:rsidR="0044322A" w:rsidRPr="007956D0" w:rsidRDefault="0044322A" w:rsidP="005B518B">
      <w:pPr>
        <w:pStyle w:val="ListParagraph"/>
        <w:numPr>
          <w:ilvl w:val="0"/>
          <w:numId w:val="4"/>
        </w:numPr>
        <w:spacing w:after="0" w:line="240" w:lineRule="auto"/>
        <w:ind w:left="0" w:firstLine="0"/>
        <w:contextualSpacing w:val="0"/>
        <w:jc w:val="both"/>
        <w:rPr>
          <w:rFonts w:ascii="Arial" w:hAnsi="Arial" w:cs="Arial"/>
          <w:noProof/>
        </w:rPr>
      </w:pPr>
      <w:r w:rsidRPr="007956D0">
        <w:rPr>
          <w:rFonts w:ascii="Arial" w:hAnsi="Arial" w:cs="Arial"/>
          <w:noProof/>
        </w:rPr>
        <w:t>Obrazac B – Tehnička ponuda</w:t>
      </w:r>
    </w:p>
    <w:p w:rsidR="0044322A" w:rsidRPr="007956D0" w:rsidRDefault="0044322A" w:rsidP="005B518B">
      <w:pPr>
        <w:pStyle w:val="ListParagraph"/>
        <w:numPr>
          <w:ilvl w:val="0"/>
          <w:numId w:val="4"/>
        </w:numPr>
        <w:spacing w:after="0" w:line="240" w:lineRule="auto"/>
        <w:ind w:left="0" w:firstLine="0"/>
        <w:contextualSpacing w:val="0"/>
        <w:jc w:val="both"/>
        <w:rPr>
          <w:rFonts w:ascii="Arial" w:hAnsi="Arial" w:cs="Arial"/>
          <w:noProof/>
        </w:rPr>
      </w:pPr>
      <w:r w:rsidRPr="007956D0">
        <w:rPr>
          <w:rFonts w:ascii="Arial" w:hAnsi="Arial" w:cs="Arial"/>
          <w:noProof/>
        </w:rPr>
        <w:t>Obrazac C – Forma bankarske garancije za ponudu</w:t>
      </w:r>
    </w:p>
    <w:p w:rsidR="0044322A" w:rsidRPr="007956D0" w:rsidRDefault="0044322A" w:rsidP="005B518B">
      <w:pPr>
        <w:pStyle w:val="ListParagraph"/>
        <w:numPr>
          <w:ilvl w:val="0"/>
          <w:numId w:val="4"/>
        </w:numPr>
        <w:spacing w:after="0" w:line="240" w:lineRule="auto"/>
        <w:ind w:left="0" w:firstLine="0"/>
        <w:contextualSpacing w:val="0"/>
        <w:jc w:val="both"/>
        <w:rPr>
          <w:rFonts w:ascii="Arial" w:hAnsi="Arial" w:cs="Arial"/>
          <w:noProof/>
        </w:rPr>
      </w:pPr>
      <w:r w:rsidRPr="007956D0">
        <w:rPr>
          <w:rFonts w:ascii="Arial" w:hAnsi="Arial" w:cs="Arial"/>
          <w:noProof/>
        </w:rPr>
        <w:t xml:space="preserve">Prilog 4 – Uputstvo za podnošenje ponuda </w:t>
      </w:r>
    </w:p>
    <w:p w:rsidR="00172768" w:rsidRPr="007956D0" w:rsidRDefault="00172768" w:rsidP="00A700A0">
      <w:pPr>
        <w:pStyle w:val="ListParagraph"/>
        <w:spacing w:after="0" w:line="240" w:lineRule="auto"/>
        <w:ind w:left="0"/>
        <w:contextualSpacing w:val="0"/>
        <w:jc w:val="both"/>
        <w:rPr>
          <w:rFonts w:ascii="Arial" w:hAnsi="Arial" w:cs="Arial"/>
          <w:noProof/>
        </w:rPr>
      </w:pPr>
    </w:p>
    <w:p w:rsidR="0044322A" w:rsidRPr="007956D0" w:rsidRDefault="0044322A" w:rsidP="00A700A0">
      <w:pPr>
        <w:spacing w:after="0" w:line="240" w:lineRule="auto"/>
        <w:jc w:val="both"/>
        <w:rPr>
          <w:rFonts w:ascii="Arial" w:hAnsi="Arial" w:cs="Arial"/>
          <w:noProof/>
        </w:rPr>
      </w:pPr>
      <w:r w:rsidRPr="007956D0">
        <w:rPr>
          <w:rFonts w:ascii="Arial" w:hAnsi="Arial" w:cs="Arial"/>
          <w:b/>
          <w:noProof/>
        </w:rPr>
        <w:t>3.</w:t>
      </w:r>
      <w:r w:rsidRPr="007956D0">
        <w:rPr>
          <w:rFonts w:ascii="Arial" w:hAnsi="Arial" w:cs="Arial"/>
          <w:noProof/>
        </w:rPr>
        <w:t xml:space="preserve"> Javni poziv</w:t>
      </w:r>
    </w:p>
    <w:p w:rsidR="008A6A67" w:rsidRPr="007956D0" w:rsidRDefault="008A6A67" w:rsidP="002A13C9">
      <w:pPr>
        <w:spacing w:line="240" w:lineRule="auto"/>
        <w:rPr>
          <w:rFonts w:ascii="Arial" w:hAnsi="Arial" w:cs="Arial"/>
          <w:noProof/>
        </w:rPr>
      </w:pPr>
    </w:p>
    <w:sectPr w:rsidR="008A6A67" w:rsidRPr="007956D0" w:rsidSect="00407A24">
      <w:footerReference w:type="default" r:id="rId9"/>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AAF" w:rsidRDefault="00492AAF" w:rsidP="00ED2D40">
      <w:pPr>
        <w:spacing w:after="0" w:line="240" w:lineRule="auto"/>
      </w:pPr>
      <w:r>
        <w:separator/>
      </w:r>
    </w:p>
  </w:endnote>
  <w:endnote w:type="continuationSeparator" w:id="0">
    <w:p w:rsidR="00492AAF" w:rsidRDefault="00492AAF" w:rsidP="00ED2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DEC" w:rsidRPr="008E7826" w:rsidRDefault="00C71DEC">
    <w:pPr>
      <w:pStyle w:val="Footer"/>
      <w:pBdr>
        <w:top w:val="thinThickSmallGap" w:sz="24" w:space="1" w:color="622423" w:themeColor="accent2" w:themeShade="7F"/>
      </w:pBdr>
      <w:rPr>
        <w:rFonts w:ascii="Arial" w:hAnsi="Arial" w:cs="Arial"/>
        <w:sz w:val="18"/>
        <w:szCs w:val="18"/>
      </w:rPr>
    </w:pPr>
    <w:r w:rsidRPr="008E7826">
      <w:rPr>
        <w:rFonts w:ascii="Arial" w:hAnsi="Arial" w:cs="Arial"/>
        <w:sz w:val="18"/>
        <w:szCs w:val="18"/>
      </w:rPr>
      <w:t>Ko</w:t>
    </w:r>
    <w:r>
      <w:rPr>
        <w:rFonts w:ascii="Arial" w:hAnsi="Arial" w:cs="Arial"/>
        <w:sz w:val="18"/>
        <w:szCs w:val="18"/>
      </w:rPr>
      <w:t>n</w:t>
    </w:r>
    <w:r w:rsidRPr="008E7826">
      <w:rPr>
        <w:rFonts w:ascii="Arial" w:hAnsi="Arial" w:cs="Arial"/>
        <w:sz w:val="18"/>
        <w:szCs w:val="18"/>
      </w:rPr>
      <w:t xml:space="preserve">cesioni akt o pojavi mineralne sirovine tehničko-građevinskog kamena </w:t>
    </w:r>
    <w:r>
      <w:rPr>
        <w:rFonts w:ascii="Arial" w:hAnsi="Arial" w:cs="Arial"/>
        <w:sz w:val="18"/>
        <w:szCs w:val="18"/>
      </w:rPr>
      <w:t>„Velja Gorana</w:t>
    </w:r>
    <w:r w:rsidRPr="00920E15">
      <w:rPr>
        <w:rFonts w:ascii="Arial" w:hAnsi="Arial" w:cs="Arial"/>
        <w:sz w:val="18"/>
        <w:szCs w:val="18"/>
      </w:rPr>
      <w:t xml:space="preserve">”, </w:t>
    </w:r>
    <w:r>
      <w:rPr>
        <w:rFonts w:ascii="Arial" w:hAnsi="Arial" w:cs="Arial"/>
        <w:sz w:val="18"/>
        <w:szCs w:val="18"/>
      </w:rPr>
      <w:t>O</w:t>
    </w:r>
    <w:r w:rsidRPr="00920E15">
      <w:rPr>
        <w:rFonts w:ascii="Arial" w:hAnsi="Arial" w:cs="Arial"/>
        <w:sz w:val="18"/>
        <w:szCs w:val="18"/>
      </w:rPr>
      <w:t xml:space="preserve">pština </w:t>
    </w:r>
    <w:r>
      <w:rPr>
        <w:rFonts w:ascii="Arial" w:hAnsi="Arial" w:cs="Arial"/>
        <w:sz w:val="18"/>
        <w:szCs w:val="18"/>
      </w:rPr>
      <w:t>Bar</w:t>
    </w:r>
    <w:r w:rsidRPr="008E7826">
      <w:rPr>
        <w:rFonts w:ascii="Arial" w:hAnsi="Arial" w:cs="Arial"/>
        <w:sz w:val="18"/>
        <w:szCs w:val="18"/>
      </w:rPr>
      <w:t xml:space="preserve"> </w:t>
    </w:r>
    <w:r w:rsidRPr="008E7826">
      <w:rPr>
        <w:rFonts w:ascii="Arial" w:hAnsi="Arial" w:cs="Arial"/>
        <w:sz w:val="18"/>
        <w:szCs w:val="18"/>
      </w:rPr>
      <w:ptab w:relativeTo="margin" w:alignment="right" w:leader="none"/>
    </w:r>
    <w:r w:rsidRPr="008E7826">
      <w:rPr>
        <w:rFonts w:ascii="Arial" w:hAnsi="Arial" w:cs="Arial"/>
        <w:sz w:val="18"/>
        <w:szCs w:val="18"/>
      </w:rPr>
      <w:fldChar w:fldCharType="begin"/>
    </w:r>
    <w:r w:rsidRPr="008E7826">
      <w:rPr>
        <w:rFonts w:ascii="Arial" w:hAnsi="Arial" w:cs="Arial"/>
        <w:sz w:val="18"/>
        <w:szCs w:val="18"/>
      </w:rPr>
      <w:instrText xml:space="preserve"> PAGE   \* MERGEFORMAT </w:instrText>
    </w:r>
    <w:r w:rsidRPr="008E7826">
      <w:rPr>
        <w:rFonts w:ascii="Arial" w:hAnsi="Arial" w:cs="Arial"/>
        <w:sz w:val="18"/>
        <w:szCs w:val="18"/>
      </w:rPr>
      <w:fldChar w:fldCharType="separate"/>
    </w:r>
    <w:r w:rsidR="00D06D15">
      <w:rPr>
        <w:rFonts w:ascii="Arial" w:hAnsi="Arial" w:cs="Arial"/>
        <w:noProof/>
        <w:sz w:val="18"/>
        <w:szCs w:val="18"/>
      </w:rPr>
      <w:t>3</w:t>
    </w:r>
    <w:r w:rsidRPr="008E7826">
      <w:rPr>
        <w:rFonts w:ascii="Arial" w:hAnsi="Arial" w:cs="Arial"/>
        <w:sz w:val="18"/>
        <w:szCs w:val="18"/>
      </w:rPr>
      <w:fldChar w:fldCharType="end"/>
    </w:r>
  </w:p>
  <w:p w:rsidR="00C71DEC" w:rsidRPr="0059672E" w:rsidRDefault="00C71DEC" w:rsidP="0059672E">
    <w:pPr>
      <w:pStyle w:val="Footer"/>
      <w:pBdr>
        <w:top w:val="thinThickSmallGap" w:sz="24" w:space="1" w:color="622423" w:themeColor="accent2" w:themeShade="7F"/>
      </w:pBd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AAF" w:rsidRDefault="00492AAF" w:rsidP="00ED2D40">
      <w:pPr>
        <w:spacing w:after="0" w:line="240" w:lineRule="auto"/>
      </w:pPr>
      <w:r>
        <w:separator/>
      </w:r>
    </w:p>
  </w:footnote>
  <w:footnote w:type="continuationSeparator" w:id="0">
    <w:p w:rsidR="00492AAF" w:rsidRDefault="00492AAF" w:rsidP="00ED2D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01D0BE7"/>
    <w:multiLevelType w:val="multilevel"/>
    <w:tmpl w:val="C3006422"/>
    <w:lvl w:ilvl="0">
      <w:start w:val="1"/>
      <w:numFmt w:val="decimal"/>
      <w:lvlText w:val="%1."/>
      <w:lvlJc w:val="left"/>
      <w:pPr>
        <w:ind w:left="720" w:hanging="360"/>
      </w:pPr>
      <w:rPr>
        <w:rFonts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4684745"/>
    <w:multiLevelType w:val="hybridMultilevel"/>
    <w:tmpl w:val="822C4B66"/>
    <w:lvl w:ilvl="0" w:tplc="04090001">
      <w:start w:val="1"/>
      <w:numFmt w:val="bullet"/>
      <w:lvlText w:val=""/>
      <w:lvlJc w:val="left"/>
      <w:pPr>
        <w:ind w:left="1077" w:hanging="360"/>
      </w:pPr>
      <w:rPr>
        <w:rFonts w:ascii="Symbol" w:hAnsi="Symbol" w:cs="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
    <w:nsid w:val="083E50D7"/>
    <w:multiLevelType w:val="hybridMultilevel"/>
    <w:tmpl w:val="7C80D056"/>
    <w:lvl w:ilvl="0" w:tplc="04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5851A6"/>
    <w:multiLevelType w:val="hybridMultilevel"/>
    <w:tmpl w:val="3518343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976F5C"/>
    <w:multiLevelType w:val="hybridMultilevel"/>
    <w:tmpl w:val="9BFEF3BC"/>
    <w:lvl w:ilvl="0" w:tplc="1B76FBC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A27DF1"/>
    <w:multiLevelType w:val="hybridMultilevel"/>
    <w:tmpl w:val="81062A38"/>
    <w:lvl w:ilvl="0" w:tplc="A824E568">
      <w:start w:val="2"/>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BC5DEE"/>
    <w:multiLevelType w:val="hybridMultilevel"/>
    <w:tmpl w:val="D0FC05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5E243D"/>
    <w:multiLevelType w:val="hybridMultilevel"/>
    <w:tmpl w:val="C8341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0C6352E"/>
    <w:multiLevelType w:val="hybridMultilevel"/>
    <w:tmpl w:val="D298C602"/>
    <w:lvl w:ilvl="0" w:tplc="057CA0DC">
      <w:start w:val="1"/>
      <w:numFmt w:val="bullet"/>
      <w:lvlText w:val=""/>
      <w:lvlJc w:val="left"/>
      <w:pPr>
        <w:tabs>
          <w:tab w:val="num" w:pos="720"/>
        </w:tabs>
        <w:ind w:left="720" w:hanging="360"/>
      </w:pPr>
      <w:rPr>
        <w:rFonts w:ascii="Symbol" w:hAnsi="Symbol" w:hint="default"/>
      </w:rPr>
    </w:lvl>
    <w:lvl w:ilvl="1" w:tplc="081A0019" w:tentative="1">
      <w:start w:val="1"/>
      <w:numFmt w:val="bullet"/>
      <w:lvlText w:val="o"/>
      <w:lvlJc w:val="left"/>
      <w:pPr>
        <w:tabs>
          <w:tab w:val="num" w:pos="1440"/>
        </w:tabs>
        <w:ind w:left="1440" w:hanging="360"/>
      </w:pPr>
      <w:rPr>
        <w:rFonts w:ascii="Courier New" w:hAnsi="Courier New" w:cs="Courier New"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4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45608A"/>
    <w:multiLevelType w:val="hybridMultilevel"/>
    <w:tmpl w:val="464C3C22"/>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39"/>
  </w:num>
  <w:num w:numId="4">
    <w:abstractNumId w:val="29"/>
  </w:num>
  <w:num w:numId="5">
    <w:abstractNumId w:val="41"/>
  </w:num>
  <w:num w:numId="6">
    <w:abstractNumId w:val="35"/>
  </w:num>
  <w:num w:numId="7">
    <w:abstractNumId w:val="26"/>
  </w:num>
  <w:num w:numId="8">
    <w:abstractNumId w:val="36"/>
  </w:num>
  <w:num w:numId="9">
    <w:abstractNumId w:val="25"/>
  </w:num>
  <w:num w:numId="10">
    <w:abstractNumId w:val="24"/>
  </w:num>
  <w:num w:numId="11">
    <w:abstractNumId w:val="31"/>
  </w:num>
  <w:num w:numId="12">
    <w:abstractNumId w:val="40"/>
  </w:num>
  <w:num w:numId="13">
    <w:abstractNumId w:val="30"/>
  </w:num>
  <w:num w:numId="14">
    <w:abstractNumId w:val="27"/>
  </w:num>
  <w:num w:numId="15">
    <w:abstractNumId w:val="37"/>
  </w:num>
  <w:num w:numId="16">
    <w:abstractNumId w:val="23"/>
  </w:num>
  <w:num w:numId="17">
    <w:abstractNumId w:val="20"/>
  </w:num>
  <w:num w:numId="18">
    <w:abstractNumId w:val="19"/>
  </w:num>
  <w:num w:numId="19">
    <w:abstractNumId w:val="32"/>
  </w:num>
  <w:num w:numId="20">
    <w:abstractNumId w:val="28"/>
  </w:num>
  <w:num w:numId="21">
    <w:abstractNumId w:val="21"/>
  </w:num>
  <w:num w:numId="22">
    <w:abstractNumId w:val="22"/>
  </w:num>
  <w:num w:numId="23">
    <w:abstractNumId w:val="38"/>
  </w:num>
  <w:num w:numId="24">
    <w:abstractNumId w:val="34"/>
  </w:num>
  <w:num w:numId="2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E4676"/>
    <w:rsid w:val="000012CD"/>
    <w:rsid w:val="000023F8"/>
    <w:rsid w:val="00012D20"/>
    <w:rsid w:val="000156A4"/>
    <w:rsid w:val="00015DF2"/>
    <w:rsid w:val="000221CF"/>
    <w:rsid w:val="000227AA"/>
    <w:rsid w:val="00026BAB"/>
    <w:rsid w:val="00034F06"/>
    <w:rsid w:val="0003619E"/>
    <w:rsid w:val="000404E1"/>
    <w:rsid w:val="00041742"/>
    <w:rsid w:val="00041FAC"/>
    <w:rsid w:val="00043EAF"/>
    <w:rsid w:val="00053DC6"/>
    <w:rsid w:val="00067923"/>
    <w:rsid w:val="000713E5"/>
    <w:rsid w:val="0007263F"/>
    <w:rsid w:val="00073542"/>
    <w:rsid w:val="00075A05"/>
    <w:rsid w:val="00075F8D"/>
    <w:rsid w:val="00085D1C"/>
    <w:rsid w:val="00087FED"/>
    <w:rsid w:val="00093309"/>
    <w:rsid w:val="0009522A"/>
    <w:rsid w:val="000A3E49"/>
    <w:rsid w:val="000A6A18"/>
    <w:rsid w:val="000B1014"/>
    <w:rsid w:val="000C1D3C"/>
    <w:rsid w:val="000C3AC5"/>
    <w:rsid w:val="000D1563"/>
    <w:rsid w:val="000D2EC5"/>
    <w:rsid w:val="000D47C1"/>
    <w:rsid w:val="000E131A"/>
    <w:rsid w:val="000E1EC0"/>
    <w:rsid w:val="001027A6"/>
    <w:rsid w:val="0010481C"/>
    <w:rsid w:val="001073EE"/>
    <w:rsid w:val="00107794"/>
    <w:rsid w:val="00112305"/>
    <w:rsid w:val="00113B4E"/>
    <w:rsid w:val="00117017"/>
    <w:rsid w:val="00117AF1"/>
    <w:rsid w:val="001210B7"/>
    <w:rsid w:val="00122518"/>
    <w:rsid w:val="00124757"/>
    <w:rsid w:val="00126DB1"/>
    <w:rsid w:val="00132926"/>
    <w:rsid w:val="001359E8"/>
    <w:rsid w:val="0013707F"/>
    <w:rsid w:val="00142653"/>
    <w:rsid w:val="00144302"/>
    <w:rsid w:val="0014435C"/>
    <w:rsid w:val="00145A24"/>
    <w:rsid w:val="00160842"/>
    <w:rsid w:val="00163B9D"/>
    <w:rsid w:val="00172768"/>
    <w:rsid w:val="001826C2"/>
    <w:rsid w:val="00182C7B"/>
    <w:rsid w:val="00183B94"/>
    <w:rsid w:val="00193445"/>
    <w:rsid w:val="001966E1"/>
    <w:rsid w:val="001A053E"/>
    <w:rsid w:val="001A37A8"/>
    <w:rsid w:val="001A7610"/>
    <w:rsid w:val="001B0637"/>
    <w:rsid w:val="001B1415"/>
    <w:rsid w:val="001B509E"/>
    <w:rsid w:val="001C5BD8"/>
    <w:rsid w:val="001F6775"/>
    <w:rsid w:val="002048E0"/>
    <w:rsid w:val="002063AA"/>
    <w:rsid w:val="0021034A"/>
    <w:rsid w:val="00212B8F"/>
    <w:rsid w:val="00214E36"/>
    <w:rsid w:val="0021609A"/>
    <w:rsid w:val="00243311"/>
    <w:rsid w:val="00245D9D"/>
    <w:rsid w:val="00247B51"/>
    <w:rsid w:val="00256CF4"/>
    <w:rsid w:val="00257C12"/>
    <w:rsid w:val="00261C5D"/>
    <w:rsid w:val="002637DE"/>
    <w:rsid w:val="00274BF6"/>
    <w:rsid w:val="00280E1E"/>
    <w:rsid w:val="00282BB3"/>
    <w:rsid w:val="0029127F"/>
    <w:rsid w:val="00293310"/>
    <w:rsid w:val="00295C2E"/>
    <w:rsid w:val="002A13C9"/>
    <w:rsid w:val="002A7265"/>
    <w:rsid w:val="002B2BFE"/>
    <w:rsid w:val="002B3174"/>
    <w:rsid w:val="002B717C"/>
    <w:rsid w:val="002C227B"/>
    <w:rsid w:val="002D315D"/>
    <w:rsid w:val="002D4E85"/>
    <w:rsid w:val="002D531D"/>
    <w:rsid w:val="002E17F4"/>
    <w:rsid w:val="002E4676"/>
    <w:rsid w:val="002E6B4B"/>
    <w:rsid w:val="002F3535"/>
    <w:rsid w:val="002F4E89"/>
    <w:rsid w:val="002F75C5"/>
    <w:rsid w:val="00302B6D"/>
    <w:rsid w:val="00306531"/>
    <w:rsid w:val="0030675D"/>
    <w:rsid w:val="00312B4D"/>
    <w:rsid w:val="00323187"/>
    <w:rsid w:val="00323C7F"/>
    <w:rsid w:val="00342A63"/>
    <w:rsid w:val="0034532F"/>
    <w:rsid w:val="003523D6"/>
    <w:rsid w:val="00356F2A"/>
    <w:rsid w:val="00366FD6"/>
    <w:rsid w:val="0037158C"/>
    <w:rsid w:val="003747A6"/>
    <w:rsid w:val="0038140A"/>
    <w:rsid w:val="00382347"/>
    <w:rsid w:val="0038243D"/>
    <w:rsid w:val="0039605A"/>
    <w:rsid w:val="003971BA"/>
    <w:rsid w:val="003A0E2D"/>
    <w:rsid w:val="003A2272"/>
    <w:rsid w:val="003B0F2E"/>
    <w:rsid w:val="003B3C26"/>
    <w:rsid w:val="003B411C"/>
    <w:rsid w:val="003B6279"/>
    <w:rsid w:val="003B7C8D"/>
    <w:rsid w:val="003C0362"/>
    <w:rsid w:val="003C067C"/>
    <w:rsid w:val="003C4220"/>
    <w:rsid w:val="003E580B"/>
    <w:rsid w:val="003E79CE"/>
    <w:rsid w:val="003F4968"/>
    <w:rsid w:val="003F58F1"/>
    <w:rsid w:val="00400519"/>
    <w:rsid w:val="004047B9"/>
    <w:rsid w:val="00407A24"/>
    <w:rsid w:val="00414BDD"/>
    <w:rsid w:val="004166FF"/>
    <w:rsid w:val="00421203"/>
    <w:rsid w:val="00424C3A"/>
    <w:rsid w:val="00433005"/>
    <w:rsid w:val="00437FB1"/>
    <w:rsid w:val="0044322A"/>
    <w:rsid w:val="00455B5E"/>
    <w:rsid w:val="00455EAF"/>
    <w:rsid w:val="00457E75"/>
    <w:rsid w:val="004602DD"/>
    <w:rsid w:val="00464908"/>
    <w:rsid w:val="00466259"/>
    <w:rsid w:val="00472C68"/>
    <w:rsid w:val="00473186"/>
    <w:rsid w:val="00473D40"/>
    <w:rsid w:val="004742BA"/>
    <w:rsid w:val="00477320"/>
    <w:rsid w:val="004802C6"/>
    <w:rsid w:val="004864CE"/>
    <w:rsid w:val="00492AAF"/>
    <w:rsid w:val="004943DE"/>
    <w:rsid w:val="00497848"/>
    <w:rsid w:val="004B061D"/>
    <w:rsid w:val="004B1660"/>
    <w:rsid w:val="004C0BB8"/>
    <w:rsid w:val="004C38D1"/>
    <w:rsid w:val="004C4E6C"/>
    <w:rsid w:val="004C52AB"/>
    <w:rsid w:val="004D45C3"/>
    <w:rsid w:val="004D6273"/>
    <w:rsid w:val="004E10C6"/>
    <w:rsid w:val="004E6CCC"/>
    <w:rsid w:val="004F3F90"/>
    <w:rsid w:val="004F7B60"/>
    <w:rsid w:val="00501E91"/>
    <w:rsid w:val="00502CB4"/>
    <w:rsid w:val="005047E3"/>
    <w:rsid w:val="00505748"/>
    <w:rsid w:val="00506D42"/>
    <w:rsid w:val="00507514"/>
    <w:rsid w:val="005112C2"/>
    <w:rsid w:val="00515573"/>
    <w:rsid w:val="00522340"/>
    <w:rsid w:val="0052630B"/>
    <w:rsid w:val="00542DF2"/>
    <w:rsid w:val="00544A09"/>
    <w:rsid w:val="00551D4D"/>
    <w:rsid w:val="005521CE"/>
    <w:rsid w:val="00552B87"/>
    <w:rsid w:val="005540F8"/>
    <w:rsid w:val="0056486B"/>
    <w:rsid w:val="005655FA"/>
    <w:rsid w:val="00566D37"/>
    <w:rsid w:val="0056714D"/>
    <w:rsid w:val="00576291"/>
    <w:rsid w:val="005770B4"/>
    <w:rsid w:val="00580B3D"/>
    <w:rsid w:val="00583177"/>
    <w:rsid w:val="005919FD"/>
    <w:rsid w:val="0059492F"/>
    <w:rsid w:val="005966C2"/>
    <w:rsid w:val="0059672E"/>
    <w:rsid w:val="005A4583"/>
    <w:rsid w:val="005B518B"/>
    <w:rsid w:val="005B5C69"/>
    <w:rsid w:val="005B6322"/>
    <w:rsid w:val="005B70BB"/>
    <w:rsid w:val="005C04FF"/>
    <w:rsid w:val="005C2903"/>
    <w:rsid w:val="005D3D8A"/>
    <w:rsid w:val="005D7B87"/>
    <w:rsid w:val="005F2460"/>
    <w:rsid w:val="005F3106"/>
    <w:rsid w:val="005F5C31"/>
    <w:rsid w:val="005F6969"/>
    <w:rsid w:val="00604EAD"/>
    <w:rsid w:val="00606AF7"/>
    <w:rsid w:val="006147DF"/>
    <w:rsid w:val="00616D8B"/>
    <w:rsid w:val="006229B8"/>
    <w:rsid w:val="00623A0B"/>
    <w:rsid w:val="00623FB2"/>
    <w:rsid w:val="0062432A"/>
    <w:rsid w:val="00626F64"/>
    <w:rsid w:val="00630623"/>
    <w:rsid w:val="00635535"/>
    <w:rsid w:val="00635A6D"/>
    <w:rsid w:val="0064562F"/>
    <w:rsid w:val="0064798C"/>
    <w:rsid w:val="00647B99"/>
    <w:rsid w:val="00647F27"/>
    <w:rsid w:val="00651146"/>
    <w:rsid w:val="006572DF"/>
    <w:rsid w:val="00670FB8"/>
    <w:rsid w:val="006768ED"/>
    <w:rsid w:val="00682440"/>
    <w:rsid w:val="006A0E0C"/>
    <w:rsid w:val="006A1903"/>
    <w:rsid w:val="006A1E25"/>
    <w:rsid w:val="006A4198"/>
    <w:rsid w:val="006A68F3"/>
    <w:rsid w:val="006A7B9C"/>
    <w:rsid w:val="006B0693"/>
    <w:rsid w:val="006B2C3F"/>
    <w:rsid w:val="006B40D7"/>
    <w:rsid w:val="006C0C02"/>
    <w:rsid w:val="006C468D"/>
    <w:rsid w:val="006C6925"/>
    <w:rsid w:val="006E0FAB"/>
    <w:rsid w:val="006E4E99"/>
    <w:rsid w:val="006E52A2"/>
    <w:rsid w:val="006E698A"/>
    <w:rsid w:val="006E760F"/>
    <w:rsid w:val="006E7AA4"/>
    <w:rsid w:val="006E7B65"/>
    <w:rsid w:val="00716922"/>
    <w:rsid w:val="00721D13"/>
    <w:rsid w:val="00730275"/>
    <w:rsid w:val="00732534"/>
    <w:rsid w:val="0073590E"/>
    <w:rsid w:val="00735D9E"/>
    <w:rsid w:val="00740CC3"/>
    <w:rsid w:val="00741886"/>
    <w:rsid w:val="007455EB"/>
    <w:rsid w:val="007530D9"/>
    <w:rsid w:val="00760267"/>
    <w:rsid w:val="00766EE2"/>
    <w:rsid w:val="0076752A"/>
    <w:rsid w:val="00776DB7"/>
    <w:rsid w:val="00781335"/>
    <w:rsid w:val="00781B19"/>
    <w:rsid w:val="00785C23"/>
    <w:rsid w:val="00787A0E"/>
    <w:rsid w:val="007910FF"/>
    <w:rsid w:val="00791705"/>
    <w:rsid w:val="007921C2"/>
    <w:rsid w:val="00795230"/>
    <w:rsid w:val="007956D0"/>
    <w:rsid w:val="00795EC3"/>
    <w:rsid w:val="007A026F"/>
    <w:rsid w:val="007A3EAE"/>
    <w:rsid w:val="007A6033"/>
    <w:rsid w:val="007B37D3"/>
    <w:rsid w:val="007B3E2C"/>
    <w:rsid w:val="007B4C3A"/>
    <w:rsid w:val="007C1891"/>
    <w:rsid w:val="007C2290"/>
    <w:rsid w:val="007C74B0"/>
    <w:rsid w:val="007D4614"/>
    <w:rsid w:val="007D52B6"/>
    <w:rsid w:val="007D5B3A"/>
    <w:rsid w:val="007D6539"/>
    <w:rsid w:val="007D756C"/>
    <w:rsid w:val="007D7746"/>
    <w:rsid w:val="007E5B0E"/>
    <w:rsid w:val="007E5E02"/>
    <w:rsid w:val="007F1723"/>
    <w:rsid w:val="007F1927"/>
    <w:rsid w:val="007F5133"/>
    <w:rsid w:val="008016B5"/>
    <w:rsid w:val="0080405F"/>
    <w:rsid w:val="00804539"/>
    <w:rsid w:val="008067D7"/>
    <w:rsid w:val="0081009B"/>
    <w:rsid w:val="00812A41"/>
    <w:rsid w:val="00815ABC"/>
    <w:rsid w:val="008162E5"/>
    <w:rsid w:val="008162F7"/>
    <w:rsid w:val="008218FF"/>
    <w:rsid w:val="00822D4B"/>
    <w:rsid w:val="00826E71"/>
    <w:rsid w:val="00841F9F"/>
    <w:rsid w:val="008460C8"/>
    <w:rsid w:val="0085218B"/>
    <w:rsid w:val="00855834"/>
    <w:rsid w:val="008563EE"/>
    <w:rsid w:val="008571B8"/>
    <w:rsid w:val="0086533F"/>
    <w:rsid w:val="00867A38"/>
    <w:rsid w:val="00871E10"/>
    <w:rsid w:val="00874748"/>
    <w:rsid w:val="0087672C"/>
    <w:rsid w:val="00880551"/>
    <w:rsid w:val="00883E21"/>
    <w:rsid w:val="008910BA"/>
    <w:rsid w:val="008939F5"/>
    <w:rsid w:val="00895829"/>
    <w:rsid w:val="008962BB"/>
    <w:rsid w:val="008A270B"/>
    <w:rsid w:val="008A6A67"/>
    <w:rsid w:val="008A75F0"/>
    <w:rsid w:val="008B1CEB"/>
    <w:rsid w:val="008B5769"/>
    <w:rsid w:val="008B6571"/>
    <w:rsid w:val="008B7111"/>
    <w:rsid w:val="008C77A2"/>
    <w:rsid w:val="008D0EC1"/>
    <w:rsid w:val="008D26C8"/>
    <w:rsid w:val="008D6331"/>
    <w:rsid w:val="008D6E93"/>
    <w:rsid w:val="008E24CC"/>
    <w:rsid w:val="008E7826"/>
    <w:rsid w:val="008F3318"/>
    <w:rsid w:val="008F4F41"/>
    <w:rsid w:val="00904FDC"/>
    <w:rsid w:val="009063C2"/>
    <w:rsid w:val="00913DB8"/>
    <w:rsid w:val="00915CD6"/>
    <w:rsid w:val="00920E15"/>
    <w:rsid w:val="00925256"/>
    <w:rsid w:val="00937D59"/>
    <w:rsid w:val="009401A4"/>
    <w:rsid w:val="009403F9"/>
    <w:rsid w:val="00943890"/>
    <w:rsid w:val="00946ACF"/>
    <w:rsid w:val="00952B4A"/>
    <w:rsid w:val="00957A63"/>
    <w:rsid w:val="00962722"/>
    <w:rsid w:val="009632B0"/>
    <w:rsid w:val="00963C2C"/>
    <w:rsid w:val="0096448F"/>
    <w:rsid w:val="009669FB"/>
    <w:rsid w:val="009826CD"/>
    <w:rsid w:val="00986609"/>
    <w:rsid w:val="009875C7"/>
    <w:rsid w:val="009958D0"/>
    <w:rsid w:val="009A01F9"/>
    <w:rsid w:val="009B1797"/>
    <w:rsid w:val="009B1EAD"/>
    <w:rsid w:val="009B3DEE"/>
    <w:rsid w:val="009B6403"/>
    <w:rsid w:val="009C0BB5"/>
    <w:rsid w:val="009C1831"/>
    <w:rsid w:val="009C271A"/>
    <w:rsid w:val="009C6240"/>
    <w:rsid w:val="009C7346"/>
    <w:rsid w:val="009D1172"/>
    <w:rsid w:val="009D3897"/>
    <w:rsid w:val="009F3CBA"/>
    <w:rsid w:val="00A03388"/>
    <w:rsid w:val="00A03CA4"/>
    <w:rsid w:val="00A148CA"/>
    <w:rsid w:val="00A152BB"/>
    <w:rsid w:val="00A16122"/>
    <w:rsid w:val="00A162F1"/>
    <w:rsid w:val="00A267BE"/>
    <w:rsid w:val="00A33465"/>
    <w:rsid w:val="00A460E0"/>
    <w:rsid w:val="00A51B18"/>
    <w:rsid w:val="00A54562"/>
    <w:rsid w:val="00A54D2B"/>
    <w:rsid w:val="00A60874"/>
    <w:rsid w:val="00A6365C"/>
    <w:rsid w:val="00A6448B"/>
    <w:rsid w:val="00A658B2"/>
    <w:rsid w:val="00A65F41"/>
    <w:rsid w:val="00A700A0"/>
    <w:rsid w:val="00A70153"/>
    <w:rsid w:val="00A71A4A"/>
    <w:rsid w:val="00A73BEB"/>
    <w:rsid w:val="00A825AA"/>
    <w:rsid w:val="00A8276D"/>
    <w:rsid w:val="00A8364D"/>
    <w:rsid w:val="00A85E72"/>
    <w:rsid w:val="00A87E2C"/>
    <w:rsid w:val="00A944C1"/>
    <w:rsid w:val="00A95535"/>
    <w:rsid w:val="00AA1FFF"/>
    <w:rsid w:val="00AA2291"/>
    <w:rsid w:val="00AA2D2E"/>
    <w:rsid w:val="00AA39C8"/>
    <w:rsid w:val="00AA516E"/>
    <w:rsid w:val="00AC0094"/>
    <w:rsid w:val="00AC5997"/>
    <w:rsid w:val="00AD007B"/>
    <w:rsid w:val="00AE40E6"/>
    <w:rsid w:val="00AF2892"/>
    <w:rsid w:val="00B06A65"/>
    <w:rsid w:val="00B10F77"/>
    <w:rsid w:val="00B11B8D"/>
    <w:rsid w:val="00B12626"/>
    <w:rsid w:val="00B154E8"/>
    <w:rsid w:val="00B2323E"/>
    <w:rsid w:val="00B31F37"/>
    <w:rsid w:val="00B3447E"/>
    <w:rsid w:val="00B35129"/>
    <w:rsid w:val="00B37BA9"/>
    <w:rsid w:val="00B51050"/>
    <w:rsid w:val="00B52226"/>
    <w:rsid w:val="00B52D4E"/>
    <w:rsid w:val="00B530BE"/>
    <w:rsid w:val="00B53CB8"/>
    <w:rsid w:val="00B56400"/>
    <w:rsid w:val="00B6632A"/>
    <w:rsid w:val="00B6691A"/>
    <w:rsid w:val="00B7302D"/>
    <w:rsid w:val="00B7589E"/>
    <w:rsid w:val="00B77602"/>
    <w:rsid w:val="00B83D41"/>
    <w:rsid w:val="00B85C9D"/>
    <w:rsid w:val="00B9141D"/>
    <w:rsid w:val="00B9279E"/>
    <w:rsid w:val="00B947ED"/>
    <w:rsid w:val="00B94D3B"/>
    <w:rsid w:val="00B94EBF"/>
    <w:rsid w:val="00BA4D90"/>
    <w:rsid w:val="00BA6011"/>
    <w:rsid w:val="00BA64E2"/>
    <w:rsid w:val="00BB0ACB"/>
    <w:rsid w:val="00BB41CE"/>
    <w:rsid w:val="00BC0354"/>
    <w:rsid w:val="00BC2983"/>
    <w:rsid w:val="00BD3782"/>
    <w:rsid w:val="00BD3CC7"/>
    <w:rsid w:val="00BD592D"/>
    <w:rsid w:val="00BD7807"/>
    <w:rsid w:val="00BE219B"/>
    <w:rsid w:val="00BE26DE"/>
    <w:rsid w:val="00BE7720"/>
    <w:rsid w:val="00BE782E"/>
    <w:rsid w:val="00BE7CF9"/>
    <w:rsid w:val="00BF0612"/>
    <w:rsid w:val="00BF5CFA"/>
    <w:rsid w:val="00C06CB1"/>
    <w:rsid w:val="00C07EC7"/>
    <w:rsid w:val="00C1043C"/>
    <w:rsid w:val="00C115DE"/>
    <w:rsid w:val="00C123FF"/>
    <w:rsid w:val="00C14490"/>
    <w:rsid w:val="00C205DE"/>
    <w:rsid w:val="00C21350"/>
    <w:rsid w:val="00C23051"/>
    <w:rsid w:val="00C24313"/>
    <w:rsid w:val="00C2794D"/>
    <w:rsid w:val="00C31FB7"/>
    <w:rsid w:val="00C32A44"/>
    <w:rsid w:val="00C32E6C"/>
    <w:rsid w:val="00C342BE"/>
    <w:rsid w:val="00C43011"/>
    <w:rsid w:val="00C47BC3"/>
    <w:rsid w:val="00C50DB8"/>
    <w:rsid w:val="00C5113D"/>
    <w:rsid w:val="00C5180E"/>
    <w:rsid w:val="00C5181B"/>
    <w:rsid w:val="00C54978"/>
    <w:rsid w:val="00C64FFA"/>
    <w:rsid w:val="00C6688C"/>
    <w:rsid w:val="00C70479"/>
    <w:rsid w:val="00C71DEC"/>
    <w:rsid w:val="00C8481B"/>
    <w:rsid w:val="00C914D0"/>
    <w:rsid w:val="00C91B9E"/>
    <w:rsid w:val="00C91F54"/>
    <w:rsid w:val="00C92BB6"/>
    <w:rsid w:val="00CB48EF"/>
    <w:rsid w:val="00CC00AD"/>
    <w:rsid w:val="00CC2306"/>
    <w:rsid w:val="00CC4F8C"/>
    <w:rsid w:val="00CC704D"/>
    <w:rsid w:val="00CD4869"/>
    <w:rsid w:val="00CD7917"/>
    <w:rsid w:val="00CE396D"/>
    <w:rsid w:val="00CE475A"/>
    <w:rsid w:val="00CE68E0"/>
    <w:rsid w:val="00CE76BA"/>
    <w:rsid w:val="00CF797A"/>
    <w:rsid w:val="00D021C0"/>
    <w:rsid w:val="00D0416C"/>
    <w:rsid w:val="00D05362"/>
    <w:rsid w:val="00D06D15"/>
    <w:rsid w:val="00D0716F"/>
    <w:rsid w:val="00D07434"/>
    <w:rsid w:val="00D074AE"/>
    <w:rsid w:val="00D111B9"/>
    <w:rsid w:val="00D17158"/>
    <w:rsid w:val="00D171D8"/>
    <w:rsid w:val="00D20455"/>
    <w:rsid w:val="00D21EF6"/>
    <w:rsid w:val="00D2617B"/>
    <w:rsid w:val="00D27BC0"/>
    <w:rsid w:val="00D352B7"/>
    <w:rsid w:val="00D3636A"/>
    <w:rsid w:val="00D37526"/>
    <w:rsid w:val="00D407F8"/>
    <w:rsid w:val="00D442AC"/>
    <w:rsid w:val="00D51DD5"/>
    <w:rsid w:val="00D5562F"/>
    <w:rsid w:val="00D567D6"/>
    <w:rsid w:val="00D5729F"/>
    <w:rsid w:val="00D578D3"/>
    <w:rsid w:val="00D620F2"/>
    <w:rsid w:val="00D625B2"/>
    <w:rsid w:val="00D62D52"/>
    <w:rsid w:val="00D65613"/>
    <w:rsid w:val="00D6597A"/>
    <w:rsid w:val="00D6798C"/>
    <w:rsid w:val="00D75329"/>
    <w:rsid w:val="00D77621"/>
    <w:rsid w:val="00D83F66"/>
    <w:rsid w:val="00D94FCC"/>
    <w:rsid w:val="00DA53E8"/>
    <w:rsid w:val="00DA5F8F"/>
    <w:rsid w:val="00DB22D9"/>
    <w:rsid w:val="00DB2DB9"/>
    <w:rsid w:val="00DB723B"/>
    <w:rsid w:val="00DC0935"/>
    <w:rsid w:val="00DC1047"/>
    <w:rsid w:val="00DC1FE4"/>
    <w:rsid w:val="00DC385F"/>
    <w:rsid w:val="00DC72C6"/>
    <w:rsid w:val="00DD1E50"/>
    <w:rsid w:val="00DD276B"/>
    <w:rsid w:val="00DE0277"/>
    <w:rsid w:val="00DE1977"/>
    <w:rsid w:val="00DE2DF0"/>
    <w:rsid w:val="00DE3AF9"/>
    <w:rsid w:val="00DF2314"/>
    <w:rsid w:val="00DF4736"/>
    <w:rsid w:val="00DF5E37"/>
    <w:rsid w:val="00DF6D09"/>
    <w:rsid w:val="00E0212F"/>
    <w:rsid w:val="00E0285B"/>
    <w:rsid w:val="00E21B44"/>
    <w:rsid w:val="00E23D42"/>
    <w:rsid w:val="00E246FE"/>
    <w:rsid w:val="00E26A54"/>
    <w:rsid w:val="00E32EBB"/>
    <w:rsid w:val="00E334C7"/>
    <w:rsid w:val="00E34B6A"/>
    <w:rsid w:val="00E35ABF"/>
    <w:rsid w:val="00E426E7"/>
    <w:rsid w:val="00E472CD"/>
    <w:rsid w:val="00E530C1"/>
    <w:rsid w:val="00E6265C"/>
    <w:rsid w:val="00E73558"/>
    <w:rsid w:val="00E74C34"/>
    <w:rsid w:val="00E80EE6"/>
    <w:rsid w:val="00E81820"/>
    <w:rsid w:val="00E842BF"/>
    <w:rsid w:val="00E85A09"/>
    <w:rsid w:val="00E870CC"/>
    <w:rsid w:val="00E92314"/>
    <w:rsid w:val="00EA04CC"/>
    <w:rsid w:val="00EA435C"/>
    <w:rsid w:val="00EB116F"/>
    <w:rsid w:val="00EB783E"/>
    <w:rsid w:val="00ED1607"/>
    <w:rsid w:val="00ED2D40"/>
    <w:rsid w:val="00ED5E78"/>
    <w:rsid w:val="00EE074C"/>
    <w:rsid w:val="00EE3036"/>
    <w:rsid w:val="00EE4022"/>
    <w:rsid w:val="00EE4795"/>
    <w:rsid w:val="00EE730A"/>
    <w:rsid w:val="00EF3455"/>
    <w:rsid w:val="00EF509A"/>
    <w:rsid w:val="00EF704D"/>
    <w:rsid w:val="00F03306"/>
    <w:rsid w:val="00F066A3"/>
    <w:rsid w:val="00F0778D"/>
    <w:rsid w:val="00F10DEF"/>
    <w:rsid w:val="00F11577"/>
    <w:rsid w:val="00F27EC2"/>
    <w:rsid w:val="00F3163A"/>
    <w:rsid w:val="00F45307"/>
    <w:rsid w:val="00F46658"/>
    <w:rsid w:val="00F549C8"/>
    <w:rsid w:val="00F55F6A"/>
    <w:rsid w:val="00F569D6"/>
    <w:rsid w:val="00F57721"/>
    <w:rsid w:val="00F600F6"/>
    <w:rsid w:val="00F621E4"/>
    <w:rsid w:val="00F622F0"/>
    <w:rsid w:val="00F64494"/>
    <w:rsid w:val="00F70BF9"/>
    <w:rsid w:val="00F765BD"/>
    <w:rsid w:val="00F80E93"/>
    <w:rsid w:val="00F831D9"/>
    <w:rsid w:val="00F92896"/>
    <w:rsid w:val="00FA2B3B"/>
    <w:rsid w:val="00FA3E55"/>
    <w:rsid w:val="00FA5DAC"/>
    <w:rsid w:val="00FB2437"/>
    <w:rsid w:val="00FC2616"/>
    <w:rsid w:val="00FC48F3"/>
    <w:rsid w:val="00FC7AE8"/>
    <w:rsid w:val="00FD0CB6"/>
    <w:rsid w:val="00FD11AD"/>
    <w:rsid w:val="00FD2E4D"/>
    <w:rsid w:val="00FD302A"/>
    <w:rsid w:val="00FD57C9"/>
    <w:rsid w:val="00FD71B8"/>
    <w:rsid w:val="00FE5E13"/>
    <w:rsid w:val="00FE6C0C"/>
    <w:rsid w:val="00FE7B21"/>
    <w:rsid w:val="00FF101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D434F2-B28C-4A3F-917C-466D69C53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676"/>
    <w:rPr>
      <w:rFonts w:ascii="Calibri" w:eastAsia="Calibri" w:hAnsi="Calibri" w:cs="Times New Roman"/>
    </w:rPr>
  </w:style>
  <w:style w:type="paragraph" w:styleId="Heading1">
    <w:name w:val="heading 1"/>
    <w:basedOn w:val="Normal"/>
    <w:next w:val="Normal"/>
    <w:link w:val="Heading1Char"/>
    <w:qFormat/>
    <w:rsid w:val="00804539"/>
    <w:pPr>
      <w:keepNext/>
      <w:keepLines/>
      <w:widowControl w:val="0"/>
      <w:suppressAutoHyphens/>
      <w:spacing w:after="0" w:line="240" w:lineRule="auto"/>
      <w:ind w:left="432" w:hanging="432"/>
      <w:outlineLvl w:val="0"/>
    </w:pPr>
    <w:rPr>
      <w:rFonts w:ascii="Arial" w:eastAsia="Arial Unicode MS" w:hAnsi="Arial" w:cs="Arial"/>
      <w:b/>
      <w:bCs/>
      <w:kern w:val="32"/>
      <w:lang w:val="sv-SE"/>
    </w:rPr>
  </w:style>
  <w:style w:type="paragraph" w:styleId="Heading2">
    <w:name w:val="heading 2"/>
    <w:basedOn w:val="Normal"/>
    <w:next w:val="Normal"/>
    <w:link w:val="Heading2Char"/>
    <w:qFormat/>
    <w:rsid w:val="00CD4869"/>
    <w:pPr>
      <w:keepNext/>
      <w:suppressAutoHyphens/>
      <w:spacing w:before="240" w:after="60"/>
      <w:outlineLvl w:val="1"/>
    </w:pPr>
    <w:rPr>
      <w:rFonts w:ascii="Arial" w:eastAsia="Arial Unicode MS" w:hAnsi="Arial" w:cs="Arial"/>
      <w:bCs/>
      <w:iCs/>
      <w:kern w:val="1"/>
    </w:rPr>
  </w:style>
  <w:style w:type="paragraph" w:styleId="Heading3">
    <w:name w:val="heading 3"/>
    <w:basedOn w:val="Normal"/>
    <w:next w:val="Normal"/>
    <w:link w:val="Heading3Char"/>
    <w:qFormat/>
    <w:rsid w:val="002E4676"/>
    <w:pPr>
      <w:keepNext/>
      <w:spacing w:after="0" w:line="240" w:lineRule="auto"/>
      <w:jc w:val="center"/>
      <w:outlineLvl w:val="2"/>
    </w:pPr>
    <w:rPr>
      <w:rFonts w:ascii="Times New Roman" w:eastAsia="Times New Roman" w:hAnsi="Times New Roman"/>
      <w:sz w:val="28"/>
      <w:szCs w:val="24"/>
    </w:rPr>
  </w:style>
  <w:style w:type="paragraph" w:styleId="Heading4">
    <w:name w:val="heading 4"/>
    <w:basedOn w:val="Normal"/>
    <w:next w:val="Normal"/>
    <w:link w:val="Heading4Char"/>
    <w:qFormat/>
    <w:rsid w:val="002E4676"/>
    <w:pPr>
      <w:keepNext/>
      <w:spacing w:after="0" w:line="240" w:lineRule="auto"/>
      <w:ind w:left="2880" w:firstLine="720"/>
      <w:outlineLvl w:val="3"/>
    </w:pPr>
    <w:rPr>
      <w:rFonts w:ascii="Times New Roman" w:eastAsia="Times New Roman" w:hAnsi="Times New Roman"/>
      <w:sz w:val="28"/>
      <w:szCs w:val="24"/>
    </w:rPr>
  </w:style>
  <w:style w:type="paragraph" w:styleId="Heading5">
    <w:name w:val="heading 5"/>
    <w:basedOn w:val="Normal"/>
    <w:next w:val="Normal"/>
    <w:link w:val="Heading5Char"/>
    <w:qFormat/>
    <w:rsid w:val="002E4676"/>
    <w:pPr>
      <w:keepNext/>
      <w:spacing w:after="0" w:line="240" w:lineRule="auto"/>
      <w:outlineLvl w:val="4"/>
    </w:pPr>
    <w:rPr>
      <w:rFonts w:ascii="Times New Roman" w:eastAsia="Times New Roman" w:hAnsi="Times New Roman"/>
      <w:sz w:val="28"/>
      <w:szCs w:val="24"/>
      <w:lang w:val="hr-HR"/>
    </w:rPr>
  </w:style>
  <w:style w:type="paragraph" w:styleId="Heading6">
    <w:name w:val="heading 6"/>
    <w:basedOn w:val="Normal"/>
    <w:next w:val="Normal"/>
    <w:link w:val="Heading6Char"/>
    <w:semiHidden/>
    <w:unhideWhenUsed/>
    <w:qFormat/>
    <w:rsid w:val="002E4676"/>
    <w:pPr>
      <w:suppressAutoHyphens/>
      <w:spacing w:before="240" w:after="60"/>
      <w:ind w:left="1152" w:hanging="1152"/>
      <w:outlineLvl w:val="5"/>
    </w:pPr>
    <w:rPr>
      <w:rFonts w:eastAsia="Times New Roman"/>
      <w:b/>
      <w:bCs/>
      <w:kern w:val="1"/>
    </w:rPr>
  </w:style>
  <w:style w:type="paragraph" w:styleId="Heading7">
    <w:name w:val="heading 7"/>
    <w:basedOn w:val="Normal"/>
    <w:next w:val="Normal"/>
    <w:link w:val="Heading7Char"/>
    <w:qFormat/>
    <w:rsid w:val="002E4676"/>
    <w:pPr>
      <w:keepNext/>
      <w:spacing w:after="0" w:line="240" w:lineRule="auto"/>
      <w:jc w:val="center"/>
      <w:outlineLvl w:val="6"/>
    </w:pPr>
    <w:rPr>
      <w:rFonts w:ascii="Times New Roman" w:eastAsia="Times New Roman" w:hAnsi="Times New Roman"/>
      <w:b/>
      <w:bCs/>
      <w:sz w:val="28"/>
      <w:szCs w:val="24"/>
    </w:rPr>
  </w:style>
  <w:style w:type="paragraph" w:styleId="Heading8">
    <w:name w:val="heading 8"/>
    <w:basedOn w:val="Normal"/>
    <w:next w:val="Normal"/>
    <w:link w:val="Heading8Char"/>
    <w:qFormat/>
    <w:rsid w:val="002E4676"/>
    <w:pPr>
      <w:keepNext/>
      <w:spacing w:after="0" w:line="240" w:lineRule="auto"/>
      <w:jc w:val="both"/>
      <w:outlineLvl w:val="7"/>
    </w:pPr>
    <w:rPr>
      <w:rFonts w:ascii="Times New Roman" w:eastAsia="Times New Roman" w:hAnsi="Times New Roman"/>
      <w:b/>
      <w:bCs/>
      <w:sz w:val="28"/>
      <w:szCs w:val="24"/>
    </w:rPr>
  </w:style>
  <w:style w:type="paragraph" w:styleId="Heading9">
    <w:name w:val="heading 9"/>
    <w:basedOn w:val="Normal"/>
    <w:next w:val="Normal"/>
    <w:link w:val="Heading9Char"/>
    <w:qFormat/>
    <w:rsid w:val="002E4676"/>
    <w:pPr>
      <w:keepNext/>
      <w:spacing w:after="0" w:line="240" w:lineRule="auto"/>
      <w:jc w:val="both"/>
      <w:outlineLvl w:val="8"/>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4539"/>
    <w:rPr>
      <w:rFonts w:ascii="Arial" w:eastAsia="Arial Unicode MS" w:hAnsi="Arial" w:cs="Arial"/>
      <w:b/>
      <w:bCs/>
      <w:kern w:val="32"/>
      <w:lang w:val="sv-SE"/>
    </w:rPr>
  </w:style>
  <w:style w:type="character" w:customStyle="1" w:styleId="Heading2Char">
    <w:name w:val="Heading 2 Char"/>
    <w:basedOn w:val="DefaultParagraphFont"/>
    <w:link w:val="Heading2"/>
    <w:rsid w:val="00CD4869"/>
    <w:rPr>
      <w:rFonts w:ascii="Arial" w:eastAsia="Arial Unicode MS" w:hAnsi="Arial" w:cs="Arial"/>
      <w:bCs/>
      <w:iCs/>
      <w:kern w:val="1"/>
    </w:rPr>
  </w:style>
  <w:style w:type="character" w:customStyle="1" w:styleId="Heading3Char">
    <w:name w:val="Heading 3 Char"/>
    <w:basedOn w:val="DefaultParagraphFont"/>
    <w:link w:val="Heading3"/>
    <w:rsid w:val="002E4676"/>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2E4676"/>
    <w:rPr>
      <w:rFonts w:ascii="Times New Roman" w:eastAsia="Times New Roman" w:hAnsi="Times New Roman" w:cs="Times New Roman"/>
      <w:sz w:val="28"/>
      <w:szCs w:val="24"/>
    </w:rPr>
  </w:style>
  <w:style w:type="character" w:customStyle="1" w:styleId="Heading5Char">
    <w:name w:val="Heading 5 Char"/>
    <w:basedOn w:val="DefaultParagraphFont"/>
    <w:link w:val="Heading5"/>
    <w:rsid w:val="002E4676"/>
    <w:rPr>
      <w:rFonts w:ascii="Times New Roman" w:eastAsia="Times New Roman" w:hAnsi="Times New Roman" w:cs="Times New Roman"/>
      <w:sz w:val="28"/>
      <w:szCs w:val="24"/>
      <w:lang w:val="hr-HR"/>
    </w:rPr>
  </w:style>
  <w:style w:type="character" w:customStyle="1" w:styleId="Heading6Char">
    <w:name w:val="Heading 6 Char"/>
    <w:basedOn w:val="DefaultParagraphFont"/>
    <w:link w:val="Heading6"/>
    <w:semiHidden/>
    <w:rsid w:val="002E4676"/>
    <w:rPr>
      <w:rFonts w:ascii="Calibri" w:eastAsia="Times New Roman" w:hAnsi="Calibri" w:cs="Times New Roman"/>
      <w:b/>
      <w:bCs/>
      <w:kern w:val="1"/>
    </w:rPr>
  </w:style>
  <w:style w:type="character" w:customStyle="1" w:styleId="Heading7Char">
    <w:name w:val="Heading 7 Char"/>
    <w:basedOn w:val="DefaultParagraphFont"/>
    <w:link w:val="Heading7"/>
    <w:rsid w:val="002E4676"/>
    <w:rPr>
      <w:rFonts w:ascii="Times New Roman" w:eastAsia="Times New Roman" w:hAnsi="Times New Roman" w:cs="Times New Roman"/>
      <w:b/>
      <w:bCs/>
      <w:sz w:val="28"/>
      <w:szCs w:val="24"/>
    </w:rPr>
  </w:style>
  <w:style w:type="character" w:customStyle="1" w:styleId="Heading8Char">
    <w:name w:val="Heading 8 Char"/>
    <w:basedOn w:val="DefaultParagraphFont"/>
    <w:link w:val="Heading8"/>
    <w:rsid w:val="002E4676"/>
    <w:rPr>
      <w:rFonts w:ascii="Times New Roman" w:eastAsia="Times New Roman" w:hAnsi="Times New Roman" w:cs="Times New Roman"/>
      <w:b/>
      <w:bCs/>
      <w:sz w:val="28"/>
      <w:szCs w:val="24"/>
    </w:rPr>
  </w:style>
  <w:style w:type="character" w:customStyle="1" w:styleId="Heading9Char">
    <w:name w:val="Heading 9 Char"/>
    <w:basedOn w:val="DefaultParagraphFont"/>
    <w:link w:val="Heading9"/>
    <w:rsid w:val="002E4676"/>
    <w:rPr>
      <w:rFonts w:ascii="Times New Roman" w:eastAsia="Times New Roman" w:hAnsi="Times New Roman" w:cs="Times New Roman"/>
      <w:sz w:val="28"/>
      <w:szCs w:val="24"/>
    </w:rPr>
  </w:style>
  <w:style w:type="paragraph" w:styleId="BalloonText">
    <w:name w:val="Balloon Text"/>
    <w:basedOn w:val="Normal"/>
    <w:link w:val="BalloonTextChar"/>
    <w:unhideWhenUsed/>
    <w:rsid w:val="002E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E4676"/>
    <w:rPr>
      <w:rFonts w:ascii="Tahoma" w:eastAsia="Calibri" w:hAnsi="Tahoma" w:cs="Tahoma"/>
      <w:sz w:val="16"/>
      <w:szCs w:val="16"/>
    </w:rPr>
  </w:style>
  <w:style w:type="paragraph" w:styleId="ListParagraph">
    <w:name w:val="List Paragraph"/>
    <w:basedOn w:val="Normal"/>
    <w:uiPriority w:val="99"/>
    <w:qFormat/>
    <w:rsid w:val="002E4676"/>
    <w:pPr>
      <w:ind w:left="720"/>
      <w:contextualSpacing/>
    </w:pPr>
  </w:style>
  <w:style w:type="table" w:styleId="TableGrid">
    <w:name w:val="Table Grid"/>
    <w:basedOn w:val="TableNormal"/>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link w:val="BodyText3Char"/>
    <w:rsid w:val="002E4676"/>
    <w:pPr>
      <w:spacing w:after="120" w:line="240" w:lineRule="auto"/>
    </w:pPr>
    <w:rPr>
      <w:rFonts w:ascii="Times New Roman" w:eastAsia="Times New Roman" w:hAnsi="Times New Roman"/>
      <w:sz w:val="16"/>
      <w:szCs w:val="16"/>
      <w:lang w:val="sr-Cyrl-CS" w:eastAsia="sr-Cyrl-CS"/>
    </w:rPr>
  </w:style>
  <w:style w:type="character" w:customStyle="1" w:styleId="BodyText3Char">
    <w:name w:val="Body Text 3 Char"/>
    <w:basedOn w:val="DefaultParagraphFont"/>
    <w:link w:val="BodyText3"/>
    <w:rsid w:val="002E4676"/>
    <w:rPr>
      <w:rFonts w:ascii="Times New Roman" w:eastAsia="Times New Roman" w:hAnsi="Times New Roman" w:cs="Times New Roman"/>
      <w:sz w:val="16"/>
      <w:szCs w:val="16"/>
      <w:lang w:val="sr-Cyrl-CS" w:eastAsia="sr-Cyrl-CS"/>
    </w:rPr>
  </w:style>
  <w:style w:type="paragraph" w:styleId="BodyText">
    <w:name w:val="Body Text"/>
    <w:basedOn w:val="Normal"/>
    <w:link w:val="BodyTextChar"/>
    <w:unhideWhenUsed/>
    <w:rsid w:val="002E4676"/>
    <w:pPr>
      <w:spacing w:after="120"/>
    </w:pPr>
  </w:style>
  <w:style w:type="character" w:customStyle="1" w:styleId="BodyTextChar">
    <w:name w:val="Body Text Char"/>
    <w:basedOn w:val="DefaultParagraphFont"/>
    <w:link w:val="BodyText"/>
    <w:rsid w:val="002E4676"/>
    <w:rPr>
      <w:rFonts w:ascii="Calibri" w:eastAsia="Calibri" w:hAnsi="Calibri" w:cs="Times New Roman"/>
    </w:rPr>
  </w:style>
  <w:style w:type="paragraph" w:styleId="Header">
    <w:name w:val="header"/>
    <w:basedOn w:val="Normal"/>
    <w:link w:val="HeaderChar"/>
    <w:uiPriority w:val="99"/>
    <w:unhideWhenUsed/>
    <w:rsid w:val="002E4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676"/>
    <w:rPr>
      <w:rFonts w:ascii="Calibri" w:eastAsia="Calibri" w:hAnsi="Calibri" w:cs="Times New Roman"/>
    </w:rPr>
  </w:style>
  <w:style w:type="paragraph" w:styleId="Footer">
    <w:name w:val="footer"/>
    <w:basedOn w:val="Normal"/>
    <w:link w:val="FooterChar"/>
    <w:uiPriority w:val="99"/>
    <w:unhideWhenUsed/>
    <w:rsid w:val="002E4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676"/>
    <w:rPr>
      <w:rFonts w:ascii="Calibri" w:eastAsia="Calibri" w:hAnsi="Calibri" w:cs="Times New Roman"/>
    </w:rPr>
  </w:style>
  <w:style w:type="paragraph" w:styleId="TOC1">
    <w:name w:val="toc 1"/>
    <w:basedOn w:val="Normal"/>
    <w:next w:val="Normal"/>
    <w:autoRedefine/>
    <w:uiPriority w:val="39"/>
    <w:rsid w:val="002E4676"/>
    <w:pPr>
      <w:suppressAutoHyphens/>
    </w:pPr>
    <w:rPr>
      <w:rFonts w:eastAsia="Arial Unicode MS" w:cs="Calibri"/>
      <w:kern w:val="1"/>
    </w:rPr>
  </w:style>
  <w:style w:type="paragraph" w:styleId="TOC2">
    <w:name w:val="toc 2"/>
    <w:basedOn w:val="Normal"/>
    <w:next w:val="Normal"/>
    <w:autoRedefine/>
    <w:uiPriority w:val="39"/>
    <w:rsid w:val="002E4676"/>
    <w:pPr>
      <w:tabs>
        <w:tab w:val="left" w:pos="880"/>
        <w:tab w:val="right" w:leader="dot" w:pos="9911"/>
      </w:tabs>
      <w:suppressAutoHyphens/>
    </w:pPr>
    <w:rPr>
      <w:rFonts w:eastAsia="Arial Unicode MS" w:cs="Calibri"/>
      <w:kern w:val="1"/>
    </w:rPr>
  </w:style>
  <w:style w:type="paragraph" w:styleId="TOC3">
    <w:name w:val="toc 3"/>
    <w:basedOn w:val="Normal"/>
    <w:next w:val="Normal"/>
    <w:autoRedefine/>
    <w:uiPriority w:val="39"/>
    <w:rsid w:val="002E4676"/>
    <w:pPr>
      <w:suppressAutoHyphens/>
      <w:ind w:left="440"/>
    </w:pPr>
    <w:rPr>
      <w:rFonts w:eastAsia="Arial Unicode MS" w:cs="Calibri"/>
      <w:kern w:val="1"/>
    </w:rPr>
  </w:style>
  <w:style w:type="character" w:styleId="Hyperlink">
    <w:name w:val="Hyperlink"/>
    <w:basedOn w:val="DefaultParagraphFont"/>
    <w:uiPriority w:val="99"/>
    <w:unhideWhenUsed/>
    <w:rsid w:val="002E4676"/>
    <w:rPr>
      <w:color w:val="0000FF"/>
      <w:u w:val="single"/>
    </w:rPr>
  </w:style>
  <w:style w:type="table" w:customStyle="1" w:styleId="TableGrid1">
    <w:name w:val="Table Grid1"/>
    <w:basedOn w:val="TableNormal"/>
    <w:next w:val="TableGrid"/>
    <w:uiPriority w:val="59"/>
    <w:rsid w:val="002E467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2E4676"/>
    <w:pPr>
      <w:suppressAutoHyphens w:val="0"/>
      <w:spacing w:before="480"/>
      <w:outlineLvl w:val="9"/>
    </w:pPr>
    <w:rPr>
      <w:rFonts w:ascii="Cambria" w:eastAsia="Times New Roman" w:hAnsi="Cambria" w:cs="Times New Roman"/>
      <w:color w:val="365F91"/>
      <w:kern w:val="0"/>
      <w:sz w:val="28"/>
      <w:szCs w:val="28"/>
    </w:rPr>
  </w:style>
  <w:style w:type="paragraph" w:customStyle="1" w:styleId="Default">
    <w:name w:val="Default"/>
    <w:rsid w:val="00A85E72"/>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A85E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ED2D40"/>
    <w:pPr>
      <w:spacing w:after="0" w:line="240" w:lineRule="auto"/>
    </w:pPr>
    <w:rPr>
      <w:rFonts w:eastAsiaTheme="minorEastAsia"/>
    </w:rPr>
  </w:style>
  <w:style w:type="character" w:customStyle="1" w:styleId="NoSpacingChar">
    <w:name w:val="No Spacing Char"/>
    <w:basedOn w:val="DefaultParagraphFont"/>
    <w:link w:val="NoSpacing"/>
    <w:uiPriority w:val="1"/>
    <w:rsid w:val="00ED2D40"/>
    <w:rPr>
      <w:rFonts w:eastAsiaTheme="minorEastAsia"/>
    </w:rPr>
  </w:style>
  <w:style w:type="paragraph" w:styleId="NormalWeb">
    <w:name w:val="Normal (Web)"/>
    <w:basedOn w:val="Normal"/>
    <w:uiPriority w:val="99"/>
    <w:semiHidden/>
    <w:unhideWhenUsed/>
    <w:rsid w:val="00925256"/>
    <w:pPr>
      <w:spacing w:before="100" w:beforeAutospacing="1" w:after="225" w:line="240" w:lineRule="auto"/>
    </w:pPr>
    <w:rPr>
      <w:rFonts w:ascii="Open Sans" w:eastAsia="Times New Roman" w:hAnsi="Open Sans"/>
      <w:sz w:val="23"/>
      <w:szCs w:val="23"/>
    </w:rPr>
  </w:style>
  <w:style w:type="paragraph" w:styleId="BodyTextIndent">
    <w:name w:val="Body Text Indent"/>
    <w:basedOn w:val="Normal"/>
    <w:link w:val="BodyTextIndentChar"/>
    <w:uiPriority w:val="99"/>
    <w:semiHidden/>
    <w:unhideWhenUsed/>
    <w:rsid w:val="0003619E"/>
    <w:pPr>
      <w:spacing w:after="120"/>
      <w:ind w:left="283"/>
    </w:pPr>
  </w:style>
  <w:style w:type="character" w:customStyle="1" w:styleId="BodyTextIndentChar">
    <w:name w:val="Body Text Indent Char"/>
    <w:basedOn w:val="DefaultParagraphFont"/>
    <w:link w:val="BodyTextIndent"/>
    <w:uiPriority w:val="99"/>
    <w:semiHidden/>
    <w:rsid w:val="0003619E"/>
    <w:rPr>
      <w:rFonts w:ascii="Calibri" w:eastAsia="Calibri" w:hAnsi="Calibri" w:cs="Times New Roman"/>
    </w:rPr>
  </w:style>
  <w:style w:type="paragraph" w:styleId="BodyText2">
    <w:name w:val="Body Text 2"/>
    <w:basedOn w:val="Normal"/>
    <w:link w:val="BodyText2Char"/>
    <w:uiPriority w:val="99"/>
    <w:semiHidden/>
    <w:unhideWhenUsed/>
    <w:rsid w:val="00776DB7"/>
    <w:pPr>
      <w:spacing w:after="120" w:line="480" w:lineRule="auto"/>
    </w:pPr>
  </w:style>
  <w:style w:type="character" w:customStyle="1" w:styleId="BodyText2Char">
    <w:name w:val="Body Text 2 Char"/>
    <w:basedOn w:val="DefaultParagraphFont"/>
    <w:link w:val="BodyText2"/>
    <w:uiPriority w:val="99"/>
    <w:semiHidden/>
    <w:rsid w:val="00776D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687338">
      <w:bodyDiv w:val="1"/>
      <w:marLeft w:val="0"/>
      <w:marRight w:val="0"/>
      <w:marTop w:val="0"/>
      <w:marBottom w:val="0"/>
      <w:divBdr>
        <w:top w:val="none" w:sz="0" w:space="0" w:color="auto"/>
        <w:left w:val="none" w:sz="0" w:space="0" w:color="auto"/>
        <w:bottom w:val="none" w:sz="0" w:space="0" w:color="auto"/>
        <w:right w:val="none" w:sz="0" w:space="0" w:color="auto"/>
      </w:divBdr>
    </w:div>
    <w:div w:id="416906325">
      <w:bodyDiv w:val="1"/>
      <w:marLeft w:val="0"/>
      <w:marRight w:val="0"/>
      <w:marTop w:val="0"/>
      <w:marBottom w:val="0"/>
      <w:divBdr>
        <w:top w:val="none" w:sz="0" w:space="0" w:color="auto"/>
        <w:left w:val="none" w:sz="0" w:space="0" w:color="auto"/>
        <w:bottom w:val="none" w:sz="0" w:space="0" w:color="auto"/>
        <w:right w:val="none" w:sz="0" w:space="0" w:color="auto"/>
      </w:divBdr>
    </w:div>
    <w:div w:id="638608023">
      <w:bodyDiv w:val="1"/>
      <w:marLeft w:val="0"/>
      <w:marRight w:val="0"/>
      <w:marTop w:val="0"/>
      <w:marBottom w:val="0"/>
      <w:divBdr>
        <w:top w:val="none" w:sz="0" w:space="0" w:color="auto"/>
        <w:left w:val="none" w:sz="0" w:space="0" w:color="auto"/>
        <w:bottom w:val="none" w:sz="0" w:space="0" w:color="auto"/>
        <w:right w:val="none" w:sz="0" w:space="0" w:color="auto"/>
      </w:divBdr>
    </w:div>
    <w:div w:id="811948568">
      <w:bodyDiv w:val="1"/>
      <w:marLeft w:val="0"/>
      <w:marRight w:val="0"/>
      <w:marTop w:val="0"/>
      <w:marBottom w:val="0"/>
      <w:divBdr>
        <w:top w:val="none" w:sz="0" w:space="0" w:color="auto"/>
        <w:left w:val="none" w:sz="0" w:space="0" w:color="auto"/>
        <w:bottom w:val="none" w:sz="0" w:space="0" w:color="auto"/>
        <w:right w:val="none" w:sz="0" w:space="0" w:color="auto"/>
      </w:divBdr>
    </w:div>
    <w:div w:id="1305157184">
      <w:bodyDiv w:val="1"/>
      <w:marLeft w:val="0"/>
      <w:marRight w:val="0"/>
      <w:marTop w:val="0"/>
      <w:marBottom w:val="0"/>
      <w:divBdr>
        <w:top w:val="none" w:sz="0" w:space="0" w:color="auto"/>
        <w:left w:val="none" w:sz="0" w:space="0" w:color="auto"/>
        <w:bottom w:val="none" w:sz="0" w:space="0" w:color="auto"/>
        <w:right w:val="none" w:sz="0" w:space="0" w:color="auto"/>
      </w:divBdr>
    </w:div>
    <w:div w:id="1486900503">
      <w:bodyDiv w:val="1"/>
      <w:marLeft w:val="0"/>
      <w:marRight w:val="0"/>
      <w:marTop w:val="0"/>
      <w:marBottom w:val="0"/>
      <w:divBdr>
        <w:top w:val="none" w:sz="0" w:space="0" w:color="auto"/>
        <w:left w:val="none" w:sz="0" w:space="0" w:color="auto"/>
        <w:bottom w:val="none" w:sz="0" w:space="0" w:color="auto"/>
        <w:right w:val="none" w:sz="0" w:space="0" w:color="auto"/>
      </w:divBdr>
    </w:div>
    <w:div w:id="1503399883">
      <w:bodyDiv w:val="1"/>
      <w:marLeft w:val="0"/>
      <w:marRight w:val="0"/>
      <w:marTop w:val="0"/>
      <w:marBottom w:val="0"/>
      <w:divBdr>
        <w:top w:val="none" w:sz="0" w:space="0" w:color="auto"/>
        <w:left w:val="none" w:sz="0" w:space="0" w:color="auto"/>
        <w:bottom w:val="none" w:sz="0" w:space="0" w:color="auto"/>
        <w:right w:val="none" w:sz="0" w:space="0" w:color="auto"/>
      </w:divBdr>
    </w:div>
    <w:div w:id="1512912048">
      <w:bodyDiv w:val="1"/>
      <w:marLeft w:val="0"/>
      <w:marRight w:val="0"/>
      <w:marTop w:val="0"/>
      <w:marBottom w:val="0"/>
      <w:divBdr>
        <w:top w:val="none" w:sz="0" w:space="0" w:color="auto"/>
        <w:left w:val="none" w:sz="0" w:space="0" w:color="auto"/>
        <w:bottom w:val="none" w:sz="0" w:space="0" w:color="auto"/>
        <w:right w:val="none" w:sz="0" w:space="0" w:color="auto"/>
      </w:divBdr>
    </w:div>
    <w:div w:id="171693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9E3FD-B1CC-4E97-8760-CCA3110D8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25</Pages>
  <Words>9139</Words>
  <Characters>52093</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107</cp:revision>
  <cp:lastPrinted>2019-04-02T11:48:00Z</cp:lastPrinted>
  <dcterms:created xsi:type="dcterms:W3CDTF">2019-06-27T08:23:00Z</dcterms:created>
  <dcterms:modified xsi:type="dcterms:W3CDTF">2020-02-27T08:50:00Z</dcterms:modified>
</cp:coreProperties>
</file>