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02-100/23-309/3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27.01.2023.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unutrašnjih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Mlađi/a policijski/a inspektor/ka - Policijski službenik za izradu, ažuriranje i kontrolu elektronskih evidencija i baza podataka - Odsjek za bezbjednost drumskog saobraćaja, Sektor policije opšte nadležnosti,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 ili VII1 nivo kvalifikacije obrazovanja, fakultet tehničko-tehnoloških nauka-elektrotehnika i elektronika ili prirodnih nauka-matematiika i računarske nauke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pripravnički staž ili najmanje jedna godina radnog iskustva u VI ili VII1 nivou kvalifikacije obrazovanja 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Mlađi/a policijski/a inspektor/ka - Policijski službenik za unos prekršajnih naloga u bazu podataka - Odsjek za sprovođenje postupka prinudne naplate, Sektor policije opšte nadležnosti,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 ili VII1 nivo kvalifikacije obrazovanja, fakultet društvenih nauka-pravo ili drugi fakultet društvenih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pripravnički staž ili najmanje jedna godina radnog iskustva u VI ili VII1 nivou kvalifikacije obrazovanja 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Napomena oglasa: </w:t>
      </w:r>
    </w:p>
    <w:p>
      <w:pPr/>
      <w:r>
        <w:rPr/>
        <w:t xml:space="preserve">Bezbjednosne smetnje utvrđuje Komisija za provjeru bezbjednosnih smetnji koju obrazuje ministar.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unutrašnjih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2023-09-14T11:29:27+02:00</dcterms:created>
  <dcterms:modified xsi:type="dcterms:W3CDTF">2023-09-14T11:29:27+02:00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