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536" w:rsidRPr="00377CBC" w:rsidRDefault="004A7536" w:rsidP="004A7536">
      <w:pPr>
        <w:spacing w:after="0" w:line="240" w:lineRule="auto"/>
        <w:jc w:val="center"/>
        <w:rPr>
          <w:rFonts w:ascii="Arial" w:hAnsi="Arial" w:cs="Arial"/>
          <w:b/>
          <w:bCs/>
        </w:rPr>
      </w:pPr>
      <w:r w:rsidRPr="00377CBC">
        <w:rPr>
          <w:rFonts w:ascii="Arial" w:hAnsi="Arial" w:cs="Arial"/>
          <w:b/>
          <w:bCs/>
        </w:rPr>
        <w:t xml:space="preserve">ICOMOS Tehnička ocjena </w:t>
      </w:r>
    </w:p>
    <w:p w:rsidR="004A7536" w:rsidRPr="00377CBC" w:rsidRDefault="004A7536" w:rsidP="004A7536">
      <w:pPr>
        <w:spacing w:after="0" w:line="240" w:lineRule="auto"/>
        <w:jc w:val="center"/>
        <w:rPr>
          <w:rFonts w:ascii="Arial" w:hAnsi="Arial" w:cs="Arial"/>
          <w:b/>
          <w:bCs/>
        </w:rPr>
      </w:pPr>
    </w:p>
    <w:p w:rsidR="004A7536" w:rsidRPr="00377CBC" w:rsidRDefault="004A7536" w:rsidP="004A7536">
      <w:pPr>
        <w:spacing w:after="0" w:line="240" w:lineRule="auto"/>
        <w:jc w:val="both"/>
        <w:rPr>
          <w:rFonts w:ascii="Arial" w:hAnsi="Arial" w:cs="Arial"/>
          <w:b/>
          <w:bCs/>
        </w:rPr>
      </w:pPr>
      <w:r w:rsidRPr="00377CBC">
        <w:rPr>
          <w:rFonts w:ascii="Arial" w:hAnsi="Arial" w:cs="Arial"/>
          <w:b/>
          <w:bCs/>
        </w:rPr>
        <w:t>Lokalitet</w:t>
      </w:r>
      <w:r w:rsidRPr="00377CBC">
        <w:rPr>
          <w:rFonts w:ascii="Arial" w:hAnsi="Arial" w:cs="Arial"/>
          <w:b/>
          <w:bCs/>
        </w:rPr>
        <w:tab/>
      </w:r>
      <w:r w:rsidRPr="00377CBC">
        <w:rPr>
          <w:rFonts w:ascii="Arial" w:hAnsi="Arial" w:cs="Arial"/>
          <w:b/>
          <w:bCs/>
        </w:rPr>
        <w:tab/>
        <w:t xml:space="preserve">Prirodno i kulturno-istorijsko područje Kotora </w:t>
      </w:r>
    </w:p>
    <w:p w:rsidR="004A7536" w:rsidRPr="00377CBC" w:rsidRDefault="004A7536" w:rsidP="004A7536">
      <w:pPr>
        <w:spacing w:after="0" w:line="240" w:lineRule="auto"/>
        <w:jc w:val="both"/>
        <w:rPr>
          <w:rFonts w:ascii="Arial" w:hAnsi="Arial" w:cs="Arial"/>
          <w:b/>
          <w:bCs/>
        </w:rPr>
      </w:pPr>
      <w:r w:rsidRPr="00377CBC">
        <w:rPr>
          <w:rFonts w:ascii="Arial" w:hAnsi="Arial" w:cs="Arial"/>
          <w:b/>
          <w:bCs/>
        </w:rPr>
        <w:t>Država</w:t>
      </w:r>
      <w:r w:rsidRPr="00377CBC">
        <w:rPr>
          <w:rFonts w:ascii="Arial" w:hAnsi="Arial" w:cs="Arial"/>
          <w:b/>
          <w:bCs/>
        </w:rPr>
        <w:tab/>
      </w:r>
      <w:r w:rsidRPr="00377CBC">
        <w:rPr>
          <w:rFonts w:ascii="Arial" w:hAnsi="Arial" w:cs="Arial"/>
          <w:b/>
          <w:bCs/>
        </w:rPr>
        <w:tab/>
        <w:t>Crna Gora</w:t>
      </w:r>
    </w:p>
    <w:p w:rsidR="004A7536" w:rsidRPr="00377CBC" w:rsidRDefault="004A7536" w:rsidP="004A7536">
      <w:pPr>
        <w:spacing w:after="0" w:line="240" w:lineRule="auto"/>
        <w:jc w:val="both"/>
        <w:rPr>
          <w:rFonts w:ascii="Arial" w:hAnsi="Arial" w:cs="Arial"/>
          <w:b/>
          <w:bCs/>
        </w:rPr>
      </w:pPr>
      <w:r w:rsidRPr="00377CBC">
        <w:rPr>
          <w:rFonts w:ascii="Arial" w:hAnsi="Arial" w:cs="Arial"/>
          <w:b/>
          <w:bCs/>
        </w:rPr>
        <w:t>ID lokaliteta</w:t>
      </w:r>
      <w:r w:rsidRPr="00377CBC">
        <w:rPr>
          <w:rFonts w:ascii="Arial" w:hAnsi="Arial" w:cs="Arial"/>
          <w:b/>
          <w:bCs/>
        </w:rPr>
        <w:tab/>
      </w:r>
      <w:r w:rsidRPr="00377CBC">
        <w:rPr>
          <w:rFonts w:ascii="Arial" w:hAnsi="Arial" w:cs="Arial"/>
          <w:b/>
          <w:bCs/>
        </w:rPr>
        <w:tab/>
        <w:t>125ter</w:t>
      </w:r>
    </w:p>
    <w:p w:rsidR="004A7536" w:rsidRPr="00377CBC" w:rsidRDefault="004A7536" w:rsidP="004A7536">
      <w:pPr>
        <w:spacing w:after="0" w:line="240" w:lineRule="auto"/>
        <w:jc w:val="both"/>
        <w:rPr>
          <w:rFonts w:ascii="Arial" w:hAnsi="Arial" w:cs="Arial"/>
          <w:b/>
          <w:bCs/>
        </w:rPr>
      </w:pPr>
      <w:r w:rsidRPr="00377CBC">
        <w:rPr>
          <w:rFonts w:ascii="Arial" w:hAnsi="Arial" w:cs="Arial"/>
          <w:b/>
          <w:bCs/>
        </w:rPr>
        <w:t>Datum upisa</w:t>
      </w:r>
      <w:r w:rsidRPr="00377CBC">
        <w:rPr>
          <w:rFonts w:ascii="Arial" w:hAnsi="Arial" w:cs="Arial"/>
          <w:b/>
          <w:bCs/>
        </w:rPr>
        <w:tab/>
      </w:r>
      <w:r w:rsidRPr="00377CBC">
        <w:rPr>
          <w:rFonts w:ascii="Arial" w:hAnsi="Arial" w:cs="Arial"/>
          <w:b/>
          <w:bCs/>
        </w:rPr>
        <w:tab/>
        <w:t xml:space="preserve">1979. godina </w:t>
      </w:r>
    </w:p>
    <w:p w:rsidR="004A7536" w:rsidRPr="00377CBC" w:rsidRDefault="004A7536" w:rsidP="004A7536">
      <w:pPr>
        <w:spacing w:after="0" w:line="240" w:lineRule="auto"/>
        <w:jc w:val="both"/>
        <w:rPr>
          <w:rFonts w:ascii="Arial" w:hAnsi="Arial" w:cs="Arial"/>
          <w:b/>
          <w:bCs/>
        </w:rPr>
      </w:pPr>
      <w:r w:rsidRPr="00377CBC">
        <w:rPr>
          <w:rFonts w:ascii="Arial" w:hAnsi="Arial" w:cs="Arial"/>
          <w:b/>
          <w:bCs/>
        </w:rPr>
        <w:t xml:space="preserve">Kriterijumi </w:t>
      </w:r>
      <w:r w:rsidRPr="00377CBC">
        <w:rPr>
          <w:rFonts w:ascii="Arial" w:hAnsi="Arial" w:cs="Arial"/>
          <w:b/>
          <w:bCs/>
        </w:rPr>
        <w:tab/>
      </w:r>
      <w:r w:rsidRPr="00377CBC">
        <w:rPr>
          <w:rFonts w:ascii="Arial" w:hAnsi="Arial" w:cs="Arial"/>
          <w:b/>
          <w:bCs/>
        </w:rPr>
        <w:tab/>
        <w:t>(i)(ii)(iii)(iv)</w:t>
      </w:r>
    </w:p>
    <w:p w:rsidR="004A7536" w:rsidRPr="00377CBC" w:rsidRDefault="004A7536" w:rsidP="004A7536">
      <w:pPr>
        <w:spacing w:after="0" w:line="240" w:lineRule="auto"/>
        <w:ind w:left="2160" w:hanging="2160"/>
        <w:jc w:val="both"/>
        <w:rPr>
          <w:rFonts w:ascii="Arial" w:hAnsi="Arial" w:cs="Arial"/>
          <w:b/>
          <w:bCs/>
        </w:rPr>
      </w:pPr>
      <w:r w:rsidRPr="00377CBC">
        <w:rPr>
          <w:rFonts w:ascii="Arial" w:hAnsi="Arial" w:cs="Arial"/>
          <w:b/>
          <w:bCs/>
        </w:rPr>
        <w:t>Predmet</w:t>
      </w:r>
      <w:r w:rsidRPr="00377CBC">
        <w:rPr>
          <w:rFonts w:ascii="Arial" w:hAnsi="Arial" w:cs="Arial"/>
          <w:b/>
          <w:bCs/>
        </w:rPr>
        <w:tab/>
        <w:t>Nacrt Prostorno urbanističkog plana Opštine Kotor (april 2019. godine)</w:t>
      </w:r>
    </w:p>
    <w:p w:rsidR="004A7536" w:rsidRPr="00377CBC" w:rsidRDefault="004A7536" w:rsidP="004A7536">
      <w:pPr>
        <w:spacing w:after="0" w:line="240" w:lineRule="auto"/>
        <w:ind w:left="2160" w:hanging="2160"/>
        <w:jc w:val="both"/>
        <w:rPr>
          <w:rFonts w:ascii="Arial" w:hAnsi="Arial" w:cs="Arial"/>
          <w:b/>
          <w:bCs/>
        </w:rPr>
      </w:pPr>
    </w:p>
    <w:p w:rsidR="004A7536" w:rsidRPr="00377CBC" w:rsidRDefault="004A7536" w:rsidP="004A7536">
      <w:pPr>
        <w:spacing w:after="0" w:line="240" w:lineRule="auto"/>
        <w:ind w:left="2160" w:hanging="2160"/>
        <w:jc w:val="both"/>
        <w:rPr>
          <w:rFonts w:ascii="Arial" w:hAnsi="Arial" w:cs="Arial"/>
          <w:b/>
          <w:bCs/>
        </w:rPr>
      </w:pPr>
    </w:p>
    <w:p w:rsidR="004A7536" w:rsidRPr="00377CBC" w:rsidRDefault="004A7536" w:rsidP="004A7536">
      <w:pPr>
        <w:spacing w:after="0" w:line="240" w:lineRule="auto"/>
        <w:ind w:left="2160" w:hanging="2160"/>
        <w:jc w:val="both"/>
        <w:rPr>
          <w:rFonts w:ascii="Arial" w:hAnsi="Arial" w:cs="Arial"/>
          <w:b/>
          <w:bCs/>
        </w:rPr>
      </w:pPr>
      <w:r w:rsidRPr="00377CBC">
        <w:rPr>
          <w:rFonts w:ascii="Arial" w:hAnsi="Arial" w:cs="Arial"/>
          <w:b/>
          <w:bCs/>
        </w:rPr>
        <w:t xml:space="preserve">Osnovni podaci </w:t>
      </w:r>
    </w:p>
    <w:p w:rsidR="004A7536" w:rsidRPr="00377CBC" w:rsidRDefault="004A7536" w:rsidP="004A7536">
      <w:pPr>
        <w:spacing w:after="0" w:line="240" w:lineRule="auto"/>
        <w:ind w:left="2160" w:hanging="2160"/>
        <w:jc w:val="both"/>
        <w:rPr>
          <w:rFonts w:ascii="Arial" w:hAnsi="Arial" w:cs="Arial"/>
          <w:b/>
          <w:bCs/>
        </w:rPr>
      </w:pPr>
    </w:p>
    <w:p w:rsidR="004A7536" w:rsidRPr="00377CBC" w:rsidRDefault="004A7536" w:rsidP="004A7536">
      <w:pPr>
        <w:spacing w:after="0" w:line="240" w:lineRule="auto"/>
        <w:jc w:val="both"/>
        <w:rPr>
          <w:rFonts w:ascii="Arial" w:hAnsi="Arial" w:cs="Arial"/>
        </w:rPr>
      </w:pPr>
      <w:r w:rsidRPr="00377CBC">
        <w:rPr>
          <w:rFonts w:ascii="Arial" w:hAnsi="Arial" w:cs="Arial"/>
        </w:rPr>
        <w:t xml:space="preserve">Izvještaj zajedničke Reaktivne monitoring misije Centra za svjetsku baštinu i ICOMOS-a koja je realizovana 2018. godine, sadržao je opsežne preporuke u pogledu izmjena u predstojećem nacrtu Prostorno urbanističkog plana Opštine Kotor, koje je bilo neophodno primijeniti kako bi se izbjeglo dalje nanošenje štete </w:t>
      </w:r>
      <w:r w:rsidRPr="00377CBC">
        <w:rPr>
          <w:rFonts w:ascii="Arial" w:hAnsi="Arial" w:cs="Arial"/>
          <w:i/>
        </w:rPr>
        <w:t>izuzetnoj univerzalnoj vrijednosti</w:t>
      </w:r>
      <w:r w:rsidRPr="00377CBC">
        <w:rPr>
          <w:rFonts w:ascii="Arial" w:hAnsi="Arial" w:cs="Arial"/>
        </w:rPr>
        <w:t xml:space="preserve"> (OUV) kao posledice širenja urbanizacije u mjestu svjetske baštine. Preporuke su bile kako uopštene (preporuke misije 11-16) tako i specifične za lokaciju (preporuke misije 21-22, 25-28, 30). Revidirani nacrt </w:t>
      </w:r>
      <w:r w:rsidRPr="00377CBC">
        <w:rPr>
          <w:rFonts w:ascii="Arial" w:hAnsi="Arial" w:cs="Arial"/>
          <w:i/>
          <w:iCs/>
        </w:rPr>
        <w:t xml:space="preserve">Prostorno urbanističkog plana Opštine Kotor </w:t>
      </w:r>
      <w:r w:rsidRPr="00377CBC">
        <w:rPr>
          <w:rFonts w:ascii="Arial" w:hAnsi="Arial" w:cs="Arial"/>
        </w:rPr>
        <w:t xml:space="preserve">iz aprila 2019. godine je dostavljen Centru za svjetsku baštinu na davanje komentara u skladu sa preporukom misije br. 16. </w:t>
      </w:r>
    </w:p>
    <w:p w:rsidR="004A7536" w:rsidRPr="00377CBC" w:rsidRDefault="004A7536" w:rsidP="004A7536">
      <w:pPr>
        <w:spacing w:after="0" w:line="240" w:lineRule="auto"/>
        <w:jc w:val="both"/>
        <w:rPr>
          <w:rFonts w:ascii="Arial" w:hAnsi="Arial" w:cs="Arial"/>
        </w:rPr>
      </w:pPr>
    </w:p>
    <w:p w:rsidR="004A7536" w:rsidRPr="00377CBC" w:rsidRDefault="004A7536" w:rsidP="004A7536">
      <w:pPr>
        <w:spacing w:after="0" w:line="240" w:lineRule="auto"/>
        <w:jc w:val="both"/>
        <w:rPr>
          <w:rFonts w:ascii="Arial" w:hAnsi="Arial" w:cs="Arial"/>
          <w:b/>
          <w:bCs/>
        </w:rPr>
      </w:pPr>
      <w:r w:rsidRPr="00377CBC">
        <w:rPr>
          <w:rFonts w:ascii="Arial" w:hAnsi="Arial" w:cs="Arial"/>
          <w:b/>
          <w:bCs/>
        </w:rPr>
        <w:t xml:space="preserve">Dostavljena dokumentacija </w:t>
      </w:r>
    </w:p>
    <w:p w:rsidR="004A7536" w:rsidRPr="00377CBC" w:rsidRDefault="004A7536" w:rsidP="004A7536">
      <w:pPr>
        <w:spacing w:after="0" w:line="240" w:lineRule="auto"/>
        <w:jc w:val="both"/>
        <w:rPr>
          <w:rFonts w:ascii="Arial" w:hAnsi="Arial" w:cs="Arial"/>
          <w:b/>
          <w:bCs/>
        </w:rPr>
      </w:pPr>
    </w:p>
    <w:p w:rsidR="004A7536" w:rsidRPr="00377CBC" w:rsidRDefault="004A7536" w:rsidP="004A7536">
      <w:pPr>
        <w:spacing w:after="0" w:line="240" w:lineRule="auto"/>
        <w:jc w:val="both"/>
        <w:rPr>
          <w:rFonts w:ascii="Arial" w:hAnsi="Arial" w:cs="Arial"/>
        </w:rPr>
      </w:pPr>
      <w:r w:rsidRPr="00377CBC">
        <w:rPr>
          <w:rFonts w:ascii="Arial" w:hAnsi="Arial" w:cs="Arial"/>
        </w:rPr>
        <w:t>Nacrt Prostorno urbanističkog plana Opštine Kotor, tekstualni dio, knjiga 1 i 2, april 2019. godine (primljen od strane ICOMOS-a 8. aprila 2019. godine).</w:t>
      </w:r>
    </w:p>
    <w:p w:rsidR="004A7536" w:rsidRPr="00377CBC" w:rsidRDefault="004A7536" w:rsidP="004A7536">
      <w:pPr>
        <w:spacing w:after="0" w:line="240" w:lineRule="auto"/>
        <w:jc w:val="both"/>
        <w:rPr>
          <w:rFonts w:ascii="Arial" w:hAnsi="Arial" w:cs="Arial"/>
        </w:rPr>
      </w:pPr>
    </w:p>
    <w:p w:rsidR="004A7536" w:rsidRPr="00377CBC" w:rsidRDefault="004A7536" w:rsidP="004A7536">
      <w:pPr>
        <w:spacing w:after="0" w:line="240" w:lineRule="auto"/>
        <w:jc w:val="both"/>
        <w:rPr>
          <w:rFonts w:ascii="Arial" w:hAnsi="Arial" w:cs="Arial"/>
        </w:rPr>
      </w:pPr>
      <w:r w:rsidRPr="00377CBC">
        <w:rPr>
          <w:rFonts w:ascii="Arial" w:hAnsi="Arial" w:cs="Arial"/>
        </w:rPr>
        <w:t>Mape (sve primljene od strane ICOMOS-a 10. aprila 2019. godine):</w:t>
      </w:r>
    </w:p>
    <w:p w:rsidR="004A7536" w:rsidRPr="00377CBC" w:rsidRDefault="004A7536" w:rsidP="004A7536">
      <w:pPr>
        <w:pStyle w:val="ListParagraph"/>
        <w:numPr>
          <w:ilvl w:val="0"/>
          <w:numId w:val="1"/>
        </w:numPr>
        <w:spacing w:after="0" w:line="240" w:lineRule="auto"/>
        <w:jc w:val="both"/>
        <w:rPr>
          <w:rFonts w:ascii="Arial" w:hAnsi="Arial" w:cs="Arial"/>
        </w:rPr>
      </w:pPr>
      <w:r w:rsidRPr="00377CBC">
        <w:rPr>
          <w:rFonts w:ascii="Arial" w:hAnsi="Arial" w:cs="Arial"/>
        </w:rPr>
        <w:t>07a</w:t>
      </w:r>
      <w:r w:rsidRPr="00377CBC">
        <w:rPr>
          <w:rFonts w:ascii="Arial" w:hAnsi="Arial" w:cs="Arial"/>
        </w:rPr>
        <w:tab/>
        <w:t xml:space="preserve">Predviđena namjena područja </w:t>
      </w:r>
    </w:p>
    <w:p w:rsidR="004A7536" w:rsidRPr="00377CBC" w:rsidRDefault="004A7536" w:rsidP="004A7536">
      <w:pPr>
        <w:pStyle w:val="ListParagraph"/>
        <w:numPr>
          <w:ilvl w:val="0"/>
          <w:numId w:val="1"/>
        </w:numPr>
        <w:spacing w:after="0" w:line="240" w:lineRule="auto"/>
        <w:jc w:val="both"/>
        <w:rPr>
          <w:rFonts w:ascii="Arial" w:hAnsi="Arial" w:cs="Arial"/>
        </w:rPr>
      </w:pPr>
      <w:r w:rsidRPr="00377CBC">
        <w:rPr>
          <w:rFonts w:ascii="Arial" w:hAnsi="Arial" w:cs="Arial"/>
        </w:rPr>
        <w:t>07b4</w:t>
      </w:r>
      <w:r w:rsidRPr="00377CBC">
        <w:rPr>
          <w:rFonts w:ascii="Arial" w:hAnsi="Arial" w:cs="Arial"/>
        </w:rPr>
        <w:tab/>
        <w:t>Planirana saobraćajna mreža</w:t>
      </w:r>
    </w:p>
    <w:p w:rsidR="004A7536" w:rsidRPr="00377CBC" w:rsidRDefault="004A7536" w:rsidP="004A7536">
      <w:pPr>
        <w:pStyle w:val="ListParagraph"/>
        <w:numPr>
          <w:ilvl w:val="0"/>
          <w:numId w:val="1"/>
        </w:numPr>
        <w:spacing w:after="0" w:line="240" w:lineRule="auto"/>
        <w:jc w:val="both"/>
        <w:rPr>
          <w:rFonts w:ascii="Arial" w:hAnsi="Arial" w:cs="Arial"/>
        </w:rPr>
      </w:pPr>
      <w:r w:rsidRPr="00377CBC">
        <w:rPr>
          <w:rFonts w:ascii="Arial" w:hAnsi="Arial" w:cs="Arial"/>
        </w:rPr>
        <w:t>10a</w:t>
      </w:r>
      <w:r w:rsidRPr="00377CBC">
        <w:rPr>
          <w:rFonts w:ascii="Arial" w:hAnsi="Arial" w:cs="Arial"/>
        </w:rPr>
        <w:tab/>
        <w:t>Planirana namjena površina u skladu sa GUS</w:t>
      </w:r>
    </w:p>
    <w:p w:rsidR="004A7536" w:rsidRPr="00377CBC" w:rsidRDefault="004A7536" w:rsidP="004A7536">
      <w:pPr>
        <w:spacing w:after="0" w:line="240" w:lineRule="auto"/>
        <w:jc w:val="both"/>
        <w:rPr>
          <w:rFonts w:ascii="Arial" w:hAnsi="Arial" w:cs="Arial"/>
        </w:rPr>
      </w:pPr>
    </w:p>
    <w:p w:rsidR="004A7536" w:rsidRPr="00377CBC" w:rsidRDefault="004A7536" w:rsidP="004A7536">
      <w:pPr>
        <w:spacing w:after="0" w:line="240" w:lineRule="auto"/>
        <w:jc w:val="both"/>
        <w:rPr>
          <w:rFonts w:ascii="Arial" w:hAnsi="Arial" w:cs="Arial"/>
        </w:rPr>
      </w:pPr>
      <w:r w:rsidRPr="00377CBC">
        <w:rPr>
          <w:rFonts w:ascii="Arial" w:hAnsi="Arial" w:cs="Arial"/>
        </w:rPr>
        <w:t xml:space="preserve">Finalni Aneks SIP ENG 13 mišljenja [Odgovori Vladinog sektora na nacrt] (primljen od strane ICOMOS-a 16. aprila 2019. godine). </w:t>
      </w:r>
    </w:p>
    <w:p w:rsidR="004A7536" w:rsidRPr="00377CBC" w:rsidRDefault="004A7536" w:rsidP="004A7536">
      <w:pPr>
        <w:spacing w:after="0" w:line="240" w:lineRule="auto"/>
        <w:jc w:val="both"/>
        <w:rPr>
          <w:rFonts w:ascii="Arial" w:hAnsi="Arial" w:cs="Arial"/>
        </w:rPr>
      </w:pPr>
    </w:p>
    <w:p w:rsidR="004A7536" w:rsidRPr="00377CBC" w:rsidRDefault="004A7536" w:rsidP="004A7536">
      <w:pPr>
        <w:spacing w:after="0" w:line="240" w:lineRule="auto"/>
        <w:jc w:val="both"/>
        <w:rPr>
          <w:rFonts w:ascii="Arial" w:hAnsi="Arial" w:cs="Arial"/>
          <w:b/>
          <w:bCs/>
        </w:rPr>
      </w:pPr>
      <w:r w:rsidRPr="00377CBC">
        <w:rPr>
          <w:rFonts w:ascii="Arial" w:hAnsi="Arial" w:cs="Arial"/>
          <w:b/>
          <w:bCs/>
        </w:rPr>
        <w:t xml:space="preserve">Pregled </w:t>
      </w:r>
    </w:p>
    <w:p w:rsidR="004A7536" w:rsidRPr="00377CBC" w:rsidRDefault="004A7536" w:rsidP="004A7536">
      <w:pPr>
        <w:spacing w:after="0" w:line="240" w:lineRule="auto"/>
        <w:jc w:val="both"/>
        <w:rPr>
          <w:rFonts w:ascii="Arial" w:hAnsi="Arial" w:cs="Arial"/>
          <w:b/>
          <w:bCs/>
        </w:rPr>
      </w:pPr>
    </w:p>
    <w:p w:rsidR="004A7536" w:rsidRPr="00377CBC" w:rsidRDefault="004A7536" w:rsidP="004A7536">
      <w:pPr>
        <w:spacing w:after="0" w:line="240" w:lineRule="auto"/>
        <w:jc w:val="both"/>
        <w:rPr>
          <w:rFonts w:ascii="Arial" w:hAnsi="Arial" w:cs="Arial"/>
        </w:rPr>
      </w:pPr>
      <w:r w:rsidRPr="00377CBC">
        <w:rPr>
          <w:rFonts w:ascii="Arial" w:hAnsi="Arial" w:cs="Arial"/>
        </w:rPr>
        <w:t xml:space="preserve">Tekstualni djelovi nacrta plana su dugački (227+245 stranica u dvije knjige), sadržaj se donekle ponavlja, a značenje nije uvijek jasno (što je možda posledica kvaliteta prevoda). Plan se oslanja na ključnu dokumentaciju, naročito </w:t>
      </w:r>
      <w:r w:rsidRPr="00377CBC">
        <w:rPr>
          <w:rFonts w:ascii="Arial" w:hAnsi="Arial" w:cs="Arial"/>
          <w:i/>
          <w:iCs/>
        </w:rPr>
        <w:t xml:space="preserve">Plan za obalno područje </w:t>
      </w:r>
      <w:r w:rsidRPr="00377CBC">
        <w:rPr>
          <w:rFonts w:ascii="Arial" w:hAnsi="Arial" w:cs="Arial"/>
        </w:rPr>
        <w:t xml:space="preserve">i druge relevantne prostorne planove (sumirani u Dijelu 1), </w:t>
      </w:r>
      <w:r w:rsidRPr="00377CBC">
        <w:rPr>
          <w:rFonts w:ascii="Arial" w:hAnsi="Arial" w:cs="Arial"/>
          <w:i/>
          <w:iCs/>
        </w:rPr>
        <w:t xml:space="preserve">Studiju zaštite kulturnih dobara </w:t>
      </w:r>
      <w:r w:rsidRPr="00377CBC">
        <w:rPr>
          <w:rFonts w:ascii="Arial" w:hAnsi="Arial" w:cs="Arial"/>
        </w:rPr>
        <w:t xml:space="preserve">i Izvještaj misije iz 2018. godine, pri čemu se citiraju odjeljci i preporuke, ali se oni ne integrišu u set koherentnih, konzistentnih i jasnih politika zasnovanih na analizi i obrazloženom argumentu. Zbog toga, precizno značenje i namjera teksta plana, strategije budućeg planiranja opštine, nijesu uvijek jasni. </w:t>
      </w:r>
    </w:p>
    <w:p w:rsidR="004A7536" w:rsidRPr="00377CBC" w:rsidRDefault="004A7536" w:rsidP="004A7536">
      <w:pPr>
        <w:spacing w:after="0" w:line="240" w:lineRule="auto"/>
        <w:jc w:val="both"/>
        <w:rPr>
          <w:rFonts w:ascii="Arial" w:hAnsi="Arial" w:cs="Arial"/>
        </w:rPr>
      </w:pPr>
    </w:p>
    <w:p w:rsidR="004A7536" w:rsidRPr="00377CBC" w:rsidRDefault="004A7536" w:rsidP="004A7536">
      <w:pPr>
        <w:spacing w:after="0" w:line="240" w:lineRule="auto"/>
        <w:jc w:val="both"/>
        <w:rPr>
          <w:rFonts w:ascii="Arial" w:hAnsi="Arial" w:cs="Arial"/>
        </w:rPr>
      </w:pPr>
      <w:r w:rsidRPr="00377CBC">
        <w:rPr>
          <w:rFonts w:ascii="Arial" w:hAnsi="Arial" w:cs="Arial"/>
        </w:rPr>
        <w:t xml:space="preserve">Iako se dokumentom ostvaruje veliki napredak u pogledu rješavanja određenih konkretnih pitanja koja su navedena u izvještaju misije, naročito drastičnim smanjenjem obima prethodno predviđene urbanizacije, ukupnom strategijom treba prepoznati prioritet koji treba dati očuvanju </w:t>
      </w:r>
      <w:r w:rsidRPr="00377CBC">
        <w:rPr>
          <w:rFonts w:ascii="Arial" w:hAnsi="Arial" w:cs="Arial"/>
          <w:i/>
        </w:rPr>
        <w:t>izuzetnih univerzalnih vrijednosti</w:t>
      </w:r>
      <w:r w:rsidRPr="00377CBC">
        <w:rPr>
          <w:rFonts w:ascii="Arial" w:hAnsi="Arial" w:cs="Arial"/>
        </w:rPr>
        <w:t xml:space="preserve"> OUV. Ključna pitanja su saobraćaj, naročito putevi, i prevladavajući prioritet koji je dat razvoju turizma. </w:t>
      </w:r>
    </w:p>
    <w:p w:rsidR="004A7536" w:rsidRPr="00377CBC" w:rsidRDefault="004A7536" w:rsidP="004A7536">
      <w:pPr>
        <w:spacing w:after="0" w:line="240" w:lineRule="auto"/>
        <w:jc w:val="both"/>
        <w:rPr>
          <w:rFonts w:ascii="Arial" w:hAnsi="Arial" w:cs="Arial"/>
        </w:rPr>
      </w:pPr>
      <w:r w:rsidRPr="00377CBC">
        <w:rPr>
          <w:rFonts w:ascii="Arial" w:hAnsi="Arial" w:cs="Arial"/>
        </w:rPr>
        <w:lastRenderedPageBreak/>
        <w:t xml:space="preserve">Kada se usvoji, namjera je da Plan bude na snazi dok ga ne zamijeni </w:t>
      </w:r>
      <w:r w:rsidRPr="00377CBC">
        <w:rPr>
          <w:rFonts w:ascii="Arial" w:hAnsi="Arial" w:cs="Arial"/>
          <w:i/>
          <w:iCs/>
        </w:rPr>
        <w:t>Plan generalne regulacije Crne Gore</w:t>
      </w:r>
      <w:r w:rsidRPr="00377CBC">
        <w:rPr>
          <w:rFonts w:ascii="Arial" w:hAnsi="Arial" w:cs="Arial"/>
        </w:rPr>
        <w:t xml:space="preserve">, vjerovatno 2020. godine. On predstavlja ogroman napredak u odnosu na poništeni Plan iz 2015. godine i planove nižeg reda za pojedinačna naselja, a sa dopunama i radnjama koje su predložene u nastavku može poslužiti dok se njegove odredbe ne ugrade u predstojeći Plan generalne regulacije. </w:t>
      </w:r>
    </w:p>
    <w:p w:rsidR="004A7536" w:rsidRPr="00377CBC" w:rsidRDefault="004A7536" w:rsidP="004A7536">
      <w:pPr>
        <w:spacing w:after="0" w:line="240" w:lineRule="auto"/>
        <w:jc w:val="both"/>
        <w:rPr>
          <w:rFonts w:ascii="Arial" w:hAnsi="Arial" w:cs="Arial"/>
        </w:rPr>
      </w:pPr>
    </w:p>
    <w:p w:rsidR="004A7536" w:rsidRPr="00377CBC" w:rsidRDefault="004A7536" w:rsidP="004A7536">
      <w:pPr>
        <w:spacing w:after="0" w:line="240" w:lineRule="auto"/>
        <w:jc w:val="both"/>
        <w:rPr>
          <w:rFonts w:ascii="Arial" w:hAnsi="Arial" w:cs="Arial"/>
          <w:b/>
          <w:bCs/>
        </w:rPr>
      </w:pPr>
      <w:r w:rsidRPr="00377CBC">
        <w:rPr>
          <w:rFonts w:ascii="Arial" w:hAnsi="Arial" w:cs="Arial"/>
          <w:b/>
          <w:bCs/>
        </w:rPr>
        <w:t xml:space="preserve">Strategija </w:t>
      </w:r>
    </w:p>
    <w:p w:rsidR="004A7536" w:rsidRPr="00377CBC" w:rsidRDefault="004A7536" w:rsidP="004A7536">
      <w:pPr>
        <w:spacing w:after="0" w:line="240" w:lineRule="auto"/>
        <w:jc w:val="both"/>
        <w:rPr>
          <w:rFonts w:ascii="Arial" w:hAnsi="Arial" w:cs="Arial"/>
          <w:b/>
          <w:bCs/>
        </w:rPr>
      </w:pPr>
    </w:p>
    <w:p w:rsidR="004A7536" w:rsidRPr="00377CBC" w:rsidRDefault="004A7536" w:rsidP="004A7536">
      <w:pPr>
        <w:spacing w:after="0" w:line="240" w:lineRule="auto"/>
        <w:jc w:val="both"/>
        <w:rPr>
          <w:rFonts w:ascii="Arial" w:hAnsi="Arial" w:cs="Arial"/>
        </w:rPr>
      </w:pPr>
      <w:r w:rsidRPr="00377CBC">
        <w:rPr>
          <w:rFonts w:ascii="Arial" w:hAnsi="Arial" w:cs="Arial"/>
        </w:rPr>
        <w:t xml:space="preserve">Plan se odnosi isključivo na opštinu Kotor, koja obuhvata većinu prostora </w:t>
      </w:r>
      <w:r w:rsidRPr="00377CBC">
        <w:rPr>
          <w:rFonts w:ascii="Arial" w:hAnsi="Arial" w:cs="Arial"/>
          <w:i/>
        </w:rPr>
        <w:t>zone zaštite</w:t>
      </w:r>
      <w:r w:rsidRPr="00377CBC">
        <w:rPr>
          <w:rFonts w:ascii="Arial" w:hAnsi="Arial" w:cs="Arial"/>
        </w:rPr>
        <w:t xml:space="preserve"> mjesta svjetske baštine i djelove njene </w:t>
      </w:r>
      <w:r w:rsidRPr="00377CBC">
        <w:rPr>
          <w:rFonts w:ascii="Arial" w:hAnsi="Arial" w:cs="Arial"/>
          <w:i/>
        </w:rPr>
        <w:t>zaštićene okoline</w:t>
      </w:r>
      <w:r w:rsidRPr="00377CBC">
        <w:rPr>
          <w:rFonts w:ascii="Arial" w:hAnsi="Arial" w:cs="Arial"/>
        </w:rPr>
        <w:t>, a obuhvata (na sjeveru) i prostranu neuređenu zonu koja se nalazi van granica obje navedene zone.</w:t>
      </w:r>
      <w:r w:rsidRPr="00377CBC">
        <w:rPr>
          <w:rStyle w:val="FootnoteReference"/>
          <w:rFonts w:ascii="Arial" w:hAnsi="Arial" w:cs="Arial"/>
        </w:rPr>
        <w:footnoteReference w:id="2"/>
      </w:r>
      <w:r w:rsidRPr="00377CBC">
        <w:rPr>
          <w:rFonts w:ascii="Arial" w:hAnsi="Arial" w:cs="Arial"/>
        </w:rPr>
        <w:t xml:space="preserve"> Velika zona zaštićene okoline ovog mjesta svjetske baštine obuhvata spoljašnje zalive i obalu područja Boke, koje su istorijski, geografski i ekonomski komplementarne opštini Kotor. Planom je pravilno prepoznato da glavna razvojna pitanja treba razmotriti na nivou područja Boke kao cjeline (II.16). </w:t>
      </w:r>
    </w:p>
    <w:p w:rsidR="004A7536" w:rsidRPr="00377CBC" w:rsidRDefault="004A7536" w:rsidP="004A7536">
      <w:pPr>
        <w:spacing w:after="0" w:line="240" w:lineRule="auto"/>
        <w:jc w:val="both"/>
        <w:rPr>
          <w:rFonts w:ascii="Arial" w:hAnsi="Arial" w:cs="Arial"/>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rPr>
        <w:t>Prilikom razmatranja odgovarajućeg prostornog modela za Kotor (6.1, pII.26), u nacrtu Plana se kao inicijalni zaključak konstatuje da „</w:t>
      </w:r>
      <w:r w:rsidRPr="00377CBC">
        <w:rPr>
          <w:rFonts w:ascii="Arial" w:hAnsi="Arial" w:cs="Arial"/>
          <w:color w:val="000000" w:themeColor="text1"/>
        </w:rPr>
        <w:t xml:space="preserve">Prostorni plan Kotora treba da teži stabilnom i sigurnom razvoju sa akcentom na zadržavanju statusa na Listi svjetske baštine”. Zatim se kao suprotni modeli navode “Scenario zaštite” i „Scenario konvergencije“ i usvaja se ovaj drugi koji je fokusiran na kreiranje dodatne vrijednosti na ovom području, naročito jačanjem turizma (II.26). U stvari, razlika je vještačka. Na duži rok, postoji potreba za održivim razvojem (kako je prepoznato Planom, II.27-8), koji, sa stanovišta kulturnog nasljeđa, prioritet daje zaštiti i valorizaciji </w:t>
      </w:r>
      <w:r w:rsidRPr="00377CBC">
        <w:rPr>
          <w:rFonts w:ascii="Arial" w:hAnsi="Arial" w:cs="Arial"/>
          <w:i/>
          <w:color w:val="000000" w:themeColor="text1"/>
        </w:rPr>
        <w:t>atributa izuzetne univerzalne vrijednosti</w:t>
      </w:r>
      <w:r w:rsidRPr="00377CBC">
        <w:rPr>
          <w:rFonts w:ascii="Arial" w:hAnsi="Arial" w:cs="Arial"/>
          <w:color w:val="000000" w:themeColor="text1"/>
        </w:rPr>
        <w:t xml:space="preserve"> OUV i, iznad svega, izbjegava dalje nanošenje materijalne štete tim atributima. To bi trebalo da bude osnovni princip koji usmjerava „rigoroznu kontrolu korišćenja prostora“ čije je uvođenje predloženo. Pretpostavke „Scenarija konvergencije“ nijesu </w:t>
      </w:r>
      <w:r w:rsidRPr="00377CBC">
        <w:rPr>
          <w:rFonts w:ascii="Arial" w:hAnsi="Arial" w:cs="Arial"/>
          <w:i/>
          <w:iCs/>
          <w:color w:val="000000" w:themeColor="text1"/>
        </w:rPr>
        <w:t xml:space="preserve">de facto </w:t>
      </w:r>
      <w:r w:rsidRPr="00377CBC">
        <w:rPr>
          <w:rFonts w:ascii="Arial" w:hAnsi="Arial" w:cs="Arial"/>
          <w:color w:val="000000" w:themeColor="text1"/>
        </w:rPr>
        <w:t xml:space="preserve">nekonzistentne sa ovim principom, ali se moraju dodati navedenoj listi pretpostavki (II.28).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Plan stavlja turizam u središte strategije za ovo područje, ali nastoji da prenese akcenat sa razvoja apartmana za odmor, koji je bio dominantan proteklih godina, na visoki turizam i selektivni turizam (II.43), hotele i rizorte koji nude kvalitet prije nego kvantitet i mogu podržati produženu sezonu obezbjeđujući bolje mogućnosti za lokalno zapošljavanje. Oživljavanje zanata i poljoprivrede je usmjereno na podržavanje turističkog tržišta. Već dugo je evidentan negativan uticaj turizma na Stari grad Kotor, koji se pretvorio iz mjesta koje turisti posjećuju u mjesto koje funkcioniše gotovo isključivo radi pružanja usluga i njihovog iskorišćavanja. Iako se prepoznaju teškoće u pogledu podsticanja raznovrsnije ekonomije, evidentan je nedostatak ekonomske analize i strategije; ambicija je ograničena na iskorišćavanje vrijednosti kulturne i prirodne baštine mjesta svjetske baštine radi privlačenja visoko platežnih turista na duži period. Kao kratkoročna strategija, ovakav pristup je poželjniji za scenario apartmana, ali kao dugoročna strategija predstavlja rizike za održivost lokalne zajednice.</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b/>
          <w:bCs/>
          <w:color w:val="000000" w:themeColor="text1"/>
        </w:rPr>
      </w:pPr>
      <w:r w:rsidRPr="00377CBC">
        <w:rPr>
          <w:rFonts w:ascii="Arial" w:hAnsi="Arial" w:cs="Arial"/>
          <w:b/>
          <w:bCs/>
          <w:color w:val="000000" w:themeColor="text1"/>
        </w:rPr>
        <w:t>Saobraćaj</w:t>
      </w:r>
    </w:p>
    <w:p w:rsidR="004A7536" w:rsidRPr="00377CBC" w:rsidRDefault="004A7536" w:rsidP="004A7536">
      <w:pPr>
        <w:spacing w:after="0" w:line="240" w:lineRule="auto"/>
        <w:jc w:val="both"/>
        <w:rPr>
          <w:rFonts w:ascii="Arial" w:hAnsi="Arial" w:cs="Arial"/>
          <w:b/>
          <w:bCs/>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 xml:space="preserve">Korišćenje sistema „vodenih autobusa“ koji povezuju naselja u unutrašnjosti zaliva, koji je zagovarala misija iz 2018. godine, je uzeto u obzir (II.86), ali je broj predviđenih stanica ograničen. Ne bi bilo nijedne stanica između Dobrote i Perasta na istoku, između Risna i Morinja na sjeverozapadu, niti između Morinja i Stoliva na jugu. Da bi se obezbijedio efikasan sistem javnog saobraćaja između naselja u zalivu, trebalo bi da postoji sveobuhvatnija pokrivenost. To ne bi, naravno, isključilo direktne trase između glavnih naselja. Iako su usluge </w:t>
      </w:r>
      <w:r w:rsidRPr="00377CBC">
        <w:rPr>
          <w:rFonts w:ascii="Arial" w:hAnsi="Arial" w:cs="Arial"/>
          <w:color w:val="000000" w:themeColor="text1"/>
        </w:rPr>
        <w:lastRenderedPageBreak/>
        <w:t xml:space="preserve">operativno pitanje, Plan treba da identifikuje i očuva dovoljan broj lokacija, kako bi se omogućilo pružanje sveobuhvatnih usluga. Korišćenje suvišne lučke infrastrukture u Lipcima kao terminala za kruzere koji su usidreni na moru čini se razumnim, imajući u vidu da ona može prihvatiti plovila veća od onih koja mogu bezbjedno ploviti do samog Kotora.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 xml:space="preserve">Predlozi za drumski saobraćaj (II.83) ostaju neriješeni. Opcije za Jadransku magistralu ostaju (nužno) kao u Planu za obalno područje višeg reda, uprkos snažnoj preporuci misije iz 2018. godine (preporuka 1) da se opcija mosta ostavi po strani i da se trasa riješi na način kojim se izbjegava nanošenje štete OUV (bilo tunelom na Verigama ili usvajanjem alternativne južne trase). Ukoliko se magistrala izgradi, u bilo kojem obliku, postojala bi alternativna trasa (do trase kroz Kotor) sjeverno pored Morinja </w:t>
      </w:r>
      <w:r w:rsidRPr="007F2A2B">
        <w:rPr>
          <w:rFonts w:ascii="Arial" w:hAnsi="Arial" w:cs="Arial"/>
          <w:color w:val="000000" w:themeColor="text1"/>
        </w:rPr>
        <w:t>čime bi sabraćaj na putu oko unutrašnjosti zaliva bio smanjen</w:t>
      </w:r>
      <w:r w:rsidRPr="00377CBC">
        <w:rPr>
          <w:rFonts w:ascii="Arial" w:hAnsi="Arial" w:cs="Arial"/>
          <w:color w:val="000000" w:themeColor="text1"/>
        </w:rPr>
        <w:t xml:space="preserve">. Time bi se smanjila potreba za dugogodišnjom nastojanjem da se napravi tunel obilaznica oko istočne strane Starog grada Kotor i njen nastavak u pravcu sjevera da bi se sastavila sa postojećim priobalnim putem u Orahovcu. Taj projekat ostaje na mapi predloga u okviru nacrta Plana, obezbjeđujući trasu, iako Smjernice za implementaciju (II.151) obavezuju na izradu studije o ekonomskoj izvodljivosti šeme, a u skladu sa preporukom misije iz 2018. godine, i na ispitivanje alternativnih rješenja prije preduzimanja aktivnosti. Odustalo se od prethodno preambiciozne obilaznice Risan (II.151) u korist lokalnih poboljšanja postojeće infrastrukture, shodno preporuci misije.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 xml:space="preserve">Naročito se pozdravlja to što je prihvaćena preporuka misije da se odustane od planova za nove puteve za servisiranje gradnje na jugozapadnoj obali sa svake strane moreuza Verige. Tačno je da neke od postojećih trotoara/pločnika istorijskih puteva sa ove strane zaliva treba zamijeniti, ali je u potpunosti prikladan koncept da ovi putevi treba da ostanu u svom istorijskom obliku, sa manjim poboljšanjima. </w:t>
      </w:r>
      <w:r w:rsidRPr="007F2A2B">
        <w:rPr>
          <w:rFonts w:ascii="Arial" w:hAnsi="Arial" w:cs="Arial"/>
          <w:color w:val="000000" w:themeColor="text1"/>
        </w:rPr>
        <w:t>Trase</w:t>
      </w:r>
      <w:r w:rsidRPr="00377CBC">
        <w:rPr>
          <w:rFonts w:ascii="Arial" w:hAnsi="Arial" w:cs="Arial"/>
          <w:color w:val="000000" w:themeColor="text1"/>
        </w:rPr>
        <w:t xml:space="preserve"> odgovaraju pejzažu</w:t>
      </w:r>
      <w:r w:rsidR="007F2A2B">
        <w:rPr>
          <w:rFonts w:ascii="Arial" w:hAnsi="Arial" w:cs="Arial"/>
          <w:color w:val="000000" w:themeColor="text1"/>
        </w:rPr>
        <w:t xml:space="preserve"> i u velikoj mjeri su ograniče</w:t>
      </w:r>
      <w:r w:rsidRPr="00377CBC">
        <w:rPr>
          <w:rFonts w:ascii="Arial" w:hAnsi="Arial" w:cs="Arial"/>
          <w:color w:val="000000" w:themeColor="text1"/>
        </w:rPr>
        <w:t xml:space="preserve">ne istorijskim zgradama, pa obavezne savremene standarde ne treba nametati.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 xml:space="preserve">Dok su utvrđeni troškovi druge infrastrukture koja je potrebna za sprovođenje Plana, troškovi projekata puteva generalno nijesu utvrđeni i, kako je implicitno prepoznato u vezi sa obilaznicom Kotor, potencijalno nijesu priuštivi i štetni su za pejzaž. Smjernice (II.151) uključuju, kao obavezno, razvoj i ocjenu održivog modela integrisanog saobraćaja. Plan treba da obuhvati vremenski okvir ne duži od pet godina za razvoj i usvajanje takvog modela, koji mora biti priuštiv i razmotren u kontekstu cijelog područja Boke. Trebalo bi da, između ostalog, utvrdi strategiju za velike intervencije, ili ne, na trasi od Škaljara do Morinja, uzimajući u obzir nacionalnu strategiju za Jadransku magistralu.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b/>
          <w:bCs/>
          <w:color w:val="000000" w:themeColor="text1"/>
        </w:rPr>
      </w:pPr>
      <w:r w:rsidRPr="00377CBC">
        <w:rPr>
          <w:rFonts w:ascii="Arial" w:hAnsi="Arial" w:cs="Arial"/>
          <w:b/>
          <w:bCs/>
          <w:color w:val="000000" w:themeColor="text1"/>
        </w:rPr>
        <w:t xml:space="preserve">Urbanizacija </w:t>
      </w:r>
    </w:p>
    <w:p w:rsidR="004A7536" w:rsidRPr="00377CBC" w:rsidRDefault="004A7536" w:rsidP="004A7536">
      <w:pPr>
        <w:spacing w:after="0" w:line="240" w:lineRule="auto"/>
        <w:jc w:val="both"/>
        <w:rPr>
          <w:rFonts w:ascii="Arial" w:hAnsi="Arial" w:cs="Arial"/>
          <w:b/>
          <w:bCs/>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 xml:space="preserve">Prekomjerna urbanizacija usljed neadekvatnih prethodnih prostornih planskih dokumenata je prepoznata kao najveća prijetnja za OUV ovog mjesta svjetske baštine (II.12). Smjernice (II.151) i predlozi mapa se bave ovim pitanjem i generalno obuhvataju preporuke misije iz 2018. godine, uključujući mjere sanacije na Kostanjici. Preostali prostori između naselja se štite, zone određene za „naseljavanje“ (stambena izgradnja) smanjene su i više nijesu uključeni novi putevi za omogućavanje takve gradnje. Stambena gradnja je ograničena na malu gustinu, a u okviru Dobrote „spratnost novoplaniranih objekata se ograničava visinom linije odraslog drveća“. Ovo je u pravom duhu, ali treba postaviti određene čvrste metričke granice na osnovu realnih visina koje dostižu autohtone vrste drveća. U tački 1.26, Plan sugeriše da su u okviru lokacije neophodne „precizne smjernice za arhitektonsko oblikovanje objekata“. To je tačno i bilo bi poželjno da se u okviru Plana utvrdi mehanizam i vremenski plan njihove izrade.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lastRenderedPageBreak/>
        <w:t xml:space="preserve">Mape koje čine dio Plana daju najjasniju, vjerovatno definitivnu, konstataciju o tome šta će biti dozvoljeno, makar u horizontalnoj ravni. Razmjera mape „Planirana namjena površina“ za naselja u sjevernom dijelu zaliva je suviše mala (1:25.000) da bi se predlozi u bilo kojem detalju povezali sa postojećim pejzažom. Planom je određena mogućnost „obalnog odmaka“ (100 m od obalne linije) u 9 kategorija koje se kreću od 1 - izgrađena obala, do 9 – nema adaptacije. Ostatak zone 1000 m od obalne linije se nalazi u Obalnoj zoni „planiranoj za razvoj turizma“ (II,70; II.150-1), a koja može biti van postojećih naselja, iako se „pravila Plana“ primjenjuju na njih i ona nijesu dozvoljena u Centralnoj zoni“ (uključujući mjesto svjetske baštine; II.150-1). Postoji izuzetak ukoliko je Vlada potpisala državne ugovore ili ugovore o zakupu i izgradnji. Nije jasno da li neki od navedenih postoji u mjestu svjetske baštine, ali nije prikazan u planovima „predviđene namjene“; ako postoje, trebalo bi ih naznačiti.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b/>
          <w:bCs/>
          <w:color w:val="000000" w:themeColor="text1"/>
        </w:rPr>
      </w:pPr>
      <w:r w:rsidRPr="00377CBC">
        <w:rPr>
          <w:rFonts w:ascii="Arial" w:hAnsi="Arial" w:cs="Arial"/>
          <w:b/>
          <w:bCs/>
          <w:color w:val="000000" w:themeColor="text1"/>
        </w:rPr>
        <w:t xml:space="preserve">Posebna naselja </w:t>
      </w:r>
    </w:p>
    <w:p w:rsidR="004A7536" w:rsidRPr="00377CBC" w:rsidRDefault="004A7536" w:rsidP="004A7536">
      <w:pPr>
        <w:spacing w:after="0" w:line="240" w:lineRule="auto"/>
        <w:jc w:val="both"/>
        <w:rPr>
          <w:rFonts w:ascii="Arial" w:hAnsi="Arial" w:cs="Arial"/>
          <w:b/>
          <w:bCs/>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 xml:space="preserve">Komentari o posebnim naseljima su sljedeći (bez ponavljanja gorenavedenih komentara o putevima):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i/>
          <w:iCs/>
          <w:color w:val="000000" w:themeColor="text1"/>
        </w:rPr>
      </w:pPr>
      <w:r w:rsidRPr="00377CBC">
        <w:rPr>
          <w:rFonts w:ascii="Arial" w:hAnsi="Arial" w:cs="Arial"/>
          <w:i/>
          <w:iCs/>
          <w:color w:val="000000" w:themeColor="text1"/>
        </w:rPr>
        <w:t xml:space="preserve">07a Planirana namjena površina </w:t>
      </w:r>
    </w:p>
    <w:p w:rsidR="004A7536" w:rsidRPr="00377CBC" w:rsidRDefault="004A7536" w:rsidP="004A7536">
      <w:pPr>
        <w:spacing w:after="0" w:line="240" w:lineRule="auto"/>
        <w:jc w:val="both"/>
        <w:rPr>
          <w:rFonts w:ascii="Arial" w:hAnsi="Arial" w:cs="Arial"/>
          <w:i/>
          <w:iCs/>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 xml:space="preserve">Za </w:t>
      </w:r>
      <w:r w:rsidRPr="00377CBC">
        <w:rPr>
          <w:rFonts w:ascii="Arial" w:hAnsi="Arial" w:cs="Arial"/>
          <w:b/>
          <w:bCs/>
          <w:color w:val="000000" w:themeColor="text1"/>
        </w:rPr>
        <w:t xml:space="preserve">Morinj </w:t>
      </w:r>
      <w:r w:rsidRPr="00377CBC">
        <w:rPr>
          <w:rFonts w:ascii="Arial" w:hAnsi="Arial" w:cs="Arial"/>
          <w:color w:val="000000" w:themeColor="text1"/>
        </w:rPr>
        <w:t xml:space="preserve">su uzeti u obzir komentari misije (preporuka 21) kroz veliko smanjenje predloženog širenja zone naselja, mada će i dalje biti </w:t>
      </w:r>
      <w:r w:rsidRPr="007F2A2B">
        <w:rPr>
          <w:rFonts w:ascii="Arial" w:hAnsi="Arial" w:cs="Arial"/>
          <w:color w:val="000000" w:themeColor="text1"/>
        </w:rPr>
        <w:t xml:space="preserve">potrebna individualna </w:t>
      </w:r>
      <w:r w:rsidR="007F2A2B" w:rsidRPr="007F2A2B">
        <w:rPr>
          <w:rFonts w:ascii="Arial" w:hAnsi="Arial" w:cs="Arial"/>
          <w:color w:val="000000" w:themeColor="text1"/>
        </w:rPr>
        <w:t xml:space="preserve">HIA </w:t>
      </w:r>
      <w:r w:rsidRPr="007F2A2B">
        <w:rPr>
          <w:rFonts w:ascii="Arial" w:hAnsi="Arial" w:cs="Arial"/>
          <w:color w:val="000000" w:themeColor="text1"/>
        </w:rPr>
        <w:t>procjena</w:t>
      </w:r>
      <w:r w:rsidRPr="00377CBC">
        <w:rPr>
          <w:rFonts w:ascii="Arial" w:hAnsi="Arial" w:cs="Arial"/>
          <w:color w:val="000000" w:themeColor="text1"/>
        </w:rPr>
        <w:t xml:space="preserve"> uticaja </w:t>
      </w:r>
      <w:r w:rsidR="007F2A2B">
        <w:rPr>
          <w:rFonts w:ascii="Arial" w:hAnsi="Arial" w:cs="Arial"/>
          <w:color w:val="000000" w:themeColor="text1"/>
        </w:rPr>
        <w:t xml:space="preserve">na bašinu za </w:t>
      </w:r>
      <w:r w:rsidRPr="00377CBC">
        <w:rPr>
          <w:rFonts w:ascii="Arial" w:hAnsi="Arial" w:cs="Arial"/>
          <w:color w:val="000000" w:themeColor="text1"/>
        </w:rPr>
        <w:t>određen</w:t>
      </w:r>
      <w:r w:rsidR="007F2A2B">
        <w:rPr>
          <w:rFonts w:ascii="Arial" w:hAnsi="Arial" w:cs="Arial"/>
          <w:color w:val="000000" w:themeColor="text1"/>
        </w:rPr>
        <w:t>e</w:t>
      </w:r>
      <w:r w:rsidRPr="00377CBC">
        <w:rPr>
          <w:rFonts w:ascii="Arial" w:hAnsi="Arial" w:cs="Arial"/>
          <w:color w:val="000000" w:themeColor="text1"/>
        </w:rPr>
        <w:t xml:space="preserve"> predlog</w:t>
      </w:r>
      <w:r w:rsidR="007F2A2B">
        <w:rPr>
          <w:rFonts w:ascii="Arial" w:hAnsi="Arial" w:cs="Arial"/>
          <w:color w:val="000000" w:themeColor="text1"/>
        </w:rPr>
        <w:t>e</w:t>
      </w:r>
      <w:r w:rsidRPr="00377CBC">
        <w:rPr>
          <w:rFonts w:ascii="Arial" w:hAnsi="Arial" w:cs="Arial"/>
          <w:color w:val="000000" w:themeColor="text1"/>
        </w:rPr>
        <w:t xml:space="preserve"> u naznačenim zonama. Većina zemljišta koje je predloženo za objekat za smještaj osoblja koji je predložio ADC Herceg Novi nalazi se van te zone. Obalna zona od 100 m je označena sa „3“, „moguća adaptacija uz korišćenje urbanističkih kriterijuma“; ova zona je osjetljiva, a implikacije ove oznake su nejasne i potencijalno problematične.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b/>
          <w:bCs/>
          <w:color w:val="000000" w:themeColor="text1"/>
        </w:rPr>
        <w:t xml:space="preserve">Kostanjica: </w:t>
      </w:r>
      <w:r w:rsidRPr="00377CBC">
        <w:rPr>
          <w:rFonts w:ascii="Arial" w:hAnsi="Arial" w:cs="Arial"/>
          <w:color w:val="000000" w:themeColor="text1"/>
        </w:rPr>
        <w:t xml:space="preserve">Zahtjevi za sanaciju (II.137, 152) su dobrodošli u skladu sa preporukom 22 misije (mada je nejasan mehanizam realizacije, način na koji će se ostvariti). Ali, na mapi predloga je kao „naseljena zona“ i dalje prikazano zemljište zapadno od svake od dvije nedavno izgrađene zone, koje je prikazano kao takvo na slici 19 Izvještaja misije i na osnovnom nivou mape predloga. To je suprotno preporuci 22 misije. Svako značajno širenje izgrađene zone, kako je navedeno krajem 2018. godine, može samo nanijeti dodatnu štetu i treba ga isključiti.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b/>
          <w:bCs/>
          <w:color w:val="000000" w:themeColor="text1"/>
        </w:rPr>
        <w:t xml:space="preserve">Lipci: </w:t>
      </w:r>
      <w:r w:rsidRPr="00377CBC">
        <w:rPr>
          <w:rFonts w:ascii="Arial" w:hAnsi="Arial" w:cs="Arial"/>
          <w:color w:val="000000" w:themeColor="text1"/>
        </w:rPr>
        <w:t xml:space="preserve">Nekadašnji lučki objekti su u principu dobra lokacija za novi turistički objekat/lokalnu luku za kruzere (vidi pod „saobraćaj“ iznad), ali zahtijeva veoma visok standard kontekstualnog projektovanja.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b/>
          <w:bCs/>
          <w:color w:val="000000" w:themeColor="text1"/>
        </w:rPr>
        <w:t xml:space="preserve">Risan: </w:t>
      </w:r>
      <w:r w:rsidRPr="00377CBC">
        <w:rPr>
          <w:rFonts w:ascii="Arial" w:hAnsi="Arial" w:cs="Arial"/>
          <w:color w:val="000000" w:themeColor="text1"/>
        </w:rPr>
        <w:t xml:space="preserve">Sjeverni dio „naseljene zone“ obuhvata značajnu površinu koja, 2018. </w:t>
      </w:r>
      <w:r w:rsidR="007F2A2B">
        <w:rPr>
          <w:rFonts w:ascii="Arial" w:hAnsi="Arial" w:cs="Arial"/>
          <w:color w:val="000000" w:themeColor="text1"/>
        </w:rPr>
        <w:t>g</w:t>
      </w:r>
      <w:r w:rsidRPr="00377CBC">
        <w:rPr>
          <w:rFonts w:ascii="Arial" w:hAnsi="Arial" w:cs="Arial"/>
          <w:color w:val="000000" w:themeColor="text1"/>
        </w:rPr>
        <w:t xml:space="preserve">odine, jedva da je imala nešto više od sporadičnih dvospratnih kuća među preostalim poljoprivrednim terasama. Ovdje postoji potencijal za određeno popunjavanje </w:t>
      </w:r>
      <w:r w:rsidR="007F2A2B">
        <w:rPr>
          <w:rFonts w:ascii="Arial" w:hAnsi="Arial" w:cs="Arial"/>
          <w:color w:val="000000" w:themeColor="text1"/>
        </w:rPr>
        <w:t>“</w:t>
      </w:r>
      <w:r w:rsidRPr="00377CBC">
        <w:rPr>
          <w:rFonts w:ascii="Arial" w:hAnsi="Arial" w:cs="Arial"/>
          <w:color w:val="000000" w:themeColor="text1"/>
        </w:rPr>
        <w:t>male gustine</w:t>
      </w:r>
      <w:r w:rsidR="007F2A2B">
        <w:rPr>
          <w:rFonts w:ascii="Arial" w:hAnsi="Arial" w:cs="Arial"/>
          <w:color w:val="000000" w:themeColor="text1"/>
        </w:rPr>
        <w:t>”</w:t>
      </w:r>
      <w:r w:rsidRPr="00377CBC">
        <w:rPr>
          <w:rFonts w:ascii="Arial" w:hAnsi="Arial" w:cs="Arial"/>
          <w:color w:val="000000" w:themeColor="text1"/>
        </w:rPr>
        <w:t xml:space="preserve"> (i predložene turističke objekte), ali opšta urbanizacija ili oštra granica naselja ne bi trebalo da bude dozvoljena ili ohrabrena </w:t>
      </w:r>
      <w:r w:rsidRPr="007F2A2B">
        <w:rPr>
          <w:rFonts w:ascii="Arial" w:hAnsi="Arial" w:cs="Arial"/>
          <w:color w:val="000000" w:themeColor="text1"/>
        </w:rPr>
        <w:t xml:space="preserve">kategorizacijom koja, ukoliko </w:t>
      </w:r>
      <w:r w:rsidR="007F2A2B">
        <w:rPr>
          <w:rFonts w:ascii="Arial" w:hAnsi="Arial" w:cs="Arial"/>
          <w:color w:val="000000" w:themeColor="text1"/>
        </w:rPr>
        <w:t>se zadrž</w:t>
      </w:r>
      <w:r w:rsidRPr="007F2A2B">
        <w:rPr>
          <w:rFonts w:ascii="Arial" w:hAnsi="Arial" w:cs="Arial"/>
          <w:color w:val="000000" w:themeColor="text1"/>
        </w:rPr>
        <w:t xml:space="preserve">i, treba da bude </w:t>
      </w:r>
      <w:r w:rsidR="007F2A2B">
        <w:rPr>
          <w:rFonts w:ascii="Arial" w:hAnsi="Arial" w:cs="Arial"/>
          <w:color w:val="000000" w:themeColor="text1"/>
        </w:rPr>
        <w:t>preczira</w:t>
      </w:r>
      <w:r w:rsidRPr="007F2A2B">
        <w:rPr>
          <w:rFonts w:ascii="Arial" w:hAnsi="Arial" w:cs="Arial"/>
          <w:color w:val="000000" w:themeColor="text1"/>
        </w:rPr>
        <w:t>na</w:t>
      </w:r>
      <w:r w:rsidRPr="00377CBC">
        <w:rPr>
          <w:rFonts w:ascii="Arial" w:hAnsi="Arial" w:cs="Arial"/>
          <w:color w:val="000000" w:themeColor="text1"/>
        </w:rPr>
        <w:t xml:space="preserve">.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Označavanje obale južno od Risna sa „3“, „moguća adaptacija uz korišćenje urbanističkih kriterijuma“, treba preispitati (i čini se da je suprotna Smjernici 8,</w:t>
      </w:r>
      <w:r w:rsidRPr="00377CBC">
        <w:rPr>
          <w:rStyle w:val="FootnoteReference"/>
          <w:rFonts w:ascii="Arial" w:hAnsi="Arial" w:cs="Arial"/>
          <w:color w:val="000000" w:themeColor="text1"/>
        </w:rPr>
        <w:footnoteReference w:id="3"/>
      </w:r>
      <w:r w:rsidRPr="00377CBC">
        <w:rPr>
          <w:rFonts w:ascii="Arial" w:hAnsi="Arial" w:cs="Arial"/>
          <w:color w:val="000000" w:themeColor="text1"/>
        </w:rPr>
        <w:t xml:space="preserve"> II.162). Ovo područje je zonirano kao „šumsko područje“, neizgrađeno, izuzev nekoliko spomenika (uključujući Manastir Banja) i treba da ostane tako, poput ostatka obale između Risna i Perasta.</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b/>
          <w:bCs/>
          <w:color w:val="000000" w:themeColor="text1"/>
        </w:rPr>
        <w:lastRenderedPageBreak/>
        <w:t xml:space="preserve">Orahovac: </w:t>
      </w:r>
      <w:r w:rsidRPr="00377CBC">
        <w:rPr>
          <w:rFonts w:ascii="Arial" w:hAnsi="Arial" w:cs="Arial"/>
          <w:color w:val="000000" w:themeColor="text1"/>
        </w:rPr>
        <w:t xml:space="preserve">Oznaka „naselja“ obuhvata veliki dio zemljišta koje nije prikazano kao trenutno izgrađeno, većina kojeg je prekrivena drvećem (u ovoj strmoj širokoj dolini), prije nego šibljem na kamenjaru. Ovdje postoji potencijal za popunjavanje, ali dalje od linije obale treba da dominira pokrivač drveća. Smjernice (II.157) prepoznaju njegov značaj, potrebu da se definišu njegovi značajni djelovi i da se poštuju u okviru razvoja. Zaista se sugeriše „neophodna izrada novog DUP-a [Detaljni urbanistički plan]“; ali se, pored toga, zaključuje da „građevinske površine ostaju u skladu sa DUP-om, izuzev ovih za koje se pokaže da posjeduju značajan zeleni fond“. Postavljeno u odnosu na definciju proširene i konsolidovane granice naselja, što je predviđeno kao definitivan prostorni plan, to bi u praksi dovelo do veoma velikog testa i predstavljalo bi izvor nesigurnosti i konflikta, što treba riješiti kroz Plan u korist značajnog zadržavanja postojećeg pokrivača drveća, prije usvajanja nacrta.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i/>
          <w:iCs/>
          <w:color w:val="000000" w:themeColor="text1"/>
        </w:rPr>
        <w:t>10a GUS Planirana namjena površina; 1:5.000 koja obuhvata južni dio Zaliva</w:t>
      </w:r>
      <w:r w:rsidRPr="00377CBC">
        <w:rPr>
          <w:rStyle w:val="FootnoteReference"/>
          <w:rFonts w:ascii="Arial" w:hAnsi="Arial" w:cs="Arial"/>
          <w:i/>
          <w:iCs/>
          <w:color w:val="000000" w:themeColor="text1"/>
        </w:rPr>
        <w:footnoteReference w:id="4"/>
      </w:r>
      <w:r w:rsidRPr="00377CBC">
        <w:rPr>
          <w:rFonts w:ascii="Arial" w:hAnsi="Arial" w:cs="Arial"/>
          <w:color w:val="000000" w:themeColor="text1"/>
        </w:rPr>
        <w:t xml:space="preserve">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b/>
          <w:bCs/>
          <w:color w:val="000000" w:themeColor="text1"/>
        </w:rPr>
        <w:t xml:space="preserve">Dobrota: </w:t>
      </w:r>
      <w:r w:rsidRPr="00377CBC">
        <w:rPr>
          <w:rFonts w:ascii="Arial" w:hAnsi="Arial" w:cs="Arial"/>
          <w:color w:val="000000" w:themeColor="text1"/>
        </w:rPr>
        <w:t xml:space="preserve">Smanjenje definisane „naseljene zone“ u poređenju sa ranijim planovima je dobrodošlo; ali od poteza oko „Apartmana Buena vista“ sjeverno do „Boka Heights“, nekadašnja terasasta površina, istočno od E80, uglavno dobro pokrivena drvećem i trenutno malo izgrađena, obuhvaćena je i servisiraće se pomoću dva nova lokalna puta. Ovo područje je obuhvaćeno sličnom odredbom kao i Orahovac u pogledu zelenih površina koje se „zadržavaju planskim rješenjem“ (II.158). Velike neizgrađene površine koje se nalaze ovdje i koje su predložene za „naselja“ treba smanjiti, a naročito u ovoliko velikom obimu. „Zelene površine“ koje se zadržavaju u okviru naseljene zone treba jasno postaviti.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b/>
          <w:bCs/>
          <w:color w:val="000000" w:themeColor="text1"/>
        </w:rPr>
        <w:t xml:space="preserve">Škaljari: </w:t>
      </w:r>
      <w:r w:rsidRPr="00377CBC">
        <w:rPr>
          <w:rFonts w:ascii="Arial" w:hAnsi="Arial" w:cs="Arial"/>
          <w:color w:val="000000" w:themeColor="text1"/>
        </w:rPr>
        <w:t xml:space="preserve">Predviđeno formiranje zapadne petlje od E80 do Njegoševe ulice u jugozapadnom uglu zaliva, koja odslikava istočnu trasu do Starog grada, ne predstavlja sporno pitanje za mjesto svjetske baštine (ali nije prikazano na planu predviđene saobraćajne mreže). Ukoliko se dalje ispitaju potencijalna rješenja „kratkog tunela“ do kotorskog uskog grla, to može biti prikladna južna početna tačka.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b/>
          <w:bCs/>
          <w:color w:val="000000" w:themeColor="text1"/>
        </w:rPr>
        <w:t>Muo, Prčanj, Stoliv:</w:t>
      </w:r>
      <w:r w:rsidRPr="00377CBC">
        <w:rPr>
          <w:rFonts w:ascii="Arial" w:hAnsi="Arial" w:cs="Arial"/>
          <w:color w:val="000000" w:themeColor="text1"/>
        </w:rPr>
        <w:t xml:space="preserve"> Smanjeno zoniranje „naselja“ je veoma dobrodošlo.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b/>
          <w:bCs/>
          <w:color w:val="000000" w:themeColor="text1"/>
        </w:rPr>
      </w:pPr>
      <w:r w:rsidRPr="00377CBC">
        <w:rPr>
          <w:rFonts w:ascii="Arial" w:hAnsi="Arial" w:cs="Arial"/>
          <w:b/>
          <w:bCs/>
          <w:color w:val="000000" w:themeColor="text1"/>
        </w:rPr>
        <w:t>Zaključci</w:t>
      </w:r>
    </w:p>
    <w:p w:rsidR="004A7536" w:rsidRPr="00377CBC" w:rsidRDefault="004A7536" w:rsidP="004A7536">
      <w:pPr>
        <w:spacing w:after="0" w:line="240" w:lineRule="auto"/>
        <w:jc w:val="both"/>
        <w:rPr>
          <w:rFonts w:ascii="Arial" w:hAnsi="Arial" w:cs="Arial"/>
          <w:b/>
          <w:bCs/>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Nacrt Plana je u značajnoj mjeri na pravom putu, a sa određenim dopunama može servisirati neodložnu potrebu za uspostavljanjem, suštinski kroz mape „planirane namjene površina“, granica izgradnje koje su kompatibilne sa nanošenjem minimalne dalje štete OUV. Međutim, ICOMOS savjetuje da:</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pStyle w:val="ListParagraph"/>
        <w:numPr>
          <w:ilvl w:val="0"/>
          <w:numId w:val="2"/>
        </w:numPr>
        <w:spacing w:after="0" w:line="240" w:lineRule="auto"/>
        <w:jc w:val="both"/>
        <w:rPr>
          <w:rFonts w:ascii="Arial" w:hAnsi="Arial" w:cs="Arial"/>
          <w:color w:val="000000" w:themeColor="text1"/>
        </w:rPr>
      </w:pPr>
      <w:r w:rsidRPr="00377CBC">
        <w:rPr>
          <w:rFonts w:ascii="Arial" w:hAnsi="Arial" w:cs="Arial"/>
          <w:color w:val="000000" w:themeColor="text1"/>
        </w:rPr>
        <w:t>Koja god administrativna sredstva da su potrebna, treba uspostaviti da politike iz ovog Plana (kada se usvoji) imaju prednost u odnosu na Plan obalnog područja, ukoliko su ova dva plana suprostavljena.</w:t>
      </w:r>
      <w:r w:rsidRPr="00377CBC">
        <w:rPr>
          <w:rStyle w:val="FootnoteReference"/>
          <w:rFonts w:ascii="Arial" w:hAnsi="Arial" w:cs="Arial"/>
          <w:color w:val="000000" w:themeColor="text1"/>
        </w:rPr>
        <w:footnoteReference w:id="5"/>
      </w:r>
    </w:p>
    <w:p w:rsidR="004A7536" w:rsidRPr="00377CBC" w:rsidRDefault="004A7536" w:rsidP="004A7536">
      <w:pPr>
        <w:pStyle w:val="ListParagraph"/>
        <w:spacing w:after="0" w:line="240" w:lineRule="auto"/>
        <w:ind w:left="1080"/>
        <w:jc w:val="both"/>
        <w:rPr>
          <w:rFonts w:ascii="Arial" w:hAnsi="Arial" w:cs="Arial"/>
          <w:color w:val="000000" w:themeColor="text1"/>
        </w:rPr>
      </w:pPr>
    </w:p>
    <w:p w:rsidR="004A7536" w:rsidRPr="00377CBC" w:rsidRDefault="004A7536" w:rsidP="004A7536">
      <w:pPr>
        <w:pStyle w:val="ListParagraph"/>
        <w:numPr>
          <w:ilvl w:val="0"/>
          <w:numId w:val="2"/>
        </w:numPr>
        <w:spacing w:after="0" w:line="240" w:lineRule="auto"/>
        <w:jc w:val="both"/>
        <w:rPr>
          <w:rFonts w:ascii="Arial" w:hAnsi="Arial" w:cs="Arial"/>
        </w:rPr>
      </w:pPr>
      <w:r w:rsidRPr="00377CBC">
        <w:rPr>
          <w:rFonts w:ascii="Arial" w:hAnsi="Arial" w:cs="Arial"/>
          <w:color w:val="000000" w:themeColor="text1"/>
        </w:rPr>
        <w:t xml:space="preserve">Zaštita i valorizacija </w:t>
      </w:r>
      <w:r w:rsidRPr="00377CBC">
        <w:rPr>
          <w:rFonts w:ascii="Arial" w:hAnsi="Arial" w:cs="Arial"/>
          <w:i/>
          <w:color w:val="000000" w:themeColor="text1"/>
        </w:rPr>
        <w:t>atributa izuzetne univerzalnoj vrijednosti</w:t>
      </w:r>
      <w:r w:rsidRPr="00377CBC">
        <w:rPr>
          <w:rFonts w:ascii="Arial" w:hAnsi="Arial" w:cs="Arial"/>
          <w:color w:val="000000" w:themeColor="text1"/>
        </w:rPr>
        <w:t xml:space="preserve"> i stavljanje akcenta na potrebu da se izbjegne dalje nanošenje štete tim atributima, treba da bude prioritet i osnovni princip koji usmjerava „rigoroznu kontrolu korišćenja prostora“ i, prema tome, mora se dodati navedenoj listi pretpostavki na kojima se zasniva strategija Plana (II.28). </w:t>
      </w:r>
    </w:p>
    <w:p w:rsidR="004A7536" w:rsidRPr="00377CBC" w:rsidRDefault="004A7536" w:rsidP="004A7536">
      <w:pPr>
        <w:pStyle w:val="ListParagraph"/>
        <w:numPr>
          <w:ilvl w:val="0"/>
          <w:numId w:val="2"/>
        </w:numPr>
        <w:spacing w:after="0" w:line="240" w:lineRule="auto"/>
        <w:jc w:val="both"/>
        <w:rPr>
          <w:rFonts w:ascii="Arial" w:hAnsi="Arial" w:cs="Arial"/>
        </w:rPr>
      </w:pPr>
      <w:r w:rsidRPr="00377CBC">
        <w:rPr>
          <w:rFonts w:ascii="Arial" w:hAnsi="Arial" w:cs="Arial"/>
          <w:color w:val="000000" w:themeColor="text1"/>
        </w:rPr>
        <w:lastRenderedPageBreak/>
        <w:t>Odjeljak 8, Smjernice za realizaciju planskog dokumenta, treba preurediti u jedinstven, integrisani, logički uređen set jasnih politika, sa eksplanatornim materijalom koji je ograničen na minimum koji je neophodan da bi se te politike podržale.</w:t>
      </w:r>
    </w:p>
    <w:p w:rsidR="004A7536" w:rsidRPr="00377CBC" w:rsidRDefault="004A7536" w:rsidP="004A7536">
      <w:pPr>
        <w:pStyle w:val="ListParagraph"/>
        <w:spacing w:after="0" w:line="240" w:lineRule="auto"/>
        <w:ind w:left="1080"/>
        <w:jc w:val="both"/>
        <w:rPr>
          <w:rFonts w:ascii="Arial" w:hAnsi="Arial" w:cs="Arial"/>
        </w:rPr>
      </w:pPr>
      <w:r w:rsidRPr="00377CBC">
        <w:rPr>
          <w:rFonts w:ascii="Arial" w:hAnsi="Arial" w:cs="Arial"/>
          <w:color w:val="000000" w:themeColor="text1"/>
        </w:rPr>
        <w:t xml:space="preserve"> </w:t>
      </w:r>
    </w:p>
    <w:p w:rsidR="004A7536" w:rsidRPr="00377CBC" w:rsidRDefault="004A7536" w:rsidP="004A7536">
      <w:pPr>
        <w:pStyle w:val="ListParagraph"/>
        <w:numPr>
          <w:ilvl w:val="0"/>
          <w:numId w:val="2"/>
        </w:numPr>
        <w:spacing w:after="0" w:line="240" w:lineRule="auto"/>
        <w:jc w:val="both"/>
        <w:rPr>
          <w:rFonts w:ascii="Arial" w:hAnsi="Arial" w:cs="Arial"/>
        </w:rPr>
      </w:pPr>
      <w:r w:rsidRPr="00377CBC">
        <w:rPr>
          <w:rFonts w:ascii="Arial" w:hAnsi="Arial" w:cs="Arial"/>
          <w:color w:val="000000" w:themeColor="text1"/>
        </w:rPr>
        <w:t xml:space="preserve">Zaključak Odjeljka 8 treba da bude lista dopunskih studija koje su neophodne za rješavanje alternativnih mogućnosti (npr. kotorska obilaznica) ili za obezbjeđivanje tehničkih smjernica (npr. na projektu objekta), sa definisanim vremenskim okvirom i nadležnim akterima za svaku od navedenih stavki. </w:t>
      </w:r>
    </w:p>
    <w:p w:rsidR="004A7536" w:rsidRPr="00377CBC" w:rsidRDefault="004A7536" w:rsidP="004A7536">
      <w:pPr>
        <w:spacing w:after="0" w:line="240" w:lineRule="auto"/>
        <w:jc w:val="both"/>
        <w:rPr>
          <w:rFonts w:ascii="Arial" w:hAnsi="Arial" w:cs="Arial"/>
        </w:rPr>
      </w:pPr>
    </w:p>
    <w:p w:rsidR="004A7536" w:rsidRPr="00377CBC" w:rsidRDefault="004A7536" w:rsidP="004A7536">
      <w:pPr>
        <w:pStyle w:val="ListParagraph"/>
        <w:numPr>
          <w:ilvl w:val="0"/>
          <w:numId w:val="2"/>
        </w:numPr>
        <w:spacing w:after="0" w:line="240" w:lineRule="auto"/>
        <w:jc w:val="both"/>
        <w:rPr>
          <w:rFonts w:ascii="Arial" w:hAnsi="Arial" w:cs="Arial"/>
        </w:rPr>
      </w:pPr>
      <w:r w:rsidRPr="00377CBC">
        <w:rPr>
          <w:rFonts w:ascii="Arial" w:hAnsi="Arial" w:cs="Arial"/>
          <w:color w:val="000000" w:themeColor="text1"/>
        </w:rPr>
        <w:t xml:space="preserve">Razvoj i ocjena održivog modela integrisanog saobraćaja („obavezno“ shodno II.151) treba da bude prioritet i treba ga </w:t>
      </w:r>
      <w:r w:rsidR="007F2A2B">
        <w:rPr>
          <w:rFonts w:ascii="Arial" w:hAnsi="Arial" w:cs="Arial"/>
          <w:color w:val="000000" w:themeColor="text1"/>
        </w:rPr>
        <w:t xml:space="preserve">za period </w:t>
      </w:r>
      <w:r w:rsidRPr="00377CBC">
        <w:rPr>
          <w:rFonts w:ascii="Arial" w:hAnsi="Arial" w:cs="Arial"/>
          <w:color w:val="000000" w:themeColor="text1"/>
        </w:rPr>
        <w:t>od pet godina</w:t>
      </w:r>
      <w:r w:rsidR="007F2A2B">
        <w:rPr>
          <w:rFonts w:ascii="Arial" w:hAnsi="Arial" w:cs="Arial"/>
          <w:color w:val="000000" w:themeColor="text1"/>
        </w:rPr>
        <w:t>, te planirati njegovu evaluaciju na osnovu definisanih parametara</w:t>
      </w:r>
      <w:r w:rsidRPr="00377CBC">
        <w:rPr>
          <w:rFonts w:ascii="Arial" w:hAnsi="Arial" w:cs="Arial"/>
          <w:color w:val="000000" w:themeColor="text1"/>
        </w:rPr>
        <w:t>. Mora se p</w:t>
      </w:r>
      <w:r w:rsidR="007F2A2B">
        <w:rPr>
          <w:rFonts w:ascii="Arial" w:hAnsi="Arial" w:cs="Arial"/>
          <w:color w:val="000000" w:themeColor="text1"/>
        </w:rPr>
        <w:t>lanirati</w:t>
      </w:r>
      <w:r w:rsidRPr="00377CBC">
        <w:rPr>
          <w:rFonts w:ascii="Arial" w:hAnsi="Arial" w:cs="Arial"/>
          <w:color w:val="000000" w:themeColor="text1"/>
        </w:rPr>
        <w:t xml:space="preserve"> u konte</w:t>
      </w:r>
      <w:r w:rsidR="007F2A2B">
        <w:rPr>
          <w:rFonts w:ascii="Arial" w:hAnsi="Arial" w:cs="Arial"/>
          <w:color w:val="000000" w:themeColor="text1"/>
        </w:rPr>
        <w:t>k</w:t>
      </w:r>
      <w:r w:rsidRPr="00377CBC">
        <w:rPr>
          <w:rFonts w:ascii="Arial" w:hAnsi="Arial" w:cs="Arial"/>
          <w:color w:val="000000" w:themeColor="text1"/>
        </w:rPr>
        <w:t>stu cijelog područja Boke i pružiti realnu osnovu za rješavanje neizvjesnosti u vezi sa strateškom mrežom puteva, s obzirom na to da utiče na Kotor i unutrašnjost zaliva.</w:t>
      </w:r>
    </w:p>
    <w:p w:rsidR="004A7536" w:rsidRPr="00377CBC" w:rsidRDefault="004A7536" w:rsidP="004A7536">
      <w:pPr>
        <w:spacing w:after="0" w:line="240" w:lineRule="auto"/>
        <w:jc w:val="both"/>
        <w:rPr>
          <w:rFonts w:ascii="Arial" w:hAnsi="Arial" w:cs="Arial"/>
        </w:rPr>
      </w:pPr>
      <w:r w:rsidRPr="00377CBC">
        <w:rPr>
          <w:rFonts w:ascii="Arial" w:hAnsi="Arial" w:cs="Arial"/>
          <w:color w:val="000000" w:themeColor="text1"/>
        </w:rPr>
        <w:t xml:space="preserve"> </w:t>
      </w:r>
    </w:p>
    <w:p w:rsidR="004A7536" w:rsidRPr="00377CBC" w:rsidRDefault="004A7536" w:rsidP="004A7536">
      <w:pPr>
        <w:pStyle w:val="ListParagraph"/>
        <w:numPr>
          <w:ilvl w:val="0"/>
          <w:numId w:val="2"/>
        </w:numPr>
        <w:spacing w:after="0" w:line="240" w:lineRule="auto"/>
        <w:jc w:val="both"/>
        <w:rPr>
          <w:rFonts w:ascii="Arial" w:hAnsi="Arial" w:cs="Arial"/>
        </w:rPr>
      </w:pPr>
      <w:r w:rsidRPr="00377CBC">
        <w:rPr>
          <w:rFonts w:ascii="Arial" w:hAnsi="Arial" w:cs="Arial"/>
          <w:color w:val="000000" w:themeColor="text1"/>
        </w:rPr>
        <w:t xml:space="preserve">Pažnju treba posvetiti predloženim dopunama koje su iznešene u prethodnom tekstu, u odnosu na prostorno planiranje posebnih naselja i površina. </w:t>
      </w:r>
    </w:p>
    <w:p w:rsidR="004A7536" w:rsidRPr="00377CBC" w:rsidRDefault="004A7536" w:rsidP="004A7536">
      <w:pPr>
        <w:spacing w:after="0" w:line="240" w:lineRule="auto"/>
        <w:jc w:val="both"/>
        <w:rPr>
          <w:rFonts w:ascii="Arial" w:hAnsi="Arial" w:cs="Arial"/>
        </w:rPr>
      </w:pPr>
    </w:p>
    <w:p w:rsidR="004A7536" w:rsidRPr="00377CBC" w:rsidRDefault="004A7536" w:rsidP="004A7536">
      <w:pPr>
        <w:pStyle w:val="ListParagraph"/>
        <w:numPr>
          <w:ilvl w:val="0"/>
          <w:numId w:val="2"/>
        </w:numPr>
        <w:spacing w:after="0" w:line="240" w:lineRule="auto"/>
        <w:jc w:val="both"/>
        <w:rPr>
          <w:rFonts w:ascii="Arial" w:hAnsi="Arial" w:cs="Arial"/>
        </w:rPr>
      </w:pPr>
      <w:r w:rsidRPr="00377CBC">
        <w:rPr>
          <w:rFonts w:ascii="Arial" w:hAnsi="Arial" w:cs="Arial"/>
          <w:color w:val="000000" w:themeColor="text1"/>
        </w:rPr>
        <w:t xml:space="preserve">Prostorne planove za Tivat i Herceg Novi treba hitno revidirati, naročito u vezi sa površinama bočno od Moreuza Verige.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 xml:space="preserve">ICOMOS ostaje na raspolaganju državi za dalja pojašnjenja prethodno navedenog ili za pomoć kada je potrebna. </w:t>
      </w: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ICOMOS, Charenton-le-Pont</w:t>
      </w:r>
    </w:p>
    <w:p w:rsidR="004A7536" w:rsidRPr="00377CBC" w:rsidRDefault="004A7536" w:rsidP="004A7536">
      <w:pPr>
        <w:spacing w:after="0" w:line="240" w:lineRule="auto"/>
        <w:jc w:val="both"/>
        <w:rPr>
          <w:rFonts w:ascii="Arial" w:hAnsi="Arial" w:cs="Arial"/>
          <w:color w:val="000000" w:themeColor="text1"/>
        </w:rPr>
      </w:pPr>
      <w:r w:rsidRPr="00377CBC">
        <w:rPr>
          <w:rFonts w:ascii="Arial" w:hAnsi="Arial" w:cs="Arial"/>
          <w:color w:val="000000" w:themeColor="text1"/>
        </w:rPr>
        <w:t xml:space="preserve">Decembar 2019. godine </w:t>
      </w:r>
    </w:p>
    <w:p w:rsidR="008855A8" w:rsidRPr="00377CBC" w:rsidRDefault="008855A8"/>
    <w:sectPr w:rsidR="008855A8" w:rsidRPr="00377CBC" w:rsidSect="008855A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266" w:rsidRDefault="00217266" w:rsidP="004A7536">
      <w:pPr>
        <w:spacing w:after="0" w:line="240" w:lineRule="auto"/>
      </w:pPr>
      <w:r>
        <w:separator/>
      </w:r>
    </w:p>
  </w:endnote>
  <w:endnote w:type="continuationSeparator" w:id="1">
    <w:p w:rsidR="00217266" w:rsidRDefault="00217266" w:rsidP="004A7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266" w:rsidRDefault="00217266" w:rsidP="004A7536">
      <w:pPr>
        <w:spacing w:after="0" w:line="240" w:lineRule="auto"/>
      </w:pPr>
      <w:r>
        <w:separator/>
      </w:r>
    </w:p>
  </w:footnote>
  <w:footnote w:type="continuationSeparator" w:id="1">
    <w:p w:rsidR="00217266" w:rsidRDefault="00217266" w:rsidP="004A7536">
      <w:pPr>
        <w:spacing w:after="0" w:line="240" w:lineRule="auto"/>
      </w:pPr>
      <w:r>
        <w:continuationSeparator/>
      </w:r>
    </w:p>
  </w:footnote>
  <w:footnote w:id="2">
    <w:p w:rsidR="004A7536" w:rsidRPr="00D22280" w:rsidRDefault="004A7536" w:rsidP="004A7536">
      <w:pPr>
        <w:pStyle w:val="FootnoteText"/>
        <w:rPr>
          <w:rFonts w:ascii="Arial" w:hAnsi="Arial" w:cs="Arial"/>
        </w:rPr>
      </w:pPr>
      <w:r w:rsidRPr="00D22280">
        <w:rPr>
          <w:rStyle w:val="FootnoteReference"/>
          <w:rFonts w:ascii="Arial" w:hAnsi="Arial" w:cs="Arial"/>
        </w:rPr>
        <w:footnoteRef/>
      </w:r>
      <w:r w:rsidRPr="00D22280">
        <w:rPr>
          <w:rFonts w:ascii="Arial" w:hAnsi="Arial" w:cs="Arial"/>
        </w:rPr>
        <w:t xml:space="preserve"> Vidjeti izvještaj misije iz 2018. godine, slika 3.</w:t>
      </w:r>
    </w:p>
  </w:footnote>
  <w:footnote w:id="3">
    <w:p w:rsidR="004A7536" w:rsidRPr="00D22280" w:rsidRDefault="004A7536" w:rsidP="004A7536">
      <w:pPr>
        <w:pStyle w:val="FootnoteText"/>
        <w:jc w:val="both"/>
        <w:rPr>
          <w:rFonts w:ascii="Arial" w:hAnsi="Arial" w:cs="Arial"/>
        </w:rPr>
      </w:pPr>
      <w:r w:rsidRPr="00D22280">
        <w:rPr>
          <w:rStyle w:val="FootnoteReference"/>
          <w:rFonts w:ascii="Arial" w:hAnsi="Arial" w:cs="Arial"/>
        </w:rPr>
        <w:footnoteRef/>
      </w:r>
      <w:r w:rsidRPr="00D22280">
        <w:rPr>
          <w:rFonts w:ascii="Arial" w:hAnsi="Arial" w:cs="Arial"/>
        </w:rPr>
        <w:t xml:space="preserve"> Ove smjernice su preuzete iz </w:t>
      </w:r>
      <w:r w:rsidRPr="00D22280">
        <w:rPr>
          <w:rFonts w:ascii="Arial" w:hAnsi="Arial" w:cs="Arial"/>
          <w:i/>
          <w:iCs/>
        </w:rPr>
        <w:t>Studije zaštite kulturnih dobara</w:t>
      </w:r>
      <w:r w:rsidRPr="00D22280">
        <w:rPr>
          <w:rFonts w:ascii="Arial" w:hAnsi="Arial" w:cs="Arial"/>
        </w:rPr>
        <w:t xml:space="preserve"> </w:t>
      </w:r>
      <w:r>
        <w:rPr>
          <w:rFonts w:ascii="Arial" w:hAnsi="Arial" w:cs="Arial"/>
        </w:rPr>
        <w:t xml:space="preserve">i čini se da je ona obuhvaćena </w:t>
      </w:r>
      <w:r w:rsidRPr="00D22280">
        <w:rPr>
          <w:rFonts w:ascii="Arial" w:hAnsi="Arial" w:cs="Arial"/>
        </w:rPr>
        <w:t>razvojn</w:t>
      </w:r>
      <w:r>
        <w:rPr>
          <w:rFonts w:ascii="Arial" w:hAnsi="Arial" w:cs="Arial"/>
        </w:rPr>
        <w:t>im</w:t>
      </w:r>
      <w:r w:rsidRPr="00D22280">
        <w:rPr>
          <w:rFonts w:ascii="Arial" w:hAnsi="Arial" w:cs="Arial"/>
        </w:rPr>
        <w:t xml:space="preserve"> smjernic</w:t>
      </w:r>
      <w:r>
        <w:rPr>
          <w:rFonts w:ascii="Arial" w:hAnsi="Arial" w:cs="Arial"/>
        </w:rPr>
        <w:t>ama</w:t>
      </w:r>
      <w:r w:rsidRPr="00D22280">
        <w:rPr>
          <w:rFonts w:ascii="Arial" w:hAnsi="Arial" w:cs="Arial"/>
        </w:rPr>
        <w:t xml:space="preserve"> Prostorno urbanističnog plana </w:t>
      </w:r>
      <w:r>
        <w:rPr>
          <w:rFonts w:ascii="Arial" w:hAnsi="Arial" w:cs="Arial"/>
        </w:rPr>
        <w:t>kao cjeline</w:t>
      </w:r>
      <w:r w:rsidRPr="00D22280">
        <w:rPr>
          <w:rFonts w:ascii="Arial" w:hAnsi="Arial" w:cs="Arial"/>
        </w:rPr>
        <w:t xml:space="preserve">.  </w:t>
      </w:r>
    </w:p>
  </w:footnote>
  <w:footnote w:id="4">
    <w:p w:rsidR="004A7536" w:rsidRPr="00D22280" w:rsidRDefault="004A7536" w:rsidP="004A7536">
      <w:pPr>
        <w:pStyle w:val="FootnoteText"/>
        <w:jc w:val="both"/>
        <w:rPr>
          <w:rFonts w:ascii="Arial" w:hAnsi="Arial" w:cs="Arial"/>
        </w:rPr>
      </w:pPr>
      <w:r w:rsidRPr="00D22280">
        <w:rPr>
          <w:rStyle w:val="FootnoteReference"/>
          <w:rFonts w:ascii="Arial" w:hAnsi="Arial" w:cs="Arial"/>
        </w:rPr>
        <w:footnoteRef/>
      </w:r>
      <w:r w:rsidRPr="00D22280">
        <w:rPr>
          <w:rFonts w:ascii="Arial" w:hAnsi="Arial" w:cs="Arial"/>
        </w:rPr>
        <w:t xml:space="preserve"> Mnoga područja su identifikovana kao PUO, ali se ključna odnose na PU, “zone za </w:t>
      </w:r>
      <w:r>
        <w:rPr>
          <w:rFonts w:ascii="Arial" w:hAnsi="Arial" w:cs="Arial"/>
        </w:rPr>
        <w:t>razvoj</w:t>
      </w:r>
      <w:r w:rsidRPr="00D22280">
        <w:rPr>
          <w:rFonts w:ascii="Arial" w:hAnsi="Arial" w:cs="Arial"/>
        </w:rPr>
        <w:t xml:space="preserve"> predjela”; pretpostavka je da ovi pojmovi imaju isto značenje. </w:t>
      </w:r>
    </w:p>
  </w:footnote>
  <w:footnote w:id="5">
    <w:p w:rsidR="004A7536" w:rsidRPr="00D22280" w:rsidRDefault="004A7536" w:rsidP="004A7536">
      <w:pPr>
        <w:pStyle w:val="FootnoteText"/>
        <w:rPr>
          <w:rFonts w:ascii="Arial" w:hAnsi="Arial" w:cs="Arial"/>
        </w:rPr>
      </w:pPr>
      <w:r w:rsidRPr="00D22280">
        <w:rPr>
          <w:rStyle w:val="FootnoteReference"/>
          <w:rFonts w:ascii="Arial" w:hAnsi="Arial" w:cs="Arial"/>
        </w:rPr>
        <w:footnoteRef/>
      </w:r>
      <w:r w:rsidRPr="00D22280">
        <w:rPr>
          <w:rFonts w:ascii="Arial" w:hAnsi="Arial" w:cs="Arial"/>
        </w:rPr>
        <w:t xml:space="preserve"> Vidjeti, na primjer, planiranu naseljenu zonu u južnom dijelu zaliva upoređenu u </w:t>
      </w:r>
      <w:r>
        <w:rPr>
          <w:rFonts w:ascii="Arial" w:hAnsi="Arial" w:cs="Arial"/>
        </w:rPr>
        <w:t>P</w:t>
      </w:r>
      <w:r w:rsidRPr="00D22280">
        <w:rPr>
          <w:rFonts w:ascii="Arial" w:hAnsi="Arial" w:cs="Arial"/>
        </w:rPr>
        <w:t>lanu na str. II.191.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19D"/>
    <w:multiLevelType w:val="hybridMultilevel"/>
    <w:tmpl w:val="803C0AF4"/>
    <w:lvl w:ilvl="0" w:tplc="7F287E0E">
      <w:start w:val="1"/>
      <w:numFmt w:val="decimal"/>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5AAD583E"/>
    <w:multiLevelType w:val="hybridMultilevel"/>
    <w:tmpl w:val="05D8678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7536"/>
    <w:rsid w:val="00005399"/>
    <w:rsid w:val="00005B4F"/>
    <w:rsid w:val="00006C2E"/>
    <w:rsid w:val="00017DC0"/>
    <w:rsid w:val="00021C85"/>
    <w:rsid w:val="00031AD5"/>
    <w:rsid w:val="00032E1B"/>
    <w:rsid w:val="000438A7"/>
    <w:rsid w:val="00062195"/>
    <w:rsid w:val="000A71EC"/>
    <w:rsid w:val="000F34F6"/>
    <w:rsid w:val="00125435"/>
    <w:rsid w:val="00155124"/>
    <w:rsid w:val="00163692"/>
    <w:rsid w:val="00185110"/>
    <w:rsid w:val="00195C07"/>
    <w:rsid w:val="001A5A5D"/>
    <w:rsid w:val="001B261C"/>
    <w:rsid w:val="001B66B0"/>
    <w:rsid w:val="001D2FFC"/>
    <w:rsid w:val="001E6F2B"/>
    <w:rsid w:val="00210341"/>
    <w:rsid w:val="00210B79"/>
    <w:rsid w:val="00217266"/>
    <w:rsid w:val="0025563A"/>
    <w:rsid w:val="00287920"/>
    <w:rsid w:val="002B1D56"/>
    <w:rsid w:val="002F6BD1"/>
    <w:rsid w:val="00320D9B"/>
    <w:rsid w:val="00322F0F"/>
    <w:rsid w:val="00326C48"/>
    <w:rsid w:val="00333E31"/>
    <w:rsid w:val="00335A03"/>
    <w:rsid w:val="00342191"/>
    <w:rsid w:val="00343567"/>
    <w:rsid w:val="00345C94"/>
    <w:rsid w:val="00377CBC"/>
    <w:rsid w:val="00383924"/>
    <w:rsid w:val="00393F44"/>
    <w:rsid w:val="003A4A49"/>
    <w:rsid w:val="003E006B"/>
    <w:rsid w:val="003F6021"/>
    <w:rsid w:val="00441E5D"/>
    <w:rsid w:val="004868AD"/>
    <w:rsid w:val="004A1E8B"/>
    <w:rsid w:val="004A7536"/>
    <w:rsid w:val="004B475F"/>
    <w:rsid w:val="004D3731"/>
    <w:rsid w:val="004F184A"/>
    <w:rsid w:val="005130AA"/>
    <w:rsid w:val="00517C7D"/>
    <w:rsid w:val="00547A41"/>
    <w:rsid w:val="00556B02"/>
    <w:rsid w:val="0056680B"/>
    <w:rsid w:val="005C05C9"/>
    <w:rsid w:val="005C087A"/>
    <w:rsid w:val="005D48AF"/>
    <w:rsid w:val="005F524E"/>
    <w:rsid w:val="006011AF"/>
    <w:rsid w:val="0061195C"/>
    <w:rsid w:val="006142E0"/>
    <w:rsid w:val="00647038"/>
    <w:rsid w:val="00681E36"/>
    <w:rsid w:val="00682DC8"/>
    <w:rsid w:val="00696261"/>
    <w:rsid w:val="006C12F4"/>
    <w:rsid w:val="006C7C2C"/>
    <w:rsid w:val="006D0019"/>
    <w:rsid w:val="006E456D"/>
    <w:rsid w:val="006F1F8D"/>
    <w:rsid w:val="00701DB8"/>
    <w:rsid w:val="00720897"/>
    <w:rsid w:val="007226C4"/>
    <w:rsid w:val="0077797C"/>
    <w:rsid w:val="00785DAA"/>
    <w:rsid w:val="007878F0"/>
    <w:rsid w:val="00787FE9"/>
    <w:rsid w:val="007973E2"/>
    <w:rsid w:val="007D7819"/>
    <w:rsid w:val="007E12AA"/>
    <w:rsid w:val="007F2A2B"/>
    <w:rsid w:val="007F50C0"/>
    <w:rsid w:val="00807CB0"/>
    <w:rsid w:val="008156B7"/>
    <w:rsid w:val="00816A0E"/>
    <w:rsid w:val="00827EBB"/>
    <w:rsid w:val="008337BD"/>
    <w:rsid w:val="008409D4"/>
    <w:rsid w:val="008464D5"/>
    <w:rsid w:val="00850A71"/>
    <w:rsid w:val="008747C6"/>
    <w:rsid w:val="0088540F"/>
    <w:rsid w:val="008855A8"/>
    <w:rsid w:val="00893F32"/>
    <w:rsid w:val="008A5EDC"/>
    <w:rsid w:val="008C47EC"/>
    <w:rsid w:val="008E363A"/>
    <w:rsid w:val="009115A5"/>
    <w:rsid w:val="00935B24"/>
    <w:rsid w:val="009512C7"/>
    <w:rsid w:val="009631D3"/>
    <w:rsid w:val="009827A5"/>
    <w:rsid w:val="00983843"/>
    <w:rsid w:val="009A1FB2"/>
    <w:rsid w:val="009A575F"/>
    <w:rsid w:val="009C2F99"/>
    <w:rsid w:val="009D0993"/>
    <w:rsid w:val="009E7F06"/>
    <w:rsid w:val="009F0124"/>
    <w:rsid w:val="009F5D7C"/>
    <w:rsid w:val="00A059E3"/>
    <w:rsid w:val="00A25B5D"/>
    <w:rsid w:val="00A3191D"/>
    <w:rsid w:val="00A37816"/>
    <w:rsid w:val="00A504AC"/>
    <w:rsid w:val="00A51FE5"/>
    <w:rsid w:val="00A530AF"/>
    <w:rsid w:val="00A535B6"/>
    <w:rsid w:val="00A76364"/>
    <w:rsid w:val="00A967DF"/>
    <w:rsid w:val="00AA79FE"/>
    <w:rsid w:val="00AB0887"/>
    <w:rsid w:val="00AB096C"/>
    <w:rsid w:val="00AB6BAD"/>
    <w:rsid w:val="00AC1E66"/>
    <w:rsid w:val="00AF26B7"/>
    <w:rsid w:val="00B052DE"/>
    <w:rsid w:val="00B204EB"/>
    <w:rsid w:val="00B379BD"/>
    <w:rsid w:val="00B47CCE"/>
    <w:rsid w:val="00B52936"/>
    <w:rsid w:val="00B52ACC"/>
    <w:rsid w:val="00B60B8F"/>
    <w:rsid w:val="00B625B3"/>
    <w:rsid w:val="00B84FF4"/>
    <w:rsid w:val="00BA43AD"/>
    <w:rsid w:val="00BD25B7"/>
    <w:rsid w:val="00BD28AE"/>
    <w:rsid w:val="00BE6470"/>
    <w:rsid w:val="00C0333A"/>
    <w:rsid w:val="00C05760"/>
    <w:rsid w:val="00C36790"/>
    <w:rsid w:val="00C4619B"/>
    <w:rsid w:val="00C5332B"/>
    <w:rsid w:val="00C672A1"/>
    <w:rsid w:val="00C677FD"/>
    <w:rsid w:val="00C93847"/>
    <w:rsid w:val="00CA2433"/>
    <w:rsid w:val="00CD7F43"/>
    <w:rsid w:val="00D06CBA"/>
    <w:rsid w:val="00D164C7"/>
    <w:rsid w:val="00D74F3B"/>
    <w:rsid w:val="00DA1BAE"/>
    <w:rsid w:val="00DA2BA0"/>
    <w:rsid w:val="00DB063B"/>
    <w:rsid w:val="00DB30B1"/>
    <w:rsid w:val="00DC288B"/>
    <w:rsid w:val="00DF09CA"/>
    <w:rsid w:val="00E03761"/>
    <w:rsid w:val="00EA3D2D"/>
    <w:rsid w:val="00EA680F"/>
    <w:rsid w:val="00EB3991"/>
    <w:rsid w:val="00F16FD6"/>
    <w:rsid w:val="00F224D6"/>
    <w:rsid w:val="00F3411B"/>
    <w:rsid w:val="00F41BAB"/>
    <w:rsid w:val="00F93E50"/>
    <w:rsid w:val="00FB485B"/>
    <w:rsid w:val="00FC291F"/>
    <w:rsid w:val="00FD0EB5"/>
    <w:rsid w:val="00FE34F3"/>
    <w:rsid w:val="00FE6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536"/>
    <w:pPr>
      <w:ind w:left="720"/>
      <w:contextualSpacing/>
    </w:pPr>
  </w:style>
  <w:style w:type="paragraph" w:styleId="FootnoteText">
    <w:name w:val="footnote text"/>
    <w:basedOn w:val="Normal"/>
    <w:link w:val="FootnoteTextChar"/>
    <w:uiPriority w:val="99"/>
    <w:semiHidden/>
    <w:unhideWhenUsed/>
    <w:rsid w:val="004A7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536"/>
    <w:rPr>
      <w:sz w:val="20"/>
      <w:szCs w:val="20"/>
    </w:rPr>
  </w:style>
  <w:style w:type="character" w:styleId="FootnoteReference">
    <w:name w:val="footnote reference"/>
    <w:basedOn w:val="DefaultParagraphFont"/>
    <w:uiPriority w:val="99"/>
    <w:semiHidden/>
    <w:unhideWhenUsed/>
    <w:rsid w:val="004A753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milica.nikolic</dc:creator>
  <cp:keywords/>
  <dc:description/>
  <cp:lastModifiedBy>milica.nikolic</cp:lastModifiedBy>
  <cp:revision>5</cp:revision>
  <dcterms:created xsi:type="dcterms:W3CDTF">2019-12-25T10:55:00Z</dcterms:created>
  <dcterms:modified xsi:type="dcterms:W3CDTF">2019-12-25T13:39:00Z</dcterms:modified>
</cp:coreProperties>
</file>