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B1" w:rsidRPr="00327A75" w:rsidRDefault="006C53B1">
      <w:pPr>
        <w:spacing w:before="240"/>
        <w:rPr>
          <w:rFonts w:ascii="Arial" w:hAnsi="Arial" w:cs="Arial"/>
          <w:sz w:val="20"/>
          <w:szCs w:val="20"/>
          <w:lang w:val="uz-Cyrl-UZ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00"/>
      </w:tblPr>
      <w:tblGrid>
        <w:gridCol w:w="737"/>
        <w:gridCol w:w="3504"/>
        <w:gridCol w:w="5381"/>
      </w:tblGrid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B1" w:rsidRPr="00327A75" w:rsidRDefault="006C53B1" w:rsidP="00A00CDB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A75">
              <w:rPr>
                <w:rFonts w:ascii="Arial" w:hAnsi="Arial" w:cs="Arial"/>
                <w:b/>
                <w:bCs/>
                <w:sz w:val="24"/>
                <w:szCs w:val="24"/>
              </w:rPr>
              <w:t>NAJAVA POSTUPKA</w:t>
            </w:r>
          </w:p>
        </w:tc>
      </w:tr>
      <w:tr w:rsidR="006C53B1" w:rsidRPr="00327A7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9A751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Broj najave postupka: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MNE 2 Konik</w:t>
            </w:r>
            <w:r>
              <w:rPr>
                <w:rFonts w:ascii="Arial" w:hAnsi="Arial" w:cs="Arial"/>
                <w:sz w:val="20"/>
                <w:szCs w:val="20"/>
              </w:rPr>
              <w:t xml:space="preserve"> usluge</w:t>
            </w:r>
          </w:p>
        </w:tc>
      </w:tr>
      <w:tr w:rsidR="006C53B1" w:rsidRPr="00327A7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Program i finansiranje: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327A7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Regionalni stambeni program finansiran na osnovu Okvirnog ugovora zaključenog između Banke za razvoj Savjeta Evrope i Crne Gore o Regionalnom programu stambenog zbrinjavanja od 04.11.2013. godine, Ugovora o donaciji između Banke za razvoj Savjeta Evrope i Crne Gore u vezi sa realizacijom potprojekta Regionalnog programa stambenog zbrinjavanja od 07.10.2014 godine</w:t>
            </w:r>
          </w:p>
        </w:tc>
      </w:tr>
      <w:tr w:rsidR="006C53B1" w:rsidRPr="00327A7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naručioca: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Ministarstvo održivog razvoja i turizma - Direkcija javnih radova</w:t>
            </w:r>
          </w:p>
        </w:tc>
      </w:tr>
      <w:tr w:rsidR="006C53B1" w:rsidRPr="00327A7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0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Adresa naručioca: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Novaka Miloševa broj 18, 81000 Podgorica, Crna Gora</w:t>
            </w:r>
          </w:p>
        </w:tc>
      </w:tr>
      <w:tr w:rsidR="006C53B1" w:rsidRPr="00327A75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Internet adresa naručioca: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www.djr.gov.me</w:t>
              </w:r>
            </w:hyperlink>
          </w:p>
        </w:tc>
      </w:tr>
      <w:tr w:rsidR="006C53B1" w:rsidRPr="00327A75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8401B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Vrsta ugovora: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327A75">
            <w:pPr>
              <w:tabs>
                <w:tab w:val="clear" w:pos="720"/>
                <w:tab w:val="left" w:pos="45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pružanju usluga nadzora</w:t>
            </w: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27A75">
              <w:rPr>
                <w:rFonts w:ascii="Arial" w:hAnsi="Arial" w:cs="Arial"/>
                <w:sz w:val="20"/>
                <w:szCs w:val="20"/>
              </w:rPr>
              <w:t>riroda, opseg i kratak opis radova, lokacija izvođenja radova:</w:t>
            </w: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179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Default="006C53B1" w:rsidP="00555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Projekat “</w:t>
            </w:r>
            <w:r>
              <w:rPr>
                <w:rFonts w:ascii="Arial" w:hAnsi="Arial" w:cs="Arial"/>
                <w:sz w:val="20"/>
                <w:szCs w:val="20"/>
              </w:rPr>
              <w:t>Izgradnja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stambenih jedinica za 120 najaranjivijih porodica iz K</w:t>
            </w:r>
            <w:r>
              <w:rPr>
                <w:rFonts w:ascii="Arial" w:hAnsi="Arial" w:cs="Arial"/>
                <w:sz w:val="20"/>
                <w:szCs w:val="20"/>
              </w:rPr>
              <w:t>ampa Konik I/izgradnju stambenih jedinica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u Podgorici</w:t>
            </w:r>
            <w:r w:rsidRPr="00327A75">
              <w:rPr>
                <w:rFonts w:ascii="Arial" w:hAnsi="Arial" w:cs="Arial"/>
                <w:sz w:val="20"/>
                <w:szCs w:val="20"/>
              </w:rPr>
              <w:t>” (u daljem tekstu: projekat) je podprojekat Regionalno stambenog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(RSP)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koji se implementira kako bi se postigli ciljevi i smjernice definisane od strane </w:t>
            </w:r>
            <w:r>
              <w:rPr>
                <w:rFonts w:ascii="Arial" w:hAnsi="Arial" w:cs="Arial"/>
                <w:sz w:val="20"/>
                <w:szCs w:val="20"/>
              </w:rPr>
              <w:t>RSP</w:t>
            </w:r>
            <w:r w:rsidRPr="00327A75">
              <w:rPr>
                <w:rFonts w:ascii="Arial" w:hAnsi="Arial" w:cs="Arial"/>
                <w:sz w:val="20"/>
                <w:szCs w:val="20"/>
              </w:rPr>
              <w:t>. Cilj projekta je da se sveobuhvatno doprinese okončanju dugotrajne situacije kada je u pitanju raseljavanje u Crnoj Gori, tako što će se pružiti trajna i održiva stambena rješenja uz puno poštovanje prava izbjeglica i interno raseljenih lica, kroz lokalnu integraciju.</w:t>
            </w:r>
          </w:p>
          <w:p w:rsidR="006C53B1" w:rsidRPr="00327A75" w:rsidRDefault="006C53B1" w:rsidP="00723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Podprojek</w:t>
            </w:r>
            <w:r>
              <w:rPr>
                <w:rFonts w:ascii="Arial" w:hAnsi="Arial" w:cs="Arial"/>
                <w:sz w:val="20"/>
                <w:szCs w:val="20"/>
              </w:rPr>
              <w:t>at RSP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– “</w:t>
            </w:r>
            <w:r>
              <w:rPr>
                <w:rFonts w:ascii="Arial" w:hAnsi="Arial" w:cs="Arial"/>
                <w:sz w:val="20"/>
                <w:szCs w:val="20"/>
              </w:rPr>
              <w:t>Izgradnja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stambenih jedinica za 120 najaranjivijih porodica iz K</w:t>
            </w:r>
            <w:r>
              <w:rPr>
                <w:rFonts w:ascii="Arial" w:hAnsi="Arial" w:cs="Arial"/>
                <w:sz w:val="20"/>
                <w:szCs w:val="20"/>
              </w:rPr>
              <w:t>ampa Konik I/izgradnju stambenih jedinica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u Podgorici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će uključiti raseljena lica (RL) iz bivše Jugoslavije i interno raseljena lica (IRL) sa Kosova, kao i bivša interno raseljena lica koja su stekla status stranaca sa trajnim ili privremenim boravištem u Crnoj Gori. </w:t>
            </w:r>
          </w:p>
          <w:p w:rsidR="006C53B1" w:rsidRPr="00E4577B" w:rsidRDefault="006C53B1" w:rsidP="0072389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77B">
              <w:rPr>
                <w:rFonts w:ascii="Arial" w:hAnsi="Arial" w:cs="Arial"/>
                <w:sz w:val="20"/>
                <w:szCs w:val="20"/>
              </w:rPr>
              <w:t xml:space="preserve">Odlukom Skupštine grada Podgorice, od 21.02.2012. godine ("Sl. list Crne Gore - opštinski propisi", br 06/12), obezbijeđene su naknade za zemljišnu i komunalnu infrastrukturu za izgradnju </w:t>
            </w:r>
            <w:r>
              <w:rPr>
                <w:rFonts w:ascii="Arial" w:hAnsi="Arial" w:cs="Arial"/>
                <w:sz w:val="20"/>
                <w:szCs w:val="20"/>
              </w:rPr>
              <w:t>stambenih jedinica pod RSP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-om. Opština Podgorica je obezbijedila 13,87 hektara zemljišta, u okviru detaljnog urbanističkog plana "Konik - Vrela Ribnička II". </w:t>
            </w:r>
            <w:r>
              <w:rPr>
                <w:rFonts w:ascii="Arial" w:hAnsi="Arial" w:cs="Arial"/>
                <w:sz w:val="20"/>
                <w:szCs w:val="20"/>
              </w:rPr>
              <w:t>Zemlja će ostati u vlasništvu o</w:t>
            </w:r>
            <w:r w:rsidRPr="00E4577B">
              <w:rPr>
                <w:rFonts w:ascii="Arial" w:hAnsi="Arial" w:cs="Arial"/>
                <w:sz w:val="20"/>
                <w:szCs w:val="20"/>
              </w:rPr>
              <w:t>pštine Podgorica.</w:t>
            </w:r>
          </w:p>
          <w:p w:rsidR="006C53B1" w:rsidRPr="00E4577B" w:rsidRDefault="006C53B1" w:rsidP="00E4577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77B">
              <w:rPr>
                <w:rFonts w:ascii="Arial" w:hAnsi="Arial" w:cs="Arial"/>
                <w:sz w:val="20"/>
                <w:szCs w:val="20"/>
              </w:rPr>
              <w:t>Radovi</w:t>
            </w:r>
            <w:bookmarkStart w:id="0" w:name="_GoBack"/>
            <w:bookmarkEnd w:id="0"/>
          </w:p>
          <w:p w:rsidR="006C53B1" w:rsidRPr="00E4577B" w:rsidRDefault="006C53B1" w:rsidP="00E4577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77B">
              <w:rPr>
                <w:rFonts w:ascii="Arial" w:hAnsi="Arial" w:cs="Arial"/>
                <w:sz w:val="20"/>
                <w:szCs w:val="20"/>
              </w:rPr>
              <w:t>U skladu sa Urbanističko-tehničk</w:t>
            </w:r>
            <w:r>
              <w:rPr>
                <w:rFonts w:ascii="Arial" w:hAnsi="Arial" w:cs="Arial"/>
                <w:sz w:val="20"/>
                <w:szCs w:val="20"/>
              </w:rPr>
              <w:t>im uslovima, koje je propisala o</w:t>
            </w:r>
            <w:r w:rsidRPr="00E4577B">
              <w:rPr>
                <w:rFonts w:ascii="Arial" w:hAnsi="Arial" w:cs="Arial"/>
                <w:sz w:val="20"/>
                <w:szCs w:val="20"/>
              </w:rPr>
              <w:t>pština Podgorica, 12 objekata</w:t>
            </w:r>
            <w:r>
              <w:rPr>
                <w:rFonts w:ascii="Arial" w:hAnsi="Arial" w:cs="Arial"/>
                <w:sz w:val="20"/>
                <w:szCs w:val="20"/>
              </w:rPr>
              <w:t xml:space="preserve"> je predviđeno na dodijeljenim parcelama</w:t>
            </w:r>
            <w:r w:rsidRPr="00E4577B">
              <w:rPr>
                <w:rFonts w:ascii="Arial" w:hAnsi="Arial" w:cs="Arial"/>
                <w:sz w:val="20"/>
                <w:szCs w:val="20"/>
              </w:rPr>
              <w:t>: Po + P + 2.</w:t>
            </w:r>
          </w:p>
          <w:p w:rsidR="006C53B1" w:rsidRPr="00E4577B" w:rsidRDefault="006C53B1" w:rsidP="00E4577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Veličina stambenih jedinica je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određena na osnovu Zakona o socijalnom stanovanju. Preliminarna lista korisnika je sastavni dio Projektnog zadatka </w:t>
            </w:r>
            <w:r>
              <w:rPr>
                <w:rFonts w:ascii="Arial" w:hAnsi="Arial" w:cs="Arial"/>
                <w:sz w:val="20"/>
                <w:szCs w:val="20"/>
              </w:rPr>
              <w:t>Glavnog projekta - svaki stan je</w:t>
            </w:r>
            <w:r w:rsidRPr="00E4577B">
              <w:rPr>
                <w:rFonts w:ascii="Arial" w:hAnsi="Arial" w:cs="Arial"/>
                <w:sz w:val="20"/>
                <w:szCs w:val="20"/>
              </w:rPr>
              <w:t xml:space="preserve"> projektovan u skladu sa porodičnom strukturom</w:t>
            </w:r>
            <w:r>
              <w:rPr>
                <w:rFonts w:ascii="Arial" w:hAnsi="Arial" w:cs="Arial"/>
                <w:sz w:val="20"/>
                <w:szCs w:val="20"/>
              </w:rPr>
              <w:t xml:space="preserve"> korisnika</w:t>
            </w:r>
            <w:r w:rsidRPr="00E457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53B1" w:rsidRPr="00327A75" w:rsidRDefault="006C53B1" w:rsidP="00E4577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4577B">
              <w:rPr>
                <w:rFonts w:ascii="Arial" w:hAnsi="Arial" w:cs="Arial"/>
                <w:sz w:val="20"/>
                <w:szCs w:val="20"/>
              </w:rPr>
              <w:t>Prostor suterena (podrum) će biti obezbijeđen tako da svaka porodica ima svoj prostor za skladištenje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53B1" w:rsidRPr="00327A75">
        <w:trPr>
          <w:trHeight w:val="3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504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Okvirni datum za objavljivanje Javnog poziva i zaključivanja ugovora: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27.08.2015 godine</w:t>
            </w:r>
          </w:p>
          <w:p w:rsidR="006C53B1" w:rsidRPr="00327A75" w:rsidRDefault="006C53B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28.01.2016 godine</w:t>
            </w:r>
          </w:p>
        </w:tc>
      </w:tr>
      <w:tr w:rsidR="006C53B1" w:rsidRPr="00327A75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Procijenjeni broj ugovora koji će biti dodijeljen: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jedan ugovor</w:t>
            </w: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Posebna napomena ukoliko se dodjeljuje okvirni ugovor: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pri</w:t>
            </w:r>
            <w:r w:rsidRPr="00327A75">
              <w:rPr>
                <w:rFonts w:ascii="Arial" w:hAnsi="Arial" w:cs="Arial"/>
                <w:sz w:val="20"/>
                <w:szCs w:val="20"/>
              </w:rPr>
              <w:t>mjenjivo</w:t>
            </w: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0850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Adresa i interne</w:t>
            </w:r>
            <w:r>
              <w:rPr>
                <w:rFonts w:ascii="Arial" w:hAnsi="Arial" w:cs="Arial"/>
                <w:sz w:val="20"/>
                <w:szCs w:val="20"/>
              </w:rPr>
              <w:t>t stranica državnog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i lokalnog organa gdje se mogu naći i dobiti informacije o porezima, zaštiti životne sredine, zapošljavanju i radnim uslovima:</w:t>
            </w:r>
          </w:p>
        </w:tc>
      </w:tr>
      <w:tr w:rsidR="006C53B1" w:rsidRPr="00327A75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Ministarstvo finansija, </w:t>
            </w:r>
            <w:r w:rsidRPr="00327A75">
              <w:rPr>
                <w:rFonts w:ascii="Arial" w:hAnsi="Arial" w:cs="Arial"/>
                <w:color w:val="auto"/>
                <w:sz w:val="20"/>
                <w:szCs w:val="20"/>
              </w:rPr>
              <w:t>adresa: Stanka Dragojevića br. 2, 81000 Podgorica, Crna Gora, internet stranica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www.mf.gov.me</w:t>
              </w:r>
            </w:hyperlink>
          </w:p>
          <w:p w:rsidR="006C53B1" w:rsidRPr="00327A75" w:rsidRDefault="006C53B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Poreska uprava, adresa: </w:t>
            </w:r>
            <w:r w:rsidRPr="00327A75">
              <w:rPr>
                <w:rFonts w:ascii="Arial" w:hAnsi="Arial" w:cs="Arial"/>
                <w:color w:val="auto"/>
                <w:sz w:val="20"/>
                <w:szCs w:val="20"/>
              </w:rPr>
              <w:t>Bulevar Šarla de Gola br. 2, 81 000 Podgorica, Crna Gora, internet stranica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www.poreskauprava.gov.me</w:t>
              </w:r>
            </w:hyperlink>
          </w:p>
          <w:p w:rsidR="006C53B1" w:rsidRPr="006E65E5" w:rsidRDefault="006C53B1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yperlink"/>
                <w:rFonts w:ascii="Arial" w:hAnsi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Ministarstvo održivog razvoja i turizma, adresa: </w:t>
            </w:r>
            <w:r w:rsidRPr="00327A75">
              <w:rPr>
                <w:rFonts w:ascii="Arial" w:hAnsi="Arial" w:cs="Arial"/>
                <w:color w:val="auto"/>
                <w:sz w:val="20"/>
                <w:szCs w:val="20"/>
              </w:rPr>
              <w:t xml:space="preserve">IV proleterske brigade 19, 81000 Podgorica, Crna Gora, internet stranica </w:t>
            </w:r>
            <w:hyperlink r:id="rId10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www.mrt.gov.me</w:t>
              </w:r>
            </w:hyperlink>
          </w:p>
          <w:p w:rsidR="006C53B1" w:rsidRPr="00327A75" w:rsidRDefault="006C53B1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color w:val="auto"/>
                <w:sz w:val="20"/>
                <w:szCs w:val="20"/>
              </w:rPr>
              <w:t>Ministarstvo rada i socijalnog staranja, adresa: Rimski trg 46, 81 000 Podgorica, Crna Gora, internet stranica www.mrs.gov.me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53B1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Zavod za zapošljavanje, adresa: Bulevar revolucije 5, 81000 Podgorica, Crna Gora, internet stranica </w:t>
            </w:r>
            <w:hyperlink r:id="rId11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www.zzzcg.org</w:t>
              </w:r>
            </w:hyperlink>
          </w:p>
        </w:tc>
      </w:tr>
      <w:tr w:rsidR="006C53B1" w:rsidRPr="00327A75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7243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Adresa: 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Ministarstvo održivog razvoja i turizma-Direkcija javnih radova, Novaka Miloševa broj 18, 81000 Podgorica, Crna Gora, </w:t>
            </w:r>
            <w:r w:rsidRPr="00327A75">
              <w:rPr>
                <w:rFonts w:ascii="Arial" w:hAnsi="Arial" w:cs="Arial"/>
                <w:sz w:val="20"/>
                <w:szCs w:val="20"/>
              </w:rPr>
              <w:t>Faks: +382 20 230 228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E-pošta: </w:t>
            </w:r>
            <w:hyperlink r:id="rId12" w:history="1">
              <w:r w:rsidRPr="006E65E5">
                <w:rPr>
                  <w:rStyle w:val="Hyperlink"/>
                  <w:rFonts w:ascii="Arial" w:hAnsi="Arial" w:cs="Arial"/>
                  <w:sz w:val="20"/>
                  <w:szCs w:val="20"/>
                </w:rPr>
                <w:t>djr@gov.me</w:t>
              </w:r>
            </w:hyperlink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3B1" w:rsidRPr="00327A7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Druge informacije:</w:t>
            </w:r>
          </w:p>
        </w:tc>
      </w:tr>
      <w:tr w:rsidR="006C53B1" w:rsidRPr="00327A75">
        <w:trPr>
          <w:trHeight w:val="240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B1" w:rsidRPr="00327A75" w:rsidRDefault="006C53B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Nije primjenjivo</w:t>
            </w:r>
          </w:p>
        </w:tc>
      </w:tr>
    </w:tbl>
    <w:p w:rsidR="006C53B1" w:rsidRPr="00327A75" w:rsidRDefault="006C53B1">
      <w:pPr>
        <w:rPr>
          <w:rFonts w:ascii="Arial" w:hAnsi="Arial" w:cs="Arial"/>
          <w:sz w:val="20"/>
          <w:szCs w:val="20"/>
        </w:rPr>
      </w:pPr>
    </w:p>
    <w:sectPr w:rsidR="006C53B1" w:rsidRPr="00327A75" w:rsidSect="002D6E25">
      <w:headerReference w:type="default" r:id="rId13"/>
      <w:footerReference w:type="default" r:id="rId14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B1" w:rsidRDefault="006C53B1" w:rsidP="007B46EA">
      <w:pPr>
        <w:spacing w:after="0" w:line="240" w:lineRule="auto"/>
      </w:pPr>
      <w:r>
        <w:separator/>
      </w:r>
    </w:p>
  </w:endnote>
  <w:endnote w:type="continuationSeparator" w:id="0">
    <w:p w:rsidR="006C53B1" w:rsidRDefault="006C53B1" w:rsidP="007B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B1" w:rsidRDefault="006C53B1" w:rsidP="0072389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Ind w:w="-106" w:type="dxa"/>
      <w:tblLook w:val="00A0"/>
    </w:tblPr>
    <w:tblGrid>
      <w:gridCol w:w="4773"/>
      <w:gridCol w:w="4515"/>
    </w:tblGrid>
    <w:tr w:rsidR="006C53B1" w:rsidRPr="007B46EA">
      <w:tc>
        <w:tcPr>
          <w:tcW w:w="4773" w:type="dxa"/>
        </w:tcPr>
        <w:p w:rsidR="006C53B1" w:rsidRPr="007B46EA" w:rsidRDefault="006C53B1" w:rsidP="00327A75">
          <w:pPr>
            <w:pStyle w:val="Footer"/>
            <w:tabs>
              <w:tab w:val="center" w:pos="4111"/>
            </w:tabs>
            <w:ind w:right="360"/>
            <w:rPr>
              <w:rFonts w:ascii="Roboto" w:hAnsi="Roboto" w:cs="Roboto"/>
              <w:sz w:val="20"/>
              <w:szCs w:val="20"/>
            </w:rPr>
          </w:pPr>
          <w:r w:rsidRPr="007B46EA">
            <w:rPr>
              <w:rFonts w:ascii="Roboto" w:hAnsi="Roboto" w:cs="Roboto"/>
              <w:sz w:val="20"/>
              <w:szCs w:val="20"/>
            </w:rPr>
            <w:t>2</w:t>
          </w:r>
          <w:r>
            <w:rPr>
              <w:rFonts w:ascii="Roboto" w:hAnsi="Roboto" w:cs="Roboto"/>
              <w:sz w:val="20"/>
              <w:szCs w:val="20"/>
            </w:rPr>
            <w:t>015</w:t>
          </w:r>
          <w:r w:rsidRPr="007B46EA">
            <w:rPr>
              <w:rFonts w:ascii="Roboto" w:hAnsi="Roboto" w:cs="Roboto"/>
              <w:sz w:val="20"/>
              <w:szCs w:val="20"/>
            </w:rPr>
            <w:t xml:space="preserve"> </w:t>
          </w:r>
          <w:r>
            <w:rPr>
              <w:rFonts w:ascii="Roboto" w:hAnsi="Roboto" w:cs="Roboto"/>
              <w:sz w:val="20"/>
              <w:szCs w:val="20"/>
            </w:rPr>
            <w:t>–</w:t>
          </w:r>
          <w:r w:rsidRPr="007B46EA">
            <w:rPr>
              <w:rFonts w:ascii="Roboto" w:hAnsi="Roboto" w:cs="Roboto"/>
              <w:sz w:val="20"/>
              <w:szCs w:val="20"/>
            </w:rPr>
            <w:t xml:space="preserve"> </w:t>
          </w:r>
          <w:r>
            <w:rPr>
              <w:rFonts w:ascii="Roboto" w:hAnsi="Roboto" w:cs="Roboto"/>
              <w:sz w:val="20"/>
              <w:szCs w:val="20"/>
            </w:rPr>
            <w:t>Regionalni program za stambeno zbrinjavanje</w:t>
          </w:r>
          <w:r w:rsidRPr="007B46EA">
            <w:rPr>
              <w:rFonts w:ascii="Roboto" w:hAnsi="Roboto" w:cs="Roboto"/>
              <w:sz w:val="20"/>
              <w:szCs w:val="20"/>
            </w:rPr>
            <w:t xml:space="preserve"> </w:t>
          </w:r>
        </w:p>
      </w:tc>
      <w:tc>
        <w:tcPr>
          <w:tcW w:w="4515" w:type="dxa"/>
        </w:tcPr>
        <w:p w:rsidR="006C53B1" w:rsidRPr="007B46EA" w:rsidRDefault="006C53B1" w:rsidP="00724391">
          <w:pPr>
            <w:pStyle w:val="Footer"/>
            <w:tabs>
              <w:tab w:val="center" w:pos="4111"/>
            </w:tabs>
            <w:jc w:val="right"/>
            <w:rPr>
              <w:rFonts w:ascii="Roboto" w:hAnsi="Roboto" w:cs="Roboto"/>
              <w:sz w:val="20"/>
              <w:szCs w:val="20"/>
            </w:rPr>
          </w:pPr>
        </w:p>
      </w:tc>
    </w:tr>
  </w:tbl>
  <w:p w:rsidR="006C53B1" w:rsidRDefault="006C53B1">
    <w:pPr>
      <w:pStyle w:val="Footer"/>
    </w:pPr>
  </w:p>
  <w:p w:rsidR="006C53B1" w:rsidRDefault="006C53B1">
    <w:pPr>
      <w:pStyle w:val="Footer"/>
    </w:pPr>
  </w:p>
  <w:p w:rsidR="006C53B1" w:rsidRDefault="006C53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B1" w:rsidRDefault="006C53B1" w:rsidP="007B46EA">
      <w:pPr>
        <w:spacing w:after="0" w:line="240" w:lineRule="auto"/>
      </w:pPr>
      <w:r>
        <w:separator/>
      </w:r>
    </w:p>
  </w:footnote>
  <w:footnote w:type="continuationSeparator" w:id="0">
    <w:p w:rsidR="006C53B1" w:rsidRDefault="006C53B1" w:rsidP="007B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B1" w:rsidRDefault="006C53B1">
    <w:pPr>
      <w:pStyle w:val="Header"/>
    </w:pPr>
  </w:p>
  <w:p w:rsidR="006C53B1" w:rsidRDefault="006C53B1">
    <w:pPr>
      <w:pStyle w:val="Header"/>
    </w:pPr>
  </w:p>
  <w:tbl>
    <w:tblPr>
      <w:tblW w:w="5000" w:type="pct"/>
      <w:tblInd w:w="-106" w:type="dxa"/>
      <w:tblLook w:val="00A0"/>
    </w:tblPr>
    <w:tblGrid>
      <w:gridCol w:w="8046"/>
      <w:gridCol w:w="1576"/>
    </w:tblGrid>
    <w:tr w:rsidR="006C53B1" w:rsidRPr="007B46EA">
      <w:tc>
        <w:tcPr>
          <w:tcW w:w="4181" w:type="pct"/>
        </w:tcPr>
        <w:p w:rsidR="006C53B1" w:rsidRPr="007B46EA" w:rsidRDefault="006C53B1" w:rsidP="00D1718B">
          <w:pPr>
            <w:pStyle w:val="Footer"/>
            <w:tabs>
              <w:tab w:val="center" w:pos="4860"/>
            </w:tabs>
            <w:rPr>
              <w:rFonts w:ascii="Roboto" w:hAnsi="Roboto" w:cs="Roboto"/>
              <w:sz w:val="20"/>
              <w:szCs w:val="20"/>
            </w:rPr>
          </w:pPr>
        </w:p>
      </w:tc>
      <w:tc>
        <w:tcPr>
          <w:tcW w:w="819" w:type="pct"/>
        </w:tcPr>
        <w:p w:rsidR="006C53B1" w:rsidRPr="007B46EA" w:rsidRDefault="006C53B1" w:rsidP="007B46EA">
          <w:pPr>
            <w:pStyle w:val="Footer"/>
            <w:tabs>
              <w:tab w:val="center" w:pos="4111"/>
            </w:tabs>
            <w:jc w:val="right"/>
            <w:rPr>
              <w:rFonts w:ascii="Roboto" w:hAnsi="Roboto" w:cs="Roboto"/>
              <w:sz w:val="20"/>
              <w:szCs w:val="20"/>
            </w:rPr>
          </w:pPr>
        </w:p>
      </w:tc>
    </w:tr>
  </w:tbl>
  <w:p w:rsidR="006C53B1" w:rsidRDefault="006C53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E25"/>
    <w:rsid w:val="00023A29"/>
    <w:rsid w:val="0004200B"/>
    <w:rsid w:val="000579BD"/>
    <w:rsid w:val="000850A1"/>
    <w:rsid w:val="00097512"/>
    <w:rsid w:val="000A0DCD"/>
    <w:rsid w:val="000A745F"/>
    <w:rsid w:val="00142EE2"/>
    <w:rsid w:val="0025416B"/>
    <w:rsid w:val="00276126"/>
    <w:rsid w:val="002D6E25"/>
    <w:rsid w:val="002F67CD"/>
    <w:rsid w:val="00324F16"/>
    <w:rsid w:val="003278BA"/>
    <w:rsid w:val="00327A75"/>
    <w:rsid w:val="00357EBB"/>
    <w:rsid w:val="00380CF1"/>
    <w:rsid w:val="003B5E32"/>
    <w:rsid w:val="003C6436"/>
    <w:rsid w:val="003D03B0"/>
    <w:rsid w:val="004511C2"/>
    <w:rsid w:val="00454F40"/>
    <w:rsid w:val="00455AA4"/>
    <w:rsid w:val="004837D8"/>
    <w:rsid w:val="004864A7"/>
    <w:rsid w:val="004936C4"/>
    <w:rsid w:val="00504AC8"/>
    <w:rsid w:val="005422D5"/>
    <w:rsid w:val="00555A5A"/>
    <w:rsid w:val="00563CAE"/>
    <w:rsid w:val="00584432"/>
    <w:rsid w:val="0059171A"/>
    <w:rsid w:val="00594712"/>
    <w:rsid w:val="005F730C"/>
    <w:rsid w:val="006553F9"/>
    <w:rsid w:val="006666A1"/>
    <w:rsid w:val="006C53B1"/>
    <w:rsid w:val="006E65E5"/>
    <w:rsid w:val="0072389F"/>
    <w:rsid w:val="00724391"/>
    <w:rsid w:val="00746C6F"/>
    <w:rsid w:val="0077701C"/>
    <w:rsid w:val="007A23AF"/>
    <w:rsid w:val="007B3665"/>
    <w:rsid w:val="007B46EA"/>
    <w:rsid w:val="008401B7"/>
    <w:rsid w:val="00841D41"/>
    <w:rsid w:val="0090206D"/>
    <w:rsid w:val="0091621E"/>
    <w:rsid w:val="0092142F"/>
    <w:rsid w:val="00966303"/>
    <w:rsid w:val="009A7511"/>
    <w:rsid w:val="009D30D0"/>
    <w:rsid w:val="00A00CDB"/>
    <w:rsid w:val="00A11C08"/>
    <w:rsid w:val="00A125C8"/>
    <w:rsid w:val="00AD4F5F"/>
    <w:rsid w:val="00AE520C"/>
    <w:rsid w:val="00B141C0"/>
    <w:rsid w:val="00BA30AB"/>
    <w:rsid w:val="00D1718B"/>
    <w:rsid w:val="00D3476B"/>
    <w:rsid w:val="00D809B8"/>
    <w:rsid w:val="00D84DB9"/>
    <w:rsid w:val="00E276AC"/>
    <w:rsid w:val="00E4577B"/>
    <w:rsid w:val="00E52299"/>
    <w:rsid w:val="00E61DFF"/>
    <w:rsid w:val="00F05F49"/>
    <w:rsid w:val="00F13935"/>
    <w:rsid w:val="00F87ABC"/>
    <w:rsid w:val="00F92E52"/>
    <w:rsid w:val="00FB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5"/>
    <w:pPr>
      <w:tabs>
        <w:tab w:val="left" w:pos="720"/>
      </w:tabs>
      <w:suppressAutoHyphens/>
      <w:spacing w:after="200" w:line="276" w:lineRule="auto"/>
    </w:pPr>
    <w:rPr>
      <w:rFonts w:cs="Calibri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2D6E2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2D6E25"/>
    <w:pPr>
      <w:spacing w:after="120"/>
    </w:pPr>
  </w:style>
  <w:style w:type="paragraph" w:styleId="List">
    <w:name w:val="List"/>
    <w:basedOn w:val="Textbody"/>
    <w:uiPriority w:val="99"/>
    <w:rsid w:val="002D6E25"/>
  </w:style>
  <w:style w:type="paragraph" w:styleId="Caption">
    <w:name w:val="caption"/>
    <w:basedOn w:val="Normal"/>
    <w:uiPriority w:val="99"/>
    <w:qFormat/>
    <w:rsid w:val="002D6E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D6E25"/>
    <w:pPr>
      <w:suppressLineNumbers/>
    </w:pPr>
  </w:style>
  <w:style w:type="paragraph" w:styleId="ListParagraph">
    <w:name w:val="List Paragraph"/>
    <w:basedOn w:val="Normal"/>
    <w:uiPriority w:val="99"/>
    <w:qFormat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D41"/>
    <w:rPr>
      <w:rFonts w:ascii="Calibri" w:eastAsia="Times New Roman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D41"/>
    <w:rPr>
      <w:rFonts w:ascii="Segoe UI" w:eastAsia="Times New Roman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6EA"/>
    <w:rPr>
      <w:rFonts w:ascii="Calibri" w:eastAsia="Times New Roman" w:hAnsi="Calibri" w:cs="Calibri"/>
      <w:color w:val="00000A"/>
    </w:rPr>
  </w:style>
  <w:style w:type="paragraph" w:styleId="Footer">
    <w:name w:val="footer"/>
    <w:basedOn w:val="Normal"/>
    <w:link w:val="FooterChar"/>
    <w:uiPriority w:val="99"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46EA"/>
    <w:rPr>
      <w:rFonts w:ascii="Calibri" w:eastAsia="Times New Roman" w:hAnsi="Calibri" w:cs="Calibri"/>
      <w:color w:val="00000A"/>
    </w:rPr>
  </w:style>
  <w:style w:type="character" w:styleId="Hyperlink">
    <w:name w:val="Hyperlink"/>
    <w:basedOn w:val="DefaultParagraphFont"/>
    <w:uiPriority w:val="99"/>
    <w:rsid w:val="00E5229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32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jr.gov.me" TargetMode="External"/><Relationship Id="rId12" Type="http://schemas.openxmlformats.org/officeDocument/2006/relationships/hyperlink" Target="mailto:djr@gov.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zcg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rt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612</Words>
  <Characters>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NAJAVA POSTUPKA</dc:title>
  <dc:subject/>
  <dc:creator>djordje.belenzada</dc:creator>
  <cp:keywords/>
  <dc:description/>
  <cp:lastModifiedBy>bojana.mitric</cp:lastModifiedBy>
  <cp:revision>2</cp:revision>
  <dcterms:created xsi:type="dcterms:W3CDTF">2015-08-31T12:22:00Z</dcterms:created>
  <dcterms:modified xsi:type="dcterms:W3CDTF">2015-08-31T12:23:00Z</dcterms:modified>
</cp:coreProperties>
</file>