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FF" w:rsidRDefault="00AD57FF" w:rsidP="00AD57FF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138 stav 2 Opšteg zakona o obrazovanju i vaspitanju ("Službeni list RCG", br. 64/02, 31/05 i 49/07 i "Službeni list CG", broj 45/ 10), Ministarstvo prosvjete i nauke donijelo je</w:t>
      </w:r>
    </w:p>
    <w:p w:rsidR="00AD57FF" w:rsidRDefault="00AD57FF" w:rsidP="00AD57F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AD57FF" w:rsidRDefault="00AD57FF" w:rsidP="00AD57FF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AD57FF" w:rsidRDefault="00AD57FF" w:rsidP="00AD57F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NORMATIVIMA I STANDARDIMA ZA STICANJE SREDSTAVA IZ JAVNIH PRIHODA ZA USTANOVE KOJE REALIZUJU JAVNO VAŽEĆE OBRAZOVNE PROGRAME</w:t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D57FF" w:rsidRDefault="00AD57FF" w:rsidP="00AD57FF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66 od 19. novembra 2010, 41/13)</w:t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OSNOVNE ODREDBE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 pravilnika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se utvrđuju mjerila za formiranje odjeljenja i grupa, normativi i standardi za organizovanje savjetodavne službe, biblioteke, administrativno-računtovodstvene i tehničke službe i mjerila za vrednovanje materijalnih troškova u ustanovama koje realizuju javno važeće obrazovne programe u oblasti: predškolskog vaspitanja i obrazovanja, osnovnog obrazovanja i vaspitanja, opšteg srednjeg obrazovanja i vaspitanja, stručnog obrazovanja, vaspitanja i obrazovanja djece sa posebnim obrazovnim potrebama - resursni centar, obrazovanja odraslih, domovima učenika, odnosno domovima učenika i studenata i u obrazovnom centru (u daljem tekstu: ustanova), čime se obezbjeđuje ujednačenost kadrovskih, materijalnih i drugih uslova za ostvarivanje javno važećeg obrazovnog programa i godišnjeg plana rada, odnosno godišnjeg plana i programa rada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Normativi i standardi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Ustanova stiče sredstva iz javnih prihoda na osnovu normativa i standarda utvrđenih ovim pravilnikom i akta o organizaciji i sistematizaciji radnih mjesta.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Osnov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Broj izvršilaca utvrđen ovim pravilnikom određuje se na osnovu broja djece, učenika, odnosno polaznika, vaspitnih grupa sa cjelodnevnim boravkom djece koje su oruganizovane u skladu sa propisima, odnosno obrazovnim programom, ako ovim pravilnikom nije drugačije određeno.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Izuzetak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Izuzetno, kada nije moguće formirati odjeljenje, odnosno grupu u skladu sa odredbama ovog pravilnika, organ državne uprave, nadležan za poslove prosvjete (u daljem tekstu: Ministarstvo) može, na obrazložen zahtjev ustanove, odobriti formiranje odjeljenja, odnosno grupe i sa manjim brojem djece, učenika, odnosno polaznika.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MJERILA ZA FORMIRANJE ODJELJENJA I GRUPA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Predškolska ustanova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U vaspitnu grupu za primarni, kraći i specijalizovani program u ustanovi predškolskog vaspitanja i obrazovanja mogu biti uključena najviše dva djeteta sa posebnim obrazovnim potrebama.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ustanovi, iz stava 1 ovog člana, broj djece u vaspitnoj grupi za primarni program može se smanjiti do 10% u odnosu na broj djece u vaspitnoj grupi utvrđen zakonom, odnosno obrazovnim programom, ukoliko su u vaspitnu grupu uključena djeca sa posebnim obrazovnim potrebama.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djece u vaspitnoj grupi za kraći, specijalizovani i druge programe umanjuje se do 10% u odnosu na broj djece koji je utvrđen zakonom i tim programom, ukoliko su u vaspitnu grupu uključena djeca sa posebnim obrazovnim potrebama.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Ustanova osnovnog obrazovanja i vaspitanja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 ustanovi osnovnog obrazovanja i vaspitanja odjeljenje istog razreda može imati najmanje 26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(Stav 2. 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odjeljenje, odnosno grupu uključe učenici sa posebnim obrazovnim potrebama broj učenika u odjeljenju, odnosno grupi može se smanjiti do 10% u odnosu na najmanji broj učenika u odjeljenju, odnosno grupi utvrđen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odjeljenje se može uključiti najviše dva učenika sa posebnim obrazovnim potrebama od kojih je po pravilu jedno sa lakim a jedno sa težim smetnjama.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Kombinovano odjeljenje od dva razreda može imati najmanje pet učenika, od tri razreda najmanje osam učenika, a više od tri razreda najmanje 10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5 ovog člana za formiranje kombinovanih odjeljenja sa manje od pet učenika saglasnost daje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za izborne predmete u trećem ciklusu je, po pravilu, jednak broju učenika u odjeljenju, s tim da ne može biti manji od 20 učenika jednog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7 ovog člana, u ustanovi koja ima jedno, odnosno dva odjeljenja jednog razreda, mogu se formirati dvije, odnosno tri grupe za nastavu izbornih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 se uz saglasnost Ministarstva, mogu formirati i grupe od učenika različitih razreda ako se radi o grupi za izborni predmet čije izučavanje nije vezano za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st. 1 i 5 ovog člana, odjeljenje istog razreda za obrazovanje odraslih može se formirati sa najmanje 17 polaznika, a kombinovano odjeljenje sa najmanje 10 polaznika.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u ustanovi osnovnog muzičkog, odnosno baletskog obrazovanja, za solfeđo, instrumentalne odsjeke i balet je najmanje 10 učenika, za hor najmanje 16 učenika, a za orkestar najmanje 12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Ustanova opšteg srednjeg obrazovanja i vaspitanja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Odjeljenje istog razreda u opštoj gimnaziji može imati najmanje 26 učenika,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odjeljenje, odnosno grupu uključe učenici sa posebnim obrazovnim potrebama broj učenika u odjeljenju, odnosno grupi se može smanjiti do 10% u odnosu na najmanji broj učenika u odjeljenju, odnosno grupi utvrđen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odjeljenje se može uključiti najviše dva učenika sa posebnim obrazovnim potrebama od kojih je, po pravilu, jedan učenik sa lakim a jedan sa težim smetnjama, odnosno teškoćama u razvoju.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Odjeljenje maturskog tečaja, odnosno međunarodne mature u ustanovi, iz stava 1 ovog člana, može se formirati sa najmanje 20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Prilikom formiranja grupa u ustanovi, iz stava 1 ovog člana, za opšteobrazovne predmete broj učenika u grupi je jednak broju učenika u odjeljenju utvrđenim zakonom i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za izborne predmete je po pravilu, jednak broju učenika u odjeljenju, s tim da ne može biti manji od 20 učenika jednog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 koja ima jedno, odnosno dva odjeljenja jednog razreda mogu se formirati dvije, odnosno tri grupe za nastavu izbornih predmeta u tom razredu.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 se uz odobrenje Ministarstva, mogu formirati i grupe od učenika različitih razreda ako se radi o grupi za izborni predmet čije izučavanje nije vezano za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st. 6 i 7 ovog člana, ustanova može uz odobrenje Ministarstva, bez obzira na broj učenika u grupi za izborne predmete koji su dopuna maturskog standarda, da formira još: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šest grupa za izborne predmete, ako ukupno u ustanovi ima manje od pet odjeljenja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pet grupa za izborne predmete, ako ukupno u ustanovi ima manje od devet odjeljenja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četiri grupe za izborne predmete, ako ukupno u ustanovi ima manje od 13 odjeljenja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tri grupe za izborne predmete, ako ukupno u ustanovi ima manje od 17 odjeljenja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dvije grupe za izborne predmete, ako ukupno u ustanovi ima manje od 21 odjeljenja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jednu grupu za izborne predmete, ako ukupno u ustanovi ima 21 ili više odjeljenja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Zahtjev za odobravanje dodatnih grupa za izborne predmete iz stava 9 ovog člana ustanova je obavezna dostaviti Ministarstvu najkasnije sedam dana prije početka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Ustanove stručnog obrazovanja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Odjeljenje istog razreda u ustanovi stručnog obrazovanja za sve obrazovne programe može imati najmanje 26 učenika, odnosno 15 polaznika za obrazovne programe višeg stručnog obrazovanja,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Ministarstvo može odobriti formiranje odjeljenja sa manjim brojem učenika za deficitarna područja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Ako je raspisan konkurs za samo jedno odjeljenje određenog obrazovnog programa u Crnoj Gori, odjeljenje se </w:t>
      </w:r>
      <w:r>
        <w:rPr>
          <w:rStyle w:val="expand1"/>
          <w:vanish w:val="0"/>
          <w:color w:val="000000"/>
          <w:lang w:val="sr-Latn-CS"/>
        </w:rPr>
        <w:lastRenderedPageBreak/>
        <w:t>može formirati sa najmanje 20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odjeljenje, odnosno grupu uključe učenici sa posebnim obrazovnim potrebama, broj učenika u odjeljenju, odnosno grupi se može smanjiti do 10% u odnosu na najmanji broj učenika u odjeljenju, odnosno grupi utvrđen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odjeljenje se može uključiti najviše dva učenika sa posebnim obrazovnim potrebama od kojih je, po pravilu, jedan učenik sa lakim a jedan sa težim smetnjama, odnosno teškoćama u razvoju.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Prilikom formiranja grupa za opšteobrazovne predmete u ustanovi stručnog obrazovanja, od učenika odjeljenja istog razreda, grupa se formira do punog broja učenika u odjeljenju utvrđenog zakonom, s tim da broj učenika u grupi nije manji od 26.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za stručno teorijske predmete i praktičnu nastavu određuje se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za izborne predmete, po pravilu, je jednak broju učenika u odjeljenju, s tim da ne može biti manji od 20 učenika jednog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Grupa za izbornu nastavu može se formirati od učenika više odjeljenja istog razreda ili različitih razreda ako je predmetni program isti.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grupa za izbornu nastavu stranog jezika je za jedan veći od broja odjeljenja.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 koja ima jedno, odnosno dva odjeljenja jednog razreda mogu se formirati dvije, odnosno tri grupe za nastavu izbornih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učenika u grupi za praktično obrazovanje za pojedine obrazovne programe utvrđuje se tim programima, a ukoliko nije utvrđen programima broj učenika u grupi može biti manji za 30% od broja učenika utvrđenog u st. 8 i 9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ustanovi srednjeg muzičkog, odnosno baletskog obrazovanja broj učenika u grupi za solfeđo, instrumentalne odsjeke i balet je najmanje 10 učenika, za hor najmanje 16 učenika, a za orkestar najmanje 12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Obavezno dostavljanje podataka o formiranim grupama za izborne predmete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Ustanova je obavezna da najkasnije do 10. septembra dostavi Ministarstvu podatke o formiranim grupama za izborne predmete za tekuću školsku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Obrazovni centar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Na formiranje odjeljenja i grupa u obrazovnom centru shodno se primjenjuju odredbe ovog poglavlja pravilnika koje se odnose na predškolsko, osnovno, srednje opšte i srednje stručno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Dom učenika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Vaspitna grupa u domu učenika ima 32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vaspitna grupa sa manjim brojem učenika može se formirati uz odobrenje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vaspitnu grupu uključe učenici sa posebnim obrazovnim potrebama broj učenika u grupi se može smanjiti do 10% u odnosu na broj učenika utvrđen u stavu 1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Resursni centar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U resursnom centru broj djece u odjeljenju, odnosno vaspitnoj grupi je od šest do 10 u sklad.u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odjeljenje odnosno vaspitna grupa sa manjim brojem djece može se formirati uz odobrenje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djece sa posebnim obrazovnim potrebama u grupi za pojedine obrazovne programe utvrđuje se tim programom, s tim da ne može biti manji od polovine broja djece u odjeljenju utvrđenog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Obrazovanje odraslih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Na formiranje odjeljenja i grupa kod organizatora obrazovanja odraslih shodno se primjenjuju odredbe ovog poglavlja pravilnika koje se odnose na osnovno, srednje opšte i stručno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(Brisano)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Čl. 14-20</w:t>
      </w:r>
    </w:p>
    <w:p w:rsidR="00AD57FF" w:rsidRDefault="00AD57FF" w:rsidP="00AD57FF">
      <w:pP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color w:val="8A082A"/>
          <w:sz w:val="18"/>
          <w:szCs w:val="18"/>
          <w:lang w:val="sr-Latn-CS"/>
        </w:rPr>
        <w:t>     (Brisani)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MJERILA ZA ORGANIZOVANJE SAVJETODAVNE SLUŽBE I BIBLIOTEKE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a) STRUČNI SARADNICI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Pedagog, psiholog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6" w:name="clan21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Ustanova koja ima više od 450 učenika, odnosno djece ima pravo na jednog izvršioca na radnom mjestu pedagoga ili psihologa.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koja ima više od 1000 učenika, odnosno djece ima pravo na jednog izvršioca na radnom mjestu pedagoga i jednog izvršioca na radnom mjestu psihologa.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Dvije ili više ustanova koje zajedno ispunjavaju uslove u pogledu broja učenika, odnosno djece, iz stava 1 ovog člana, a koje se nalaze na teritoriji iste opštine, mogu imati jednog izvršioca na radnom mjestu pedagoga ili psihologa.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Resursni centar ima pravo na jednog izvršioca na radnom mjestu psihologa, a ako ima više od 100 učenika, odnosno djece ima pravo i na jednog izvršioca na radnom mjestu pedagoga.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Defektolog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28" w:name="clan22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Ustanovi koja izvodi inkluzivno obrazovanje može se odobriti jedan izvršilac na radnom mjestu defektologa različitog usmjerenja, u skladu sa obrazovnim programom i rješenjem o usmjeravanju učenika, odnosno djeteta.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Ustanovi, iz stava 1 ovog člana, koja ima posebno odjeljenje, odnosno grupu za realizaciju obrazovnog programa sa prilagođenim izvođenjem i dodatnom stručnom pomoći može se odobriti jedan izvršilac na radnom mjestu defektologa, u skladu sa obrazovnim programom i rješenjem o usmjeravanju.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Resursnom centru može se odobriti potreban broj izvršioca na radnom mjestu defektologa različitog usmjerenja, u skladu sa obrazovnim programom, brojem odjeljenja odnosno grupa i rješenjem o usmjeravanju djeteta.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Defektolog-logoped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30" w:name="clan23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Ustanova predškolskog vaspitanja i obrazovanja koja ima više od 16 djece sa govorno-jezičkim smetnjama, ima pravo na jednog izvršioca na radnom mjestu defektologa-logopeda, a ustanovi osnovnog obrazovanja i vaspitanja koja ima više od 28 učenika sa govorno-jezičkim smetnjama može se odobriti jedan izvršilac na radnom mjestu defektologa-logopeda.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Resursni centar ima pravo na jednog izvršioca na radnom mjestu defektologa- logopeda.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dvije, ili više ustanova koje pojedinačno ne ispunjavaju uslove iz stava 1 ovog člana, a nalaze se na teritoriji iste opštine, može se odobriti jedan izvršilac na radnom mjestu defektologa-logopeda.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Nutricionista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32" w:name="clan24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Ustanovi predškolskog vaspitanja i obrazovanja, resursnom centru i domu učenika koja ima kuhinju za pripremu hrane i ima više od 200 djece, odnosno učenika može se odobriti jedan izvršilac na radnom mjestu nutricioniste.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Dvjema ili više ustanova koje zajedno ispunjavaju uslove iz stava 1 ovog člana, a koje se nalaze na teritoriji iste opštine, može se odobriti jedan izvršilac na radnom mjestu nutricioniste.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Socijalni radnik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34" w:name="clan25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Resursnom centru može se odobriti 1 izvršilac na radnom mjestu socijalnog radnika, u zavisnosti od potreba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Biblioteka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36" w:name="clan26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Ustanova koja ima biblioteku sa više od 6000 knjiga, CD-a i drugih bibliotečkih zapisa u elektronskoj formi i više od 650 učenika, odnosno više od 1200 djece ima pravo na jednog izvršioca na radnom mjestu bibliotekara.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Ustanova koja ima manje od 650 učenika, odnosno manje od 1200 djece, može da angažuje nastavnika ili zaposlenog u administraciji škole, odnosno vaspitača ili zaposlenog u administraciji predškolske ustanove, koji nema normu časova utvrđenu zakonom, na radno mjesto bibliotekara sa polovinom radnog vremena kao dopunu do punog radnog vremena nastavnika, odnosno vaspitača, ili zaposlenog u administraciji škole odnosno predškolske ustanove </w:t>
      </w:r>
      <w:r>
        <w:rPr>
          <w:rStyle w:val="expand1"/>
          <w:vanish w:val="0"/>
          <w:color w:val="000000"/>
          <w:lang w:val="sr-Latn-CS"/>
        </w:rPr>
        <w:lastRenderedPageBreak/>
        <w:t>ako ispunjava uslove propisane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b) SARADNICI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Medicinska sestra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38" w:name="clan27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Ustanova predškolskog vaspitanja i obrazovanja na jednu vaspitnu grupu u poludnevnom boravku uzrasta djece do tri godine života ima pravo na jednog izvršioca na radnom mjestu medicinske sestre, odnosno dva izvršioca za vaspitnu grupu u cjelodnevnom boravku.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Ustanova, iz stava 1 ovog člana, na 110 djece (pet vaspitnih grupa) uzrasta od tri godine života do polaska u školu ima pravo na jednog izvršioca na radnom mjestu medicinske sestre (trijažna sestra).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Resursni centar ima pravo na jednog izvršioca na radnom mjestu medicinske sestre na 25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Fizioterapeut, odnosno psihomotomi reedukator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0" w:name="clan28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Resursni centar ima pravo na jednog izvršioca na radnom mjestu fizioterapeuta, ili psihomotornog reedukatora u zavisnosti od potreba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 MJERILA ZA ORGANIZOVANJA ADMINISTRATIVNO-RAČUNOVODSTVENE SLUŽBE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Sekretar, računovođa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2" w:name="clan29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Ustanova koja ima od 100 do 500 učenika, odnosno djece ima pravo na jednog izvršioca za obavljanje administrativnih i računovodstveno-finansijskih poslova.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koja ima više od 500 učenika, odnosno djece ima pravo na jednog izvršioca na radnom mjestu sekretara i jednog izvršioca na radnom mjestu računovođe.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Dvije ili više ustanova koje zajedno imaju do 100 učenika, odnosno djece imaju pravo na jednog izvršioca sa polovinom punog radnog vremena za obavljanje administrativnih i računovodstveno-finansijskih poslova.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Ekonom-magacioner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4" w:name="clan30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Ustanova koja ima više od 700 učenika, odnosno više od 650 djece, kuhinju za pripremu hrane i obavlja djelatnost u dva ili više objekata van sjedišta ustanove, ima pravo na jednog izvršioca na radnom mjestu ekonoma-magacionera.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Nabavljač-vozač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6" w:name="clan31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Ustanova predškolskog vaspitanja i obrazovanja, resursni centar i dom učenika i studenata (u daljem tekstu: dom učenika), koja ima više od 450 djece, učenika, odnosno korisnika koja obavlja djelatnost u dva ili više objekata van sjedišta ustanove, za nabavku, transport i distribuciju hrane ima pravo na jednog izvršioca na radnom mjestu nabavljača-vozača.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 i člana 30 ovog pravilnika, ustanova koja ne ispunjava uslove za radno mjesto ekonoma-magacionera i radno mjesto nabavljača-vozača ima pravo na jednog izvršioca na poslovima nabavke, transporta i distribucije hrane i poslovima ekonoma-magacionera.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 MJERILA ZA ORGANIZOVANJE TEHNIČKE SLUŽBE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održavanja objekta i opreme i poslovi grijanja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48" w:name="clan32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Ustanova koja ima sistem centralnog grijanja na tečna goriva, gas ili električnu energiju, ili se zagrijava pećima na električnu energiju ima pravo na jednog izvršioca za obavljanje poslova održavanja objekta i opreme i poslove grijanja.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koja ima do 500 učenika, odnosno djece i koja ima centralno grijanje na čvrsto gorivo, odnosno peći na čvrsto gorivo ima pravo na jednog izvršioca za obavljanje poslova održavanja objekta i opreme i poslove grijanja.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Ustanovi, iz stava 2 ovog člana, koja ima više od 500 učenika, odnosno djece i radi u jednoj, odnosno dvije smjene mogu se odobriti jedan, odnosno dva izvršioca za obavljanje poslova održavanja objekta i opreme i poslove grijanja.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Izuzetno od st. 1 i 2 ovog člana dvije ili više ustanova koje rade u istom objektu, imaju pravo na jednog izvršioca </w:t>
      </w:r>
      <w:r>
        <w:rPr>
          <w:rStyle w:val="expand1"/>
          <w:vanish w:val="0"/>
          <w:color w:val="000000"/>
          <w:lang w:val="sr-Latn-CS"/>
        </w:rPr>
        <w:lastRenderedPageBreak/>
        <w:t>na poslovima održavanja objekta i opreme i poslovima grijanja.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održavanja higijene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50" w:name="clan33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Ustanova osnovnog i srednjeg obrazovanja koja ima manje od 120 učenika, ima pravo na jednog izvršioca sa polovinom punog radnog vremena na poslovima održavanja higijene.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osnovnog i srednjeg obrazovanja i obrazovni centar koja ima više od 120 učenika ima pravo na jednog izvršioca na poslovima održavanja higijene na svakih daljih 120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predškolskog vaspitanja koja ima manje od 90 djece, odnosno učenika ima pravo na jednog izvršioca sa polovinom punog radnog vremena na poslovima održavanja higijene.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predškolskog vaspitanja koja ima više od 90 djece, ima pravo na jednog izvršioca na poslovima održavanja higijene na svakih daljih 90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Resursni centar koji ima do 80 djece ima pravo na dva izvršioca na poslovima održavanja higijene.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Resursni centar koji ima više od 80 djece ima pravo na jednog izvršioca na svakih daljih 50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Dom učenika koji ima do 80 korisnika ima pravo na dva izvršioca na poslovima održavanja higijene, a na svakih daljih 80 korisnika ima pravo na jednog izvršioca na poslovima održavanja higijene.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 iz st. 2 i 4 ovog člana može se odobriti najviše 10 izvršilaca na poslovima održavanja higijene.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Područna ustanova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52" w:name="clan34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Ustanovi se može odobriti jedan izvršilac sa polovinom punog radnog vremena na poslovima održavanja objekta i opreme, grijanja i održavanja higijene u područnom odjeljenju koje je udaljeno više od 3 km od sjedišta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Vozač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54" w:name="clan35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5" w:name="1028"/>
      <w:bookmarkEnd w:id="55"/>
      <w:r>
        <w:rPr>
          <w:rStyle w:val="expand1"/>
          <w:vanish w:val="0"/>
          <w:color w:val="000000"/>
          <w:lang w:val="sr-Latn-CS"/>
        </w:rPr>
        <w:t>     Ustanova koja ima vozilo za prevoz učenika i zaposlenih, gdje ne postoji redovna linija organizovanog prevoza, ima pravo na jednog izvršioca na radnom mjestu vozača.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kada zbog konfiguracije terena nije moguće organizovati prevoz učenika i zaposlenih jednim prevoznim sredstvom, na obrazložen zahtjev ustanove, Ministarstvo može odobriti dva izvršioca na radnom mjestu vozača.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Noćni čuvar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56" w:name="clan36"/>
      <w:bookmarkEnd w:id="5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29"/>
      <w:bookmarkEnd w:id="57"/>
      <w:r>
        <w:rPr>
          <w:rStyle w:val="expand1"/>
          <w:vanish w:val="0"/>
          <w:color w:val="000000"/>
          <w:lang w:val="sr-Latn-CS"/>
        </w:rPr>
        <w:t>     Resursni centar koji ima internat i dom učenika ima pravo na jednog izvršioca na radnom mjestu noćnog čuvara po objektu u kome borave djeca, odnosno učenici.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Portir, recepcioner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58" w:name="clan37"/>
      <w:bookmarkEnd w:id="5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9" w:name="1030"/>
      <w:bookmarkEnd w:id="59"/>
      <w:r>
        <w:rPr>
          <w:rStyle w:val="expand1"/>
          <w:vanish w:val="0"/>
          <w:color w:val="000000"/>
          <w:lang w:val="sr-Latn-CS"/>
        </w:rPr>
        <w:t>     Resursni centar, odnosno dom učenika ima pravo na jednog izvršioca na radnom mjestu portira. Dom učenika ima pravo na jednog izvršioca na radnom mjestu recepcionera.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održavanja rublja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0" w:name="clan38"/>
      <w:bookmarkEnd w:id="6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1" w:name="1031"/>
      <w:bookmarkEnd w:id="61"/>
      <w:r>
        <w:rPr>
          <w:rStyle w:val="expand1"/>
          <w:vanish w:val="0"/>
          <w:color w:val="000000"/>
          <w:lang w:val="sr-Latn-CS"/>
        </w:rPr>
        <w:t>     Ustanova predškolskog vaspitanja i obrazovanja, resursni centar i dom učenika, koja ima do 450 djece, odnosno učenika, ima pravo na jednog izvršioca na poslovima održavanja i pranja posteljnog i drugog rublja.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Ustanova, iz stava 1 ovog člana, koja ima preko 450 djece, odnosno učenika ima pravo na dva izvršioca na poslovima održavanja i pranja posteljnog i drugog rublja.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Ministarstvo zbog smanjenja troškova za obavljanje ovih poslova može angažovati agencije koje se bave poslovima održavanja i pranja posteljnog i drugog rublja.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pripremanja i serviranja hrane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2" w:name="clan39"/>
      <w:bookmarkEnd w:id="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3" w:name="1032"/>
      <w:bookmarkEnd w:id="63"/>
      <w:r>
        <w:rPr>
          <w:rStyle w:val="expand1"/>
          <w:vanish w:val="0"/>
          <w:color w:val="000000"/>
          <w:lang w:val="sr-Latn-CS"/>
        </w:rPr>
        <w:t xml:space="preserve">     Ustanova predškolskog vaspitanja i obrazovanja, obrazovni centar i resursni centar koja ima kuhinju za pripremu hrane ima pravo na dva izvršioca na poslovima pripremanja i serviranja hrane ako ima do 100 djece, odnosno učenika, odnosno tri izvršioca ako ima do 200 djece, odnosno učenika, a ako ima više od 200 djece, odnosno </w:t>
      </w:r>
      <w:r>
        <w:rPr>
          <w:rStyle w:val="expand1"/>
          <w:vanish w:val="0"/>
          <w:color w:val="000000"/>
          <w:lang w:val="sr-Latn-CS"/>
        </w:rPr>
        <w:lastRenderedPageBreak/>
        <w:t>učenika na svakih daljih 120 djece, odnosno učenika može se odobriti jedan izvršilac.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Osnovna škola koja ima organizovan produženi boravak i ima kuhinju za pripremu hrane ima pravo na jednog izvršioca na poslovima pripremanja i serviranja hrane.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Dom učenika koji ima do 100 korisnika ima pravo na dva izvršioca na poslovima pripremanja i serviranja hrane, odnosno tri izvršioca ako ima do 200 korisnika.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održavanja protetskih pomagala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4" w:name="clan40"/>
      <w:bookmarkEnd w:id="6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5" w:name="1033"/>
      <w:bookmarkEnd w:id="65"/>
      <w:r>
        <w:rPr>
          <w:rStyle w:val="expand1"/>
          <w:vanish w:val="0"/>
          <w:color w:val="000000"/>
          <w:lang w:val="sr-Latn-CS"/>
        </w:rPr>
        <w:t>     Za dva, ili više resursnih centara može se odobriti jedan izvršilac na radnom mjestu radnika na održavanju protetskih pomagala, u skladu sa potrebama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Domaćica, njegovateljica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6" w:name="clan41"/>
      <w:bookmarkEnd w:id="6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7" w:name="1034"/>
      <w:bookmarkEnd w:id="67"/>
      <w:r>
        <w:rPr>
          <w:rStyle w:val="expand1"/>
          <w:vanish w:val="0"/>
          <w:color w:val="000000"/>
          <w:lang w:val="sr-Latn-CS"/>
        </w:rPr>
        <w:t>     Resursni centar na 25 djece ima pravo na jednog izvršioca na radnom mjestu domaćice, ili njegovateljice, u skladu sa potrebama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Asistent u nastavi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68" w:name="clan42"/>
      <w:bookmarkEnd w:id="6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9" w:name="1035"/>
      <w:bookmarkEnd w:id="69"/>
      <w:r>
        <w:rPr>
          <w:rStyle w:val="expand1"/>
          <w:vanish w:val="0"/>
          <w:color w:val="000000"/>
          <w:lang w:val="sr-Latn-CS"/>
        </w:rPr>
        <w:t>     Ustanovi koja realizuje inkluzivnu nastavu i resursnom centru može se odobriti jedan izvršilac na radnom mjestu asistenta u nastavi u skladu sa rješenjem o usmjeravanju u obrazovni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Umjetničke škole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70" w:name="clan43"/>
      <w:bookmarkEnd w:id="7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1" w:name="1036"/>
      <w:bookmarkEnd w:id="71"/>
      <w:r>
        <w:rPr>
          <w:rStyle w:val="expand1"/>
          <w:vanish w:val="0"/>
          <w:color w:val="000000"/>
          <w:lang w:val="sr-Latn-CS"/>
        </w:rPr>
        <w:t>     Za dvije, ili više ustanova osnovnog, odnosno srednjeg umjetničkog obrazovanja može se odobriti jedan izvršilac na poslovima održavanja umjetničkih instrumenata.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Školski ICT koordinator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72" w:name="clan44"/>
      <w:bookmarkEnd w:id="7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3" w:name="1037"/>
      <w:bookmarkEnd w:id="73"/>
      <w:r>
        <w:rPr>
          <w:rStyle w:val="expand1"/>
          <w:vanish w:val="0"/>
          <w:color w:val="000000"/>
          <w:lang w:val="sr-Latn-CS"/>
        </w:rPr>
        <w:t>     Ustanovama se može odobriti radno mjesto školskog ICT koordinatora za kompletno vođenje ICT poslova u određenoj školi, (održavanje sistema, prijave kvarova, monitoring antivirus zaštite, animiranje i pomoć zaposlenima da koriste IC u nastavi, obuka zaposlenih za korišćenje ICT, pomoć zaposlenima u primjeni elektronskog didaktičkog materijala i sl.).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Područni ICT koordinator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74" w:name="clan45"/>
      <w:bookmarkEnd w:id="7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5" w:name="1038"/>
      <w:bookmarkEnd w:id="75"/>
      <w:r>
        <w:rPr>
          <w:rStyle w:val="expand1"/>
          <w:vanish w:val="0"/>
          <w:color w:val="000000"/>
          <w:lang w:val="sr-Latn-CS"/>
        </w:rPr>
        <w:t>     Područni ICT koordinator je školski ICT koordinator, koji osim u ustanovi u kojoj je zaposlen, obavlja poslove iz ICT oblasti za više škola sa određenog područja.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Ministarstvo određuje područne ICT koordinatore iz reda školskih ICT koordinatora.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Normiranje rada ICT koordinatora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76" w:name="clan46"/>
      <w:bookmarkEnd w:id="7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7" w:name="1039"/>
      <w:bookmarkEnd w:id="77"/>
      <w:r>
        <w:rPr>
          <w:rStyle w:val="expand1"/>
          <w:vanish w:val="0"/>
          <w:color w:val="000000"/>
          <w:lang w:val="sr-Latn-CS"/>
        </w:rPr>
        <w:t>     Školskom ICT koordinatoru norma se računa na sljedeći način: 10 časova za rad u ICT oblasti u školi sa više od 300 učenika, 5 časova za rad u ICT oblasti u školi sa manje od 300 učenika, 5 prekovremenih časova sedmično ako školski ICT koordinator radi u upravi ili administraciji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Područnom ICT koordinatoru norma je 15 časova za rad u ICT oblasti u području.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Organizator nastave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78" w:name="clan47"/>
      <w:bookmarkEnd w:id="7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9" w:name="1040"/>
      <w:bookmarkEnd w:id="79"/>
      <w:r>
        <w:rPr>
          <w:rStyle w:val="expand1"/>
          <w:vanish w:val="0"/>
          <w:color w:val="000000"/>
          <w:lang w:val="sr-Latn-CS"/>
        </w:rPr>
        <w:t>     Obrazovnom centru koji nema pomoćnika direktora može se odobriti jedan izvršilac sa nepunim radnim vremenom kao dopuna do norme nastavniku na poslovima organizatora nastave.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 stručnog obrazovanja može se odobriti jedan izvršilac na radnom mjestu organizatora praktičnog obrazovanja ako ima više od 70 učenika koji praktično obrazovanje, odnosno dio praktičkog obrazovanja ostvaruju kod poslodavca.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Uslov za veći broj izvršilaća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0" w:name="clan48"/>
      <w:bookmarkEnd w:id="8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8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8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1" w:name="1041"/>
      <w:bookmarkEnd w:id="81"/>
      <w:r>
        <w:rPr>
          <w:rStyle w:val="expand1"/>
          <w:vanish w:val="0"/>
          <w:color w:val="000000"/>
          <w:lang w:val="sr-Latn-CS"/>
        </w:rPr>
        <w:t>     Ustanovi se, na obrazložen zahtjev, pored broja izvršilaća utvrđenih normativima u čl. 21-42 ovog pravilnika, može odobriti najviše još jedan izvršilac na nekom radnom mjestu, ako Ministarstvo utvrdi da je to neophodno za nesmetano odvijanje procesa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 domu učenika koji ima više od 200 korisnika, pored broja izvršilaća utvrđenih normativima u čl. 29-39 ovog pravilnika, može se, u zavisnosti od broja korisnika, objekata i tehničko-tehnološke opremljenosti doma učenika, odobriti veći broj izvršilaća ako Ministarstvo utvrdi da je to neophodno za nesmetano odvijanje procesa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VII MJERILA ZA VREDNOVANJE MATERIJALNIH TROŠKOVA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materijal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2" w:name="clan49"/>
      <w:bookmarkEnd w:id="8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8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8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3" w:name="1042"/>
      <w:bookmarkEnd w:id="83"/>
      <w:r>
        <w:rPr>
          <w:rStyle w:val="expand1"/>
          <w:vanish w:val="0"/>
          <w:color w:val="000000"/>
          <w:lang w:val="sr-Latn-CS"/>
        </w:rPr>
        <w:t>     Troškovi za materijal, koji obuhvataju troškove nastave, nabavke pribora za izvođenje obrazovnog programa, sitnog inventara, kancelarijskog materijala, sredstva zaštite na radu, izdatke za pedagošku dokumentaciju, stručnu literaturu i časopise, utvrđuju se ustanovi u visini od 2% od neto zarada zaposlenih u ustanovi predškolskog vaspitanja i obrazovanja, osnovnog obrazovanja i vaspitanja, srednjeg opšteg obrazovanja i vaspitanja, resursnom centru i domu učenika odnosno 2% od neto zarada zaposlenih u ustanovi stručnog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ustanovi stručnog obrazovanja za područja rada: hernija, nemetali i grafičarstvo; mašinstvo i obrada metala; elektrotehnika; ugostiteljstvo; tekstilstvo i kozarstvo, lične usluge, umjetničko obrazovanje, šumarstvo i obrada drveta i njima slična područja rada, troškovi za materijal utvrđuju se u iznosu od 3%, a za područja rada: saobraćaj, zdravstvo i druga njima slična područja rada u iznosu od 4%.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službena putovanja, seminare i stručne ispite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4" w:name="clan50"/>
      <w:bookmarkEnd w:id="8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8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8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5" w:name="1043"/>
      <w:bookmarkEnd w:id="85"/>
      <w:r>
        <w:rPr>
          <w:rStyle w:val="expand1"/>
          <w:vanish w:val="0"/>
          <w:color w:val="000000"/>
          <w:lang w:val="sr-Latn-CS"/>
        </w:rPr>
        <w:t>     Troškovi za službena putovanja, seminare i polaganje stručnog ispita zaposlenih u ustanovi utvrđuju se u ustanovi u iznosu stvarnih troškova, a najviše do 0,5% od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stručno usavršavanje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6" w:name="clan51"/>
      <w:bookmarkEnd w:id="8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7" name="Picture 8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8" name="Picture 8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7" w:name="1044"/>
      <w:bookmarkEnd w:id="87"/>
      <w:r>
        <w:rPr>
          <w:rStyle w:val="expand1"/>
          <w:vanish w:val="0"/>
          <w:color w:val="000000"/>
          <w:lang w:val="sr-Latn-CS"/>
        </w:rPr>
        <w:t>     Troškovi za stručno usavršavanje zaposlenih u ustanovi utvrđuju se u ustanovi u iznosu stvarnih troškova, a najviše do 1% od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električnu energiju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88" w:name="clan52"/>
      <w:bookmarkEnd w:id="8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9" name="Picture 8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0" name="Picture 9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9" w:name="1045"/>
      <w:bookmarkEnd w:id="89"/>
      <w:r>
        <w:rPr>
          <w:rStyle w:val="expand1"/>
          <w:vanish w:val="0"/>
          <w:color w:val="000000"/>
          <w:lang w:val="sr-Latn-CS"/>
        </w:rPr>
        <w:t>     Godišnji troškovi za električnu energiju u osnovnim i srednjim školama određuju se na osnovu broja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izračunavanje godišnjih troškova električne energije za osvjetljenje po jednom učeniku u ustanovama osnovnog obrazovanja može se odobriti 74 kWh po jednom učeniku u matičnoj školi, a 89 kWh po jednom učeniku za srednje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Troškovi električne energije za osvjetljenje za predškolske ustanove, obrazovne centre, domove učenika i resursne centre određuju se kao i za srednje škole sa uvećanjem za 10%.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Ustanovama stručnog obrazovanja koje imaju radionice sa mašinama, odnosno uređajima sa pogonom na električnu energiju godišnje se odobrava 100 kWh po učeniku koji obavlja praksu u radionicama.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grijanja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90" w:name="clan53"/>
      <w:bookmarkEnd w:id="9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" name="Picture 9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" name="Picture 9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1" w:name="1046"/>
      <w:bookmarkEnd w:id="91"/>
      <w:r>
        <w:rPr>
          <w:rStyle w:val="expand1"/>
          <w:vanish w:val="0"/>
          <w:color w:val="000000"/>
          <w:lang w:val="sr-Latn-CS"/>
        </w:rPr>
        <w:t>     Za grijanje u osnovnim i srednjim školama koje se griju isključivo na električnu energiju, odobrava se godišnje 226 kWh po jednom učeniku.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troškovi nafte, lož ulja i plina u osnovnim i srednjim školama određuju se na osnovu ukupnog broja učenika u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troškovi za naftu i lož ulje određuju se na sljedeći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- 18,5 litara po jednom, učeniku za škole u prvoj klimatskoj zoni (opštine: Herceg Novi, Tivat, Budva, Bar, Kotor i Ulcinj);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- 29,6 litara po jednom učeniku za škole u drugoj klimatskoj zoni (opštine: Podgorica, Danilovgrad);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- 50 litara po jednom učeniku za škole u trećoj klimatskoj zoni (opštine: Pljevlja, Žabljak, Cetinje, Nikšić, Savnik, Plužine, Kolašin, Berane, Bijelo Polje, Plav, Rožaje, Andrijevica i Mojkovac). Godišnji troškovi za plin određuju se na </w:t>
      </w:r>
      <w:r>
        <w:rPr>
          <w:rStyle w:val="expand1"/>
          <w:vanish w:val="0"/>
          <w:color w:val="000000"/>
          <w:lang w:val="sr-Latn-CS"/>
        </w:rPr>
        <w:lastRenderedPageBreak/>
        <w:t>sljedeći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- 9,9 kilograma po jednom učeniku za škole u prvoj klimatskoj zoni (opštine: Herceg Novi, Tivat, Budva, Bar, Kotor i Ulcinj);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- 15,8 kilograma po jednom učeniku za škole u drugoj klimatskoj zoni (opštine: Podgorica, Danilovgrad);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- 21,8 kilograma po jednom učeniku za škole u trećoj klimatskoj zoni (opštine: Pljevlja, Žabljak, Cetinje, Nikšić, Savnik, Plužine, Kolašin, Berane, Bijelo Polje, Plav, Rožaje, Andrijevica i Mojkovac).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st. 3 i 4 ovog člana, za škole sa manje od 500 učenika normativ izračunat u st. 3 i 4 ovog člana se povećava množenjem sa korektivnim faktorom, odnosno normativ iz st. 3 i 4 ovog člana se množi sa razlikom broja 700 i broja učenika i dobijeni rezultat podijeli sa 200, tj: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700 - (broj učenika)/200</w:t>
      </w:r>
    </w:p>
    <w:p w:rsidR="00AD57FF" w:rsidRDefault="00AD57FF" w:rsidP="00AD57FF">
      <w:pP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color w:val="8A082A"/>
          <w:sz w:val="18"/>
          <w:szCs w:val="18"/>
          <w:lang w:val="sr-Latn-CS"/>
        </w:rPr>
        <w:t>     Za škole sa više od 1200 učenika normativ izračunat u st. 3 i 4 ovog člana se smanjuje množenjem sa korektivnim faktorom, odnosno normativ izračunat u st. 3 i 4 ovog člana se množi sa razlikom broja 2735 i broja učenika, a zatim podijeli sa 1535, tj: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2735 - (broj učenika)/1535</w:t>
      </w:r>
    </w:p>
    <w:p w:rsidR="00AD57FF" w:rsidRDefault="00AD57FF" w:rsidP="00AD57FF">
      <w:pP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color w:val="8A082A"/>
          <w:sz w:val="18"/>
          <w:szCs w:val="18"/>
          <w:lang w:val="sr-Latn-CS"/>
        </w:rPr>
        <w:t>     Godišnji troškovi za ugalj određuju se na osnovu broja odjeljenja u školi.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U ustanovama koje se griju samo na ugalj, za izračunavanje godišnjih troškova uglja primjenjuje se norma od 4,3 tone uglja po jednom odjeljenju u školi.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Godišnji troškovi za drva određuju se na osnovu broja područnih ustanova, broja odjeljenja u područnim ustanovama i broja odjeljenja u školi.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Za troškove za drva ustanovama koje imaju područne ustanove, ako se griju samo na drva, odobrava se 5 m3 po jednom odjeljenju u područnoj ustanovi.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Za prostorije van učionica u područnim ustanovama koje se griju samo na drva, a koje imaju više od dva odjeljenja odobrava se još 2 m 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Za izračunavanje godišnjih troškova za drva u školama koje nemaju područnih ustanova odobrava se 5 m3 po jednom odjeljenju škole i 5 m3 za zbornicu i ostale vannastavne prostorije.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Za izračunavanje godišnjih troškova drva u školama koje se griju samo na drva u školi i u područnim ustanovama sabiraju se pojedinačni godišnji troškovi.</w:t>
      </w:r>
      <w:r>
        <w:rPr>
          <w:rFonts w:ascii="Arial" w:hAnsi="Arial" w:cs="Arial"/>
          <w:color w:val="8A082A"/>
          <w:sz w:val="18"/>
          <w:szCs w:val="18"/>
          <w:lang w:val="sr-Latn-CS"/>
        </w:rPr>
        <w:br/>
        <w:t>     U ostalim ustanovama (predškolskim, obrazovnim centrima, domovima učenika i ustanovama za obrazovanje djece sa posebnim potrebama) godišnji troškovi grijanja se određuju po učeniku odnosno djetetu kao i u osnovnim i srednjim školama sa uvećanjem za 10%.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održavanja higijene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92" w:name="clan54"/>
      <w:bookmarkEnd w:id="9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" name="Picture 9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4" name="Picture 9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3" w:name="1047"/>
      <w:bookmarkEnd w:id="93"/>
      <w:r>
        <w:rPr>
          <w:rStyle w:val="expand1"/>
          <w:vanish w:val="0"/>
          <w:color w:val="000000"/>
          <w:lang w:val="sr-Latn-CS"/>
        </w:rPr>
        <w:t>     Troškovi održavanja higijene ustanovi odobravaju se u iznosu do 1% od neto zarada zaposlenih u ustanovi koja radi u jednoj smjeni, odnosno do 1,5% ako ustanova radi u dvije ili više smjena.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Troškovi održavanja higijene u ustanovi koja ima područne ustanove uvećavaju se u iznosu od 0,3% neto zarada zaposlenih po područnoj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ustanovi koja radi u jednoj, odnosno dvije smjene i ima kuhinju za pripremu hrane, troškovi održavanja higijene mogu se odobriti u iznosu do 2%, odnosno do 2, 5% od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Ustanovi, iz st. 1 i 2 ovog člana, koja ima organizovano pranje posteljnog i drugog rublja, mogu se odobriti i troškovi u iznosu od 1%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telefonske i poštanske usluge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94" w:name="clan55"/>
      <w:bookmarkEnd w:id="9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5" name="Picture 9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6" name="Picture 9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5" w:name="1048"/>
      <w:bookmarkEnd w:id="95"/>
      <w:r>
        <w:rPr>
          <w:rStyle w:val="expand1"/>
          <w:vanish w:val="0"/>
          <w:color w:val="000000"/>
          <w:lang w:val="sr-Latn-CS"/>
        </w:rPr>
        <w:t>     Troškovi za telefonske i poštanske usluge utvrđuju se u ustanovi u iznosu stvarnih troškova, a najviše do 1% od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tekuće održavanje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96" w:name="clan56"/>
      <w:bookmarkEnd w:id="9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7" name="Picture 9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8" name="Picture 9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7" w:name="1049"/>
      <w:bookmarkEnd w:id="97"/>
      <w:r>
        <w:rPr>
          <w:rStyle w:val="expand1"/>
          <w:vanish w:val="0"/>
          <w:color w:val="000000"/>
          <w:lang w:val="sr-Latn-CS"/>
        </w:rPr>
        <w:t>     Troškovi za tekuće održavanje, koji obuhvataju krečenje, farbanje, zamjenu polomljenih stakala, brava, sitnije opravke na elektro i vodovodnim instalacijama i druge opravke neophodne za redovno održavanje objekta i opreme i sredstava rada radi osiguranja redovnog funkcionisanja ustanove, utvrđuju se u ustanovi u iznosu od 2% od neto zarada zaposlenih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osiguranja i bankarske provizije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98" w:name="clan57"/>
      <w:bookmarkEnd w:id="9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9" name="Picture 9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0" name="Picture 10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9" w:name="1050"/>
      <w:bookmarkEnd w:id="99"/>
      <w:r>
        <w:rPr>
          <w:rStyle w:val="expand1"/>
          <w:vanish w:val="0"/>
          <w:color w:val="000000"/>
          <w:lang w:val="sr-Latn-CS"/>
        </w:rPr>
        <w:lastRenderedPageBreak/>
        <w:t>     Troškovi osiguranja objekta i opreme mogu se utvrditi ustanovi u iznosu stvarnih troškova, uz saglasnost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Troškovi bankarske provizije utvrđuju se u ustanovi u iznosu stvarnih troškova.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ljekarskog pregleda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0" w:name="clan58"/>
      <w:bookmarkEnd w:id="10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1" name="Picture 10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2" name="Picture 10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1" w:name="1051"/>
      <w:bookmarkEnd w:id="101"/>
      <w:r>
        <w:rPr>
          <w:rStyle w:val="expand1"/>
          <w:vanish w:val="0"/>
          <w:color w:val="000000"/>
          <w:lang w:val="sr-Latn-CS"/>
        </w:rPr>
        <w:t>     Troškovi obaveznog ljekarskog pregleda nastavnika i drugih zaposlenih u ustanovi koji rade neposredno sa djecom, odnosno učenicima utvrđuju se u ustanovi u iznosu stvarnih troškova izvršenu uslugu javne zdravstvene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korišćenje komunalnih usluga i vode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2" w:name="clan59"/>
      <w:bookmarkEnd w:id="10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3" name="Picture 10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4" name="Picture 10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3" w:name="1052"/>
      <w:bookmarkEnd w:id="103"/>
      <w:r>
        <w:rPr>
          <w:rStyle w:val="expand1"/>
          <w:vanish w:val="0"/>
          <w:color w:val="000000"/>
          <w:lang w:val="sr-Latn-CS"/>
        </w:rPr>
        <w:t>     Troškovi za korišćenje komunalnih usluga, koje obuhvataju odvoz smeća, kanalizaciju i druge komunalne usluge, utvrđuju se u ustanovi u iznosu stvarnih troškova.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troškovi za vodu određuju se u iznosu od 5 m3 vode po jednom učeniku, odnosno djetetu.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za korišćenje vozila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4" w:name="clan60"/>
      <w:bookmarkEnd w:id="10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5" name="Picture 10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6" name="Picture 10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5" w:name="1053"/>
      <w:bookmarkEnd w:id="105"/>
      <w:r>
        <w:rPr>
          <w:rStyle w:val="expand1"/>
          <w:vanish w:val="0"/>
          <w:color w:val="000000"/>
          <w:lang w:val="sr-Latn-CS"/>
        </w:rPr>
        <w:t>     Troškovi za korišćenje vozila za prevoz učenika i zaposlenih, odnosno za korišćenje vozila za prevoz robe, koji obuhvataju troškove za gorivo i održavanje određuju se u iznosu od 0,3% od neto zarada zaposlenih u ustanovi, a troškovi za registraciju vozila određuju se u iznosu stvarnih troškova za izvršenu uslugu.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Ustanovi stručnog obrazovanja troškovi za izvođenje praktičnog obrazovanja u saobraćajnoj struci utvrđuje se na osnovu cijene goriva pomnožene sa količinom neophodnom za obuku učenika (1,5 litara goriva po času).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Troškovi za izvođenje praktičnog obrazovanja u poljoprivrednoj struci utvrđuju se u ustanovi stručnog obrazovanja na osnovu cijene dizel goriva pomnožene sa količinom neophodnom za obuku učenika (2 litra goriva po času).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Nadoknada u slučajevima davanja prostorija u zakup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6" w:name="clan61"/>
      <w:bookmarkEnd w:id="10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7" name="Picture 10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8" name="Picture 10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7" w:name="1054"/>
      <w:bookmarkEnd w:id="107"/>
      <w:r>
        <w:rPr>
          <w:rStyle w:val="expand1"/>
          <w:vanish w:val="0"/>
          <w:color w:val="000000"/>
          <w:lang w:val="sr-Latn-CS"/>
        </w:rPr>
        <w:t>     Troškovi vode, električne energije, higijene i grijanja koji nastanu u vrijeme davanja u zakup ili na korišćenje prostorija i sportskih terena ustanova, ne nadoknađuju se od strane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sredstava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08" w:name="clan62"/>
      <w:bookmarkEnd w:id="10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9" name="Picture 10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0" name="Picture 1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9" w:name="1055"/>
      <w:bookmarkEnd w:id="109"/>
      <w:r>
        <w:rPr>
          <w:rStyle w:val="expand1"/>
          <w:vanish w:val="0"/>
          <w:color w:val="000000"/>
          <w:lang w:val="sr-Latn-CS"/>
        </w:rPr>
        <w:t>     Sredstva za materijalne troškove utvrđuju se u ustanovi za fiskalnu godinu, a isplaćuju se mjesečno.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Dostavljanje podataka za materijalne troškove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10" w:name="clan63"/>
      <w:bookmarkEnd w:id="1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1" name="Picture 1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2" name="Picture 1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1" w:name="1056"/>
      <w:bookmarkEnd w:id="111"/>
      <w:r>
        <w:rPr>
          <w:rStyle w:val="expand1"/>
          <w:vanish w:val="0"/>
          <w:color w:val="000000"/>
          <w:lang w:val="sr-Latn-CS"/>
        </w:rPr>
        <w:t>     Ustanova je dužna da najkasnije do 15. jula tekuće godine dostavi Ministarstvu odgovarajuću dokumentaciju za utvrđivanje sredstava za materijalne troškove za narednu fiskalnu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Obavezno dostavljanje akta o sistematizaciji radnih mjesta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12" w:name="clan64"/>
      <w:bookmarkEnd w:id="1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3" name="Picture 1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4" name="Picture 1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3" w:name="1057"/>
      <w:bookmarkEnd w:id="113"/>
      <w:r>
        <w:rPr>
          <w:rStyle w:val="expand1"/>
          <w:vanish w:val="0"/>
          <w:color w:val="000000"/>
          <w:lang w:val="sr-Latn-CS"/>
        </w:rPr>
        <w:t>     Ukoliko u ustanovi dođe do potrebe promjene broja izvršilaca nastavnog, odnosno vannastavnog osoblja, ustanova je dužna da dostavi Ministarstvu akt o organizaciji i sistematizaciji radnih mjesta, najkasnije u roku od 15 dana od dana nastanka izmjene, radi davanja saglasnosti.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VIII PRELAZNE I ZAVRŠNE ODREDBE</w:t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14" w:name="clan6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5" name="Picture 1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6" name="Picture 1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5" w:name="1058"/>
      <w:bookmarkEnd w:id="115"/>
      <w:r>
        <w:rPr>
          <w:rStyle w:val="expand1"/>
          <w:vanish w:val="0"/>
          <w:color w:val="000000"/>
          <w:lang w:val="sr-Latn-CS"/>
        </w:rPr>
        <w:t>     Ustanova je dužna da u roku od 30 dana od dana stupanja na snagu ovog pravilnika donese akt o organizaciji i sistematizaciji radnih mjesta u skladu sa normativima i standardima utvrđenim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Obaveza ustanova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bookmarkEnd w:id="114"/>
    <w:p w:rsidR="00AD57FF" w:rsidRDefault="00AD57FF" w:rsidP="00AD57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65a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7" name="Picture 1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8" name="Picture 1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6" w:name="1059"/>
      <w:bookmarkEnd w:id="116"/>
      <w:r>
        <w:rPr>
          <w:rStyle w:val="expand1"/>
          <w:vanish w:val="0"/>
          <w:color w:val="000000"/>
          <w:lang w:val="sr-Latn-CS"/>
        </w:rPr>
        <w:t>     Ustanova je dužna da u roku od 15 dana od dana stupanja na snagu ovog pravilnika donese akt o organizaciji i sistematizaciji radnih mjesta u skladu sa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važnosti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17" w:name="clan66"/>
      <w:bookmarkEnd w:id="11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9" name="Picture 1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0" name="Picture 1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FF" w:rsidRDefault="00AD57FF" w:rsidP="00AD57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8" w:name="1060"/>
      <w:bookmarkEnd w:id="118"/>
      <w:r>
        <w:rPr>
          <w:rStyle w:val="expand1"/>
          <w:vanish w:val="0"/>
          <w:color w:val="000000"/>
          <w:lang w:val="sr-Latn-CS"/>
        </w:rPr>
        <w:t>     Danom stupanja na snagu ovog pravilnika, prestaje da važi Pravilnik o normativima i standardima za sticanje sredstava iz javnih prihoda za ustanove koje realizuju javno važeće obrazovne programe ("Službeni list CG", broj 36/09).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57FF" w:rsidRDefault="00AD57FF" w:rsidP="00AD57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AD57FF" w:rsidRDefault="00AD57FF" w:rsidP="00AD57FF">
      <w:pPr>
        <w:rPr>
          <w:rStyle w:val="expand1"/>
          <w:vanish w:val="0"/>
          <w:color w:val="000000"/>
        </w:rPr>
      </w:pPr>
    </w:p>
    <w:p w:rsidR="00AD57FF" w:rsidRDefault="00AD57FF" w:rsidP="00AD57FF">
      <w:pPr>
        <w:jc w:val="center"/>
      </w:pPr>
      <w:bookmarkStart w:id="119" w:name="clan67"/>
      <w:bookmarkEnd w:id="11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1" name="Picture 1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2" name="Picture 1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AD57FF" w:rsidP="00AD57FF">
      <w:bookmarkStart w:id="120" w:name="1061"/>
      <w:bookmarkEnd w:id="120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01-5225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15. novembar 2010.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57FF"/>
    <w:rsid w:val="0094034F"/>
    <w:rsid w:val="009B4CCA"/>
    <w:rsid w:val="00AD57FF"/>
    <w:rsid w:val="00F9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D57F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57F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paragraph" w:customStyle="1" w:styleId="view-body">
    <w:name w:val="view-body"/>
    <w:basedOn w:val="Normal"/>
    <w:rsid w:val="00AD57FF"/>
    <w:pPr>
      <w:pBdr>
        <w:top w:val="single" w:sz="6" w:space="0" w:color="E5E1C1"/>
        <w:left w:val="single" w:sz="6" w:space="0" w:color="C5C1A1"/>
      </w:pBdr>
      <w:shd w:val="clear" w:color="auto" w:fill="FFFEFD"/>
      <w:spacing w:before="100" w:beforeAutospacing="1" w:after="100" w:afterAutospacing="1"/>
    </w:pPr>
  </w:style>
  <w:style w:type="paragraph" w:customStyle="1" w:styleId="txt12">
    <w:name w:val="txt12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txt12b">
    <w:name w:val="txt12b"/>
    <w:basedOn w:val="Normal"/>
    <w:rsid w:val="00AD57F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bold12">
    <w:name w:val="bold12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black12">
    <w:name w:val="black12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black-bold12">
    <w:name w:val="black-bold12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color w:val="333333"/>
      <w:sz w:val="18"/>
      <w:szCs w:val="18"/>
    </w:rPr>
  </w:style>
  <w:style w:type="paragraph" w:customStyle="1" w:styleId="txt11">
    <w:name w:val="txt11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850000"/>
      <w:sz w:val="17"/>
      <w:szCs w:val="17"/>
    </w:rPr>
  </w:style>
  <w:style w:type="paragraph" w:customStyle="1" w:styleId="bold11">
    <w:name w:val="bold11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color w:val="850000"/>
      <w:sz w:val="17"/>
      <w:szCs w:val="17"/>
    </w:rPr>
  </w:style>
  <w:style w:type="paragraph" w:customStyle="1" w:styleId="unos11">
    <w:name w:val="unos11"/>
    <w:basedOn w:val="Normal"/>
    <w:rsid w:val="00AD57FF"/>
    <w:pPr>
      <w:spacing w:before="100" w:beforeAutospacing="1" w:after="100" w:afterAutospacing="1"/>
      <w:jc w:val="right"/>
    </w:pPr>
    <w:rPr>
      <w:rFonts w:ascii="Arial" w:hAnsi="Arial" w:cs="Arial"/>
      <w:b/>
      <w:bCs/>
      <w:color w:val="850000"/>
      <w:sz w:val="17"/>
      <w:szCs w:val="17"/>
    </w:rPr>
  </w:style>
  <w:style w:type="paragraph" w:customStyle="1" w:styleId="slovo">
    <w:name w:val="slovo"/>
    <w:basedOn w:val="Normal"/>
    <w:rsid w:val="00AD57F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7E5"/>
      <w:spacing w:before="100" w:beforeAutospacing="1" w:after="100" w:after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header">
    <w:name w:val="header"/>
    <w:basedOn w:val="Normal"/>
    <w:rsid w:val="00AD57FF"/>
    <w:pPr>
      <w:shd w:val="clear" w:color="auto" w:fill="E5E1C1"/>
      <w:spacing w:before="75" w:after="100" w:afterAutospacing="1"/>
      <w:ind w:right="30"/>
    </w:pPr>
  </w:style>
  <w:style w:type="paragraph" w:customStyle="1" w:styleId="header11">
    <w:name w:val="header11"/>
    <w:basedOn w:val="Normal"/>
    <w:rsid w:val="00AD57FF"/>
    <w:pPr>
      <w:shd w:val="clear" w:color="auto" w:fill="850000"/>
      <w:spacing w:before="100" w:beforeAutospacing="1" w:after="100" w:afterAutospacing="1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header11h">
    <w:name w:val="header11h"/>
    <w:basedOn w:val="Normal"/>
    <w:rsid w:val="00AD57FF"/>
    <w:pPr>
      <w:shd w:val="clear" w:color="auto" w:fill="850000"/>
      <w:spacing w:before="100" w:beforeAutospacing="1" w:after="45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lock">
    <w:name w:val="block"/>
    <w:basedOn w:val="Normal"/>
    <w:rsid w:val="00AD57FF"/>
    <w:pPr>
      <w:pBdr>
        <w:top w:val="single" w:sz="6" w:space="0" w:color="EAE1B6"/>
        <w:left w:val="single" w:sz="6" w:space="0" w:color="EAE1B6"/>
        <w:bottom w:val="single" w:sz="6" w:space="0" w:color="EAE1B6"/>
        <w:right w:val="single" w:sz="6" w:space="0" w:color="EAE1B6"/>
      </w:pBdr>
      <w:shd w:val="clear" w:color="auto" w:fill="FAF1C6"/>
    </w:pPr>
  </w:style>
  <w:style w:type="paragraph" w:customStyle="1" w:styleId="pager">
    <w:name w:val="pager"/>
    <w:basedOn w:val="Normal"/>
    <w:rsid w:val="00AD57FF"/>
    <w:pPr>
      <w:pBdr>
        <w:top w:val="single" w:sz="6" w:space="0" w:color="C5C1A1"/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E5E1C1"/>
    </w:pPr>
    <w:rPr>
      <w:rFonts w:ascii="Arial" w:hAnsi="Arial" w:cs="Arial"/>
      <w:b/>
      <w:bCs/>
      <w:sz w:val="17"/>
      <w:szCs w:val="17"/>
    </w:rPr>
  </w:style>
  <w:style w:type="paragraph" w:customStyle="1" w:styleId="pager1">
    <w:name w:val="pager1"/>
    <w:basedOn w:val="Normal"/>
    <w:rsid w:val="00AD57FF"/>
    <w:pPr>
      <w:pBdr>
        <w:top w:val="single" w:sz="6" w:space="0" w:color="C5C1A1"/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E5E1C1"/>
      <w:spacing w:before="15"/>
    </w:pPr>
    <w:rPr>
      <w:rFonts w:ascii="Arial" w:hAnsi="Arial" w:cs="Arial"/>
      <w:b/>
      <w:bCs/>
      <w:sz w:val="17"/>
      <w:szCs w:val="17"/>
    </w:rPr>
  </w:style>
  <w:style w:type="paragraph" w:customStyle="1" w:styleId="info">
    <w:name w:val="info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err">
    <w:name w:val="err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red">
    <w:name w:val="red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bordo">
    <w:name w:val="bordo"/>
    <w:basedOn w:val="Normal"/>
    <w:rsid w:val="00AD57FF"/>
    <w:pPr>
      <w:shd w:val="clear" w:color="auto" w:fill="8F0D2F"/>
      <w:spacing w:before="100" w:beforeAutospacing="1" w:after="100" w:afterAutospacing="1"/>
    </w:pPr>
  </w:style>
  <w:style w:type="paragraph" w:customStyle="1" w:styleId="db-name">
    <w:name w:val="db-name"/>
    <w:basedOn w:val="Normal"/>
    <w:rsid w:val="00AD57FF"/>
    <w:pPr>
      <w:shd w:val="clear" w:color="auto" w:fill="8F0D2F"/>
      <w:spacing w:before="100" w:beforeAutospacing="1" w:after="100" w:afterAutospacing="1"/>
    </w:pPr>
    <w:rPr>
      <w:rFonts w:ascii="Arial" w:hAnsi="Arial" w:cs="Arial"/>
      <w:b/>
      <w:bCs/>
      <w:color w:val="FAF2BF"/>
      <w:sz w:val="17"/>
      <w:szCs w:val="17"/>
    </w:rPr>
  </w:style>
  <w:style w:type="paragraph" w:customStyle="1" w:styleId="db-name-a">
    <w:name w:val="db-name-a"/>
    <w:basedOn w:val="Normal"/>
    <w:rsid w:val="00AD57FF"/>
    <w:pPr>
      <w:shd w:val="clear" w:color="auto" w:fill="8F0D2F"/>
      <w:spacing w:before="100" w:beforeAutospacing="1" w:after="100" w:afterAutospacing="1"/>
    </w:pPr>
    <w:rPr>
      <w:rFonts w:ascii="Arial" w:hAnsi="Arial" w:cs="Arial"/>
      <w:b/>
      <w:bCs/>
      <w:color w:val="FFCC00"/>
      <w:sz w:val="17"/>
      <w:szCs w:val="17"/>
    </w:rPr>
  </w:style>
  <w:style w:type="paragraph" w:customStyle="1" w:styleId="verzija">
    <w:name w:val="verzija"/>
    <w:basedOn w:val="Normal"/>
    <w:rsid w:val="00AD57FF"/>
    <w:pPr>
      <w:shd w:val="clear" w:color="auto" w:fill="8F0D2F"/>
      <w:spacing w:before="100" w:beforeAutospacing="1" w:after="100" w:afterAutospacing="1"/>
    </w:pPr>
    <w:rPr>
      <w:rFonts w:ascii="Arial" w:hAnsi="Arial" w:cs="Arial"/>
      <w:color w:val="FAF2BF"/>
      <w:sz w:val="15"/>
      <w:szCs w:val="15"/>
    </w:rPr>
  </w:style>
  <w:style w:type="paragraph" w:customStyle="1" w:styleId="tekst-id">
    <w:name w:val="tekst-id"/>
    <w:basedOn w:val="Normal"/>
    <w:rsid w:val="00AD57FF"/>
    <w:pPr>
      <w:pBdr>
        <w:top w:val="single" w:sz="6" w:space="0" w:color="D5D1B1"/>
        <w:left w:val="single" w:sz="6" w:space="0" w:color="D5D1B1"/>
      </w:pBd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sentenca">
    <w:name w:val="sentenca"/>
    <w:basedOn w:val="Normal"/>
    <w:rsid w:val="00AD57FF"/>
    <w:pPr>
      <w:pBdr>
        <w:top w:val="single" w:sz="6" w:space="0" w:color="D5D1B1"/>
        <w:left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history">
    <w:name w:val="history"/>
    <w:basedOn w:val="Normal"/>
    <w:rsid w:val="00AD57FF"/>
    <w:pPr>
      <w:pBdr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history2">
    <w:name w:val="history2"/>
    <w:basedOn w:val="Normal"/>
    <w:rsid w:val="00AD57FF"/>
    <w:pPr>
      <w:pBdr>
        <w:bottom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order">
    <w:name w:val="border"/>
    <w:basedOn w:val="Normal"/>
    <w:rsid w:val="00AD57FF"/>
    <w:pPr>
      <w:pBdr>
        <w:top w:val="single" w:sz="6" w:space="0" w:color="D5D1B1"/>
        <w:left w:val="single" w:sz="6" w:space="0" w:color="D5D1B1"/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color w:val="850000"/>
      <w:sz w:val="17"/>
      <w:szCs w:val="17"/>
    </w:rPr>
  </w:style>
  <w:style w:type="paragraph" w:customStyle="1" w:styleId="blackborder">
    <w:name w:val="blackborder"/>
    <w:basedOn w:val="Normal"/>
    <w:rsid w:val="00AD57FF"/>
    <w:pPr>
      <w:pBdr>
        <w:top w:val="single" w:sz="6" w:space="0" w:color="D5D1B1"/>
        <w:left w:val="single" w:sz="6" w:space="0" w:color="D5D1B1"/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pointer12">
    <w:name w:val="pointer12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blackpointer12">
    <w:name w:val="blackpointer12"/>
    <w:basedOn w:val="Normal"/>
    <w:rsid w:val="00AD57FF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boldpointer12">
    <w:name w:val="boldpointer12"/>
    <w:basedOn w:val="Normal"/>
    <w:rsid w:val="00AD57FF"/>
    <w:pPr>
      <w:spacing w:before="100" w:beforeAutospacing="1" w:after="100" w:afterAutospacing="1"/>
    </w:pPr>
    <w:rPr>
      <w:rFonts w:ascii="Arial" w:hAnsi="Arial" w:cs="Arial"/>
      <w:b/>
      <w:bCs/>
      <w:color w:val="333333"/>
      <w:sz w:val="18"/>
      <w:szCs w:val="18"/>
    </w:rPr>
  </w:style>
  <w:style w:type="paragraph" w:customStyle="1" w:styleId="mark">
    <w:name w:val="mark"/>
    <w:basedOn w:val="Normal"/>
    <w:rsid w:val="00AD57FF"/>
    <w:pPr>
      <w:shd w:val="clear" w:color="auto" w:fill="FFFF00"/>
      <w:spacing w:before="100" w:beforeAutospacing="1" w:after="100" w:afterAutospacing="1"/>
    </w:pPr>
    <w:rPr>
      <w:color w:val="850000"/>
    </w:rPr>
  </w:style>
  <w:style w:type="paragraph" w:customStyle="1" w:styleId="titlem1">
    <w:name w:val="titlem1"/>
    <w:basedOn w:val="Normal"/>
    <w:rsid w:val="00AD57FF"/>
    <w:pPr>
      <w:shd w:val="clear" w:color="auto" w:fill="E5E1C1"/>
      <w:spacing w:before="240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itlem2">
    <w:name w:val="titlem2"/>
    <w:basedOn w:val="Normal"/>
    <w:rsid w:val="00AD57FF"/>
    <w:pPr>
      <w:shd w:val="clear" w:color="auto" w:fill="E5E1C1"/>
      <w:spacing w:before="24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itle0">
    <w:name w:val="title"/>
    <w:basedOn w:val="Normal"/>
    <w:rsid w:val="00AD57FF"/>
    <w:pPr>
      <w:shd w:val="clear" w:color="auto" w:fill="E5E1C1"/>
      <w:spacing w:before="120" w:after="30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menudiv1">
    <w:name w:val="menudiv1"/>
    <w:basedOn w:val="Normal"/>
    <w:rsid w:val="00AD57FF"/>
    <w:pPr>
      <w:pBdr>
        <w:left w:val="single" w:sz="6" w:space="0" w:color="C5C1A1"/>
        <w:bottom w:val="single" w:sz="6" w:space="0" w:color="C5C1A1"/>
        <w:right w:val="single" w:sz="6" w:space="0" w:color="C5C1A1"/>
      </w:pBdr>
      <w:spacing w:before="100" w:beforeAutospacing="1" w:after="100" w:afterAutospacing="1"/>
    </w:pPr>
  </w:style>
  <w:style w:type="paragraph" w:customStyle="1" w:styleId="menudiv2">
    <w:name w:val="menudiv2"/>
    <w:basedOn w:val="Normal"/>
    <w:rsid w:val="00AD57FF"/>
    <w:pPr>
      <w:pBdr>
        <w:left w:val="single" w:sz="6" w:space="0" w:color="C5C1A1"/>
        <w:bottom w:val="single" w:sz="6" w:space="0" w:color="C5C1A1"/>
        <w:right w:val="single" w:sz="6" w:space="0" w:color="C5C1A1"/>
      </w:pBdr>
      <w:spacing w:before="100" w:beforeAutospacing="1" w:after="100" w:afterAutospacing="1"/>
    </w:pPr>
  </w:style>
  <w:style w:type="paragraph" w:customStyle="1" w:styleId="menutitle">
    <w:name w:val="menutitle"/>
    <w:basedOn w:val="Normal"/>
    <w:rsid w:val="00AD57FF"/>
    <w:pPr>
      <w:shd w:val="clear" w:color="auto" w:fill="FFFEFD"/>
      <w:spacing w:before="100" w:before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submenu">
    <w:name w:val="submenu"/>
    <w:basedOn w:val="Normal"/>
    <w:rsid w:val="00AD57FF"/>
    <w:pPr>
      <w:spacing w:before="100" w:beforeAutospacing="1" w:after="100" w:afterAutospacing="1"/>
    </w:pPr>
    <w:rPr>
      <w:sz w:val="18"/>
      <w:szCs w:val="18"/>
    </w:rPr>
  </w:style>
  <w:style w:type="paragraph" w:customStyle="1" w:styleId="masterdiv">
    <w:name w:val="masterdiv"/>
    <w:basedOn w:val="Normal"/>
    <w:rsid w:val="00AD57FF"/>
    <w:pPr>
      <w:spacing w:before="120" w:after="120"/>
      <w:ind w:left="120" w:right="120"/>
    </w:pPr>
  </w:style>
  <w:style w:type="paragraph" w:customStyle="1" w:styleId="blank-bg">
    <w:name w:val="blank-bg"/>
    <w:basedOn w:val="Normal"/>
    <w:rsid w:val="00AD57FF"/>
    <w:pPr>
      <w:shd w:val="clear" w:color="auto" w:fill="FFFEFD"/>
      <w:spacing w:before="100" w:beforeAutospacing="1" w:after="100" w:afterAutospacing="1"/>
    </w:pPr>
  </w:style>
  <w:style w:type="paragraph" w:customStyle="1" w:styleId="login-bg">
    <w:name w:val="login-bg"/>
    <w:basedOn w:val="Normal"/>
    <w:rsid w:val="00AD57FF"/>
    <w:pPr>
      <w:shd w:val="clear" w:color="auto" w:fill="E5E1C1"/>
      <w:spacing w:before="100" w:beforeAutospacing="1" w:after="100" w:afterAutospacing="1"/>
    </w:pPr>
  </w:style>
  <w:style w:type="paragraph" w:customStyle="1" w:styleId="login-form">
    <w:name w:val="login-form"/>
    <w:basedOn w:val="Normal"/>
    <w:rsid w:val="00AD57FF"/>
    <w:pPr>
      <w:pBdr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FFFFFF"/>
      <w:spacing w:before="100" w:beforeAutospacing="1" w:after="100" w:afterAutospacing="1"/>
    </w:pPr>
  </w:style>
  <w:style w:type="paragraph" w:customStyle="1" w:styleId="login-title">
    <w:name w:val="login-title"/>
    <w:basedOn w:val="Normal"/>
    <w:rsid w:val="00AD57FF"/>
    <w:pPr>
      <w:shd w:val="clear" w:color="auto" w:fill="E5E1C1"/>
      <w:spacing w:before="240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login-title2">
    <w:name w:val="login-title2"/>
    <w:basedOn w:val="Normal"/>
    <w:rsid w:val="00AD57FF"/>
    <w:pPr>
      <w:shd w:val="clear" w:color="auto" w:fill="E5E1C1"/>
      <w:spacing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login-gost">
    <w:name w:val="login-gost"/>
    <w:basedOn w:val="Normal"/>
    <w:rsid w:val="00AD57FF"/>
    <w:pPr>
      <w:shd w:val="clear" w:color="auto" w:fill="E5E1C1"/>
      <w:spacing w:before="100" w:beforeAutospacing="1" w:after="100" w:afterAutospacing="1"/>
      <w:jc w:val="center"/>
    </w:pPr>
    <w:rPr>
      <w:rFonts w:ascii="Arial" w:hAnsi="Arial" w:cs="Arial"/>
      <w:color w:val="A5A181"/>
      <w:sz w:val="17"/>
      <w:szCs w:val="17"/>
    </w:rPr>
  </w:style>
  <w:style w:type="paragraph" w:customStyle="1" w:styleId="zastava-table">
    <w:name w:val="zastava-table"/>
    <w:basedOn w:val="Normal"/>
    <w:rsid w:val="00AD57FF"/>
    <w:pPr>
      <w:spacing w:before="90" w:after="30"/>
      <w:ind w:left="120"/>
    </w:pPr>
  </w:style>
  <w:style w:type="paragraph" w:customStyle="1" w:styleId="zastava-txt">
    <w:name w:val="zastava-txt"/>
    <w:basedOn w:val="Normal"/>
    <w:rsid w:val="00AD57FF"/>
    <w:pPr>
      <w:spacing w:before="100" w:beforeAutospacing="1" w:after="100" w:afterAutospacing="1"/>
      <w:jc w:val="center"/>
    </w:pPr>
    <w:rPr>
      <w:rFonts w:ascii="Arial" w:hAnsi="Arial" w:cs="Arial"/>
      <w:color w:val="777777"/>
      <w:sz w:val="12"/>
      <w:szCs w:val="12"/>
    </w:rPr>
  </w:style>
  <w:style w:type="paragraph" w:customStyle="1" w:styleId="zastava-txt-a">
    <w:name w:val="zastava-txt-a"/>
    <w:basedOn w:val="Normal"/>
    <w:rsid w:val="00AD57FF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2"/>
      <w:szCs w:val="12"/>
    </w:rPr>
  </w:style>
  <w:style w:type="paragraph" w:customStyle="1" w:styleId="expand">
    <w:name w:val="expand"/>
    <w:basedOn w:val="Normal"/>
    <w:rsid w:val="00AD57FF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character" w:customStyle="1" w:styleId="expand1">
    <w:name w:val="expand1"/>
    <w:basedOn w:val="DefaultParagraphFont"/>
    <w:rsid w:val="00AD57FF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633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5284</Words>
  <Characters>30120</Characters>
  <Application>Microsoft Office Word</Application>
  <DocSecurity>0</DocSecurity>
  <Lines>251</Lines>
  <Paragraphs>70</Paragraphs>
  <ScaleCrop>false</ScaleCrop>
  <Company/>
  <LinksUpToDate>false</LinksUpToDate>
  <CharactersWithSpaces>35334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2015-04-03T11:36:00Z</dcterms:created>
  <dcterms:modified xsi:type="dcterms:W3CDTF">2015-04-03T11:37:00Z</dcterms:modified>
</cp:coreProperties>
</file>