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CDBC4" w14:textId="77777777" w:rsidR="00417021" w:rsidRPr="00157C9D" w:rsidRDefault="00417021" w:rsidP="00417021">
      <w:pPr>
        <w:pStyle w:val="Title"/>
        <w:tabs>
          <w:tab w:val="left" w:pos="7576"/>
        </w:tabs>
        <w:spacing w:after="120"/>
        <w:rPr>
          <w:rFonts w:ascii="Arial" w:hAnsi="Arial" w:cs="Arial"/>
          <w:szCs w:val="28"/>
          <w:lang w:val="sr-Latn-ME"/>
        </w:rPr>
      </w:pPr>
      <w:bookmarkStart w:id="0" w:name="_Hlk121396089"/>
      <w:r w:rsidRPr="00157C9D">
        <w:rPr>
          <w:lang w:val="sr-Latn-ME"/>
        </w:rPr>
        <mc:AlternateContent>
          <mc:Choice Requires="wps">
            <w:drawing>
              <wp:anchor distT="45720" distB="45720" distL="114300" distR="114300" simplePos="0" relativeHeight="251661312" behindDoc="0" locked="0" layoutInCell="1" allowOverlap="1" wp14:anchorId="542E3CA5" wp14:editId="49A998D3">
                <wp:simplePos x="0" y="0"/>
                <wp:positionH relativeFrom="column">
                  <wp:posOffset>4598670</wp:posOffset>
                </wp:positionH>
                <wp:positionV relativeFrom="paragraph">
                  <wp:posOffset>-10795</wp:posOffset>
                </wp:positionV>
                <wp:extent cx="2192654" cy="899794"/>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4" cy="899794"/>
                        </a:xfrm>
                        <a:prstGeom prst="rect">
                          <a:avLst/>
                        </a:prstGeom>
                        <a:solidFill>
                          <a:srgbClr val="FFFFFF"/>
                        </a:solidFill>
                        <a:ln w="9525">
                          <a:noFill/>
                          <a:miter lim="800000"/>
                          <a:headEnd/>
                          <a:tailEnd/>
                        </a:ln>
                      </wps:spPr>
                      <wps:txbx>
                        <w:txbxContent>
                          <w:p w14:paraId="03750B2D" w14:textId="77777777" w:rsidR="00417021" w:rsidRPr="008A5C8A" w:rsidRDefault="00417021" w:rsidP="00417021">
                            <w:pPr>
                              <w:spacing w:after="0" w:line="240" w:lineRule="auto"/>
                              <w:ind w:left="-142" w:right="-48"/>
                              <w:rPr>
                                <w:rFonts w:ascii="Arial" w:hAnsi="Arial" w:cs="Arial"/>
                                <w:sz w:val="20"/>
                                <w:szCs w:val="20"/>
                              </w:rPr>
                            </w:pPr>
                            <w:r>
                              <w:rPr>
                                <w:rFonts w:ascii="Arial" w:hAnsi="Arial" w:cs="Arial"/>
                                <w:sz w:val="20"/>
                                <w:szCs w:val="20"/>
                              </w:rPr>
                              <w:t xml:space="preserve">             </w:t>
                            </w:r>
                            <w:r w:rsidRPr="008A5C8A">
                              <w:rPr>
                                <w:rFonts w:ascii="Arial" w:hAnsi="Arial" w:cs="Arial"/>
                                <w:sz w:val="20"/>
                                <w:szCs w:val="20"/>
                              </w:rPr>
                              <w:t>Adresa: Rimski trg 46</w:t>
                            </w:r>
                          </w:p>
                          <w:p w14:paraId="3C3A814F" w14:textId="77777777" w:rsidR="00417021" w:rsidRPr="008A5C8A" w:rsidRDefault="00417021" w:rsidP="00417021">
                            <w:pPr>
                              <w:spacing w:after="0" w:line="240" w:lineRule="auto"/>
                              <w:ind w:right="-48"/>
                              <w:rPr>
                                <w:rFonts w:ascii="Arial" w:hAnsi="Arial" w:cs="Arial"/>
                                <w:sz w:val="20"/>
                                <w:szCs w:val="20"/>
                              </w:rPr>
                            </w:pPr>
                            <w:r w:rsidRPr="008A5C8A">
                              <w:rPr>
                                <w:rFonts w:ascii="Arial" w:hAnsi="Arial" w:cs="Arial"/>
                                <w:sz w:val="20"/>
                                <w:szCs w:val="20"/>
                              </w:rPr>
                              <w:t>81000 Podgorica Crna Gora</w:t>
                            </w:r>
                          </w:p>
                          <w:p w14:paraId="2B7F83E0" w14:textId="77777777" w:rsidR="00417021" w:rsidRPr="008A5C8A" w:rsidRDefault="00417021" w:rsidP="00417021">
                            <w:pPr>
                              <w:spacing w:after="0" w:line="240" w:lineRule="auto"/>
                              <w:ind w:right="-48"/>
                              <w:rPr>
                                <w:rFonts w:ascii="Arial" w:hAnsi="Arial" w:cs="Arial"/>
                                <w:sz w:val="20"/>
                                <w:szCs w:val="20"/>
                              </w:rPr>
                            </w:pPr>
                            <w:r>
                              <w:rPr>
                                <w:rFonts w:ascii="Arial" w:hAnsi="Arial" w:cs="Arial"/>
                                <w:sz w:val="20"/>
                                <w:szCs w:val="20"/>
                              </w:rPr>
                              <w:t xml:space="preserve">            </w:t>
                            </w:r>
                            <w:r w:rsidRPr="008A5C8A">
                              <w:rPr>
                                <w:rFonts w:ascii="Arial" w:hAnsi="Arial" w:cs="Arial"/>
                                <w:sz w:val="20"/>
                                <w:szCs w:val="20"/>
                              </w:rPr>
                              <w:t>tel: +382 20 482 163</w:t>
                            </w:r>
                          </w:p>
                          <w:p w14:paraId="55F2E97D" w14:textId="77777777" w:rsidR="00417021" w:rsidRPr="008A5C8A" w:rsidRDefault="00417021" w:rsidP="00417021">
                            <w:pPr>
                              <w:spacing w:after="0" w:line="240" w:lineRule="auto"/>
                              <w:ind w:left="-142" w:right="-48"/>
                              <w:rPr>
                                <w:rFonts w:ascii="Arial" w:hAnsi="Arial" w:cs="Arial"/>
                                <w:sz w:val="20"/>
                                <w:szCs w:val="20"/>
                              </w:rPr>
                            </w:pPr>
                            <w:r>
                              <w:rPr>
                                <w:rFonts w:ascii="Arial" w:hAnsi="Arial" w:cs="Arial"/>
                                <w:sz w:val="20"/>
                                <w:szCs w:val="20"/>
                              </w:rPr>
                              <w:t xml:space="preserve">              </w:t>
                            </w:r>
                            <w:r w:rsidRPr="008A5C8A">
                              <w:rPr>
                                <w:rFonts w:ascii="Arial" w:hAnsi="Arial" w:cs="Arial"/>
                                <w:sz w:val="20"/>
                                <w:szCs w:val="20"/>
                              </w:rPr>
                              <w:t>fax: +382 20 234 027</w:t>
                            </w:r>
                          </w:p>
                          <w:p w14:paraId="62F43454" w14:textId="77777777" w:rsidR="00417021" w:rsidRPr="000907F8" w:rsidRDefault="00417021" w:rsidP="00417021">
                            <w:pPr>
                              <w:spacing w:after="0" w:line="240" w:lineRule="auto"/>
                              <w:ind w:left="-142" w:right="-48"/>
                              <w:rPr>
                                <w:rFonts w:ascii="Arial" w:hAnsi="Arial" w:cs="Arial"/>
                                <w:sz w:val="20"/>
                                <w:szCs w:val="20"/>
                              </w:rPr>
                            </w:pPr>
                            <w:r>
                              <w:rPr>
                                <w:rFonts w:ascii="Arial" w:hAnsi="Arial" w:cs="Arial"/>
                                <w:sz w:val="20"/>
                                <w:szCs w:val="20"/>
                              </w:rPr>
                              <w:t xml:space="preserve">                   </w:t>
                            </w:r>
                            <w:r w:rsidRPr="000907F8">
                              <w:rPr>
                                <w:rFonts w:ascii="Arial" w:hAnsi="Arial" w:cs="Arial"/>
                                <w:sz w:val="20"/>
                                <w:szCs w:val="20"/>
                              </w:rPr>
                              <w:t>www.mek.gov.me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E3CA5" id="_x0000_t202" coordsize="21600,21600" o:spt="202" path="m,l,21600r21600,l21600,xe">
                <v:stroke joinstyle="miter"/>
                <v:path gradientshapeok="t" o:connecttype="rect"/>
              </v:shapetype>
              <v:shape id="Text Box 217" o:spid="_x0000_s1026" type="#_x0000_t202" style="position:absolute;left:0;text-align:left;margin-left:362.1pt;margin-top:-.85pt;width:172.65pt;height:7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" stroked="f">
                <v:textbox>
                  <w:txbxContent>
                    <w:p w14:paraId="03750B2D" w14:textId="77777777" w:rsidR="00417021" w:rsidRPr="008A5C8A" w:rsidRDefault="00417021" w:rsidP="00417021">
                      <w:pPr>
                        <w:spacing w:after="0" w:line="240" w:lineRule="auto"/>
                        <w:ind w:left="-142" w:right="-48"/>
                        <w:rPr>
                          <w:rFonts w:ascii="Arial" w:hAnsi="Arial" w:cs="Arial"/>
                          <w:sz w:val="20"/>
                          <w:szCs w:val="20"/>
                        </w:rPr>
                      </w:pPr>
                      <w:r>
                        <w:rPr>
                          <w:rFonts w:ascii="Arial" w:hAnsi="Arial" w:cs="Arial"/>
                          <w:sz w:val="20"/>
                          <w:szCs w:val="20"/>
                        </w:rPr>
                        <w:t xml:space="preserve">             </w:t>
                      </w:r>
                      <w:r w:rsidRPr="008A5C8A">
                        <w:rPr>
                          <w:rFonts w:ascii="Arial" w:hAnsi="Arial" w:cs="Arial"/>
                          <w:sz w:val="20"/>
                          <w:szCs w:val="20"/>
                        </w:rPr>
                        <w:t>Adresa: Rimski trg 46</w:t>
                      </w:r>
                    </w:p>
                    <w:p w14:paraId="3C3A814F" w14:textId="77777777" w:rsidR="00417021" w:rsidRPr="008A5C8A" w:rsidRDefault="00417021" w:rsidP="00417021">
                      <w:pPr>
                        <w:spacing w:after="0" w:line="240" w:lineRule="auto"/>
                        <w:ind w:right="-48"/>
                        <w:rPr>
                          <w:rFonts w:ascii="Arial" w:hAnsi="Arial" w:cs="Arial"/>
                          <w:sz w:val="20"/>
                          <w:szCs w:val="20"/>
                        </w:rPr>
                      </w:pPr>
                      <w:r w:rsidRPr="008A5C8A">
                        <w:rPr>
                          <w:rFonts w:ascii="Arial" w:hAnsi="Arial" w:cs="Arial"/>
                          <w:sz w:val="20"/>
                          <w:szCs w:val="20"/>
                        </w:rPr>
                        <w:t>81000 Podgorica Crna Gora</w:t>
                      </w:r>
                    </w:p>
                    <w:p w14:paraId="2B7F83E0" w14:textId="77777777" w:rsidR="00417021" w:rsidRPr="008A5C8A" w:rsidRDefault="00417021" w:rsidP="00417021">
                      <w:pPr>
                        <w:spacing w:after="0" w:line="240" w:lineRule="auto"/>
                        <w:ind w:right="-48"/>
                        <w:rPr>
                          <w:rFonts w:ascii="Arial" w:hAnsi="Arial" w:cs="Arial"/>
                          <w:sz w:val="20"/>
                          <w:szCs w:val="20"/>
                        </w:rPr>
                      </w:pPr>
                      <w:r>
                        <w:rPr>
                          <w:rFonts w:ascii="Arial" w:hAnsi="Arial" w:cs="Arial"/>
                          <w:sz w:val="20"/>
                          <w:szCs w:val="20"/>
                        </w:rPr>
                        <w:t xml:space="preserve">            </w:t>
                      </w:r>
                      <w:r w:rsidRPr="008A5C8A">
                        <w:rPr>
                          <w:rFonts w:ascii="Arial" w:hAnsi="Arial" w:cs="Arial"/>
                          <w:sz w:val="20"/>
                          <w:szCs w:val="20"/>
                        </w:rPr>
                        <w:t>tel: +382 20 482 163</w:t>
                      </w:r>
                    </w:p>
                    <w:p w14:paraId="55F2E97D" w14:textId="77777777" w:rsidR="00417021" w:rsidRPr="008A5C8A" w:rsidRDefault="00417021" w:rsidP="00417021">
                      <w:pPr>
                        <w:spacing w:after="0" w:line="240" w:lineRule="auto"/>
                        <w:ind w:left="-142" w:right="-48"/>
                        <w:rPr>
                          <w:rFonts w:ascii="Arial" w:hAnsi="Arial" w:cs="Arial"/>
                          <w:sz w:val="20"/>
                          <w:szCs w:val="20"/>
                        </w:rPr>
                      </w:pPr>
                      <w:r>
                        <w:rPr>
                          <w:rFonts w:ascii="Arial" w:hAnsi="Arial" w:cs="Arial"/>
                          <w:sz w:val="20"/>
                          <w:szCs w:val="20"/>
                        </w:rPr>
                        <w:t xml:space="preserve">              </w:t>
                      </w:r>
                      <w:r w:rsidRPr="008A5C8A">
                        <w:rPr>
                          <w:rFonts w:ascii="Arial" w:hAnsi="Arial" w:cs="Arial"/>
                          <w:sz w:val="20"/>
                          <w:szCs w:val="20"/>
                        </w:rPr>
                        <w:t>fax: +382 20 234 027</w:t>
                      </w:r>
                    </w:p>
                    <w:p w14:paraId="62F43454" w14:textId="77777777" w:rsidR="00417021" w:rsidRPr="000907F8" w:rsidRDefault="00417021" w:rsidP="00417021">
                      <w:pPr>
                        <w:spacing w:after="0" w:line="240" w:lineRule="auto"/>
                        <w:ind w:left="-142" w:right="-48"/>
                        <w:rPr>
                          <w:rFonts w:ascii="Arial" w:hAnsi="Arial" w:cs="Arial"/>
                          <w:sz w:val="20"/>
                          <w:szCs w:val="20"/>
                        </w:rPr>
                      </w:pPr>
                      <w:r>
                        <w:rPr>
                          <w:rFonts w:ascii="Arial" w:hAnsi="Arial" w:cs="Arial"/>
                          <w:sz w:val="20"/>
                          <w:szCs w:val="20"/>
                        </w:rPr>
                        <w:t xml:space="preserve">                   </w:t>
                      </w:r>
                      <w:r w:rsidRPr="000907F8">
                        <w:rPr>
                          <w:rFonts w:ascii="Arial" w:hAnsi="Arial" w:cs="Arial"/>
                          <w:sz w:val="20"/>
                          <w:szCs w:val="20"/>
                        </w:rPr>
                        <w:t>www.mek.gov.me</w:t>
                      </w:r>
                    </w:p>
                  </w:txbxContent>
                </v:textbox>
              </v:shape>
            </w:pict>
          </mc:Fallback>
        </mc:AlternateContent>
      </w:r>
      <w:r w:rsidRPr="00157C9D">
        <w:rPr>
          <w:lang w:val="sr-Latn-ME"/>
        </w:rPr>
        <mc:AlternateContent>
          <mc:Choice Requires="wps">
            <w:drawing>
              <wp:anchor distT="0" distB="0" distL="114299" distR="114299" simplePos="0" relativeHeight="251659264" behindDoc="0" locked="0" layoutInCell="1" allowOverlap="1" wp14:anchorId="0C1C57BC" wp14:editId="365E7CA6">
                <wp:simplePos x="0" y="0"/>
                <wp:positionH relativeFrom="column">
                  <wp:posOffset>628014</wp:posOffset>
                </wp:positionH>
                <wp:positionV relativeFrom="paragraph">
                  <wp:posOffset>-635</wp:posOffset>
                </wp:positionV>
                <wp:extent cx="0" cy="709295"/>
                <wp:effectExtent l="0" t="0" r="38100" b="336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09295"/>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D6BA15" id="Straight Connector 27"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" strokecolor="#d5b03d" strokeweight="1.5pt">
                <o:lock v:ext="edit" shapetype="f"/>
              </v:line>
            </w:pict>
          </mc:Fallback>
        </mc:AlternateContent>
      </w:r>
      <w:r w:rsidRPr="00157C9D">
        <w:rPr>
          <w:lang w:val="sr-Latn-ME"/>
        </w:rPr>
        <w:drawing>
          <wp:anchor distT="0" distB="0" distL="114300" distR="114300" simplePos="0" relativeHeight="251660288" behindDoc="0" locked="0" layoutInCell="1" allowOverlap="1" wp14:anchorId="61E0AC5E" wp14:editId="0341779B">
            <wp:simplePos x="0" y="0"/>
            <wp:positionH relativeFrom="margin">
              <wp:posOffset>6350</wp:posOffset>
            </wp:positionH>
            <wp:positionV relativeFrom="paragraph">
              <wp:posOffset>-635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C9D">
        <w:rPr>
          <w:rFonts w:ascii="Arial" w:hAnsi="Arial" w:cs="Arial"/>
          <w:szCs w:val="28"/>
          <w:lang w:val="sr-Latn-ME"/>
        </w:rPr>
        <w:t>Vlada Crne Gore</w:t>
      </w:r>
    </w:p>
    <w:p w14:paraId="10A79ED6" w14:textId="77777777" w:rsidR="00417021" w:rsidRPr="00157C9D" w:rsidRDefault="00417021" w:rsidP="00417021">
      <w:pPr>
        <w:pStyle w:val="Title"/>
        <w:tabs>
          <w:tab w:val="center" w:pos="5102"/>
        </w:tabs>
        <w:spacing w:after="0"/>
        <w:rPr>
          <w:rFonts w:ascii="Arial" w:hAnsi="Arial" w:cs="Arial"/>
          <w:szCs w:val="28"/>
          <w:lang w:val="sr-Latn-ME"/>
        </w:rPr>
      </w:pPr>
      <w:r w:rsidRPr="00157C9D">
        <w:rPr>
          <w:rFonts w:ascii="Arial" w:hAnsi="Arial" w:cs="Arial"/>
          <w:szCs w:val="28"/>
          <w:lang w:val="sr-Latn-ME"/>
        </w:rPr>
        <w:t>Ministarstvo ekonomskog razvoja</w:t>
      </w:r>
    </w:p>
    <w:p w14:paraId="098526CD" w14:textId="77777777" w:rsidR="00417021" w:rsidRPr="00157C9D" w:rsidRDefault="00417021" w:rsidP="00417021">
      <w:pPr>
        <w:tabs>
          <w:tab w:val="left" w:pos="993"/>
          <w:tab w:val="left" w:pos="7797"/>
        </w:tabs>
        <w:spacing w:after="0" w:line="240" w:lineRule="auto"/>
        <w:ind w:left="1134"/>
        <w:rPr>
          <w:noProof/>
          <w:szCs w:val="24"/>
          <w:lang w:val="sr-Latn-ME"/>
        </w:rPr>
      </w:pPr>
      <w:r w:rsidRPr="00157C9D">
        <w:rPr>
          <w:rFonts w:ascii="Arial" w:hAnsi="Arial" w:cs="Arial"/>
          <w:bCs/>
          <w:lang w:val="sr-Latn-ME"/>
        </w:rPr>
        <w:t>Direktorat za unapređenje konkurentnosti</w:t>
      </w:r>
      <w:r w:rsidRPr="00157C9D">
        <w:rPr>
          <w:rFonts w:ascii="Arial" w:hAnsi="Arial" w:cs="Arial"/>
          <w:bCs/>
          <w:lang w:val="sr-Latn-ME"/>
        </w:rPr>
        <w:tab/>
      </w:r>
    </w:p>
    <w:p w14:paraId="4BCD98E6" w14:textId="77777777" w:rsidR="00483C04" w:rsidRPr="00157C9D" w:rsidRDefault="00483C04" w:rsidP="00745F57">
      <w:pPr>
        <w:spacing w:after="0"/>
        <w:jc w:val="center"/>
        <w:rPr>
          <w:rFonts w:ascii="Arial" w:hAnsi="Arial" w:cs="Arial"/>
          <w:lang w:val="sr-Latn-ME"/>
        </w:rPr>
      </w:pPr>
    </w:p>
    <w:p w14:paraId="296F87E6" w14:textId="3AB1E0C6" w:rsidR="00483C04" w:rsidRPr="00157C9D" w:rsidRDefault="00483C04" w:rsidP="00745F57">
      <w:pPr>
        <w:spacing w:after="0"/>
        <w:jc w:val="center"/>
        <w:rPr>
          <w:rFonts w:ascii="Arial" w:hAnsi="Arial" w:cs="Arial"/>
          <w:lang w:val="sr-Latn-ME"/>
        </w:rPr>
      </w:pPr>
    </w:p>
    <w:p w14:paraId="36BD3BF3" w14:textId="77777777" w:rsidR="00483C04" w:rsidRPr="00157C9D" w:rsidRDefault="00483C04" w:rsidP="00745F57">
      <w:pPr>
        <w:spacing w:after="0"/>
        <w:jc w:val="both"/>
        <w:rPr>
          <w:rFonts w:ascii="Arial" w:hAnsi="Arial" w:cs="Arial"/>
          <w:lang w:val="sr-Latn-ME"/>
        </w:rPr>
      </w:pPr>
    </w:p>
    <w:p w14:paraId="14B1B85D" w14:textId="77777777" w:rsidR="00483C04" w:rsidRPr="00157C9D" w:rsidRDefault="00483C04" w:rsidP="00745F57">
      <w:pPr>
        <w:spacing w:after="0"/>
        <w:jc w:val="both"/>
        <w:rPr>
          <w:rFonts w:ascii="Arial" w:hAnsi="Arial" w:cs="Arial"/>
          <w:lang w:val="sr-Latn-ME"/>
        </w:rPr>
      </w:pPr>
    </w:p>
    <w:p w14:paraId="00FA8E86" w14:textId="77777777" w:rsidR="00483C04" w:rsidRPr="00157C9D" w:rsidRDefault="00483C04" w:rsidP="00745F57">
      <w:pPr>
        <w:spacing w:after="0"/>
        <w:jc w:val="both"/>
        <w:rPr>
          <w:rFonts w:ascii="Arial" w:hAnsi="Arial" w:cs="Arial"/>
          <w:lang w:val="sr-Latn-ME"/>
        </w:rPr>
      </w:pPr>
    </w:p>
    <w:p w14:paraId="273A49C7" w14:textId="2D37B652" w:rsidR="00483C04" w:rsidRPr="00157C9D" w:rsidRDefault="00483C04" w:rsidP="00745F57">
      <w:pPr>
        <w:spacing w:after="0"/>
        <w:jc w:val="both"/>
        <w:rPr>
          <w:rFonts w:ascii="Arial" w:hAnsi="Arial" w:cs="Arial"/>
          <w:b/>
          <w:lang w:val="sr-Latn-ME"/>
        </w:rPr>
      </w:pPr>
    </w:p>
    <w:p w14:paraId="4D5A333E" w14:textId="186CA7FE" w:rsidR="00417021" w:rsidRPr="00157C9D" w:rsidRDefault="00417021" w:rsidP="00745F57">
      <w:pPr>
        <w:spacing w:after="0"/>
        <w:jc w:val="both"/>
        <w:rPr>
          <w:rFonts w:ascii="Arial" w:hAnsi="Arial" w:cs="Arial"/>
          <w:b/>
          <w:lang w:val="sr-Latn-ME"/>
        </w:rPr>
      </w:pPr>
    </w:p>
    <w:p w14:paraId="1B758647" w14:textId="06AD24D1" w:rsidR="00417021" w:rsidRPr="00157C9D" w:rsidRDefault="00417021" w:rsidP="00745F57">
      <w:pPr>
        <w:spacing w:after="0"/>
        <w:jc w:val="both"/>
        <w:rPr>
          <w:rFonts w:ascii="Arial" w:hAnsi="Arial" w:cs="Arial"/>
          <w:b/>
          <w:lang w:val="sr-Latn-ME"/>
        </w:rPr>
      </w:pPr>
    </w:p>
    <w:p w14:paraId="3B6A234B" w14:textId="71D8C504" w:rsidR="00417021" w:rsidRPr="00157C9D" w:rsidRDefault="00417021" w:rsidP="00745F57">
      <w:pPr>
        <w:spacing w:after="0"/>
        <w:jc w:val="both"/>
        <w:rPr>
          <w:rFonts w:ascii="Arial" w:hAnsi="Arial" w:cs="Arial"/>
          <w:b/>
          <w:lang w:val="sr-Latn-ME"/>
        </w:rPr>
      </w:pPr>
    </w:p>
    <w:p w14:paraId="240B2351" w14:textId="5A568D73" w:rsidR="00417021" w:rsidRPr="00157C9D" w:rsidRDefault="00417021" w:rsidP="00745F57">
      <w:pPr>
        <w:spacing w:after="0"/>
        <w:jc w:val="both"/>
        <w:rPr>
          <w:rFonts w:ascii="Arial" w:hAnsi="Arial" w:cs="Arial"/>
          <w:b/>
          <w:lang w:val="sr-Latn-ME"/>
        </w:rPr>
      </w:pPr>
    </w:p>
    <w:p w14:paraId="457D695E" w14:textId="774006E6" w:rsidR="00417021" w:rsidRPr="00157C9D" w:rsidRDefault="00417021" w:rsidP="00745F57">
      <w:pPr>
        <w:spacing w:after="0"/>
        <w:jc w:val="both"/>
        <w:rPr>
          <w:rFonts w:ascii="Arial" w:hAnsi="Arial" w:cs="Arial"/>
          <w:b/>
          <w:lang w:val="sr-Latn-ME"/>
        </w:rPr>
      </w:pPr>
    </w:p>
    <w:p w14:paraId="6E5597E5" w14:textId="64B10D39" w:rsidR="00417021" w:rsidRPr="00157C9D" w:rsidRDefault="00417021" w:rsidP="00745F57">
      <w:pPr>
        <w:spacing w:after="0"/>
        <w:jc w:val="both"/>
        <w:rPr>
          <w:rFonts w:ascii="Arial" w:hAnsi="Arial" w:cs="Arial"/>
          <w:b/>
          <w:lang w:val="sr-Latn-ME"/>
        </w:rPr>
      </w:pPr>
    </w:p>
    <w:p w14:paraId="7755263C" w14:textId="18A8C688" w:rsidR="00417021" w:rsidRPr="00157C9D" w:rsidRDefault="00417021" w:rsidP="00745F57">
      <w:pPr>
        <w:spacing w:after="0"/>
        <w:jc w:val="both"/>
        <w:rPr>
          <w:rFonts w:ascii="Arial" w:hAnsi="Arial" w:cs="Arial"/>
          <w:b/>
          <w:lang w:val="sr-Latn-ME"/>
        </w:rPr>
      </w:pPr>
    </w:p>
    <w:p w14:paraId="1DD51744" w14:textId="77777777" w:rsidR="00417021" w:rsidRPr="00157C9D" w:rsidRDefault="00417021" w:rsidP="00745F57">
      <w:pPr>
        <w:spacing w:after="0"/>
        <w:jc w:val="both"/>
        <w:rPr>
          <w:rFonts w:ascii="Arial" w:hAnsi="Arial" w:cs="Arial"/>
          <w:b/>
          <w:lang w:val="sr-Latn-ME"/>
        </w:rPr>
      </w:pPr>
    </w:p>
    <w:p w14:paraId="022D1963" w14:textId="77777777" w:rsidR="00483C04" w:rsidRPr="00157C9D" w:rsidRDefault="00483C04" w:rsidP="00745F57">
      <w:pPr>
        <w:spacing w:after="0"/>
        <w:jc w:val="both"/>
        <w:rPr>
          <w:rFonts w:ascii="Arial" w:hAnsi="Arial" w:cs="Arial"/>
          <w:b/>
          <w:lang w:val="sr-Latn-ME"/>
        </w:rPr>
      </w:pPr>
    </w:p>
    <w:p w14:paraId="17338B86" w14:textId="77777777" w:rsidR="00483C04" w:rsidRPr="00157C9D" w:rsidRDefault="0078153A" w:rsidP="00745F57">
      <w:pPr>
        <w:spacing w:after="0"/>
        <w:jc w:val="center"/>
        <w:rPr>
          <w:rFonts w:ascii="Arial" w:hAnsi="Arial" w:cs="Arial"/>
          <w:b/>
          <w:lang w:val="sr-Latn-ME"/>
        </w:rPr>
      </w:pPr>
      <w:r w:rsidRPr="00157C9D">
        <w:rPr>
          <w:rFonts w:ascii="Arial" w:hAnsi="Arial" w:cs="Arial"/>
          <w:b/>
          <w:lang w:val="sr-Latn-ME"/>
        </w:rPr>
        <w:t>Izvještaj sa Javne rasprave</w:t>
      </w:r>
    </w:p>
    <w:p w14:paraId="2F7C5762" w14:textId="77777777" w:rsidR="00483C04" w:rsidRPr="00157C9D" w:rsidRDefault="0078153A" w:rsidP="00745F57">
      <w:pPr>
        <w:spacing w:after="0"/>
        <w:jc w:val="center"/>
        <w:rPr>
          <w:rFonts w:ascii="Arial" w:hAnsi="Arial" w:cs="Arial"/>
          <w:b/>
          <w:lang w:val="sr-Latn-ME"/>
        </w:rPr>
      </w:pPr>
      <w:r w:rsidRPr="00157C9D">
        <w:rPr>
          <w:rFonts w:ascii="Arial" w:hAnsi="Arial" w:cs="Arial"/>
          <w:b/>
          <w:lang w:val="sr-Latn-ME"/>
        </w:rPr>
        <w:t>_____________________________________________</w:t>
      </w:r>
    </w:p>
    <w:p w14:paraId="03C7F8E9" w14:textId="297FEA82" w:rsidR="00483C04" w:rsidRPr="00157C9D" w:rsidRDefault="00E77F74" w:rsidP="00745F57">
      <w:pPr>
        <w:spacing w:after="0"/>
        <w:jc w:val="center"/>
        <w:rPr>
          <w:rFonts w:ascii="Arial" w:hAnsi="Arial" w:cs="Arial"/>
          <w:b/>
          <w:lang w:val="sr-Latn-ME"/>
        </w:rPr>
      </w:pPr>
      <w:r w:rsidRPr="00157C9D">
        <w:rPr>
          <w:rFonts w:ascii="Arial" w:hAnsi="Arial" w:cs="Arial"/>
          <w:b/>
          <w:lang w:val="sr-Latn-ME"/>
        </w:rPr>
        <w:t xml:space="preserve">Nacrt </w:t>
      </w:r>
      <w:r w:rsidR="00535334" w:rsidRPr="00157C9D">
        <w:rPr>
          <w:rFonts w:ascii="Arial" w:hAnsi="Arial" w:cs="Arial"/>
          <w:b/>
          <w:lang w:val="sr-Latn-ME"/>
        </w:rPr>
        <w:t>Nacionalne Strategije cirkularne tranzicije do 2030. s Akcionim planom 2023-2024</w:t>
      </w:r>
    </w:p>
    <w:p w14:paraId="29A4AFC1" w14:textId="77777777" w:rsidR="00483C04" w:rsidRPr="00157C9D" w:rsidRDefault="00483C04" w:rsidP="00745F57">
      <w:pPr>
        <w:spacing w:after="0"/>
        <w:jc w:val="both"/>
        <w:rPr>
          <w:rFonts w:ascii="Arial" w:hAnsi="Arial" w:cs="Arial"/>
          <w:lang w:val="sr-Latn-ME"/>
        </w:rPr>
      </w:pPr>
    </w:p>
    <w:p w14:paraId="2DF73FED" w14:textId="77777777" w:rsidR="00483C04" w:rsidRPr="00157C9D" w:rsidRDefault="00483C04" w:rsidP="00745F57">
      <w:pPr>
        <w:spacing w:after="0"/>
        <w:jc w:val="both"/>
        <w:rPr>
          <w:rFonts w:ascii="Arial" w:hAnsi="Arial" w:cs="Arial"/>
          <w:lang w:val="sr-Latn-ME"/>
        </w:rPr>
      </w:pPr>
    </w:p>
    <w:p w14:paraId="015C4583" w14:textId="77777777" w:rsidR="00483C04" w:rsidRPr="00157C9D" w:rsidRDefault="00483C04" w:rsidP="00745F57">
      <w:pPr>
        <w:spacing w:after="0"/>
        <w:jc w:val="both"/>
        <w:rPr>
          <w:rFonts w:ascii="Arial" w:hAnsi="Arial" w:cs="Arial"/>
          <w:lang w:val="sr-Latn-ME"/>
        </w:rPr>
      </w:pPr>
    </w:p>
    <w:p w14:paraId="4BE360F8" w14:textId="77777777" w:rsidR="00483C04" w:rsidRPr="00157C9D" w:rsidRDefault="00483C04" w:rsidP="00745F57">
      <w:pPr>
        <w:spacing w:after="0"/>
        <w:jc w:val="both"/>
        <w:rPr>
          <w:rFonts w:ascii="Arial" w:hAnsi="Arial" w:cs="Arial"/>
          <w:lang w:val="sr-Latn-ME"/>
        </w:rPr>
      </w:pPr>
    </w:p>
    <w:p w14:paraId="6D0BF4A4" w14:textId="77777777" w:rsidR="00483C04" w:rsidRPr="00157C9D" w:rsidRDefault="00483C04" w:rsidP="00745F57">
      <w:pPr>
        <w:spacing w:after="0"/>
        <w:jc w:val="both"/>
        <w:rPr>
          <w:rFonts w:ascii="Arial" w:hAnsi="Arial" w:cs="Arial"/>
          <w:lang w:val="sr-Latn-ME"/>
        </w:rPr>
      </w:pPr>
    </w:p>
    <w:p w14:paraId="7EB5281E" w14:textId="77777777" w:rsidR="00483C04" w:rsidRPr="00157C9D" w:rsidRDefault="00483C04" w:rsidP="00745F57">
      <w:pPr>
        <w:spacing w:after="0"/>
        <w:jc w:val="both"/>
        <w:rPr>
          <w:rFonts w:ascii="Arial" w:hAnsi="Arial" w:cs="Arial"/>
          <w:lang w:val="sr-Latn-ME"/>
        </w:rPr>
      </w:pPr>
    </w:p>
    <w:p w14:paraId="06D10083" w14:textId="77777777" w:rsidR="00483C04" w:rsidRPr="00157C9D" w:rsidRDefault="00483C04" w:rsidP="00745F57">
      <w:pPr>
        <w:spacing w:after="0"/>
        <w:jc w:val="both"/>
        <w:rPr>
          <w:rFonts w:ascii="Arial" w:hAnsi="Arial" w:cs="Arial"/>
          <w:lang w:val="sr-Latn-ME"/>
        </w:rPr>
      </w:pPr>
    </w:p>
    <w:p w14:paraId="1B0D4D93" w14:textId="77777777" w:rsidR="00483C04" w:rsidRPr="00157C9D" w:rsidRDefault="00483C04" w:rsidP="00745F57">
      <w:pPr>
        <w:spacing w:after="0"/>
        <w:jc w:val="both"/>
        <w:rPr>
          <w:rFonts w:ascii="Arial" w:hAnsi="Arial" w:cs="Arial"/>
          <w:lang w:val="sr-Latn-ME"/>
        </w:rPr>
      </w:pPr>
    </w:p>
    <w:p w14:paraId="6865CBC7" w14:textId="77777777" w:rsidR="00483C04" w:rsidRPr="00157C9D" w:rsidRDefault="00483C04" w:rsidP="00745F57">
      <w:pPr>
        <w:spacing w:after="0"/>
        <w:jc w:val="both"/>
        <w:rPr>
          <w:rFonts w:ascii="Arial" w:hAnsi="Arial" w:cs="Arial"/>
          <w:lang w:val="sr-Latn-ME"/>
        </w:rPr>
      </w:pPr>
    </w:p>
    <w:p w14:paraId="24478728" w14:textId="77777777" w:rsidR="00483C04" w:rsidRPr="00157C9D" w:rsidRDefault="00483C04" w:rsidP="00745F57">
      <w:pPr>
        <w:spacing w:after="0"/>
        <w:jc w:val="both"/>
        <w:rPr>
          <w:rFonts w:ascii="Arial" w:hAnsi="Arial" w:cs="Arial"/>
          <w:lang w:val="sr-Latn-ME"/>
        </w:rPr>
      </w:pPr>
    </w:p>
    <w:p w14:paraId="6718D8A7" w14:textId="77777777" w:rsidR="00483C04" w:rsidRPr="00157C9D" w:rsidRDefault="00483C04" w:rsidP="00745F57">
      <w:pPr>
        <w:spacing w:after="0"/>
        <w:jc w:val="both"/>
        <w:rPr>
          <w:rFonts w:ascii="Arial" w:hAnsi="Arial" w:cs="Arial"/>
          <w:lang w:val="sr-Latn-ME"/>
        </w:rPr>
      </w:pPr>
    </w:p>
    <w:p w14:paraId="3F3C77AD" w14:textId="77777777" w:rsidR="00483C04" w:rsidRPr="00157C9D" w:rsidRDefault="00483C04" w:rsidP="00745F57">
      <w:pPr>
        <w:spacing w:after="0"/>
        <w:jc w:val="both"/>
        <w:rPr>
          <w:rFonts w:ascii="Arial" w:hAnsi="Arial" w:cs="Arial"/>
          <w:lang w:val="sr-Latn-ME"/>
        </w:rPr>
      </w:pPr>
    </w:p>
    <w:p w14:paraId="4FDB4CCF" w14:textId="77777777" w:rsidR="00AC3E47" w:rsidRPr="00157C9D" w:rsidRDefault="00AC3E47" w:rsidP="00745F57">
      <w:pPr>
        <w:spacing w:after="0"/>
        <w:jc w:val="both"/>
        <w:rPr>
          <w:rFonts w:ascii="Arial" w:hAnsi="Arial" w:cs="Arial"/>
          <w:lang w:val="sr-Latn-ME"/>
        </w:rPr>
      </w:pPr>
    </w:p>
    <w:p w14:paraId="0E903957" w14:textId="77777777" w:rsidR="00684029" w:rsidRPr="00157C9D" w:rsidRDefault="00684029" w:rsidP="00745F57">
      <w:pPr>
        <w:spacing w:after="0"/>
        <w:jc w:val="both"/>
        <w:rPr>
          <w:rFonts w:ascii="Arial" w:hAnsi="Arial" w:cs="Arial"/>
          <w:lang w:val="sr-Latn-ME"/>
        </w:rPr>
      </w:pPr>
    </w:p>
    <w:p w14:paraId="2B1E8B73" w14:textId="77777777" w:rsidR="00AC3E47" w:rsidRPr="00157C9D" w:rsidRDefault="00AC3E47" w:rsidP="00745F57">
      <w:pPr>
        <w:spacing w:after="0"/>
        <w:jc w:val="both"/>
        <w:rPr>
          <w:rFonts w:ascii="Arial" w:hAnsi="Arial" w:cs="Arial"/>
          <w:lang w:val="sr-Latn-ME"/>
        </w:rPr>
      </w:pPr>
    </w:p>
    <w:p w14:paraId="4DD883FB" w14:textId="77777777" w:rsidR="00AC3E47" w:rsidRPr="00157C9D" w:rsidRDefault="00AC3E47" w:rsidP="00745F57">
      <w:pPr>
        <w:spacing w:after="0"/>
        <w:jc w:val="both"/>
        <w:rPr>
          <w:rFonts w:ascii="Arial" w:hAnsi="Arial" w:cs="Arial"/>
          <w:lang w:val="sr-Latn-ME"/>
        </w:rPr>
      </w:pPr>
    </w:p>
    <w:p w14:paraId="484FCADA" w14:textId="77777777" w:rsidR="00AE676A" w:rsidRPr="00157C9D" w:rsidRDefault="00AE676A" w:rsidP="00745F57">
      <w:pPr>
        <w:spacing w:after="0"/>
        <w:jc w:val="both"/>
        <w:rPr>
          <w:rFonts w:ascii="Arial" w:hAnsi="Arial" w:cs="Arial"/>
          <w:lang w:val="sr-Latn-ME"/>
        </w:rPr>
      </w:pPr>
    </w:p>
    <w:p w14:paraId="3825DA99" w14:textId="77777777" w:rsidR="00AE676A" w:rsidRPr="00157C9D" w:rsidRDefault="00AE676A" w:rsidP="00745F57">
      <w:pPr>
        <w:spacing w:after="0"/>
        <w:jc w:val="both"/>
        <w:rPr>
          <w:rFonts w:ascii="Arial" w:hAnsi="Arial" w:cs="Arial"/>
          <w:lang w:val="sr-Latn-ME"/>
        </w:rPr>
      </w:pPr>
    </w:p>
    <w:p w14:paraId="3D928565" w14:textId="12EA469A" w:rsidR="00AE676A" w:rsidRPr="00157C9D" w:rsidRDefault="00AE676A" w:rsidP="00745F57">
      <w:pPr>
        <w:spacing w:after="0"/>
        <w:jc w:val="center"/>
        <w:rPr>
          <w:rFonts w:ascii="Arial" w:hAnsi="Arial" w:cs="Arial"/>
          <w:b/>
          <w:lang w:val="sr-Latn-ME"/>
        </w:rPr>
      </w:pPr>
    </w:p>
    <w:p w14:paraId="40A32C94" w14:textId="4EF2112B" w:rsidR="00417021" w:rsidRPr="00157C9D" w:rsidRDefault="00417021" w:rsidP="00745F57">
      <w:pPr>
        <w:spacing w:after="0"/>
        <w:jc w:val="center"/>
        <w:rPr>
          <w:rFonts w:ascii="Arial" w:hAnsi="Arial" w:cs="Arial"/>
          <w:b/>
          <w:lang w:val="sr-Latn-ME"/>
        </w:rPr>
      </w:pPr>
    </w:p>
    <w:p w14:paraId="37896B93" w14:textId="2DF0AEC9" w:rsidR="00417021" w:rsidRPr="00157C9D" w:rsidRDefault="00417021" w:rsidP="00745F57">
      <w:pPr>
        <w:spacing w:after="0"/>
        <w:jc w:val="center"/>
        <w:rPr>
          <w:rFonts w:ascii="Arial" w:hAnsi="Arial" w:cs="Arial"/>
          <w:b/>
          <w:lang w:val="sr-Latn-ME"/>
        </w:rPr>
      </w:pPr>
    </w:p>
    <w:p w14:paraId="056E1A55" w14:textId="6BF4E307" w:rsidR="00417021" w:rsidRPr="00157C9D" w:rsidRDefault="00417021" w:rsidP="00745F57">
      <w:pPr>
        <w:spacing w:after="0"/>
        <w:jc w:val="center"/>
        <w:rPr>
          <w:rFonts w:ascii="Arial" w:hAnsi="Arial" w:cs="Arial"/>
          <w:b/>
          <w:lang w:val="sr-Latn-ME"/>
        </w:rPr>
      </w:pPr>
    </w:p>
    <w:p w14:paraId="2CB66D91" w14:textId="6D962E69" w:rsidR="00417021" w:rsidRPr="00157C9D" w:rsidRDefault="00417021" w:rsidP="00745F57">
      <w:pPr>
        <w:spacing w:after="0"/>
        <w:jc w:val="center"/>
        <w:rPr>
          <w:rFonts w:ascii="Arial" w:hAnsi="Arial" w:cs="Arial"/>
          <w:b/>
          <w:lang w:val="sr-Latn-ME"/>
        </w:rPr>
      </w:pPr>
    </w:p>
    <w:p w14:paraId="357F7113" w14:textId="77777777" w:rsidR="00417021" w:rsidRPr="00157C9D" w:rsidRDefault="00417021" w:rsidP="00745F57">
      <w:pPr>
        <w:spacing w:after="0"/>
        <w:jc w:val="center"/>
        <w:rPr>
          <w:rFonts w:ascii="Arial" w:hAnsi="Arial" w:cs="Arial"/>
          <w:b/>
          <w:lang w:val="sr-Latn-ME"/>
        </w:rPr>
      </w:pPr>
    </w:p>
    <w:p w14:paraId="391455C6" w14:textId="6C2F4BF2" w:rsidR="00AE676A" w:rsidRDefault="00AE676A" w:rsidP="00745F57">
      <w:pPr>
        <w:spacing w:after="0"/>
        <w:jc w:val="center"/>
        <w:rPr>
          <w:rFonts w:ascii="Arial" w:hAnsi="Arial" w:cs="Arial"/>
          <w:b/>
          <w:lang w:val="sr-Latn-ME"/>
        </w:rPr>
      </w:pPr>
    </w:p>
    <w:p w14:paraId="6D81769A" w14:textId="77777777" w:rsidR="00965D00" w:rsidRPr="00157C9D" w:rsidRDefault="00965D00" w:rsidP="00745F57">
      <w:pPr>
        <w:spacing w:after="0"/>
        <w:jc w:val="center"/>
        <w:rPr>
          <w:rFonts w:ascii="Arial" w:hAnsi="Arial" w:cs="Arial"/>
          <w:b/>
          <w:lang w:val="sr-Latn-ME"/>
        </w:rPr>
      </w:pPr>
    </w:p>
    <w:p w14:paraId="5C2B5DDA" w14:textId="2910C15B" w:rsidR="00AE676A" w:rsidRPr="00157C9D" w:rsidRDefault="00417021" w:rsidP="00745F57">
      <w:pPr>
        <w:spacing w:after="0"/>
        <w:jc w:val="center"/>
        <w:rPr>
          <w:rFonts w:ascii="Arial" w:hAnsi="Arial" w:cs="Arial"/>
          <w:b/>
          <w:lang w:val="sr-Latn-ME"/>
        </w:rPr>
      </w:pPr>
      <w:r w:rsidRPr="00157C9D">
        <w:rPr>
          <w:rFonts w:ascii="Arial" w:hAnsi="Arial" w:cs="Arial"/>
          <w:b/>
          <w:lang w:val="sr-Latn-ME"/>
        </w:rPr>
        <w:t>D</w:t>
      </w:r>
      <w:r w:rsidR="00535334" w:rsidRPr="00157C9D">
        <w:rPr>
          <w:rFonts w:ascii="Arial" w:hAnsi="Arial" w:cs="Arial"/>
          <w:b/>
          <w:lang w:val="sr-Latn-ME"/>
        </w:rPr>
        <w:t>ecembar</w:t>
      </w:r>
      <w:r w:rsidR="00042E94" w:rsidRPr="00157C9D">
        <w:rPr>
          <w:rFonts w:ascii="Arial" w:hAnsi="Arial" w:cs="Arial"/>
          <w:b/>
          <w:lang w:val="sr-Latn-ME"/>
        </w:rPr>
        <w:t xml:space="preserve"> 202</w:t>
      </w:r>
      <w:r w:rsidR="00535334" w:rsidRPr="00157C9D">
        <w:rPr>
          <w:rFonts w:ascii="Arial" w:hAnsi="Arial" w:cs="Arial"/>
          <w:b/>
          <w:lang w:val="sr-Latn-ME"/>
        </w:rPr>
        <w:t>2</w:t>
      </w:r>
      <w:r w:rsidR="00042E94" w:rsidRPr="00157C9D">
        <w:rPr>
          <w:rFonts w:ascii="Arial" w:hAnsi="Arial" w:cs="Arial"/>
          <w:b/>
          <w:lang w:val="sr-Latn-ME"/>
        </w:rPr>
        <w:t>. godine</w:t>
      </w:r>
    </w:p>
    <w:p w14:paraId="5A02B281" w14:textId="7B18C931" w:rsidR="005E16D4" w:rsidRPr="00157C9D" w:rsidRDefault="00AE676A" w:rsidP="00745F57">
      <w:pPr>
        <w:spacing w:after="0"/>
        <w:rPr>
          <w:rFonts w:ascii="Arial" w:hAnsi="Arial" w:cs="Arial"/>
          <w:b/>
          <w:lang w:val="sr-Latn-ME"/>
        </w:rPr>
      </w:pPr>
      <w:r w:rsidRPr="00157C9D">
        <w:rPr>
          <w:rFonts w:ascii="Arial" w:hAnsi="Arial" w:cs="Arial"/>
          <w:b/>
          <w:lang w:val="sr-Latn-ME"/>
        </w:rPr>
        <w:lastRenderedPageBreak/>
        <w:t>U</w:t>
      </w:r>
      <w:r w:rsidR="00F32F05" w:rsidRPr="00157C9D">
        <w:rPr>
          <w:rFonts w:ascii="Arial" w:hAnsi="Arial" w:cs="Arial"/>
          <w:b/>
          <w:lang w:val="sr-Latn-ME"/>
        </w:rPr>
        <w:t>VOD</w:t>
      </w:r>
    </w:p>
    <w:p w14:paraId="09A36665" w14:textId="77777777" w:rsidR="00BE324A" w:rsidRPr="00157C9D" w:rsidRDefault="00BE324A" w:rsidP="00965D00">
      <w:pPr>
        <w:autoSpaceDE w:val="0"/>
        <w:autoSpaceDN w:val="0"/>
        <w:adjustRightInd w:val="0"/>
        <w:spacing w:before="30" w:after="30"/>
        <w:ind w:left="2160" w:right="2160"/>
        <w:jc w:val="both"/>
        <w:rPr>
          <w:rFonts w:ascii="Arial" w:hAnsi="Arial" w:cs="Arial"/>
          <w:lang w:val="sr-Latn-ME"/>
        </w:rPr>
      </w:pPr>
    </w:p>
    <w:p w14:paraId="16B455F1" w14:textId="4736FFB9" w:rsidR="00535334" w:rsidRPr="00157C9D" w:rsidRDefault="00535334" w:rsidP="00745F57">
      <w:pPr>
        <w:spacing w:after="0"/>
        <w:jc w:val="both"/>
        <w:rPr>
          <w:rFonts w:ascii="Arial" w:hAnsi="Arial" w:cs="Arial"/>
          <w:lang w:val="sr-Latn-ME"/>
        </w:rPr>
      </w:pPr>
      <w:r w:rsidRPr="00157C9D">
        <w:rPr>
          <w:rFonts w:ascii="Arial" w:hAnsi="Arial" w:cs="Arial"/>
          <w:lang w:val="sr-Latn-ME"/>
        </w:rPr>
        <w:t>Crna Gora se Deklaracijom o ekološkoj državi Crnoj Gori iz 1991. godine, ustavnim određenjem i donošenjem Nacionalne strateg</w:t>
      </w:r>
      <w:bookmarkStart w:id="1" w:name="_GoBack"/>
      <w:bookmarkEnd w:id="1"/>
      <w:r w:rsidRPr="00157C9D">
        <w:rPr>
          <w:rFonts w:ascii="Arial" w:hAnsi="Arial" w:cs="Arial"/>
          <w:lang w:val="sr-Latn-ME"/>
        </w:rPr>
        <w:t>ije održivog razvoja, opredijelila za održivost kao jedan od osnovnih principa svog razvoja. Takođe, opredjeljenje Vlade, kao i budući napori Ministarstva ekonomskog razvoja i turizma usmjereni su na brendiranj</w:t>
      </w:r>
      <w:r w:rsidR="00745F57" w:rsidRPr="00157C9D">
        <w:rPr>
          <w:rFonts w:ascii="Arial" w:hAnsi="Arial" w:cs="Arial"/>
          <w:lang w:val="sr-Latn-ME"/>
        </w:rPr>
        <w:t>e</w:t>
      </w:r>
      <w:r w:rsidRPr="00157C9D">
        <w:rPr>
          <w:rFonts w:ascii="Arial" w:hAnsi="Arial" w:cs="Arial"/>
          <w:lang w:val="sr-Latn-ME"/>
        </w:rPr>
        <w:t xml:space="preserve"> Crne Gore kao ekološke države, što je u direktnoj vezi sa budućim razvojem modela cirkularne ekonomije.</w:t>
      </w:r>
    </w:p>
    <w:p w14:paraId="1F51AE48" w14:textId="77777777" w:rsidR="00535334" w:rsidRPr="00157C9D" w:rsidRDefault="00535334" w:rsidP="00745F57">
      <w:pPr>
        <w:spacing w:after="0"/>
        <w:jc w:val="both"/>
        <w:rPr>
          <w:rFonts w:ascii="Arial" w:hAnsi="Arial" w:cs="Arial"/>
          <w:lang w:val="sr-Latn-ME"/>
        </w:rPr>
      </w:pPr>
    </w:p>
    <w:p w14:paraId="1B97CEAF" w14:textId="18985BFE" w:rsidR="00535334" w:rsidRPr="00157C9D" w:rsidRDefault="00535334" w:rsidP="00745F57">
      <w:pPr>
        <w:spacing w:after="0"/>
        <w:jc w:val="both"/>
        <w:rPr>
          <w:rFonts w:ascii="Arial" w:hAnsi="Arial" w:cs="Arial"/>
          <w:lang w:val="sr-Latn-ME"/>
        </w:rPr>
      </w:pPr>
      <w:r w:rsidRPr="00157C9D">
        <w:rPr>
          <w:rFonts w:ascii="Arial" w:hAnsi="Arial" w:cs="Arial"/>
          <w:lang w:val="sr-Latn-ME"/>
        </w:rPr>
        <w:t>Dodatno, Vlada Crne Gore</w:t>
      </w:r>
      <w:r w:rsidR="00745F57" w:rsidRPr="00157C9D">
        <w:rPr>
          <w:rFonts w:ascii="Arial" w:hAnsi="Arial" w:cs="Arial"/>
          <w:lang w:val="sr-Latn-ME"/>
        </w:rPr>
        <w:t xml:space="preserve"> je</w:t>
      </w:r>
      <w:r w:rsidRPr="00157C9D">
        <w:rPr>
          <w:rFonts w:ascii="Arial" w:hAnsi="Arial" w:cs="Arial"/>
          <w:lang w:val="sr-Latn-ME"/>
        </w:rPr>
        <w:t xml:space="preserve"> čvrsto opredjeljena da budući ekonomski razvoj mora biti pravičan i zasnovan na dobrom upravljanju, znanju i inovacijama, prožet projektima zelene tranzicije i digitalne ekonomije, čime će se omogućiti uvođenje novih procesa poslovanja i lakše prilagođavanje novim tržišnim okolnostima.</w:t>
      </w:r>
    </w:p>
    <w:p w14:paraId="29E0D0D7" w14:textId="77777777" w:rsidR="00535334" w:rsidRPr="00157C9D" w:rsidRDefault="00535334" w:rsidP="00745F57">
      <w:pPr>
        <w:spacing w:after="0"/>
        <w:jc w:val="both"/>
        <w:rPr>
          <w:rFonts w:ascii="Arial" w:hAnsi="Arial" w:cs="Arial"/>
          <w:lang w:val="sr-Latn-ME"/>
        </w:rPr>
      </w:pPr>
    </w:p>
    <w:p w14:paraId="30B8839A"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 xml:space="preserve">Trenutna kriza koju je izazvao rat u Ukrajini je dodatno usporila i oslabila kako globalnu, tako i crnogorsku privredu, koja je već bila teško pogođena krizom koju je izazvao COVID-19. Redefinisanje strategije razvoja postaje prioritet i zapravo jedinstvena prilika za dalji ekonomski oporavak i pokretanje ekonomije. Imajući u vidu navedeno, ova strategija predstavlja svojevrsan odgovor na krizu tako što redefiniše način dosadašnjeg razmišljanja, poslovanja, odnos prema postojećim resursima, a sve sa ciljem obezbjeđivanja kvalitetnog života svih građana i građanki uz zaštitu postojećih resursa, kako prirodnih, tako i ljudskih, i njihovu adekvatnu valorizaciju. </w:t>
      </w:r>
    </w:p>
    <w:p w14:paraId="319D66F7" w14:textId="77777777" w:rsidR="00535334" w:rsidRPr="00157C9D" w:rsidRDefault="00535334" w:rsidP="00745F57">
      <w:pPr>
        <w:spacing w:after="0"/>
        <w:jc w:val="both"/>
        <w:rPr>
          <w:rFonts w:ascii="Arial" w:hAnsi="Arial" w:cs="Arial"/>
          <w:lang w:val="sr-Latn-ME"/>
        </w:rPr>
      </w:pPr>
    </w:p>
    <w:p w14:paraId="1B042AE7"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 xml:space="preserve">Izradi ove Strategije je prethodila saradnja sa Privrednom komorom Crne Gore (PKCG) u okviru koje je izrađena </w:t>
      </w:r>
      <w:bookmarkStart w:id="2" w:name="_Hlk117974144"/>
      <w:r w:rsidRPr="00157C9D">
        <w:rPr>
          <w:rFonts w:ascii="Arial" w:hAnsi="Arial" w:cs="Arial"/>
          <w:lang w:val="sr-Latn-ME"/>
        </w:rPr>
        <w:t xml:space="preserve">Mapa puta Crne Gore ka cirkularnoj ekonomiji (Mapa puta), koja je objavljena u aprilu 2022. godine. </w:t>
      </w:r>
      <w:bookmarkEnd w:id="2"/>
      <w:r w:rsidRPr="00157C9D">
        <w:rPr>
          <w:rFonts w:ascii="Arial" w:hAnsi="Arial" w:cs="Arial"/>
          <w:lang w:val="sr-Latn-ME"/>
        </w:rPr>
        <w:t>Cilj Mape puta je da posluži svim akterima u crnogorskom društvu kako bi se unaprijedio kvalitet njihovog života, motivisali privredni subjekti da integrišu cirkularne poslovne modele koji bi poboljšali kvalitet njihovog rada, proširile i povećale mogućnosti za zapošljavanje i podstakla kulturna evolucija. Osim toga, cilj je sistemska promjena odnosno podsticanje transformacije u načinu razmišljanja i djelovanja u pogledu korišćenja resursa, kao i uzrokovanje samoobavezujuće posvećenosti donosioca odluka da prilagode politike koje predlažu, a koje su u skladu sa principima cirkularne ekonomije. Kao jedan od prvih koraka u tom pravcu, Mapa puta definiše izradu Strategije za cirkularnu tranziciju, čiji je cilj da definiše jasnu viziju, strateške i operativne ciljeve i pripadajuće ciljne vrijednosti i prioritete, identifikuje sredstva i pomogne u prevazilaženju postojeće fragmentacije kada su u pitanju postojeće i buduće inicijative na sektorskom nivou.</w:t>
      </w:r>
    </w:p>
    <w:p w14:paraId="09EEA0CF" w14:textId="77777777" w:rsidR="00535334" w:rsidRPr="00157C9D" w:rsidRDefault="00535334" w:rsidP="00745F57">
      <w:pPr>
        <w:spacing w:after="0"/>
        <w:jc w:val="both"/>
        <w:rPr>
          <w:rFonts w:ascii="Arial" w:hAnsi="Arial" w:cs="Arial"/>
          <w:lang w:val="sr-Latn-ME"/>
        </w:rPr>
      </w:pPr>
    </w:p>
    <w:p w14:paraId="229BE437"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Nacionalna Strategija cirkularne tranzicije do 2030. će na taj način predstavljati i odgovor na brojne međunarodne obaveze koje su definisane UN Agendom održivog razvoja do 2030. godine, Zelenim sporazumom EU, obavezama u okviru pregovaračkog procesa Crne Gore sa Evropskom unijom (EU) i brojnim obavezama definisanim u različitim sektorskim strategijama.</w:t>
      </w:r>
    </w:p>
    <w:p w14:paraId="518EE29A" w14:textId="77777777" w:rsidR="00535334" w:rsidRPr="00157C9D" w:rsidRDefault="00535334" w:rsidP="00745F57">
      <w:pPr>
        <w:spacing w:after="0"/>
        <w:jc w:val="both"/>
        <w:rPr>
          <w:rFonts w:ascii="Arial" w:hAnsi="Arial" w:cs="Arial"/>
          <w:lang w:val="sr-Latn-ME"/>
        </w:rPr>
      </w:pPr>
    </w:p>
    <w:p w14:paraId="767D3F4B"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Kao generator privrednog rasta i razvoja mala i srednja preduzeća (MSP) čine važan faktor ka cirkularnoj tranziciji. Ona čine pokretačku snagu u pomaku i promjenama tradicionalnog linearnog načina poslovanja u koncept novog promišljanja, integrisanog održivog i „pametnog“ razvoja. U tom cilju neophodno je pratiti dalji razvoj i dostignuća, prateći nalaze Akta o malim preduzećima (Small Business Act – SBA).</w:t>
      </w:r>
    </w:p>
    <w:p w14:paraId="0AA326AC" w14:textId="77777777" w:rsidR="00535334" w:rsidRPr="00157C9D" w:rsidRDefault="00535334" w:rsidP="00745F57">
      <w:pPr>
        <w:spacing w:after="0"/>
        <w:jc w:val="both"/>
        <w:rPr>
          <w:rFonts w:ascii="Arial" w:hAnsi="Arial" w:cs="Arial"/>
          <w:lang w:val="sr-Latn-ME"/>
        </w:rPr>
      </w:pPr>
    </w:p>
    <w:p w14:paraId="30753D09" w14:textId="3DF211D6" w:rsidR="00535334" w:rsidRPr="00157C9D" w:rsidRDefault="00535334" w:rsidP="00745F57">
      <w:pPr>
        <w:spacing w:after="0"/>
        <w:jc w:val="both"/>
        <w:rPr>
          <w:rFonts w:ascii="Arial" w:hAnsi="Arial" w:cs="Arial"/>
          <w:lang w:val="sr-Latn-ME"/>
        </w:rPr>
      </w:pPr>
      <w:r w:rsidRPr="00157C9D">
        <w:rPr>
          <w:rFonts w:ascii="Arial" w:hAnsi="Arial" w:cs="Arial"/>
          <w:lang w:val="sr-Latn-ME"/>
        </w:rPr>
        <w:t>Nacionalna Strategija cirkularne tranzicije do 2030. se dodatno naslanja na dva krovna razvojna dokumenta Crne Gore: Nacionalnu strategiju održivog razvoja do 2030. godine i Program ekonomskih reformi za period 2022-2024. godina.</w:t>
      </w:r>
    </w:p>
    <w:p w14:paraId="1CB34EA0" w14:textId="77777777" w:rsidR="00535334" w:rsidRPr="00157C9D" w:rsidRDefault="00535334" w:rsidP="00745F57">
      <w:pPr>
        <w:spacing w:after="0"/>
        <w:jc w:val="both"/>
        <w:rPr>
          <w:rFonts w:ascii="Arial" w:hAnsi="Arial" w:cs="Arial"/>
          <w:lang w:val="sr-Latn-ME"/>
        </w:rPr>
      </w:pPr>
    </w:p>
    <w:p w14:paraId="25DC0720"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 xml:space="preserve">Naime, Programom ekonomskih reformi za period 2022-2024. godina (PER), glavnim dokumentom ekonomske politike Crne Gore koji je Vlada donijela u februaru 2022. godine, definisan je strateški cilj Crne </w:t>
      </w:r>
      <w:r w:rsidRPr="00157C9D">
        <w:rPr>
          <w:rFonts w:ascii="Arial" w:hAnsi="Arial" w:cs="Arial"/>
          <w:lang w:val="sr-Latn-ME"/>
        </w:rPr>
        <w:lastRenderedPageBreak/>
        <w:t>Gore za naredni period, a koji se odnosi na osmišljavanje i implementaciju digitalno zasnovanog, zelenijeg, snažnijeg i otpornijeg ekonomskog oporavka i rasta, kroz diverzifikaciju ekonomije.</w:t>
      </w:r>
    </w:p>
    <w:p w14:paraId="050A168B" w14:textId="77777777" w:rsidR="00535334" w:rsidRPr="00157C9D" w:rsidRDefault="00535334" w:rsidP="00745F57">
      <w:pPr>
        <w:spacing w:after="0"/>
        <w:jc w:val="both"/>
        <w:rPr>
          <w:rFonts w:ascii="Arial" w:hAnsi="Arial" w:cs="Arial"/>
          <w:lang w:val="sr-Latn-ME"/>
        </w:rPr>
      </w:pPr>
    </w:p>
    <w:p w14:paraId="6F0F83A6" w14:textId="4F4A5A50" w:rsidR="00535334" w:rsidRPr="00157C9D" w:rsidRDefault="00535334" w:rsidP="00745F57">
      <w:pPr>
        <w:spacing w:after="0"/>
        <w:jc w:val="both"/>
        <w:rPr>
          <w:rFonts w:ascii="Arial" w:hAnsi="Arial" w:cs="Arial"/>
          <w:lang w:val="sr-Latn-ME"/>
        </w:rPr>
      </w:pPr>
      <w:r w:rsidRPr="00157C9D">
        <w:rPr>
          <w:rFonts w:ascii="Arial" w:hAnsi="Arial" w:cs="Arial"/>
          <w:lang w:val="sr-Latn-ME"/>
        </w:rPr>
        <w:t>Programom su definisani glavni ciljevi reformskog paketa koji se odnose na povećanje životnog standarda stanovništva, povećanje zaposlenosti, smanjenje sive ekonomije na tržištu rada i poboljšanje poslovnog i investicionog ambijenta, a kao glavni pokretači ekonomskog rasta u narednom srednjoročnom periodu prepoznati su turistički sektor, energetika, poljoprivredna proizvodnja, prerađivačka industrija i inova</w:t>
      </w:r>
      <w:r w:rsidR="00D30F51">
        <w:rPr>
          <w:rFonts w:ascii="Arial" w:hAnsi="Arial" w:cs="Arial"/>
          <w:lang w:val="sr-Latn-ME"/>
        </w:rPr>
        <w:t>ciona</w:t>
      </w:r>
      <w:r w:rsidRPr="00157C9D">
        <w:rPr>
          <w:rFonts w:ascii="Arial" w:hAnsi="Arial" w:cs="Arial"/>
          <w:lang w:val="sr-Latn-ME"/>
        </w:rPr>
        <w:t xml:space="preserve"> djelatnost zasnovane na ubrzanoj digitalizaciji i rastu IT sektora.</w:t>
      </w:r>
    </w:p>
    <w:p w14:paraId="1954826E" w14:textId="77777777" w:rsidR="00675FCB" w:rsidRPr="00157C9D" w:rsidRDefault="00675FCB" w:rsidP="00745F57">
      <w:pPr>
        <w:spacing w:after="0"/>
        <w:jc w:val="both"/>
        <w:rPr>
          <w:rFonts w:ascii="Arial" w:hAnsi="Arial" w:cs="Arial"/>
          <w:b/>
          <w:lang w:val="sr-Latn-ME"/>
        </w:rPr>
      </w:pPr>
    </w:p>
    <w:p w14:paraId="3BF4097D" w14:textId="54E99E4E" w:rsidR="00483C04" w:rsidRPr="00157C9D" w:rsidRDefault="00535334" w:rsidP="00745F57">
      <w:pPr>
        <w:spacing w:after="0"/>
        <w:rPr>
          <w:rFonts w:ascii="Arial" w:hAnsi="Arial" w:cs="Arial"/>
          <w:b/>
          <w:lang w:val="sr-Latn-ME"/>
        </w:rPr>
      </w:pPr>
      <w:r w:rsidRPr="00157C9D">
        <w:rPr>
          <w:rFonts w:ascii="Arial" w:hAnsi="Arial" w:cs="Arial"/>
          <w:b/>
          <w:lang w:val="sr-Latn-ME"/>
        </w:rPr>
        <w:t>METODOLOŠKI PRISTUP IZRADE STRATEGIJE</w:t>
      </w:r>
    </w:p>
    <w:p w14:paraId="21DB45E9" w14:textId="77777777" w:rsidR="0042639D" w:rsidRPr="00157C9D" w:rsidRDefault="0042639D" w:rsidP="00745F57">
      <w:pPr>
        <w:spacing w:after="0"/>
        <w:jc w:val="center"/>
        <w:rPr>
          <w:rFonts w:ascii="Arial" w:hAnsi="Arial" w:cs="Arial"/>
          <w:b/>
          <w:lang w:val="sr-Latn-ME"/>
        </w:rPr>
      </w:pPr>
    </w:p>
    <w:p w14:paraId="49E9B9B2"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Metodologija izrade Nacionalne Strategije cirkularne tranzicije do 2030. s Akcionim planom 2023-2024. godine se oslanja na Uredbu o načinu i postupku izrade, usklađivanja i praćenja sprovođenja strateških dokumenata (,,Sl. list CG“ broj 54/18) i Metodologiju razvijanja politika, izrade i praćenja sprovođenja strateških dokumenata koju je pripremio Generalni sekretarijat Vlade.</w:t>
      </w:r>
    </w:p>
    <w:p w14:paraId="2685AD6B" w14:textId="77777777" w:rsidR="00535334" w:rsidRPr="00157C9D" w:rsidRDefault="00535334" w:rsidP="00745F57">
      <w:pPr>
        <w:spacing w:after="0"/>
        <w:jc w:val="both"/>
        <w:rPr>
          <w:rFonts w:ascii="Arial" w:hAnsi="Arial" w:cs="Arial"/>
          <w:lang w:val="sr-Latn-ME"/>
        </w:rPr>
      </w:pPr>
    </w:p>
    <w:p w14:paraId="715AADD8"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 xml:space="preserve">Strategija cirkularne tranzicije do 2030. utvrđuje razvojne prioritete, odnosno strateške ciljeve i odgovarajuće operativne ciljeve za postizanje strateških ciljeva u kontekstu cirkularne tranzicije crnogorske ekonomije. </w:t>
      </w:r>
    </w:p>
    <w:p w14:paraId="3ECC3EB7" w14:textId="77777777" w:rsidR="00535334" w:rsidRPr="00157C9D" w:rsidRDefault="00535334" w:rsidP="00745F57">
      <w:pPr>
        <w:spacing w:after="0"/>
        <w:jc w:val="both"/>
        <w:rPr>
          <w:rFonts w:ascii="Arial" w:hAnsi="Arial" w:cs="Arial"/>
          <w:lang w:val="sr-Latn-ME"/>
        </w:rPr>
      </w:pPr>
    </w:p>
    <w:p w14:paraId="3C8EC713"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Sastavni dio Strategije čini Akcioni plan za period 2023-2024. godina, u okviru kojeg su svi strateški i operativni ciljevi razvijeni kroz konkretne, pojedinačne aktivnosti, predstavljajući način na koji se sprovode utvrđeni operativni ciljevi u okviru svakog strateškog cilja, nadležne institucije za sprovođenje svake pojedinačne aktivnosti, rok za realizaciju aktivnosti i iznos i izvor sredstava potrebnih za njihovu realizaciju. Dodatno, na nivou operativnih ciljeva su utvrđeni indikatori učinka koji služe za praćenje nivoa implementacije Strategije, dok je za svaku od aktivnosti definisan indikator rezultata kojim se prati ostvarenost svake pojedinačne aktivnosti.</w:t>
      </w:r>
    </w:p>
    <w:p w14:paraId="4C780083" w14:textId="77777777" w:rsidR="00535334" w:rsidRPr="00157C9D" w:rsidRDefault="00535334" w:rsidP="00745F57">
      <w:pPr>
        <w:spacing w:after="0"/>
        <w:jc w:val="both"/>
        <w:rPr>
          <w:rFonts w:ascii="Arial" w:hAnsi="Arial" w:cs="Arial"/>
          <w:lang w:val="sr-Latn-ME"/>
        </w:rPr>
      </w:pPr>
    </w:p>
    <w:p w14:paraId="32B88EE9"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U kreiranju Strategije realizovan je princip usklađenosti. Strategija je pripremljena u skladu sa svim prioritetima i ciljevima krovnih strateških dokumenata Crne Gore, kao i sa ostalim relevantnim strateškim dokumentima, čime se izbjeglo preklapanje aktivnosti ili kontradiktornosti.</w:t>
      </w:r>
    </w:p>
    <w:p w14:paraId="6D4F5B01" w14:textId="77777777" w:rsidR="00535334" w:rsidRPr="00157C9D" w:rsidRDefault="00535334" w:rsidP="00745F57">
      <w:pPr>
        <w:spacing w:after="0"/>
        <w:jc w:val="both"/>
        <w:rPr>
          <w:rFonts w:ascii="Arial" w:hAnsi="Arial" w:cs="Arial"/>
          <w:lang w:val="sr-Latn-ME"/>
        </w:rPr>
      </w:pPr>
    </w:p>
    <w:p w14:paraId="186337D1"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Ključna specifičnost procesa izrade ovog dokumenta se ogleda u činjenici da je izradi ovog dokumenta prethodio proces izrade Mape puta Crne Gore ka cirkularnoj ekonomiji, u saradnji UNDP-a i PKCG-a. Radi se o dokumentu koji se bazira na širokom konsultativnom procesu koji je obuhvatio:</w:t>
      </w:r>
    </w:p>
    <w:p w14:paraId="3161098B" w14:textId="77777777" w:rsidR="00535334" w:rsidRPr="00157C9D" w:rsidRDefault="00535334" w:rsidP="00745F57">
      <w:pPr>
        <w:pStyle w:val="ListParagraph"/>
        <w:numPr>
          <w:ilvl w:val="0"/>
          <w:numId w:val="12"/>
        </w:numPr>
        <w:spacing w:after="0"/>
        <w:jc w:val="both"/>
        <w:rPr>
          <w:rFonts w:ascii="Arial" w:hAnsi="Arial" w:cs="Arial"/>
          <w:lang w:val="sr-Latn-ME"/>
        </w:rPr>
      </w:pPr>
      <w:r w:rsidRPr="00157C9D">
        <w:rPr>
          <w:rFonts w:ascii="Arial" w:hAnsi="Arial" w:cs="Arial"/>
          <w:lang w:val="sr-Latn-ME"/>
        </w:rPr>
        <w:t>Pregled preko 80 dokumenata (nacionalnih zakona, strategija, politika, istraživanja, izvještaja, itd.);</w:t>
      </w:r>
    </w:p>
    <w:p w14:paraId="72B7F14F" w14:textId="77777777" w:rsidR="00535334" w:rsidRPr="00157C9D" w:rsidRDefault="00535334" w:rsidP="00745F57">
      <w:pPr>
        <w:pStyle w:val="ListParagraph"/>
        <w:numPr>
          <w:ilvl w:val="0"/>
          <w:numId w:val="12"/>
        </w:numPr>
        <w:spacing w:after="0"/>
        <w:jc w:val="both"/>
        <w:rPr>
          <w:rFonts w:ascii="Arial" w:hAnsi="Arial" w:cs="Arial"/>
          <w:lang w:val="sr-Latn-ME"/>
        </w:rPr>
      </w:pPr>
      <w:r w:rsidRPr="00157C9D">
        <w:rPr>
          <w:rFonts w:ascii="Arial" w:hAnsi="Arial" w:cs="Arial"/>
          <w:lang w:val="sr-Latn-ME"/>
        </w:rPr>
        <w:t>Tri radionice tokom 2021. godine sa relevantnim akterima iz različitih sektora (javnog i privatnog), kojima je prisustvovalo preko 60 učesnika;</w:t>
      </w:r>
    </w:p>
    <w:p w14:paraId="15B15F69" w14:textId="77777777" w:rsidR="00535334" w:rsidRPr="00157C9D" w:rsidRDefault="00535334" w:rsidP="00745F57">
      <w:pPr>
        <w:pStyle w:val="ListParagraph"/>
        <w:numPr>
          <w:ilvl w:val="0"/>
          <w:numId w:val="12"/>
        </w:numPr>
        <w:spacing w:after="0"/>
        <w:jc w:val="both"/>
        <w:rPr>
          <w:rFonts w:ascii="Arial" w:hAnsi="Arial" w:cs="Arial"/>
          <w:lang w:val="sr-Latn-ME"/>
        </w:rPr>
      </w:pPr>
      <w:r w:rsidRPr="00157C9D">
        <w:rPr>
          <w:rFonts w:ascii="Arial" w:hAnsi="Arial" w:cs="Arial"/>
          <w:lang w:val="sr-Latn-ME"/>
        </w:rPr>
        <w:t>Upitnik koji je distribuiran na listu selektovanih preduzeća iz targetiranih privrednih grana, a popunile su ga 84 kompanije i</w:t>
      </w:r>
    </w:p>
    <w:p w14:paraId="50A5EE6C" w14:textId="77777777" w:rsidR="00535334" w:rsidRPr="00157C9D" w:rsidRDefault="00535334" w:rsidP="00745F57">
      <w:pPr>
        <w:pStyle w:val="ListParagraph"/>
        <w:numPr>
          <w:ilvl w:val="0"/>
          <w:numId w:val="12"/>
        </w:numPr>
        <w:spacing w:after="0"/>
        <w:jc w:val="both"/>
        <w:rPr>
          <w:rFonts w:ascii="Arial" w:hAnsi="Arial" w:cs="Arial"/>
          <w:lang w:val="sr-Latn-ME"/>
        </w:rPr>
      </w:pPr>
      <w:r w:rsidRPr="00157C9D">
        <w:rPr>
          <w:rFonts w:ascii="Arial" w:hAnsi="Arial" w:cs="Arial"/>
          <w:lang w:val="sr-Latn-ME"/>
        </w:rPr>
        <w:t>Individualni intervjui i razgovori su obavljeni sa preko 15 aktera iz privrede koji posluju u okviru fokusnih područja i nekoliko aktera iz javnog i akademskog sektora.</w:t>
      </w:r>
    </w:p>
    <w:p w14:paraId="08B896AE" w14:textId="77777777" w:rsidR="00535334" w:rsidRPr="00157C9D" w:rsidRDefault="00535334" w:rsidP="00745F57">
      <w:pPr>
        <w:spacing w:after="0"/>
        <w:jc w:val="both"/>
        <w:rPr>
          <w:rFonts w:ascii="Arial" w:hAnsi="Arial" w:cs="Arial"/>
          <w:lang w:val="sr-Latn-ME"/>
        </w:rPr>
      </w:pPr>
    </w:p>
    <w:p w14:paraId="2C7944D7" w14:textId="77777777" w:rsidR="00535334" w:rsidRPr="00157C9D" w:rsidRDefault="00535334" w:rsidP="00745F57">
      <w:pPr>
        <w:spacing w:after="0"/>
        <w:jc w:val="both"/>
        <w:rPr>
          <w:rFonts w:ascii="Arial" w:hAnsi="Arial" w:cs="Arial"/>
          <w:lang w:val="sr-Latn-ME"/>
        </w:rPr>
      </w:pPr>
      <w:r w:rsidRPr="00157C9D">
        <w:rPr>
          <w:rFonts w:ascii="Arial" w:hAnsi="Arial" w:cs="Arial"/>
          <w:lang w:val="sr-Latn-ME"/>
        </w:rPr>
        <w:t xml:space="preserve">Navedene konsultacije su realizovane tokom 2021. godine, a sami dokument je finalizovan i objavljen u aprilu 2022. godine što ga čini izuzetno aktuelnim, posebno u kontekstu pripreme analize stanja i procjene potencijala za cirkularnu tranziciju crnogorske ekonomije. </w:t>
      </w:r>
    </w:p>
    <w:p w14:paraId="4352A55A" w14:textId="5F870AAE" w:rsidR="00535334" w:rsidRDefault="00535334" w:rsidP="00745F57">
      <w:pPr>
        <w:spacing w:after="0"/>
        <w:jc w:val="both"/>
        <w:rPr>
          <w:rFonts w:ascii="Arial" w:hAnsi="Arial" w:cs="Arial"/>
          <w:lang w:val="sr-Latn-ME"/>
        </w:rPr>
      </w:pPr>
    </w:p>
    <w:p w14:paraId="5AB1939F" w14:textId="69791AF8" w:rsidR="00965D00" w:rsidRDefault="00965D00" w:rsidP="00745F57">
      <w:pPr>
        <w:spacing w:after="0"/>
        <w:jc w:val="both"/>
        <w:rPr>
          <w:rFonts w:ascii="Arial" w:hAnsi="Arial" w:cs="Arial"/>
          <w:lang w:val="sr-Latn-ME"/>
        </w:rPr>
      </w:pPr>
    </w:p>
    <w:p w14:paraId="660C7E9F" w14:textId="77777777" w:rsidR="00965D00" w:rsidRPr="00157C9D" w:rsidRDefault="00965D00" w:rsidP="00745F57">
      <w:pPr>
        <w:spacing w:after="0"/>
        <w:jc w:val="both"/>
        <w:rPr>
          <w:rFonts w:ascii="Arial" w:hAnsi="Arial" w:cs="Arial"/>
          <w:lang w:val="sr-Latn-ME"/>
        </w:rPr>
      </w:pPr>
    </w:p>
    <w:p w14:paraId="549E3ED7" w14:textId="0862947F" w:rsidR="00535334" w:rsidRDefault="00535334" w:rsidP="00745F57">
      <w:pPr>
        <w:spacing w:after="0"/>
        <w:jc w:val="both"/>
        <w:rPr>
          <w:rFonts w:ascii="Arial" w:hAnsi="Arial" w:cs="Arial"/>
          <w:lang w:val="sr-Latn-ME"/>
        </w:rPr>
      </w:pPr>
      <w:r w:rsidRPr="00157C9D">
        <w:rPr>
          <w:rFonts w:ascii="Arial" w:hAnsi="Arial" w:cs="Arial"/>
          <w:lang w:val="sr-Latn-ME"/>
        </w:rPr>
        <w:lastRenderedPageBreak/>
        <w:t>Aktivnosti na pripremi i kreiranju Strategije realizovane su kroz sl</w:t>
      </w:r>
      <w:r w:rsidR="00965D00">
        <w:rPr>
          <w:rFonts w:ascii="Arial" w:hAnsi="Arial" w:cs="Arial"/>
          <w:lang w:val="sr-Latn-ME"/>
        </w:rPr>
        <w:t>j</w:t>
      </w:r>
      <w:r w:rsidRPr="00157C9D">
        <w:rPr>
          <w:rFonts w:ascii="Arial" w:hAnsi="Arial" w:cs="Arial"/>
          <w:lang w:val="sr-Latn-ME"/>
        </w:rPr>
        <w:t>edeće faze:</w:t>
      </w:r>
    </w:p>
    <w:p w14:paraId="48E793D8" w14:textId="77777777" w:rsidR="00965D00" w:rsidRPr="00157C9D" w:rsidRDefault="00965D00" w:rsidP="00745F57">
      <w:pPr>
        <w:spacing w:after="0"/>
        <w:jc w:val="both"/>
        <w:rPr>
          <w:rFonts w:ascii="Arial" w:hAnsi="Arial" w:cs="Arial"/>
          <w:lang w:val="sr-Latn-ME"/>
        </w:rPr>
      </w:pPr>
    </w:p>
    <w:p w14:paraId="3539E120" w14:textId="771F98C9" w:rsidR="00535334" w:rsidRDefault="00535334" w:rsidP="00745F57">
      <w:pPr>
        <w:pStyle w:val="ListParagraph"/>
        <w:numPr>
          <w:ilvl w:val="0"/>
          <w:numId w:val="11"/>
        </w:numPr>
        <w:spacing w:after="0"/>
        <w:ind w:left="720" w:hanging="450"/>
        <w:jc w:val="both"/>
        <w:rPr>
          <w:rFonts w:ascii="Arial" w:hAnsi="Arial" w:cs="Arial"/>
          <w:lang w:val="sr-Latn-ME"/>
        </w:rPr>
      </w:pPr>
      <w:r w:rsidRPr="00157C9D">
        <w:rPr>
          <w:rFonts w:ascii="Arial" w:hAnsi="Arial" w:cs="Arial"/>
          <w:b/>
          <w:bCs/>
          <w:lang w:val="sr-Latn-ME"/>
        </w:rPr>
        <w:t>Faza I – Radna grupa</w:t>
      </w:r>
      <w:r w:rsidRPr="00157C9D">
        <w:rPr>
          <w:rFonts w:ascii="Arial" w:hAnsi="Arial" w:cs="Arial"/>
          <w:lang w:val="sr-Latn-ME"/>
        </w:rPr>
        <w:t>: Ključno tijelo za izradu Strategije, u okviru MERT-a, je Radna grupa za promociju i identifikaciju projekata iz oblasti zelene ekonomije, koja je formirana u aprilu 2021. godine u okviru Savjeta za konkurentnost. U martu 2022. godine, na sjednici Savjeta za konkurentnost, radna grupa je preimenovana u Radnu grupa za promociju zelene tranzicije, a nadležnost je proširena i na definisanje razvojnih politika, unapređenje strateškog i regulatornog okvira u pravcu održive proizvodnje i tranzicije na koncept cirkularne ekonomije. Radnu grupu čine predstavnici relevantnih ministarstava, institucija, poslovnih asocijacija, fondova, međunarodnih organizacija i nevladinih organizacija. Predstavnici Radne grupe su pružili smjernice u pogledu ključnih aktivnosti za izradu Strategije i Akcionog plana na bazi prioritetnih tekućih i planiranih aktivnosti u okviru institucija i organizacija koje zastupaju.</w:t>
      </w:r>
    </w:p>
    <w:p w14:paraId="123556A0" w14:textId="77777777" w:rsidR="00965D00" w:rsidRPr="00157C9D" w:rsidRDefault="00965D00" w:rsidP="00965D00">
      <w:pPr>
        <w:pStyle w:val="ListParagraph"/>
        <w:spacing w:after="0"/>
        <w:jc w:val="both"/>
        <w:rPr>
          <w:rFonts w:ascii="Arial" w:hAnsi="Arial" w:cs="Arial"/>
          <w:lang w:val="sr-Latn-ME"/>
        </w:rPr>
      </w:pPr>
    </w:p>
    <w:p w14:paraId="087E51C2" w14:textId="2348F87E" w:rsidR="00535334" w:rsidRDefault="00535334" w:rsidP="00745F57">
      <w:pPr>
        <w:pStyle w:val="ListParagraph"/>
        <w:numPr>
          <w:ilvl w:val="0"/>
          <w:numId w:val="11"/>
        </w:numPr>
        <w:spacing w:after="0"/>
        <w:ind w:left="720" w:hanging="450"/>
        <w:jc w:val="both"/>
        <w:rPr>
          <w:rFonts w:ascii="Arial" w:hAnsi="Arial" w:cs="Arial"/>
          <w:lang w:val="sr-Latn-ME"/>
        </w:rPr>
      </w:pPr>
      <w:r w:rsidRPr="00157C9D">
        <w:rPr>
          <w:rFonts w:ascii="Arial" w:hAnsi="Arial" w:cs="Arial"/>
          <w:b/>
          <w:bCs/>
          <w:lang w:val="sr-Latn-ME"/>
        </w:rPr>
        <w:t>Faza II - Analitička osnova</w:t>
      </w:r>
      <w:r w:rsidRPr="00157C9D">
        <w:rPr>
          <w:rFonts w:ascii="Arial" w:hAnsi="Arial" w:cs="Arial"/>
          <w:lang w:val="sr-Latn-ME"/>
        </w:rPr>
        <w:t>: Pored Mape puta, za ovu fazu su korišteni nalazi brojnih istraživanja koja su realizovana u prethodnom periodu na temu zelene/cirkularne ekonomije u Crnoj Gori, krovna razvojna dokumenta, ključne sektorske strategije i nacionalni zakoni, studije, kao i relevantne UN i EU politike u ovoj oblasti, kao i analiza inputa dostavljenih od strane Radne grupe.</w:t>
      </w:r>
    </w:p>
    <w:p w14:paraId="4171AE60" w14:textId="77777777" w:rsidR="00965D00" w:rsidRPr="00965D00" w:rsidRDefault="00965D00" w:rsidP="00965D00">
      <w:pPr>
        <w:spacing w:after="0"/>
        <w:jc w:val="both"/>
        <w:rPr>
          <w:rFonts w:ascii="Arial" w:hAnsi="Arial" w:cs="Arial"/>
          <w:lang w:val="sr-Latn-ME"/>
        </w:rPr>
      </w:pPr>
    </w:p>
    <w:p w14:paraId="71133DBD" w14:textId="175D63A4" w:rsidR="00535334" w:rsidRPr="00965D00" w:rsidRDefault="00535334" w:rsidP="00745F57">
      <w:pPr>
        <w:pStyle w:val="ListParagraph"/>
        <w:numPr>
          <w:ilvl w:val="0"/>
          <w:numId w:val="11"/>
        </w:numPr>
        <w:spacing w:after="0"/>
        <w:ind w:left="720" w:hanging="450"/>
        <w:jc w:val="both"/>
        <w:rPr>
          <w:rFonts w:ascii="Arial" w:hAnsi="Arial" w:cs="Arial"/>
          <w:b/>
          <w:bCs/>
          <w:lang w:val="sr-Latn-ME"/>
        </w:rPr>
      </w:pPr>
      <w:r w:rsidRPr="00157C9D">
        <w:rPr>
          <w:rFonts w:ascii="Arial" w:hAnsi="Arial" w:cs="Arial"/>
          <w:b/>
          <w:bCs/>
          <w:lang w:val="sr-Latn-ME"/>
        </w:rPr>
        <w:t xml:space="preserve">Faza III – Konsultacije - </w:t>
      </w:r>
      <w:r w:rsidRPr="00157C9D">
        <w:rPr>
          <w:rFonts w:ascii="Arial" w:hAnsi="Arial" w:cs="Arial"/>
          <w:lang w:val="sr-Latn-ME"/>
        </w:rPr>
        <w:t>U procesu kreiranja nacrta Strategije, organizovan je niz pojedinačnih konsultativnih razgovora i održana je dvodnevna radionica sa predstavnicima svih relevantnih institucija i organizacija koje doprinose razvoju cirkularne ekonomije, u cilju detaljnog sagledavanja polaznih osnova i definisanja strateških i operativnih ciljeva Strategije, kao i ključnih aktivnosti koje je potrebno imati u vidu prilikom izrade Akcionog plana. Svi relevantni inputi su uključeni u nacrt Strategije i Akcionog plana i predstavljaju osnov za naredni krug individualnih i grupnih konsultacija sa predstavnicima relevantnih institucija i organizacija.</w:t>
      </w:r>
    </w:p>
    <w:p w14:paraId="74C44372" w14:textId="77777777" w:rsidR="00965D00" w:rsidRPr="00965D00" w:rsidRDefault="00965D00" w:rsidP="00965D00">
      <w:pPr>
        <w:spacing w:after="0"/>
        <w:jc w:val="both"/>
        <w:rPr>
          <w:rFonts w:ascii="Arial" w:hAnsi="Arial" w:cs="Arial"/>
          <w:b/>
          <w:bCs/>
          <w:lang w:val="sr-Latn-ME"/>
        </w:rPr>
      </w:pPr>
    </w:p>
    <w:p w14:paraId="0A3479B1" w14:textId="5EAD031B" w:rsidR="00535334" w:rsidRDefault="00535334" w:rsidP="00745F57">
      <w:pPr>
        <w:pStyle w:val="ListParagraph"/>
        <w:numPr>
          <w:ilvl w:val="0"/>
          <w:numId w:val="11"/>
        </w:numPr>
        <w:spacing w:after="0"/>
        <w:ind w:left="720" w:hanging="450"/>
        <w:jc w:val="both"/>
        <w:rPr>
          <w:rFonts w:ascii="Arial" w:hAnsi="Arial" w:cs="Arial"/>
          <w:lang w:val="sr-Latn-ME"/>
        </w:rPr>
      </w:pPr>
      <w:r w:rsidRPr="00157C9D">
        <w:rPr>
          <w:rFonts w:ascii="Arial" w:hAnsi="Arial" w:cs="Arial"/>
          <w:b/>
          <w:bCs/>
          <w:lang w:val="sr-Latn-ME"/>
        </w:rPr>
        <w:t>Faza IV - Izrada Nacrta strateškog dokumenta</w:t>
      </w:r>
      <w:r w:rsidRPr="00157C9D">
        <w:rPr>
          <w:rFonts w:ascii="Arial" w:hAnsi="Arial" w:cs="Arial"/>
          <w:lang w:val="sr-Latn-ME"/>
        </w:rPr>
        <w:t xml:space="preserve">: U ovoj fazi definisani su strateški i operativni ciljevi i ključne aktivnosti za realizaciju operativnih ciljeva. Nacrt je sadržao i pregled strateškog i zakonodavnog okvira, međunarodnog okvira za cirkularnu ekonomiju, analizu stanja ključnih razvojnih sektora, predlog vizije razvoja i predlog dinamike monitoringa, izvještavanja i evaluacije Strategije u narednom periodu. </w:t>
      </w:r>
    </w:p>
    <w:p w14:paraId="2E5CFFF2" w14:textId="77777777" w:rsidR="00965D00" w:rsidRPr="00965D00" w:rsidRDefault="00965D00" w:rsidP="00965D00">
      <w:pPr>
        <w:spacing w:after="0"/>
        <w:jc w:val="both"/>
        <w:rPr>
          <w:rFonts w:ascii="Arial" w:hAnsi="Arial" w:cs="Arial"/>
          <w:lang w:val="sr-Latn-ME"/>
        </w:rPr>
      </w:pPr>
    </w:p>
    <w:p w14:paraId="1A2D42DC" w14:textId="1B22E936" w:rsidR="00535334" w:rsidRDefault="00535334" w:rsidP="00745F57">
      <w:pPr>
        <w:pStyle w:val="ListParagraph"/>
        <w:numPr>
          <w:ilvl w:val="0"/>
          <w:numId w:val="11"/>
        </w:numPr>
        <w:spacing w:after="0"/>
        <w:ind w:left="720" w:hanging="450"/>
        <w:jc w:val="both"/>
        <w:rPr>
          <w:rFonts w:ascii="Arial" w:hAnsi="Arial" w:cs="Arial"/>
          <w:lang w:val="sr-Latn-ME"/>
        </w:rPr>
      </w:pPr>
      <w:r w:rsidRPr="00157C9D">
        <w:rPr>
          <w:rFonts w:ascii="Arial" w:hAnsi="Arial" w:cs="Arial"/>
          <w:b/>
          <w:bCs/>
          <w:lang w:val="sr-Latn-ME"/>
        </w:rPr>
        <w:t>Faza V - Prezentacija Nacrta i konsultacije:</w:t>
      </w:r>
      <w:r w:rsidRPr="00157C9D">
        <w:rPr>
          <w:rFonts w:ascii="Arial" w:hAnsi="Arial" w:cs="Arial"/>
          <w:lang w:val="sr-Latn-ME"/>
        </w:rPr>
        <w:t xml:space="preserve"> Nacrt Strategije sa Akcionim planom je dostavljen Radnoj grupi na komentare i sugestije. Tokom ovog perioda je organizovan i sastanak Radne grupe, kao i dodatne pojedinačne konsultacije, a svi relevantni komentari i sugestije članova/ica su potom integrisani u dokument.</w:t>
      </w:r>
    </w:p>
    <w:p w14:paraId="255987B3" w14:textId="77777777" w:rsidR="00965D00" w:rsidRPr="00965D00" w:rsidRDefault="00965D00" w:rsidP="00965D00">
      <w:pPr>
        <w:spacing w:after="0"/>
        <w:jc w:val="both"/>
        <w:rPr>
          <w:rFonts w:ascii="Arial" w:hAnsi="Arial" w:cs="Arial"/>
          <w:lang w:val="sr-Latn-ME"/>
        </w:rPr>
      </w:pPr>
    </w:p>
    <w:p w14:paraId="556AB74E" w14:textId="4E1D121B" w:rsidR="00535334" w:rsidRDefault="00535334" w:rsidP="00745F57">
      <w:pPr>
        <w:pStyle w:val="ListParagraph"/>
        <w:numPr>
          <w:ilvl w:val="0"/>
          <w:numId w:val="11"/>
        </w:numPr>
        <w:spacing w:after="0"/>
        <w:ind w:left="720" w:hanging="450"/>
        <w:jc w:val="both"/>
        <w:rPr>
          <w:rFonts w:ascii="Arial" w:hAnsi="Arial" w:cs="Arial"/>
          <w:lang w:val="sr-Latn-ME"/>
        </w:rPr>
      </w:pPr>
      <w:r w:rsidRPr="00157C9D">
        <w:rPr>
          <w:rFonts w:ascii="Arial" w:hAnsi="Arial" w:cs="Arial"/>
          <w:b/>
          <w:bCs/>
          <w:lang w:val="sr-Latn-ME"/>
        </w:rPr>
        <w:t>Faza VI - Javna rasprava:</w:t>
      </w:r>
      <w:r w:rsidRPr="00157C9D">
        <w:rPr>
          <w:rFonts w:ascii="Arial" w:hAnsi="Arial" w:cs="Arial"/>
          <w:lang w:val="sr-Latn-ME"/>
        </w:rPr>
        <w:t xml:space="preserve"> Nacrt Strategije sa Akcionim planom, u skladu sa crnogorskim zakonodavstvom, prezentovan je najširoj javnosti i proces javne rasprave trajao je 20 dana (od 14. novembra do 03. decembra 2022. godine) omoguć</w:t>
      </w:r>
      <w:r w:rsidR="00EF36A1">
        <w:rPr>
          <w:rFonts w:ascii="Arial" w:hAnsi="Arial" w:cs="Arial"/>
          <w:lang w:val="sr-Latn-ME"/>
        </w:rPr>
        <w:t>ava</w:t>
      </w:r>
      <w:r w:rsidRPr="00157C9D">
        <w:rPr>
          <w:rFonts w:ascii="Arial" w:hAnsi="Arial" w:cs="Arial"/>
          <w:lang w:val="sr-Latn-ME"/>
        </w:rPr>
        <w:t xml:space="preserve">jući javnosti da dostave komentare i sugestije na nacrt Strategije. U okviru ove faze organizovan je jedan Okrugli sto koji se održao 28. </w:t>
      </w:r>
      <w:r w:rsidR="00EF36A1">
        <w:rPr>
          <w:rFonts w:ascii="Arial" w:hAnsi="Arial" w:cs="Arial"/>
          <w:lang w:val="sr-Latn-ME"/>
        </w:rPr>
        <w:t>novembra</w:t>
      </w:r>
      <w:r w:rsidRPr="00157C9D">
        <w:rPr>
          <w:rFonts w:ascii="Arial" w:hAnsi="Arial" w:cs="Arial"/>
          <w:lang w:val="sr-Latn-ME"/>
        </w:rPr>
        <w:t xml:space="preserve"> 2022. godine. Sve zainteresovane strane su imale mogućnost da svoje komentare dostave i elektronski. Sve primjedbe i komentari su evidentirani, a relevantne sugestije su ugrađene u finalnu verziju Strategije. Izvještaj sa javne rasprave je dat u Aneksu 1 Strategije.</w:t>
      </w:r>
    </w:p>
    <w:p w14:paraId="2D4F8EDD" w14:textId="77777777" w:rsidR="00965D00" w:rsidRPr="00965D00" w:rsidRDefault="00965D00" w:rsidP="00965D00">
      <w:pPr>
        <w:pStyle w:val="ListParagraph"/>
        <w:rPr>
          <w:rFonts w:ascii="Arial" w:hAnsi="Arial" w:cs="Arial"/>
          <w:lang w:val="sr-Latn-ME"/>
        </w:rPr>
      </w:pPr>
    </w:p>
    <w:p w14:paraId="4C4C7C76" w14:textId="2E25E9EB" w:rsidR="00965D00" w:rsidRDefault="00965D00" w:rsidP="00965D00">
      <w:pPr>
        <w:spacing w:after="0"/>
        <w:jc w:val="both"/>
        <w:rPr>
          <w:rFonts w:ascii="Arial" w:hAnsi="Arial" w:cs="Arial"/>
          <w:lang w:val="sr-Latn-ME"/>
        </w:rPr>
      </w:pPr>
    </w:p>
    <w:p w14:paraId="1A16CFF6" w14:textId="77777777" w:rsidR="00965D00" w:rsidRDefault="00965D00" w:rsidP="00745F57">
      <w:pPr>
        <w:spacing w:after="0"/>
        <w:rPr>
          <w:rFonts w:ascii="Arial" w:hAnsi="Arial" w:cs="Arial"/>
          <w:b/>
          <w:lang w:val="sr-Latn-ME"/>
        </w:rPr>
      </w:pPr>
    </w:p>
    <w:p w14:paraId="2FDAF7AE" w14:textId="7834C304" w:rsidR="00483C04" w:rsidRDefault="003B48F7" w:rsidP="00745F57">
      <w:pPr>
        <w:spacing w:after="0"/>
        <w:rPr>
          <w:rFonts w:ascii="Arial" w:hAnsi="Arial" w:cs="Arial"/>
          <w:b/>
          <w:lang w:val="sr-Latn-ME"/>
        </w:rPr>
      </w:pPr>
      <w:r w:rsidRPr="00157C9D">
        <w:rPr>
          <w:rFonts w:ascii="Arial" w:hAnsi="Arial" w:cs="Arial"/>
          <w:b/>
          <w:lang w:val="sr-Latn-ME"/>
        </w:rPr>
        <w:lastRenderedPageBreak/>
        <w:t>PROCES JAVNE RASPRAVE</w:t>
      </w:r>
    </w:p>
    <w:p w14:paraId="1B2A6891" w14:textId="77777777" w:rsidR="00965D00" w:rsidRPr="00157C9D" w:rsidRDefault="00965D00" w:rsidP="00745F57">
      <w:pPr>
        <w:spacing w:after="0"/>
        <w:rPr>
          <w:rFonts w:ascii="Arial" w:hAnsi="Arial" w:cs="Arial"/>
          <w:b/>
          <w:lang w:val="sr-Latn-ME"/>
        </w:rPr>
      </w:pPr>
    </w:p>
    <w:p w14:paraId="685D4A74" w14:textId="37494B2E" w:rsidR="00F63C99" w:rsidRPr="00157C9D" w:rsidRDefault="00F63C99" w:rsidP="00745F57">
      <w:pPr>
        <w:spacing w:after="0"/>
        <w:jc w:val="both"/>
        <w:rPr>
          <w:rFonts w:ascii="Arial" w:hAnsi="Arial" w:cs="Arial"/>
          <w:lang w:val="sr-Latn-ME"/>
        </w:rPr>
      </w:pPr>
      <w:r w:rsidRPr="00157C9D">
        <w:rPr>
          <w:rFonts w:ascii="Arial" w:hAnsi="Arial" w:cs="Arial"/>
          <w:lang w:val="sr-Latn-ME"/>
        </w:rPr>
        <w:t xml:space="preserve">Ministarstvo ekonomskog razvoja I turizma je na osnovu čl. 14 i 15 Uredbe o izboru predstavnika nevladinih organizacija u radna tijela organa državne uprave i sprovođenju javne rasprave u pripremi zakona i strategija (,,Sl. list CG", broj 41/18), dalo na javnu raspravu Nacrt Nacionalne Strategije cirkularne tranzicije do 2030. s Akcionim planom 2023 – 2024. </w:t>
      </w:r>
      <w:r w:rsidR="00745F57" w:rsidRPr="00157C9D">
        <w:rPr>
          <w:rFonts w:ascii="Arial" w:hAnsi="Arial" w:cs="Arial"/>
          <w:lang w:val="sr-Latn-ME"/>
        </w:rPr>
        <w:t>g</w:t>
      </w:r>
      <w:r w:rsidRPr="00157C9D">
        <w:rPr>
          <w:rFonts w:ascii="Arial" w:hAnsi="Arial" w:cs="Arial"/>
          <w:lang w:val="sr-Latn-ME"/>
        </w:rPr>
        <w:t>odina.</w:t>
      </w:r>
    </w:p>
    <w:p w14:paraId="1FBA7B4A" w14:textId="61FBA96F" w:rsidR="00F63C99" w:rsidRPr="00157C9D" w:rsidRDefault="00F63C99" w:rsidP="00745F57">
      <w:pPr>
        <w:spacing w:after="0"/>
        <w:jc w:val="both"/>
        <w:rPr>
          <w:rFonts w:ascii="Arial" w:hAnsi="Arial" w:cs="Arial"/>
          <w:lang w:val="sr-Latn-ME"/>
        </w:rPr>
      </w:pPr>
    </w:p>
    <w:p w14:paraId="2A00B769" w14:textId="5DBEC25A" w:rsidR="00F63C99" w:rsidRPr="00157C9D" w:rsidRDefault="00F63C99" w:rsidP="00745F57">
      <w:pPr>
        <w:spacing w:after="0"/>
        <w:jc w:val="both"/>
        <w:rPr>
          <w:rFonts w:ascii="Arial" w:hAnsi="Arial" w:cs="Arial"/>
          <w:lang w:val="sr-Latn-ME"/>
        </w:rPr>
      </w:pPr>
      <w:r w:rsidRPr="00157C9D">
        <w:rPr>
          <w:rFonts w:ascii="Arial" w:hAnsi="Arial" w:cs="Arial"/>
          <w:lang w:val="sr-Latn-ME"/>
        </w:rPr>
        <w:t>Javni poziv je upućen organima, organizacijama, udruženjima i pojedincima, (zainteresovana javnost) da se uključe u javnu raspravu i daju svoj doprinos unapređenju kvaliteta teksta Nacrta Nacionalne Strategije cirkularne tranzicije do 2030. s pratećim Akcionim planom 2023 – 2024. godina.</w:t>
      </w:r>
    </w:p>
    <w:p w14:paraId="7888FA34" w14:textId="77777777" w:rsidR="00F63C99" w:rsidRPr="00157C9D" w:rsidRDefault="00F63C99" w:rsidP="00745F57">
      <w:pPr>
        <w:spacing w:after="0"/>
        <w:jc w:val="both"/>
        <w:rPr>
          <w:rFonts w:ascii="Arial" w:hAnsi="Arial" w:cs="Arial"/>
          <w:lang w:val="sr-Latn-ME"/>
        </w:rPr>
      </w:pPr>
    </w:p>
    <w:p w14:paraId="39F38C89" w14:textId="40039C53" w:rsidR="00F63C99" w:rsidRPr="00157C9D" w:rsidRDefault="00F63C99" w:rsidP="00745F57">
      <w:pPr>
        <w:spacing w:after="0"/>
        <w:jc w:val="both"/>
        <w:rPr>
          <w:rFonts w:ascii="Arial" w:hAnsi="Arial" w:cs="Arial"/>
          <w:lang w:val="sr-Latn-ME"/>
        </w:rPr>
      </w:pPr>
      <w:r w:rsidRPr="00157C9D">
        <w:rPr>
          <w:rFonts w:ascii="Arial" w:hAnsi="Arial" w:cs="Arial"/>
          <w:lang w:val="sr-Latn-ME"/>
        </w:rPr>
        <w:t>Javna rasprava, u trajanju od 20 dana, se sprovodi dostavljanjem primjedbi, predloga i sugestija u pisanom i elektronskom obliku, kao i organizovanjem okruglog stola.</w:t>
      </w:r>
    </w:p>
    <w:p w14:paraId="4F63301F" w14:textId="77777777" w:rsidR="00F63C99" w:rsidRPr="00157C9D" w:rsidRDefault="00F63C99" w:rsidP="00745F57">
      <w:pPr>
        <w:spacing w:after="0"/>
        <w:jc w:val="both"/>
        <w:rPr>
          <w:rFonts w:ascii="Arial" w:hAnsi="Arial" w:cs="Arial"/>
          <w:lang w:val="sr-Latn-ME"/>
        </w:rPr>
      </w:pPr>
    </w:p>
    <w:p w14:paraId="2B39F2A0" w14:textId="7A0FDA78" w:rsidR="00F63C99" w:rsidRPr="00157C9D" w:rsidRDefault="00F63C99" w:rsidP="00745F57">
      <w:pPr>
        <w:spacing w:after="0"/>
        <w:jc w:val="both"/>
        <w:rPr>
          <w:rFonts w:ascii="Arial" w:hAnsi="Arial" w:cs="Arial"/>
          <w:lang w:val="sr-Latn-ME"/>
        </w:rPr>
      </w:pPr>
      <w:r w:rsidRPr="00157C9D">
        <w:rPr>
          <w:rFonts w:ascii="Arial" w:hAnsi="Arial" w:cs="Arial"/>
          <w:lang w:val="sr-Latn-ME"/>
        </w:rPr>
        <w:t>Primjedbe, predlozi i sugestije su se dostavljale Ministarstvu ekonomskog razvoja i turizma, Direktoratu za unapređenje konkurentnosti, pisanim putem na arhivu Ministarstva ekonomskog razvoja i turizma radnim danima od 08-13h ili poštom na adresu Rimski trg 46, Podgorica ili elektronski na e-mail: sanja.varajic@mek.gov.me, na Obrascu 4: „Primjedbe, predlozi i sugestije“, koji je sastavni dio Uredbe o izboru predstavnika nevladinih organizacija u radna tijela organa državne uprave i sprovođenju javne rasprave u pripremi zakona i strategija.</w:t>
      </w:r>
    </w:p>
    <w:p w14:paraId="568BF0A3" w14:textId="77777777" w:rsidR="00F63C99" w:rsidRPr="00157C9D" w:rsidRDefault="00F63C99" w:rsidP="00745F57">
      <w:pPr>
        <w:spacing w:after="0"/>
        <w:jc w:val="both"/>
        <w:rPr>
          <w:rFonts w:ascii="Arial" w:hAnsi="Arial" w:cs="Arial"/>
          <w:lang w:val="sr-Latn-ME"/>
        </w:rPr>
      </w:pPr>
    </w:p>
    <w:p w14:paraId="519B8344" w14:textId="05A55A2C" w:rsidR="00F63C99" w:rsidRDefault="00F63C99" w:rsidP="00745F57">
      <w:pPr>
        <w:spacing w:after="0"/>
        <w:jc w:val="both"/>
        <w:rPr>
          <w:rFonts w:ascii="Arial" w:hAnsi="Arial" w:cs="Arial"/>
          <w:lang w:val="sr-Latn-ME"/>
        </w:rPr>
      </w:pPr>
      <w:r w:rsidRPr="00157C9D">
        <w:rPr>
          <w:rFonts w:ascii="Arial" w:hAnsi="Arial" w:cs="Arial"/>
          <w:lang w:val="sr-Latn-ME"/>
        </w:rPr>
        <w:t>Okrugli sto, kao centralni događaj u okviru javne rasprave, organizovan je 28. novembra 2022. godine sa početkom u 12.00 časova u Privrednoj komori Crne Gore, Novaka Miloševa 29/II.</w:t>
      </w:r>
    </w:p>
    <w:p w14:paraId="3380FAFD" w14:textId="77777777" w:rsidR="00965D00" w:rsidRPr="00157C9D" w:rsidRDefault="00965D00" w:rsidP="00745F57">
      <w:pPr>
        <w:spacing w:after="0"/>
        <w:jc w:val="both"/>
        <w:rPr>
          <w:rFonts w:ascii="Arial" w:hAnsi="Arial" w:cs="Arial"/>
          <w:lang w:val="sr-Latn-ME"/>
        </w:rPr>
      </w:pPr>
    </w:p>
    <w:p w14:paraId="07CB3E8B" w14:textId="76298DCE" w:rsidR="004A7BB3" w:rsidRDefault="00876DD1" w:rsidP="00745F57">
      <w:pPr>
        <w:autoSpaceDE w:val="0"/>
        <w:autoSpaceDN w:val="0"/>
        <w:adjustRightInd w:val="0"/>
        <w:spacing w:after="0"/>
        <w:jc w:val="both"/>
        <w:rPr>
          <w:rFonts w:ascii="Arial" w:hAnsi="Arial" w:cs="Arial"/>
          <w:lang w:val="sr-Latn-ME"/>
        </w:rPr>
      </w:pPr>
      <w:r w:rsidRPr="00157C9D">
        <w:rPr>
          <w:rFonts w:ascii="Arial" w:hAnsi="Arial" w:cs="Arial"/>
          <w:lang w:val="sr-Latn-ME"/>
        </w:rPr>
        <w:t>U ime domaćina Privredne komore Crne Gore prisutne je pozdravi</w:t>
      </w:r>
      <w:r w:rsidR="00F63C99" w:rsidRPr="00157C9D">
        <w:rPr>
          <w:rFonts w:ascii="Arial" w:hAnsi="Arial" w:cs="Arial"/>
          <w:lang w:val="sr-Latn-ME"/>
        </w:rPr>
        <w:t>la Tanja Radusinović, direktorica Sektora za projekte</w:t>
      </w:r>
      <w:r w:rsidRPr="00157C9D">
        <w:rPr>
          <w:rFonts w:ascii="Arial" w:hAnsi="Arial" w:cs="Arial"/>
          <w:lang w:val="sr-Latn-ME"/>
        </w:rPr>
        <w:t xml:space="preserve">. U svom </w:t>
      </w:r>
      <w:r w:rsidR="00F63C99" w:rsidRPr="00157C9D">
        <w:rPr>
          <w:rFonts w:ascii="Arial" w:hAnsi="Arial" w:cs="Arial"/>
          <w:lang w:val="sr-Latn-ME"/>
        </w:rPr>
        <w:t>o</w:t>
      </w:r>
      <w:r w:rsidRPr="00157C9D">
        <w:rPr>
          <w:rFonts w:ascii="Arial" w:hAnsi="Arial" w:cs="Arial"/>
          <w:lang w:val="sr-Latn-ME"/>
        </w:rPr>
        <w:t>braćanju</w:t>
      </w:r>
      <w:r w:rsidR="00F63C99" w:rsidRPr="00157C9D">
        <w:rPr>
          <w:rFonts w:ascii="Arial" w:hAnsi="Arial" w:cs="Arial"/>
          <w:lang w:val="sr-Latn-ME"/>
        </w:rPr>
        <w:t xml:space="preserve">, Radusinović je ukazala na doprinos Privredne komore kako u izradi Nacrta nacionalne strategije cirkularne tranzicije, tako i u procesu izrade Mape puta za cirkularnu ekonomiju, koja predstavlja polaznu osnovu za izradu Nacionalne strategije. </w:t>
      </w:r>
    </w:p>
    <w:p w14:paraId="33320622" w14:textId="77777777" w:rsidR="00965D00" w:rsidRPr="00157C9D" w:rsidRDefault="00965D00" w:rsidP="00745F57">
      <w:pPr>
        <w:autoSpaceDE w:val="0"/>
        <w:autoSpaceDN w:val="0"/>
        <w:adjustRightInd w:val="0"/>
        <w:spacing w:after="0"/>
        <w:jc w:val="both"/>
        <w:rPr>
          <w:rFonts w:ascii="Arial" w:hAnsi="Arial" w:cs="Arial"/>
          <w:lang w:val="sr-Latn-ME"/>
        </w:rPr>
      </w:pPr>
    </w:p>
    <w:p w14:paraId="1E95BEBA" w14:textId="21220837" w:rsidR="00F63C99" w:rsidRDefault="00F63C99" w:rsidP="00745F57">
      <w:pPr>
        <w:spacing w:after="0"/>
        <w:jc w:val="both"/>
        <w:rPr>
          <w:rFonts w:ascii="Arial" w:hAnsi="Arial" w:cs="Arial"/>
          <w:lang w:val="sr-Latn-ME"/>
        </w:rPr>
      </w:pPr>
      <w:r w:rsidRPr="00157C9D">
        <w:rPr>
          <w:rFonts w:ascii="Arial" w:hAnsi="Arial" w:cs="Arial"/>
          <w:lang w:val="sr-Latn-ME"/>
        </w:rPr>
        <w:t>Olivera Vukajlović, direktorica Direktorata za unapređenje konkurentnosti u Ministarstvu ekonomskog razvoja i turizma je ukazala na važnost dokumenta za cjelokupnu crnogorsku ekonomiju i istakla da će Crna Gora biti prva zemlja u okruženju koja ima strateški dokument, sa usmjerenjem na cirkularnu tranziciju, podstiče konkurentnost</w:t>
      </w:r>
      <w:r w:rsidR="00463FE8" w:rsidRPr="00157C9D">
        <w:rPr>
          <w:rFonts w:ascii="Arial" w:hAnsi="Arial" w:cs="Arial"/>
          <w:lang w:val="sr-Latn-ME"/>
        </w:rPr>
        <w:t xml:space="preserve"> i </w:t>
      </w:r>
      <w:r w:rsidRPr="00157C9D">
        <w:rPr>
          <w:rFonts w:ascii="Arial" w:hAnsi="Arial" w:cs="Arial"/>
          <w:lang w:val="sr-Latn-ME"/>
        </w:rPr>
        <w:t xml:space="preserve">od velikog značaja </w:t>
      </w:r>
      <w:r w:rsidR="00463FE8" w:rsidRPr="00157C9D">
        <w:rPr>
          <w:rFonts w:ascii="Arial" w:hAnsi="Arial" w:cs="Arial"/>
          <w:lang w:val="sr-Latn-ME"/>
        </w:rPr>
        <w:t xml:space="preserve">je </w:t>
      </w:r>
      <w:r w:rsidRPr="00157C9D">
        <w:rPr>
          <w:rFonts w:ascii="Arial" w:hAnsi="Arial" w:cs="Arial"/>
          <w:lang w:val="sr-Latn-ME"/>
        </w:rPr>
        <w:t>za kreiranje održive budućnosti i promjene svijesti da se tadicionalni, linearni način poslovanja promijeni.</w:t>
      </w:r>
    </w:p>
    <w:p w14:paraId="31A1F2DC" w14:textId="77777777" w:rsidR="00965D00" w:rsidRPr="00157C9D" w:rsidRDefault="00965D00" w:rsidP="00745F57">
      <w:pPr>
        <w:spacing w:after="0"/>
        <w:jc w:val="both"/>
        <w:rPr>
          <w:rFonts w:ascii="Arial" w:hAnsi="Arial" w:cs="Arial"/>
          <w:lang w:val="sr-Latn-ME"/>
        </w:rPr>
      </w:pPr>
    </w:p>
    <w:p w14:paraId="71C2B66A" w14:textId="02414169" w:rsidR="00F63C99" w:rsidRPr="00157C9D" w:rsidRDefault="00463FE8" w:rsidP="00745F57">
      <w:pPr>
        <w:spacing w:after="0"/>
        <w:jc w:val="both"/>
        <w:rPr>
          <w:rFonts w:ascii="Arial" w:hAnsi="Arial" w:cs="Arial"/>
          <w:lang w:val="sr-Latn-ME"/>
        </w:rPr>
      </w:pPr>
      <w:r w:rsidRPr="00157C9D">
        <w:rPr>
          <w:rFonts w:ascii="Arial" w:hAnsi="Arial" w:cs="Arial"/>
          <w:lang w:val="sr-Latn-ME"/>
        </w:rPr>
        <w:t xml:space="preserve">Ladeja Godina Košir, međunarodna </w:t>
      </w:r>
      <w:r w:rsidR="00157C9D" w:rsidRPr="00157C9D">
        <w:rPr>
          <w:rFonts w:ascii="Arial" w:hAnsi="Arial" w:cs="Arial"/>
          <w:lang w:val="sr-Latn-ME"/>
        </w:rPr>
        <w:t>ekspertkinja</w:t>
      </w:r>
      <w:r w:rsidRPr="00157C9D">
        <w:rPr>
          <w:rFonts w:ascii="Arial" w:hAnsi="Arial" w:cs="Arial"/>
          <w:lang w:val="sr-Latn-ME"/>
        </w:rPr>
        <w:t xml:space="preserve"> angažovana kroz UNDP projekat, je ukazala na važnost koncepta cirkularne ekonomije i trenutne trendove na nivou EU i globalno. Posebno je podsjetila na process izrade Mape puta za cirkularnu ekonomiju Crne Gore koji je objavljen u aprilu 2022. godine.</w:t>
      </w:r>
    </w:p>
    <w:p w14:paraId="3B7237A0" w14:textId="4A1519B2" w:rsidR="001163EE" w:rsidRPr="00157C9D" w:rsidRDefault="00463FE8" w:rsidP="00745F57">
      <w:pPr>
        <w:spacing w:after="0"/>
        <w:jc w:val="both"/>
        <w:rPr>
          <w:rFonts w:ascii="Arial" w:hAnsi="Arial" w:cs="Arial"/>
          <w:lang w:val="sr-Latn-ME"/>
        </w:rPr>
      </w:pPr>
      <w:r w:rsidRPr="00157C9D">
        <w:rPr>
          <w:rFonts w:ascii="Arial" w:hAnsi="Arial" w:cs="Arial"/>
          <w:lang w:val="sr-Latn-ME"/>
        </w:rPr>
        <w:t>Marija Tripunović, nacionaln</w:t>
      </w:r>
      <w:r w:rsidR="00157C9D">
        <w:rPr>
          <w:rFonts w:ascii="Arial" w:hAnsi="Arial" w:cs="Arial"/>
          <w:lang w:val="sr-Latn-ME"/>
        </w:rPr>
        <w:t xml:space="preserve">a konsultantkinja </w:t>
      </w:r>
      <w:r w:rsidRPr="00157C9D">
        <w:rPr>
          <w:rFonts w:ascii="Arial" w:hAnsi="Arial" w:cs="Arial"/>
          <w:lang w:val="sr-Latn-ME"/>
        </w:rPr>
        <w:t>angažovan</w:t>
      </w:r>
      <w:r w:rsidR="00157C9D">
        <w:rPr>
          <w:rFonts w:ascii="Arial" w:hAnsi="Arial" w:cs="Arial"/>
          <w:lang w:val="sr-Latn-ME"/>
        </w:rPr>
        <w:t>a</w:t>
      </w:r>
      <w:r w:rsidRPr="00157C9D">
        <w:rPr>
          <w:rFonts w:ascii="Arial" w:hAnsi="Arial" w:cs="Arial"/>
          <w:lang w:val="sr-Latn-ME"/>
        </w:rPr>
        <w:t xml:space="preserve"> kroz UNDP projekat, je predstavila proces i metodologiju izrade Nacrta strategije cirkularne tranzicije s Akcionim planom za period 2023-2024, strukturu dokumenta, ključne izazove I naredne korake koji predstoje prije finalizacije dokumenta.</w:t>
      </w:r>
    </w:p>
    <w:p w14:paraId="39618640" w14:textId="77777777" w:rsidR="00463FE8" w:rsidRPr="00157C9D" w:rsidRDefault="00463FE8" w:rsidP="00745F57">
      <w:pPr>
        <w:spacing w:after="0"/>
        <w:jc w:val="both"/>
        <w:rPr>
          <w:rFonts w:ascii="Arial" w:hAnsi="Arial" w:cs="Arial"/>
          <w:lang w:val="sr-Latn-ME"/>
        </w:rPr>
      </w:pPr>
    </w:p>
    <w:p w14:paraId="200C9A25" w14:textId="2CEEA356" w:rsidR="00AE2E23" w:rsidRDefault="00E77F74" w:rsidP="00745F57">
      <w:pPr>
        <w:spacing w:after="0"/>
        <w:jc w:val="both"/>
        <w:rPr>
          <w:rFonts w:ascii="Arial" w:hAnsi="Arial" w:cs="Arial"/>
          <w:lang w:val="sr-Latn-ME"/>
        </w:rPr>
      </w:pPr>
      <w:r w:rsidRPr="00157C9D">
        <w:rPr>
          <w:rFonts w:ascii="Arial" w:hAnsi="Arial" w:cs="Arial"/>
          <w:lang w:val="sr-Latn-ME"/>
        </w:rPr>
        <w:t>Poslije prezentacije dokumenta, uslijedila je diskusija na kojoj su učesnici, u direktnoj razmjeni mišljenja, svojim primjedbama, sugestijama i komentarima, ukazali na određena pitanja koja se obrađuju u ovom dokumentu.</w:t>
      </w:r>
    </w:p>
    <w:p w14:paraId="59FCE3AC" w14:textId="77777777" w:rsidR="00965D00" w:rsidRPr="00157C9D" w:rsidRDefault="00965D00" w:rsidP="00745F57">
      <w:pPr>
        <w:spacing w:after="0"/>
        <w:jc w:val="both"/>
        <w:rPr>
          <w:rFonts w:ascii="Arial" w:hAnsi="Arial" w:cs="Arial"/>
          <w:lang w:val="sr-Latn-ME"/>
        </w:rPr>
      </w:pPr>
    </w:p>
    <w:p w14:paraId="6CA84197" w14:textId="2A46F65D" w:rsidR="002B1DED" w:rsidRDefault="00E77F74" w:rsidP="00745F57">
      <w:pPr>
        <w:spacing w:after="0"/>
        <w:jc w:val="both"/>
        <w:rPr>
          <w:rFonts w:ascii="Arial" w:hAnsi="Arial" w:cs="Arial"/>
          <w:b/>
          <w:color w:val="000000" w:themeColor="text1"/>
          <w:lang w:val="sr-Latn-ME"/>
        </w:rPr>
      </w:pPr>
      <w:r w:rsidRPr="00157C9D">
        <w:rPr>
          <w:rFonts w:ascii="Arial" w:hAnsi="Arial" w:cs="Arial"/>
          <w:b/>
          <w:color w:val="000000" w:themeColor="text1"/>
          <w:lang w:val="sr-Latn-ME"/>
        </w:rPr>
        <w:lastRenderedPageBreak/>
        <w:t xml:space="preserve">Ujedno, svi </w:t>
      </w:r>
      <w:r w:rsidR="00E30B59" w:rsidRPr="00157C9D">
        <w:rPr>
          <w:rFonts w:ascii="Arial" w:hAnsi="Arial" w:cs="Arial"/>
          <w:b/>
          <w:color w:val="000000" w:themeColor="text1"/>
          <w:lang w:val="sr-Latn-ME"/>
        </w:rPr>
        <w:t>prisutni</w:t>
      </w:r>
      <w:r w:rsidRPr="00157C9D">
        <w:rPr>
          <w:rFonts w:ascii="Arial" w:hAnsi="Arial" w:cs="Arial"/>
          <w:b/>
          <w:color w:val="000000" w:themeColor="text1"/>
          <w:lang w:val="sr-Latn-ME"/>
        </w:rPr>
        <w:t xml:space="preserve">, saglasni su u ocjeni da je Nacrt </w:t>
      </w:r>
      <w:r w:rsidR="00965D00">
        <w:rPr>
          <w:rFonts w:ascii="Arial" w:hAnsi="Arial" w:cs="Arial"/>
          <w:b/>
          <w:color w:val="000000" w:themeColor="text1"/>
          <w:lang w:val="sr-Latn-ME"/>
        </w:rPr>
        <w:t>N</w:t>
      </w:r>
      <w:r w:rsidR="00463FE8" w:rsidRPr="00157C9D">
        <w:rPr>
          <w:rFonts w:ascii="Arial" w:hAnsi="Arial" w:cs="Arial"/>
          <w:b/>
          <w:color w:val="000000" w:themeColor="text1"/>
          <w:lang w:val="sr-Latn-ME"/>
        </w:rPr>
        <w:t xml:space="preserve">acionalne </w:t>
      </w:r>
      <w:r w:rsidR="00965D00">
        <w:rPr>
          <w:rFonts w:ascii="Arial" w:hAnsi="Arial" w:cs="Arial"/>
          <w:b/>
          <w:color w:val="000000" w:themeColor="text1"/>
          <w:lang w:val="sr-Latn-ME"/>
        </w:rPr>
        <w:t>S</w:t>
      </w:r>
      <w:r w:rsidRPr="00157C9D">
        <w:rPr>
          <w:rFonts w:ascii="Arial" w:hAnsi="Arial" w:cs="Arial"/>
          <w:b/>
          <w:color w:val="000000" w:themeColor="text1"/>
          <w:lang w:val="sr-Latn-ME"/>
        </w:rPr>
        <w:t>trategij</w:t>
      </w:r>
      <w:r w:rsidR="00463FE8" w:rsidRPr="00157C9D">
        <w:rPr>
          <w:rFonts w:ascii="Arial" w:hAnsi="Arial" w:cs="Arial"/>
          <w:b/>
          <w:color w:val="000000" w:themeColor="text1"/>
          <w:lang w:val="sr-Latn-ME"/>
        </w:rPr>
        <w:t>e cirkularne tranzicije s Akcionim planom za period 2023-2024. godine pripremljen u kratkom vremenskom period</w:t>
      </w:r>
      <w:r w:rsidR="00965D00">
        <w:rPr>
          <w:rFonts w:ascii="Arial" w:hAnsi="Arial" w:cs="Arial"/>
          <w:b/>
          <w:color w:val="000000" w:themeColor="text1"/>
          <w:lang w:val="sr-Latn-ME"/>
        </w:rPr>
        <w:t>,</w:t>
      </w:r>
      <w:r w:rsidR="00463FE8" w:rsidRPr="00157C9D">
        <w:rPr>
          <w:rFonts w:ascii="Arial" w:hAnsi="Arial" w:cs="Arial"/>
          <w:b/>
          <w:color w:val="000000" w:themeColor="text1"/>
          <w:lang w:val="sr-Latn-ME"/>
        </w:rPr>
        <w:t xml:space="preserve"> ali da je dokument </w:t>
      </w:r>
      <w:r w:rsidRPr="00157C9D">
        <w:rPr>
          <w:rFonts w:ascii="Arial" w:hAnsi="Arial" w:cs="Arial"/>
          <w:b/>
          <w:color w:val="000000" w:themeColor="text1"/>
          <w:lang w:val="sr-Latn-ME"/>
        </w:rPr>
        <w:t>kvalitetan</w:t>
      </w:r>
      <w:r w:rsidR="00463FE8" w:rsidRPr="00157C9D">
        <w:rPr>
          <w:rFonts w:ascii="Arial" w:hAnsi="Arial" w:cs="Arial"/>
          <w:b/>
          <w:color w:val="000000" w:themeColor="text1"/>
          <w:lang w:val="sr-Latn-ME"/>
        </w:rPr>
        <w:t xml:space="preserve"> i realan.</w:t>
      </w:r>
      <w:r w:rsidR="002B1DED" w:rsidRPr="00157C9D">
        <w:rPr>
          <w:rFonts w:ascii="Arial" w:hAnsi="Arial" w:cs="Arial"/>
          <w:b/>
          <w:color w:val="000000" w:themeColor="text1"/>
          <w:lang w:val="sr-Latn-ME"/>
        </w:rPr>
        <w:t xml:space="preserve"> </w:t>
      </w:r>
    </w:p>
    <w:p w14:paraId="7F66102B" w14:textId="77777777" w:rsidR="00965D00" w:rsidRPr="00157C9D" w:rsidRDefault="00965D00" w:rsidP="00745F57">
      <w:pPr>
        <w:spacing w:after="0"/>
        <w:jc w:val="both"/>
        <w:rPr>
          <w:rFonts w:ascii="Arial" w:hAnsi="Arial" w:cs="Arial"/>
          <w:b/>
          <w:color w:val="000000" w:themeColor="text1"/>
          <w:lang w:val="sr-Latn-ME"/>
        </w:rPr>
      </w:pPr>
    </w:p>
    <w:p w14:paraId="0DF4AC78" w14:textId="26BB7E57" w:rsidR="00483C04" w:rsidRDefault="00E77F74" w:rsidP="00745F57">
      <w:pPr>
        <w:spacing w:after="0"/>
        <w:jc w:val="both"/>
        <w:rPr>
          <w:rFonts w:ascii="Arial" w:hAnsi="Arial" w:cs="Arial"/>
          <w:lang w:val="sr-Latn-ME"/>
        </w:rPr>
      </w:pPr>
      <w:r w:rsidRPr="00157C9D">
        <w:rPr>
          <w:rFonts w:ascii="Arial" w:hAnsi="Arial" w:cs="Arial"/>
          <w:lang w:val="sr-Latn-ME"/>
        </w:rPr>
        <w:t xml:space="preserve">U odgovoru, </w:t>
      </w:r>
      <w:r w:rsidR="007A5748" w:rsidRPr="00157C9D">
        <w:rPr>
          <w:rFonts w:ascii="Arial" w:hAnsi="Arial" w:cs="Arial"/>
          <w:lang w:val="sr-Latn-ME"/>
        </w:rPr>
        <w:t>O</w:t>
      </w:r>
      <w:r w:rsidR="00965D00">
        <w:rPr>
          <w:rFonts w:ascii="Arial" w:hAnsi="Arial" w:cs="Arial"/>
          <w:lang w:val="sr-Latn-ME"/>
        </w:rPr>
        <w:t>livera</w:t>
      </w:r>
      <w:r w:rsidR="007A5748" w:rsidRPr="00157C9D">
        <w:rPr>
          <w:rFonts w:ascii="Arial" w:hAnsi="Arial" w:cs="Arial"/>
          <w:lang w:val="sr-Latn-ME"/>
        </w:rPr>
        <w:t xml:space="preserve"> Vukajlović i </w:t>
      </w:r>
      <w:r w:rsidRPr="00157C9D">
        <w:rPr>
          <w:rFonts w:ascii="Arial" w:hAnsi="Arial" w:cs="Arial"/>
          <w:lang w:val="sr-Latn-ME"/>
        </w:rPr>
        <w:t xml:space="preserve">projektni tim, konstatovali su da </w:t>
      </w:r>
      <w:r w:rsidR="007A5748" w:rsidRPr="00157C9D">
        <w:rPr>
          <w:rFonts w:ascii="Arial" w:hAnsi="Arial" w:cs="Arial"/>
          <w:lang w:val="sr-Latn-ME"/>
        </w:rPr>
        <w:t xml:space="preserve">su sve </w:t>
      </w:r>
      <w:r w:rsidRPr="00157C9D">
        <w:rPr>
          <w:rFonts w:ascii="Arial" w:hAnsi="Arial" w:cs="Arial"/>
          <w:lang w:val="sr-Latn-ME"/>
        </w:rPr>
        <w:t>sugestij</w:t>
      </w:r>
      <w:r w:rsidR="007A5748" w:rsidRPr="00157C9D">
        <w:rPr>
          <w:rFonts w:ascii="Arial" w:hAnsi="Arial" w:cs="Arial"/>
          <w:lang w:val="sr-Latn-ME"/>
        </w:rPr>
        <w:t>e</w:t>
      </w:r>
      <w:r w:rsidRPr="00157C9D">
        <w:rPr>
          <w:rFonts w:ascii="Arial" w:hAnsi="Arial" w:cs="Arial"/>
          <w:lang w:val="sr-Latn-ME"/>
        </w:rPr>
        <w:t xml:space="preserve"> ugrađen</w:t>
      </w:r>
      <w:r w:rsidR="007A5748" w:rsidRPr="00157C9D">
        <w:rPr>
          <w:rFonts w:ascii="Arial" w:hAnsi="Arial" w:cs="Arial"/>
          <w:lang w:val="sr-Latn-ME"/>
        </w:rPr>
        <w:t>e</w:t>
      </w:r>
      <w:r w:rsidRPr="00157C9D">
        <w:rPr>
          <w:rFonts w:ascii="Arial" w:hAnsi="Arial" w:cs="Arial"/>
          <w:lang w:val="sr-Latn-ME"/>
        </w:rPr>
        <w:t xml:space="preserve"> u tekst dokumenta, kao i da ovaj dokument ima realne osnove i ciljeve, te da je najvažnij</w:t>
      </w:r>
      <w:r w:rsidR="007A5748" w:rsidRPr="00157C9D">
        <w:rPr>
          <w:rFonts w:ascii="Arial" w:hAnsi="Arial" w:cs="Arial"/>
          <w:lang w:val="sr-Latn-ME"/>
        </w:rPr>
        <w:t xml:space="preserve">e u narednom period osigurati sredstva kroz budžet za narednu godinu, kao i međusektorku koordinaciju tokom implementacije Akcionog plana. </w:t>
      </w:r>
    </w:p>
    <w:p w14:paraId="01EA8DA6" w14:textId="77777777" w:rsidR="00965D00" w:rsidRPr="00157C9D" w:rsidRDefault="00965D00" w:rsidP="00745F57">
      <w:pPr>
        <w:spacing w:after="0"/>
        <w:jc w:val="both"/>
        <w:rPr>
          <w:rFonts w:ascii="Arial" w:hAnsi="Arial" w:cs="Arial"/>
          <w:lang w:val="sr-Latn-ME"/>
        </w:rPr>
      </w:pPr>
    </w:p>
    <w:p w14:paraId="06E7C940" w14:textId="77777777" w:rsidR="007A5748" w:rsidRPr="00157C9D" w:rsidRDefault="00DD5290" w:rsidP="00745F57">
      <w:pPr>
        <w:spacing w:after="0"/>
        <w:jc w:val="both"/>
        <w:rPr>
          <w:rFonts w:ascii="Arial" w:hAnsi="Arial" w:cs="Arial"/>
          <w:lang w:val="sr-Latn-ME"/>
        </w:rPr>
      </w:pPr>
      <w:r w:rsidRPr="00157C9D">
        <w:rPr>
          <w:rFonts w:ascii="Arial" w:hAnsi="Arial" w:cs="Arial"/>
          <w:lang w:val="sr-Latn-ME"/>
        </w:rPr>
        <w:t>U</w:t>
      </w:r>
      <w:r w:rsidR="00E77F74" w:rsidRPr="00157C9D">
        <w:rPr>
          <w:rFonts w:ascii="Arial" w:hAnsi="Arial" w:cs="Arial"/>
          <w:lang w:val="sr-Latn-ME"/>
        </w:rPr>
        <w:t xml:space="preserve"> procesu Javne rasprave, </w:t>
      </w:r>
      <w:r w:rsidRPr="00157C9D">
        <w:rPr>
          <w:rFonts w:ascii="Arial" w:hAnsi="Arial" w:cs="Arial"/>
          <w:lang w:val="sr-Latn-ME"/>
        </w:rPr>
        <w:t>pristigl</w:t>
      </w:r>
      <w:r w:rsidR="007A5748" w:rsidRPr="00157C9D">
        <w:rPr>
          <w:rFonts w:ascii="Arial" w:hAnsi="Arial" w:cs="Arial"/>
          <w:lang w:val="sr-Latn-ME"/>
        </w:rPr>
        <w:t>i su i</w:t>
      </w:r>
      <w:r w:rsidRPr="00157C9D">
        <w:rPr>
          <w:rFonts w:ascii="Arial" w:hAnsi="Arial" w:cs="Arial"/>
          <w:lang w:val="sr-Latn-ME"/>
        </w:rPr>
        <w:t xml:space="preserve"> pisan</w:t>
      </w:r>
      <w:r w:rsidR="007A5748" w:rsidRPr="00157C9D">
        <w:rPr>
          <w:rFonts w:ascii="Arial" w:hAnsi="Arial" w:cs="Arial"/>
          <w:lang w:val="sr-Latn-ME"/>
        </w:rPr>
        <w:t>i komentari i sugestije od:</w:t>
      </w:r>
    </w:p>
    <w:p w14:paraId="444068CE" w14:textId="2E2C5E72" w:rsidR="007A5748" w:rsidRPr="00157C9D" w:rsidRDefault="007A5748" w:rsidP="00745F57">
      <w:pPr>
        <w:pStyle w:val="ListParagraph"/>
        <w:numPr>
          <w:ilvl w:val="0"/>
          <w:numId w:val="12"/>
        </w:numPr>
        <w:spacing w:after="0"/>
        <w:jc w:val="both"/>
        <w:rPr>
          <w:rFonts w:ascii="Arial" w:hAnsi="Arial" w:cs="Arial"/>
          <w:lang w:val="sr-Latn-ME"/>
        </w:rPr>
      </w:pPr>
      <w:r w:rsidRPr="00157C9D">
        <w:rPr>
          <w:rFonts w:ascii="Arial" w:hAnsi="Arial" w:cs="Arial"/>
          <w:lang w:val="sr-Latn-ME"/>
        </w:rPr>
        <w:t xml:space="preserve">Andrijane Babić, predstavniceUprave za statistiku (Monstat) i </w:t>
      </w:r>
    </w:p>
    <w:p w14:paraId="47CBE86C" w14:textId="79257200" w:rsidR="00483C04" w:rsidRPr="00157C9D" w:rsidRDefault="007A5748" w:rsidP="00745F57">
      <w:pPr>
        <w:pStyle w:val="ListParagraph"/>
        <w:numPr>
          <w:ilvl w:val="0"/>
          <w:numId w:val="12"/>
        </w:numPr>
        <w:spacing w:after="0"/>
        <w:jc w:val="both"/>
        <w:rPr>
          <w:rFonts w:ascii="Arial" w:hAnsi="Arial" w:cs="Arial"/>
          <w:lang w:val="sr-Latn-ME"/>
        </w:rPr>
      </w:pPr>
      <w:r w:rsidRPr="00157C9D">
        <w:rPr>
          <w:rFonts w:ascii="Arial" w:hAnsi="Arial" w:cs="Arial"/>
          <w:lang w:val="sr-Latn-ME"/>
        </w:rPr>
        <w:t>Biljane Gligorić, predstavnice NVO Expeditio.</w:t>
      </w:r>
    </w:p>
    <w:p w14:paraId="2C935719" w14:textId="77777777" w:rsidR="007A5748" w:rsidRPr="00157C9D" w:rsidRDefault="007A5748" w:rsidP="00745F57">
      <w:pPr>
        <w:pStyle w:val="ListParagraph"/>
        <w:spacing w:after="0"/>
        <w:jc w:val="both"/>
        <w:rPr>
          <w:rFonts w:ascii="Arial" w:hAnsi="Arial" w:cs="Arial"/>
          <w:lang w:val="sr-Latn-ME"/>
        </w:rPr>
      </w:pPr>
    </w:p>
    <w:p w14:paraId="1E0E3A36" w14:textId="710727D2" w:rsidR="007A5748" w:rsidRPr="00157C9D" w:rsidRDefault="007A5748" w:rsidP="00745F57">
      <w:pPr>
        <w:spacing w:after="0"/>
        <w:jc w:val="both"/>
        <w:rPr>
          <w:rFonts w:ascii="Arial" w:hAnsi="Arial" w:cs="Arial"/>
          <w:lang w:val="sr-Latn-ME"/>
        </w:rPr>
      </w:pPr>
      <w:r w:rsidRPr="00157C9D">
        <w:rPr>
          <w:rFonts w:ascii="Arial" w:hAnsi="Arial" w:cs="Arial"/>
          <w:lang w:val="sr-Latn-ME"/>
        </w:rPr>
        <w:t>Pregled svih komentara je dat u tabeli ispod.</w:t>
      </w:r>
    </w:p>
    <w:p w14:paraId="3A8F993A" w14:textId="77777777" w:rsidR="007A5748" w:rsidRPr="00157C9D" w:rsidRDefault="007A5748" w:rsidP="00745F57">
      <w:pPr>
        <w:spacing w:after="0"/>
        <w:jc w:val="both"/>
        <w:rPr>
          <w:rFonts w:ascii="Arial" w:hAnsi="Arial" w:cs="Arial"/>
          <w:lang w:val="sr-Latn-ME"/>
        </w:rPr>
      </w:pPr>
    </w:p>
    <w:p w14:paraId="6F33A1DC" w14:textId="77777777" w:rsidR="00201BD8" w:rsidRPr="00157C9D" w:rsidRDefault="00201BD8" w:rsidP="00745F57">
      <w:pPr>
        <w:spacing w:after="0"/>
        <w:jc w:val="both"/>
        <w:rPr>
          <w:rFonts w:ascii="Arial" w:hAnsi="Arial" w:cs="Arial"/>
          <w:lang w:val="sr-Latn-ME"/>
        </w:rPr>
        <w:sectPr w:rsidR="00201BD8" w:rsidRPr="00157C9D" w:rsidSect="00965D00">
          <w:headerReference w:type="even" r:id="rId9"/>
          <w:headerReference w:type="default" r:id="rId10"/>
          <w:footerReference w:type="even" r:id="rId11"/>
          <w:footerReference w:type="default" r:id="rId12"/>
          <w:headerReference w:type="first" r:id="rId13"/>
          <w:footerReference w:type="first" r:id="rId14"/>
          <w:pgSz w:w="11907" w:h="16840" w:code="9"/>
          <w:pgMar w:top="1170" w:right="850" w:bottom="1418" w:left="709" w:header="680" w:footer="680" w:gutter="0"/>
          <w:cols w:space="720"/>
          <w:titlePg/>
          <w:docGrid w:linePitch="360"/>
        </w:sectPr>
      </w:pPr>
    </w:p>
    <w:tbl>
      <w:tblPr>
        <w:tblStyle w:val="TableGrid"/>
        <w:tblpPr w:leftFromText="180" w:rightFromText="180" w:vertAnchor="page" w:horzAnchor="page" w:tblpX="444" w:tblpY="715"/>
        <w:tblW w:w="14454" w:type="dxa"/>
        <w:tblLayout w:type="fixed"/>
        <w:tblLook w:val="04A0" w:firstRow="1" w:lastRow="0" w:firstColumn="1" w:lastColumn="0" w:noHBand="0" w:noVBand="1"/>
      </w:tblPr>
      <w:tblGrid>
        <w:gridCol w:w="704"/>
        <w:gridCol w:w="1843"/>
        <w:gridCol w:w="7513"/>
        <w:gridCol w:w="4394"/>
      </w:tblGrid>
      <w:tr w:rsidR="001A684B" w:rsidRPr="00157C9D" w14:paraId="65C56B99" w14:textId="77777777" w:rsidTr="001A684B">
        <w:tc>
          <w:tcPr>
            <w:tcW w:w="704" w:type="dxa"/>
          </w:tcPr>
          <w:p w14:paraId="38D3D509" w14:textId="77777777" w:rsidR="001A684B" w:rsidRPr="00157C9D" w:rsidRDefault="001A684B" w:rsidP="00745F57">
            <w:pPr>
              <w:spacing w:line="276" w:lineRule="auto"/>
              <w:rPr>
                <w:rFonts w:ascii="Arial" w:hAnsi="Arial" w:cs="Arial"/>
                <w:lang w:val="sr-Latn-ME"/>
              </w:rPr>
            </w:pPr>
            <w:r w:rsidRPr="00157C9D">
              <w:rPr>
                <w:rFonts w:ascii="Arial" w:hAnsi="Arial" w:cs="Arial"/>
                <w:lang w:val="sr-Latn-ME"/>
              </w:rPr>
              <w:lastRenderedPageBreak/>
              <w:t>Red.br.</w:t>
            </w:r>
          </w:p>
        </w:tc>
        <w:tc>
          <w:tcPr>
            <w:tcW w:w="1843" w:type="dxa"/>
          </w:tcPr>
          <w:p w14:paraId="31A09D5D" w14:textId="77777777" w:rsidR="001A684B" w:rsidRPr="00157C9D" w:rsidRDefault="001A684B" w:rsidP="00745F57">
            <w:pPr>
              <w:spacing w:line="276" w:lineRule="auto"/>
              <w:rPr>
                <w:rFonts w:ascii="Arial" w:hAnsi="Arial" w:cs="Arial"/>
                <w:lang w:val="sr-Latn-ME"/>
              </w:rPr>
            </w:pPr>
            <w:r w:rsidRPr="00157C9D">
              <w:rPr>
                <w:rFonts w:ascii="Arial" w:hAnsi="Arial" w:cs="Arial"/>
                <w:lang w:val="sr-Latn-ME"/>
              </w:rPr>
              <w:t>LICE/</w:t>
            </w:r>
          </w:p>
          <w:p w14:paraId="79C1C7E8" w14:textId="77777777" w:rsidR="001A684B" w:rsidRPr="00157C9D" w:rsidRDefault="001A684B" w:rsidP="00745F57">
            <w:pPr>
              <w:spacing w:line="276" w:lineRule="auto"/>
              <w:rPr>
                <w:rFonts w:ascii="Arial" w:hAnsi="Arial" w:cs="Arial"/>
                <w:lang w:val="sr-Latn-ME"/>
              </w:rPr>
            </w:pPr>
            <w:r w:rsidRPr="00157C9D">
              <w:rPr>
                <w:rFonts w:ascii="Arial" w:hAnsi="Arial" w:cs="Arial"/>
                <w:lang w:val="sr-Latn-ME"/>
              </w:rPr>
              <w:t>INSTITUCIJA</w:t>
            </w:r>
          </w:p>
        </w:tc>
        <w:tc>
          <w:tcPr>
            <w:tcW w:w="7513" w:type="dxa"/>
          </w:tcPr>
          <w:p w14:paraId="1A1F084B" w14:textId="77777777" w:rsidR="001A684B" w:rsidRPr="00157C9D" w:rsidRDefault="001A684B" w:rsidP="00745F57">
            <w:pPr>
              <w:spacing w:line="276" w:lineRule="auto"/>
              <w:rPr>
                <w:rFonts w:ascii="Arial" w:hAnsi="Arial" w:cs="Arial"/>
                <w:lang w:val="sr-Latn-ME"/>
              </w:rPr>
            </w:pPr>
            <w:r w:rsidRPr="00157C9D">
              <w:rPr>
                <w:rFonts w:ascii="Arial" w:hAnsi="Arial" w:cs="Arial"/>
                <w:lang w:val="sr-Latn-ME"/>
              </w:rPr>
              <w:t>KOMENTAR</w:t>
            </w:r>
          </w:p>
        </w:tc>
        <w:tc>
          <w:tcPr>
            <w:tcW w:w="4394" w:type="dxa"/>
          </w:tcPr>
          <w:p w14:paraId="338DE636" w14:textId="77777777" w:rsidR="001A684B" w:rsidRPr="00157C9D" w:rsidRDefault="001A684B" w:rsidP="00745F57">
            <w:pPr>
              <w:spacing w:line="276" w:lineRule="auto"/>
              <w:rPr>
                <w:rFonts w:ascii="Arial" w:hAnsi="Arial" w:cs="Arial"/>
                <w:lang w:val="sr-Latn-ME"/>
              </w:rPr>
            </w:pPr>
            <w:r w:rsidRPr="00157C9D">
              <w:rPr>
                <w:rFonts w:ascii="Arial" w:hAnsi="Arial" w:cs="Arial"/>
                <w:lang w:val="sr-Latn-ME"/>
              </w:rPr>
              <w:t>ODGOVOR</w:t>
            </w:r>
          </w:p>
        </w:tc>
      </w:tr>
      <w:tr w:rsidR="001A684B" w:rsidRPr="00157C9D" w14:paraId="3C6AE918" w14:textId="77777777" w:rsidTr="001A684B">
        <w:tc>
          <w:tcPr>
            <w:tcW w:w="704" w:type="dxa"/>
          </w:tcPr>
          <w:p w14:paraId="61BDBF72" w14:textId="77777777" w:rsidR="001A684B" w:rsidRPr="00157C9D" w:rsidRDefault="001A684B" w:rsidP="00745F57">
            <w:pPr>
              <w:spacing w:line="276" w:lineRule="auto"/>
              <w:ind w:right="2160"/>
              <w:rPr>
                <w:rFonts w:ascii="Arial" w:hAnsi="Arial" w:cs="Arial"/>
                <w:lang w:val="sr-Latn-ME"/>
              </w:rPr>
            </w:pPr>
            <w:r w:rsidRPr="00157C9D">
              <w:rPr>
                <w:rFonts w:ascii="Arial" w:hAnsi="Arial" w:cs="Arial"/>
                <w:lang w:val="sr-Latn-ME"/>
              </w:rPr>
              <w:t>1</w:t>
            </w:r>
          </w:p>
        </w:tc>
        <w:tc>
          <w:tcPr>
            <w:tcW w:w="1843" w:type="dxa"/>
          </w:tcPr>
          <w:p w14:paraId="717A7F6E" w14:textId="35EC3BC1" w:rsidR="001A684B" w:rsidRPr="00157C9D" w:rsidRDefault="00764AE2" w:rsidP="00745F57">
            <w:pPr>
              <w:pStyle w:val="PlainText"/>
              <w:spacing w:line="276" w:lineRule="auto"/>
              <w:rPr>
                <w:rFonts w:ascii="Arial" w:hAnsi="Arial" w:cs="Arial"/>
                <w:szCs w:val="22"/>
                <w:lang w:val="sr-Latn-ME"/>
              </w:rPr>
            </w:pPr>
            <w:r w:rsidRPr="00157C9D">
              <w:rPr>
                <w:rFonts w:ascii="Arial" w:hAnsi="Arial" w:cs="Arial"/>
                <w:szCs w:val="22"/>
                <w:lang w:val="sr-Latn-ME"/>
              </w:rPr>
              <w:t>Dragana</w:t>
            </w:r>
            <w:r w:rsidR="005E0FA5" w:rsidRPr="00157C9D">
              <w:rPr>
                <w:rFonts w:ascii="Arial" w:hAnsi="Arial" w:cs="Arial"/>
                <w:szCs w:val="22"/>
                <w:lang w:val="sr-Latn-ME"/>
              </w:rPr>
              <w:t xml:space="preserve"> Šofranac</w:t>
            </w:r>
          </w:p>
          <w:p w14:paraId="03779E1E" w14:textId="01C157BD" w:rsidR="001A684B" w:rsidRPr="00157C9D" w:rsidRDefault="005E0FA5" w:rsidP="00745F57">
            <w:pPr>
              <w:spacing w:line="276" w:lineRule="auto"/>
              <w:rPr>
                <w:rFonts w:ascii="Arial" w:hAnsi="Arial" w:cs="Arial"/>
                <w:highlight w:val="lightGray"/>
                <w:lang w:val="sr-Latn-ME"/>
              </w:rPr>
            </w:pPr>
            <w:r w:rsidRPr="00157C9D">
              <w:rPr>
                <w:rFonts w:ascii="Arial" w:hAnsi="Arial" w:cs="Arial"/>
                <w:lang w:val="sr-Latn-ME"/>
              </w:rPr>
              <w:t>Privredna komora Crne Gore</w:t>
            </w:r>
          </w:p>
        </w:tc>
        <w:tc>
          <w:tcPr>
            <w:tcW w:w="7513" w:type="dxa"/>
          </w:tcPr>
          <w:p w14:paraId="70CBE1EE" w14:textId="77777777" w:rsidR="001A684B" w:rsidRPr="00157C9D" w:rsidRDefault="00EE15BF" w:rsidP="00745F57">
            <w:pPr>
              <w:pStyle w:val="NoSpacing"/>
              <w:spacing w:line="276" w:lineRule="auto"/>
              <w:jc w:val="both"/>
              <w:rPr>
                <w:rFonts w:ascii="Arial" w:hAnsi="Arial" w:cs="Arial"/>
                <w:lang w:val="sr-Latn-ME"/>
              </w:rPr>
            </w:pPr>
            <w:r w:rsidRPr="00157C9D">
              <w:rPr>
                <w:rFonts w:ascii="Arial" w:hAnsi="Arial" w:cs="Arial"/>
                <w:lang w:val="sr-Latn-ME"/>
              </w:rPr>
              <w:t>L. Šofranac je sugerisala da se dodatno naglase ekonomski aspekti kao što su resursna efikasnost.</w:t>
            </w:r>
          </w:p>
          <w:p w14:paraId="035D408C" w14:textId="77777777" w:rsidR="00AC2FC7" w:rsidRPr="00157C9D" w:rsidRDefault="003A57BC" w:rsidP="00745F57">
            <w:pPr>
              <w:pStyle w:val="NoSpacing"/>
              <w:spacing w:line="276" w:lineRule="auto"/>
              <w:jc w:val="both"/>
              <w:rPr>
                <w:rFonts w:ascii="Arial" w:hAnsi="Arial" w:cs="Arial"/>
                <w:lang w:val="sr-Latn-ME"/>
              </w:rPr>
            </w:pPr>
            <w:r w:rsidRPr="00157C9D">
              <w:rPr>
                <w:rFonts w:ascii="Arial" w:hAnsi="Arial" w:cs="Arial"/>
                <w:lang w:val="sr-Latn-ME"/>
              </w:rPr>
              <w:t>Takođe, sugerisala je da se istakne</w:t>
            </w:r>
            <w:r w:rsidR="00AC2FC7" w:rsidRPr="00157C9D">
              <w:rPr>
                <w:rFonts w:ascii="Arial" w:hAnsi="Arial" w:cs="Arial"/>
                <w:lang w:val="sr-Latn-ME"/>
              </w:rPr>
              <w:t xml:space="preserve"> da</w:t>
            </w:r>
            <w:r w:rsidRPr="00157C9D">
              <w:rPr>
                <w:rFonts w:ascii="Arial" w:hAnsi="Arial" w:cs="Arial"/>
                <w:lang w:val="sr-Latn-ME"/>
              </w:rPr>
              <w:t xml:space="preserve"> prela</w:t>
            </w:r>
            <w:r w:rsidR="00AC2FC7" w:rsidRPr="00157C9D">
              <w:rPr>
                <w:rFonts w:ascii="Arial" w:hAnsi="Arial" w:cs="Arial"/>
                <w:lang w:val="sr-Latn-ME"/>
              </w:rPr>
              <w:t>zak</w:t>
            </w:r>
            <w:r w:rsidRPr="00157C9D">
              <w:rPr>
                <w:rFonts w:ascii="Arial" w:hAnsi="Arial" w:cs="Arial"/>
                <w:lang w:val="sr-Latn-ME"/>
              </w:rPr>
              <w:t xml:space="preserve"> na cirkularnu ekonomiju nije izbor već imperativ,</w:t>
            </w:r>
            <w:r w:rsidR="0005730A" w:rsidRPr="00157C9D">
              <w:rPr>
                <w:rFonts w:ascii="Arial" w:hAnsi="Arial" w:cs="Arial"/>
                <w:lang w:val="sr-Latn-ME"/>
              </w:rPr>
              <w:t xml:space="preserve"> </w:t>
            </w:r>
            <w:r w:rsidRPr="00157C9D">
              <w:rPr>
                <w:rFonts w:ascii="Arial" w:hAnsi="Arial" w:cs="Arial"/>
                <w:lang w:val="sr-Latn-ME"/>
              </w:rPr>
              <w:t>a da je izbor samo koji model ćemo izabrati</w:t>
            </w:r>
            <w:r w:rsidR="00AC2FC7" w:rsidRPr="00157C9D">
              <w:rPr>
                <w:rFonts w:ascii="Arial" w:hAnsi="Arial" w:cs="Arial"/>
                <w:lang w:val="sr-Latn-ME"/>
              </w:rPr>
              <w:t>.</w:t>
            </w:r>
          </w:p>
          <w:p w14:paraId="48930DCE" w14:textId="42AB3B4A" w:rsidR="00EE15BF" w:rsidRPr="00157C9D" w:rsidRDefault="00AC2FC7" w:rsidP="00745F57">
            <w:pPr>
              <w:pStyle w:val="NoSpacing"/>
              <w:spacing w:line="276" w:lineRule="auto"/>
              <w:jc w:val="both"/>
              <w:rPr>
                <w:rFonts w:ascii="Arial" w:hAnsi="Arial" w:cs="Arial"/>
                <w:lang w:val="sr-Latn-ME"/>
              </w:rPr>
            </w:pPr>
            <w:r w:rsidRPr="00157C9D">
              <w:rPr>
                <w:rFonts w:ascii="Arial" w:hAnsi="Arial" w:cs="Arial"/>
                <w:lang w:val="sr-Latn-ME"/>
              </w:rPr>
              <w:t>Ukazala je i na važnost digitalizacije, primjera dobre prakse u oblasti upravljanja otpadom, mogućnosti za finansiranje cirkularne tranzicije, koja iako velika ipak postoje.</w:t>
            </w:r>
          </w:p>
          <w:p w14:paraId="43942E79" w14:textId="3EF55F8B" w:rsidR="003A57BC" w:rsidRPr="00157C9D" w:rsidRDefault="00AC2FC7" w:rsidP="00AC2FC7">
            <w:pPr>
              <w:pStyle w:val="NoSpacing"/>
              <w:spacing w:line="276" w:lineRule="auto"/>
              <w:jc w:val="both"/>
              <w:rPr>
                <w:rFonts w:ascii="Arial" w:hAnsi="Arial" w:cs="Arial"/>
                <w:highlight w:val="lightGray"/>
                <w:lang w:val="sr-Latn-ME"/>
              </w:rPr>
            </w:pPr>
            <w:r w:rsidRPr="00157C9D">
              <w:rPr>
                <w:rFonts w:ascii="Arial" w:hAnsi="Arial" w:cs="Arial"/>
                <w:lang w:val="sr-Latn-ME"/>
              </w:rPr>
              <w:t>Posebno istakla značaj predstojećeg zakonskog rješenja u pogledu upravljanja otpadom, posebno plastičnog otpada kao vrijedne sirovine.</w:t>
            </w:r>
          </w:p>
        </w:tc>
        <w:tc>
          <w:tcPr>
            <w:tcW w:w="4394" w:type="dxa"/>
          </w:tcPr>
          <w:p w14:paraId="30E6A3C8" w14:textId="5927E5A5" w:rsidR="00CD31D1" w:rsidRPr="00157C9D" w:rsidRDefault="003A57BC" w:rsidP="00AC2FC7">
            <w:pPr>
              <w:pStyle w:val="NoSpacing"/>
              <w:spacing w:line="276" w:lineRule="auto"/>
              <w:jc w:val="both"/>
              <w:rPr>
                <w:rFonts w:ascii="Arial" w:hAnsi="Arial" w:cs="Arial"/>
                <w:b/>
                <w:bCs/>
                <w:lang w:val="sr-Latn-ME"/>
              </w:rPr>
            </w:pPr>
            <w:r w:rsidRPr="00157C9D">
              <w:rPr>
                <w:rFonts w:ascii="Arial" w:hAnsi="Arial" w:cs="Arial"/>
                <w:b/>
                <w:bCs/>
                <w:lang w:val="sr-Latn-ME"/>
              </w:rPr>
              <w:t>Prihvata se</w:t>
            </w:r>
            <w:r w:rsidR="00FF7350" w:rsidRPr="00157C9D">
              <w:rPr>
                <w:rFonts w:ascii="Arial" w:hAnsi="Arial" w:cs="Arial"/>
                <w:b/>
                <w:bCs/>
                <w:lang w:val="sr-Latn-ME"/>
              </w:rPr>
              <w:t>.</w:t>
            </w:r>
          </w:p>
          <w:p w14:paraId="4C52F9B5" w14:textId="366C7B57" w:rsidR="00B2301A" w:rsidRPr="00157C9D" w:rsidRDefault="00B2301A" w:rsidP="00745F57">
            <w:pPr>
              <w:pStyle w:val="NoSpacing"/>
              <w:spacing w:line="276" w:lineRule="auto"/>
              <w:jc w:val="both"/>
              <w:rPr>
                <w:rFonts w:ascii="Arial" w:hAnsi="Arial" w:cs="Arial"/>
                <w:lang w:val="sr-Latn-ME"/>
              </w:rPr>
            </w:pPr>
            <w:r w:rsidRPr="00157C9D">
              <w:rPr>
                <w:rFonts w:ascii="Arial" w:hAnsi="Arial" w:cs="Arial"/>
                <w:lang w:val="sr-Latn-ME"/>
              </w:rPr>
              <w:t xml:space="preserve">Predstavnici Ministarstva </w:t>
            </w:r>
            <w:r w:rsidR="00AC2FC7" w:rsidRPr="00157C9D">
              <w:rPr>
                <w:rFonts w:ascii="Arial" w:hAnsi="Arial" w:cs="Arial"/>
                <w:lang w:val="sr-Latn-ME"/>
              </w:rPr>
              <w:t>i</w:t>
            </w:r>
            <w:r w:rsidRPr="00157C9D">
              <w:rPr>
                <w:rFonts w:ascii="Arial" w:hAnsi="Arial" w:cs="Arial"/>
                <w:lang w:val="sr-Latn-ME"/>
              </w:rPr>
              <w:t xml:space="preserve"> stručni tim se složio da se radi o komentarima koji su u skladu sa razmišljanjima </w:t>
            </w:r>
            <w:r w:rsidR="0005730A" w:rsidRPr="00157C9D">
              <w:rPr>
                <w:rFonts w:ascii="Arial" w:hAnsi="Arial" w:cs="Arial"/>
                <w:lang w:val="sr-Latn-ME"/>
              </w:rPr>
              <w:t>tima i u tom kontekstu ukazali na aktivnosti Akcionog plana koje adresiraju navedene komentare,</w:t>
            </w:r>
            <w:r w:rsidR="00AC2FC7" w:rsidRPr="00157C9D">
              <w:rPr>
                <w:rFonts w:ascii="Arial" w:hAnsi="Arial" w:cs="Arial"/>
                <w:lang w:val="sr-Latn-ME"/>
              </w:rPr>
              <w:t xml:space="preserve"> dok će u samom tekstu Strategije, postojeći tekst </w:t>
            </w:r>
            <w:r w:rsidR="00F4797F" w:rsidRPr="00157C9D">
              <w:rPr>
                <w:rFonts w:ascii="Arial" w:hAnsi="Arial" w:cs="Arial"/>
                <w:lang w:val="sr-Latn-ME"/>
              </w:rPr>
              <w:t>biti dodatno naglašen</w:t>
            </w:r>
            <w:r w:rsidR="00AC2FC7" w:rsidRPr="00157C9D">
              <w:rPr>
                <w:rFonts w:ascii="Arial" w:hAnsi="Arial" w:cs="Arial"/>
                <w:lang w:val="sr-Latn-ME"/>
              </w:rPr>
              <w:t>.</w:t>
            </w:r>
          </w:p>
          <w:p w14:paraId="60EE98DB" w14:textId="057458FC" w:rsidR="00B2301A" w:rsidRPr="00157C9D" w:rsidRDefault="00B2301A" w:rsidP="00745F57">
            <w:pPr>
              <w:pStyle w:val="NoSpacing"/>
              <w:spacing w:line="276" w:lineRule="auto"/>
              <w:jc w:val="both"/>
              <w:rPr>
                <w:rFonts w:ascii="Arial" w:hAnsi="Arial" w:cs="Arial"/>
                <w:highlight w:val="lightGray"/>
                <w:lang w:val="sr-Latn-ME"/>
              </w:rPr>
            </w:pPr>
          </w:p>
        </w:tc>
      </w:tr>
      <w:tr w:rsidR="001A684B" w:rsidRPr="00157C9D" w14:paraId="424D241F" w14:textId="77777777" w:rsidTr="001A684B">
        <w:tc>
          <w:tcPr>
            <w:tcW w:w="704" w:type="dxa"/>
          </w:tcPr>
          <w:p w14:paraId="6C7D07E5" w14:textId="59B39AB3" w:rsidR="001A684B" w:rsidRPr="00157C9D" w:rsidRDefault="001A684B" w:rsidP="00745F57">
            <w:pPr>
              <w:pStyle w:val="NoSpacing"/>
              <w:spacing w:line="276" w:lineRule="auto"/>
              <w:rPr>
                <w:rFonts w:ascii="Arial" w:hAnsi="Arial" w:cs="Arial"/>
                <w:lang w:val="sr-Latn-ME"/>
              </w:rPr>
            </w:pPr>
            <w:r w:rsidRPr="00157C9D">
              <w:rPr>
                <w:rFonts w:ascii="Arial" w:hAnsi="Arial" w:cs="Arial"/>
                <w:lang w:val="sr-Latn-ME"/>
              </w:rPr>
              <w:t>2.</w:t>
            </w:r>
          </w:p>
        </w:tc>
        <w:tc>
          <w:tcPr>
            <w:tcW w:w="1843" w:type="dxa"/>
          </w:tcPr>
          <w:p w14:paraId="4992F7DC" w14:textId="187976FB" w:rsidR="00510CB0" w:rsidRPr="00157C9D" w:rsidRDefault="00F4797F" w:rsidP="00745F57">
            <w:pPr>
              <w:pStyle w:val="NoSpacing"/>
              <w:spacing w:line="276" w:lineRule="auto"/>
              <w:rPr>
                <w:rFonts w:ascii="Arial" w:hAnsi="Arial" w:cs="Arial"/>
                <w:lang w:val="sr-Latn-ME"/>
              </w:rPr>
            </w:pPr>
            <w:r w:rsidRPr="00157C9D">
              <w:rPr>
                <w:rFonts w:ascii="Arial" w:hAnsi="Arial" w:cs="Arial"/>
                <w:lang w:val="sr-Latn-ME"/>
              </w:rPr>
              <w:t>Marij</w:t>
            </w:r>
            <w:r w:rsidR="00586C56" w:rsidRPr="00157C9D">
              <w:rPr>
                <w:rFonts w:ascii="Arial" w:hAnsi="Arial" w:cs="Arial"/>
                <w:lang w:val="sr-Latn-ME"/>
              </w:rPr>
              <w:t xml:space="preserve">eta Barjaktarović Lanzardi </w:t>
            </w:r>
          </w:p>
          <w:p w14:paraId="531B82F6" w14:textId="77777777" w:rsidR="00F4797F" w:rsidRPr="00157C9D" w:rsidRDefault="00F4797F" w:rsidP="00745F57">
            <w:pPr>
              <w:pStyle w:val="NoSpacing"/>
              <w:spacing w:line="276" w:lineRule="auto"/>
              <w:rPr>
                <w:rFonts w:ascii="Arial" w:hAnsi="Arial" w:cs="Arial"/>
                <w:lang w:val="sr-Latn-ME"/>
              </w:rPr>
            </w:pPr>
          </w:p>
          <w:p w14:paraId="13A4D5A7" w14:textId="3EE34446" w:rsidR="00F4797F" w:rsidRPr="00157C9D" w:rsidRDefault="00F4797F" w:rsidP="00745F57">
            <w:pPr>
              <w:pStyle w:val="NoSpacing"/>
              <w:spacing w:line="276" w:lineRule="auto"/>
              <w:rPr>
                <w:rFonts w:ascii="Arial" w:hAnsi="Arial" w:cs="Arial"/>
                <w:highlight w:val="lightGray"/>
                <w:lang w:val="sr-Latn-ME"/>
              </w:rPr>
            </w:pPr>
            <w:r w:rsidRPr="00157C9D">
              <w:rPr>
                <w:rFonts w:ascii="Arial" w:hAnsi="Arial" w:cs="Arial"/>
                <w:lang w:val="sr-Latn-ME"/>
              </w:rPr>
              <w:t>Ministarstvo nau</w:t>
            </w:r>
            <w:r w:rsidR="00586C56" w:rsidRPr="00157C9D">
              <w:rPr>
                <w:rFonts w:ascii="Arial" w:hAnsi="Arial" w:cs="Arial"/>
                <w:lang w:val="sr-Latn-ME"/>
              </w:rPr>
              <w:t>ke i tehnološkog razvoja</w:t>
            </w:r>
          </w:p>
        </w:tc>
        <w:tc>
          <w:tcPr>
            <w:tcW w:w="7513" w:type="dxa"/>
          </w:tcPr>
          <w:p w14:paraId="3516AE5C" w14:textId="43CF7F5E" w:rsidR="001A684B" w:rsidRPr="00157C9D" w:rsidRDefault="00586C56" w:rsidP="00745F57">
            <w:pPr>
              <w:spacing w:line="276" w:lineRule="auto"/>
              <w:jc w:val="both"/>
              <w:rPr>
                <w:rFonts w:ascii="Arial" w:hAnsi="Arial" w:cs="Arial"/>
                <w:lang w:val="sr-Latn-ME"/>
              </w:rPr>
            </w:pPr>
            <w:r w:rsidRPr="00157C9D">
              <w:rPr>
                <w:rFonts w:ascii="Arial" w:hAnsi="Arial" w:cs="Arial"/>
                <w:lang w:val="sr-Latn-ME"/>
              </w:rPr>
              <w:t>Čestitala je timu na kvalitetnom i realnom dokumentu koji je pripremljen u izuzetno kratkom periodu. Istakla da je oblast inovacija prepoznata kao horizontalna tema za veliki broj aktivnosti. Podsjetila je da se koncept cirkularne ekonomije pominje u Str</w:t>
            </w:r>
            <w:r w:rsidR="002B0765" w:rsidRPr="00157C9D">
              <w:rPr>
                <w:rFonts w:ascii="Arial" w:hAnsi="Arial" w:cs="Arial"/>
                <w:lang w:val="sr-Latn-ME"/>
              </w:rPr>
              <w:t>a</w:t>
            </w:r>
            <w:r w:rsidRPr="00157C9D">
              <w:rPr>
                <w:rFonts w:ascii="Arial" w:hAnsi="Arial" w:cs="Arial"/>
                <w:lang w:val="sr-Latn-ME"/>
              </w:rPr>
              <w:t xml:space="preserve">tegiji pametne specijalizacije, i to u kontekstu oblasti upravljanja otpadom. </w:t>
            </w:r>
          </w:p>
          <w:p w14:paraId="77327B0F" w14:textId="78FC784F" w:rsidR="00AD42D1" w:rsidRPr="00157C9D" w:rsidRDefault="00AC2FC7" w:rsidP="00745F57">
            <w:pPr>
              <w:spacing w:line="276" w:lineRule="auto"/>
              <w:jc w:val="both"/>
              <w:rPr>
                <w:rFonts w:ascii="Arial" w:hAnsi="Arial" w:cs="Arial"/>
                <w:lang w:val="sr-Latn-ME"/>
              </w:rPr>
            </w:pPr>
            <w:r w:rsidRPr="00157C9D">
              <w:rPr>
                <w:rFonts w:ascii="Arial" w:hAnsi="Arial" w:cs="Arial"/>
                <w:lang w:val="sr-Latn-ME"/>
              </w:rPr>
              <w:t xml:space="preserve">Takođe, istakla je da </w:t>
            </w:r>
            <w:r w:rsidR="00AD42D1" w:rsidRPr="00157C9D">
              <w:rPr>
                <w:rFonts w:ascii="Arial" w:hAnsi="Arial" w:cs="Arial"/>
                <w:lang w:val="sr-Latn-ME"/>
              </w:rPr>
              <w:t>oblast inovacija, posebno u kontekstu cirkularne ekonomije, zahtijeva ogromna finansijska sredstva. S druge strane, ohrabruje činjenica da je savjetodavno tijelo za inovacije i pametnu specijalizaciju razgovaralo na ovu temu na svojoj prošloj sjednici, koja je održana u novembru 2022. godine, a koju je pratila i sjednica Savjeta za konkurentnost, te da je zaključak oba tijela zajednički, a to je da dva ministarstva nađu rješenje kako da jednim targetiranim programom</w:t>
            </w:r>
            <w:r w:rsidR="009E4AB4" w:rsidRPr="00157C9D">
              <w:rPr>
                <w:rFonts w:ascii="Arial" w:hAnsi="Arial" w:cs="Arial"/>
                <w:lang w:val="sr-Latn-ME"/>
              </w:rPr>
              <w:t>, čiji nosilac bi možda bio Fond za inovacije,</w:t>
            </w:r>
            <w:r w:rsidR="00AD42D1" w:rsidRPr="00157C9D">
              <w:rPr>
                <w:rFonts w:ascii="Arial" w:hAnsi="Arial" w:cs="Arial"/>
                <w:lang w:val="sr-Latn-ME"/>
              </w:rPr>
              <w:t xml:space="preserve"> se omogući da inovacije podrže cirkularnu tranziciju u narednom periodu. </w:t>
            </w:r>
          </w:p>
        </w:tc>
        <w:tc>
          <w:tcPr>
            <w:tcW w:w="4394" w:type="dxa"/>
          </w:tcPr>
          <w:p w14:paraId="426EFF45" w14:textId="3B11A9B2" w:rsidR="001A684B" w:rsidRPr="00157C9D" w:rsidRDefault="00804BAD" w:rsidP="00745F57">
            <w:pPr>
              <w:pStyle w:val="NoSpacing"/>
              <w:spacing w:line="276" w:lineRule="auto"/>
              <w:rPr>
                <w:rFonts w:ascii="Arial" w:hAnsi="Arial" w:cs="Arial"/>
                <w:lang w:val="sr-Latn-ME"/>
              </w:rPr>
            </w:pPr>
            <w:r w:rsidRPr="00157C9D">
              <w:rPr>
                <w:rFonts w:ascii="Arial" w:hAnsi="Arial" w:cs="Arial"/>
                <w:b/>
                <w:lang w:val="sr-Latn-ME"/>
              </w:rPr>
              <w:t>Prihvata se</w:t>
            </w:r>
            <w:r w:rsidR="00FF7350" w:rsidRPr="00157C9D">
              <w:rPr>
                <w:rFonts w:ascii="Arial" w:hAnsi="Arial" w:cs="Arial"/>
                <w:b/>
                <w:lang w:val="sr-Latn-ME"/>
              </w:rPr>
              <w:t>.</w:t>
            </w:r>
          </w:p>
          <w:p w14:paraId="2CECE797" w14:textId="727FDFFB" w:rsidR="002F4835" w:rsidRPr="00157C9D" w:rsidRDefault="00817242" w:rsidP="00745F57">
            <w:pPr>
              <w:pStyle w:val="NoSpacing"/>
              <w:spacing w:line="276" w:lineRule="auto"/>
              <w:rPr>
                <w:rFonts w:ascii="Arial" w:hAnsi="Arial" w:cs="Arial"/>
                <w:highlight w:val="lightGray"/>
                <w:lang w:val="sr-Latn-ME"/>
              </w:rPr>
            </w:pPr>
            <w:r w:rsidRPr="00157C9D">
              <w:rPr>
                <w:rFonts w:ascii="Arial" w:hAnsi="Arial" w:cs="Arial"/>
                <w:lang w:val="sr-Latn-ME"/>
              </w:rPr>
              <w:t>Predstavnici Ministarstva i stručni tim se složio da se radi o komentaru koji je afirmativan, te da su aktivnosti Fonda za inovacije već uključene u Akcioni plan</w:t>
            </w:r>
            <w:r w:rsidR="00AC2FC7" w:rsidRPr="00157C9D">
              <w:rPr>
                <w:rFonts w:ascii="Arial" w:hAnsi="Arial" w:cs="Arial"/>
                <w:lang w:val="sr-Latn-ME"/>
              </w:rPr>
              <w:t xml:space="preserve"> I zahvalio se predstavnici Ministarstva nauke I tehnološkog razvoja na aktivnom učešću tokom procesa izrade Strategije I Akcionog plana</w:t>
            </w:r>
            <w:r w:rsidRPr="00157C9D">
              <w:rPr>
                <w:rFonts w:ascii="Arial" w:hAnsi="Arial" w:cs="Arial"/>
                <w:lang w:val="sr-Latn-ME"/>
              </w:rPr>
              <w:t xml:space="preserve">. </w:t>
            </w:r>
          </w:p>
          <w:p w14:paraId="3743E24B" w14:textId="0F17A9E0" w:rsidR="002F4835" w:rsidRPr="00157C9D" w:rsidRDefault="002F4835" w:rsidP="00745F57">
            <w:pPr>
              <w:pStyle w:val="NoSpacing"/>
              <w:spacing w:line="276" w:lineRule="auto"/>
              <w:rPr>
                <w:rFonts w:ascii="Arial" w:hAnsi="Arial" w:cs="Arial"/>
                <w:highlight w:val="lightGray"/>
                <w:lang w:val="sr-Latn-ME"/>
              </w:rPr>
            </w:pPr>
          </w:p>
        </w:tc>
      </w:tr>
      <w:tr w:rsidR="001A684B" w:rsidRPr="00157C9D" w14:paraId="3E1616FE" w14:textId="77777777" w:rsidTr="001A684B">
        <w:tc>
          <w:tcPr>
            <w:tcW w:w="704" w:type="dxa"/>
          </w:tcPr>
          <w:p w14:paraId="246FA10A" w14:textId="77777777" w:rsidR="001A684B" w:rsidRPr="00157C9D" w:rsidRDefault="001A684B" w:rsidP="00745F57">
            <w:pPr>
              <w:pStyle w:val="NoSpacing"/>
              <w:spacing w:line="276" w:lineRule="auto"/>
              <w:rPr>
                <w:rFonts w:ascii="Arial" w:hAnsi="Arial" w:cs="Arial"/>
                <w:lang w:val="sr-Latn-ME"/>
              </w:rPr>
            </w:pPr>
            <w:r w:rsidRPr="00157C9D">
              <w:rPr>
                <w:rFonts w:ascii="Arial" w:hAnsi="Arial" w:cs="Arial"/>
                <w:lang w:val="sr-Latn-ME"/>
              </w:rPr>
              <w:t>3.</w:t>
            </w:r>
          </w:p>
        </w:tc>
        <w:tc>
          <w:tcPr>
            <w:tcW w:w="1843" w:type="dxa"/>
          </w:tcPr>
          <w:p w14:paraId="06B986D9" w14:textId="77777777" w:rsidR="001A684B" w:rsidRPr="00157C9D" w:rsidRDefault="00C26259" w:rsidP="00745F57">
            <w:pPr>
              <w:pStyle w:val="NoSpacing"/>
              <w:spacing w:line="276" w:lineRule="auto"/>
              <w:rPr>
                <w:rFonts w:ascii="Arial" w:hAnsi="Arial" w:cs="Arial"/>
                <w:lang w:val="sr-Latn-ME"/>
              </w:rPr>
            </w:pPr>
            <w:r w:rsidRPr="00157C9D">
              <w:rPr>
                <w:rFonts w:ascii="Arial" w:hAnsi="Arial" w:cs="Arial"/>
                <w:lang w:val="sr-Latn-ME"/>
              </w:rPr>
              <w:t>Bratislav Vukčević</w:t>
            </w:r>
          </w:p>
          <w:p w14:paraId="4B1172B0" w14:textId="77777777" w:rsidR="00EF118A" w:rsidRPr="00157C9D" w:rsidRDefault="00EF118A" w:rsidP="00745F57">
            <w:pPr>
              <w:pStyle w:val="NoSpacing"/>
              <w:spacing w:line="276" w:lineRule="auto"/>
              <w:rPr>
                <w:rFonts w:ascii="Arial" w:hAnsi="Arial" w:cs="Arial"/>
                <w:lang w:val="sr-Latn-ME"/>
              </w:rPr>
            </w:pPr>
          </w:p>
          <w:p w14:paraId="6981C60F" w14:textId="05D803AB" w:rsidR="00C26259" w:rsidRPr="00157C9D" w:rsidRDefault="00C26259" w:rsidP="00745F57">
            <w:pPr>
              <w:pStyle w:val="NoSpacing"/>
              <w:spacing w:line="276" w:lineRule="auto"/>
              <w:rPr>
                <w:rFonts w:ascii="Arial" w:hAnsi="Arial" w:cs="Arial"/>
                <w:highlight w:val="lightGray"/>
                <w:lang w:val="sr-Latn-ME"/>
              </w:rPr>
            </w:pPr>
            <w:r w:rsidRPr="00157C9D">
              <w:rPr>
                <w:rFonts w:ascii="Arial" w:hAnsi="Arial" w:cs="Arial"/>
                <w:lang w:val="sr-Latn-ME"/>
              </w:rPr>
              <w:t>Centralna banka Crne Gore</w:t>
            </w:r>
          </w:p>
        </w:tc>
        <w:tc>
          <w:tcPr>
            <w:tcW w:w="7513" w:type="dxa"/>
          </w:tcPr>
          <w:p w14:paraId="1DB534D5" w14:textId="2C86EFA1" w:rsidR="001A684B" w:rsidRPr="00157C9D" w:rsidRDefault="00C26259" w:rsidP="00745F57">
            <w:pPr>
              <w:spacing w:line="276" w:lineRule="auto"/>
              <w:jc w:val="both"/>
              <w:rPr>
                <w:rFonts w:ascii="Arial" w:hAnsi="Arial" w:cs="Arial"/>
                <w:lang w:val="sr-Latn-ME"/>
              </w:rPr>
            </w:pPr>
            <w:r w:rsidRPr="00157C9D">
              <w:rPr>
                <w:rFonts w:ascii="Arial" w:hAnsi="Arial" w:cs="Arial"/>
                <w:lang w:val="sr-Latn-ME"/>
              </w:rPr>
              <w:t>Ukazao je da se radi o dobrom</w:t>
            </w:r>
            <w:r w:rsidR="005C0ED6" w:rsidRPr="00157C9D">
              <w:rPr>
                <w:rFonts w:ascii="Arial" w:hAnsi="Arial" w:cs="Arial"/>
                <w:lang w:val="sr-Latn-ME"/>
              </w:rPr>
              <w:t>, realnom</w:t>
            </w:r>
            <w:r w:rsidRPr="00157C9D">
              <w:rPr>
                <w:rFonts w:ascii="Arial" w:hAnsi="Arial" w:cs="Arial"/>
                <w:lang w:val="sr-Latn-ME"/>
              </w:rPr>
              <w:t xml:space="preserve"> i perspektivnom dokumentu za razvoj crnogorske ekonomije.</w:t>
            </w:r>
          </w:p>
          <w:p w14:paraId="5E6AE312" w14:textId="2D65D844" w:rsidR="00C26259" w:rsidRPr="00157C9D" w:rsidRDefault="00C26259" w:rsidP="00745F57">
            <w:pPr>
              <w:spacing w:line="276" w:lineRule="auto"/>
              <w:jc w:val="both"/>
              <w:rPr>
                <w:rFonts w:ascii="Arial" w:hAnsi="Arial" w:cs="Arial"/>
                <w:lang w:val="sr-Latn-ME"/>
              </w:rPr>
            </w:pPr>
            <w:r w:rsidRPr="00157C9D">
              <w:rPr>
                <w:rFonts w:ascii="Arial" w:hAnsi="Arial" w:cs="Arial"/>
                <w:lang w:val="sr-Latn-ME"/>
              </w:rPr>
              <w:t xml:space="preserve">Sugerisao je da je potrebno dodatno naglasiti ulogu banaka i mogućnost kreditiranja </w:t>
            </w:r>
            <w:r w:rsidR="00961F5F" w:rsidRPr="00157C9D">
              <w:rPr>
                <w:rFonts w:ascii="Arial" w:hAnsi="Arial" w:cs="Arial"/>
                <w:lang w:val="sr-Latn-ME"/>
              </w:rPr>
              <w:t xml:space="preserve">(osim CKB koja je pomenuta u Mapi puta, potrebno je uključiti </w:t>
            </w:r>
            <w:r w:rsidR="00AC2FC7" w:rsidRPr="00157C9D">
              <w:rPr>
                <w:rFonts w:ascii="Arial" w:hAnsi="Arial" w:cs="Arial"/>
                <w:lang w:val="sr-Latn-ME"/>
              </w:rPr>
              <w:t>i</w:t>
            </w:r>
            <w:r w:rsidR="00961F5F" w:rsidRPr="00157C9D">
              <w:rPr>
                <w:rFonts w:ascii="Arial" w:hAnsi="Arial" w:cs="Arial"/>
                <w:lang w:val="sr-Latn-ME"/>
              </w:rPr>
              <w:t xml:space="preserve"> ostale banke koje su sigurno zainteresovane da budu uključene u Strategiju).</w:t>
            </w:r>
          </w:p>
          <w:p w14:paraId="2958ED5C" w14:textId="5AF50578" w:rsidR="00961F5F" w:rsidRPr="00157C9D" w:rsidRDefault="00BE3F81" w:rsidP="00745F57">
            <w:pPr>
              <w:spacing w:line="276" w:lineRule="auto"/>
              <w:jc w:val="both"/>
              <w:rPr>
                <w:rFonts w:ascii="Arial" w:hAnsi="Arial" w:cs="Arial"/>
                <w:highlight w:val="lightGray"/>
                <w:lang w:val="sr-Latn-ME"/>
              </w:rPr>
            </w:pPr>
            <w:r w:rsidRPr="00157C9D">
              <w:rPr>
                <w:rFonts w:ascii="Arial" w:hAnsi="Arial" w:cs="Arial"/>
                <w:lang w:val="sr-Latn-ME"/>
              </w:rPr>
              <w:lastRenderedPageBreak/>
              <w:t xml:space="preserve">Takođe, konstatovao je da je potrebno unaprijediti indikatore, posebno u kontekstu broja programa </w:t>
            </w:r>
            <w:r w:rsidR="00AC2FC7" w:rsidRPr="00157C9D">
              <w:rPr>
                <w:rFonts w:ascii="Arial" w:hAnsi="Arial" w:cs="Arial"/>
                <w:lang w:val="sr-Latn-ME"/>
              </w:rPr>
              <w:t>i</w:t>
            </w:r>
            <w:r w:rsidRPr="00157C9D">
              <w:rPr>
                <w:rFonts w:ascii="Arial" w:hAnsi="Arial" w:cs="Arial"/>
                <w:lang w:val="sr-Latn-ME"/>
              </w:rPr>
              <w:t xml:space="preserve"> broja korisnika</w:t>
            </w:r>
            <w:r w:rsidR="005C0ED6" w:rsidRPr="00157C9D">
              <w:rPr>
                <w:rFonts w:ascii="Arial" w:hAnsi="Arial" w:cs="Arial"/>
                <w:lang w:val="sr-Latn-ME"/>
              </w:rPr>
              <w:t>, kao i precizirati sredstva po programima.</w:t>
            </w:r>
          </w:p>
        </w:tc>
        <w:tc>
          <w:tcPr>
            <w:tcW w:w="4394" w:type="dxa"/>
          </w:tcPr>
          <w:p w14:paraId="10264434" w14:textId="77777777" w:rsidR="001A684B" w:rsidRPr="00157C9D" w:rsidRDefault="00AC2FC7" w:rsidP="00745F57">
            <w:pPr>
              <w:pStyle w:val="NoSpacing"/>
              <w:spacing w:line="276" w:lineRule="auto"/>
              <w:rPr>
                <w:rFonts w:ascii="Arial" w:hAnsi="Arial" w:cs="Arial"/>
                <w:b/>
                <w:bCs/>
                <w:lang w:val="sr-Latn-ME"/>
              </w:rPr>
            </w:pPr>
            <w:r w:rsidRPr="00157C9D">
              <w:rPr>
                <w:rFonts w:ascii="Arial" w:hAnsi="Arial" w:cs="Arial"/>
                <w:b/>
                <w:bCs/>
                <w:lang w:val="sr-Latn-ME"/>
              </w:rPr>
              <w:lastRenderedPageBreak/>
              <w:t>Prihvata se.</w:t>
            </w:r>
          </w:p>
          <w:p w14:paraId="7937499D" w14:textId="77777777" w:rsidR="00AC2FC7" w:rsidRPr="00157C9D" w:rsidRDefault="00AC2FC7" w:rsidP="00745F57">
            <w:pPr>
              <w:pStyle w:val="NoSpacing"/>
              <w:spacing w:line="276" w:lineRule="auto"/>
              <w:rPr>
                <w:rFonts w:ascii="Arial" w:hAnsi="Arial" w:cs="Arial"/>
                <w:lang w:val="sr-Latn-ME"/>
              </w:rPr>
            </w:pPr>
            <w:r w:rsidRPr="00157C9D">
              <w:rPr>
                <w:rFonts w:ascii="Arial" w:hAnsi="Arial" w:cs="Arial"/>
                <w:lang w:val="sr-Latn-ME"/>
              </w:rPr>
              <w:t>Predstavnici Ministarstva i stručni tim se složio da se radi o korisnoj sugestiji i obrazložio način na koji će indikatori biti razrađeni u dokumentu.</w:t>
            </w:r>
          </w:p>
          <w:p w14:paraId="1C81E40A" w14:textId="776EAB6B" w:rsidR="00AC2FC7" w:rsidRPr="00157C9D" w:rsidRDefault="00AC2FC7" w:rsidP="00745F57">
            <w:pPr>
              <w:pStyle w:val="NoSpacing"/>
              <w:spacing w:line="276" w:lineRule="auto"/>
              <w:rPr>
                <w:rFonts w:ascii="Arial" w:hAnsi="Arial" w:cs="Arial"/>
                <w:highlight w:val="lightGray"/>
                <w:lang w:val="sr-Latn-ME"/>
              </w:rPr>
            </w:pPr>
            <w:r w:rsidRPr="00157C9D">
              <w:rPr>
                <w:rFonts w:ascii="Arial" w:hAnsi="Arial" w:cs="Arial"/>
                <w:lang w:val="sr-Latn-ME"/>
              </w:rPr>
              <w:lastRenderedPageBreak/>
              <w:t>Takođe, prihvaćen je predlog da se uloga komercijalnih banaka dodatno naglasi I kroz tekst Strategije i kroz tekst Akcionog plana, s tim što se u ovom trenutku ne može ići s konkretnim predlogom aktivnosti koji bi targetirao pojedinačne komercijalne banke s obzirom na to da tokom procesa izrade dokumenta nije bilo konkretnih sugestija niti od jedne.</w:t>
            </w:r>
          </w:p>
        </w:tc>
      </w:tr>
      <w:tr w:rsidR="00C3205C" w:rsidRPr="00157C9D" w14:paraId="52811611" w14:textId="77777777" w:rsidTr="001A684B">
        <w:tc>
          <w:tcPr>
            <w:tcW w:w="704" w:type="dxa"/>
          </w:tcPr>
          <w:p w14:paraId="2CC63ED2" w14:textId="25798970" w:rsidR="00C3205C" w:rsidRPr="00157C9D" w:rsidRDefault="0012356D" w:rsidP="00745F57">
            <w:pPr>
              <w:pStyle w:val="NoSpacing"/>
              <w:spacing w:line="276" w:lineRule="auto"/>
              <w:rPr>
                <w:rFonts w:ascii="Arial" w:hAnsi="Arial" w:cs="Arial"/>
                <w:lang w:val="sr-Latn-ME"/>
              </w:rPr>
            </w:pPr>
            <w:r w:rsidRPr="00157C9D">
              <w:rPr>
                <w:rFonts w:ascii="Arial" w:hAnsi="Arial" w:cs="Arial"/>
                <w:lang w:val="sr-Latn-ME"/>
              </w:rPr>
              <w:lastRenderedPageBreak/>
              <w:t>4.</w:t>
            </w:r>
          </w:p>
        </w:tc>
        <w:tc>
          <w:tcPr>
            <w:tcW w:w="1843" w:type="dxa"/>
          </w:tcPr>
          <w:p w14:paraId="5ED2FF00" w14:textId="77777777" w:rsidR="00C3205C" w:rsidRPr="00157C9D" w:rsidRDefault="00C3205C" w:rsidP="00745F57">
            <w:pPr>
              <w:pStyle w:val="NoSpacing"/>
              <w:spacing w:line="276" w:lineRule="auto"/>
              <w:rPr>
                <w:rFonts w:ascii="Arial" w:hAnsi="Arial" w:cs="Arial"/>
                <w:lang w:val="sr-Latn-ME"/>
              </w:rPr>
            </w:pPr>
            <w:r w:rsidRPr="00157C9D">
              <w:rPr>
                <w:rFonts w:ascii="Arial" w:hAnsi="Arial" w:cs="Arial"/>
                <w:lang w:val="sr-Latn-ME"/>
              </w:rPr>
              <w:t>Mira Lopičić Zloković</w:t>
            </w:r>
          </w:p>
          <w:p w14:paraId="561CE62F" w14:textId="77777777" w:rsidR="00C3205C" w:rsidRPr="00157C9D" w:rsidRDefault="00C3205C" w:rsidP="00745F57">
            <w:pPr>
              <w:pStyle w:val="NoSpacing"/>
              <w:spacing w:line="276" w:lineRule="auto"/>
              <w:rPr>
                <w:rFonts w:ascii="Arial" w:hAnsi="Arial" w:cs="Arial"/>
                <w:lang w:val="sr-Latn-ME"/>
              </w:rPr>
            </w:pPr>
          </w:p>
          <w:p w14:paraId="4C64B848" w14:textId="0FD8C070" w:rsidR="00C3205C" w:rsidRPr="00157C9D" w:rsidRDefault="00C3205C" w:rsidP="00745F57">
            <w:pPr>
              <w:pStyle w:val="NoSpacing"/>
              <w:spacing w:line="276" w:lineRule="auto"/>
              <w:rPr>
                <w:rFonts w:ascii="Arial" w:hAnsi="Arial" w:cs="Arial"/>
                <w:lang w:val="sr-Latn-ME"/>
              </w:rPr>
            </w:pPr>
            <w:r w:rsidRPr="00157C9D">
              <w:rPr>
                <w:rFonts w:ascii="Arial" w:hAnsi="Arial" w:cs="Arial"/>
                <w:lang w:val="sr-Latn-ME"/>
              </w:rPr>
              <w:t>Fond za inovacije Crne Gore</w:t>
            </w:r>
          </w:p>
        </w:tc>
        <w:tc>
          <w:tcPr>
            <w:tcW w:w="7513" w:type="dxa"/>
          </w:tcPr>
          <w:p w14:paraId="436A1CF1" w14:textId="78DBFEE5" w:rsidR="00523ECF" w:rsidRPr="00157C9D" w:rsidRDefault="00AC2FC7" w:rsidP="00745F57">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 xml:space="preserve">Ukratko je predstavila </w:t>
            </w:r>
            <w:r w:rsidR="0012356D" w:rsidRPr="00157C9D">
              <w:rPr>
                <w:rFonts w:ascii="Arial" w:hAnsi="Arial" w:cs="Arial"/>
                <w:color w:val="000000" w:themeColor="text1"/>
                <w:lang w:val="sr-Latn-ME"/>
              </w:rPr>
              <w:t xml:space="preserve">program za podsticaj investicija </w:t>
            </w:r>
            <w:r w:rsidR="00523ECF" w:rsidRPr="00157C9D">
              <w:rPr>
                <w:rFonts w:ascii="Arial" w:hAnsi="Arial" w:cs="Arial"/>
                <w:color w:val="000000" w:themeColor="text1"/>
                <w:lang w:val="sr-Latn-ME"/>
              </w:rPr>
              <w:t>u funkciji e</w:t>
            </w:r>
            <w:r w:rsidR="0012356D" w:rsidRPr="00157C9D">
              <w:rPr>
                <w:rFonts w:ascii="Arial" w:hAnsi="Arial" w:cs="Arial"/>
                <w:color w:val="000000" w:themeColor="text1"/>
                <w:lang w:val="sr-Latn-ME"/>
              </w:rPr>
              <w:t>nergetsk</w:t>
            </w:r>
            <w:r w:rsidR="00523ECF" w:rsidRPr="00157C9D">
              <w:rPr>
                <w:rFonts w:ascii="Arial" w:hAnsi="Arial" w:cs="Arial"/>
                <w:color w:val="000000" w:themeColor="text1"/>
                <w:lang w:val="sr-Latn-ME"/>
              </w:rPr>
              <w:t>e</w:t>
            </w:r>
            <w:r w:rsidR="0012356D" w:rsidRPr="00157C9D">
              <w:rPr>
                <w:rFonts w:ascii="Arial" w:hAnsi="Arial" w:cs="Arial"/>
                <w:color w:val="000000" w:themeColor="text1"/>
                <w:lang w:val="sr-Latn-ME"/>
              </w:rPr>
              <w:t xml:space="preserve"> efikasnost</w:t>
            </w:r>
            <w:r w:rsidR="00523ECF" w:rsidRPr="00157C9D">
              <w:rPr>
                <w:rFonts w:ascii="Arial" w:hAnsi="Arial" w:cs="Arial"/>
                <w:color w:val="000000" w:themeColor="text1"/>
                <w:lang w:val="sr-Latn-ME"/>
              </w:rPr>
              <w:t>i</w:t>
            </w:r>
            <w:r w:rsidR="0012356D" w:rsidRPr="00157C9D">
              <w:rPr>
                <w:rFonts w:ascii="Arial" w:hAnsi="Arial" w:cs="Arial"/>
                <w:color w:val="000000" w:themeColor="text1"/>
                <w:lang w:val="sr-Latn-ME"/>
              </w:rPr>
              <w:t xml:space="preserve"> u industriji</w:t>
            </w:r>
            <w:r w:rsidRPr="00157C9D">
              <w:rPr>
                <w:rFonts w:ascii="Arial" w:hAnsi="Arial" w:cs="Arial"/>
                <w:color w:val="000000" w:themeColor="text1"/>
                <w:lang w:val="sr-Latn-ME"/>
              </w:rPr>
              <w:t xml:space="preserve"> pod okriljem Fonda za inovacije. </w:t>
            </w:r>
            <w:r w:rsidR="00523ECF" w:rsidRPr="00157C9D">
              <w:rPr>
                <w:rFonts w:ascii="Arial" w:hAnsi="Arial" w:cs="Arial"/>
                <w:color w:val="000000" w:themeColor="text1"/>
                <w:lang w:val="sr-Latn-ME"/>
              </w:rPr>
              <w:t>Podsjetila je da je Fond za inovacije, sa svoja dva programa, opredijelio 70% sredstava za strateške ciljeve Strategije za pametnu specijalizaciju, a koji obuhvataju i održivi turizam, održivu poljoprivredu i održivu energetiku odnosno implementaciju koncepta cirkularne ekonomije u praksi</w:t>
            </w:r>
            <w:r w:rsidR="003F5513" w:rsidRPr="00157C9D">
              <w:rPr>
                <w:rFonts w:ascii="Arial" w:hAnsi="Arial" w:cs="Arial"/>
                <w:color w:val="000000" w:themeColor="text1"/>
                <w:lang w:val="sr-Latn-ME"/>
              </w:rPr>
              <w:t>, tako da već u prvoj godini svog postojanja, Fond doprinosi promociji ovog koncepta.</w:t>
            </w:r>
          </w:p>
          <w:p w14:paraId="4EFE929F" w14:textId="705DC4C4" w:rsidR="00523ECF" w:rsidRPr="00157C9D" w:rsidRDefault="003F5513" w:rsidP="00745F57">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Ukazala je na važnost edukacije kao preduslova za cirkularnu ekonomiju, posebno u kontekstu pomenutih komercijalnih banaka.</w:t>
            </w:r>
            <w:r w:rsidR="00E27255" w:rsidRPr="00157C9D">
              <w:rPr>
                <w:rFonts w:ascii="Arial" w:hAnsi="Arial" w:cs="Arial"/>
                <w:color w:val="000000" w:themeColor="text1"/>
                <w:lang w:val="sr-Latn-ME"/>
              </w:rPr>
              <w:t xml:space="preserve"> U tom kontekstu, predložila je da bi jedna od prvih aktivnosti u tom pravcu trebalo da bude organizacija sastanka</w:t>
            </w:r>
            <w:r w:rsidR="00550DC1" w:rsidRPr="00157C9D">
              <w:rPr>
                <w:rFonts w:ascii="Arial" w:hAnsi="Arial" w:cs="Arial"/>
                <w:color w:val="000000" w:themeColor="text1"/>
                <w:lang w:val="sr-Latn-ME"/>
              </w:rPr>
              <w:t xml:space="preserve"> udruženja banaka kako bi </w:t>
            </w:r>
            <w:r w:rsidR="00E27255" w:rsidRPr="00157C9D">
              <w:rPr>
                <w:rFonts w:ascii="Arial" w:hAnsi="Arial" w:cs="Arial"/>
                <w:color w:val="000000" w:themeColor="text1"/>
                <w:lang w:val="sr-Latn-ME"/>
              </w:rPr>
              <w:t>menadžer</w:t>
            </w:r>
            <w:r w:rsidR="00550DC1" w:rsidRPr="00157C9D">
              <w:rPr>
                <w:rFonts w:ascii="Arial" w:hAnsi="Arial" w:cs="Arial"/>
                <w:color w:val="000000" w:themeColor="text1"/>
                <w:lang w:val="sr-Latn-ME"/>
              </w:rPr>
              <w:t xml:space="preserve">i odnosno </w:t>
            </w:r>
            <w:r w:rsidR="00E27255" w:rsidRPr="00157C9D">
              <w:rPr>
                <w:rFonts w:ascii="Arial" w:hAnsi="Arial" w:cs="Arial"/>
                <w:color w:val="000000" w:themeColor="text1"/>
                <w:lang w:val="sr-Latn-ME"/>
              </w:rPr>
              <w:t>nosioc</w:t>
            </w:r>
            <w:r w:rsidR="00550DC1" w:rsidRPr="00157C9D">
              <w:rPr>
                <w:rFonts w:ascii="Arial" w:hAnsi="Arial" w:cs="Arial"/>
                <w:color w:val="000000" w:themeColor="text1"/>
                <w:lang w:val="sr-Latn-ME"/>
              </w:rPr>
              <w:t>i</w:t>
            </w:r>
            <w:r w:rsidR="00E27255" w:rsidRPr="00157C9D">
              <w:rPr>
                <w:rFonts w:ascii="Arial" w:hAnsi="Arial" w:cs="Arial"/>
                <w:color w:val="000000" w:themeColor="text1"/>
                <w:lang w:val="sr-Latn-ME"/>
              </w:rPr>
              <w:t xml:space="preserve"> politik</w:t>
            </w:r>
            <w:r w:rsidR="00550DC1" w:rsidRPr="00157C9D">
              <w:rPr>
                <w:rFonts w:ascii="Arial" w:hAnsi="Arial" w:cs="Arial"/>
                <w:color w:val="000000" w:themeColor="text1"/>
                <w:lang w:val="sr-Latn-ME"/>
              </w:rPr>
              <w:t>e</w:t>
            </w:r>
            <w:r w:rsidR="00E27255" w:rsidRPr="00157C9D">
              <w:rPr>
                <w:rFonts w:ascii="Arial" w:hAnsi="Arial" w:cs="Arial"/>
                <w:color w:val="000000" w:themeColor="text1"/>
                <w:lang w:val="sr-Latn-ME"/>
              </w:rPr>
              <w:t xml:space="preserve"> banaka </w:t>
            </w:r>
            <w:r w:rsidR="00550DC1" w:rsidRPr="00157C9D">
              <w:rPr>
                <w:rFonts w:ascii="Arial" w:hAnsi="Arial" w:cs="Arial"/>
                <w:color w:val="000000" w:themeColor="text1"/>
                <w:lang w:val="sr-Latn-ME"/>
              </w:rPr>
              <w:t>edukovali/</w:t>
            </w:r>
            <w:r w:rsidR="00E27255" w:rsidRPr="00157C9D">
              <w:rPr>
                <w:rFonts w:ascii="Arial" w:hAnsi="Arial" w:cs="Arial"/>
                <w:color w:val="000000" w:themeColor="text1"/>
                <w:lang w:val="sr-Latn-ME"/>
              </w:rPr>
              <w:t xml:space="preserve"> podigla svijest o značaju cirkularne/zelene ekonomije.</w:t>
            </w:r>
          </w:p>
        </w:tc>
        <w:tc>
          <w:tcPr>
            <w:tcW w:w="4394" w:type="dxa"/>
          </w:tcPr>
          <w:p w14:paraId="2D91F5C1" w14:textId="77777777" w:rsidR="00C3205C" w:rsidRPr="00157C9D" w:rsidRDefault="00AE50EF" w:rsidP="00745F57">
            <w:pPr>
              <w:spacing w:line="276" w:lineRule="auto"/>
              <w:jc w:val="both"/>
              <w:rPr>
                <w:rFonts w:ascii="Arial" w:hAnsi="Arial" w:cs="Arial"/>
                <w:b/>
                <w:bCs/>
                <w:color w:val="000000" w:themeColor="text1"/>
                <w:lang w:val="sr-Latn-ME"/>
              </w:rPr>
            </w:pPr>
            <w:r w:rsidRPr="00157C9D">
              <w:rPr>
                <w:rFonts w:ascii="Arial" w:hAnsi="Arial" w:cs="Arial"/>
                <w:b/>
                <w:bCs/>
                <w:color w:val="000000" w:themeColor="text1"/>
                <w:lang w:val="sr-Latn-ME"/>
              </w:rPr>
              <w:t>Prihvata se.</w:t>
            </w:r>
          </w:p>
          <w:p w14:paraId="19313658" w14:textId="77777777" w:rsidR="00AE50EF" w:rsidRPr="00157C9D" w:rsidRDefault="00AE50EF" w:rsidP="00745F57">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Predstavnici Ministarstva i stručni tim je informisao da je navedena aktivnost već uključena u Akcioni plan.</w:t>
            </w:r>
          </w:p>
          <w:p w14:paraId="174BD041" w14:textId="646E1C4D" w:rsidR="00AE50EF" w:rsidRPr="00157C9D" w:rsidRDefault="00AE50EF" w:rsidP="00745F57">
            <w:pPr>
              <w:spacing w:line="276" w:lineRule="auto"/>
              <w:jc w:val="both"/>
              <w:rPr>
                <w:rFonts w:ascii="Arial" w:hAnsi="Arial" w:cs="Arial"/>
                <w:color w:val="000000" w:themeColor="text1"/>
                <w:highlight w:val="red"/>
                <w:lang w:val="sr-Latn-ME"/>
              </w:rPr>
            </w:pPr>
            <w:r w:rsidRPr="00157C9D">
              <w:rPr>
                <w:rFonts w:ascii="Arial" w:hAnsi="Arial" w:cs="Arial"/>
                <w:color w:val="000000" w:themeColor="text1"/>
                <w:lang w:val="sr-Latn-ME"/>
              </w:rPr>
              <w:t>Takođe, složio se sa predlogom organizacije edukativnih aktivnosti sa ciljem podizanja svijesti nosioca politike u komercijalnim bankama, što će dodatno biti naglašeno u okviru Akcionog plana. Kao odgovor na oba predloga u kontekstu uloge komercijalnih banaka, dogovoreno je da se dalje aktivnosti u ovom dijelu definišu u okviru revid</w:t>
            </w:r>
            <w:r w:rsidR="00157C9D">
              <w:rPr>
                <w:rFonts w:ascii="Arial" w:hAnsi="Arial" w:cs="Arial"/>
                <w:color w:val="000000" w:themeColor="text1"/>
                <w:lang w:val="sr-Latn-ME"/>
              </w:rPr>
              <w:t>iranog</w:t>
            </w:r>
            <w:r w:rsidRPr="00157C9D">
              <w:rPr>
                <w:rFonts w:ascii="Arial" w:hAnsi="Arial" w:cs="Arial"/>
                <w:color w:val="000000" w:themeColor="text1"/>
                <w:lang w:val="sr-Latn-ME"/>
              </w:rPr>
              <w:t xml:space="preserve"> dokumenta, već sledeće godine,</w:t>
            </w:r>
            <w:r w:rsidR="00157C9D">
              <w:rPr>
                <w:rFonts w:ascii="Arial" w:hAnsi="Arial" w:cs="Arial"/>
                <w:color w:val="000000" w:themeColor="text1"/>
                <w:lang w:val="sr-Latn-ME"/>
              </w:rPr>
              <w:t xml:space="preserve"> </w:t>
            </w:r>
            <w:r w:rsidRPr="00157C9D">
              <w:rPr>
                <w:rFonts w:ascii="Arial" w:hAnsi="Arial" w:cs="Arial"/>
                <w:color w:val="000000" w:themeColor="text1"/>
                <w:lang w:val="sr-Latn-ME"/>
              </w:rPr>
              <w:t xml:space="preserve">a da se u međuvremenu </w:t>
            </w:r>
            <w:r w:rsidR="00157C9D">
              <w:t xml:space="preserve"> </w:t>
            </w:r>
            <w:r w:rsidR="00157C9D" w:rsidRPr="00157C9D">
              <w:rPr>
                <w:rFonts w:ascii="Arial" w:hAnsi="Arial" w:cs="Arial"/>
                <w:color w:val="000000" w:themeColor="text1"/>
                <w:lang w:val="sr-Latn-ME"/>
              </w:rPr>
              <w:t xml:space="preserve">intenzivnije </w:t>
            </w:r>
            <w:r w:rsidRPr="00157C9D">
              <w:rPr>
                <w:rFonts w:ascii="Arial" w:hAnsi="Arial" w:cs="Arial"/>
                <w:color w:val="000000" w:themeColor="text1"/>
                <w:lang w:val="sr-Latn-ME"/>
              </w:rPr>
              <w:t>radi na edukaciji ovog sektora.</w:t>
            </w:r>
          </w:p>
        </w:tc>
      </w:tr>
      <w:tr w:rsidR="00E27255" w:rsidRPr="00157C9D" w14:paraId="33097159" w14:textId="77777777" w:rsidTr="001A684B">
        <w:tc>
          <w:tcPr>
            <w:tcW w:w="704" w:type="dxa"/>
          </w:tcPr>
          <w:p w14:paraId="040EB927" w14:textId="46F378B2" w:rsidR="00E27255" w:rsidRPr="00157C9D" w:rsidRDefault="00E27255" w:rsidP="00745F57">
            <w:pPr>
              <w:pStyle w:val="NoSpacing"/>
              <w:spacing w:line="276" w:lineRule="auto"/>
              <w:rPr>
                <w:rFonts w:ascii="Arial" w:hAnsi="Arial" w:cs="Arial"/>
                <w:lang w:val="sr-Latn-ME"/>
              </w:rPr>
            </w:pPr>
            <w:r w:rsidRPr="00157C9D">
              <w:rPr>
                <w:rFonts w:ascii="Arial" w:hAnsi="Arial" w:cs="Arial"/>
                <w:lang w:val="sr-Latn-ME"/>
              </w:rPr>
              <w:t>5.</w:t>
            </w:r>
          </w:p>
        </w:tc>
        <w:tc>
          <w:tcPr>
            <w:tcW w:w="1843" w:type="dxa"/>
          </w:tcPr>
          <w:p w14:paraId="5FC7F94C" w14:textId="77777777" w:rsidR="00E27255" w:rsidRPr="00157C9D" w:rsidRDefault="00E27255" w:rsidP="00745F57">
            <w:pPr>
              <w:pStyle w:val="NoSpacing"/>
              <w:spacing w:line="276" w:lineRule="auto"/>
              <w:rPr>
                <w:rFonts w:ascii="Arial" w:hAnsi="Arial" w:cs="Arial"/>
                <w:lang w:val="sr-Latn-ME"/>
              </w:rPr>
            </w:pPr>
            <w:r w:rsidRPr="00157C9D">
              <w:rPr>
                <w:rFonts w:ascii="Arial" w:hAnsi="Arial" w:cs="Arial"/>
                <w:lang w:val="sr-Latn-ME"/>
              </w:rPr>
              <w:t>Milene Rmuš</w:t>
            </w:r>
          </w:p>
          <w:p w14:paraId="2DA5EB5A" w14:textId="77777777" w:rsidR="00E27255" w:rsidRPr="00157C9D" w:rsidRDefault="00E27255" w:rsidP="00745F57">
            <w:pPr>
              <w:pStyle w:val="NoSpacing"/>
              <w:spacing w:line="276" w:lineRule="auto"/>
              <w:rPr>
                <w:rFonts w:ascii="Arial" w:hAnsi="Arial" w:cs="Arial"/>
                <w:lang w:val="sr-Latn-ME"/>
              </w:rPr>
            </w:pPr>
          </w:p>
          <w:p w14:paraId="43E1BE9F" w14:textId="736BB82A" w:rsidR="00E27255" w:rsidRPr="00157C9D" w:rsidRDefault="00E27255" w:rsidP="00745F57">
            <w:pPr>
              <w:pStyle w:val="NoSpacing"/>
              <w:spacing w:line="276" w:lineRule="auto"/>
              <w:rPr>
                <w:rFonts w:ascii="Arial" w:hAnsi="Arial" w:cs="Arial"/>
                <w:lang w:val="sr-Latn-ME"/>
              </w:rPr>
            </w:pPr>
            <w:r w:rsidRPr="00157C9D">
              <w:rPr>
                <w:rFonts w:ascii="Arial" w:hAnsi="Arial" w:cs="Arial"/>
                <w:lang w:val="sr-Latn-ME"/>
              </w:rPr>
              <w:t>Privredna komora Crne Gore</w:t>
            </w:r>
          </w:p>
        </w:tc>
        <w:tc>
          <w:tcPr>
            <w:tcW w:w="7513" w:type="dxa"/>
          </w:tcPr>
          <w:p w14:paraId="0A139CBC" w14:textId="429519A1" w:rsidR="00550DC1" w:rsidRPr="00157C9D" w:rsidRDefault="00AE50EF" w:rsidP="00745F57">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 xml:space="preserve">Podsjetila je na inicijativu matičnih banaka koje imaju svoja predstavništva i u Crnoj Gori </w:t>
            </w:r>
            <w:r w:rsidR="00550DC1" w:rsidRPr="00157C9D">
              <w:rPr>
                <w:rFonts w:ascii="Arial" w:hAnsi="Arial" w:cs="Arial"/>
                <w:color w:val="000000" w:themeColor="text1"/>
                <w:lang w:val="sr-Latn-ME"/>
              </w:rPr>
              <w:t>(NLB banka, Erste banka, Hipotekarna banka, OTP grupa)</w:t>
            </w:r>
            <w:r w:rsidRPr="00157C9D">
              <w:rPr>
                <w:rFonts w:ascii="Arial" w:hAnsi="Arial" w:cs="Arial"/>
                <w:color w:val="000000" w:themeColor="text1"/>
                <w:lang w:val="sr-Latn-ME"/>
              </w:rPr>
              <w:t xml:space="preserve"> u kontekstu finansiranja za održivi razvoj, te da se očekuje da će u narednom periodu krenuti realizacija ovih aktivnosti i od strane predstavništava u Crnoj Gori.</w:t>
            </w:r>
          </w:p>
          <w:p w14:paraId="465AAF1B" w14:textId="1DF34C8B" w:rsidR="00550DC1" w:rsidRPr="00157C9D" w:rsidRDefault="00550DC1" w:rsidP="00AE50EF">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 xml:space="preserve">Konstatovala je da je oblast upravljanja otpadom jedan od najvećih problema sa </w:t>
            </w:r>
            <w:r w:rsidR="00AE50EF" w:rsidRPr="00157C9D">
              <w:rPr>
                <w:rFonts w:ascii="Arial" w:hAnsi="Arial" w:cs="Arial"/>
                <w:color w:val="000000" w:themeColor="text1"/>
                <w:lang w:val="sr-Latn-ME"/>
              </w:rPr>
              <w:t>k</w:t>
            </w:r>
            <w:r w:rsidRPr="00157C9D">
              <w:rPr>
                <w:rFonts w:ascii="Arial" w:hAnsi="Arial" w:cs="Arial"/>
                <w:color w:val="000000" w:themeColor="text1"/>
                <w:lang w:val="sr-Latn-ME"/>
              </w:rPr>
              <w:t xml:space="preserve">ojima se Crna Gora suočava, a što se ponavlja i u godišnjim </w:t>
            </w:r>
            <w:r w:rsidRPr="00157C9D">
              <w:rPr>
                <w:rFonts w:ascii="Arial" w:hAnsi="Arial" w:cs="Arial"/>
                <w:color w:val="000000" w:themeColor="text1"/>
                <w:lang w:val="sr-Latn-ME"/>
              </w:rPr>
              <w:lastRenderedPageBreak/>
              <w:t>izvještajima EK o Crnoj Gori.</w:t>
            </w:r>
            <w:r w:rsidR="00AE50EF" w:rsidRPr="00157C9D">
              <w:rPr>
                <w:rFonts w:ascii="Arial" w:hAnsi="Arial" w:cs="Arial"/>
                <w:color w:val="000000" w:themeColor="text1"/>
                <w:lang w:val="sr-Latn-ME"/>
              </w:rPr>
              <w:t xml:space="preserve"> U</w:t>
            </w:r>
            <w:r w:rsidRPr="00157C9D">
              <w:rPr>
                <w:rFonts w:ascii="Arial" w:hAnsi="Arial" w:cs="Arial"/>
                <w:color w:val="000000" w:themeColor="text1"/>
                <w:lang w:val="sr-Latn-ME"/>
              </w:rPr>
              <w:t xml:space="preserve">kazala </w:t>
            </w:r>
            <w:r w:rsidR="00AE50EF" w:rsidRPr="00157C9D">
              <w:rPr>
                <w:rFonts w:ascii="Arial" w:hAnsi="Arial" w:cs="Arial"/>
                <w:color w:val="000000" w:themeColor="text1"/>
                <w:lang w:val="sr-Latn-ME"/>
              </w:rPr>
              <w:t xml:space="preserve">je </w:t>
            </w:r>
            <w:r w:rsidRPr="00157C9D">
              <w:rPr>
                <w:rFonts w:ascii="Arial" w:hAnsi="Arial" w:cs="Arial"/>
                <w:color w:val="000000" w:themeColor="text1"/>
                <w:lang w:val="sr-Latn-ME"/>
              </w:rPr>
              <w:t xml:space="preserve">na velika očekivanja koja svi imaju od novog zakona o upravljanju otpadom </w:t>
            </w:r>
            <w:r w:rsidR="00AE50EF" w:rsidRPr="00157C9D">
              <w:rPr>
                <w:rFonts w:ascii="Arial" w:hAnsi="Arial" w:cs="Arial"/>
                <w:color w:val="000000" w:themeColor="text1"/>
                <w:lang w:val="sr-Latn-ME"/>
              </w:rPr>
              <w:t>i</w:t>
            </w:r>
            <w:r w:rsidRPr="00157C9D">
              <w:rPr>
                <w:rFonts w:ascii="Arial" w:hAnsi="Arial" w:cs="Arial"/>
                <w:color w:val="000000" w:themeColor="text1"/>
                <w:lang w:val="sr-Latn-ME"/>
              </w:rPr>
              <w:t xml:space="preserve"> državnog plana o upravljanju otpadom, kao </w:t>
            </w:r>
            <w:r w:rsidR="00AE50EF" w:rsidRPr="00157C9D">
              <w:rPr>
                <w:rFonts w:ascii="Arial" w:hAnsi="Arial" w:cs="Arial"/>
                <w:color w:val="000000" w:themeColor="text1"/>
                <w:lang w:val="sr-Latn-ME"/>
              </w:rPr>
              <w:t>i</w:t>
            </w:r>
            <w:r w:rsidRPr="00157C9D">
              <w:rPr>
                <w:rFonts w:ascii="Arial" w:hAnsi="Arial" w:cs="Arial"/>
                <w:color w:val="000000" w:themeColor="text1"/>
                <w:lang w:val="sr-Latn-ME"/>
              </w:rPr>
              <w:t xml:space="preserve"> na značaj edukacije najmlađih</w:t>
            </w:r>
            <w:r w:rsidR="00AE50EF" w:rsidRPr="00157C9D">
              <w:rPr>
                <w:rFonts w:ascii="Arial" w:hAnsi="Arial" w:cs="Arial"/>
                <w:color w:val="000000" w:themeColor="text1"/>
                <w:lang w:val="sr-Latn-ME"/>
              </w:rPr>
              <w:t xml:space="preserve"> u kontekstu rješavanja problema upravljan</w:t>
            </w:r>
            <w:r w:rsidR="00157C9D">
              <w:rPr>
                <w:rFonts w:ascii="Arial" w:hAnsi="Arial" w:cs="Arial"/>
                <w:color w:val="000000" w:themeColor="text1"/>
                <w:lang w:val="sr-Latn-ME"/>
              </w:rPr>
              <w:t>j</w:t>
            </w:r>
            <w:r w:rsidR="00AE50EF" w:rsidRPr="00157C9D">
              <w:rPr>
                <w:rFonts w:ascii="Arial" w:hAnsi="Arial" w:cs="Arial"/>
                <w:color w:val="000000" w:themeColor="text1"/>
                <w:lang w:val="sr-Latn-ME"/>
              </w:rPr>
              <w:t>a otpadom.</w:t>
            </w:r>
          </w:p>
        </w:tc>
        <w:tc>
          <w:tcPr>
            <w:tcW w:w="4394" w:type="dxa"/>
          </w:tcPr>
          <w:p w14:paraId="7207BDC3" w14:textId="77777777" w:rsidR="00AE50EF" w:rsidRPr="00157C9D" w:rsidRDefault="00AE50EF" w:rsidP="00AE50EF">
            <w:pPr>
              <w:spacing w:line="276" w:lineRule="auto"/>
              <w:jc w:val="both"/>
              <w:rPr>
                <w:rFonts w:ascii="Arial" w:hAnsi="Arial" w:cs="Arial"/>
                <w:b/>
                <w:bCs/>
                <w:color w:val="000000" w:themeColor="text1"/>
                <w:lang w:val="sr-Latn-ME"/>
              </w:rPr>
            </w:pPr>
            <w:r w:rsidRPr="00157C9D">
              <w:rPr>
                <w:rFonts w:ascii="Arial" w:hAnsi="Arial" w:cs="Arial"/>
                <w:b/>
                <w:bCs/>
                <w:color w:val="000000" w:themeColor="text1"/>
                <w:lang w:val="sr-Latn-ME"/>
              </w:rPr>
              <w:lastRenderedPageBreak/>
              <w:t>Prihvata se.</w:t>
            </w:r>
          </w:p>
          <w:p w14:paraId="1FFC7461" w14:textId="4787E0C2" w:rsidR="00E27255" w:rsidRPr="00157C9D" w:rsidRDefault="00AE50EF" w:rsidP="00AE50EF">
            <w:pPr>
              <w:spacing w:line="276" w:lineRule="auto"/>
              <w:jc w:val="both"/>
              <w:rPr>
                <w:rFonts w:ascii="Arial" w:hAnsi="Arial" w:cs="Arial"/>
                <w:color w:val="000000" w:themeColor="text1"/>
                <w:highlight w:val="red"/>
                <w:lang w:val="sr-Latn-ME"/>
              </w:rPr>
            </w:pPr>
            <w:r w:rsidRPr="00157C9D">
              <w:rPr>
                <w:rFonts w:ascii="Arial" w:hAnsi="Arial" w:cs="Arial"/>
                <w:color w:val="000000" w:themeColor="text1"/>
                <w:lang w:val="sr-Latn-ME"/>
              </w:rPr>
              <w:t>Predstavnici Ministarstva i stručni tim se složio sa navedenim komentarima i konstatovao da su navedene teme adresirane kroz Akcioni plan.</w:t>
            </w:r>
          </w:p>
        </w:tc>
      </w:tr>
      <w:tr w:rsidR="001A684B" w:rsidRPr="00157C9D" w14:paraId="654057D1" w14:textId="77777777" w:rsidTr="001A684B">
        <w:tc>
          <w:tcPr>
            <w:tcW w:w="704" w:type="dxa"/>
          </w:tcPr>
          <w:p w14:paraId="707CF36D" w14:textId="53DBE421" w:rsidR="001A684B" w:rsidRPr="00157C9D" w:rsidRDefault="00E27255" w:rsidP="00745F57">
            <w:pPr>
              <w:pStyle w:val="NoSpacing"/>
              <w:spacing w:line="276" w:lineRule="auto"/>
              <w:rPr>
                <w:rFonts w:ascii="Arial" w:hAnsi="Arial" w:cs="Arial"/>
                <w:lang w:val="sr-Latn-ME"/>
              </w:rPr>
            </w:pPr>
            <w:r w:rsidRPr="00157C9D">
              <w:rPr>
                <w:rFonts w:ascii="Arial" w:hAnsi="Arial" w:cs="Arial"/>
                <w:lang w:val="sr-Latn-ME"/>
              </w:rPr>
              <w:t>6</w:t>
            </w:r>
            <w:r w:rsidR="001A684B" w:rsidRPr="00157C9D">
              <w:rPr>
                <w:rFonts w:ascii="Arial" w:hAnsi="Arial" w:cs="Arial"/>
                <w:lang w:val="sr-Latn-ME"/>
              </w:rPr>
              <w:t>.</w:t>
            </w:r>
          </w:p>
        </w:tc>
        <w:tc>
          <w:tcPr>
            <w:tcW w:w="1843" w:type="dxa"/>
          </w:tcPr>
          <w:p w14:paraId="1C04C64A" w14:textId="2889196A" w:rsidR="001A684B" w:rsidRPr="00157C9D" w:rsidRDefault="009F6ACB" w:rsidP="00745F57">
            <w:pPr>
              <w:pStyle w:val="NoSpacing"/>
              <w:spacing w:line="276" w:lineRule="auto"/>
              <w:rPr>
                <w:rFonts w:ascii="Arial" w:hAnsi="Arial" w:cs="Arial"/>
                <w:lang w:val="sr-Latn-ME"/>
              </w:rPr>
            </w:pPr>
            <w:r w:rsidRPr="00157C9D">
              <w:rPr>
                <w:rFonts w:ascii="Arial" w:hAnsi="Arial" w:cs="Arial"/>
                <w:lang w:val="sr-Latn-ME"/>
              </w:rPr>
              <w:t>Andrijana Babić</w:t>
            </w:r>
          </w:p>
          <w:p w14:paraId="3B520B77" w14:textId="77777777" w:rsidR="00F87899" w:rsidRPr="00157C9D" w:rsidRDefault="00F87899" w:rsidP="00745F57">
            <w:pPr>
              <w:pStyle w:val="NoSpacing"/>
              <w:spacing w:line="276" w:lineRule="auto"/>
              <w:rPr>
                <w:rFonts w:ascii="Arial" w:hAnsi="Arial" w:cs="Arial"/>
                <w:highlight w:val="lightGray"/>
                <w:lang w:val="sr-Latn-ME"/>
              </w:rPr>
            </w:pPr>
          </w:p>
          <w:p w14:paraId="04937EAF" w14:textId="67FA5CCB" w:rsidR="00F87899" w:rsidRPr="00157C9D" w:rsidRDefault="009F6ACB" w:rsidP="00745F57">
            <w:pPr>
              <w:pStyle w:val="NoSpacing"/>
              <w:spacing w:line="276" w:lineRule="auto"/>
              <w:rPr>
                <w:rFonts w:ascii="Arial" w:hAnsi="Arial" w:cs="Arial"/>
                <w:highlight w:val="lightGray"/>
                <w:lang w:val="sr-Latn-ME"/>
              </w:rPr>
            </w:pPr>
            <w:r w:rsidRPr="00157C9D">
              <w:rPr>
                <w:rFonts w:ascii="Arial" w:hAnsi="Arial" w:cs="Arial"/>
                <w:color w:val="000000" w:themeColor="text1"/>
                <w:lang w:val="sr-Latn-ME"/>
              </w:rPr>
              <w:t>Uprava za statistiku - Monstat</w:t>
            </w:r>
          </w:p>
        </w:tc>
        <w:tc>
          <w:tcPr>
            <w:tcW w:w="7513" w:type="dxa"/>
          </w:tcPr>
          <w:p w14:paraId="5A676C5D" w14:textId="19CC3129" w:rsidR="001A684B" w:rsidRPr="00157C9D" w:rsidRDefault="009F6ACB" w:rsidP="00A444C3">
            <w:pPr>
              <w:spacing w:line="276" w:lineRule="auto"/>
              <w:jc w:val="both"/>
              <w:rPr>
                <w:rFonts w:ascii="Arial" w:hAnsi="Arial" w:cs="Arial"/>
                <w:highlight w:val="lightGray"/>
                <w:lang w:val="sr-Latn-ME"/>
              </w:rPr>
            </w:pPr>
            <w:r w:rsidRPr="00157C9D">
              <w:rPr>
                <w:rFonts w:ascii="Arial" w:hAnsi="Arial" w:cs="Arial"/>
                <w:color w:val="000000" w:themeColor="text1"/>
                <w:lang w:val="sr-Latn-ME"/>
              </w:rPr>
              <w:t xml:space="preserve">Komentar </w:t>
            </w:r>
            <w:r w:rsidR="00A444C3" w:rsidRPr="00157C9D">
              <w:rPr>
                <w:rFonts w:ascii="Arial" w:hAnsi="Arial" w:cs="Arial"/>
                <w:color w:val="000000" w:themeColor="text1"/>
                <w:lang w:val="sr-Latn-ME"/>
              </w:rPr>
              <w:t xml:space="preserve">se odnosi na aktivnost </w:t>
            </w:r>
            <w:r w:rsidRPr="00157C9D">
              <w:rPr>
                <w:rFonts w:ascii="Arial" w:hAnsi="Arial" w:cs="Arial"/>
                <w:color w:val="000000" w:themeColor="text1"/>
                <w:lang w:val="sr-Latn-ME"/>
              </w:rPr>
              <w:t xml:space="preserve">1.9. </w:t>
            </w:r>
            <w:r w:rsidRPr="00157C9D">
              <w:rPr>
                <w:rFonts w:ascii="Arial" w:hAnsi="Arial" w:cs="Arial"/>
                <w:i/>
                <w:iCs/>
                <w:color w:val="000000" w:themeColor="text1"/>
                <w:lang w:val="sr-Latn-ME"/>
              </w:rPr>
              <w:t>Uvezivanje baza MPŠV i Monstata</w:t>
            </w:r>
            <w:r w:rsidRPr="00157C9D">
              <w:rPr>
                <w:rFonts w:ascii="Arial" w:hAnsi="Arial" w:cs="Arial"/>
                <w:color w:val="000000" w:themeColor="text1"/>
                <w:lang w:val="sr-Latn-ME"/>
              </w:rPr>
              <w:t xml:space="preserve"> </w:t>
            </w:r>
            <w:r w:rsidR="00A444C3" w:rsidRPr="00157C9D">
              <w:rPr>
                <w:rFonts w:ascii="Arial" w:hAnsi="Arial" w:cs="Arial"/>
                <w:color w:val="000000" w:themeColor="text1"/>
                <w:lang w:val="sr-Latn-ME"/>
              </w:rPr>
              <w:t xml:space="preserve">I sugestiju da isto nije moguće shodno </w:t>
            </w:r>
            <w:r w:rsidRPr="00157C9D">
              <w:rPr>
                <w:rFonts w:ascii="Arial" w:hAnsi="Arial" w:cs="Arial"/>
                <w:color w:val="000000" w:themeColor="text1"/>
                <w:lang w:val="sr-Latn-ME"/>
              </w:rPr>
              <w:t>Zakon</w:t>
            </w:r>
            <w:r w:rsidR="00A444C3" w:rsidRPr="00157C9D">
              <w:rPr>
                <w:rFonts w:ascii="Arial" w:hAnsi="Arial" w:cs="Arial"/>
                <w:color w:val="000000" w:themeColor="text1"/>
                <w:lang w:val="sr-Latn-ME"/>
              </w:rPr>
              <w:t>u</w:t>
            </w:r>
            <w:r w:rsidRPr="00157C9D">
              <w:rPr>
                <w:rFonts w:ascii="Arial" w:hAnsi="Arial" w:cs="Arial"/>
                <w:color w:val="000000" w:themeColor="text1"/>
                <w:lang w:val="sr-Latn-ME"/>
              </w:rPr>
              <w:t xml:space="preserve"> o povjerljivosti podataka.</w:t>
            </w:r>
            <w:r w:rsidR="00157C9D">
              <w:rPr>
                <w:rFonts w:ascii="Arial" w:hAnsi="Arial" w:cs="Arial"/>
                <w:color w:val="000000" w:themeColor="text1"/>
                <w:lang w:val="sr-Latn-ME"/>
              </w:rPr>
              <w:t xml:space="preserve"> </w:t>
            </w:r>
            <w:r w:rsidR="00A444C3" w:rsidRPr="00157C9D">
              <w:rPr>
                <w:rFonts w:ascii="Arial" w:hAnsi="Arial" w:cs="Arial"/>
                <w:color w:val="000000" w:themeColor="text1"/>
                <w:lang w:val="sr-Latn-ME"/>
              </w:rPr>
              <w:t xml:space="preserve">Takođe, sugestija je da se ispravi </w:t>
            </w:r>
            <w:r w:rsidRPr="00157C9D">
              <w:rPr>
                <w:rFonts w:ascii="Arial" w:hAnsi="Arial" w:cs="Arial"/>
                <w:color w:val="000000" w:themeColor="text1"/>
                <w:lang w:val="sr-Latn-ME"/>
              </w:rPr>
              <w:t>riječ „baza“ i stavi ,</w:t>
            </w:r>
            <w:r w:rsidR="00A444C3" w:rsidRPr="00157C9D">
              <w:rPr>
                <w:rFonts w:ascii="Arial" w:hAnsi="Arial" w:cs="Arial"/>
                <w:color w:val="000000" w:themeColor="text1"/>
                <w:lang w:val="sr-Latn-ME"/>
              </w:rPr>
              <w:t>,</w:t>
            </w:r>
            <w:r w:rsidRPr="00157C9D">
              <w:rPr>
                <w:rFonts w:ascii="Arial" w:hAnsi="Arial" w:cs="Arial"/>
                <w:color w:val="000000" w:themeColor="text1"/>
                <w:lang w:val="sr-Latn-ME"/>
              </w:rPr>
              <w:t>Uvezivanje registra administrativnih podataka MPŠV sa raspoloživim podacima MONSTAT-a.</w:t>
            </w:r>
            <w:r w:rsidR="00A444C3" w:rsidRPr="00157C9D">
              <w:rPr>
                <w:rFonts w:ascii="Arial" w:hAnsi="Arial" w:cs="Arial"/>
                <w:color w:val="000000" w:themeColor="text1"/>
                <w:lang w:val="sr-Latn-ME"/>
              </w:rPr>
              <w:t>”</w:t>
            </w:r>
          </w:p>
        </w:tc>
        <w:tc>
          <w:tcPr>
            <w:tcW w:w="4394" w:type="dxa"/>
          </w:tcPr>
          <w:p w14:paraId="5D31D222" w14:textId="77777777" w:rsidR="00A16D49" w:rsidRPr="00157C9D" w:rsidRDefault="00A16D49" w:rsidP="00A16D49">
            <w:pPr>
              <w:jc w:val="both"/>
              <w:rPr>
                <w:rFonts w:ascii="Arial" w:hAnsi="Arial" w:cs="Arial"/>
                <w:b/>
                <w:bCs/>
                <w:lang w:val="sr-Latn-ME"/>
              </w:rPr>
            </w:pPr>
            <w:r w:rsidRPr="00157C9D">
              <w:rPr>
                <w:rFonts w:ascii="Arial" w:hAnsi="Arial" w:cs="Arial"/>
                <w:b/>
                <w:bCs/>
                <w:lang w:val="sr-Latn-ME"/>
              </w:rPr>
              <w:t>Prihvata se.</w:t>
            </w:r>
          </w:p>
          <w:p w14:paraId="7CF1D9E0" w14:textId="5986093E" w:rsidR="001A684B" w:rsidRPr="00157C9D" w:rsidRDefault="00A16D49" w:rsidP="00A16D49">
            <w:pPr>
              <w:jc w:val="both"/>
              <w:rPr>
                <w:rFonts w:ascii="Arial" w:hAnsi="Arial" w:cs="Arial"/>
                <w:b/>
                <w:bCs/>
                <w:highlight w:val="lightGray"/>
                <w:lang w:val="sr-Latn-ME"/>
              </w:rPr>
            </w:pPr>
            <w:r w:rsidRPr="00157C9D">
              <w:rPr>
                <w:rFonts w:ascii="Arial" w:hAnsi="Arial" w:cs="Arial"/>
                <w:lang w:val="sr-Latn-ME"/>
              </w:rPr>
              <w:t>Predstavnici Ministarstva i stručni tim je konstatovao da se navedeni komentar odnosi na verziju dokumenta koja je dostavljena članovima/</w:t>
            </w:r>
            <w:r w:rsidR="003E2484">
              <w:rPr>
                <w:rFonts w:ascii="Arial" w:hAnsi="Arial" w:cs="Arial"/>
                <w:lang w:val="sr-Latn-ME"/>
              </w:rPr>
              <w:t>i</w:t>
            </w:r>
            <w:r w:rsidRPr="00157C9D">
              <w:rPr>
                <w:rFonts w:ascii="Arial" w:hAnsi="Arial" w:cs="Arial"/>
                <w:lang w:val="sr-Latn-ME"/>
              </w:rPr>
              <w:t>cama Radne grupe prije javne rasprave, te da je navedena formulacija u potpunosti promijenjena u međuvremenu.</w:t>
            </w:r>
          </w:p>
        </w:tc>
      </w:tr>
      <w:tr w:rsidR="002C6296" w:rsidRPr="00157C9D" w14:paraId="2D37EB22" w14:textId="77777777" w:rsidTr="001A684B">
        <w:tc>
          <w:tcPr>
            <w:tcW w:w="704" w:type="dxa"/>
          </w:tcPr>
          <w:p w14:paraId="24C2F3D9" w14:textId="32462164" w:rsidR="002C6296" w:rsidRPr="00157C9D" w:rsidRDefault="00984C51" w:rsidP="00745F57">
            <w:pPr>
              <w:pStyle w:val="NoSpacing"/>
              <w:spacing w:line="276" w:lineRule="auto"/>
              <w:rPr>
                <w:rFonts w:ascii="Arial" w:hAnsi="Arial" w:cs="Arial"/>
                <w:lang w:val="sr-Latn-ME"/>
              </w:rPr>
            </w:pPr>
            <w:r w:rsidRPr="00157C9D">
              <w:rPr>
                <w:rFonts w:ascii="Arial" w:hAnsi="Arial" w:cs="Arial"/>
                <w:lang w:val="sr-Latn-ME"/>
              </w:rPr>
              <w:t>7.</w:t>
            </w:r>
          </w:p>
        </w:tc>
        <w:tc>
          <w:tcPr>
            <w:tcW w:w="1843" w:type="dxa"/>
          </w:tcPr>
          <w:p w14:paraId="5E69D8AD" w14:textId="77777777" w:rsidR="002C6296" w:rsidRPr="00157C9D" w:rsidRDefault="002C6296" w:rsidP="00745F57">
            <w:pPr>
              <w:pStyle w:val="NoSpacing"/>
              <w:spacing w:line="276" w:lineRule="auto"/>
              <w:rPr>
                <w:rFonts w:ascii="Arial" w:hAnsi="Arial" w:cs="Arial"/>
                <w:lang w:val="sr-Latn-ME"/>
              </w:rPr>
            </w:pPr>
            <w:r w:rsidRPr="00157C9D">
              <w:rPr>
                <w:rFonts w:ascii="Arial" w:hAnsi="Arial" w:cs="Arial"/>
                <w:lang w:val="sr-Latn-ME"/>
              </w:rPr>
              <w:t>Biljana Gligorić</w:t>
            </w:r>
          </w:p>
          <w:p w14:paraId="28C065C4" w14:textId="77777777" w:rsidR="002C6296" w:rsidRPr="00157C9D" w:rsidRDefault="002C6296" w:rsidP="00745F57">
            <w:pPr>
              <w:pStyle w:val="NoSpacing"/>
              <w:spacing w:line="276" w:lineRule="auto"/>
              <w:rPr>
                <w:rFonts w:ascii="Arial" w:hAnsi="Arial" w:cs="Arial"/>
                <w:lang w:val="sr-Latn-ME"/>
              </w:rPr>
            </w:pPr>
          </w:p>
          <w:p w14:paraId="6611A3E9" w14:textId="22374DA6" w:rsidR="002C6296" w:rsidRPr="00157C9D" w:rsidRDefault="002C6296" w:rsidP="00745F57">
            <w:pPr>
              <w:pStyle w:val="NoSpacing"/>
              <w:spacing w:line="276" w:lineRule="auto"/>
              <w:rPr>
                <w:rFonts w:ascii="Arial" w:hAnsi="Arial" w:cs="Arial"/>
                <w:lang w:val="sr-Latn-ME"/>
              </w:rPr>
            </w:pPr>
            <w:r w:rsidRPr="00157C9D">
              <w:rPr>
                <w:rFonts w:ascii="Arial" w:hAnsi="Arial" w:cs="Arial"/>
                <w:lang w:val="sr-Latn-ME"/>
              </w:rPr>
              <w:t>NVo Expeditio</w:t>
            </w:r>
          </w:p>
        </w:tc>
        <w:tc>
          <w:tcPr>
            <w:tcW w:w="7513" w:type="dxa"/>
          </w:tcPr>
          <w:p w14:paraId="79341187" w14:textId="77777777" w:rsidR="00AE50EF" w:rsidRPr="00157C9D" w:rsidRDefault="00AE50EF" w:rsidP="00745F57">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Komentar 1:</w:t>
            </w:r>
          </w:p>
          <w:p w14:paraId="3C398EF1" w14:textId="198F07D3" w:rsidR="002C6296" w:rsidRPr="00157C9D" w:rsidRDefault="002C6296" w:rsidP="00AE50EF">
            <w:pPr>
              <w:jc w:val="both"/>
              <w:rPr>
                <w:rFonts w:ascii="Arial" w:hAnsi="Arial" w:cs="Arial"/>
                <w:color w:val="000000" w:themeColor="text1"/>
                <w:lang w:val="sr-Latn-ME"/>
              </w:rPr>
            </w:pPr>
            <w:r w:rsidRPr="00157C9D">
              <w:rPr>
                <w:rFonts w:ascii="Arial" w:hAnsi="Arial" w:cs="Arial"/>
                <w:color w:val="000000" w:themeColor="text1"/>
                <w:lang w:val="sr-Latn-ME"/>
              </w:rPr>
              <w:t>Aktivnost: Prostornim planom Crne Gore (PPCG) uvesti preventivne mjere za ublažavanje uticaja na</w:t>
            </w:r>
            <w:r w:rsidR="00AE50EF" w:rsidRPr="00157C9D">
              <w:rPr>
                <w:rFonts w:ascii="Arial" w:hAnsi="Arial" w:cs="Arial"/>
                <w:color w:val="000000" w:themeColor="text1"/>
                <w:lang w:val="sr-Latn-ME"/>
              </w:rPr>
              <w:t xml:space="preserve"> </w:t>
            </w:r>
            <w:r w:rsidRPr="00157C9D">
              <w:rPr>
                <w:rFonts w:ascii="Arial" w:hAnsi="Arial" w:cs="Arial"/>
                <w:color w:val="000000" w:themeColor="text1"/>
                <w:lang w:val="sr-Latn-ME"/>
              </w:rPr>
              <w:t xml:space="preserve">klimatske promjene je pogrešna i ne doprinosi postavljenom cilju </w:t>
            </w:r>
            <w:r w:rsidRPr="00157C9D">
              <w:rPr>
                <w:rFonts w:ascii="Arial" w:hAnsi="Arial" w:cs="Arial"/>
                <w:i/>
                <w:iCs/>
                <w:color w:val="000000" w:themeColor="text1"/>
                <w:lang w:val="sr-Latn-ME"/>
              </w:rPr>
              <w:t xml:space="preserve">Unapređenje oblasti građevinarstva </w:t>
            </w:r>
            <w:r w:rsidR="00253644" w:rsidRPr="00157C9D">
              <w:rPr>
                <w:rFonts w:ascii="Arial" w:hAnsi="Arial" w:cs="Arial"/>
                <w:i/>
                <w:iCs/>
                <w:color w:val="000000" w:themeColor="text1"/>
                <w:lang w:val="sr-Latn-ME"/>
              </w:rPr>
              <w:t>i</w:t>
            </w:r>
            <w:r w:rsidR="00AE50EF" w:rsidRPr="00157C9D">
              <w:rPr>
                <w:rFonts w:ascii="Arial" w:hAnsi="Arial" w:cs="Arial"/>
                <w:i/>
                <w:iCs/>
                <w:color w:val="000000" w:themeColor="text1"/>
                <w:lang w:val="sr-Latn-ME"/>
              </w:rPr>
              <w:t xml:space="preserve"> </w:t>
            </w:r>
            <w:r w:rsidRPr="00157C9D">
              <w:rPr>
                <w:rFonts w:ascii="Arial" w:hAnsi="Arial" w:cs="Arial"/>
                <w:i/>
                <w:iCs/>
                <w:color w:val="000000" w:themeColor="text1"/>
                <w:lang w:val="sr-Latn-ME"/>
              </w:rPr>
              <w:t>prostornog planiranja u skladu sa principima cirkularne ekonomije</w:t>
            </w:r>
            <w:r w:rsidR="00AE50EF" w:rsidRPr="00157C9D">
              <w:rPr>
                <w:rFonts w:ascii="Arial" w:hAnsi="Arial" w:cs="Arial"/>
                <w:i/>
                <w:iCs/>
                <w:color w:val="000000" w:themeColor="text1"/>
                <w:lang w:val="sr-Latn-ME"/>
              </w:rPr>
              <w:t xml:space="preserve">. </w:t>
            </w:r>
            <w:r w:rsidR="00AE50EF" w:rsidRPr="00157C9D">
              <w:rPr>
                <w:rFonts w:ascii="Arial" w:hAnsi="Arial" w:cs="Arial"/>
                <w:color w:val="000000" w:themeColor="text1"/>
                <w:lang w:val="sr-Latn-ME"/>
              </w:rPr>
              <w:t xml:space="preserve">U obrazloženju primjedbe je navela da </w:t>
            </w:r>
            <w:r w:rsidRPr="00157C9D">
              <w:rPr>
                <w:rFonts w:ascii="Arial" w:hAnsi="Arial" w:cs="Arial"/>
                <w:color w:val="000000" w:themeColor="text1"/>
                <w:lang w:val="sr-Latn-ME"/>
              </w:rPr>
              <w:t>su klimatske prom</w:t>
            </w:r>
            <w:r w:rsidR="00AE50EF" w:rsidRPr="00157C9D">
              <w:rPr>
                <w:rFonts w:ascii="Arial" w:hAnsi="Arial" w:cs="Arial"/>
                <w:color w:val="000000" w:themeColor="text1"/>
                <w:lang w:val="sr-Latn-ME"/>
              </w:rPr>
              <w:t>j</w:t>
            </w:r>
            <w:r w:rsidRPr="00157C9D">
              <w:rPr>
                <w:rFonts w:ascii="Arial" w:hAnsi="Arial" w:cs="Arial"/>
                <w:color w:val="000000" w:themeColor="text1"/>
                <w:lang w:val="sr-Latn-ME"/>
              </w:rPr>
              <w:t>ene važna uzrok koji je doveo do neophodnosti cirkularne ekonomije</w:t>
            </w:r>
            <w:r w:rsidR="00AE50EF" w:rsidRPr="00157C9D">
              <w:rPr>
                <w:rFonts w:ascii="Arial" w:hAnsi="Arial" w:cs="Arial"/>
                <w:color w:val="000000" w:themeColor="text1"/>
                <w:lang w:val="sr-Latn-ME"/>
              </w:rPr>
              <w:t xml:space="preserve"> ali da mjere </w:t>
            </w:r>
            <w:r w:rsidRPr="00157C9D">
              <w:rPr>
                <w:rFonts w:ascii="Arial" w:hAnsi="Arial" w:cs="Arial"/>
                <w:color w:val="000000" w:themeColor="text1"/>
                <w:lang w:val="sr-Latn-ME"/>
              </w:rPr>
              <w:t>koje</w:t>
            </w:r>
            <w:r w:rsidR="00AE50EF" w:rsidRPr="00157C9D">
              <w:rPr>
                <w:rFonts w:ascii="Arial" w:hAnsi="Arial" w:cs="Arial"/>
                <w:color w:val="000000" w:themeColor="text1"/>
                <w:lang w:val="sr-Latn-ME"/>
              </w:rPr>
              <w:t xml:space="preserve"> </w:t>
            </w:r>
            <w:r w:rsidRPr="00157C9D">
              <w:rPr>
                <w:rFonts w:ascii="Arial" w:hAnsi="Arial" w:cs="Arial"/>
                <w:color w:val="000000" w:themeColor="text1"/>
                <w:lang w:val="sr-Latn-ME"/>
              </w:rPr>
              <w:t>se tiču klimatskih prom</w:t>
            </w:r>
            <w:r w:rsidR="00AE50EF" w:rsidRPr="00157C9D">
              <w:rPr>
                <w:rFonts w:ascii="Arial" w:hAnsi="Arial" w:cs="Arial"/>
                <w:color w:val="000000" w:themeColor="text1"/>
                <w:lang w:val="sr-Latn-ME"/>
              </w:rPr>
              <w:t xml:space="preserve">jena </w:t>
            </w:r>
            <w:r w:rsidRPr="00157C9D">
              <w:rPr>
                <w:rFonts w:ascii="Arial" w:hAnsi="Arial" w:cs="Arial"/>
                <w:color w:val="000000" w:themeColor="text1"/>
                <w:lang w:val="sr-Latn-ME"/>
              </w:rPr>
              <w:t>ne znače nužno da su i vezane za cirkularnu ekonomiju</w:t>
            </w:r>
            <w:r w:rsidR="00AE50EF" w:rsidRPr="00157C9D">
              <w:rPr>
                <w:rFonts w:ascii="Arial" w:hAnsi="Arial" w:cs="Arial"/>
                <w:color w:val="000000" w:themeColor="text1"/>
                <w:lang w:val="sr-Latn-ME"/>
              </w:rPr>
              <w:t>, te da je fo</w:t>
            </w:r>
            <w:r w:rsidR="00253644" w:rsidRPr="00157C9D">
              <w:rPr>
                <w:rFonts w:ascii="Arial" w:hAnsi="Arial" w:cs="Arial"/>
                <w:color w:val="000000" w:themeColor="text1"/>
                <w:lang w:val="sr-Latn-ME"/>
              </w:rPr>
              <w:t>k</w:t>
            </w:r>
            <w:r w:rsidR="00AE50EF" w:rsidRPr="00157C9D">
              <w:rPr>
                <w:rFonts w:ascii="Arial" w:hAnsi="Arial" w:cs="Arial"/>
                <w:color w:val="000000" w:themeColor="text1"/>
                <w:lang w:val="sr-Latn-ME"/>
              </w:rPr>
              <w:t xml:space="preserve">us </w:t>
            </w:r>
            <w:r w:rsidRPr="00157C9D">
              <w:rPr>
                <w:rFonts w:ascii="Arial" w:hAnsi="Arial" w:cs="Arial"/>
                <w:color w:val="000000" w:themeColor="text1"/>
                <w:lang w:val="sr-Latn-ME"/>
              </w:rPr>
              <w:t>aktivnosti pogrešan</w:t>
            </w:r>
            <w:r w:rsidR="00AE50EF" w:rsidRPr="00157C9D">
              <w:rPr>
                <w:rFonts w:ascii="Arial" w:hAnsi="Arial" w:cs="Arial"/>
                <w:color w:val="000000" w:themeColor="text1"/>
                <w:lang w:val="sr-Latn-ME"/>
              </w:rPr>
              <w:t xml:space="preserve"> iako je sama </w:t>
            </w:r>
            <w:r w:rsidRPr="00157C9D">
              <w:rPr>
                <w:rFonts w:ascii="Arial" w:hAnsi="Arial" w:cs="Arial"/>
                <w:color w:val="000000" w:themeColor="text1"/>
                <w:lang w:val="sr-Latn-ME"/>
              </w:rPr>
              <w:t>aktivnost dobra i trebalo bi da je d</w:t>
            </w:r>
            <w:r w:rsidR="00AE50EF" w:rsidRPr="00157C9D">
              <w:rPr>
                <w:rFonts w:ascii="Arial" w:hAnsi="Arial" w:cs="Arial"/>
                <w:color w:val="000000" w:themeColor="text1"/>
                <w:lang w:val="sr-Latn-ME"/>
              </w:rPr>
              <w:t>i</w:t>
            </w:r>
            <w:r w:rsidRPr="00157C9D">
              <w:rPr>
                <w:rFonts w:ascii="Arial" w:hAnsi="Arial" w:cs="Arial"/>
                <w:color w:val="000000" w:themeColor="text1"/>
                <w:lang w:val="sr-Latn-ME"/>
              </w:rPr>
              <w:t>o projektnog zadatka za izradu</w:t>
            </w:r>
            <w:r w:rsidR="00AE50EF" w:rsidRPr="00157C9D">
              <w:rPr>
                <w:rFonts w:ascii="Arial" w:hAnsi="Arial" w:cs="Arial"/>
                <w:color w:val="000000" w:themeColor="text1"/>
                <w:lang w:val="sr-Latn-ME"/>
              </w:rPr>
              <w:t xml:space="preserve"> </w:t>
            </w:r>
            <w:r w:rsidRPr="00157C9D">
              <w:rPr>
                <w:rFonts w:ascii="Arial" w:hAnsi="Arial" w:cs="Arial"/>
                <w:color w:val="000000" w:themeColor="text1"/>
                <w:lang w:val="sr-Latn-ME"/>
              </w:rPr>
              <w:t>prostornih planova ali nema previše veze sa cirkularnom ekonomijom samim tim ni sa definisanim ciljem</w:t>
            </w:r>
            <w:r w:rsidR="00AE50EF" w:rsidRPr="00157C9D">
              <w:rPr>
                <w:rFonts w:ascii="Arial" w:hAnsi="Arial" w:cs="Arial"/>
                <w:color w:val="000000" w:themeColor="text1"/>
                <w:lang w:val="sr-Latn-ME"/>
              </w:rPr>
              <w:t xml:space="preserve"> jer ne obezbjeđuje </w:t>
            </w:r>
            <w:r w:rsidRPr="00157C9D">
              <w:rPr>
                <w:rFonts w:ascii="Arial" w:hAnsi="Arial" w:cs="Arial"/>
                <w:color w:val="000000" w:themeColor="text1"/>
                <w:lang w:val="sr-Latn-ME"/>
              </w:rPr>
              <w:t>“kružnost” procesa u građevinarstvu, pr</w:t>
            </w:r>
            <w:r w:rsidR="00AE50EF" w:rsidRPr="00157C9D">
              <w:rPr>
                <w:rFonts w:ascii="Arial" w:hAnsi="Arial" w:cs="Arial"/>
                <w:color w:val="000000" w:themeColor="text1"/>
                <w:lang w:val="sr-Latn-ME"/>
              </w:rPr>
              <w:t>ij</w:t>
            </w:r>
            <w:r w:rsidRPr="00157C9D">
              <w:rPr>
                <w:rFonts w:ascii="Arial" w:hAnsi="Arial" w:cs="Arial"/>
                <w:color w:val="000000" w:themeColor="text1"/>
                <w:lang w:val="sr-Latn-ME"/>
              </w:rPr>
              <w:t>e svega vezano za</w:t>
            </w:r>
            <w:r w:rsidR="00AE50EF" w:rsidRPr="00157C9D">
              <w:rPr>
                <w:rFonts w:ascii="Arial" w:hAnsi="Arial" w:cs="Arial"/>
                <w:color w:val="000000" w:themeColor="text1"/>
                <w:lang w:val="sr-Latn-ME"/>
              </w:rPr>
              <w:t xml:space="preserve"> </w:t>
            </w:r>
            <w:r w:rsidRPr="00157C9D">
              <w:rPr>
                <w:rFonts w:ascii="Arial" w:hAnsi="Arial" w:cs="Arial"/>
                <w:color w:val="000000" w:themeColor="text1"/>
                <w:lang w:val="sr-Latn-ME"/>
              </w:rPr>
              <w:t>korišćenje resursa</w:t>
            </w:r>
            <w:r w:rsidR="00AE50EF" w:rsidRPr="00157C9D">
              <w:rPr>
                <w:rFonts w:ascii="Arial" w:hAnsi="Arial" w:cs="Arial"/>
                <w:color w:val="000000" w:themeColor="text1"/>
                <w:lang w:val="sr-Latn-ME"/>
              </w:rPr>
              <w:t>.</w:t>
            </w:r>
          </w:p>
          <w:p w14:paraId="7A2E0421" w14:textId="77777777" w:rsidR="00AE50EF" w:rsidRPr="00157C9D" w:rsidRDefault="00AE50EF" w:rsidP="00AE50EF">
            <w:pPr>
              <w:jc w:val="both"/>
              <w:rPr>
                <w:rFonts w:ascii="Arial" w:hAnsi="Arial" w:cs="Arial"/>
                <w:color w:val="000000" w:themeColor="text1"/>
                <w:lang w:val="sr-Latn-ME"/>
              </w:rPr>
            </w:pPr>
          </w:p>
          <w:p w14:paraId="4A2DDC9A" w14:textId="77777777" w:rsidR="00AE50EF" w:rsidRPr="00157C9D" w:rsidRDefault="00AE50EF" w:rsidP="00AE50EF">
            <w:pPr>
              <w:jc w:val="both"/>
              <w:rPr>
                <w:rFonts w:ascii="Arial" w:hAnsi="Arial" w:cs="Arial"/>
                <w:color w:val="000000" w:themeColor="text1"/>
                <w:lang w:val="sr-Latn-ME"/>
              </w:rPr>
            </w:pPr>
            <w:r w:rsidRPr="00157C9D">
              <w:rPr>
                <w:rFonts w:ascii="Arial" w:hAnsi="Arial" w:cs="Arial"/>
                <w:color w:val="000000" w:themeColor="text1"/>
                <w:lang w:val="sr-Latn-ME"/>
              </w:rPr>
              <w:t>Komentar 2:</w:t>
            </w:r>
          </w:p>
          <w:p w14:paraId="3CFB57F2" w14:textId="77777777" w:rsidR="00AE50EF" w:rsidRPr="00157C9D" w:rsidRDefault="00AE50EF" w:rsidP="00684C3C">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 xml:space="preserve">Pojasniti na šta se tačno odnose indikatori </w:t>
            </w:r>
            <w:r w:rsidRPr="00157C9D">
              <w:rPr>
                <w:rFonts w:ascii="Arial" w:hAnsi="Arial" w:cs="Arial"/>
                <w:i/>
                <w:iCs/>
                <w:color w:val="000000" w:themeColor="text1"/>
                <w:lang w:val="sr-Latn-ME"/>
              </w:rPr>
              <w:t>broj realizovanih zahtjeva kroz online državni informacioni sistem za oblast prostornog planiranja</w:t>
            </w:r>
            <w:r w:rsidRPr="00157C9D">
              <w:rPr>
                <w:rFonts w:ascii="Arial" w:hAnsi="Arial" w:cs="Arial"/>
                <w:color w:val="000000" w:themeColor="text1"/>
                <w:lang w:val="sr-Latn-ME"/>
              </w:rPr>
              <w:t xml:space="preserve"> </w:t>
            </w:r>
            <w:r w:rsidRPr="00157C9D">
              <w:rPr>
                <w:rFonts w:ascii="Arial" w:hAnsi="Arial" w:cs="Arial"/>
                <w:i/>
                <w:iCs/>
                <w:color w:val="000000" w:themeColor="text1"/>
                <w:lang w:val="sr-Latn-ME"/>
              </w:rPr>
              <w:t>i izgradnje objekata i</w:t>
            </w:r>
            <w:r w:rsidRPr="00157C9D">
              <w:rPr>
                <w:rFonts w:ascii="Arial" w:hAnsi="Arial" w:cs="Arial"/>
                <w:color w:val="000000" w:themeColor="text1"/>
                <w:lang w:val="sr-Latn-ME"/>
              </w:rPr>
              <w:t xml:space="preserve"> </w:t>
            </w:r>
            <w:r w:rsidRPr="00157C9D">
              <w:rPr>
                <w:rFonts w:ascii="Arial" w:hAnsi="Arial" w:cs="Arial"/>
                <w:i/>
                <w:iCs/>
                <w:color w:val="000000" w:themeColor="text1"/>
                <w:lang w:val="sr-Latn-ME"/>
              </w:rPr>
              <w:t>broj donijetih planskih dokumenata</w:t>
            </w:r>
            <w:r w:rsidR="00684C3C" w:rsidRPr="00157C9D">
              <w:rPr>
                <w:rFonts w:ascii="Arial" w:hAnsi="Arial" w:cs="Arial"/>
                <w:i/>
                <w:iCs/>
                <w:color w:val="000000" w:themeColor="text1"/>
                <w:lang w:val="sr-Latn-ME"/>
              </w:rPr>
              <w:t xml:space="preserve"> </w:t>
            </w:r>
            <w:r w:rsidR="00684C3C" w:rsidRPr="00157C9D">
              <w:rPr>
                <w:rFonts w:ascii="Arial" w:hAnsi="Arial" w:cs="Arial"/>
                <w:color w:val="000000" w:themeColor="text1"/>
                <w:lang w:val="sr-Latn-ME"/>
              </w:rPr>
              <w:t>kako bi bilo jasno n</w:t>
            </w:r>
            <w:r w:rsidRPr="00157C9D">
              <w:rPr>
                <w:rFonts w:ascii="Arial" w:hAnsi="Arial" w:cs="Arial"/>
                <w:color w:val="000000" w:themeColor="text1"/>
                <w:lang w:val="sr-Latn-ME"/>
              </w:rPr>
              <w:t>a šta se tačno odnosi i na koje zahtjev</w:t>
            </w:r>
            <w:r w:rsidR="00684C3C" w:rsidRPr="00157C9D">
              <w:rPr>
                <w:rFonts w:ascii="Arial" w:hAnsi="Arial" w:cs="Arial"/>
                <w:color w:val="000000" w:themeColor="text1"/>
                <w:lang w:val="sr-Latn-ME"/>
              </w:rPr>
              <w:t xml:space="preserve">e, posebno u kontekstu doprinosa </w:t>
            </w:r>
            <w:r w:rsidRPr="00157C9D">
              <w:rPr>
                <w:rFonts w:ascii="Arial" w:hAnsi="Arial" w:cs="Arial"/>
                <w:color w:val="000000" w:themeColor="text1"/>
                <w:lang w:val="sr-Latn-ME"/>
              </w:rPr>
              <w:t>cirkularn</w:t>
            </w:r>
            <w:r w:rsidR="00684C3C" w:rsidRPr="00157C9D">
              <w:rPr>
                <w:rFonts w:ascii="Arial" w:hAnsi="Arial" w:cs="Arial"/>
                <w:color w:val="000000" w:themeColor="text1"/>
                <w:lang w:val="sr-Latn-ME"/>
              </w:rPr>
              <w:t xml:space="preserve">oj ekonomiji </w:t>
            </w:r>
            <w:r w:rsidRPr="00157C9D">
              <w:rPr>
                <w:rFonts w:ascii="Arial" w:hAnsi="Arial" w:cs="Arial"/>
                <w:color w:val="000000" w:themeColor="text1"/>
                <w:lang w:val="sr-Latn-ME"/>
              </w:rPr>
              <w:t>u građ</w:t>
            </w:r>
            <w:r w:rsidR="00684C3C" w:rsidRPr="00157C9D">
              <w:rPr>
                <w:rFonts w:ascii="Arial" w:hAnsi="Arial" w:cs="Arial"/>
                <w:color w:val="000000" w:themeColor="text1"/>
                <w:lang w:val="sr-Latn-ME"/>
              </w:rPr>
              <w:t>e</w:t>
            </w:r>
            <w:r w:rsidRPr="00157C9D">
              <w:rPr>
                <w:rFonts w:ascii="Arial" w:hAnsi="Arial" w:cs="Arial"/>
                <w:color w:val="000000" w:themeColor="text1"/>
                <w:lang w:val="sr-Latn-ME"/>
              </w:rPr>
              <w:t>vinarstvu.</w:t>
            </w:r>
          </w:p>
          <w:p w14:paraId="20D02B0E" w14:textId="77777777" w:rsidR="00684C3C" w:rsidRPr="00157C9D" w:rsidRDefault="00684C3C" w:rsidP="00684C3C">
            <w:pPr>
              <w:spacing w:line="276" w:lineRule="auto"/>
              <w:jc w:val="both"/>
              <w:rPr>
                <w:rFonts w:ascii="Arial" w:hAnsi="Arial" w:cs="Arial"/>
                <w:color w:val="000000" w:themeColor="text1"/>
                <w:lang w:val="sr-Latn-ME"/>
              </w:rPr>
            </w:pPr>
          </w:p>
          <w:p w14:paraId="70F94170" w14:textId="77777777" w:rsidR="00684C3C" w:rsidRPr="00157C9D" w:rsidRDefault="00684C3C" w:rsidP="00684C3C">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lastRenderedPageBreak/>
              <w:t>Komentar 3:</w:t>
            </w:r>
          </w:p>
          <w:p w14:paraId="16D21F7B" w14:textId="51DB6D22" w:rsidR="00684C3C" w:rsidRPr="00157C9D" w:rsidRDefault="00684C3C" w:rsidP="00684C3C">
            <w:pPr>
              <w:jc w:val="both"/>
              <w:rPr>
                <w:rFonts w:ascii="Arial" w:hAnsi="Arial" w:cs="Arial"/>
                <w:color w:val="000000" w:themeColor="text1"/>
                <w:lang w:val="sr-Latn-ME"/>
              </w:rPr>
            </w:pPr>
            <w:r w:rsidRPr="00157C9D">
              <w:rPr>
                <w:rFonts w:ascii="Arial" w:hAnsi="Arial" w:cs="Arial"/>
                <w:color w:val="000000" w:themeColor="text1"/>
                <w:lang w:val="sr-Latn-ME"/>
              </w:rPr>
              <w:t xml:space="preserve">Pojasniti aktivnost </w:t>
            </w:r>
            <w:r w:rsidRPr="00157C9D">
              <w:rPr>
                <w:rFonts w:ascii="Arial" w:hAnsi="Arial" w:cs="Arial"/>
                <w:i/>
                <w:iCs/>
                <w:color w:val="000000" w:themeColor="text1"/>
                <w:lang w:val="sr-Latn-ME"/>
              </w:rPr>
              <w:t xml:space="preserve">Unapređenje zakonodavnog i poslovnog okvira u kontekstu jačanja kontrolnih mehanizama/inspekcijskih službi u procesu izgradnje objekata </w:t>
            </w:r>
            <w:r w:rsidRPr="00157C9D">
              <w:rPr>
                <w:rFonts w:ascii="Arial" w:hAnsi="Arial" w:cs="Arial"/>
                <w:color w:val="000000" w:themeColor="text1"/>
                <w:lang w:val="sr-Latn-ME"/>
              </w:rPr>
              <w:t>na način da bude jasno šta se tačno uvodi (navesti koji aspekt i koji mehanizmi se uvode).</w:t>
            </w:r>
          </w:p>
          <w:p w14:paraId="51D71F45" w14:textId="44D76C43" w:rsidR="00684C3C" w:rsidRPr="00157C9D" w:rsidRDefault="00684C3C" w:rsidP="00684C3C">
            <w:pPr>
              <w:jc w:val="both"/>
              <w:rPr>
                <w:rFonts w:ascii="Arial" w:hAnsi="Arial" w:cs="Arial"/>
                <w:color w:val="000000" w:themeColor="text1"/>
                <w:lang w:val="sr-Latn-ME"/>
              </w:rPr>
            </w:pPr>
          </w:p>
          <w:p w14:paraId="17612A26" w14:textId="5D86E49C" w:rsidR="00684C3C" w:rsidRPr="00157C9D" w:rsidRDefault="00684C3C" w:rsidP="00684C3C">
            <w:pPr>
              <w:jc w:val="both"/>
              <w:rPr>
                <w:rFonts w:ascii="Arial" w:hAnsi="Arial" w:cs="Arial"/>
                <w:color w:val="000000" w:themeColor="text1"/>
                <w:lang w:val="sr-Latn-ME"/>
              </w:rPr>
            </w:pPr>
            <w:r w:rsidRPr="00157C9D">
              <w:rPr>
                <w:rFonts w:ascii="Arial" w:hAnsi="Arial" w:cs="Arial"/>
                <w:color w:val="000000" w:themeColor="text1"/>
                <w:lang w:val="sr-Latn-ME"/>
              </w:rPr>
              <w:t>Komentar 4:</w:t>
            </w:r>
          </w:p>
          <w:p w14:paraId="1AFD20F2" w14:textId="32BBD4C5" w:rsidR="00684C3C" w:rsidRPr="00157C9D" w:rsidRDefault="00DD2046" w:rsidP="00DD2046">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 xml:space="preserve">Vezano za aktivnost </w:t>
            </w:r>
            <w:r w:rsidRPr="00157C9D">
              <w:rPr>
                <w:rFonts w:ascii="Arial" w:hAnsi="Arial" w:cs="Arial"/>
                <w:i/>
                <w:iCs/>
                <w:color w:val="000000" w:themeColor="text1"/>
                <w:lang w:val="sr-Latn-ME"/>
              </w:rPr>
              <w:t xml:space="preserve">Uvođenje obavezne kontrole održavanja objekata u novi zakon o planiranju prostora i izgradnje objekata, </w:t>
            </w:r>
            <w:r w:rsidRPr="00157C9D">
              <w:rPr>
                <w:rFonts w:ascii="Arial" w:hAnsi="Arial" w:cs="Arial"/>
                <w:color w:val="000000" w:themeColor="text1"/>
                <w:lang w:val="sr-Latn-ME"/>
              </w:rPr>
              <w:t xml:space="preserve">potrebno je navesti kontrole </w:t>
            </w:r>
            <w:r w:rsidR="003E2484">
              <w:t xml:space="preserve"> </w:t>
            </w:r>
            <w:r w:rsidR="003E2484" w:rsidRPr="003E2484">
              <w:rPr>
                <w:rFonts w:ascii="Arial" w:hAnsi="Arial" w:cs="Arial"/>
                <w:color w:val="000000" w:themeColor="text1"/>
                <w:lang w:val="sr-Latn-ME"/>
              </w:rPr>
              <w:t xml:space="preserve">održavanja </w:t>
            </w:r>
            <w:r w:rsidR="003E2484">
              <w:rPr>
                <w:rFonts w:ascii="Arial" w:hAnsi="Arial" w:cs="Arial"/>
                <w:color w:val="000000" w:themeColor="text1"/>
                <w:lang w:val="sr-Latn-ME"/>
              </w:rPr>
              <w:t>,</w:t>
            </w:r>
            <w:r w:rsidRPr="00157C9D">
              <w:rPr>
                <w:rFonts w:ascii="Arial" w:hAnsi="Arial" w:cs="Arial"/>
                <w:color w:val="000000" w:themeColor="text1"/>
                <w:lang w:val="sr-Latn-ME"/>
              </w:rPr>
              <w:t xml:space="preserve"> ali u kom smislu da bi to imalo veze sa cirkularnom ekonomijom. - da li je to </w:t>
            </w:r>
            <w:r w:rsidR="003E2484">
              <w:t xml:space="preserve"> </w:t>
            </w:r>
            <w:r w:rsidR="003E2484" w:rsidRPr="003E2484">
              <w:rPr>
                <w:rFonts w:ascii="Arial" w:hAnsi="Arial" w:cs="Arial"/>
                <w:color w:val="000000" w:themeColor="text1"/>
                <w:lang w:val="sr-Latn-ME"/>
              </w:rPr>
              <w:t xml:space="preserve">kontrola </w:t>
            </w:r>
            <w:r w:rsidRPr="00157C9D">
              <w:rPr>
                <w:rFonts w:ascii="Arial" w:hAnsi="Arial" w:cs="Arial"/>
                <w:color w:val="000000" w:themeColor="text1"/>
                <w:lang w:val="sr-Latn-ME"/>
              </w:rPr>
              <w:t>odlaganja otpada, % reciklaže i slično.</w:t>
            </w:r>
          </w:p>
          <w:p w14:paraId="0C95334D" w14:textId="77777777" w:rsidR="00684C3C" w:rsidRPr="00157C9D" w:rsidRDefault="00684C3C" w:rsidP="00684C3C">
            <w:pPr>
              <w:spacing w:line="276" w:lineRule="auto"/>
              <w:jc w:val="both"/>
              <w:rPr>
                <w:rFonts w:ascii="Arial" w:hAnsi="Arial" w:cs="Arial"/>
                <w:color w:val="000000" w:themeColor="text1"/>
                <w:lang w:val="sr-Latn-ME"/>
              </w:rPr>
            </w:pPr>
          </w:p>
          <w:p w14:paraId="03030A29" w14:textId="77777777" w:rsidR="00DD2046" w:rsidRPr="00157C9D" w:rsidRDefault="00DD2046" w:rsidP="00684C3C">
            <w:pPr>
              <w:spacing w:line="276" w:lineRule="auto"/>
              <w:jc w:val="both"/>
              <w:rPr>
                <w:rFonts w:ascii="Arial" w:hAnsi="Arial" w:cs="Arial"/>
                <w:color w:val="000000" w:themeColor="text1"/>
                <w:lang w:val="sr-Latn-ME"/>
              </w:rPr>
            </w:pPr>
            <w:r w:rsidRPr="00157C9D">
              <w:rPr>
                <w:rFonts w:ascii="Arial" w:hAnsi="Arial" w:cs="Arial"/>
                <w:color w:val="000000" w:themeColor="text1"/>
                <w:lang w:val="sr-Latn-ME"/>
              </w:rPr>
              <w:t>Komentar 5:</w:t>
            </w:r>
          </w:p>
          <w:p w14:paraId="4DC9FC32" w14:textId="41C3A50F" w:rsidR="00DD2046" w:rsidRPr="00157C9D" w:rsidRDefault="00DD2046" w:rsidP="00DD2046">
            <w:pPr>
              <w:jc w:val="both"/>
              <w:rPr>
                <w:rFonts w:ascii="Arial" w:hAnsi="Arial" w:cs="Arial"/>
                <w:color w:val="000000" w:themeColor="text1"/>
                <w:lang w:val="sr-Latn-ME"/>
              </w:rPr>
            </w:pPr>
            <w:r w:rsidRPr="00157C9D">
              <w:rPr>
                <w:rFonts w:ascii="Arial" w:hAnsi="Arial" w:cs="Arial"/>
                <w:color w:val="000000" w:themeColor="text1"/>
                <w:lang w:val="sr-Latn-ME"/>
              </w:rPr>
              <w:t xml:space="preserve">Sugestija da se uključe nove aktivnosti, definisane na radionici u Budvi koja je organizovana u oktobru 2022. s tim da je </w:t>
            </w:r>
            <w:r w:rsidR="008E5EED" w:rsidRPr="00157C9D">
              <w:rPr>
                <w:rFonts w:ascii="Arial" w:hAnsi="Arial" w:cs="Arial"/>
                <w:color w:val="000000" w:themeColor="text1"/>
                <w:lang w:val="sr-Latn-ME"/>
              </w:rPr>
              <w:t>i</w:t>
            </w:r>
            <w:r w:rsidRPr="00157C9D">
              <w:rPr>
                <w:rFonts w:ascii="Arial" w:hAnsi="Arial" w:cs="Arial"/>
                <w:color w:val="000000" w:themeColor="text1"/>
                <w:lang w:val="sr-Latn-ME"/>
              </w:rPr>
              <w:t xml:space="preserve"> dostavljeni spisak aktivnosti potrebno unaprijediti i korigovati, posebno u segmentu da li su ciljevi i aktivnosti tema drugih strategija, ali je svakako daleko detaljnije razrađeno i daleko više na tragu da se odgovori svrsi Strategije. </w:t>
            </w:r>
          </w:p>
        </w:tc>
        <w:tc>
          <w:tcPr>
            <w:tcW w:w="4394" w:type="dxa"/>
          </w:tcPr>
          <w:p w14:paraId="65A2E73C" w14:textId="77777777" w:rsidR="002C6296" w:rsidRPr="00157C9D" w:rsidRDefault="00253644" w:rsidP="00FF7350">
            <w:pPr>
              <w:jc w:val="both"/>
              <w:rPr>
                <w:rFonts w:ascii="Arial" w:hAnsi="Arial" w:cs="Arial"/>
                <w:b/>
                <w:bCs/>
                <w:color w:val="000000" w:themeColor="text1"/>
                <w:lang w:val="sr-Latn-ME"/>
              </w:rPr>
            </w:pPr>
            <w:r w:rsidRPr="00157C9D">
              <w:rPr>
                <w:rFonts w:ascii="Arial" w:hAnsi="Arial" w:cs="Arial"/>
                <w:b/>
                <w:bCs/>
                <w:color w:val="000000" w:themeColor="text1"/>
                <w:lang w:val="sr-Latn-ME"/>
              </w:rPr>
              <w:lastRenderedPageBreak/>
              <w:t>Djelimično se prihvata.</w:t>
            </w:r>
          </w:p>
          <w:p w14:paraId="501412A9" w14:textId="6ADE63B4" w:rsidR="00803025" w:rsidRPr="00157C9D" w:rsidRDefault="00253644" w:rsidP="00253644">
            <w:pPr>
              <w:jc w:val="both"/>
              <w:rPr>
                <w:rFonts w:ascii="Arial" w:hAnsi="Arial" w:cs="Arial"/>
                <w:color w:val="000000" w:themeColor="text1"/>
                <w:lang w:val="sr-Latn-ME"/>
              </w:rPr>
            </w:pPr>
            <w:r w:rsidRPr="00157C9D">
              <w:rPr>
                <w:rFonts w:ascii="Arial" w:hAnsi="Arial" w:cs="Arial"/>
                <w:color w:val="000000" w:themeColor="text1"/>
                <w:lang w:val="sr-Latn-ME"/>
              </w:rPr>
              <w:t xml:space="preserve">U samoj analizi stanja, kao </w:t>
            </w:r>
            <w:r w:rsidR="00803025" w:rsidRPr="00157C9D">
              <w:rPr>
                <w:rFonts w:ascii="Arial" w:hAnsi="Arial" w:cs="Arial"/>
                <w:color w:val="000000" w:themeColor="text1"/>
                <w:lang w:val="sr-Latn-ME"/>
              </w:rPr>
              <w:t>i</w:t>
            </w:r>
            <w:r w:rsidRPr="00157C9D">
              <w:rPr>
                <w:rFonts w:ascii="Arial" w:hAnsi="Arial" w:cs="Arial"/>
                <w:color w:val="000000" w:themeColor="text1"/>
                <w:lang w:val="sr-Latn-ME"/>
              </w:rPr>
              <w:t xml:space="preserve"> tokom participativnog procesa je ukazano da su sektori koji su definisani kao n</w:t>
            </w:r>
            <w:r w:rsidR="00803025" w:rsidRPr="00157C9D">
              <w:rPr>
                <w:rFonts w:ascii="Arial" w:hAnsi="Arial" w:cs="Arial"/>
                <w:color w:val="000000" w:themeColor="text1"/>
                <w:lang w:val="sr-Latn-ME"/>
              </w:rPr>
              <w:t>ajpogodniji za cirkularnu tranziciju na različitim nivoima razvoja u smislu da se u nekim oblastima (</w:t>
            </w:r>
            <w:r w:rsidR="00A16D49" w:rsidRPr="00157C9D">
              <w:rPr>
                <w:rFonts w:ascii="Arial" w:hAnsi="Arial" w:cs="Arial"/>
                <w:color w:val="000000" w:themeColor="text1"/>
                <w:lang w:val="sr-Latn-ME"/>
              </w:rPr>
              <w:t xml:space="preserve">šumarstvo, građevinarstvo, </w:t>
            </w:r>
            <w:r w:rsidR="00803025" w:rsidRPr="00157C9D">
              <w:rPr>
                <w:rFonts w:ascii="Arial" w:hAnsi="Arial" w:cs="Arial"/>
                <w:color w:val="000000" w:themeColor="text1"/>
                <w:lang w:val="sr-Latn-ME"/>
              </w:rPr>
              <w:t>upravljanje otpadom, itd</w:t>
            </w:r>
            <w:r w:rsidR="003E2484">
              <w:rPr>
                <w:rFonts w:ascii="Arial" w:hAnsi="Arial" w:cs="Arial"/>
                <w:color w:val="000000" w:themeColor="text1"/>
                <w:lang w:val="sr-Latn-ME"/>
              </w:rPr>
              <w:t>.</w:t>
            </w:r>
            <w:r w:rsidR="00803025" w:rsidRPr="00157C9D">
              <w:rPr>
                <w:rFonts w:ascii="Arial" w:hAnsi="Arial" w:cs="Arial"/>
                <w:color w:val="000000" w:themeColor="text1"/>
                <w:lang w:val="sr-Latn-ME"/>
              </w:rPr>
              <w:t xml:space="preserve">) i dalje govori o unapređenju zakonodavnog i strateškog okvira, kao preduslovu za dalje, konkretnije aktivnosti. U tom smislu </w:t>
            </w:r>
            <w:r w:rsidR="00A16D49" w:rsidRPr="00157C9D">
              <w:rPr>
                <w:rFonts w:ascii="Arial" w:hAnsi="Arial" w:cs="Arial"/>
                <w:color w:val="000000" w:themeColor="text1"/>
                <w:lang w:val="sr-Latn-ME"/>
              </w:rPr>
              <w:t xml:space="preserve">aktivnosti u okviru strateškog cilja 3 predstavljaju </w:t>
            </w:r>
            <w:r w:rsidR="00803025" w:rsidRPr="00157C9D">
              <w:rPr>
                <w:rFonts w:ascii="Arial" w:hAnsi="Arial" w:cs="Arial"/>
                <w:color w:val="000000" w:themeColor="text1"/>
                <w:lang w:val="sr-Latn-ME"/>
              </w:rPr>
              <w:t>jedan od prvih koraka u pravcu uvođenja određenih elemenata na koje će se kasnije, kroz reviziju kako Akcionog plana, tako i same Strategije, nadovezivati konkretnije aktivnosti u oblasti prostornog planiranja i izgradnje objekata</w:t>
            </w:r>
            <w:r w:rsidR="00A16D49" w:rsidRPr="00157C9D">
              <w:rPr>
                <w:rFonts w:ascii="Arial" w:hAnsi="Arial" w:cs="Arial"/>
                <w:color w:val="000000" w:themeColor="text1"/>
                <w:lang w:val="sr-Latn-ME"/>
              </w:rPr>
              <w:t>.</w:t>
            </w:r>
          </w:p>
          <w:p w14:paraId="625288D1" w14:textId="77777777" w:rsidR="00A16D49" w:rsidRPr="00157C9D" w:rsidRDefault="00A16D49" w:rsidP="00253644">
            <w:pPr>
              <w:jc w:val="both"/>
              <w:rPr>
                <w:rFonts w:ascii="Arial" w:hAnsi="Arial" w:cs="Arial"/>
                <w:color w:val="000000" w:themeColor="text1"/>
                <w:lang w:val="sr-Latn-ME"/>
              </w:rPr>
            </w:pPr>
          </w:p>
          <w:p w14:paraId="265023E3" w14:textId="5291B312" w:rsidR="00803025" w:rsidRPr="00157C9D" w:rsidRDefault="008E5EED" w:rsidP="00253644">
            <w:pPr>
              <w:jc w:val="both"/>
              <w:rPr>
                <w:rFonts w:ascii="Arial" w:hAnsi="Arial" w:cs="Arial"/>
                <w:color w:val="000000" w:themeColor="text1"/>
                <w:highlight w:val="red"/>
                <w:lang w:val="sr-Latn-ME"/>
              </w:rPr>
            </w:pPr>
            <w:r w:rsidRPr="00157C9D">
              <w:rPr>
                <w:rFonts w:ascii="Arial" w:hAnsi="Arial" w:cs="Arial"/>
                <w:color w:val="000000" w:themeColor="text1"/>
                <w:lang w:val="sr-Latn-ME"/>
              </w:rPr>
              <w:t xml:space="preserve">Predstavnici Ministarstva i stručni tim podsjećaju da su svi navedeni strateški i operativni ciljevi, kao i prateće aktivnosti, definisane na radionici u Budvi, unijete u Nacrt Strategije </w:t>
            </w:r>
            <w:r w:rsidR="009530DF" w:rsidRPr="00157C9D">
              <w:rPr>
                <w:rFonts w:ascii="Arial" w:hAnsi="Arial" w:cs="Arial"/>
                <w:color w:val="000000" w:themeColor="text1"/>
                <w:lang w:val="sr-Latn-ME"/>
              </w:rPr>
              <w:t>i</w:t>
            </w:r>
            <w:r w:rsidR="002A7A59" w:rsidRPr="00157C9D">
              <w:rPr>
                <w:rFonts w:ascii="Arial" w:hAnsi="Arial" w:cs="Arial"/>
                <w:color w:val="000000" w:themeColor="text1"/>
                <w:lang w:val="sr-Latn-ME"/>
              </w:rPr>
              <w:t xml:space="preserve"> Akcioni plan koji </w:t>
            </w:r>
            <w:r w:rsidRPr="00157C9D">
              <w:rPr>
                <w:rFonts w:ascii="Arial" w:hAnsi="Arial" w:cs="Arial"/>
                <w:color w:val="000000" w:themeColor="text1"/>
                <w:lang w:val="sr-Latn-ME"/>
              </w:rPr>
              <w:t xml:space="preserve">je </w:t>
            </w:r>
            <w:r w:rsidRPr="00157C9D">
              <w:rPr>
                <w:rFonts w:ascii="Arial" w:hAnsi="Arial" w:cs="Arial"/>
                <w:color w:val="000000" w:themeColor="text1"/>
                <w:lang w:val="sr-Latn-ME"/>
              </w:rPr>
              <w:lastRenderedPageBreak/>
              <w:t>dostavljen na razmatranje R</w:t>
            </w:r>
            <w:r w:rsidR="002A7A59" w:rsidRPr="00157C9D">
              <w:rPr>
                <w:rFonts w:ascii="Arial" w:hAnsi="Arial" w:cs="Arial"/>
                <w:color w:val="000000" w:themeColor="text1"/>
                <w:lang w:val="sr-Latn-ME"/>
              </w:rPr>
              <w:t>ad</w:t>
            </w:r>
            <w:r w:rsidRPr="00157C9D">
              <w:rPr>
                <w:rFonts w:ascii="Arial" w:hAnsi="Arial" w:cs="Arial"/>
                <w:color w:val="000000" w:themeColor="text1"/>
                <w:lang w:val="sr-Latn-ME"/>
              </w:rPr>
              <w:t>noj grupi, prije objavljivanja javne rasprave. N</w:t>
            </w:r>
            <w:r w:rsidR="002A7A59" w:rsidRPr="00157C9D">
              <w:rPr>
                <w:rFonts w:ascii="Arial" w:hAnsi="Arial" w:cs="Arial"/>
                <w:color w:val="000000" w:themeColor="text1"/>
                <w:lang w:val="sr-Latn-ME"/>
              </w:rPr>
              <w:t>a</w:t>
            </w:r>
            <w:r w:rsidRPr="00157C9D">
              <w:rPr>
                <w:rFonts w:ascii="Arial" w:hAnsi="Arial" w:cs="Arial"/>
                <w:color w:val="000000" w:themeColor="text1"/>
                <w:lang w:val="sr-Latn-ME"/>
              </w:rPr>
              <w:t xml:space="preserve">kon konsultacija sa predstavnicima MEPPU, predloženi operativni ciljevi </w:t>
            </w:r>
            <w:r w:rsidR="002A7A59" w:rsidRPr="00157C9D">
              <w:rPr>
                <w:rFonts w:ascii="Arial" w:hAnsi="Arial" w:cs="Arial"/>
                <w:color w:val="000000" w:themeColor="text1"/>
                <w:lang w:val="sr-Latn-ME"/>
              </w:rPr>
              <w:t>i</w:t>
            </w:r>
            <w:r w:rsidRPr="00157C9D">
              <w:rPr>
                <w:rFonts w:ascii="Arial" w:hAnsi="Arial" w:cs="Arial"/>
                <w:color w:val="000000" w:themeColor="text1"/>
                <w:lang w:val="sr-Latn-ME"/>
              </w:rPr>
              <w:t xml:space="preserve"> aktivnosti su ocijenjeni kao nerealni</w:t>
            </w:r>
            <w:r w:rsidR="009530DF" w:rsidRPr="00157C9D">
              <w:rPr>
                <w:rFonts w:ascii="Arial" w:hAnsi="Arial" w:cs="Arial"/>
                <w:color w:val="000000" w:themeColor="text1"/>
                <w:lang w:val="sr-Latn-ME"/>
              </w:rPr>
              <w:t xml:space="preserve">, posebno imajući u vidu dvogodišnji okvir, </w:t>
            </w:r>
            <w:r w:rsidRPr="00157C9D">
              <w:rPr>
                <w:rFonts w:ascii="Arial" w:hAnsi="Arial" w:cs="Arial"/>
                <w:color w:val="000000" w:themeColor="text1"/>
                <w:lang w:val="sr-Latn-ME"/>
              </w:rPr>
              <w:t xml:space="preserve">izmijenjeni </w:t>
            </w:r>
            <w:r w:rsidR="009530DF" w:rsidRPr="00157C9D">
              <w:rPr>
                <w:rFonts w:ascii="Arial" w:hAnsi="Arial" w:cs="Arial"/>
                <w:color w:val="000000" w:themeColor="text1"/>
                <w:lang w:val="sr-Latn-ME"/>
              </w:rPr>
              <w:t xml:space="preserve">su i </w:t>
            </w:r>
            <w:r w:rsidRPr="00157C9D">
              <w:rPr>
                <w:rFonts w:ascii="Arial" w:hAnsi="Arial" w:cs="Arial"/>
                <w:color w:val="000000" w:themeColor="text1"/>
                <w:lang w:val="sr-Latn-ME"/>
              </w:rPr>
              <w:t xml:space="preserve">prilagođeni planiranim aktivnostima MEPPU u ovoj oblasti. </w:t>
            </w:r>
            <w:r w:rsidR="009530DF" w:rsidRPr="00157C9D">
              <w:rPr>
                <w:rFonts w:ascii="Arial" w:hAnsi="Arial" w:cs="Arial"/>
                <w:color w:val="000000" w:themeColor="text1"/>
                <w:lang w:val="sr-Latn-ME"/>
              </w:rPr>
              <w:t>Predložene aktivnosti su zatim zadržane u okviru Aneksa dokumenta (i tokom javne rasprave i u finalnoj verziji) kako bi predstavljale svojevrsan podsjetnik i kako bi bile dodatno razmotrene tokom revizije Akcionog plana koja je planirana već za narednu godinu.</w:t>
            </w:r>
          </w:p>
          <w:p w14:paraId="4AB62FF1" w14:textId="77777777" w:rsidR="00A16D49" w:rsidRPr="00157C9D" w:rsidRDefault="00A16D49" w:rsidP="00253644">
            <w:pPr>
              <w:jc w:val="both"/>
              <w:rPr>
                <w:rFonts w:ascii="Arial" w:hAnsi="Arial" w:cs="Arial"/>
                <w:color w:val="000000" w:themeColor="text1"/>
                <w:highlight w:val="red"/>
                <w:lang w:val="sr-Latn-ME"/>
              </w:rPr>
            </w:pPr>
          </w:p>
          <w:p w14:paraId="5BCEBD93" w14:textId="0E5A7179" w:rsidR="00A16D49" w:rsidRPr="00157C9D" w:rsidRDefault="009530DF" w:rsidP="009530DF">
            <w:pPr>
              <w:jc w:val="both"/>
              <w:rPr>
                <w:rFonts w:ascii="Arial" w:hAnsi="Arial" w:cs="Arial"/>
                <w:color w:val="000000" w:themeColor="text1"/>
                <w:lang w:val="sr-Latn-ME"/>
              </w:rPr>
            </w:pPr>
            <w:r w:rsidRPr="00157C9D">
              <w:rPr>
                <w:rFonts w:ascii="Arial" w:hAnsi="Arial" w:cs="Arial"/>
                <w:color w:val="000000" w:themeColor="text1"/>
                <w:lang w:val="sr-Latn-ME"/>
              </w:rPr>
              <w:t>Sugestija u dijelu potrebe za dodatnim pojašnjenjem predloženih indikatora je uvažena i pojašnjenje je uključeno u finalnoj verziji Akcionog plana.</w:t>
            </w:r>
          </w:p>
          <w:p w14:paraId="5ABD47B6" w14:textId="77777777" w:rsidR="009530DF" w:rsidRPr="00157C9D" w:rsidRDefault="009530DF" w:rsidP="009530DF">
            <w:pPr>
              <w:jc w:val="both"/>
              <w:rPr>
                <w:rFonts w:ascii="Arial" w:hAnsi="Arial" w:cs="Arial"/>
                <w:color w:val="000000" w:themeColor="text1"/>
                <w:lang w:val="sr-Latn-ME"/>
              </w:rPr>
            </w:pPr>
          </w:p>
          <w:p w14:paraId="58DCE487" w14:textId="2A7502C9" w:rsidR="00A16D49" w:rsidRPr="00157C9D" w:rsidRDefault="00A16D49" w:rsidP="009530DF">
            <w:pPr>
              <w:jc w:val="both"/>
              <w:rPr>
                <w:rFonts w:ascii="Arial" w:hAnsi="Arial" w:cs="Arial"/>
                <w:color w:val="000000" w:themeColor="text1"/>
                <w:lang w:val="sr-Latn-ME"/>
              </w:rPr>
            </w:pPr>
            <w:r w:rsidRPr="00157C9D">
              <w:rPr>
                <w:rFonts w:ascii="Arial" w:hAnsi="Arial" w:cs="Arial"/>
                <w:color w:val="000000" w:themeColor="text1"/>
                <w:lang w:val="sr-Latn-ME"/>
              </w:rPr>
              <w:t>Imajući u vidu da je jedan od uzroka nelegalne gradnje nedostatak kapaciteta nadležnih institucija, posebno inspekcije, kolege iz MEPPU su predložile uvođenje dodatnog kontrolnog mehanizma koji bi bio odgovoran za rješavanje problema nelegalne gradnje. S obzirom na to da je Prostorni plan u procesu izrade, sami model nije još uvijek razrađen.</w:t>
            </w:r>
          </w:p>
        </w:tc>
      </w:tr>
      <w:bookmarkEnd w:id="0"/>
    </w:tbl>
    <w:p w14:paraId="67604B1B" w14:textId="77777777" w:rsidR="008965B6" w:rsidRPr="00157C9D" w:rsidRDefault="008965B6" w:rsidP="00745F57">
      <w:pPr>
        <w:spacing w:after="0"/>
        <w:jc w:val="both"/>
        <w:rPr>
          <w:rFonts w:ascii="Arial" w:hAnsi="Arial" w:cs="Arial"/>
          <w:lang w:val="sr-Latn-ME"/>
        </w:rPr>
      </w:pPr>
    </w:p>
    <w:sectPr w:rsidR="008965B6" w:rsidRPr="00157C9D" w:rsidSect="001A684B">
      <w:pgSz w:w="16840" w:h="11907" w:orient="landscape" w:code="9"/>
      <w:pgMar w:top="1412" w:right="1412" w:bottom="1412" w:left="1412" w:header="67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E0DD" w14:textId="77777777" w:rsidR="00BF1109" w:rsidRDefault="00BF1109" w:rsidP="009A7DE3">
      <w:pPr>
        <w:spacing w:after="0" w:line="240" w:lineRule="auto"/>
      </w:pPr>
      <w:r>
        <w:separator/>
      </w:r>
    </w:p>
  </w:endnote>
  <w:endnote w:type="continuationSeparator" w:id="0">
    <w:p w14:paraId="44EBA3C8" w14:textId="77777777" w:rsidR="00BF1109" w:rsidRDefault="00BF1109" w:rsidP="009A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4833" w14:textId="77777777" w:rsidR="00417021" w:rsidRDefault="00417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118794"/>
      <w:docPartObj>
        <w:docPartGallery w:val="Page Numbers (Bottom of Page)"/>
        <w:docPartUnique/>
      </w:docPartObj>
    </w:sdtPr>
    <w:sdtEndPr>
      <w:rPr>
        <w:noProof/>
      </w:rPr>
    </w:sdtEndPr>
    <w:sdtContent>
      <w:p w14:paraId="44A119F5" w14:textId="0F7F3AD8" w:rsidR="006C12D7" w:rsidRDefault="00E77F74">
        <w:pPr>
          <w:pStyle w:val="Footer"/>
          <w:jc w:val="right"/>
        </w:pPr>
        <w:r>
          <w:fldChar w:fldCharType="begin"/>
        </w:r>
        <w:r w:rsidR="00941B16">
          <w:instrText xml:space="preserve"> PAGE   \* MERGEFORMAT </w:instrText>
        </w:r>
        <w:r>
          <w:fldChar w:fldCharType="separate"/>
        </w:r>
        <w:r w:rsidR="00FF7350">
          <w:rPr>
            <w:noProof/>
          </w:rPr>
          <w:t>9</w:t>
        </w:r>
        <w:r>
          <w:rPr>
            <w:noProof/>
          </w:rPr>
          <w:fldChar w:fldCharType="end"/>
        </w:r>
      </w:p>
    </w:sdtContent>
  </w:sdt>
  <w:p w14:paraId="736DB4FA" w14:textId="77777777" w:rsidR="006C12D7" w:rsidRDefault="006C1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B523" w14:textId="77777777" w:rsidR="00417021" w:rsidRDefault="0041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B3D1D" w14:textId="77777777" w:rsidR="00BF1109" w:rsidRDefault="00BF1109" w:rsidP="009A7DE3">
      <w:pPr>
        <w:spacing w:after="0" w:line="240" w:lineRule="auto"/>
      </w:pPr>
      <w:r>
        <w:separator/>
      </w:r>
    </w:p>
  </w:footnote>
  <w:footnote w:type="continuationSeparator" w:id="0">
    <w:p w14:paraId="1D04B172" w14:textId="77777777" w:rsidR="00BF1109" w:rsidRDefault="00BF1109" w:rsidP="009A7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736D" w14:textId="77777777" w:rsidR="00417021" w:rsidRDefault="00417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CB80" w14:textId="77777777" w:rsidR="006C12D7" w:rsidRDefault="006C12D7" w:rsidP="009A7DE3">
    <w:pPr>
      <w:pStyle w:val="Header"/>
      <w:jc w:val="center"/>
      <w:rPr>
        <w:lang w:val="en-US"/>
      </w:rPr>
    </w:pPr>
  </w:p>
  <w:p w14:paraId="2AE7D3C7" w14:textId="77777777" w:rsidR="006C12D7" w:rsidRPr="009A7DE3" w:rsidRDefault="006C12D7" w:rsidP="009A7DE3">
    <w:pPr>
      <w:pStyle w:val="Header"/>
      <w:rPr>
        <w:lang w:val="en-US"/>
      </w:rPr>
    </w:pPr>
  </w:p>
  <w:p w14:paraId="1AB450D0" w14:textId="77777777" w:rsidR="006C12D7" w:rsidRPr="009A7DE3" w:rsidRDefault="006C12D7" w:rsidP="009A7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C961" w14:textId="046D1DB3" w:rsidR="006C12D7" w:rsidRDefault="006C12D7" w:rsidP="001F389C">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8FF"/>
    <w:multiLevelType w:val="hybridMultilevel"/>
    <w:tmpl w:val="5CCEA5AA"/>
    <w:lvl w:ilvl="0" w:tplc="3F503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9F8"/>
    <w:multiLevelType w:val="hybridMultilevel"/>
    <w:tmpl w:val="EE42E9B0"/>
    <w:lvl w:ilvl="0" w:tplc="5F14EE5C">
      <w:numFmt w:val="bullet"/>
      <w:lvlText w:val="-"/>
      <w:lvlJc w:val="left"/>
      <w:pPr>
        <w:ind w:left="405" w:hanging="360"/>
      </w:pPr>
      <w:rPr>
        <w:rFonts w:ascii="Calibri" w:eastAsia="Calibri" w:hAnsi="Calibri" w:cs="Times New Roman" w:hint="default"/>
      </w:rPr>
    </w:lvl>
    <w:lvl w:ilvl="1" w:tplc="2C1A0003">
      <w:start w:val="1"/>
      <w:numFmt w:val="bullet"/>
      <w:lvlText w:val="o"/>
      <w:lvlJc w:val="left"/>
      <w:pPr>
        <w:ind w:left="1125" w:hanging="360"/>
      </w:pPr>
      <w:rPr>
        <w:rFonts w:ascii="Courier New" w:hAnsi="Courier New" w:cs="Courier New" w:hint="default"/>
      </w:rPr>
    </w:lvl>
    <w:lvl w:ilvl="2" w:tplc="2C1A0005">
      <w:start w:val="1"/>
      <w:numFmt w:val="bullet"/>
      <w:lvlText w:val=""/>
      <w:lvlJc w:val="left"/>
      <w:pPr>
        <w:ind w:left="1845" w:hanging="360"/>
      </w:pPr>
      <w:rPr>
        <w:rFonts w:ascii="Wingdings" w:hAnsi="Wingdings" w:hint="default"/>
      </w:rPr>
    </w:lvl>
    <w:lvl w:ilvl="3" w:tplc="2C1A0001">
      <w:start w:val="1"/>
      <w:numFmt w:val="bullet"/>
      <w:lvlText w:val=""/>
      <w:lvlJc w:val="left"/>
      <w:pPr>
        <w:ind w:left="2565" w:hanging="360"/>
      </w:pPr>
      <w:rPr>
        <w:rFonts w:ascii="Symbol" w:hAnsi="Symbol" w:hint="default"/>
      </w:rPr>
    </w:lvl>
    <w:lvl w:ilvl="4" w:tplc="2C1A0003">
      <w:start w:val="1"/>
      <w:numFmt w:val="bullet"/>
      <w:lvlText w:val="o"/>
      <w:lvlJc w:val="left"/>
      <w:pPr>
        <w:ind w:left="3285" w:hanging="360"/>
      </w:pPr>
      <w:rPr>
        <w:rFonts w:ascii="Courier New" w:hAnsi="Courier New" w:cs="Courier New" w:hint="default"/>
      </w:rPr>
    </w:lvl>
    <w:lvl w:ilvl="5" w:tplc="2C1A0005">
      <w:start w:val="1"/>
      <w:numFmt w:val="bullet"/>
      <w:lvlText w:val=""/>
      <w:lvlJc w:val="left"/>
      <w:pPr>
        <w:ind w:left="4005" w:hanging="360"/>
      </w:pPr>
      <w:rPr>
        <w:rFonts w:ascii="Wingdings" w:hAnsi="Wingdings" w:hint="default"/>
      </w:rPr>
    </w:lvl>
    <w:lvl w:ilvl="6" w:tplc="2C1A0001">
      <w:start w:val="1"/>
      <w:numFmt w:val="bullet"/>
      <w:lvlText w:val=""/>
      <w:lvlJc w:val="left"/>
      <w:pPr>
        <w:ind w:left="4725" w:hanging="360"/>
      </w:pPr>
      <w:rPr>
        <w:rFonts w:ascii="Symbol" w:hAnsi="Symbol" w:hint="default"/>
      </w:rPr>
    </w:lvl>
    <w:lvl w:ilvl="7" w:tplc="2C1A0003">
      <w:start w:val="1"/>
      <w:numFmt w:val="bullet"/>
      <w:lvlText w:val="o"/>
      <w:lvlJc w:val="left"/>
      <w:pPr>
        <w:ind w:left="5445" w:hanging="360"/>
      </w:pPr>
      <w:rPr>
        <w:rFonts w:ascii="Courier New" w:hAnsi="Courier New" w:cs="Courier New" w:hint="default"/>
      </w:rPr>
    </w:lvl>
    <w:lvl w:ilvl="8" w:tplc="2C1A0005">
      <w:start w:val="1"/>
      <w:numFmt w:val="bullet"/>
      <w:lvlText w:val=""/>
      <w:lvlJc w:val="left"/>
      <w:pPr>
        <w:ind w:left="6165" w:hanging="360"/>
      </w:pPr>
      <w:rPr>
        <w:rFonts w:ascii="Wingdings" w:hAnsi="Wingdings" w:hint="default"/>
      </w:rPr>
    </w:lvl>
  </w:abstractNum>
  <w:abstractNum w:abstractNumId="2" w15:restartNumberingAfterBreak="0">
    <w:nsid w:val="09E54FBF"/>
    <w:multiLevelType w:val="hybridMultilevel"/>
    <w:tmpl w:val="A6BAB72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A6741D8"/>
    <w:multiLevelType w:val="hybridMultilevel"/>
    <w:tmpl w:val="7D5A5800"/>
    <w:lvl w:ilvl="0" w:tplc="F34A0E5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9284E9C"/>
    <w:multiLevelType w:val="hybridMultilevel"/>
    <w:tmpl w:val="07CA26B4"/>
    <w:lvl w:ilvl="0" w:tplc="3F503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7EDA"/>
    <w:multiLevelType w:val="hybridMultilevel"/>
    <w:tmpl w:val="0570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A70FED"/>
    <w:multiLevelType w:val="hybridMultilevel"/>
    <w:tmpl w:val="390CEA3A"/>
    <w:lvl w:ilvl="0" w:tplc="1248A11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A12B8"/>
    <w:multiLevelType w:val="hybridMultilevel"/>
    <w:tmpl w:val="A548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B1E47"/>
    <w:multiLevelType w:val="hybridMultilevel"/>
    <w:tmpl w:val="5F22EEBE"/>
    <w:lvl w:ilvl="0" w:tplc="2E002DC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5465EF"/>
    <w:multiLevelType w:val="hybridMultilevel"/>
    <w:tmpl w:val="AD0A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47913"/>
    <w:multiLevelType w:val="hybridMultilevel"/>
    <w:tmpl w:val="F236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E7938"/>
    <w:multiLevelType w:val="hybridMultilevel"/>
    <w:tmpl w:val="56C8C1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51B66E96"/>
    <w:multiLevelType w:val="hybridMultilevel"/>
    <w:tmpl w:val="47E6D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61F52"/>
    <w:multiLevelType w:val="hybridMultilevel"/>
    <w:tmpl w:val="D0E8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905A4"/>
    <w:multiLevelType w:val="hybridMultilevel"/>
    <w:tmpl w:val="1A60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F3809"/>
    <w:multiLevelType w:val="hybridMultilevel"/>
    <w:tmpl w:val="7A2A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9003E"/>
    <w:multiLevelType w:val="hybridMultilevel"/>
    <w:tmpl w:val="159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806EF"/>
    <w:multiLevelType w:val="hybridMultilevel"/>
    <w:tmpl w:val="28BE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6"/>
  </w:num>
  <w:num w:numId="4">
    <w:abstractNumId w:val="9"/>
  </w:num>
  <w:num w:numId="5">
    <w:abstractNumId w:val="14"/>
  </w:num>
  <w:num w:numId="6">
    <w:abstractNumId w:val="3"/>
  </w:num>
  <w:num w:numId="7">
    <w:abstractNumId w:val="11"/>
  </w:num>
  <w:num w:numId="8">
    <w:abstractNumId w:val="2"/>
  </w:num>
  <w:num w:numId="9">
    <w:abstractNumId w:val="1"/>
  </w:num>
  <w:num w:numId="10">
    <w:abstractNumId w:val="5"/>
  </w:num>
  <w:num w:numId="11">
    <w:abstractNumId w:val="8"/>
  </w:num>
  <w:num w:numId="12">
    <w:abstractNumId w:val="6"/>
  </w:num>
  <w:num w:numId="13">
    <w:abstractNumId w:val="15"/>
  </w:num>
  <w:num w:numId="14">
    <w:abstractNumId w:val="12"/>
  </w:num>
  <w:num w:numId="15">
    <w:abstractNumId w:val="7"/>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F0"/>
    <w:rsid w:val="000071F1"/>
    <w:rsid w:val="00014DBA"/>
    <w:rsid w:val="00016ACE"/>
    <w:rsid w:val="00042AD3"/>
    <w:rsid w:val="00042E94"/>
    <w:rsid w:val="000520F7"/>
    <w:rsid w:val="0005730A"/>
    <w:rsid w:val="000A4020"/>
    <w:rsid w:val="000A4505"/>
    <w:rsid w:val="000B36B5"/>
    <w:rsid w:val="000B4DA8"/>
    <w:rsid w:val="000D7AB1"/>
    <w:rsid w:val="000E3FC2"/>
    <w:rsid w:val="000E44F4"/>
    <w:rsid w:val="00103097"/>
    <w:rsid w:val="00105612"/>
    <w:rsid w:val="00107314"/>
    <w:rsid w:val="001111B2"/>
    <w:rsid w:val="001163EE"/>
    <w:rsid w:val="0012356D"/>
    <w:rsid w:val="001548E3"/>
    <w:rsid w:val="001573F4"/>
    <w:rsid w:val="00157C9D"/>
    <w:rsid w:val="00167FEC"/>
    <w:rsid w:val="001760C1"/>
    <w:rsid w:val="0019397B"/>
    <w:rsid w:val="001A684B"/>
    <w:rsid w:val="001B182E"/>
    <w:rsid w:val="001B26BB"/>
    <w:rsid w:val="001B5C74"/>
    <w:rsid w:val="001D2FA2"/>
    <w:rsid w:val="001F389C"/>
    <w:rsid w:val="00201BD8"/>
    <w:rsid w:val="002242C8"/>
    <w:rsid w:val="00227581"/>
    <w:rsid w:val="00247C9D"/>
    <w:rsid w:val="00253644"/>
    <w:rsid w:val="00275A48"/>
    <w:rsid w:val="002854D3"/>
    <w:rsid w:val="002A7A59"/>
    <w:rsid w:val="002B0765"/>
    <w:rsid w:val="002B13E0"/>
    <w:rsid w:val="002B1DED"/>
    <w:rsid w:val="002C16E9"/>
    <w:rsid w:val="002C6296"/>
    <w:rsid w:val="002D3F38"/>
    <w:rsid w:val="002E027D"/>
    <w:rsid w:val="002F4835"/>
    <w:rsid w:val="0031515C"/>
    <w:rsid w:val="0032765E"/>
    <w:rsid w:val="003443D4"/>
    <w:rsid w:val="0036785C"/>
    <w:rsid w:val="00385B1C"/>
    <w:rsid w:val="00385F08"/>
    <w:rsid w:val="003A06C6"/>
    <w:rsid w:val="003A57BC"/>
    <w:rsid w:val="003B48F7"/>
    <w:rsid w:val="003E2484"/>
    <w:rsid w:val="003F0E03"/>
    <w:rsid w:val="003F5513"/>
    <w:rsid w:val="004047CE"/>
    <w:rsid w:val="004106B4"/>
    <w:rsid w:val="00411293"/>
    <w:rsid w:val="00412E65"/>
    <w:rsid w:val="00417021"/>
    <w:rsid w:val="00421A3E"/>
    <w:rsid w:val="0042639D"/>
    <w:rsid w:val="00430104"/>
    <w:rsid w:val="00431DB5"/>
    <w:rsid w:val="0043267F"/>
    <w:rsid w:val="00446651"/>
    <w:rsid w:val="00463FE8"/>
    <w:rsid w:val="004735BD"/>
    <w:rsid w:val="00483C04"/>
    <w:rsid w:val="00484CAE"/>
    <w:rsid w:val="0048617C"/>
    <w:rsid w:val="0049686E"/>
    <w:rsid w:val="004A59F8"/>
    <w:rsid w:val="004A7BB3"/>
    <w:rsid w:val="004A7DAF"/>
    <w:rsid w:val="004B2BB8"/>
    <w:rsid w:val="004B3756"/>
    <w:rsid w:val="004D7E0E"/>
    <w:rsid w:val="004F4E1D"/>
    <w:rsid w:val="004F58C8"/>
    <w:rsid w:val="004F6648"/>
    <w:rsid w:val="004F75FA"/>
    <w:rsid w:val="00510CB0"/>
    <w:rsid w:val="00523ECF"/>
    <w:rsid w:val="00524456"/>
    <w:rsid w:val="00526B2B"/>
    <w:rsid w:val="005273BB"/>
    <w:rsid w:val="0053466E"/>
    <w:rsid w:val="00535334"/>
    <w:rsid w:val="0054683C"/>
    <w:rsid w:val="00550DC1"/>
    <w:rsid w:val="0057415F"/>
    <w:rsid w:val="00581A3D"/>
    <w:rsid w:val="005826A0"/>
    <w:rsid w:val="00586C56"/>
    <w:rsid w:val="005B2682"/>
    <w:rsid w:val="005B3629"/>
    <w:rsid w:val="005B62FB"/>
    <w:rsid w:val="005B66C8"/>
    <w:rsid w:val="005C0ED6"/>
    <w:rsid w:val="005D4DAE"/>
    <w:rsid w:val="005E0552"/>
    <w:rsid w:val="005E0FA5"/>
    <w:rsid w:val="005E16D4"/>
    <w:rsid w:val="006004F0"/>
    <w:rsid w:val="006140E7"/>
    <w:rsid w:val="00626D1C"/>
    <w:rsid w:val="00627F70"/>
    <w:rsid w:val="00660CBE"/>
    <w:rsid w:val="00675FCB"/>
    <w:rsid w:val="006771A3"/>
    <w:rsid w:val="00677F5A"/>
    <w:rsid w:val="00684029"/>
    <w:rsid w:val="00684780"/>
    <w:rsid w:val="00684C3C"/>
    <w:rsid w:val="00686F26"/>
    <w:rsid w:val="00690275"/>
    <w:rsid w:val="00690366"/>
    <w:rsid w:val="006943E2"/>
    <w:rsid w:val="006A03CE"/>
    <w:rsid w:val="006A4343"/>
    <w:rsid w:val="006C12D7"/>
    <w:rsid w:val="006C7E7D"/>
    <w:rsid w:val="006D18EA"/>
    <w:rsid w:val="006E3092"/>
    <w:rsid w:val="006F24F1"/>
    <w:rsid w:val="007039F8"/>
    <w:rsid w:val="00706104"/>
    <w:rsid w:val="00724632"/>
    <w:rsid w:val="00726D0F"/>
    <w:rsid w:val="007362F7"/>
    <w:rsid w:val="00745045"/>
    <w:rsid w:val="00745F57"/>
    <w:rsid w:val="007577B5"/>
    <w:rsid w:val="00764AE2"/>
    <w:rsid w:val="0078153A"/>
    <w:rsid w:val="00781CAC"/>
    <w:rsid w:val="007913AB"/>
    <w:rsid w:val="007A5748"/>
    <w:rsid w:val="007C64EC"/>
    <w:rsid w:val="007D3DCB"/>
    <w:rsid w:val="00803025"/>
    <w:rsid w:val="00804BAD"/>
    <w:rsid w:val="00812A62"/>
    <w:rsid w:val="008148B5"/>
    <w:rsid w:val="00817242"/>
    <w:rsid w:val="00821646"/>
    <w:rsid w:val="008260E4"/>
    <w:rsid w:val="00830ED6"/>
    <w:rsid w:val="008405AD"/>
    <w:rsid w:val="00876DD1"/>
    <w:rsid w:val="0089389C"/>
    <w:rsid w:val="008965B6"/>
    <w:rsid w:val="008B22FF"/>
    <w:rsid w:val="008B57EB"/>
    <w:rsid w:val="008C5033"/>
    <w:rsid w:val="008E5EED"/>
    <w:rsid w:val="00901A58"/>
    <w:rsid w:val="00902150"/>
    <w:rsid w:val="00904269"/>
    <w:rsid w:val="00907419"/>
    <w:rsid w:val="00927F01"/>
    <w:rsid w:val="00933671"/>
    <w:rsid w:val="0093578E"/>
    <w:rsid w:val="00937714"/>
    <w:rsid w:val="00941B16"/>
    <w:rsid w:val="0095242B"/>
    <w:rsid w:val="009530DF"/>
    <w:rsid w:val="00955BAD"/>
    <w:rsid w:val="00961F5F"/>
    <w:rsid w:val="00965D00"/>
    <w:rsid w:val="00967093"/>
    <w:rsid w:val="00984C51"/>
    <w:rsid w:val="00985762"/>
    <w:rsid w:val="009A457A"/>
    <w:rsid w:val="009A7DE3"/>
    <w:rsid w:val="009C7410"/>
    <w:rsid w:val="009D6443"/>
    <w:rsid w:val="009E4AB4"/>
    <w:rsid w:val="009F6ACB"/>
    <w:rsid w:val="00A05FD2"/>
    <w:rsid w:val="00A11692"/>
    <w:rsid w:val="00A16D49"/>
    <w:rsid w:val="00A219F1"/>
    <w:rsid w:val="00A408B5"/>
    <w:rsid w:val="00A444C3"/>
    <w:rsid w:val="00A44A56"/>
    <w:rsid w:val="00A46E63"/>
    <w:rsid w:val="00A801BB"/>
    <w:rsid w:val="00A814B8"/>
    <w:rsid w:val="00A876E7"/>
    <w:rsid w:val="00A9470F"/>
    <w:rsid w:val="00AA1E6E"/>
    <w:rsid w:val="00AB3B5B"/>
    <w:rsid w:val="00AB601B"/>
    <w:rsid w:val="00AB79FE"/>
    <w:rsid w:val="00AC2FC7"/>
    <w:rsid w:val="00AC3DE3"/>
    <w:rsid w:val="00AC3E47"/>
    <w:rsid w:val="00AD0B38"/>
    <w:rsid w:val="00AD42D1"/>
    <w:rsid w:val="00AE2E23"/>
    <w:rsid w:val="00AE50EF"/>
    <w:rsid w:val="00AE617C"/>
    <w:rsid w:val="00AE676A"/>
    <w:rsid w:val="00B10375"/>
    <w:rsid w:val="00B13E32"/>
    <w:rsid w:val="00B162B2"/>
    <w:rsid w:val="00B224BE"/>
    <w:rsid w:val="00B2301A"/>
    <w:rsid w:val="00B23302"/>
    <w:rsid w:val="00B35B2C"/>
    <w:rsid w:val="00B36535"/>
    <w:rsid w:val="00B478A4"/>
    <w:rsid w:val="00B54FFA"/>
    <w:rsid w:val="00B5662A"/>
    <w:rsid w:val="00B6328D"/>
    <w:rsid w:val="00B677A3"/>
    <w:rsid w:val="00B70203"/>
    <w:rsid w:val="00B724B1"/>
    <w:rsid w:val="00B900D4"/>
    <w:rsid w:val="00B90A8C"/>
    <w:rsid w:val="00BB4AA6"/>
    <w:rsid w:val="00BB72E3"/>
    <w:rsid w:val="00BC77DD"/>
    <w:rsid w:val="00BD2486"/>
    <w:rsid w:val="00BD38CD"/>
    <w:rsid w:val="00BD4814"/>
    <w:rsid w:val="00BD4A7A"/>
    <w:rsid w:val="00BE2D20"/>
    <w:rsid w:val="00BE324A"/>
    <w:rsid w:val="00BE3F81"/>
    <w:rsid w:val="00BF1109"/>
    <w:rsid w:val="00C039D4"/>
    <w:rsid w:val="00C136A2"/>
    <w:rsid w:val="00C26259"/>
    <w:rsid w:val="00C30E6F"/>
    <w:rsid w:val="00C3205C"/>
    <w:rsid w:val="00C3406B"/>
    <w:rsid w:val="00C461DA"/>
    <w:rsid w:val="00C77701"/>
    <w:rsid w:val="00C815A8"/>
    <w:rsid w:val="00C8698A"/>
    <w:rsid w:val="00CB0AAF"/>
    <w:rsid w:val="00CD31D1"/>
    <w:rsid w:val="00CD64B5"/>
    <w:rsid w:val="00CE3639"/>
    <w:rsid w:val="00CE5B3B"/>
    <w:rsid w:val="00CE68F0"/>
    <w:rsid w:val="00D26626"/>
    <w:rsid w:val="00D30F51"/>
    <w:rsid w:val="00D40359"/>
    <w:rsid w:val="00D60AB3"/>
    <w:rsid w:val="00D67319"/>
    <w:rsid w:val="00DA1673"/>
    <w:rsid w:val="00DA32B9"/>
    <w:rsid w:val="00DA4079"/>
    <w:rsid w:val="00DA64BF"/>
    <w:rsid w:val="00DD2046"/>
    <w:rsid w:val="00DD5290"/>
    <w:rsid w:val="00DD5DCB"/>
    <w:rsid w:val="00DE41F3"/>
    <w:rsid w:val="00DF5F12"/>
    <w:rsid w:val="00E10EEA"/>
    <w:rsid w:val="00E15FF2"/>
    <w:rsid w:val="00E168DD"/>
    <w:rsid w:val="00E251D3"/>
    <w:rsid w:val="00E27255"/>
    <w:rsid w:val="00E30B59"/>
    <w:rsid w:val="00E3161A"/>
    <w:rsid w:val="00E36C36"/>
    <w:rsid w:val="00E60AC0"/>
    <w:rsid w:val="00E62256"/>
    <w:rsid w:val="00E7102A"/>
    <w:rsid w:val="00E7157F"/>
    <w:rsid w:val="00E77F74"/>
    <w:rsid w:val="00E97D7F"/>
    <w:rsid w:val="00EA482D"/>
    <w:rsid w:val="00EC7586"/>
    <w:rsid w:val="00ED4B42"/>
    <w:rsid w:val="00EE15BF"/>
    <w:rsid w:val="00EF118A"/>
    <w:rsid w:val="00EF36A1"/>
    <w:rsid w:val="00EF6624"/>
    <w:rsid w:val="00F01E7C"/>
    <w:rsid w:val="00F11286"/>
    <w:rsid w:val="00F12546"/>
    <w:rsid w:val="00F22630"/>
    <w:rsid w:val="00F26F6D"/>
    <w:rsid w:val="00F32F05"/>
    <w:rsid w:val="00F46C2B"/>
    <w:rsid w:val="00F4797F"/>
    <w:rsid w:val="00F5626A"/>
    <w:rsid w:val="00F63C99"/>
    <w:rsid w:val="00F64DA6"/>
    <w:rsid w:val="00F70DDA"/>
    <w:rsid w:val="00F7736C"/>
    <w:rsid w:val="00F807C0"/>
    <w:rsid w:val="00F830D5"/>
    <w:rsid w:val="00F84A81"/>
    <w:rsid w:val="00F87899"/>
    <w:rsid w:val="00FB5348"/>
    <w:rsid w:val="00FD736A"/>
    <w:rsid w:val="00FF4253"/>
    <w:rsid w:val="00FF5736"/>
    <w:rsid w:val="00F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A518"/>
  <w15:docId w15:val="{44E3C456-B904-4065-8C6B-4F1D0D1E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DE3"/>
    <w:rPr>
      <w:rFonts w:ascii="Tahoma" w:hAnsi="Tahoma" w:cs="Tahoma"/>
      <w:sz w:val="16"/>
      <w:szCs w:val="16"/>
    </w:rPr>
  </w:style>
  <w:style w:type="paragraph" w:styleId="Header">
    <w:name w:val="header"/>
    <w:basedOn w:val="Normal"/>
    <w:link w:val="HeaderChar"/>
    <w:uiPriority w:val="99"/>
    <w:rsid w:val="009A7DE3"/>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val="sr-Cyrl-CS" w:eastAsia="sr-Cyrl-CS"/>
    </w:rPr>
  </w:style>
  <w:style w:type="character" w:customStyle="1" w:styleId="HeaderChar">
    <w:name w:val="Header Char"/>
    <w:basedOn w:val="DefaultParagraphFont"/>
    <w:link w:val="Header"/>
    <w:uiPriority w:val="99"/>
    <w:rsid w:val="009A7DE3"/>
    <w:rPr>
      <w:rFonts w:ascii="Times New Roman" w:eastAsia="Times New Roman" w:hAnsi="Times New Roman" w:cs="Times New Roman"/>
      <w:sz w:val="20"/>
      <w:szCs w:val="20"/>
      <w:lang w:val="sr-Cyrl-CS" w:eastAsia="sr-Cyrl-CS"/>
    </w:rPr>
  </w:style>
  <w:style w:type="paragraph" w:styleId="Footer">
    <w:name w:val="footer"/>
    <w:basedOn w:val="Normal"/>
    <w:link w:val="FooterChar"/>
    <w:uiPriority w:val="99"/>
    <w:unhideWhenUsed/>
    <w:rsid w:val="009A7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E3"/>
  </w:style>
  <w:style w:type="paragraph" w:styleId="ListParagraph">
    <w:name w:val="List Paragraph"/>
    <w:aliases w:val="Table of contents numbered,Bullets,List Paragraph (numbered (a)),Akapit z listą BS,WB Para,List Square,Lapis Bulleted List"/>
    <w:basedOn w:val="Normal"/>
    <w:link w:val="ListParagraphChar"/>
    <w:uiPriority w:val="1"/>
    <w:qFormat/>
    <w:rsid w:val="006943E2"/>
    <w:pPr>
      <w:ind w:left="720"/>
      <w:contextualSpacing/>
    </w:pPr>
  </w:style>
  <w:style w:type="character" w:styleId="CommentReference">
    <w:name w:val="annotation reference"/>
    <w:basedOn w:val="DefaultParagraphFont"/>
    <w:uiPriority w:val="99"/>
    <w:semiHidden/>
    <w:unhideWhenUsed/>
    <w:rsid w:val="00AE617C"/>
    <w:rPr>
      <w:sz w:val="16"/>
      <w:szCs w:val="16"/>
    </w:rPr>
  </w:style>
  <w:style w:type="paragraph" w:styleId="CommentText">
    <w:name w:val="annotation text"/>
    <w:basedOn w:val="Normal"/>
    <w:link w:val="CommentTextChar"/>
    <w:uiPriority w:val="99"/>
    <w:semiHidden/>
    <w:unhideWhenUsed/>
    <w:rsid w:val="00AE617C"/>
    <w:pPr>
      <w:spacing w:line="240" w:lineRule="auto"/>
    </w:pPr>
    <w:rPr>
      <w:sz w:val="20"/>
      <w:szCs w:val="20"/>
    </w:rPr>
  </w:style>
  <w:style w:type="character" w:customStyle="1" w:styleId="CommentTextChar">
    <w:name w:val="Comment Text Char"/>
    <w:basedOn w:val="DefaultParagraphFont"/>
    <w:link w:val="CommentText"/>
    <w:uiPriority w:val="99"/>
    <w:semiHidden/>
    <w:rsid w:val="00AE617C"/>
    <w:rPr>
      <w:sz w:val="20"/>
      <w:szCs w:val="20"/>
    </w:rPr>
  </w:style>
  <w:style w:type="paragraph" w:styleId="CommentSubject">
    <w:name w:val="annotation subject"/>
    <w:basedOn w:val="CommentText"/>
    <w:next w:val="CommentText"/>
    <w:link w:val="CommentSubjectChar"/>
    <w:uiPriority w:val="99"/>
    <w:semiHidden/>
    <w:unhideWhenUsed/>
    <w:rsid w:val="00AE617C"/>
    <w:rPr>
      <w:b/>
      <w:bCs/>
    </w:rPr>
  </w:style>
  <w:style w:type="character" w:customStyle="1" w:styleId="CommentSubjectChar">
    <w:name w:val="Comment Subject Char"/>
    <w:basedOn w:val="CommentTextChar"/>
    <w:link w:val="CommentSubject"/>
    <w:uiPriority w:val="99"/>
    <w:semiHidden/>
    <w:rsid w:val="00AE617C"/>
    <w:rPr>
      <w:b/>
      <w:bCs/>
      <w:sz w:val="20"/>
      <w:szCs w:val="20"/>
    </w:rPr>
  </w:style>
  <w:style w:type="character" w:styleId="Hyperlink">
    <w:name w:val="Hyperlink"/>
    <w:basedOn w:val="DefaultParagraphFont"/>
    <w:uiPriority w:val="99"/>
    <w:unhideWhenUsed/>
    <w:rsid w:val="00706104"/>
    <w:rPr>
      <w:color w:val="0000FF" w:themeColor="hyperlink"/>
      <w:u w:val="single"/>
    </w:rPr>
  </w:style>
  <w:style w:type="character" w:styleId="Strong">
    <w:name w:val="Strong"/>
    <w:basedOn w:val="DefaultParagraphFont"/>
    <w:uiPriority w:val="22"/>
    <w:qFormat/>
    <w:rsid w:val="00706104"/>
    <w:rPr>
      <w:b/>
      <w:bCs/>
    </w:rPr>
  </w:style>
  <w:style w:type="paragraph" w:styleId="NoSpacing">
    <w:name w:val="No Spacing"/>
    <w:link w:val="NoSpacingChar"/>
    <w:qFormat/>
    <w:rsid w:val="00C8698A"/>
    <w:pPr>
      <w:spacing w:after="0" w:line="240" w:lineRule="auto"/>
    </w:pPr>
  </w:style>
  <w:style w:type="character" w:customStyle="1" w:styleId="NoSpacingChar">
    <w:name w:val="No Spacing Char"/>
    <w:basedOn w:val="DefaultParagraphFont"/>
    <w:link w:val="NoSpacing"/>
    <w:rsid w:val="00C8698A"/>
  </w:style>
  <w:style w:type="character" w:styleId="FootnoteReference">
    <w:name w:val="footnote reference"/>
    <w:aliases w:val="ftref,BVI fnr,Footnote symbol,16 Point,Superscript 6 Point,nota pié di pagina,Footnote text,Ref. de nota al pie1,Times 10 Point,Exposant 3 Point,Footnote reference number,EN Footnote Reference,note TESI,Footnotes re"/>
    <w:basedOn w:val="DefaultParagraphFont"/>
    <w:link w:val="BVIfnrChar1Char"/>
    <w:uiPriority w:val="99"/>
    <w:unhideWhenUsed/>
    <w:qFormat/>
    <w:rsid w:val="006C12D7"/>
    <w:rPr>
      <w:vertAlign w:val="superscript"/>
    </w:r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rsid w:val="006C12D7"/>
    <w:pPr>
      <w:spacing w:after="160" w:line="240" w:lineRule="exact"/>
    </w:pPr>
    <w:rPr>
      <w:vertAlign w:val="superscript"/>
    </w:rPr>
  </w:style>
  <w:style w:type="paragraph" w:styleId="PlainText">
    <w:name w:val="Plain Text"/>
    <w:basedOn w:val="Normal"/>
    <w:link w:val="PlainTextChar"/>
    <w:uiPriority w:val="99"/>
    <w:unhideWhenUsed/>
    <w:rsid w:val="00CD64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64B5"/>
    <w:rPr>
      <w:rFonts w:ascii="Calibri" w:hAnsi="Calibri"/>
      <w:szCs w:val="21"/>
    </w:rPr>
  </w:style>
  <w:style w:type="table" w:styleId="TableGrid">
    <w:name w:val="Table Grid"/>
    <w:basedOn w:val="TableNormal"/>
    <w:uiPriority w:val="39"/>
    <w:rsid w:val="0020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s Char,List Paragraph (numbered (a)) Char,Akapit z listą BS Char,WB Para Char,List Square Char,Lapis Bulleted List Char"/>
    <w:link w:val="ListParagraph"/>
    <w:uiPriority w:val="34"/>
    <w:locked/>
    <w:rsid w:val="00201BD8"/>
  </w:style>
  <w:style w:type="paragraph" w:customStyle="1" w:styleId="CharCharCharCharCharCharCharCharCharCharCharCharCharCharChar">
    <w:name w:val="Char Char Char Char Char Char Char Char Char Char Char Char Char Char Char"/>
    <w:basedOn w:val="Normal"/>
    <w:rsid w:val="00D40359"/>
    <w:pPr>
      <w:spacing w:after="160" w:line="240" w:lineRule="exact"/>
    </w:pPr>
    <w:rPr>
      <w:rFonts w:ascii="Arial" w:eastAsia="Times New Roman" w:hAnsi="Arial" w:cs="Arial"/>
      <w:sz w:val="20"/>
      <w:szCs w:val="20"/>
    </w:rPr>
  </w:style>
  <w:style w:type="paragraph" w:styleId="FootnoteText">
    <w:name w:val="footnote text"/>
    <w:basedOn w:val="Normal"/>
    <w:link w:val="FootnoteTextChar"/>
    <w:uiPriority w:val="99"/>
    <w:unhideWhenUsed/>
    <w:rsid w:val="00535334"/>
    <w:pPr>
      <w:spacing w:after="0" w:line="240" w:lineRule="auto"/>
    </w:pPr>
    <w:rPr>
      <w:sz w:val="20"/>
      <w:szCs w:val="20"/>
    </w:rPr>
  </w:style>
  <w:style w:type="character" w:customStyle="1" w:styleId="FootnoteTextChar">
    <w:name w:val="Footnote Text Char"/>
    <w:basedOn w:val="DefaultParagraphFont"/>
    <w:link w:val="FootnoteText"/>
    <w:uiPriority w:val="99"/>
    <w:rsid w:val="00535334"/>
    <w:rPr>
      <w:sz w:val="20"/>
      <w:szCs w:val="20"/>
    </w:rPr>
  </w:style>
  <w:style w:type="paragraph" w:styleId="Title">
    <w:name w:val="Title"/>
    <w:basedOn w:val="Normal"/>
    <w:next w:val="Normal"/>
    <w:link w:val="TitleChar"/>
    <w:uiPriority w:val="10"/>
    <w:qFormat/>
    <w:rsid w:val="00417021"/>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17021"/>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743">
      <w:bodyDiv w:val="1"/>
      <w:marLeft w:val="0"/>
      <w:marRight w:val="0"/>
      <w:marTop w:val="0"/>
      <w:marBottom w:val="0"/>
      <w:divBdr>
        <w:top w:val="none" w:sz="0" w:space="0" w:color="auto"/>
        <w:left w:val="none" w:sz="0" w:space="0" w:color="auto"/>
        <w:bottom w:val="none" w:sz="0" w:space="0" w:color="auto"/>
        <w:right w:val="none" w:sz="0" w:space="0" w:color="auto"/>
      </w:divBdr>
    </w:div>
    <w:div w:id="410735095">
      <w:bodyDiv w:val="1"/>
      <w:marLeft w:val="0"/>
      <w:marRight w:val="0"/>
      <w:marTop w:val="0"/>
      <w:marBottom w:val="0"/>
      <w:divBdr>
        <w:top w:val="none" w:sz="0" w:space="0" w:color="auto"/>
        <w:left w:val="none" w:sz="0" w:space="0" w:color="auto"/>
        <w:bottom w:val="none" w:sz="0" w:space="0" w:color="auto"/>
        <w:right w:val="none" w:sz="0" w:space="0" w:color="auto"/>
      </w:divBdr>
    </w:div>
    <w:div w:id="459688830">
      <w:bodyDiv w:val="1"/>
      <w:marLeft w:val="0"/>
      <w:marRight w:val="0"/>
      <w:marTop w:val="0"/>
      <w:marBottom w:val="0"/>
      <w:divBdr>
        <w:top w:val="none" w:sz="0" w:space="0" w:color="auto"/>
        <w:left w:val="none" w:sz="0" w:space="0" w:color="auto"/>
        <w:bottom w:val="none" w:sz="0" w:space="0" w:color="auto"/>
        <w:right w:val="none" w:sz="0" w:space="0" w:color="auto"/>
      </w:divBdr>
    </w:div>
    <w:div w:id="749816711">
      <w:bodyDiv w:val="1"/>
      <w:marLeft w:val="0"/>
      <w:marRight w:val="0"/>
      <w:marTop w:val="0"/>
      <w:marBottom w:val="0"/>
      <w:divBdr>
        <w:top w:val="none" w:sz="0" w:space="0" w:color="auto"/>
        <w:left w:val="none" w:sz="0" w:space="0" w:color="auto"/>
        <w:bottom w:val="none" w:sz="0" w:space="0" w:color="auto"/>
        <w:right w:val="none" w:sz="0" w:space="0" w:color="auto"/>
      </w:divBdr>
    </w:div>
    <w:div w:id="825172472">
      <w:bodyDiv w:val="1"/>
      <w:marLeft w:val="0"/>
      <w:marRight w:val="0"/>
      <w:marTop w:val="0"/>
      <w:marBottom w:val="0"/>
      <w:divBdr>
        <w:top w:val="none" w:sz="0" w:space="0" w:color="auto"/>
        <w:left w:val="none" w:sz="0" w:space="0" w:color="auto"/>
        <w:bottom w:val="none" w:sz="0" w:space="0" w:color="auto"/>
        <w:right w:val="none" w:sz="0" w:space="0" w:color="auto"/>
      </w:divBdr>
    </w:div>
    <w:div w:id="1224368607">
      <w:bodyDiv w:val="1"/>
      <w:marLeft w:val="0"/>
      <w:marRight w:val="0"/>
      <w:marTop w:val="0"/>
      <w:marBottom w:val="0"/>
      <w:divBdr>
        <w:top w:val="none" w:sz="0" w:space="0" w:color="auto"/>
        <w:left w:val="none" w:sz="0" w:space="0" w:color="auto"/>
        <w:bottom w:val="none" w:sz="0" w:space="0" w:color="auto"/>
        <w:right w:val="none" w:sz="0" w:space="0" w:color="auto"/>
      </w:divBdr>
    </w:div>
    <w:div w:id="1588809596">
      <w:bodyDiv w:val="1"/>
      <w:marLeft w:val="0"/>
      <w:marRight w:val="0"/>
      <w:marTop w:val="0"/>
      <w:marBottom w:val="0"/>
      <w:divBdr>
        <w:top w:val="none" w:sz="0" w:space="0" w:color="auto"/>
        <w:left w:val="none" w:sz="0" w:space="0" w:color="auto"/>
        <w:bottom w:val="none" w:sz="0" w:space="0" w:color="auto"/>
        <w:right w:val="none" w:sz="0" w:space="0" w:color="auto"/>
      </w:divBdr>
    </w:div>
    <w:div w:id="21121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A0EA-76AA-44E0-85C1-0918DFCC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renata.milutinovic</dc:creator>
  <cp:lastModifiedBy>Sanja Varajic</cp:lastModifiedBy>
  <cp:revision>50</cp:revision>
  <dcterms:created xsi:type="dcterms:W3CDTF">2022-11-30T23:41:00Z</dcterms:created>
  <dcterms:modified xsi:type="dcterms:W3CDTF">2022-12-08T12:12:00Z</dcterms:modified>
</cp:coreProperties>
</file>