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8B2AB" w14:textId="77777777" w:rsidR="00995366" w:rsidRPr="009D3306" w:rsidRDefault="00995366" w:rsidP="00995366">
      <w:pPr>
        <w:pStyle w:val="Default"/>
        <w:jc w:val="center"/>
        <w:rPr>
          <w:b/>
          <w:color w:val="auto"/>
        </w:rPr>
      </w:pPr>
      <w:bookmarkStart w:id="0" w:name="_GoBack"/>
      <w:bookmarkEnd w:id="0"/>
      <w:r w:rsidRPr="009D3306">
        <w:rPr>
          <w:b/>
          <w:color w:val="auto"/>
        </w:rPr>
        <w:t>Non-paper on the state of play regarding chapters 23 and 24 for Montenegro</w:t>
      </w:r>
    </w:p>
    <w:p w14:paraId="566B424E" w14:textId="77777777" w:rsidR="00995366" w:rsidRPr="009D3306" w:rsidRDefault="00995366" w:rsidP="00995366">
      <w:pPr>
        <w:pStyle w:val="Default"/>
        <w:jc w:val="center"/>
        <w:rPr>
          <w:b/>
          <w:color w:val="auto"/>
        </w:rPr>
      </w:pPr>
    </w:p>
    <w:p w14:paraId="6BDB91A9" w14:textId="77777777" w:rsidR="00995366" w:rsidRPr="009D3306" w:rsidRDefault="00995366" w:rsidP="00995366">
      <w:pPr>
        <w:pStyle w:val="Default"/>
        <w:jc w:val="center"/>
        <w:rPr>
          <w:b/>
          <w:color w:val="auto"/>
        </w:rPr>
      </w:pPr>
      <w:r>
        <w:rPr>
          <w:b/>
          <w:color w:val="auto"/>
        </w:rPr>
        <w:t>June</w:t>
      </w:r>
      <w:r w:rsidRPr="009D3306">
        <w:rPr>
          <w:b/>
          <w:color w:val="auto"/>
        </w:rPr>
        <w:t xml:space="preserve"> 20</w:t>
      </w:r>
      <w:r>
        <w:rPr>
          <w:b/>
          <w:color w:val="auto"/>
        </w:rPr>
        <w:t>20</w:t>
      </w:r>
    </w:p>
    <w:p w14:paraId="616FECBD" w14:textId="77777777" w:rsidR="00995366" w:rsidRPr="009D3306" w:rsidRDefault="00995366" w:rsidP="00995366">
      <w:pPr>
        <w:pStyle w:val="Default"/>
        <w:jc w:val="center"/>
        <w:rPr>
          <w:b/>
          <w:bCs/>
          <w:color w:val="auto"/>
          <w:highlight w:val="yellow"/>
        </w:rPr>
      </w:pPr>
    </w:p>
    <w:p w14:paraId="1DDA01AD" w14:textId="77777777" w:rsidR="00995366" w:rsidRPr="009D3306" w:rsidRDefault="00995366" w:rsidP="00995366">
      <w:pPr>
        <w:pStyle w:val="Default"/>
        <w:rPr>
          <w:b/>
          <w:bCs/>
          <w:color w:val="auto"/>
          <w:u w:val="single"/>
        </w:rPr>
      </w:pPr>
      <w:r w:rsidRPr="009D3306">
        <w:rPr>
          <w:b/>
          <w:bCs/>
          <w:color w:val="auto"/>
          <w:u w:val="single"/>
        </w:rPr>
        <w:t xml:space="preserve">1. Introduction and summary </w:t>
      </w:r>
    </w:p>
    <w:p w14:paraId="4F7F1CB8" w14:textId="77777777" w:rsidR="00995366" w:rsidRPr="009D3306" w:rsidRDefault="00995366" w:rsidP="00995366">
      <w:pPr>
        <w:pStyle w:val="Default"/>
        <w:rPr>
          <w:color w:val="auto"/>
        </w:rPr>
      </w:pPr>
    </w:p>
    <w:p w14:paraId="5A7D94A3" w14:textId="12833DB0" w:rsidR="00995366" w:rsidRPr="009D3306" w:rsidRDefault="00566485" w:rsidP="0099536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 xml:space="preserve">As stated in </w:t>
      </w:r>
      <w:r w:rsidR="00995366">
        <w:rPr>
          <w:rFonts w:ascii="Times New Roman" w:hAnsi="Times New Roman" w:cs="Times New Roman"/>
          <w:color w:val="000000"/>
          <w:sz w:val="24"/>
          <w:szCs w:val="24"/>
        </w:rPr>
        <w:t xml:space="preserve">the </w:t>
      </w:r>
      <w:r w:rsidR="00995366" w:rsidRPr="009D3306">
        <w:rPr>
          <w:rFonts w:ascii="Times New Roman" w:hAnsi="Times New Roman" w:cs="Times New Roman"/>
          <w:color w:val="000000"/>
          <w:sz w:val="24"/>
          <w:szCs w:val="24"/>
        </w:rPr>
        <w:t>negotiating framewo</w:t>
      </w:r>
      <w:r w:rsidR="00995366" w:rsidRPr="000D3D9E">
        <w:rPr>
          <w:rFonts w:ascii="Times New Roman" w:hAnsi="Times New Roman" w:cs="Times New Roman"/>
          <w:color w:val="000000"/>
          <w:sz w:val="24"/>
          <w:szCs w:val="24"/>
        </w:rPr>
        <w:t>rk for EU-accession negotiations with Montenegro</w:t>
      </w:r>
      <w:r>
        <w:rPr>
          <w:rFonts w:ascii="Times New Roman" w:hAnsi="Times New Roman" w:cs="Times New Roman"/>
          <w:color w:val="000000"/>
          <w:sz w:val="24"/>
          <w:szCs w:val="24"/>
        </w:rPr>
        <w:t>,</w:t>
      </w:r>
      <w:r w:rsidR="00995366" w:rsidRPr="000D3D9E">
        <w:rPr>
          <w:rFonts w:ascii="Times New Roman" w:hAnsi="Times New Roman" w:cs="Times New Roman"/>
          <w:color w:val="000000"/>
          <w:sz w:val="24"/>
          <w:szCs w:val="24"/>
        </w:rPr>
        <w:t xml:space="preserve"> the </w:t>
      </w:r>
      <w:r w:rsidR="00995366" w:rsidRPr="000D3D9E">
        <w:rPr>
          <w:rFonts w:ascii="Times New Roman" w:hAnsi="Times New Roman" w:cs="Times New Roman"/>
          <w:iCs/>
          <w:color w:val="000000"/>
          <w:sz w:val="24"/>
          <w:szCs w:val="24"/>
        </w:rPr>
        <w:t>Commission will keep the Council duly informed and report to the Council twice yearly on the state of advancement of negotiations under the chapters "Judiciary and fundamental rights" and "Justice, freedom and security"</w:t>
      </w:r>
      <w:r w:rsidR="00995366" w:rsidRPr="000D3D9E">
        <w:rPr>
          <w:rFonts w:ascii="Times New Roman" w:hAnsi="Times New Roman" w:cs="Times New Roman"/>
          <w:sz w:val="24"/>
          <w:szCs w:val="24"/>
        </w:rPr>
        <w:t>.</w:t>
      </w:r>
      <w:r w:rsidR="00995366" w:rsidRPr="009D3306">
        <w:rPr>
          <w:rFonts w:ascii="Times New Roman" w:hAnsi="Times New Roman" w:cs="Times New Roman"/>
          <w:color w:val="000000"/>
          <w:sz w:val="24"/>
          <w:szCs w:val="24"/>
        </w:rPr>
        <w:t xml:space="preserve"> The purpose of this non-paper is to provide an overview of Montenegro’s progress </w:t>
      </w:r>
      <w:r w:rsidR="00995366">
        <w:rPr>
          <w:rFonts w:ascii="Times New Roman" w:hAnsi="Times New Roman" w:cs="Times New Roman"/>
          <w:color w:val="000000"/>
          <w:sz w:val="24"/>
          <w:szCs w:val="24"/>
        </w:rPr>
        <w:t>in this area</w:t>
      </w:r>
      <w:r w:rsidR="00995366" w:rsidRPr="009D3306">
        <w:rPr>
          <w:rFonts w:ascii="Times New Roman" w:hAnsi="Times New Roman" w:cs="Times New Roman"/>
          <w:color w:val="000000"/>
          <w:sz w:val="24"/>
          <w:szCs w:val="24"/>
        </w:rPr>
        <w:t xml:space="preserve"> </w:t>
      </w:r>
      <w:r w:rsidR="00995366">
        <w:rPr>
          <w:rFonts w:ascii="Times New Roman" w:hAnsi="Times New Roman" w:cs="Times New Roman"/>
          <w:color w:val="000000"/>
          <w:sz w:val="24"/>
          <w:szCs w:val="24"/>
        </w:rPr>
        <w:t>since the last non-paper presented in November 2019, and the relevant statistical data for 2019</w:t>
      </w:r>
      <w:r w:rsidR="00995366" w:rsidRPr="009D3306">
        <w:rPr>
          <w:rFonts w:ascii="Times New Roman" w:hAnsi="Times New Roman" w:cs="Times New Roman"/>
          <w:color w:val="000000"/>
          <w:sz w:val="24"/>
          <w:szCs w:val="24"/>
        </w:rPr>
        <w:t xml:space="preserve">. </w:t>
      </w:r>
      <w:r w:rsidR="00995366" w:rsidRPr="009D3306">
        <w:rPr>
          <w:rFonts w:ascii="Times New Roman" w:eastAsia="Calibri" w:hAnsi="Times New Roman" w:cs="Times New Roman"/>
          <w:sz w:val="24"/>
          <w:szCs w:val="24"/>
        </w:rPr>
        <w:t xml:space="preserve">It is based on Montenegro's reports on the implementation of the </w:t>
      </w:r>
      <w:r w:rsidR="00687AD9">
        <w:rPr>
          <w:rFonts w:ascii="Times New Roman" w:eastAsia="Calibri" w:hAnsi="Times New Roman" w:cs="Times New Roman"/>
          <w:sz w:val="24"/>
          <w:szCs w:val="24"/>
        </w:rPr>
        <w:t>a</w:t>
      </w:r>
      <w:r w:rsidR="00687AD9" w:rsidRPr="009D3306">
        <w:rPr>
          <w:rFonts w:ascii="Times New Roman" w:eastAsia="Calibri" w:hAnsi="Times New Roman" w:cs="Times New Roman"/>
          <w:sz w:val="24"/>
          <w:szCs w:val="24"/>
        </w:rPr>
        <w:t xml:space="preserve">ction </w:t>
      </w:r>
      <w:r w:rsidR="00687AD9">
        <w:rPr>
          <w:rFonts w:ascii="Times New Roman" w:eastAsia="Calibri" w:hAnsi="Times New Roman" w:cs="Times New Roman"/>
          <w:sz w:val="24"/>
          <w:szCs w:val="24"/>
        </w:rPr>
        <w:t>p</w:t>
      </w:r>
      <w:r w:rsidR="00687AD9" w:rsidRPr="009D3306">
        <w:rPr>
          <w:rFonts w:ascii="Times New Roman" w:eastAsia="Calibri" w:hAnsi="Times New Roman" w:cs="Times New Roman"/>
          <w:sz w:val="24"/>
          <w:szCs w:val="24"/>
        </w:rPr>
        <w:t xml:space="preserve">lans </w:t>
      </w:r>
      <w:r w:rsidR="00995366">
        <w:rPr>
          <w:rFonts w:ascii="Times New Roman" w:eastAsia="Calibri" w:hAnsi="Times New Roman" w:cs="Times New Roman"/>
          <w:sz w:val="24"/>
          <w:szCs w:val="24"/>
        </w:rPr>
        <w:t xml:space="preserve">under chapters 23 and 24 </w:t>
      </w:r>
      <w:r w:rsidR="00995366" w:rsidRPr="009D3306">
        <w:rPr>
          <w:rFonts w:ascii="Times New Roman" w:eastAsia="Calibri" w:hAnsi="Times New Roman" w:cs="Times New Roman"/>
          <w:sz w:val="24"/>
          <w:szCs w:val="24"/>
        </w:rPr>
        <w:t xml:space="preserve">for the </w:t>
      </w:r>
      <w:r w:rsidR="00995366">
        <w:rPr>
          <w:rFonts w:ascii="Times New Roman" w:eastAsia="Calibri" w:hAnsi="Times New Roman" w:cs="Times New Roman"/>
          <w:sz w:val="24"/>
          <w:szCs w:val="24"/>
        </w:rPr>
        <w:t>second</w:t>
      </w:r>
      <w:r w:rsidR="00995366" w:rsidRPr="009D3306">
        <w:rPr>
          <w:rFonts w:ascii="Times New Roman" w:eastAsia="Calibri" w:hAnsi="Times New Roman" w:cs="Times New Roman"/>
          <w:sz w:val="24"/>
          <w:szCs w:val="24"/>
        </w:rPr>
        <w:t xml:space="preserve"> semester of 2019</w:t>
      </w:r>
      <w:r w:rsidR="00995366">
        <w:rPr>
          <w:rFonts w:ascii="Times New Roman" w:eastAsia="Calibri" w:hAnsi="Times New Roman" w:cs="Times New Roman"/>
          <w:sz w:val="24"/>
          <w:szCs w:val="24"/>
        </w:rPr>
        <w:t xml:space="preserve"> and its contribution for the </w:t>
      </w:r>
      <w:r>
        <w:rPr>
          <w:rFonts w:ascii="Times New Roman" w:eastAsia="Calibri" w:hAnsi="Times New Roman" w:cs="Times New Roman"/>
          <w:sz w:val="24"/>
          <w:szCs w:val="24"/>
        </w:rPr>
        <w:t>e</w:t>
      </w:r>
      <w:r w:rsidR="00995366">
        <w:rPr>
          <w:rFonts w:ascii="Times New Roman" w:eastAsia="Calibri" w:hAnsi="Times New Roman" w:cs="Times New Roman"/>
          <w:sz w:val="24"/>
          <w:szCs w:val="24"/>
        </w:rPr>
        <w:t>nlargement package</w:t>
      </w:r>
      <w:r w:rsidR="00995366" w:rsidRPr="009D3306">
        <w:rPr>
          <w:rFonts w:ascii="Times New Roman" w:eastAsia="Calibri" w:hAnsi="Times New Roman" w:cs="Times New Roman"/>
          <w:sz w:val="24"/>
          <w:szCs w:val="24"/>
        </w:rPr>
        <w:t>. In addition, a range of other sources were used</w:t>
      </w:r>
      <w:r w:rsidR="007D49CA">
        <w:rPr>
          <w:rFonts w:ascii="Times New Roman" w:eastAsia="Calibri" w:hAnsi="Times New Roman" w:cs="Times New Roman"/>
          <w:sz w:val="24"/>
          <w:szCs w:val="24"/>
        </w:rPr>
        <w:t>,</w:t>
      </w:r>
      <w:r w:rsidR="00995366" w:rsidRPr="009D3306">
        <w:rPr>
          <w:rFonts w:ascii="Times New Roman" w:eastAsia="Calibri" w:hAnsi="Times New Roman" w:cs="Times New Roman"/>
          <w:sz w:val="24"/>
          <w:szCs w:val="24"/>
        </w:rPr>
        <w:t xml:space="preserve"> including </w:t>
      </w:r>
      <w:r w:rsidR="00995366" w:rsidRPr="0035512A">
        <w:rPr>
          <w:rFonts w:ascii="Times New Roman" w:eastAsia="Calibri" w:hAnsi="Times New Roman" w:cs="Times New Roman"/>
          <w:sz w:val="24"/>
          <w:szCs w:val="24"/>
        </w:rPr>
        <w:t>peer review missions, m</w:t>
      </w:r>
      <w:r w:rsidR="00995366" w:rsidRPr="009D3306">
        <w:rPr>
          <w:rFonts w:ascii="Times New Roman" w:eastAsia="Calibri" w:hAnsi="Times New Roman" w:cs="Times New Roman"/>
          <w:sz w:val="24"/>
          <w:szCs w:val="24"/>
        </w:rPr>
        <w:t xml:space="preserve">onitoring reports from international organisations and civil </w:t>
      </w:r>
      <w:r w:rsidR="00995366" w:rsidRPr="000D3D9E">
        <w:rPr>
          <w:rFonts w:ascii="Times New Roman" w:eastAsia="Calibri" w:hAnsi="Times New Roman" w:cs="Times New Roman"/>
          <w:sz w:val="24"/>
          <w:szCs w:val="24"/>
        </w:rPr>
        <w:t>society</w:t>
      </w:r>
      <w:r w:rsidR="00995366">
        <w:rPr>
          <w:rFonts w:ascii="Times New Roman" w:eastAsia="Calibri" w:hAnsi="Times New Roman" w:cs="Times New Roman"/>
          <w:sz w:val="24"/>
          <w:szCs w:val="24"/>
        </w:rPr>
        <w:t xml:space="preserve"> organisations (CSOs),</w:t>
      </w:r>
      <w:r w:rsidR="00995366" w:rsidRPr="000D3D9E">
        <w:rPr>
          <w:rFonts w:ascii="Times New Roman" w:eastAsia="Calibri" w:hAnsi="Times New Roman" w:cs="Times New Roman"/>
          <w:sz w:val="24"/>
          <w:szCs w:val="24"/>
        </w:rPr>
        <w:t xml:space="preserve"> and contributions</w:t>
      </w:r>
      <w:r>
        <w:rPr>
          <w:rFonts w:ascii="Times New Roman" w:eastAsia="Calibri" w:hAnsi="Times New Roman" w:cs="Times New Roman"/>
          <w:sz w:val="24"/>
          <w:szCs w:val="24"/>
        </w:rPr>
        <w:t xml:space="preserve"> from Member States</w:t>
      </w:r>
      <w:r w:rsidR="00995366" w:rsidRPr="000D3D9E">
        <w:rPr>
          <w:rFonts w:ascii="Times New Roman" w:eastAsia="Calibri" w:hAnsi="Times New Roman" w:cs="Times New Roman"/>
          <w:sz w:val="24"/>
          <w:szCs w:val="24"/>
        </w:rPr>
        <w:t>.</w:t>
      </w:r>
    </w:p>
    <w:p w14:paraId="1EBC0A3B" w14:textId="77777777" w:rsidR="00995366" w:rsidRPr="009D3306" w:rsidRDefault="00995366" w:rsidP="00995366">
      <w:pPr>
        <w:autoSpaceDE w:val="0"/>
        <w:autoSpaceDN w:val="0"/>
        <w:adjustRightInd w:val="0"/>
        <w:spacing w:after="0" w:line="240" w:lineRule="auto"/>
        <w:jc w:val="both"/>
        <w:rPr>
          <w:rFonts w:ascii="Times New Roman" w:eastAsia="Calibri" w:hAnsi="Times New Roman" w:cs="Times New Roman"/>
          <w:sz w:val="24"/>
          <w:szCs w:val="24"/>
        </w:rPr>
      </w:pPr>
    </w:p>
    <w:p w14:paraId="2EE14B2F" w14:textId="0CD0EEFC" w:rsidR="00995366" w:rsidRPr="009D3306" w:rsidRDefault="00995366" w:rsidP="00995366">
      <w:pPr>
        <w:autoSpaceDE w:val="0"/>
        <w:autoSpaceDN w:val="0"/>
        <w:adjustRightInd w:val="0"/>
        <w:spacing w:after="0" w:line="240" w:lineRule="auto"/>
        <w:jc w:val="both"/>
        <w:rPr>
          <w:rFonts w:ascii="Times New Roman" w:eastAsia="Calibri" w:hAnsi="Times New Roman" w:cs="Times New Roman"/>
          <w:sz w:val="24"/>
          <w:szCs w:val="24"/>
        </w:rPr>
      </w:pPr>
      <w:r w:rsidRPr="009D3306">
        <w:rPr>
          <w:rFonts w:ascii="Times New Roman" w:eastAsia="Calibri" w:hAnsi="Times New Roman" w:cs="Times New Roman"/>
          <w:sz w:val="24"/>
          <w:szCs w:val="24"/>
        </w:rPr>
        <w:t>During the reporting period</w:t>
      </w:r>
      <w:r w:rsidR="00566485">
        <w:rPr>
          <w:rFonts w:ascii="Times New Roman" w:eastAsia="Calibri" w:hAnsi="Times New Roman" w:cs="Times New Roman"/>
          <w:sz w:val="24"/>
          <w:szCs w:val="24"/>
        </w:rPr>
        <w:t>,</w:t>
      </w:r>
      <w:r w:rsidRPr="009D3306">
        <w:rPr>
          <w:rFonts w:ascii="Times New Roman" w:eastAsia="Calibri" w:hAnsi="Times New Roman" w:cs="Times New Roman"/>
          <w:sz w:val="24"/>
          <w:szCs w:val="24"/>
        </w:rPr>
        <w:t xml:space="preserve"> Montenegro continued to implement the action plans for chapters 23 and 24 and other strategic documents in the area of rule of law</w:t>
      </w:r>
      <w:r w:rsidR="00566485">
        <w:rPr>
          <w:rFonts w:ascii="Times New Roman" w:eastAsia="Calibri" w:hAnsi="Times New Roman" w:cs="Times New Roman"/>
          <w:sz w:val="24"/>
          <w:szCs w:val="24"/>
        </w:rPr>
        <w:t>,</w:t>
      </w:r>
      <w:r w:rsidRPr="009D3306">
        <w:rPr>
          <w:rFonts w:ascii="Times New Roman" w:eastAsia="Calibri" w:hAnsi="Times New Roman" w:cs="Times New Roman"/>
          <w:sz w:val="24"/>
          <w:szCs w:val="24"/>
        </w:rPr>
        <w:t xml:space="preserve"> and </w:t>
      </w:r>
      <w:r w:rsidR="00566485">
        <w:rPr>
          <w:rFonts w:ascii="Times New Roman" w:eastAsia="Calibri" w:hAnsi="Times New Roman" w:cs="Times New Roman"/>
          <w:sz w:val="24"/>
          <w:szCs w:val="24"/>
        </w:rPr>
        <w:t xml:space="preserve">also </w:t>
      </w:r>
      <w:r w:rsidRPr="009D3306">
        <w:rPr>
          <w:rFonts w:ascii="Times New Roman" w:eastAsia="Calibri" w:hAnsi="Times New Roman" w:cs="Times New Roman"/>
          <w:sz w:val="24"/>
          <w:szCs w:val="24"/>
        </w:rPr>
        <w:t>adopted new ones. It worked towards addressing the outstanding challenges highlighted in the European Commission’s 2019 Montenegro Report</w:t>
      </w:r>
      <w:r>
        <w:rPr>
          <w:rFonts w:ascii="Times New Roman" w:eastAsia="Calibri" w:hAnsi="Times New Roman" w:cs="Times New Roman"/>
          <w:sz w:val="24"/>
          <w:szCs w:val="24"/>
        </w:rPr>
        <w:t>,</w:t>
      </w:r>
      <w:r w:rsidRPr="009D3306">
        <w:rPr>
          <w:rFonts w:ascii="Times New Roman" w:eastAsia="Calibri" w:hAnsi="Times New Roman" w:cs="Times New Roman"/>
          <w:sz w:val="24"/>
          <w:szCs w:val="24"/>
        </w:rPr>
        <w:t xml:space="preserve"> the 18 June 2019 Council conclusions,</w:t>
      </w:r>
      <w:r>
        <w:rPr>
          <w:rFonts w:ascii="Times New Roman" w:eastAsia="Calibri" w:hAnsi="Times New Roman" w:cs="Times New Roman"/>
          <w:sz w:val="24"/>
          <w:szCs w:val="24"/>
        </w:rPr>
        <w:t xml:space="preserve"> and the November 2019 non-paper</w:t>
      </w:r>
      <w:r w:rsidR="00566485">
        <w:rPr>
          <w:rFonts w:ascii="Times New Roman" w:eastAsia="Calibri" w:hAnsi="Times New Roman" w:cs="Times New Roman"/>
          <w:sz w:val="24"/>
          <w:szCs w:val="24"/>
        </w:rPr>
        <w:t>;</w:t>
      </w:r>
      <w:r w:rsidRPr="009D3306">
        <w:rPr>
          <w:rFonts w:ascii="Times New Roman" w:eastAsia="Calibri" w:hAnsi="Times New Roman" w:cs="Times New Roman"/>
          <w:sz w:val="24"/>
          <w:szCs w:val="24"/>
        </w:rPr>
        <w:t xml:space="preserve"> in particular in the critical areas of media freedom, fight against corruption and </w:t>
      </w:r>
      <w:r w:rsidR="00566485">
        <w:rPr>
          <w:rFonts w:ascii="Times New Roman" w:eastAsia="Calibri" w:hAnsi="Times New Roman" w:cs="Times New Roman"/>
          <w:sz w:val="24"/>
          <w:szCs w:val="24"/>
        </w:rPr>
        <w:t xml:space="preserve">the </w:t>
      </w:r>
      <w:r w:rsidRPr="009D3306">
        <w:rPr>
          <w:rFonts w:ascii="Times New Roman" w:eastAsia="Calibri" w:hAnsi="Times New Roman" w:cs="Times New Roman"/>
          <w:sz w:val="24"/>
          <w:szCs w:val="24"/>
        </w:rPr>
        <w:t xml:space="preserve">trafficking </w:t>
      </w:r>
      <w:r w:rsidR="00566485">
        <w:rPr>
          <w:rFonts w:ascii="Times New Roman" w:eastAsia="Calibri" w:hAnsi="Times New Roman" w:cs="Times New Roman"/>
          <w:sz w:val="24"/>
          <w:szCs w:val="24"/>
        </w:rPr>
        <w:t>of</w:t>
      </w:r>
      <w:r w:rsidRPr="009D3306">
        <w:rPr>
          <w:rFonts w:ascii="Times New Roman" w:eastAsia="Calibri" w:hAnsi="Times New Roman" w:cs="Times New Roman"/>
          <w:sz w:val="24"/>
          <w:szCs w:val="24"/>
        </w:rPr>
        <w:t xml:space="preserve"> human beings. Work on legislative alignment with EU </w:t>
      </w:r>
      <w:r w:rsidRPr="009D3306">
        <w:rPr>
          <w:rFonts w:ascii="Times New Roman" w:eastAsia="Calibri" w:hAnsi="Times New Roman" w:cs="Times New Roman"/>
          <w:i/>
          <w:sz w:val="24"/>
          <w:szCs w:val="24"/>
        </w:rPr>
        <w:t>acquis</w:t>
      </w:r>
      <w:r w:rsidRPr="009D3306">
        <w:rPr>
          <w:rFonts w:ascii="Times New Roman" w:eastAsia="Calibri" w:hAnsi="Times New Roman" w:cs="Times New Roman"/>
          <w:sz w:val="24"/>
          <w:szCs w:val="24"/>
        </w:rPr>
        <w:t>, institution-building and track-records continued across the board, with certain remaining challenges</w:t>
      </w:r>
      <w:r>
        <w:rPr>
          <w:rFonts w:ascii="Times New Roman" w:eastAsia="Calibri" w:hAnsi="Times New Roman" w:cs="Times New Roman"/>
          <w:sz w:val="24"/>
          <w:szCs w:val="24"/>
        </w:rPr>
        <w:t xml:space="preserve">, including </w:t>
      </w:r>
      <w:r w:rsidR="00687AD9">
        <w:rPr>
          <w:rFonts w:ascii="Times New Roman" w:eastAsia="Calibri" w:hAnsi="Times New Roman" w:cs="Times New Roman"/>
          <w:sz w:val="24"/>
          <w:szCs w:val="24"/>
        </w:rPr>
        <w:t>in the area of</w:t>
      </w:r>
      <w:r>
        <w:rPr>
          <w:rFonts w:ascii="Times New Roman" w:eastAsia="Calibri" w:hAnsi="Times New Roman" w:cs="Times New Roman"/>
          <w:sz w:val="24"/>
          <w:szCs w:val="24"/>
        </w:rPr>
        <w:t xml:space="preserve"> judicial reform</w:t>
      </w:r>
      <w:r w:rsidRPr="009D330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2C43A9">
        <w:rPr>
          <w:rFonts w:ascii="Times New Roman" w:eastAsia="Calibri" w:hAnsi="Times New Roman" w:cs="Times New Roman"/>
          <w:sz w:val="24"/>
          <w:szCs w:val="24"/>
        </w:rPr>
        <w:t xml:space="preserve">The </w:t>
      </w:r>
      <w:r w:rsidR="008E399E">
        <w:rPr>
          <w:rFonts w:ascii="Times New Roman" w:eastAsia="Calibri" w:hAnsi="Times New Roman" w:cs="Times New Roman"/>
          <w:sz w:val="24"/>
          <w:szCs w:val="24"/>
        </w:rPr>
        <w:t>COVID</w:t>
      </w:r>
      <w:r w:rsidR="00566485">
        <w:rPr>
          <w:rFonts w:ascii="Times New Roman" w:eastAsia="Calibri" w:hAnsi="Times New Roman" w:cs="Times New Roman"/>
          <w:sz w:val="24"/>
          <w:szCs w:val="24"/>
        </w:rPr>
        <w:t>-</w:t>
      </w:r>
      <w:r w:rsidRPr="002C43A9">
        <w:rPr>
          <w:rFonts w:ascii="Times New Roman" w:eastAsia="Calibri" w:hAnsi="Times New Roman" w:cs="Times New Roman"/>
          <w:sz w:val="24"/>
          <w:szCs w:val="24"/>
        </w:rPr>
        <w:t xml:space="preserve">19 pandemic created additional challenges in this area </w:t>
      </w:r>
      <w:r w:rsidR="007D49CA">
        <w:rPr>
          <w:rFonts w:ascii="Times New Roman" w:eastAsia="Calibri" w:hAnsi="Times New Roman" w:cs="Times New Roman"/>
          <w:sz w:val="24"/>
          <w:szCs w:val="24"/>
        </w:rPr>
        <w:t>and</w:t>
      </w:r>
      <w:r w:rsidRPr="002C43A9">
        <w:rPr>
          <w:rFonts w:ascii="Times New Roman" w:eastAsia="Calibri" w:hAnsi="Times New Roman" w:cs="Times New Roman"/>
          <w:sz w:val="24"/>
          <w:szCs w:val="24"/>
        </w:rPr>
        <w:t xml:space="preserve"> contribut</w:t>
      </w:r>
      <w:r w:rsidR="007D49CA">
        <w:rPr>
          <w:rFonts w:ascii="Times New Roman" w:eastAsia="Calibri" w:hAnsi="Times New Roman" w:cs="Times New Roman"/>
          <w:sz w:val="24"/>
          <w:szCs w:val="24"/>
        </w:rPr>
        <w:t>ed</w:t>
      </w:r>
      <w:r w:rsidRPr="002C43A9">
        <w:rPr>
          <w:rFonts w:ascii="Times New Roman" w:eastAsia="Calibri" w:hAnsi="Times New Roman" w:cs="Times New Roman"/>
          <w:sz w:val="24"/>
          <w:szCs w:val="24"/>
        </w:rPr>
        <w:t xml:space="preserve"> to certain objective delays in Montenegro’s work on its rule of law agenda.</w:t>
      </w:r>
      <w:r>
        <w:rPr>
          <w:rFonts w:ascii="Times New Roman" w:eastAsia="Calibri" w:hAnsi="Times New Roman" w:cs="Times New Roman"/>
          <w:sz w:val="24"/>
          <w:szCs w:val="24"/>
        </w:rPr>
        <w:t xml:space="preserve">   </w:t>
      </w:r>
      <w:r w:rsidRPr="009D3306">
        <w:rPr>
          <w:rFonts w:ascii="Times New Roman" w:eastAsia="Calibri" w:hAnsi="Times New Roman" w:cs="Times New Roman"/>
          <w:sz w:val="24"/>
          <w:szCs w:val="24"/>
        </w:rPr>
        <w:t xml:space="preserve"> </w:t>
      </w:r>
    </w:p>
    <w:p w14:paraId="140E0412" w14:textId="77777777" w:rsidR="00995366" w:rsidRPr="009D3306" w:rsidRDefault="00995366" w:rsidP="00995366">
      <w:pPr>
        <w:autoSpaceDE w:val="0"/>
        <w:autoSpaceDN w:val="0"/>
        <w:adjustRightInd w:val="0"/>
        <w:spacing w:after="0" w:line="240" w:lineRule="auto"/>
        <w:jc w:val="both"/>
        <w:rPr>
          <w:rFonts w:ascii="Times New Roman" w:eastAsia="Calibri" w:hAnsi="Times New Roman" w:cs="Times New Roman"/>
          <w:sz w:val="24"/>
          <w:szCs w:val="24"/>
        </w:rPr>
      </w:pPr>
    </w:p>
    <w:p w14:paraId="78BEF0A4" w14:textId="5AEAB2D1" w:rsidR="00995366" w:rsidRPr="009D3306" w:rsidRDefault="00995366" w:rsidP="00995366">
      <w:pPr>
        <w:autoSpaceDE w:val="0"/>
        <w:autoSpaceDN w:val="0"/>
        <w:adjustRightInd w:val="0"/>
        <w:spacing w:after="0" w:line="240" w:lineRule="auto"/>
        <w:jc w:val="both"/>
        <w:rPr>
          <w:rFonts w:ascii="Times New Roman" w:eastAsia="Calibri" w:hAnsi="Times New Roman" w:cs="Times New Roman"/>
          <w:sz w:val="24"/>
          <w:szCs w:val="24"/>
        </w:rPr>
      </w:pPr>
      <w:r w:rsidRPr="009D3306">
        <w:rPr>
          <w:rFonts w:ascii="Times New Roman" w:eastAsia="Calibri" w:hAnsi="Times New Roman" w:cs="Times New Roman"/>
          <w:sz w:val="24"/>
          <w:szCs w:val="24"/>
        </w:rPr>
        <w:t xml:space="preserve">On Chapter 23, Montenegro </w:t>
      </w:r>
      <w:r>
        <w:rPr>
          <w:rFonts w:ascii="Times New Roman" w:eastAsia="Calibri" w:hAnsi="Times New Roman" w:cs="Times New Roman"/>
          <w:sz w:val="24"/>
          <w:szCs w:val="24"/>
        </w:rPr>
        <w:t xml:space="preserve">continues </w:t>
      </w:r>
      <w:r w:rsidR="007E3A84">
        <w:rPr>
          <w:rFonts w:ascii="Times New Roman" w:eastAsia="Calibri" w:hAnsi="Times New Roman" w:cs="Times New Roman"/>
          <w:sz w:val="24"/>
          <w:szCs w:val="24"/>
        </w:rPr>
        <w:t>to work</w:t>
      </w:r>
      <w:r w:rsidRPr="009D3306">
        <w:rPr>
          <w:rFonts w:ascii="Times New Roman" w:eastAsia="Calibri" w:hAnsi="Times New Roman" w:cs="Times New Roman"/>
          <w:sz w:val="24"/>
          <w:szCs w:val="24"/>
        </w:rPr>
        <w:t xml:space="preserve"> on a new legal framework on </w:t>
      </w:r>
      <w:r w:rsidR="007E3A84">
        <w:rPr>
          <w:rFonts w:ascii="Times New Roman" w:eastAsia="Calibri" w:hAnsi="Times New Roman" w:cs="Times New Roman"/>
          <w:sz w:val="24"/>
          <w:szCs w:val="24"/>
        </w:rPr>
        <w:t xml:space="preserve">the </w:t>
      </w:r>
      <w:r w:rsidRPr="009D3306">
        <w:rPr>
          <w:rFonts w:ascii="Times New Roman" w:eastAsia="Calibri" w:hAnsi="Times New Roman" w:cs="Times New Roman"/>
          <w:sz w:val="24"/>
          <w:szCs w:val="24"/>
        </w:rPr>
        <w:t>media</w:t>
      </w:r>
      <w:r>
        <w:rPr>
          <w:rFonts w:ascii="Times New Roman" w:eastAsia="Calibri" w:hAnsi="Times New Roman" w:cs="Times New Roman"/>
          <w:sz w:val="24"/>
          <w:szCs w:val="24"/>
        </w:rPr>
        <w:t xml:space="preserve">. There were some developments on investigations into old cases of attacks against media property. But </w:t>
      </w:r>
      <w:r w:rsidR="009F6188">
        <w:rPr>
          <w:rFonts w:ascii="Times New Roman" w:eastAsia="Calibri" w:hAnsi="Times New Roman" w:cs="Times New Roman"/>
          <w:sz w:val="24"/>
          <w:szCs w:val="24"/>
        </w:rPr>
        <w:t xml:space="preserve">challenges </w:t>
      </w:r>
      <w:r>
        <w:rPr>
          <w:rFonts w:ascii="Times New Roman" w:eastAsia="Calibri" w:hAnsi="Times New Roman" w:cs="Times New Roman"/>
          <w:sz w:val="24"/>
          <w:szCs w:val="24"/>
        </w:rPr>
        <w:t>with regard to the overall situation in the area of freedom of expression and media</w:t>
      </w:r>
      <w:r w:rsidR="009F6188">
        <w:rPr>
          <w:rFonts w:ascii="Times New Roman" w:eastAsia="Calibri" w:hAnsi="Times New Roman" w:cs="Times New Roman"/>
          <w:sz w:val="24"/>
          <w:szCs w:val="24"/>
        </w:rPr>
        <w:t xml:space="preserve"> remain</w:t>
      </w:r>
      <w:r>
        <w:rPr>
          <w:rFonts w:ascii="Times New Roman" w:eastAsia="Calibri" w:hAnsi="Times New Roman" w:cs="Times New Roman"/>
          <w:sz w:val="24"/>
          <w:szCs w:val="24"/>
        </w:rPr>
        <w:t xml:space="preserve">. </w:t>
      </w:r>
      <w:r w:rsidRPr="009D3306">
        <w:rPr>
          <w:rFonts w:ascii="Times New Roman" w:eastAsia="Calibri" w:hAnsi="Times New Roman" w:cs="Times New Roman"/>
          <w:sz w:val="24"/>
          <w:szCs w:val="24"/>
        </w:rPr>
        <w:t>New criminal investigations were opened in corruption cases</w:t>
      </w:r>
      <w:r>
        <w:rPr>
          <w:rFonts w:ascii="Times New Roman" w:eastAsia="Calibri" w:hAnsi="Times New Roman" w:cs="Times New Roman"/>
          <w:sz w:val="24"/>
          <w:szCs w:val="24"/>
        </w:rPr>
        <w:t>, and assets were temporar</w:t>
      </w:r>
      <w:r w:rsidR="007E3A84">
        <w:rPr>
          <w:rFonts w:ascii="Times New Roman" w:eastAsia="Calibri" w:hAnsi="Times New Roman" w:cs="Times New Roman"/>
          <w:sz w:val="24"/>
          <w:szCs w:val="24"/>
        </w:rPr>
        <w:t>ily</w:t>
      </w:r>
      <w:r>
        <w:rPr>
          <w:rFonts w:ascii="Times New Roman" w:eastAsia="Calibri" w:hAnsi="Times New Roman" w:cs="Times New Roman"/>
          <w:sz w:val="24"/>
          <w:szCs w:val="24"/>
        </w:rPr>
        <w:t xml:space="preserve"> and permanently seized</w:t>
      </w:r>
      <w:r w:rsidRPr="009D330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D3306">
        <w:rPr>
          <w:rFonts w:ascii="Times New Roman" w:eastAsia="Calibri" w:hAnsi="Times New Roman" w:cs="Times New Roman"/>
          <w:sz w:val="24"/>
          <w:szCs w:val="24"/>
        </w:rPr>
        <w:t xml:space="preserve">Montenegro is making </w:t>
      </w:r>
      <w:r>
        <w:rPr>
          <w:rFonts w:ascii="Times New Roman" w:eastAsia="Calibri" w:hAnsi="Times New Roman" w:cs="Times New Roman"/>
          <w:sz w:val="24"/>
          <w:szCs w:val="24"/>
        </w:rPr>
        <w:t xml:space="preserve">further progress </w:t>
      </w:r>
      <w:r w:rsidRPr="009D3306">
        <w:rPr>
          <w:rFonts w:ascii="Times New Roman" w:eastAsia="Calibri" w:hAnsi="Times New Roman" w:cs="Times New Roman"/>
          <w:sz w:val="24"/>
          <w:szCs w:val="24"/>
        </w:rPr>
        <w:t>to develop and promote the system of alternative dispute settlement resolution and on the judiciary</w:t>
      </w:r>
      <w:r w:rsidR="007E3A84">
        <w:rPr>
          <w:rFonts w:ascii="Times New Roman" w:eastAsia="Calibri" w:hAnsi="Times New Roman" w:cs="Times New Roman"/>
          <w:sz w:val="24"/>
          <w:szCs w:val="24"/>
        </w:rPr>
        <w:t>’s IT system</w:t>
      </w:r>
      <w:r w:rsidRPr="009D3306">
        <w:rPr>
          <w:rFonts w:ascii="Times New Roman" w:eastAsia="Calibri" w:hAnsi="Times New Roman" w:cs="Times New Roman"/>
          <w:sz w:val="24"/>
          <w:szCs w:val="24"/>
        </w:rPr>
        <w:t>.</w:t>
      </w:r>
      <w:r>
        <w:rPr>
          <w:rFonts w:ascii="Times New Roman" w:eastAsia="Calibri" w:hAnsi="Times New Roman" w:cs="Times New Roman"/>
          <w:sz w:val="24"/>
          <w:szCs w:val="24"/>
        </w:rPr>
        <w:t xml:space="preserve"> An analysis to feed into</w:t>
      </w:r>
      <w:r w:rsidR="007E3A84">
        <w:rPr>
          <w:rFonts w:ascii="Times New Roman" w:eastAsia="Calibri" w:hAnsi="Times New Roman" w:cs="Times New Roman"/>
          <w:sz w:val="24"/>
          <w:szCs w:val="24"/>
        </w:rPr>
        <w:t xml:space="preserve"> the</w:t>
      </w:r>
      <w:r>
        <w:rPr>
          <w:rFonts w:ascii="Times New Roman" w:eastAsia="Calibri" w:hAnsi="Times New Roman" w:cs="Times New Roman"/>
          <w:sz w:val="24"/>
          <w:szCs w:val="24"/>
        </w:rPr>
        <w:t xml:space="preserve"> new strategy for rationalisation of the judicial network i</w:t>
      </w:r>
      <w:r w:rsidR="007E3A84">
        <w:rPr>
          <w:rFonts w:ascii="Times New Roman" w:eastAsia="Calibri" w:hAnsi="Times New Roman" w:cs="Times New Roman"/>
          <w:sz w:val="24"/>
          <w:szCs w:val="24"/>
        </w:rPr>
        <w:t>s</w:t>
      </w:r>
      <w:r>
        <w:rPr>
          <w:rFonts w:ascii="Times New Roman" w:eastAsia="Calibri" w:hAnsi="Times New Roman" w:cs="Times New Roman"/>
          <w:sz w:val="24"/>
          <w:szCs w:val="24"/>
        </w:rPr>
        <w:t xml:space="preserve"> underway.</w:t>
      </w:r>
      <w:r w:rsidRPr="009D3306">
        <w:rPr>
          <w:rFonts w:ascii="Times New Roman" w:eastAsia="Calibri" w:hAnsi="Times New Roman" w:cs="Times New Roman"/>
          <w:sz w:val="24"/>
          <w:szCs w:val="24"/>
        </w:rPr>
        <w:t xml:space="preserve"> </w:t>
      </w:r>
      <w:r>
        <w:rPr>
          <w:rFonts w:ascii="Times New Roman" w:eastAsia="Calibri" w:hAnsi="Times New Roman" w:cs="Times New Roman"/>
          <w:sz w:val="24"/>
          <w:szCs w:val="24"/>
        </w:rPr>
        <w:t>However, P</w:t>
      </w:r>
      <w:r w:rsidRPr="009E3BBD">
        <w:rPr>
          <w:rFonts w:ascii="Times New Roman" w:eastAsia="Calibri" w:hAnsi="Times New Roman" w:cs="Times New Roman"/>
          <w:sz w:val="24"/>
          <w:szCs w:val="24"/>
        </w:rPr>
        <w:t xml:space="preserve">arliament could </w:t>
      </w:r>
      <w:r>
        <w:rPr>
          <w:rFonts w:ascii="Times New Roman" w:eastAsia="Calibri" w:hAnsi="Times New Roman" w:cs="Times New Roman"/>
          <w:sz w:val="24"/>
          <w:szCs w:val="24"/>
        </w:rPr>
        <w:t xml:space="preserve">still </w:t>
      </w:r>
      <w:r w:rsidRPr="009E3BBD">
        <w:rPr>
          <w:rFonts w:ascii="Times New Roman" w:eastAsia="Calibri" w:hAnsi="Times New Roman" w:cs="Times New Roman"/>
          <w:sz w:val="24"/>
          <w:szCs w:val="24"/>
        </w:rPr>
        <w:t>not secure the required 2/3 majority for important judicial appointments and</w:t>
      </w:r>
      <w:r w:rsidR="007E3A84">
        <w:rPr>
          <w:rFonts w:ascii="Times New Roman" w:eastAsia="Calibri" w:hAnsi="Times New Roman" w:cs="Times New Roman"/>
          <w:sz w:val="24"/>
          <w:szCs w:val="24"/>
        </w:rPr>
        <w:t>,</w:t>
      </w:r>
      <w:r w:rsidRPr="009E3BBD">
        <w:rPr>
          <w:rFonts w:ascii="Times New Roman" w:eastAsia="Calibri" w:hAnsi="Times New Roman" w:cs="Times New Roman"/>
          <w:sz w:val="24"/>
          <w:szCs w:val="24"/>
        </w:rPr>
        <w:t xml:space="preserve"> therefore</w:t>
      </w:r>
      <w:r w:rsidR="007E3A84">
        <w:rPr>
          <w:rFonts w:ascii="Times New Roman" w:eastAsia="Calibri" w:hAnsi="Times New Roman" w:cs="Times New Roman"/>
          <w:sz w:val="24"/>
          <w:szCs w:val="24"/>
        </w:rPr>
        <w:t>,</w:t>
      </w:r>
      <w:r w:rsidRPr="009E3BBD">
        <w:rPr>
          <w:rFonts w:ascii="Times New Roman" w:eastAsia="Calibri" w:hAnsi="Times New Roman" w:cs="Times New Roman"/>
          <w:sz w:val="24"/>
          <w:szCs w:val="24"/>
        </w:rPr>
        <w:t xml:space="preserve"> key functions of the judic</w:t>
      </w:r>
      <w:r>
        <w:rPr>
          <w:rFonts w:ascii="Times New Roman" w:eastAsia="Calibri" w:hAnsi="Times New Roman" w:cs="Times New Roman"/>
          <w:sz w:val="24"/>
          <w:szCs w:val="24"/>
        </w:rPr>
        <w:t>i</w:t>
      </w:r>
      <w:r w:rsidRPr="009E3BBD">
        <w:rPr>
          <w:rFonts w:ascii="Times New Roman" w:eastAsia="Calibri" w:hAnsi="Times New Roman" w:cs="Times New Roman"/>
          <w:sz w:val="24"/>
          <w:szCs w:val="24"/>
        </w:rPr>
        <w:t>al system are filled on</w:t>
      </w:r>
      <w:r w:rsidR="007E3A84">
        <w:rPr>
          <w:rFonts w:ascii="Times New Roman" w:eastAsia="Calibri" w:hAnsi="Times New Roman" w:cs="Times New Roman"/>
          <w:sz w:val="24"/>
          <w:szCs w:val="24"/>
        </w:rPr>
        <w:t xml:space="preserve"> an</w:t>
      </w:r>
      <w:r w:rsidRPr="009E3BBD">
        <w:rPr>
          <w:rFonts w:ascii="Times New Roman" w:eastAsia="Calibri" w:hAnsi="Times New Roman" w:cs="Times New Roman"/>
          <w:sz w:val="24"/>
          <w:szCs w:val="24"/>
        </w:rPr>
        <w:t xml:space="preserve"> acting </w:t>
      </w:r>
      <w:r w:rsidR="00F474A7" w:rsidRPr="009E3BBD">
        <w:rPr>
          <w:rFonts w:ascii="Times New Roman" w:eastAsia="Calibri" w:hAnsi="Times New Roman" w:cs="Times New Roman"/>
          <w:sz w:val="24"/>
          <w:szCs w:val="24"/>
        </w:rPr>
        <w:t>bas</w:t>
      </w:r>
      <w:r w:rsidR="00F474A7">
        <w:rPr>
          <w:rFonts w:ascii="Times New Roman" w:eastAsia="Calibri" w:hAnsi="Times New Roman" w:cs="Times New Roman"/>
          <w:sz w:val="24"/>
          <w:szCs w:val="24"/>
        </w:rPr>
        <w:t>i</w:t>
      </w:r>
      <w:r w:rsidR="00F474A7" w:rsidRPr="009E3BBD">
        <w:rPr>
          <w:rFonts w:ascii="Times New Roman" w:eastAsia="Calibri" w:hAnsi="Times New Roman" w:cs="Times New Roman"/>
          <w:sz w:val="24"/>
          <w:szCs w:val="24"/>
        </w:rPr>
        <w:t>s</w:t>
      </w:r>
      <w:r w:rsidRPr="009E3BB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Additionally, </w:t>
      </w:r>
      <w:r w:rsidR="00863A93">
        <w:rPr>
          <w:rFonts w:ascii="Times New Roman" w:eastAsia="Calibri" w:hAnsi="Times New Roman" w:cs="Times New Roman"/>
          <w:sz w:val="24"/>
          <w:szCs w:val="24"/>
        </w:rPr>
        <w:t xml:space="preserve">concerns raised regarding </w:t>
      </w:r>
      <w:r>
        <w:rPr>
          <w:rFonts w:ascii="Times New Roman" w:eastAsia="Calibri" w:hAnsi="Times New Roman" w:cs="Times New Roman"/>
          <w:sz w:val="24"/>
          <w:szCs w:val="24"/>
        </w:rPr>
        <w:t>contested senior appointments in the judiciary</w:t>
      </w:r>
      <w:r w:rsidR="00863A93">
        <w:rPr>
          <w:rFonts w:ascii="Times New Roman" w:eastAsia="Calibri" w:hAnsi="Times New Roman" w:cs="Times New Roman"/>
          <w:sz w:val="24"/>
          <w:szCs w:val="24"/>
        </w:rPr>
        <w:t>, which</w:t>
      </w:r>
      <w:r>
        <w:rPr>
          <w:rFonts w:ascii="Times New Roman" w:eastAsia="Calibri" w:hAnsi="Times New Roman" w:cs="Times New Roman"/>
          <w:sz w:val="24"/>
          <w:szCs w:val="24"/>
        </w:rPr>
        <w:t xml:space="preserve"> are not in line with </w:t>
      </w:r>
      <w:r w:rsidR="00B10615" w:rsidRPr="00B16395">
        <w:rPr>
          <w:rFonts w:ascii="Times New Roman" w:eastAsia="Calibri" w:hAnsi="Times New Roman" w:cs="Times New Roman"/>
          <w:sz w:val="24"/>
          <w:szCs w:val="24"/>
        </w:rPr>
        <w:t xml:space="preserve">Council of Europe Group of States against Corruption </w:t>
      </w:r>
      <w:r w:rsidR="00B10615">
        <w:rPr>
          <w:rFonts w:ascii="Times New Roman" w:eastAsia="Calibri" w:hAnsi="Times New Roman" w:cs="Times New Roman"/>
          <w:sz w:val="24"/>
          <w:szCs w:val="24"/>
        </w:rPr>
        <w:t>(</w:t>
      </w:r>
      <w:r>
        <w:rPr>
          <w:rFonts w:ascii="Times New Roman" w:eastAsia="Calibri" w:hAnsi="Times New Roman" w:cs="Times New Roman"/>
          <w:sz w:val="24"/>
          <w:szCs w:val="24"/>
        </w:rPr>
        <w:t>GRECO</w:t>
      </w:r>
      <w:r w:rsidR="00B10615">
        <w:rPr>
          <w:rFonts w:ascii="Times New Roman" w:eastAsia="Calibri" w:hAnsi="Times New Roman" w:cs="Times New Roman"/>
          <w:sz w:val="24"/>
          <w:szCs w:val="24"/>
        </w:rPr>
        <w:t>)</w:t>
      </w:r>
      <w:r>
        <w:rPr>
          <w:rFonts w:ascii="Times New Roman" w:eastAsia="Calibri" w:hAnsi="Times New Roman" w:cs="Times New Roman"/>
          <w:sz w:val="24"/>
          <w:szCs w:val="24"/>
        </w:rPr>
        <w:t xml:space="preserve"> recommendations on</w:t>
      </w:r>
      <w:r w:rsidR="007E3A84">
        <w:rPr>
          <w:rFonts w:ascii="Times New Roman" w:eastAsia="Calibri" w:hAnsi="Times New Roman" w:cs="Times New Roman"/>
          <w:sz w:val="24"/>
          <w:szCs w:val="24"/>
        </w:rPr>
        <w:t xml:space="preserve"> the</w:t>
      </w:r>
      <w:r>
        <w:rPr>
          <w:rFonts w:ascii="Times New Roman" w:eastAsia="Calibri" w:hAnsi="Times New Roman" w:cs="Times New Roman"/>
          <w:sz w:val="24"/>
          <w:szCs w:val="24"/>
        </w:rPr>
        <w:t xml:space="preserve"> independence of the judiciary</w:t>
      </w:r>
      <w:r w:rsidR="00863A93">
        <w:rPr>
          <w:rFonts w:ascii="Times New Roman" w:eastAsia="Calibri" w:hAnsi="Times New Roman" w:cs="Times New Roman"/>
          <w:sz w:val="24"/>
          <w:szCs w:val="24"/>
        </w:rPr>
        <w:t>, have not been addressed</w:t>
      </w:r>
      <w:r>
        <w:rPr>
          <w:rFonts w:ascii="Times New Roman" w:eastAsia="Calibri" w:hAnsi="Times New Roman" w:cs="Times New Roman"/>
          <w:sz w:val="24"/>
          <w:szCs w:val="24"/>
        </w:rPr>
        <w:t xml:space="preserve">. </w:t>
      </w:r>
      <w:r w:rsidRPr="009D3306">
        <w:rPr>
          <w:rFonts w:ascii="Times New Roman" w:eastAsia="Calibri" w:hAnsi="Times New Roman" w:cs="Times New Roman"/>
          <w:sz w:val="24"/>
          <w:szCs w:val="24"/>
        </w:rPr>
        <w:t xml:space="preserve">It </w:t>
      </w:r>
      <w:r>
        <w:rPr>
          <w:rFonts w:ascii="Times New Roman" w:eastAsia="Calibri" w:hAnsi="Times New Roman" w:cs="Times New Roman"/>
          <w:sz w:val="24"/>
          <w:szCs w:val="24"/>
        </w:rPr>
        <w:t>remains</w:t>
      </w:r>
      <w:r w:rsidRPr="009D3306">
        <w:rPr>
          <w:rFonts w:ascii="Times New Roman" w:eastAsia="Calibri" w:hAnsi="Times New Roman" w:cs="Times New Roman"/>
          <w:sz w:val="24"/>
          <w:szCs w:val="24"/>
        </w:rPr>
        <w:t xml:space="preserve"> important that Montenegro does not reverse</w:t>
      </w:r>
      <w:r w:rsidR="007E3A84">
        <w:rPr>
          <w:rFonts w:ascii="Times New Roman" w:eastAsia="Calibri" w:hAnsi="Times New Roman" w:cs="Times New Roman"/>
          <w:sz w:val="24"/>
          <w:szCs w:val="24"/>
        </w:rPr>
        <w:t xml:space="preserve"> on</w:t>
      </w:r>
      <w:r w:rsidRPr="009D3306">
        <w:rPr>
          <w:rFonts w:ascii="Times New Roman" w:eastAsia="Calibri" w:hAnsi="Times New Roman" w:cs="Times New Roman"/>
          <w:sz w:val="24"/>
          <w:szCs w:val="24"/>
        </w:rPr>
        <w:t xml:space="preserve"> earlier achievements on judicial reform and that it continues further</w:t>
      </w:r>
      <w:r w:rsidR="007E3A84">
        <w:rPr>
          <w:rFonts w:ascii="Times New Roman" w:eastAsia="Calibri" w:hAnsi="Times New Roman" w:cs="Times New Roman"/>
          <w:sz w:val="24"/>
          <w:szCs w:val="24"/>
        </w:rPr>
        <w:t xml:space="preserve"> </w:t>
      </w:r>
      <w:r w:rsidRPr="009D3306">
        <w:rPr>
          <w:rFonts w:ascii="Times New Roman" w:eastAsia="Calibri" w:hAnsi="Times New Roman" w:cs="Times New Roman"/>
          <w:sz w:val="24"/>
          <w:szCs w:val="24"/>
        </w:rPr>
        <w:t>building track records, in particular on fight against</w:t>
      </w:r>
      <w:r>
        <w:rPr>
          <w:rFonts w:ascii="Times New Roman" w:eastAsia="Calibri" w:hAnsi="Times New Roman" w:cs="Times New Roman"/>
          <w:sz w:val="24"/>
          <w:szCs w:val="24"/>
        </w:rPr>
        <w:t xml:space="preserve"> and prevention of</w:t>
      </w:r>
      <w:r w:rsidRPr="009D3306">
        <w:rPr>
          <w:rFonts w:ascii="Times New Roman" w:eastAsia="Calibri" w:hAnsi="Times New Roman" w:cs="Times New Roman"/>
          <w:sz w:val="24"/>
          <w:szCs w:val="24"/>
        </w:rPr>
        <w:t xml:space="preserve"> corruption, while ensuring genuine independence of all the respective institutions.  </w:t>
      </w:r>
    </w:p>
    <w:p w14:paraId="5022B611" w14:textId="77777777" w:rsidR="00995366" w:rsidRPr="009D3306" w:rsidRDefault="00995366" w:rsidP="00995366">
      <w:pPr>
        <w:autoSpaceDE w:val="0"/>
        <w:autoSpaceDN w:val="0"/>
        <w:adjustRightInd w:val="0"/>
        <w:spacing w:after="0" w:line="240" w:lineRule="auto"/>
        <w:jc w:val="both"/>
        <w:rPr>
          <w:rFonts w:ascii="Times New Roman" w:eastAsia="Calibri" w:hAnsi="Times New Roman" w:cs="Times New Roman"/>
          <w:sz w:val="24"/>
          <w:szCs w:val="24"/>
        </w:rPr>
      </w:pPr>
    </w:p>
    <w:p w14:paraId="5EAF98FE" w14:textId="62DBDD3C" w:rsidR="00995366" w:rsidRDefault="00995366" w:rsidP="00995366">
      <w:pPr>
        <w:autoSpaceDE w:val="0"/>
        <w:autoSpaceDN w:val="0"/>
        <w:adjustRightInd w:val="0"/>
        <w:spacing w:after="0" w:line="240" w:lineRule="auto"/>
        <w:jc w:val="both"/>
        <w:rPr>
          <w:rFonts w:ascii="Times New Roman" w:eastAsia="Calibri" w:hAnsi="Times New Roman" w:cs="Times New Roman"/>
          <w:sz w:val="24"/>
          <w:szCs w:val="24"/>
        </w:rPr>
      </w:pPr>
      <w:r w:rsidRPr="00995366">
        <w:rPr>
          <w:rFonts w:ascii="Times New Roman" w:eastAsia="Calibri" w:hAnsi="Times New Roman" w:cs="Times New Roman"/>
          <w:sz w:val="24"/>
          <w:szCs w:val="24"/>
        </w:rPr>
        <w:t xml:space="preserve">On Chapter 24, the initial track record on the fight against trafficking in human beings was consolidated. Internal organisation and coordination of law-enforcement agencies was further improved, as reflected in the increased number of arrests and prosecutions. Montenegro’s active involvement in international police cooperation </w:t>
      </w:r>
      <w:r w:rsidR="006C731B">
        <w:rPr>
          <w:rFonts w:ascii="Times New Roman" w:eastAsia="Calibri" w:hAnsi="Times New Roman" w:cs="Times New Roman"/>
          <w:sz w:val="24"/>
          <w:szCs w:val="24"/>
        </w:rPr>
        <w:t xml:space="preserve">again </w:t>
      </w:r>
      <w:r w:rsidRPr="00995366">
        <w:rPr>
          <w:rFonts w:ascii="Times New Roman" w:eastAsia="Calibri" w:hAnsi="Times New Roman" w:cs="Times New Roman"/>
          <w:sz w:val="24"/>
          <w:szCs w:val="24"/>
        </w:rPr>
        <w:t xml:space="preserve">resulted in successful operations against Montenegrin crime groups, in the country and abroad, </w:t>
      </w:r>
      <w:r w:rsidR="006C731B">
        <w:rPr>
          <w:rFonts w:ascii="Times New Roman" w:eastAsia="Calibri" w:hAnsi="Times New Roman" w:cs="Times New Roman"/>
          <w:sz w:val="24"/>
          <w:szCs w:val="24"/>
        </w:rPr>
        <w:t xml:space="preserve">which also </w:t>
      </w:r>
      <w:r w:rsidRPr="00995366">
        <w:rPr>
          <w:rFonts w:ascii="Times New Roman" w:eastAsia="Calibri" w:hAnsi="Times New Roman" w:cs="Times New Roman"/>
          <w:sz w:val="24"/>
          <w:szCs w:val="24"/>
        </w:rPr>
        <w:t>includ</w:t>
      </w:r>
      <w:r w:rsidR="006C731B">
        <w:rPr>
          <w:rFonts w:ascii="Times New Roman" w:eastAsia="Calibri" w:hAnsi="Times New Roman" w:cs="Times New Roman"/>
          <w:sz w:val="24"/>
          <w:szCs w:val="24"/>
        </w:rPr>
        <w:t>e</w:t>
      </w:r>
      <w:r w:rsidRPr="00995366">
        <w:rPr>
          <w:rFonts w:ascii="Times New Roman" w:eastAsia="Calibri" w:hAnsi="Times New Roman" w:cs="Times New Roman"/>
          <w:sz w:val="24"/>
          <w:szCs w:val="24"/>
        </w:rPr>
        <w:t xml:space="preserve"> prominent </w:t>
      </w:r>
      <w:r w:rsidRPr="00995366">
        <w:rPr>
          <w:rFonts w:ascii="Times New Roman" w:eastAsia="Calibri" w:hAnsi="Times New Roman" w:cs="Times New Roman"/>
          <w:sz w:val="24"/>
          <w:szCs w:val="24"/>
        </w:rPr>
        <w:lastRenderedPageBreak/>
        <w:t>cases. However, access of law-enforcement agencies to key databases is still limited and hampers investigations. Lengthy court proceedings and multiple adjournments of hearings still impede the adjudication of organised crime cases. Final convictions based on plea bargains remain the norm, leading to lenient sentences and fines. In the area of migration and asylum, Montenegro continued to show its resilience and commitment against the background of increased migration flows across the country. The Status Agreement with the EU, providing for the deployment of European Border and Coast Guard teams with executive powers along Montenegro’s bo</w:t>
      </w:r>
      <w:r w:rsidR="00792A8D">
        <w:rPr>
          <w:rFonts w:ascii="Times New Roman" w:eastAsia="Calibri" w:hAnsi="Times New Roman" w:cs="Times New Roman"/>
          <w:sz w:val="24"/>
          <w:szCs w:val="24"/>
        </w:rPr>
        <w:t xml:space="preserve">rders with the EU, was ratified and </w:t>
      </w:r>
      <w:r w:rsidR="00D31A82">
        <w:rPr>
          <w:rFonts w:ascii="Times New Roman" w:eastAsia="Calibri" w:hAnsi="Times New Roman" w:cs="Times New Roman"/>
          <w:sz w:val="24"/>
          <w:szCs w:val="24"/>
        </w:rPr>
        <w:t>is expected to</w:t>
      </w:r>
      <w:r w:rsidR="00792A8D">
        <w:rPr>
          <w:rFonts w:ascii="Times New Roman" w:eastAsia="Calibri" w:hAnsi="Times New Roman" w:cs="Times New Roman"/>
          <w:sz w:val="24"/>
          <w:szCs w:val="24"/>
        </w:rPr>
        <w:t xml:space="preserve"> enter into force on the 1</w:t>
      </w:r>
      <w:r w:rsidR="00792A8D" w:rsidRPr="00792A8D">
        <w:rPr>
          <w:rFonts w:ascii="Times New Roman" w:eastAsia="Calibri" w:hAnsi="Times New Roman" w:cs="Times New Roman"/>
          <w:sz w:val="24"/>
          <w:szCs w:val="24"/>
          <w:vertAlign w:val="superscript"/>
        </w:rPr>
        <w:t>st</w:t>
      </w:r>
      <w:r w:rsidR="00792A8D">
        <w:rPr>
          <w:rFonts w:ascii="Times New Roman" w:eastAsia="Calibri" w:hAnsi="Times New Roman" w:cs="Times New Roman"/>
          <w:sz w:val="24"/>
          <w:szCs w:val="24"/>
        </w:rPr>
        <w:t xml:space="preserve"> of July 2020.</w:t>
      </w:r>
      <w:r w:rsidRPr="00995366">
        <w:rPr>
          <w:rFonts w:ascii="Times New Roman" w:eastAsia="Calibri" w:hAnsi="Times New Roman" w:cs="Times New Roman"/>
          <w:sz w:val="24"/>
          <w:szCs w:val="24"/>
        </w:rPr>
        <w:t xml:space="preserve"> </w:t>
      </w:r>
    </w:p>
    <w:p w14:paraId="118D3AEB" w14:textId="77777777" w:rsidR="00995366" w:rsidRDefault="00995366" w:rsidP="00995366">
      <w:pPr>
        <w:autoSpaceDE w:val="0"/>
        <w:autoSpaceDN w:val="0"/>
        <w:adjustRightInd w:val="0"/>
        <w:spacing w:after="0" w:line="240" w:lineRule="auto"/>
        <w:jc w:val="both"/>
        <w:rPr>
          <w:rFonts w:ascii="Times New Roman" w:eastAsia="Calibri" w:hAnsi="Times New Roman" w:cs="Times New Roman"/>
          <w:sz w:val="24"/>
          <w:szCs w:val="24"/>
        </w:rPr>
      </w:pPr>
    </w:p>
    <w:p w14:paraId="7219F966" w14:textId="77777777" w:rsidR="00995366" w:rsidRPr="00B16395" w:rsidRDefault="00995366" w:rsidP="00995366">
      <w:pPr>
        <w:keepNext/>
        <w:keepLines/>
        <w:spacing w:after="120" w:line="240" w:lineRule="auto"/>
        <w:outlineLvl w:val="1"/>
        <w:rPr>
          <w:rFonts w:ascii="Times New Roman" w:eastAsia="Times New Roman" w:hAnsi="Times New Roman" w:cs="Times New Roman"/>
          <w:b/>
          <w:sz w:val="24"/>
          <w:szCs w:val="24"/>
          <w:u w:val="single"/>
        </w:rPr>
      </w:pPr>
      <w:bookmarkStart w:id="1" w:name="_Toc30073806"/>
      <w:bookmarkStart w:id="2" w:name="_Toc30074119"/>
      <w:bookmarkStart w:id="3" w:name="_Toc30080558"/>
      <w:r w:rsidRPr="00B16395">
        <w:rPr>
          <w:rFonts w:ascii="Times New Roman" w:eastAsia="Times New Roman" w:hAnsi="Times New Roman" w:cs="Times New Roman"/>
          <w:b/>
          <w:sz w:val="24"/>
          <w:szCs w:val="24"/>
          <w:u w:val="single"/>
        </w:rPr>
        <w:t>2.</w:t>
      </w:r>
      <w:bookmarkEnd w:id="1"/>
      <w:bookmarkEnd w:id="2"/>
      <w:bookmarkEnd w:id="3"/>
      <w:r w:rsidRPr="001F7EED">
        <w:rPr>
          <w:rFonts w:ascii="Times New Roman" w:eastAsia="Times New Roman" w:hAnsi="Times New Roman" w:cs="Times New Roman"/>
          <w:b/>
          <w:sz w:val="24"/>
          <w:szCs w:val="24"/>
          <w:u w:val="single"/>
        </w:rPr>
        <w:t xml:space="preserve"> </w:t>
      </w:r>
      <w:r w:rsidRPr="001F7EED">
        <w:rPr>
          <w:rFonts w:ascii="Times New Roman" w:eastAsia="Times New Roman" w:hAnsi="Times New Roman" w:cs="Times New Roman"/>
          <w:b/>
          <w:sz w:val="24"/>
          <w:szCs w:val="24"/>
          <w:u w:val="single"/>
        </w:rPr>
        <w:tab/>
        <w:t>Detailed overview</w:t>
      </w:r>
      <w:r w:rsidRPr="00B16395">
        <w:rPr>
          <w:rFonts w:ascii="Times New Roman" w:eastAsia="Times New Roman" w:hAnsi="Times New Roman" w:cs="Times New Roman"/>
          <w:b/>
          <w:sz w:val="24"/>
          <w:szCs w:val="24"/>
          <w:u w:val="single"/>
        </w:rPr>
        <w:t xml:space="preserve"> </w:t>
      </w:r>
    </w:p>
    <w:p w14:paraId="6981A873" w14:textId="77777777" w:rsidR="00995366" w:rsidRPr="00B16395" w:rsidRDefault="00995366" w:rsidP="00995366">
      <w:pPr>
        <w:keepNext/>
        <w:keepLines/>
        <w:spacing w:after="120" w:line="240" w:lineRule="auto"/>
        <w:outlineLvl w:val="1"/>
        <w:rPr>
          <w:rFonts w:ascii="Times New Roman" w:eastAsiaTheme="majorEastAsia" w:hAnsi="Times New Roman" w:cs="Times New Roman"/>
          <w:b/>
          <w:sz w:val="24"/>
          <w:szCs w:val="24"/>
          <w:u w:val="single"/>
        </w:rPr>
      </w:pPr>
      <w:bookmarkStart w:id="4" w:name="_Toc30080559"/>
      <w:r w:rsidRPr="00B16395">
        <w:rPr>
          <w:rFonts w:ascii="Times New Roman" w:eastAsiaTheme="majorEastAsia" w:hAnsi="Times New Roman" w:cs="Times New Roman"/>
          <w:b/>
          <w:sz w:val="24"/>
          <w:szCs w:val="24"/>
          <w:u w:val="single"/>
        </w:rPr>
        <w:t>2.</w:t>
      </w:r>
      <w:r w:rsidRPr="001F7EED">
        <w:rPr>
          <w:rFonts w:ascii="Times New Roman" w:eastAsiaTheme="majorEastAsia" w:hAnsi="Times New Roman" w:cs="Times New Roman"/>
          <w:b/>
          <w:sz w:val="24"/>
          <w:szCs w:val="24"/>
          <w:u w:val="single"/>
        </w:rPr>
        <w:t xml:space="preserve"> </w:t>
      </w:r>
      <w:r w:rsidRPr="00B16395">
        <w:rPr>
          <w:rFonts w:ascii="Times New Roman" w:eastAsiaTheme="majorEastAsia" w:hAnsi="Times New Roman" w:cs="Times New Roman"/>
          <w:b/>
          <w:sz w:val="24"/>
          <w:szCs w:val="24"/>
          <w:u w:val="single"/>
        </w:rPr>
        <w:t>1.</w:t>
      </w:r>
      <w:r w:rsidRPr="00B16395">
        <w:rPr>
          <w:rFonts w:ascii="Times New Roman" w:eastAsiaTheme="majorEastAsia" w:hAnsi="Times New Roman" w:cs="Times New Roman"/>
          <w:b/>
          <w:sz w:val="24"/>
          <w:szCs w:val="24"/>
          <w:u w:val="single"/>
        </w:rPr>
        <w:tab/>
        <w:t>Chapter 23: Judiciary and fundamental rights</w:t>
      </w:r>
      <w:bookmarkEnd w:id="4"/>
    </w:p>
    <w:p w14:paraId="2E284149" w14:textId="77777777" w:rsidR="00995366" w:rsidRPr="00B16395" w:rsidRDefault="00995366" w:rsidP="00995366">
      <w:pPr>
        <w:spacing w:after="12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J</w:t>
      </w:r>
      <w:r w:rsidRPr="00B16395">
        <w:rPr>
          <w:rFonts w:ascii="Times New Roman" w:eastAsia="Calibri" w:hAnsi="Times New Roman" w:cs="Times New Roman"/>
          <w:b/>
          <w:sz w:val="24"/>
          <w:szCs w:val="24"/>
        </w:rPr>
        <w:t>udiciary</w:t>
      </w:r>
    </w:p>
    <w:p w14:paraId="595D4A83" w14:textId="1DFF9BC5" w:rsidR="00995366" w:rsidRPr="00B16395" w:rsidRDefault="00995366" w:rsidP="00995366">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2019-2020 action plan accompanying the </w:t>
      </w:r>
      <w:r w:rsidRPr="00B16395">
        <w:rPr>
          <w:rFonts w:ascii="Times New Roman" w:eastAsia="Calibri" w:hAnsi="Times New Roman" w:cs="Times New Roman"/>
          <w:sz w:val="24"/>
          <w:szCs w:val="24"/>
        </w:rPr>
        <w:t>2019-2022 judicial reform strategy</w:t>
      </w:r>
      <w:r>
        <w:rPr>
          <w:rFonts w:ascii="Times New Roman" w:eastAsia="Calibri" w:hAnsi="Times New Roman" w:cs="Times New Roman"/>
          <w:sz w:val="24"/>
          <w:szCs w:val="24"/>
        </w:rPr>
        <w:t xml:space="preserve"> is being implemented without any notable delays</w:t>
      </w:r>
      <w:r w:rsidRPr="00B1639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w:t>
      </w:r>
      <w:r w:rsidRPr="00B16395">
        <w:rPr>
          <w:rFonts w:ascii="Times New Roman" w:eastAsia="Calibri" w:hAnsi="Times New Roman" w:cs="Times New Roman"/>
          <w:sz w:val="24"/>
          <w:szCs w:val="24"/>
        </w:rPr>
        <w:t xml:space="preserve">amendments to the law on courts and the law on the State Prosecutor’s Office </w:t>
      </w:r>
      <w:r>
        <w:rPr>
          <w:rFonts w:ascii="Times New Roman" w:eastAsia="Calibri" w:hAnsi="Times New Roman" w:cs="Times New Roman"/>
          <w:sz w:val="24"/>
          <w:szCs w:val="24"/>
        </w:rPr>
        <w:t>adopted by the Government in December 2019 and aimed to</w:t>
      </w:r>
      <w:r w:rsidRPr="00B16395">
        <w:rPr>
          <w:rFonts w:ascii="Times New Roman" w:eastAsia="Calibri" w:hAnsi="Times New Roman" w:cs="Times New Roman"/>
          <w:sz w:val="24"/>
          <w:szCs w:val="24"/>
        </w:rPr>
        <w:t xml:space="preserve"> harmonise both laws with the 2018 law on judicial cooperation in criminal matters</w:t>
      </w:r>
      <w:r>
        <w:rPr>
          <w:rFonts w:ascii="Times New Roman" w:eastAsia="Calibri" w:hAnsi="Times New Roman" w:cs="Times New Roman"/>
          <w:sz w:val="24"/>
          <w:szCs w:val="24"/>
        </w:rPr>
        <w:t xml:space="preserve"> are </w:t>
      </w:r>
      <w:r w:rsidRPr="00B16395">
        <w:rPr>
          <w:rFonts w:ascii="Times New Roman" w:eastAsia="Calibri" w:hAnsi="Times New Roman" w:cs="Times New Roman"/>
          <w:sz w:val="24"/>
          <w:szCs w:val="24"/>
        </w:rPr>
        <w:t xml:space="preserve">pending enactment </w:t>
      </w:r>
      <w:r>
        <w:rPr>
          <w:rFonts w:ascii="Times New Roman" w:eastAsia="Calibri" w:hAnsi="Times New Roman" w:cs="Times New Roman"/>
          <w:sz w:val="24"/>
          <w:szCs w:val="24"/>
        </w:rPr>
        <w:t>by</w:t>
      </w:r>
      <w:r w:rsidRPr="00B16395">
        <w:rPr>
          <w:rFonts w:ascii="Times New Roman" w:eastAsia="Calibri" w:hAnsi="Times New Roman" w:cs="Times New Roman"/>
          <w:sz w:val="24"/>
          <w:szCs w:val="24"/>
        </w:rPr>
        <w:t xml:space="preserve"> Parliament.</w:t>
      </w:r>
    </w:p>
    <w:p w14:paraId="6B0057E2" w14:textId="6537D182" w:rsidR="00995366" w:rsidRPr="00B16395" w:rsidRDefault="00995366" w:rsidP="00995366">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B16395">
        <w:rPr>
          <w:rFonts w:ascii="Times New Roman" w:eastAsia="Calibri" w:hAnsi="Times New Roman" w:cs="Times New Roman"/>
          <w:sz w:val="24"/>
          <w:szCs w:val="24"/>
        </w:rPr>
        <w:t xml:space="preserve">ccording to </w:t>
      </w:r>
      <w:r>
        <w:rPr>
          <w:rFonts w:ascii="Times New Roman" w:eastAsia="Calibri" w:hAnsi="Times New Roman" w:cs="Times New Roman"/>
          <w:sz w:val="24"/>
          <w:szCs w:val="24"/>
        </w:rPr>
        <w:t xml:space="preserve">December 2019 </w:t>
      </w:r>
      <w:r w:rsidRPr="00B16395">
        <w:rPr>
          <w:rFonts w:ascii="Times New Roman" w:eastAsia="Calibri" w:hAnsi="Times New Roman" w:cs="Times New Roman"/>
          <w:sz w:val="24"/>
          <w:szCs w:val="24"/>
        </w:rPr>
        <w:t>GRECO</w:t>
      </w:r>
      <w:r>
        <w:rPr>
          <w:rFonts w:ascii="Times New Roman" w:eastAsia="Calibri" w:hAnsi="Times New Roman" w:cs="Times New Roman"/>
          <w:sz w:val="24"/>
          <w:szCs w:val="24"/>
        </w:rPr>
        <w:t xml:space="preserve"> report</w:t>
      </w:r>
      <w:r w:rsidRPr="00B16395">
        <w:rPr>
          <w:rFonts w:ascii="Times New Roman" w:eastAsia="Calibri" w:hAnsi="Times New Roman" w:cs="Times New Roman"/>
          <w:sz w:val="24"/>
          <w:szCs w:val="24"/>
        </w:rPr>
        <w:t xml:space="preserve">, outstanding issues remain with regard to strengthening the Judicial Council’s independence against undue political influence, for </w:t>
      </w:r>
      <w:r w:rsidR="000F7A7F">
        <w:rPr>
          <w:rFonts w:ascii="Times New Roman" w:eastAsia="Calibri" w:hAnsi="Times New Roman" w:cs="Times New Roman"/>
          <w:sz w:val="24"/>
          <w:szCs w:val="24"/>
        </w:rPr>
        <w:t>example</w:t>
      </w:r>
      <w:r w:rsidRPr="00B16395">
        <w:rPr>
          <w:rFonts w:ascii="Times New Roman" w:eastAsia="Calibri" w:hAnsi="Times New Roman" w:cs="Times New Roman"/>
          <w:sz w:val="24"/>
          <w:szCs w:val="24"/>
        </w:rPr>
        <w:t xml:space="preserve"> the ex-officio participation of</w:t>
      </w:r>
      <w:r w:rsidR="000F7A7F">
        <w:rPr>
          <w:rFonts w:ascii="Times New Roman" w:eastAsia="Calibri" w:hAnsi="Times New Roman" w:cs="Times New Roman"/>
          <w:sz w:val="24"/>
          <w:szCs w:val="24"/>
        </w:rPr>
        <w:t xml:space="preserve"> the</w:t>
      </w:r>
      <w:r w:rsidRPr="00B16395">
        <w:rPr>
          <w:rFonts w:ascii="Times New Roman" w:eastAsia="Calibri" w:hAnsi="Times New Roman" w:cs="Times New Roman"/>
          <w:sz w:val="24"/>
          <w:szCs w:val="24"/>
        </w:rPr>
        <w:t xml:space="preserve"> minister of justice. The anti-deadlock mechanism introduced by the 2018 amendments to the law on the Judicial Council continues to apply, allowing for</w:t>
      </w:r>
      <w:r w:rsidR="000F7A7F">
        <w:rPr>
          <w:rFonts w:ascii="Times New Roman" w:eastAsia="Calibri" w:hAnsi="Times New Roman" w:cs="Times New Roman"/>
          <w:sz w:val="24"/>
          <w:szCs w:val="24"/>
        </w:rPr>
        <w:t xml:space="preserve"> the</w:t>
      </w:r>
      <w:r w:rsidRPr="00B16395">
        <w:rPr>
          <w:rFonts w:ascii="Times New Roman" w:eastAsia="Calibri" w:hAnsi="Times New Roman" w:cs="Times New Roman"/>
          <w:sz w:val="24"/>
          <w:szCs w:val="24"/>
        </w:rPr>
        <w:t xml:space="preserve"> extension of the non-judicial members’ mandate until new ones are elected. Following the resignation of the President of the Judicial Council in December 2019, the Council continued to operate in </w:t>
      </w:r>
      <w:r w:rsidR="000F7A7F">
        <w:rPr>
          <w:rFonts w:ascii="Times New Roman" w:eastAsia="Calibri" w:hAnsi="Times New Roman" w:cs="Times New Roman"/>
          <w:sz w:val="24"/>
          <w:szCs w:val="24"/>
        </w:rPr>
        <w:t xml:space="preserve">an </w:t>
      </w:r>
      <w:r w:rsidRPr="00B16395">
        <w:rPr>
          <w:rFonts w:ascii="Times New Roman" w:eastAsia="Calibri" w:hAnsi="Times New Roman" w:cs="Times New Roman"/>
          <w:sz w:val="24"/>
          <w:szCs w:val="24"/>
        </w:rPr>
        <w:t xml:space="preserve">incomplete composition. A new call for non-judicial members of the Judicial Council published in January 2020 has not yet been finalised by Parliament. </w:t>
      </w:r>
    </w:p>
    <w:p w14:paraId="07386035" w14:textId="03B7ABDA" w:rsidR="00995366" w:rsidRPr="00B16395" w:rsidRDefault="00995366" w:rsidP="00995366">
      <w:pPr>
        <w:spacing w:after="120" w:line="240" w:lineRule="auto"/>
        <w:jc w:val="both"/>
        <w:rPr>
          <w:rFonts w:ascii="Times New Roman" w:eastAsia="Calibri" w:hAnsi="Times New Roman" w:cs="Times New Roman"/>
          <w:sz w:val="24"/>
          <w:szCs w:val="24"/>
        </w:rPr>
      </w:pPr>
      <w:r w:rsidRPr="00B16395">
        <w:rPr>
          <w:rFonts w:ascii="Times New Roman" w:eastAsia="Calibri" w:hAnsi="Times New Roman" w:cs="Times New Roman"/>
          <w:sz w:val="24"/>
          <w:szCs w:val="24"/>
        </w:rPr>
        <w:t xml:space="preserve">The 2020 budget of the Judicial Council </w:t>
      </w:r>
      <w:r w:rsidR="007D49CA">
        <w:rPr>
          <w:rFonts w:ascii="Times New Roman" w:eastAsia="Calibri" w:hAnsi="Times New Roman" w:cs="Times New Roman"/>
          <w:sz w:val="24"/>
          <w:szCs w:val="24"/>
        </w:rPr>
        <w:t xml:space="preserve">was </w:t>
      </w:r>
      <w:r w:rsidRPr="00B16395">
        <w:rPr>
          <w:rFonts w:ascii="Times New Roman" w:eastAsia="Calibri" w:hAnsi="Times New Roman" w:cs="Times New Roman"/>
          <w:sz w:val="24"/>
          <w:szCs w:val="24"/>
        </w:rPr>
        <w:t>increased by 20% to € 1.65 million from the € 1.37 million allocated in 2019. The 2020 budget of the Prosecutorial Council rose by 16% to € 670,000 (2019: € 561,000). The operational capacity of both Councils secretariats continues to improve, but need</w:t>
      </w:r>
      <w:r w:rsidR="000F7A7F">
        <w:rPr>
          <w:rFonts w:ascii="Times New Roman" w:eastAsia="Calibri" w:hAnsi="Times New Roman" w:cs="Times New Roman"/>
          <w:sz w:val="24"/>
          <w:szCs w:val="24"/>
        </w:rPr>
        <w:t>s</w:t>
      </w:r>
      <w:r w:rsidRPr="00B16395">
        <w:rPr>
          <w:rFonts w:ascii="Times New Roman" w:eastAsia="Calibri" w:hAnsi="Times New Roman" w:cs="Times New Roman"/>
          <w:sz w:val="24"/>
          <w:szCs w:val="24"/>
        </w:rPr>
        <w:t xml:space="preserve"> further strengthening. A</w:t>
      </w:r>
      <w:r w:rsidR="000F7A7F">
        <w:rPr>
          <w:rFonts w:ascii="Times New Roman" w:eastAsia="Calibri" w:hAnsi="Times New Roman" w:cs="Times New Roman"/>
          <w:sz w:val="24"/>
          <w:szCs w:val="24"/>
        </w:rPr>
        <w:t>dditionally,</w:t>
      </w:r>
      <w:r w:rsidRPr="00B16395">
        <w:rPr>
          <w:rFonts w:ascii="Times New Roman" w:eastAsia="Calibri" w:hAnsi="Times New Roman" w:cs="Times New Roman"/>
          <w:sz w:val="24"/>
          <w:szCs w:val="24"/>
        </w:rPr>
        <w:t xml:space="preserve"> both Councils still need to assume budgetary and financial management functions at central level as well as at court and prosecution office level. Technical preparations are to be finalised to gradually transfer budgetary planning and execution to courts and prosecution offices in the course of 2020, while the Ministry of Finance is yet to recognise them as budgetary units. </w:t>
      </w:r>
    </w:p>
    <w:p w14:paraId="18CF8256" w14:textId="77777777" w:rsidR="00995366" w:rsidRPr="00B16395" w:rsidRDefault="00995366" w:rsidP="00995366">
      <w:pPr>
        <w:spacing w:after="120" w:line="240" w:lineRule="auto"/>
        <w:jc w:val="both"/>
        <w:rPr>
          <w:rFonts w:ascii="Times New Roman" w:eastAsia="Calibri" w:hAnsi="Times New Roman" w:cs="Times New Roman"/>
          <w:sz w:val="24"/>
          <w:szCs w:val="24"/>
          <w:u w:val="single"/>
        </w:rPr>
      </w:pPr>
      <w:r w:rsidRPr="00B16395">
        <w:rPr>
          <w:rFonts w:ascii="Times New Roman" w:eastAsia="Calibri" w:hAnsi="Times New Roman" w:cs="Times New Roman"/>
          <w:sz w:val="24"/>
          <w:szCs w:val="24"/>
          <w:u w:val="single"/>
        </w:rPr>
        <w:t>Independence and impartiality</w:t>
      </w:r>
    </w:p>
    <w:p w14:paraId="6BC7CFBE" w14:textId="01E5283C" w:rsidR="00995366" w:rsidRDefault="00863A93" w:rsidP="00995366">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legal framework guaranteeing judicial independence is in place, however, the judiciary and the prosecution remain perceived as vulnerable to political interference. </w:t>
      </w:r>
      <w:r w:rsidR="00995366">
        <w:rPr>
          <w:rFonts w:ascii="Times New Roman" w:eastAsia="Calibri" w:hAnsi="Times New Roman" w:cs="Times New Roman"/>
          <w:sz w:val="24"/>
          <w:szCs w:val="24"/>
        </w:rPr>
        <w:t>B</w:t>
      </w:r>
      <w:r w:rsidR="00995366" w:rsidRPr="001F7EED">
        <w:rPr>
          <w:rFonts w:ascii="Times New Roman" w:eastAsia="Calibri" w:hAnsi="Times New Roman" w:cs="Times New Roman"/>
          <w:sz w:val="24"/>
          <w:szCs w:val="24"/>
        </w:rPr>
        <w:t>etween 2019 and early 2020</w:t>
      </w:r>
      <w:r w:rsidR="000F7A7F">
        <w:rPr>
          <w:rFonts w:ascii="Times New Roman" w:eastAsia="Calibri" w:hAnsi="Times New Roman" w:cs="Times New Roman"/>
          <w:sz w:val="24"/>
          <w:szCs w:val="24"/>
        </w:rPr>
        <w:t>,</w:t>
      </w:r>
      <w:r w:rsidR="00995366">
        <w:rPr>
          <w:rFonts w:ascii="Times New Roman" w:eastAsia="Calibri" w:hAnsi="Times New Roman" w:cs="Times New Roman"/>
          <w:sz w:val="24"/>
          <w:szCs w:val="24"/>
        </w:rPr>
        <w:t xml:space="preserve"> the Judicial Council</w:t>
      </w:r>
      <w:r w:rsidR="00995366" w:rsidRPr="001F7EED">
        <w:rPr>
          <w:rFonts w:ascii="Times New Roman" w:eastAsia="Calibri" w:hAnsi="Times New Roman" w:cs="Times New Roman"/>
          <w:sz w:val="24"/>
          <w:szCs w:val="24"/>
        </w:rPr>
        <w:t xml:space="preserve"> </w:t>
      </w:r>
      <w:r w:rsidR="00995366" w:rsidRPr="00B16395">
        <w:rPr>
          <w:rFonts w:ascii="Times New Roman" w:eastAsia="Calibri" w:hAnsi="Times New Roman" w:cs="Times New Roman"/>
          <w:sz w:val="24"/>
          <w:szCs w:val="24"/>
        </w:rPr>
        <w:t xml:space="preserve">re-appointed </w:t>
      </w:r>
      <w:r w:rsidR="000F7A7F">
        <w:rPr>
          <w:rFonts w:ascii="Times New Roman" w:eastAsia="Calibri" w:hAnsi="Times New Roman" w:cs="Times New Roman"/>
          <w:sz w:val="24"/>
          <w:szCs w:val="24"/>
        </w:rPr>
        <w:t>(</w:t>
      </w:r>
      <w:r w:rsidR="00995366" w:rsidRPr="001F7EED">
        <w:rPr>
          <w:rFonts w:ascii="Times New Roman" w:eastAsia="Calibri" w:hAnsi="Times New Roman" w:cs="Times New Roman"/>
          <w:sz w:val="24"/>
          <w:szCs w:val="24"/>
        </w:rPr>
        <w:t>altogether</w:t>
      </w:r>
      <w:r w:rsidR="000F7A7F">
        <w:rPr>
          <w:rFonts w:ascii="Times New Roman" w:eastAsia="Calibri" w:hAnsi="Times New Roman" w:cs="Times New Roman"/>
          <w:sz w:val="24"/>
          <w:szCs w:val="24"/>
        </w:rPr>
        <w:t>)</w:t>
      </w:r>
      <w:r w:rsidR="00995366" w:rsidRPr="001F7EED">
        <w:rPr>
          <w:rFonts w:ascii="Times New Roman" w:eastAsia="Calibri" w:hAnsi="Times New Roman" w:cs="Times New Roman"/>
          <w:sz w:val="24"/>
          <w:szCs w:val="24"/>
        </w:rPr>
        <w:t xml:space="preserve"> </w:t>
      </w:r>
      <w:r w:rsidR="00995366" w:rsidRPr="00B16395">
        <w:rPr>
          <w:rFonts w:ascii="Times New Roman" w:eastAsia="Calibri" w:hAnsi="Times New Roman" w:cs="Times New Roman"/>
          <w:sz w:val="24"/>
          <w:szCs w:val="24"/>
        </w:rPr>
        <w:t>seven court presidents, including the President of the Supreme Court, for at least a third term</w:t>
      </w:r>
      <w:r w:rsidR="00995366">
        <w:rPr>
          <w:rFonts w:ascii="Times New Roman" w:eastAsia="Calibri" w:hAnsi="Times New Roman" w:cs="Times New Roman"/>
          <w:sz w:val="24"/>
          <w:szCs w:val="24"/>
        </w:rPr>
        <w:t>. This</w:t>
      </w:r>
      <w:r w:rsidR="00995366" w:rsidRPr="00B16395">
        <w:rPr>
          <w:rFonts w:ascii="Times New Roman" w:eastAsia="Calibri" w:hAnsi="Times New Roman" w:cs="Times New Roman"/>
          <w:sz w:val="24"/>
          <w:szCs w:val="24"/>
        </w:rPr>
        <w:t xml:space="preserve"> </w:t>
      </w:r>
      <w:r>
        <w:rPr>
          <w:rFonts w:ascii="Times New Roman" w:eastAsia="Calibri" w:hAnsi="Times New Roman" w:cs="Times New Roman"/>
          <w:sz w:val="24"/>
          <w:szCs w:val="24"/>
        </w:rPr>
        <w:t>r</w:t>
      </w:r>
      <w:r w:rsidR="00995366" w:rsidRPr="00B16395">
        <w:rPr>
          <w:rFonts w:ascii="Times New Roman" w:eastAsia="Calibri" w:hAnsi="Times New Roman" w:cs="Times New Roman"/>
          <w:sz w:val="24"/>
          <w:szCs w:val="24"/>
        </w:rPr>
        <w:t>aises</w:t>
      </w:r>
      <w:r>
        <w:rPr>
          <w:rFonts w:ascii="Times New Roman" w:eastAsia="Calibri" w:hAnsi="Times New Roman" w:cs="Times New Roman"/>
          <w:sz w:val="24"/>
          <w:szCs w:val="24"/>
        </w:rPr>
        <w:t xml:space="preserve"> serious</w:t>
      </w:r>
      <w:r w:rsidR="00995366" w:rsidRPr="00B16395">
        <w:rPr>
          <w:rFonts w:ascii="Times New Roman" w:eastAsia="Calibri" w:hAnsi="Times New Roman" w:cs="Times New Roman"/>
          <w:sz w:val="24"/>
          <w:szCs w:val="24"/>
        </w:rPr>
        <w:t xml:space="preserve"> questions over the Judicial Council’s interpretation of the </w:t>
      </w:r>
      <w:r>
        <w:rPr>
          <w:rFonts w:ascii="Times New Roman" w:eastAsia="Calibri" w:hAnsi="Times New Roman" w:cs="Times New Roman"/>
          <w:sz w:val="24"/>
          <w:szCs w:val="24"/>
        </w:rPr>
        <w:t xml:space="preserve">letter and purpose of the </w:t>
      </w:r>
      <w:r w:rsidR="00995366" w:rsidRPr="00B16395">
        <w:rPr>
          <w:rFonts w:ascii="Times New Roman" w:eastAsia="Calibri" w:hAnsi="Times New Roman" w:cs="Times New Roman"/>
          <w:sz w:val="24"/>
          <w:szCs w:val="24"/>
        </w:rPr>
        <w:t>underlying constitutional and legal framework</w:t>
      </w:r>
      <w:r>
        <w:rPr>
          <w:rFonts w:ascii="Times New Roman" w:eastAsia="Calibri" w:hAnsi="Times New Roman" w:cs="Times New Roman"/>
          <w:sz w:val="24"/>
          <w:szCs w:val="24"/>
        </w:rPr>
        <w:t>, which limits such appointments to maximum two terms in order to prevent the over-concentration of power within the judiciary</w:t>
      </w:r>
      <w:r w:rsidR="00995366" w:rsidRPr="00B16395">
        <w:rPr>
          <w:rFonts w:ascii="Times New Roman" w:eastAsia="Calibri" w:hAnsi="Times New Roman" w:cs="Times New Roman"/>
          <w:sz w:val="24"/>
          <w:szCs w:val="24"/>
        </w:rPr>
        <w:t>. It is also not in line with</w:t>
      </w:r>
      <w:r w:rsidR="000F7A7F">
        <w:rPr>
          <w:rFonts w:ascii="Times New Roman" w:eastAsia="Calibri" w:hAnsi="Times New Roman" w:cs="Times New Roman"/>
          <w:sz w:val="24"/>
          <w:szCs w:val="24"/>
        </w:rPr>
        <w:t xml:space="preserve"> </w:t>
      </w:r>
      <w:r w:rsidR="00995366">
        <w:rPr>
          <w:rFonts w:ascii="Times New Roman" w:eastAsia="Calibri" w:hAnsi="Times New Roman" w:cs="Times New Roman"/>
          <w:sz w:val="24"/>
          <w:szCs w:val="24"/>
        </w:rPr>
        <w:t xml:space="preserve">GRECO </w:t>
      </w:r>
      <w:r w:rsidR="00995366" w:rsidRPr="00B16395">
        <w:rPr>
          <w:rFonts w:ascii="Times New Roman" w:eastAsia="Calibri" w:hAnsi="Times New Roman" w:cs="Times New Roman"/>
          <w:sz w:val="24"/>
          <w:szCs w:val="24"/>
        </w:rPr>
        <w:t>recommendations</w:t>
      </w:r>
      <w:r w:rsidR="00995366">
        <w:rPr>
          <w:rFonts w:ascii="Times New Roman" w:eastAsia="Calibri" w:hAnsi="Times New Roman" w:cs="Times New Roman"/>
          <w:sz w:val="24"/>
          <w:szCs w:val="24"/>
        </w:rPr>
        <w:t xml:space="preserve"> on </w:t>
      </w:r>
      <w:r w:rsidR="000F7A7F">
        <w:rPr>
          <w:rFonts w:ascii="Times New Roman" w:eastAsia="Calibri" w:hAnsi="Times New Roman" w:cs="Times New Roman"/>
          <w:sz w:val="24"/>
          <w:szCs w:val="24"/>
        </w:rPr>
        <w:t xml:space="preserve">the </w:t>
      </w:r>
      <w:r w:rsidR="00995366">
        <w:rPr>
          <w:rFonts w:ascii="Times New Roman" w:eastAsia="Calibri" w:hAnsi="Times New Roman" w:cs="Times New Roman"/>
          <w:sz w:val="24"/>
          <w:szCs w:val="24"/>
        </w:rPr>
        <w:t>independence of the judiciary</w:t>
      </w:r>
      <w:r w:rsidR="00995366" w:rsidRPr="00B16395">
        <w:rPr>
          <w:rFonts w:ascii="Times New Roman" w:eastAsia="Calibri" w:hAnsi="Times New Roman" w:cs="Times New Roman"/>
          <w:sz w:val="24"/>
          <w:szCs w:val="24"/>
        </w:rPr>
        <w:t xml:space="preserve">. In April 2020, as part of the measures introduced due to </w:t>
      </w:r>
      <w:r w:rsidR="008E399E">
        <w:rPr>
          <w:rFonts w:ascii="Times New Roman" w:eastAsia="Calibri" w:hAnsi="Times New Roman" w:cs="Times New Roman"/>
          <w:sz w:val="24"/>
          <w:szCs w:val="24"/>
        </w:rPr>
        <w:t>the COVID</w:t>
      </w:r>
      <w:r w:rsidR="000F7A7F">
        <w:rPr>
          <w:rFonts w:ascii="Times New Roman" w:eastAsia="Calibri" w:hAnsi="Times New Roman" w:cs="Times New Roman"/>
          <w:sz w:val="24"/>
          <w:szCs w:val="24"/>
        </w:rPr>
        <w:t>-</w:t>
      </w:r>
      <w:r w:rsidR="00995366" w:rsidRPr="00B16395">
        <w:rPr>
          <w:rFonts w:ascii="Times New Roman" w:eastAsia="Calibri" w:hAnsi="Times New Roman" w:cs="Times New Roman"/>
          <w:sz w:val="24"/>
          <w:szCs w:val="24"/>
        </w:rPr>
        <w:t xml:space="preserve">19 </w:t>
      </w:r>
      <w:r w:rsidR="00995366">
        <w:rPr>
          <w:rFonts w:ascii="Times New Roman" w:eastAsia="Calibri" w:hAnsi="Times New Roman" w:cs="Times New Roman"/>
          <w:sz w:val="24"/>
          <w:szCs w:val="24"/>
        </w:rPr>
        <w:t>outbreak</w:t>
      </w:r>
      <w:r w:rsidR="00995366" w:rsidRPr="00B16395">
        <w:rPr>
          <w:rFonts w:ascii="Times New Roman" w:eastAsia="Calibri" w:hAnsi="Times New Roman" w:cs="Times New Roman"/>
          <w:sz w:val="24"/>
          <w:szCs w:val="24"/>
        </w:rPr>
        <w:t>, the Government decided to reduce</w:t>
      </w:r>
      <w:r w:rsidR="000F7A7F">
        <w:rPr>
          <w:rFonts w:ascii="Times New Roman" w:eastAsia="Calibri" w:hAnsi="Times New Roman" w:cs="Times New Roman"/>
          <w:sz w:val="24"/>
          <w:szCs w:val="24"/>
        </w:rPr>
        <w:t xml:space="preserve"> the salaries of functionaries and civil servants in the highest remuneration groups by 50% in the months of May and June. This </w:t>
      </w:r>
      <w:r w:rsidR="00687AD9">
        <w:rPr>
          <w:rFonts w:ascii="Times New Roman" w:eastAsia="Calibri" w:hAnsi="Times New Roman" w:cs="Times New Roman"/>
          <w:sz w:val="24"/>
          <w:szCs w:val="24"/>
        </w:rPr>
        <w:t xml:space="preserve">measure </w:t>
      </w:r>
      <w:r w:rsidR="000F7A7F">
        <w:rPr>
          <w:rFonts w:ascii="Times New Roman" w:eastAsia="Calibri" w:hAnsi="Times New Roman" w:cs="Times New Roman"/>
          <w:sz w:val="24"/>
          <w:szCs w:val="24"/>
        </w:rPr>
        <w:t xml:space="preserve">applied to </w:t>
      </w:r>
      <w:r>
        <w:rPr>
          <w:rFonts w:ascii="Times New Roman" w:eastAsia="Calibri" w:hAnsi="Times New Roman" w:cs="Times New Roman"/>
          <w:sz w:val="24"/>
          <w:szCs w:val="24"/>
        </w:rPr>
        <w:t>134</w:t>
      </w:r>
      <w:r w:rsidR="000F7A7F">
        <w:rPr>
          <w:rFonts w:ascii="Times New Roman" w:eastAsia="Calibri" w:hAnsi="Times New Roman" w:cs="Times New Roman"/>
          <w:sz w:val="24"/>
          <w:szCs w:val="24"/>
        </w:rPr>
        <w:t xml:space="preserve"> judges and </w:t>
      </w:r>
      <w:r>
        <w:rPr>
          <w:rFonts w:ascii="Times New Roman" w:eastAsia="Calibri" w:hAnsi="Times New Roman" w:cs="Times New Roman"/>
          <w:sz w:val="24"/>
          <w:szCs w:val="24"/>
        </w:rPr>
        <w:t xml:space="preserve">59 </w:t>
      </w:r>
      <w:r w:rsidR="000F7A7F">
        <w:rPr>
          <w:rFonts w:ascii="Times New Roman" w:eastAsia="Calibri" w:hAnsi="Times New Roman" w:cs="Times New Roman"/>
          <w:sz w:val="24"/>
          <w:szCs w:val="24"/>
        </w:rPr>
        <w:t xml:space="preserve">prosecutors. </w:t>
      </w:r>
    </w:p>
    <w:p w14:paraId="6B799632" w14:textId="4017E3BF" w:rsidR="00995366" w:rsidRDefault="00995366" w:rsidP="00995366">
      <w:pPr>
        <w:spacing w:after="120" w:line="240" w:lineRule="auto"/>
        <w:jc w:val="both"/>
        <w:rPr>
          <w:rFonts w:ascii="Times New Roman" w:eastAsia="Calibri" w:hAnsi="Times New Roman" w:cs="Times New Roman"/>
          <w:sz w:val="24"/>
          <w:szCs w:val="24"/>
        </w:rPr>
      </w:pPr>
      <w:r w:rsidRPr="00B16395">
        <w:rPr>
          <w:rFonts w:ascii="Times New Roman" w:eastAsia="Calibri" w:hAnsi="Times New Roman" w:cs="Times New Roman"/>
          <w:sz w:val="24"/>
          <w:szCs w:val="24"/>
        </w:rPr>
        <w:lastRenderedPageBreak/>
        <w:t>The mandate of the Supreme State Prosecutor expired in October 2019 and his successor has yet to be appointed. After the first unsuccessful call for candidates, the Prosecutorial Council appointed the outgoing Supreme State Prosecutor in an acting capacity. The second call proceedings are currently pending before Parliament. The Prosecutorial Council has not yet completed the appointment procedure for 11 heads of state prosecution offices, initiated in 2019.</w:t>
      </w:r>
      <w:r>
        <w:rPr>
          <w:rFonts w:ascii="Times New Roman" w:eastAsia="Calibri" w:hAnsi="Times New Roman" w:cs="Times New Roman"/>
          <w:sz w:val="24"/>
          <w:szCs w:val="24"/>
        </w:rPr>
        <w:t xml:space="preserve"> I</w:t>
      </w:r>
      <w:r w:rsidRPr="00B16395">
        <w:rPr>
          <w:rFonts w:ascii="Times New Roman" w:eastAsia="Calibri" w:hAnsi="Times New Roman" w:cs="Times New Roman"/>
          <w:sz w:val="24"/>
          <w:szCs w:val="24"/>
        </w:rPr>
        <w:t>n January 2020</w:t>
      </w:r>
      <w:r w:rsidR="000F7A7F">
        <w:rPr>
          <w:rFonts w:ascii="Times New Roman" w:eastAsia="Calibri" w:hAnsi="Times New Roman" w:cs="Times New Roman"/>
          <w:sz w:val="24"/>
          <w:szCs w:val="24"/>
        </w:rPr>
        <w:t>,</w:t>
      </w:r>
      <w:r w:rsidRPr="00B16395">
        <w:rPr>
          <w:rFonts w:ascii="Times New Roman" w:eastAsia="Calibri" w:hAnsi="Times New Roman" w:cs="Times New Roman"/>
          <w:sz w:val="24"/>
          <w:szCs w:val="24"/>
        </w:rPr>
        <w:t xml:space="preserve"> the Constitutional Court, after </w:t>
      </w:r>
      <w:r w:rsidR="000F7A7F">
        <w:rPr>
          <w:rFonts w:ascii="Times New Roman" w:eastAsia="Calibri" w:hAnsi="Times New Roman" w:cs="Times New Roman"/>
          <w:sz w:val="24"/>
          <w:szCs w:val="24"/>
        </w:rPr>
        <w:t xml:space="preserve">the </w:t>
      </w:r>
      <w:r w:rsidRPr="00B16395">
        <w:rPr>
          <w:rFonts w:ascii="Times New Roman" w:eastAsia="Calibri" w:hAnsi="Times New Roman" w:cs="Times New Roman"/>
          <w:sz w:val="24"/>
          <w:szCs w:val="24"/>
        </w:rPr>
        <w:t>unsuccessful election of a new president, elected its former President as a ‘presiding judge’</w:t>
      </w:r>
      <w:r w:rsidR="000F7A7F">
        <w:rPr>
          <w:rFonts w:ascii="Times New Roman" w:eastAsia="Calibri" w:hAnsi="Times New Roman" w:cs="Times New Roman"/>
          <w:sz w:val="24"/>
          <w:szCs w:val="24"/>
        </w:rPr>
        <w:t>;</w:t>
      </w:r>
      <w:r>
        <w:rPr>
          <w:rFonts w:ascii="Times New Roman" w:eastAsia="Calibri" w:hAnsi="Times New Roman" w:cs="Times New Roman"/>
          <w:sz w:val="24"/>
          <w:szCs w:val="24"/>
        </w:rPr>
        <w:t xml:space="preserve"> an interim function until a new </w:t>
      </w:r>
      <w:r w:rsidRPr="00B16395">
        <w:rPr>
          <w:rFonts w:ascii="Times New Roman" w:eastAsia="Calibri" w:hAnsi="Times New Roman" w:cs="Times New Roman"/>
          <w:sz w:val="24"/>
          <w:szCs w:val="24"/>
        </w:rPr>
        <w:t xml:space="preserve">Constitutional Court president </w:t>
      </w:r>
      <w:r>
        <w:rPr>
          <w:rFonts w:ascii="Times New Roman" w:eastAsia="Calibri" w:hAnsi="Times New Roman" w:cs="Times New Roman"/>
          <w:sz w:val="24"/>
          <w:szCs w:val="24"/>
        </w:rPr>
        <w:t>is elected. S</w:t>
      </w:r>
      <w:r w:rsidRPr="00B16395">
        <w:rPr>
          <w:rFonts w:ascii="Times New Roman" w:eastAsia="Calibri" w:hAnsi="Times New Roman" w:cs="Times New Roman"/>
          <w:sz w:val="24"/>
          <w:szCs w:val="24"/>
        </w:rPr>
        <w:t>uch a category is not provided for by the legal framework.</w:t>
      </w:r>
    </w:p>
    <w:p w14:paraId="3283E4D7" w14:textId="4F45488F" w:rsidR="00995366" w:rsidRPr="00B16395" w:rsidRDefault="00995366" w:rsidP="00995366">
      <w:pPr>
        <w:spacing w:after="120" w:line="240" w:lineRule="auto"/>
        <w:jc w:val="both"/>
        <w:rPr>
          <w:rFonts w:ascii="Times New Roman" w:eastAsia="Calibri" w:hAnsi="Times New Roman" w:cs="Times New Roman"/>
          <w:sz w:val="24"/>
          <w:szCs w:val="24"/>
          <w:u w:val="single"/>
        </w:rPr>
      </w:pPr>
      <w:r w:rsidRPr="00B16395">
        <w:rPr>
          <w:rFonts w:ascii="Times New Roman" w:eastAsia="Calibri" w:hAnsi="Times New Roman" w:cs="Times New Roman"/>
          <w:sz w:val="24"/>
          <w:szCs w:val="24"/>
        </w:rPr>
        <w:t xml:space="preserve">Montenegro </w:t>
      </w:r>
      <w:r>
        <w:rPr>
          <w:rFonts w:ascii="Times New Roman" w:eastAsia="Calibri" w:hAnsi="Times New Roman" w:cs="Times New Roman"/>
          <w:sz w:val="24"/>
          <w:szCs w:val="24"/>
        </w:rPr>
        <w:t>c</w:t>
      </w:r>
      <w:r w:rsidRPr="00B16395">
        <w:rPr>
          <w:rFonts w:ascii="Times New Roman" w:eastAsia="Calibri" w:hAnsi="Times New Roman" w:cs="Times New Roman"/>
          <w:sz w:val="24"/>
          <w:szCs w:val="24"/>
        </w:rPr>
        <w:t>ontinue</w:t>
      </w:r>
      <w:r>
        <w:rPr>
          <w:rFonts w:ascii="Times New Roman" w:eastAsia="Calibri" w:hAnsi="Times New Roman" w:cs="Times New Roman"/>
          <w:sz w:val="24"/>
          <w:szCs w:val="24"/>
        </w:rPr>
        <w:t>s</w:t>
      </w:r>
      <w:r w:rsidRPr="00B16395">
        <w:rPr>
          <w:rFonts w:ascii="Times New Roman" w:eastAsia="Calibri" w:hAnsi="Times New Roman" w:cs="Times New Roman"/>
          <w:sz w:val="24"/>
          <w:szCs w:val="24"/>
        </w:rPr>
        <w:t xml:space="preserve"> organising single nationwide competitions for judges and prosecutors. In 2019, </w:t>
      </w:r>
      <w:r w:rsidRPr="00B16395">
        <w:rPr>
          <w:rFonts w:ascii="Times New Roman" w:eastAsia="Times New Roman" w:hAnsi="Times New Roman" w:cs="Times New Roman"/>
          <w:sz w:val="24"/>
          <w:szCs w:val="24"/>
        </w:rPr>
        <w:t xml:space="preserve">9 judges were promoted to higher-level judicial positions and 2 prosecutors were elected to higher-instance prosecution offices. </w:t>
      </w:r>
      <w:r w:rsidRPr="00B16395">
        <w:rPr>
          <w:rFonts w:ascii="Times New Roman" w:eastAsia="Calibri" w:hAnsi="Times New Roman" w:cs="Times New Roman"/>
          <w:sz w:val="24"/>
          <w:szCs w:val="24"/>
        </w:rPr>
        <w:t>Both Councils conduct regular assessment of judges and prosecutors under the new system of regular professional assessment. In 2019, 55</w:t>
      </w:r>
      <w:r w:rsidR="00687AD9">
        <w:rPr>
          <w:rFonts w:ascii="Times New Roman" w:eastAsia="Calibri" w:hAnsi="Times New Roman" w:cs="Times New Roman"/>
          <w:sz w:val="24"/>
          <w:szCs w:val="24"/>
        </w:rPr>
        <w:t> </w:t>
      </w:r>
      <w:r w:rsidRPr="00B16395">
        <w:rPr>
          <w:rFonts w:ascii="Times New Roman" w:eastAsia="Calibri" w:hAnsi="Times New Roman" w:cs="Times New Roman"/>
          <w:sz w:val="24"/>
          <w:szCs w:val="24"/>
        </w:rPr>
        <w:t xml:space="preserve">judges and 53 prosecutors were evaluated under the regular assessment procedure. </w:t>
      </w:r>
      <w:r>
        <w:rPr>
          <w:rFonts w:ascii="Times New Roman" w:eastAsia="Calibri" w:hAnsi="Times New Roman" w:cs="Times New Roman"/>
          <w:sz w:val="24"/>
          <w:szCs w:val="24"/>
        </w:rPr>
        <w:t>A</w:t>
      </w:r>
      <w:r w:rsidRPr="00B16395">
        <w:rPr>
          <w:rFonts w:ascii="Times New Roman" w:eastAsia="Calibri" w:hAnsi="Times New Roman" w:cs="Times New Roman"/>
          <w:sz w:val="24"/>
          <w:szCs w:val="24"/>
        </w:rPr>
        <w:t xml:space="preserve">ll evaluated prosecutors received </w:t>
      </w:r>
      <w:r w:rsidR="000F7A7F">
        <w:rPr>
          <w:rFonts w:ascii="Times New Roman" w:eastAsia="Calibri" w:hAnsi="Times New Roman" w:cs="Times New Roman"/>
          <w:sz w:val="24"/>
          <w:szCs w:val="24"/>
        </w:rPr>
        <w:t xml:space="preserve">an </w:t>
      </w:r>
      <w:r w:rsidRPr="00B16395">
        <w:rPr>
          <w:rFonts w:ascii="Times New Roman" w:eastAsia="Calibri" w:hAnsi="Times New Roman" w:cs="Times New Roman"/>
          <w:sz w:val="24"/>
          <w:szCs w:val="24"/>
        </w:rPr>
        <w:t>excellent grade</w:t>
      </w:r>
      <w:r>
        <w:rPr>
          <w:rFonts w:ascii="Times New Roman" w:eastAsia="Calibri" w:hAnsi="Times New Roman" w:cs="Times New Roman"/>
          <w:sz w:val="24"/>
          <w:szCs w:val="24"/>
        </w:rPr>
        <w:t xml:space="preserve">. This </w:t>
      </w:r>
      <w:r w:rsidRPr="00B16395">
        <w:rPr>
          <w:rFonts w:ascii="Times New Roman" w:eastAsia="Calibri" w:hAnsi="Times New Roman" w:cs="Times New Roman"/>
          <w:sz w:val="24"/>
          <w:szCs w:val="24"/>
        </w:rPr>
        <w:t>raises questions over the objectivity of the evaluation process</w:t>
      </w:r>
      <w:r>
        <w:rPr>
          <w:rFonts w:ascii="Times New Roman" w:eastAsia="Calibri" w:hAnsi="Times New Roman" w:cs="Times New Roman"/>
          <w:sz w:val="24"/>
          <w:szCs w:val="24"/>
        </w:rPr>
        <w:t xml:space="preserve"> and the application of the evaluation criteria</w:t>
      </w:r>
      <w:r w:rsidRPr="00B16395">
        <w:rPr>
          <w:rFonts w:ascii="Times New Roman" w:eastAsia="Calibri" w:hAnsi="Times New Roman" w:cs="Times New Roman"/>
          <w:sz w:val="24"/>
          <w:szCs w:val="24"/>
        </w:rPr>
        <w:t xml:space="preserve">. </w:t>
      </w:r>
    </w:p>
    <w:p w14:paraId="08EEDC82" w14:textId="75299F15" w:rsidR="00995366" w:rsidRPr="00B16395" w:rsidRDefault="00995366" w:rsidP="00995366">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Pr="00B16395">
        <w:rPr>
          <w:rFonts w:ascii="Times New Roman" w:eastAsia="Calibri" w:hAnsi="Times New Roman" w:cs="Times New Roman"/>
          <w:sz w:val="24"/>
          <w:szCs w:val="24"/>
        </w:rPr>
        <w:t>practice of reallocating large numbers of cases between courts to reduce backlogs continued</w:t>
      </w:r>
      <w:r>
        <w:rPr>
          <w:rFonts w:ascii="Times New Roman" w:eastAsia="Calibri" w:hAnsi="Times New Roman" w:cs="Times New Roman"/>
          <w:sz w:val="24"/>
          <w:szCs w:val="24"/>
        </w:rPr>
        <w:t xml:space="preserve"> in the absence of clear criteria (1451 cases in 2019), </w:t>
      </w:r>
      <w:r w:rsidRPr="00B16395">
        <w:rPr>
          <w:rFonts w:ascii="Times New Roman" w:eastAsia="Calibri" w:hAnsi="Times New Roman" w:cs="Times New Roman"/>
          <w:sz w:val="24"/>
          <w:szCs w:val="24"/>
        </w:rPr>
        <w:t>putting at risk the right to a lawful judge.</w:t>
      </w:r>
      <w:r>
        <w:rPr>
          <w:rFonts w:ascii="Times New Roman" w:eastAsia="Calibri" w:hAnsi="Times New Roman" w:cs="Times New Roman"/>
          <w:sz w:val="24"/>
          <w:szCs w:val="24"/>
        </w:rPr>
        <w:t xml:space="preserve"> </w:t>
      </w:r>
      <w:r w:rsidRPr="00B16395">
        <w:rPr>
          <w:rFonts w:ascii="Times New Roman" w:eastAsia="Calibri" w:hAnsi="Times New Roman" w:cs="Times New Roman"/>
          <w:sz w:val="24"/>
          <w:szCs w:val="24"/>
        </w:rPr>
        <w:t>One presidential pardon was granted in 2019</w:t>
      </w:r>
      <w:r>
        <w:rPr>
          <w:rFonts w:ascii="Times New Roman" w:eastAsia="Calibri" w:hAnsi="Times New Roman" w:cs="Times New Roman"/>
          <w:sz w:val="24"/>
          <w:szCs w:val="24"/>
        </w:rPr>
        <w:t xml:space="preserve">, </w:t>
      </w:r>
      <w:r w:rsidR="000F7A7F">
        <w:rPr>
          <w:rFonts w:ascii="Times New Roman" w:eastAsia="Calibri" w:hAnsi="Times New Roman" w:cs="Times New Roman"/>
          <w:sz w:val="24"/>
          <w:szCs w:val="24"/>
        </w:rPr>
        <w:t>which also happened</w:t>
      </w:r>
      <w:r>
        <w:rPr>
          <w:rFonts w:ascii="Times New Roman" w:eastAsia="Calibri" w:hAnsi="Times New Roman" w:cs="Times New Roman"/>
          <w:sz w:val="24"/>
          <w:szCs w:val="24"/>
        </w:rPr>
        <w:t xml:space="preserve"> in 2018</w:t>
      </w:r>
      <w:r w:rsidRPr="00B1639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4E8E16E1" w14:textId="77777777" w:rsidR="00995366" w:rsidRPr="00B16395" w:rsidRDefault="00995366" w:rsidP="00995366">
      <w:pPr>
        <w:spacing w:after="120" w:line="240" w:lineRule="auto"/>
        <w:jc w:val="both"/>
        <w:rPr>
          <w:rFonts w:ascii="Times New Roman" w:eastAsia="Calibri" w:hAnsi="Times New Roman" w:cs="Times New Roman"/>
          <w:sz w:val="24"/>
          <w:szCs w:val="24"/>
          <w:u w:val="single"/>
        </w:rPr>
      </w:pPr>
      <w:r w:rsidRPr="00B16395">
        <w:rPr>
          <w:rFonts w:ascii="Times New Roman" w:eastAsia="Calibri" w:hAnsi="Times New Roman" w:cs="Times New Roman"/>
          <w:sz w:val="24"/>
          <w:szCs w:val="24"/>
          <w:u w:val="single"/>
        </w:rPr>
        <w:t xml:space="preserve">Accountability </w:t>
      </w:r>
    </w:p>
    <w:p w14:paraId="3C10A3A9" w14:textId="27CDAB89" w:rsidR="00995366" w:rsidRPr="00B16395" w:rsidRDefault="00995366" w:rsidP="00995366">
      <w:pPr>
        <w:spacing w:after="120" w:line="240" w:lineRule="auto"/>
        <w:jc w:val="both"/>
        <w:rPr>
          <w:rFonts w:ascii="Times New Roman" w:eastAsia="Calibri" w:hAnsi="Times New Roman" w:cs="Times New Roman"/>
          <w:sz w:val="24"/>
          <w:szCs w:val="24"/>
        </w:rPr>
      </w:pPr>
      <w:r w:rsidRPr="00B16395">
        <w:rPr>
          <w:rFonts w:ascii="Times New Roman" w:eastAsia="Calibri" w:hAnsi="Times New Roman" w:cs="Times New Roman"/>
          <w:sz w:val="24"/>
          <w:szCs w:val="24"/>
        </w:rPr>
        <w:t>Track re</w:t>
      </w:r>
      <w:r w:rsidR="007D49CA">
        <w:rPr>
          <w:rFonts w:ascii="Times New Roman" w:eastAsia="Calibri" w:hAnsi="Times New Roman" w:cs="Times New Roman"/>
          <w:sz w:val="24"/>
          <w:szCs w:val="24"/>
        </w:rPr>
        <w:t xml:space="preserve">cords on the enforcement of </w:t>
      </w:r>
      <w:r w:rsidRPr="00B16395">
        <w:rPr>
          <w:rFonts w:ascii="Times New Roman" w:eastAsia="Calibri" w:hAnsi="Times New Roman" w:cs="Times New Roman"/>
          <w:sz w:val="24"/>
          <w:szCs w:val="24"/>
        </w:rPr>
        <w:t xml:space="preserve">codes of ethics and disciplinary accountability for judges and prosecutors remain </w:t>
      </w:r>
      <w:r>
        <w:rPr>
          <w:rFonts w:ascii="Times New Roman" w:eastAsia="Calibri" w:hAnsi="Times New Roman" w:cs="Times New Roman"/>
          <w:sz w:val="24"/>
          <w:szCs w:val="24"/>
        </w:rPr>
        <w:t>limited and case law has yet to be developed</w:t>
      </w:r>
      <w:r w:rsidRPr="00B16395">
        <w:rPr>
          <w:rFonts w:ascii="Times New Roman" w:eastAsia="Calibri" w:hAnsi="Times New Roman" w:cs="Times New Roman"/>
          <w:sz w:val="24"/>
          <w:szCs w:val="24"/>
        </w:rPr>
        <w:t>. In 2019</w:t>
      </w:r>
      <w:r w:rsidR="000F7A7F">
        <w:rPr>
          <w:rFonts w:ascii="Times New Roman" w:eastAsia="Calibri" w:hAnsi="Times New Roman" w:cs="Times New Roman"/>
          <w:sz w:val="24"/>
          <w:szCs w:val="24"/>
        </w:rPr>
        <w:t>,</w:t>
      </w:r>
      <w:r w:rsidRPr="00B16395">
        <w:rPr>
          <w:rFonts w:ascii="Times New Roman" w:eastAsia="Calibri" w:hAnsi="Times New Roman" w:cs="Times New Roman"/>
          <w:sz w:val="24"/>
          <w:szCs w:val="24"/>
        </w:rPr>
        <w:t xml:space="preserve"> one disciplinary proceeding was launched and completed before the Judicial Council disciplinary commission</w:t>
      </w:r>
      <w:r w:rsidR="00F474A7">
        <w:rPr>
          <w:rFonts w:ascii="Times New Roman" w:eastAsia="Calibri" w:hAnsi="Times New Roman" w:cs="Times New Roman"/>
          <w:sz w:val="24"/>
          <w:szCs w:val="24"/>
        </w:rPr>
        <w:t xml:space="preserve">, </w:t>
      </w:r>
      <w:r w:rsidR="00F474A7" w:rsidRPr="00B16395">
        <w:rPr>
          <w:rFonts w:ascii="Times New Roman" w:eastAsia="Calibri" w:hAnsi="Times New Roman" w:cs="Times New Roman"/>
          <w:sz w:val="24"/>
          <w:szCs w:val="24"/>
        </w:rPr>
        <w:t>establish</w:t>
      </w:r>
      <w:r w:rsidR="00F474A7">
        <w:rPr>
          <w:rFonts w:ascii="Times New Roman" w:eastAsia="Calibri" w:hAnsi="Times New Roman" w:cs="Times New Roman"/>
          <w:sz w:val="24"/>
          <w:szCs w:val="24"/>
        </w:rPr>
        <w:t>ing</w:t>
      </w:r>
      <w:r w:rsidR="00F474A7" w:rsidRPr="00B16395">
        <w:rPr>
          <w:rFonts w:ascii="Times New Roman" w:eastAsia="Calibri" w:hAnsi="Times New Roman" w:cs="Times New Roman"/>
          <w:sz w:val="24"/>
          <w:szCs w:val="24"/>
        </w:rPr>
        <w:t xml:space="preserve"> </w:t>
      </w:r>
      <w:r w:rsidRPr="00B16395">
        <w:rPr>
          <w:rFonts w:ascii="Times New Roman" w:eastAsia="Calibri" w:hAnsi="Times New Roman" w:cs="Times New Roman"/>
          <w:sz w:val="24"/>
          <w:szCs w:val="24"/>
        </w:rPr>
        <w:t xml:space="preserve">a violation which </w:t>
      </w:r>
      <w:r w:rsidR="00F474A7">
        <w:rPr>
          <w:rFonts w:ascii="Times New Roman" w:eastAsia="Calibri" w:hAnsi="Times New Roman" w:cs="Times New Roman"/>
          <w:sz w:val="24"/>
          <w:szCs w:val="24"/>
        </w:rPr>
        <w:t xml:space="preserve">was sanctioned by </w:t>
      </w:r>
      <w:r w:rsidRPr="00B16395">
        <w:rPr>
          <w:rFonts w:ascii="Times New Roman" w:eastAsia="Calibri" w:hAnsi="Times New Roman" w:cs="Times New Roman"/>
          <w:sz w:val="24"/>
          <w:szCs w:val="24"/>
        </w:rPr>
        <w:t>a 20% salary</w:t>
      </w:r>
      <w:r w:rsidR="007D49CA">
        <w:rPr>
          <w:rFonts w:ascii="Times New Roman" w:eastAsia="Calibri" w:hAnsi="Times New Roman" w:cs="Times New Roman"/>
          <w:sz w:val="24"/>
          <w:szCs w:val="24"/>
        </w:rPr>
        <w:t xml:space="preserve"> decrease</w:t>
      </w:r>
      <w:r w:rsidRPr="00B16395">
        <w:rPr>
          <w:rFonts w:ascii="Times New Roman" w:eastAsia="Calibri" w:hAnsi="Times New Roman" w:cs="Times New Roman"/>
          <w:sz w:val="24"/>
          <w:szCs w:val="24"/>
        </w:rPr>
        <w:t xml:space="preserve"> for 3 months</w:t>
      </w:r>
      <w:r w:rsidR="00F474A7">
        <w:rPr>
          <w:rFonts w:ascii="Times New Roman" w:eastAsia="Calibri" w:hAnsi="Times New Roman" w:cs="Times New Roman"/>
          <w:sz w:val="24"/>
          <w:szCs w:val="24"/>
        </w:rPr>
        <w:t xml:space="preserve"> (2018: one proceeding initiated)</w:t>
      </w:r>
      <w:r w:rsidRPr="00B16395">
        <w:rPr>
          <w:rFonts w:ascii="Times New Roman" w:eastAsia="Calibri" w:hAnsi="Times New Roman" w:cs="Times New Roman"/>
          <w:sz w:val="24"/>
          <w:szCs w:val="24"/>
        </w:rPr>
        <w:t xml:space="preserve">. </w:t>
      </w:r>
      <w:r w:rsidR="007D49CA">
        <w:rPr>
          <w:rFonts w:ascii="Times New Roman" w:eastAsia="Calibri" w:hAnsi="Times New Roman" w:cs="Times New Roman"/>
          <w:sz w:val="24"/>
          <w:szCs w:val="24"/>
        </w:rPr>
        <w:t>In 2019, t</w:t>
      </w:r>
      <w:r w:rsidRPr="00B16395">
        <w:rPr>
          <w:rFonts w:ascii="Times New Roman" w:eastAsia="Calibri" w:hAnsi="Times New Roman" w:cs="Times New Roman"/>
          <w:sz w:val="24"/>
          <w:szCs w:val="24"/>
        </w:rPr>
        <w:t xml:space="preserve">here were no new disciplinary proceedings against prosecutors (2018: four cases in total). During the same period, there were 14 reports of alleged violation of the code of ethics for judges; 12 were completed and in </w:t>
      </w:r>
      <w:r w:rsidR="00A50FEF">
        <w:rPr>
          <w:rFonts w:ascii="Times New Roman" w:eastAsia="Calibri" w:hAnsi="Times New Roman" w:cs="Times New Roman"/>
          <w:sz w:val="24"/>
          <w:szCs w:val="24"/>
        </w:rPr>
        <w:t>2</w:t>
      </w:r>
      <w:r w:rsidRPr="00B16395">
        <w:rPr>
          <w:rFonts w:ascii="Times New Roman" w:eastAsia="Calibri" w:hAnsi="Times New Roman" w:cs="Times New Roman"/>
          <w:sz w:val="24"/>
          <w:szCs w:val="24"/>
        </w:rPr>
        <w:t xml:space="preserve"> cases violations were established by the ethical commission (2018: 15 cases in total, violation established in one case). In one of these </w:t>
      </w:r>
      <w:r w:rsidR="00A50FEF">
        <w:rPr>
          <w:rFonts w:ascii="Times New Roman" w:eastAsia="Calibri" w:hAnsi="Times New Roman" w:cs="Times New Roman"/>
          <w:sz w:val="24"/>
          <w:szCs w:val="24"/>
        </w:rPr>
        <w:t>2</w:t>
      </w:r>
      <w:r w:rsidRPr="00B16395">
        <w:rPr>
          <w:rFonts w:ascii="Times New Roman" w:eastAsia="Calibri" w:hAnsi="Times New Roman" w:cs="Times New Roman"/>
          <w:sz w:val="24"/>
          <w:szCs w:val="24"/>
        </w:rPr>
        <w:t xml:space="preserve"> cases</w:t>
      </w:r>
      <w:r w:rsidR="00A50FEF">
        <w:rPr>
          <w:rFonts w:ascii="Times New Roman" w:eastAsia="Calibri" w:hAnsi="Times New Roman" w:cs="Times New Roman"/>
          <w:sz w:val="24"/>
          <w:szCs w:val="24"/>
        </w:rPr>
        <w:t>,</w:t>
      </w:r>
      <w:r w:rsidRPr="00B16395">
        <w:rPr>
          <w:rFonts w:ascii="Times New Roman" w:eastAsia="Calibri" w:hAnsi="Times New Roman" w:cs="Times New Roman"/>
          <w:sz w:val="24"/>
          <w:szCs w:val="24"/>
        </w:rPr>
        <w:t xml:space="preserve"> the Judicial Council overturned the decision on violation upon a complaint submitted by the judge. O</w:t>
      </w:r>
      <w:r w:rsidR="00A50FEF">
        <w:rPr>
          <w:rFonts w:ascii="Times New Roman" w:eastAsia="Calibri" w:hAnsi="Times New Roman" w:cs="Times New Roman"/>
          <w:sz w:val="24"/>
          <w:szCs w:val="24"/>
        </w:rPr>
        <w:t>ut of the</w:t>
      </w:r>
      <w:r w:rsidRPr="00B16395">
        <w:rPr>
          <w:rFonts w:ascii="Times New Roman" w:eastAsia="Calibri" w:hAnsi="Times New Roman" w:cs="Times New Roman"/>
          <w:sz w:val="24"/>
          <w:szCs w:val="24"/>
        </w:rPr>
        <w:t xml:space="preserve"> 12 cases of alleged violation of code of ethics for prosecutors</w:t>
      </w:r>
      <w:r w:rsidR="00A50FEF">
        <w:rPr>
          <w:rFonts w:ascii="Times New Roman" w:eastAsia="Calibri" w:hAnsi="Times New Roman" w:cs="Times New Roman"/>
          <w:sz w:val="24"/>
          <w:szCs w:val="24"/>
        </w:rPr>
        <w:t>,</w:t>
      </w:r>
      <w:r w:rsidRPr="00B16395">
        <w:rPr>
          <w:rFonts w:ascii="Times New Roman" w:eastAsia="Calibri" w:hAnsi="Times New Roman" w:cs="Times New Roman"/>
          <w:sz w:val="24"/>
          <w:szCs w:val="24"/>
        </w:rPr>
        <w:t xml:space="preserve"> violation was establ</w:t>
      </w:r>
      <w:r>
        <w:rPr>
          <w:rFonts w:ascii="Times New Roman" w:eastAsia="Calibri" w:hAnsi="Times New Roman" w:cs="Times New Roman"/>
          <w:sz w:val="24"/>
          <w:szCs w:val="24"/>
        </w:rPr>
        <w:t>ished in 3 cases (2018: 4 cases</w:t>
      </w:r>
      <w:r w:rsidRPr="00B16395">
        <w:rPr>
          <w:rFonts w:ascii="Times New Roman" w:eastAsia="Calibri" w:hAnsi="Times New Roman" w:cs="Times New Roman"/>
          <w:sz w:val="24"/>
          <w:szCs w:val="24"/>
        </w:rPr>
        <w:t xml:space="preserve">, no violation established). A legal remedy against decisions of the ethical Commissions of both Councils has yet to be </w:t>
      </w:r>
      <w:r>
        <w:rPr>
          <w:rFonts w:ascii="Times New Roman" w:eastAsia="Calibri" w:hAnsi="Times New Roman" w:cs="Times New Roman"/>
          <w:sz w:val="24"/>
          <w:szCs w:val="24"/>
        </w:rPr>
        <w:t>provided for</w:t>
      </w:r>
      <w:r w:rsidRPr="00B16395">
        <w:rPr>
          <w:rFonts w:ascii="Times New Roman" w:eastAsia="Calibri" w:hAnsi="Times New Roman" w:cs="Times New Roman"/>
          <w:sz w:val="24"/>
          <w:szCs w:val="24"/>
        </w:rPr>
        <w:t xml:space="preserve"> by the law. </w:t>
      </w:r>
      <w:r>
        <w:rPr>
          <w:rFonts w:ascii="Times New Roman" w:eastAsia="Calibri" w:hAnsi="Times New Roman" w:cs="Times New Roman"/>
          <w:sz w:val="24"/>
          <w:szCs w:val="24"/>
        </w:rPr>
        <w:t>T</w:t>
      </w:r>
      <w:r w:rsidRPr="00B16395">
        <w:rPr>
          <w:rFonts w:ascii="Times New Roman" w:eastAsia="Calibri" w:hAnsi="Times New Roman" w:cs="Times New Roman"/>
          <w:sz w:val="24"/>
          <w:szCs w:val="24"/>
        </w:rPr>
        <w:t xml:space="preserve">he counselling function of the ethical commissions has been strengthened within the judiciary and prosecution service, </w:t>
      </w:r>
      <w:r>
        <w:rPr>
          <w:rFonts w:ascii="Times New Roman" w:eastAsia="Calibri" w:hAnsi="Times New Roman" w:cs="Times New Roman"/>
          <w:sz w:val="24"/>
          <w:szCs w:val="24"/>
        </w:rPr>
        <w:t xml:space="preserve">but further efforts will be required to promote the </w:t>
      </w:r>
      <w:r w:rsidRPr="00B16395">
        <w:rPr>
          <w:rFonts w:ascii="Times New Roman" w:eastAsia="Calibri" w:hAnsi="Times New Roman" w:cs="Times New Roman"/>
          <w:sz w:val="24"/>
          <w:szCs w:val="24"/>
        </w:rPr>
        <w:t xml:space="preserve">ethics and professional conduct in the judiciary and information on existing complaints mechanisms. </w:t>
      </w:r>
    </w:p>
    <w:p w14:paraId="65634FC7" w14:textId="77777777" w:rsidR="00995366" w:rsidRPr="00B16395" w:rsidRDefault="00995366" w:rsidP="00995366">
      <w:pPr>
        <w:spacing w:after="120" w:line="240" w:lineRule="auto"/>
        <w:jc w:val="both"/>
        <w:rPr>
          <w:rFonts w:ascii="Times New Roman" w:eastAsia="Calibri" w:hAnsi="Times New Roman" w:cs="Times New Roman"/>
          <w:sz w:val="24"/>
          <w:szCs w:val="24"/>
        </w:rPr>
      </w:pPr>
      <w:r w:rsidRPr="00B16395">
        <w:rPr>
          <w:rFonts w:ascii="Times New Roman" w:eastAsia="Calibri" w:hAnsi="Times New Roman" w:cs="Times New Roman"/>
          <w:sz w:val="24"/>
          <w:szCs w:val="24"/>
        </w:rPr>
        <w:t>In 2019</w:t>
      </w:r>
      <w:r w:rsidR="00A50FEF">
        <w:rPr>
          <w:rFonts w:ascii="Times New Roman" w:eastAsia="Calibri" w:hAnsi="Times New Roman" w:cs="Times New Roman"/>
          <w:sz w:val="24"/>
          <w:szCs w:val="24"/>
        </w:rPr>
        <w:t>,</w:t>
      </w:r>
      <w:r w:rsidRPr="00B16395">
        <w:rPr>
          <w:rFonts w:ascii="Times New Roman" w:eastAsia="Calibri" w:hAnsi="Times New Roman" w:cs="Times New Roman"/>
          <w:sz w:val="24"/>
          <w:szCs w:val="24"/>
        </w:rPr>
        <w:t xml:space="preserve"> the Ministry of Justice's regular judicial inspection found irregularities in a misdemeanour court’s register-keeping and archiving system, while no irregularities were established in the prosecutors’ offices. The ministry’s capacity to conduct judicial inspections remains limited, with only two judicial inspectors working on </w:t>
      </w:r>
      <w:r w:rsidR="00A50FEF">
        <w:rPr>
          <w:rFonts w:ascii="Times New Roman" w:eastAsia="Calibri" w:hAnsi="Times New Roman" w:cs="Times New Roman"/>
          <w:sz w:val="24"/>
          <w:szCs w:val="24"/>
        </w:rPr>
        <w:t xml:space="preserve">the </w:t>
      </w:r>
      <w:r w:rsidRPr="00B16395">
        <w:rPr>
          <w:rFonts w:ascii="Times New Roman" w:eastAsia="Calibri" w:hAnsi="Times New Roman" w:cs="Times New Roman"/>
          <w:sz w:val="24"/>
          <w:szCs w:val="24"/>
        </w:rPr>
        <w:t xml:space="preserve">supervision of courts, prosecution offices, notaries and public bailiffs. </w:t>
      </w:r>
    </w:p>
    <w:p w14:paraId="2DF866C7" w14:textId="6D368368" w:rsidR="00995366" w:rsidRPr="00B16395" w:rsidRDefault="00995366" w:rsidP="00995366">
      <w:pPr>
        <w:spacing w:after="120" w:line="240" w:lineRule="auto"/>
        <w:jc w:val="both"/>
        <w:rPr>
          <w:rFonts w:ascii="Times New Roman" w:eastAsia="Calibri" w:hAnsi="Times New Roman" w:cs="Times New Roman"/>
          <w:sz w:val="24"/>
          <w:szCs w:val="24"/>
        </w:rPr>
      </w:pPr>
      <w:r w:rsidRPr="00B16395">
        <w:rPr>
          <w:rFonts w:ascii="Times New Roman" w:eastAsia="Calibri" w:hAnsi="Times New Roman" w:cs="Times New Roman"/>
          <w:sz w:val="24"/>
          <w:szCs w:val="24"/>
        </w:rPr>
        <w:t>In December 2019</w:t>
      </w:r>
      <w:r w:rsidR="00A50FEF">
        <w:rPr>
          <w:rFonts w:ascii="Times New Roman" w:eastAsia="Calibri" w:hAnsi="Times New Roman" w:cs="Times New Roman"/>
          <w:sz w:val="24"/>
          <w:szCs w:val="24"/>
        </w:rPr>
        <w:t>,</w:t>
      </w:r>
      <w:r w:rsidRPr="00B16395">
        <w:rPr>
          <w:rFonts w:ascii="Times New Roman" w:eastAsia="Calibri" w:hAnsi="Times New Roman" w:cs="Times New Roman"/>
          <w:sz w:val="24"/>
          <w:szCs w:val="24"/>
        </w:rPr>
        <w:t xml:space="preserve"> the revised code of ethics for public bailiffs was adopted and the new commission for ethical conduct of public bailiffs </w:t>
      </w:r>
      <w:r w:rsidR="007D49CA">
        <w:rPr>
          <w:rFonts w:ascii="Times New Roman" w:eastAsia="Calibri" w:hAnsi="Times New Roman" w:cs="Times New Roman"/>
          <w:sz w:val="24"/>
          <w:szCs w:val="24"/>
        </w:rPr>
        <w:t xml:space="preserve">was </w:t>
      </w:r>
      <w:r w:rsidRPr="00B16395">
        <w:rPr>
          <w:rFonts w:ascii="Times New Roman" w:eastAsia="Calibri" w:hAnsi="Times New Roman" w:cs="Times New Roman"/>
          <w:sz w:val="24"/>
          <w:szCs w:val="24"/>
        </w:rPr>
        <w:t xml:space="preserve">formed. The Ministry of Justice and the Public Bailiffs' Chamber </w:t>
      </w:r>
      <w:r>
        <w:rPr>
          <w:rFonts w:ascii="Times New Roman" w:eastAsia="Calibri" w:hAnsi="Times New Roman" w:cs="Times New Roman"/>
          <w:sz w:val="24"/>
          <w:szCs w:val="24"/>
        </w:rPr>
        <w:t xml:space="preserve">continued with </w:t>
      </w:r>
      <w:r w:rsidRPr="00B16395">
        <w:rPr>
          <w:rFonts w:ascii="Times New Roman" w:eastAsia="Calibri" w:hAnsi="Times New Roman" w:cs="Times New Roman"/>
          <w:sz w:val="24"/>
          <w:szCs w:val="24"/>
        </w:rPr>
        <w:t xml:space="preserve">joint inspections of bailiffs' offices. In total, </w:t>
      </w:r>
      <w:r w:rsidR="00B10615">
        <w:rPr>
          <w:rFonts w:ascii="Times New Roman" w:eastAsia="Calibri" w:hAnsi="Times New Roman" w:cs="Times New Roman"/>
          <w:sz w:val="24"/>
          <w:szCs w:val="24"/>
        </w:rPr>
        <w:t>6</w:t>
      </w:r>
      <w:r w:rsidR="00B10615" w:rsidRPr="00B16395">
        <w:rPr>
          <w:rFonts w:ascii="Times New Roman" w:eastAsia="Calibri" w:hAnsi="Times New Roman" w:cs="Times New Roman"/>
          <w:sz w:val="24"/>
          <w:szCs w:val="24"/>
        </w:rPr>
        <w:t xml:space="preserve"> </w:t>
      </w:r>
      <w:r w:rsidRPr="00B16395">
        <w:rPr>
          <w:rFonts w:ascii="Times New Roman" w:eastAsia="Calibri" w:hAnsi="Times New Roman" w:cs="Times New Roman"/>
          <w:sz w:val="24"/>
          <w:szCs w:val="24"/>
        </w:rPr>
        <w:t xml:space="preserve">irregularities were found in </w:t>
      </w:r>
      <w:r w:rsidR="00B10615">
        <w:rPr>
          <w:rFonts w:ascii="Times New Roman" w:eastAsia="Calibri" w:hAnsi="Times New Roman" w:cs="Times New Roman"/>
          <w:sz w:val="24"/>
          <w:szCs w:val="24"/>
        </w:rPr>
        <w:t>3</w:t>
      </w:r>
      <w:r w:rsidR="00B10615" w:rsidRPr="00B16395">
        <w:rPr>
          <w:rFonts w:ascii="Times New Roman" w:eastAsia="Calibri" w:hAnsi="Times New Roman" w:cs="Times New Roman"/>
          <w:sz w:val="24"/>
          <w:szCs w:val="24"/>
        </w:rPr>
        <w:t xml:space="preserve"> </w:t>
      </w:r>
      <w:r w:rsidRPr="00B16395">
        <w:rPr>
          <w:rFonts w:ascii="Times New Roman" w:eastAsia="Calibri" w:hAnsi="Times New Roman" w:cs="Times New Roman"/>
          <w:sz w:val="24"/>
          <w:szCs w:val="24"/>
        </w:rPr>
        <w:t xml:space="preserve">offices. In 2019, </w:t>
      </w:r>
      <w:r>
        <w:rPr>
          <w:rFonts w:ascii="Times New Roman" w:eastAsia="Calibri" w:hAnsi="Times New Roman" w:cs="Times New Roman"/>
          <w:sz w:val="24"/>
          <w:szCs w:val="24"/>
        </w:rPr>
        <w:t>4</w:t>
      </w:r>
      <w:r w:rsidRPr="00B16395">
        <w:rPr>
          <w:rFonts w:ascii="Times New Roman" w:eastAsia="Calibri" w:hAnsi="Times New Roman" w:cs="Times New Roman"/>
          <w:sz w:val="24"/>
          <w:szCs w:val="24"/>
        </w:rPr>
        <w:t xml:space="preserve"> disciplinary proceedings were initiated against public bailiffs, </w:t>
      </w:r>
      <w:r w:rsidR="00A50FEF">
        <w:rPr>
          <w:rFonts w:ascii="Times New Roman" w:eastAsia="Calibri" w:hAnsi="Times New Roman" w:cs="Times New Roman"/>
          <w:sz w:val="24"/>
          <w:szCs w:val="24"/>
        </w:rPr>
        <w:t>with</w:t>
      </w:r>
      <w:r w:rsidRPr="00B16395">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Pr="00B16395">
        <w:rPr>
          <w:rFonts w:ascii="Times New Roman" w:eastAsia="Calibri" w:hAnsi="Times New Roman" w:cs="Times New Roman"/>
          <w:sz w:val="24"/>
          <w:szCs w:val="24"/>
        </w:rPr>
        <w:t xml:space="preserve"> </w:t>
      </w:r>
      <w:r w:rsidR="00A50FEF">
        <w:rPr>
          <w:rFonts w:ascii="Times New Roman" w:eastAsia="Calibri" w:hAnsi="Times New Roman" w:cs="Times New Roman"/>
          <w:sz w:val="24"/>
          <w:szCs w:val="24"/>
        </w:rPr>
        <w:t>additional</w:t>
      </w:r>
      <w:r w:rsidRPr="00B16395">
        <w:rPr>
          <w:rFonts w:ascii="Times New Roman" w:eastAsia="Calibri" w:hAnsi="Times New Roman" w:cs="Times New Roman"/>
          <w:sz w:val="24"/>
          <w:szCs w:val="24"/>
        </w:rPr>
        <w:t xml:space="preserve"> so far in 2020</w:t>
      </w:r>
      <w:r>
        <w:rPr>
          <w:rFonts w:ascii="Times New Roman" w:eastAsia="Calibri" w:hAnsi="Times New Roman" w:cs="Times New Roman"/>
          <w:sz w:val="24"/>
          <w:szCs w:val="24"/>
        </w:rPr>
        <w:t>.</w:t>
      </w:r>
      <w:r w:rsidRPr="00B16395">
        <w:rPr>
          <w:rFonts w:ascii="Times New Roman" w:eastAsia="Calibri" w:hAnsi="Times New Roman" w:cs="Times New Roman"/>
          <w:sz w:val="24"/>
          <w:szCs w:val="24"/>
        </w:rPr>
        <w:t xml:space="preserve"> In </w:t>
      </w:r>
      <w:r>
        <w:rPr>
          <w:rFonts w:ascii="Times New Roman" w:eastAsia="Calibri" w:hAnsi="Times New Roman" w:cs="Times New Roman"/>
          <w:sz w:val="24"/>
          <w:szCs w:val="24"/>
        </w:rPr>
        <w:t>2</w:t>
      </w:r>
      <w:r w:rsidRPr="00B16395">
        <w:rPr>
          <w:rFonts w:ascii="Times New Roman" w:eastAsia="Calibri" w:hAnsi="Times New Roman" w:cs="Times New Roman"/>
          <w:sz w:val="24"/>
          <w:szCs w:val="24"/>
        </w:rPr>
        <w:t xml:space="preserve"> cases, disciplinary liability was established and fines </w:t>
      </w:r>
      <w:r w:rsidR="007D49CA">
        <w:rPr>
          <w:rFonts w:ascii="Times New Roman" w:eastAsia="Calibri" w:hAnsi="Times New Roman" w:cs="Times New Roman"/>
          <w:sz w:val="24"/>
          <w:szCs w:val="24"/>
        </w:rPr>
        <w:t xml:space="preserve">were </w:t>
      </w:r>
      <w:r w:rsidRPr="00B16395">
        <w:rPr>
          <w:rFonts w:ascii="Times New Roman" w:eastAsia="Calibri" w:hAnsi="Times New Roman" w:cs="Times New Roman"/>
          <w:sz w:val="24"/>
          <w:szCs w:val="24"/>
        </w:rPr>
        <w:t xml:space="preserve">imposed accordingly. In another case, a public bailiff was temporarily suspended until the end of criminal proceedings. </w:t>
      </w:r>
    </w:p>
    <w:p w14:paraId="2D8B9FD5" w14:textId="77777777" w:rsidR="00995366" w:rsidRPr="00B16395" w:rsidRDefault="00995366" w:rsidP="00995366">
      <w:pPr>
        <w:spacing w:after="120" w:line="24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lastRenderedPageBreak/>
        <w:t>Efficiency and p</w:t>
      </w:r>
      <w:r w:rsidRPr="00B16395">
        <w:rPr>
          <w:rFonts w:ascii="Times New Roman" w:eastAsia="Calibri" w:hAnsi="Times New Roman" w:cs="Times New Roman"/>
          <w:sz w:val="24"/>
          <w:szCs w:val="24"/>
          <w:u w:val="single"/>
        </w:rPr>
        <w:t xml:space="preserve">rofessionalism </w:t>
      </w:r>
    </w:p>
    <w:p w14:paraId="607F896A" w14:textId="55DD27BB" w:rsidR="00995366" w:rsidRDefault="00995366" w:rsidP="00995366">
      <w:pPr>
        <w:spacing w:after="120" w:line="240" w:lineRule="auto"/>
        <w:jc w:val="both"/>
        <w:rPr>
          <w:rFonts w:ascii="Times New Roman" w:eastAsia="Calibri" w:hAnsi="Times New Roman" w:cs="Times New Roman"/>
          <w:iCs/>
          <w:sz w:val="24"/>
          <w:szCs w:val="24"/>
        </w:rPr>
      </w:pPr>
      <w:r w:rsidRPr="00B16395">
        <w:rPr>
          <w:rFonts w:ascii="Times New Roman" w:eastAsia="Calibri" w:hAnsi="Times New Roman" w:cs="Times New Roman"/>
          <w:sz w:val="24"/>
          <w:szCs w:val="24"/>
        </w:rPr>
        <w:t>Issue</w:t>
      </w:r>
      <w:r w:rsidR="00A50FEF">
        <w:rPr>
          <w:rFonts w:ascii="Times New Roman" w:eastAsia="Calibri" w:hAnsi="Times New Roman" w:cs="Times New Roman"/>
          <w:sz w:val="24"/>
          <w:szCs w:val="24"/>
        </w:rPr>
        <w:t>s</w:t>
      </w:r>
      <w:r w:rsidRPr="00B16395">
        <w:rPr>
          <w:rFonts w:ascii="Times New Roman" w:eastAsia="Calibri" w:hAnsi="Times New Roman" w:cs="Times New Roman"/>
          <w:sz w:val="24"/>
          <w:szCs w:val="24"/>
        </w:rPr>
        <w:t xml:space="preserve"> remain regarding the reliability and availability of statistical data for the judiciary in the absence of an advanced case management system. </w:t>
      </w:r>
      <w:r>
        <w:rPr>
          <w:rFonts w:ascii="Times New Roman" w:eastAsia="Calibri" w:hAnsi="Times New Roman" w:cs="Times New Roman"/>
          <w:sz w:val="24"/>
          <w:szCs w:val="24"/>
        </w:rPr>
        <w:t xml:space="preserve">The implementation of the </w:t>
      </w:r>
      <w:r w:rsidRPr="00B16395">
        <w:rPr>
          <w:rFonts w:ascii="Times New Roman" w:eastAsia="Calibri" w:hAnsi="Times New Roman" w:cs="Times New Roman"/>
          <w:iCs/>
          <w:sz w:val="24"/>
          <w:szCs w:val="24"/>
        </w:rPr>
        <w:t>2016-2020 action plan for</w:t>
      </w:r>
      <w:r w:rsidR="00A82AAC">
        <w:rPr>
          <w:rFonts w:ascii="Times New Roman" w:eastAsia="Calibri" w:hAnsi="Times New Roman" w:cs="Times New Roman"/>
          <w:iCs/>
          <w:sz w:val="24"/>
          <w:szCs w:val="24"/>
        </w:rPr>
        <w:t xml:space="preserve"> the</w:t>
      </w:r>
      <w:r w:rsidRPr="00B16395">
        <w:rPr>
          <w:rFonts w:ascii="Times New Roman" w:eastAsia="Calibri" w:hAnsi="Times New Roman" w:cs="Times New Roman"/>
          <w:iCs/>
          <w:sz w:val="24"/>
          <w:szCs w:val="24"/>
        </w:rPr>
        <w:t xml:space="preserve"> implementation of the ICT strategy for the judiciary, </w:t>
      </w:r>
      <w:r>
        <w:rPr>
          <w:rFonts w:ascii="Times New Roman" w:eastAsia="Calibri" w:hAnsi="Times New Roman" w:cs="Times New Roman"/>
          <w:iCs/>
          <w:sz w:val="24"/>
          <w:szCs w:val="24"/>
        </w:rPr>
        <w:t>continued with some delays.</w:t>
      </w:r>
      <w:r w:rsidRPr="00B16395">
        <w:rPr>
          <w:rFonts w:ascii="Times New Roman" w:eastAsia="Calibri" w:hAnsi="Times New Roman" w:cs="Times New Roman"/>
          <w:iCs/>
          <w:sz w:val="24"/>
          <w:szCs w:val="24"/>
        </w:rPr>
        <w:t xml:space="preserve"> </w:t>
      </w:r>
    </w:p>
    <w:p w14:paraId="17C79BF3" w14:textId="0CF47F4C" w:rsidR="00995366" w:rsidRDefault="00995366" w:rsidP="00995366">
      <w:pPr>
        <w:spacing w:after="120" w:line="240" w:lineRule="auto"/>
        <w:jc w:val="both"/>
        <w:rPr>
          <w:rFonts w:ascii="Times New Roman" w:eastAsia="Calibri" w:hAnsi="Times New Roman" w:cs="Times New Roman"/>
          <w:sz w:val="24"/>
          <w:szCs w:val="24"/>
        </w:rPr>
      </w:pPr>
      <w:r w:rsidRPr="0082020D">
        <w:rPr>
          <w:rFonts w:ascii="Times New Roman" w:eastAsia="Calibri" w:hAnsi="Times New Roman" w:cs="Times New Roman"/>
          <w:sz w:val="24"/>
          <w:szCs w:val="24"/>
        </w:rPr>
        <w:t>In 2019, 131,956 cases were pending before Montenegrin courts, 92</w:t>
      </w:r>
      <w:r w:rsidR="005146B8">
        <w:rPr>
          <w:rFonts w:ascii="Times New Roman" w:eastAsia="Calibri" w:hAnsi="Times New Roman" w:cs="Times New Roman"/>
          <w:sz w:val="24"/>
          <w:szCs w:val="24"/>
        </w:rPr>
        <w:t>,984</w:t>
      </w:r>
      <w:r w:rsidRPr="0082020D">
        <w:rPr>
          <w:rFonts w:ascii="Times New Roman" w:eastAsia="Calibri" w:hAnsi="Times New Roman" w:cs="Times New Roman"/>
          <w:sz w:val="24"/>
          <w:szCs w:val="24"/>
        </w:rPr>
        <w:t xml:space="preserve"> of which were new cases (6.9 % less than in 2018). Some 92,305 cases were resolved (5.5 % less than in 2018), while the overall case backlog fell by 2 % to 38,190. Montenegro continued to take concrete </w:t>
      </w:r>
      <w:r w:rsidRPr="00B16395">
        <w:rPr>
          <w:rFonts w:ascii="Times New Roman" w:eastAsia="Calibri" w:hAnsi="Times New Roman" w:cs="Times New Roman"/>
          <w:sz w:val="24"/>
          <w:szCs w:val="24"/>
        </w:rPr>
        <w:t>measures to reduce the backlog of old cases, which were given priority status. The number of cases older than 3 years fell by 5.5 % to 2,912. The disposition time, i.e. the average time from filing to decision, was 143 in basis court cases (2018: 142)</w:t>
      </w:r>
      <w:r>
        <w:rPr>
          <w:rFonts w:ascii="Times New Roman" w:eastAsia="Calibri" w:hAnsi="Times New Roman" w:cs="Times New Roman"/>
          <w:sz w:val="24"/>
          <w:szCs w:val="24"/>
        </w:rPr>
        <w:t>,</w:t>
      </w:r>
      <w:r w:rsidRPr="00B16395">
        <w:rPr>
          <w:rFonts w:ascii="Times New Roman" w:eastAsia="Calibri" w:hAnsi="Times New Roman" w:cs="Times New Roman"/>
          <w:sz w:val="24"/>
          <w:szCs w:val="24"/>
        </w:rPr>
        <w:t xml:space="preserve"> 116 for commercial cases (2018: 107)</w:t>
      </w:r>
      <w:r>
        <w:rPr>
          <w:rFonts w:ascii="Times New Roman" w:eastAsia="Calibri" w:hAnsi="Times New Roman" w:cs="Times New Roman"/>
          <w:sz w:val="24"/>
          <w:szCs w:val="24"/>
        </w:rPr>
        <w:t xml:space="preserve"> and 534 days </w:t>
      </w:r>
      <w:r w:rsidRPr="00B16395">
        <w:rPr>
          <w:rFonts w:ascii="Times New Roman" w:eastAsia="Calibri" w:hAnsi="Times New Roman" w:cs="Times New Roman"/>
          <w:sz w:val="24"/>
          <w:szCs w:val="24"/>
        </w:rPr>
        <w:t>before the Administrative Court.</w:t>
      </w:r>
      <w:r>
        <w:rPr>
          <w:rFonts w:ascii="Times New Roman" w:eastAsia="Calibri" w:hAnsi="Times New Roman" w:cs="Times New Roman"/>
          <w:sz w:val="24"/>
          <w:szCs w:val="24"/>
        </w:rPr>
        <w:t xml:space="preserve"> </w:t>
      </w:r>
    </w:p>
    <w:p w14:paraId="5FB67717" w14:textId="645950E8" w:rsidR="00995366" w:rsidRPr="00B16395" w:rsidRDefault="00A82AAC" w:rsidP="00995366">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Regarding</w:t>
      </w:r>
      <w:r w:rsidR="00995366" w:rsidRPr="00B16395">
        <w:rPr>
          <w:rFonts w:ascii="Times New Roman" w:eastAsia="Calibri" w:hAnsi="Times New Roman" w:cs="Times New Roman"/>
          <w:sz w:val="24"/>
          <w:szCs w:val="24"/>
        </w:rPr>
        <w:t xml:space="preserve"> enforcement, the clearance and recovery rates are increasing, and the backlog of enforcement cases before the courts has been reduced from 150,000 in 2016 to just around 2,500 at the end of 2019. In 2019, 61,127 cases were filed to bailiffs' offices, with 40,019 cases pending at the end the year. The centralised case management system for bailiffs continues to be used consistently, guaranteeing data reliability. The enforcement of court decisions remains</w:t>
      </w:r>
      <w:r w:rsidR="00995366">
        <w:rPr>
          <w:rFonts w:ascii="Times New Roman" w:eastAsia="Calibri" w:hAnsi="Times New Roman" w:cs="Times New Roman"/>
          <w:sz w:val="24"/>
          <w:szCs w:val="24"/>
        </w:rPr>
        <w:t xml:space="preserve"> </w:t>
      </w:r>
      <w:r>
        <w:rPr>
          <w:rFonts w:ascii="Times New Roman" w:eastAsia="Calibri" w:hAnsi="Times New Roman" w:cs="Times New Roman"/>
          <w:sz w:val="24"/>
          <w:szCs w:val="24"/>
        </w:rPr>
        <w:t>to be</w:t>
      </w:r>
      <w:r w:rsidR="00995366" w:rsidRPr="00B16395">
        <w:rPr>
          <w:rFonts w:ascii="Times New Roman" w:eastAsia="Calibri" w:hAnsi="Times New Roman" w:cs="Times New Roman"/>
          <w:sz w:val="24"/>
          <w:szCs w:val="24"/>
        </w:rPr>
        <w:t xml:space="preserve"> challeng</w:t>
      </w:r>
      <w:r w:rsidR="00995366">
        <w:rPr>
          <w:rFonts w:ascii="Times New Roman" w:eastAsia="Calibri" w:hAnsi="Times New Roman" w:cs="Times New Roman"/>
          <w:sz w:val="24"/>
          <w:szCs w:val="24"/>
        </w:rPr>
        <w:t>ing</w:t>
      </w:r>
      <w:r w:rsidR="00995366" w:rsidRPr="00B16395">
        <w:rPr>
          <w:rFonts w:ascii="Times New Roman" w:eastAsia="Calibri" w:hAnsi="Times New Roman" w:cs="Times New Roman"/>
          <w:sz w:val="24"/>
          <w:szCs w:val="24"/>
        </w:rPr>
        <w:t xml:space="preserve">. </w:t>
      </w:r>
    </w:p>
    <w:p w14:paraId="7603A7EF" w14:textId="47A111AA" w:rsidR="00995366" w:rsidRDefault="00995366" w:rsidP="00995366">
      <w:pPr>
        <w:spacing w:after="120" w:line="240" w:lineRule="auto"/>
        <w:jc w:val="both"/>
        <w:rPr>
          <w:rFonts w:ascii="Times New Roman" w:eastAsia="Calibri" w:hAnsi="Times New Roman" w:cs="Times New Roman"/>
          <w:sz w:val="24"/>
          <w:szCs w:val="24"/>
        </w:rPr>
      </w:pPr>
      <w:r w:rsidRPr="00B16395">
        <w:rPr>
          <w:rFonts w:ascii="Times New Roman" w:eastAsia="Calibri" w:hAnsi="Times New Roman" w:cs="Times New Roman"/>
          <w:iCs/>
          <w:sz w:val="24"/>
          <w:szCs w:val="24"/>
        </w:rPr>
        <w:t xml:space="preserve">The 2020 budget for the judiciary is € 39.1 million, </w:t>
      </w:r>
      <w:r w:rsidR="00A82AAC">
        <w:rPr>
          <w:rFonts w:ascii="Times New Roman" w:eastAsia="Calibri" w:hAnsi="Times New Roman" w:cs="Times New Roman"/>
          <w:iCs/>
          <w:sz w:val="24"/>
          <w:szCs w:val="24"/>
        </w:rPr>
        <w:t xml:space="preserve">which is </w:t>
      </w:r>
      <w:r w:rsidRPr="00B16395">
        <w:rPr>
          <w:rFonts w:ascii="Times New Roman" w:eastAsia="Calibri" w:hAnsi="Times New Roman" w:cs="Times New Roman"/>
          <w:iCs/>
          <w:sz w:val="24"/>
          <w:szCs w:val="24"/>
        </w:rPr>
        <w:t>similar to 2019. Montenegro has 51 judges (58% of whom are females) and 17 prosecutors (over 65% of whom are females) per 100,000 inhabitants, far above the European average of 21 judges and 11 prosecutors (source:</w:t>
      </w:r>
      <w:r w:rsidR="00E31D46">
        <w:rPr>
          <w:rFonts w:ascii="Times New Roman" w:eastAsia="Calibri" w:hAnsi="Times New Roman" w:cs="Times New Roman"/>
          <w:sz w:val="24"/>
          <w:szCs w:val="24"/>
        </w:rPr>
        <w:t xml:space="preserve"> </w:t>
      </w:r>
      <w:r w:rsidR="00E31D46" w:rsidRPr="004F37F9">
        <w:rPr>
          <w:rFonts w:ascii="Times New Roman" w:eastAsia="Calibri" w:hAnsi="Times New Roman" w:cs="Times New Roman"/>
          <w:sz w:val="24"/>
          <w:szCs w:val="24"/>
        </w:rPr>
        <w:t xml:space="preserve">European Commission for the Efficiency of Justice </w:t>
      </w:r>
      <w:r w:rsidR="00E31D46">
        <w:rPr>
          <w:rFonts w:ascii="Times New Roman" w:eastAsia="Calibri" w:hAnsi="Times New Roman" w:cs="Times New Roman"/>
          <w:sz w:val="24"/>
          <w:szCs w:val="24"/>
        </w:rPr>
        <w:t xml:space="preserve">- </w:t>
      </w:r>
      <w:r w:rsidR="00E31D46" w:rsidRPr="004F37F9">
        <w:rPr>
          <w:rFonts w:ascii="Times New Roman" w:eastAsia="Calibri" w:hAnsi="Times New Roman" w:cs="Times New Roman"/>
          <w:sz w:val="24"/>
          <w:szCs w:val="24"/>
        </w:rPr>
        <w:t>CEPEJ</w:t>
      </w:r>
      <w:r w:rsidRPr="00B16395">
        <w:rPr>
          <w:rFonts w:ascii="Times New Roman" w:eastAsia="Calibri" w:hAnsi="Times New Roman" w:cs="Times New Roman"/>
          <w:iCs/>
          <w:sz w:val="24"/>
          <w:szCs w:val="24"/>
        </w:rPr>
        <w:t>), as well as three times as many judicial staff per inhabitants as the European average</w:t>
      </w:r>
      <w:r>
        <w:rPr>
          <w:rFonts w:ascii="Times New Roman" w:eastAsia="Calibri" w:hAnsi="Times New Roman" w:cs="Times New Roman"/>
          <w:iCs/>
          <w:sz w:val="24"/>
          <w:szCs w:val="24"/>
        </w:rPr>
        <w:t>.</w:t>
      </w:r>
      <w:r w:rsidRPr="00B16395">
        <w:rPr>
          <w:rFonts w:ascii="Times New Roman" w:eastAsia="Calibri" w:hAnsi="Times New Roman" w:cs="Times New Roman"/>
          <w:iCs/>
          <w:sz w:val="24"/>
          <w:szCs w:val="24"/>
        </w:rPr>
        <w:t xml:space="preserve"> </w:t>
      </w:r>
      <w:r>
        <w:rPr>
          <w:rFonts w:ascii="Times New Roman" w:eastAsia="Calibri" w:hAnsi="Times New Roman" w:cs="Times New Roman"/>
          <w:sz w:val="24"/>
          <w:szCs w:val="24"/>
        </w:rPr>
        <w:t xml:space="preserve">The </w:t>
      </w:r>
      <w:r w:rsidR="008E399E">
        <w:rPr>
          <w:rFonts w:ascii="Times New Roman" w:eastAsia="Calibri" w:hAnsi="Times New Roman" w:cs="Times New Roman"/>
          <w:sz w:val="24"/>
          <w:szCs w:val="24"/>
        </w:rPr>
        <w:t>COVID</w:t>
      </w:r>
      <w:r w:rsidR="00A82AAC">
        <w:rPr>
          <w:rFonts w:ascii="Times New Roman" w:eastAsia="Calibri" w:hAnsi="Times New Roman" w:cs="Times New Roman"/>
          <w:sz w:val="24"/>
          <w:szCs w:val="24"/>
        </w:rPr>
        <w:t>-</w:t>
      </w:r>
      <w:r>
        <w:rPr>
          <w:rFonts w:ascii="Times New Roman" w:eastAsia="Calibri" w:hAnsi="Times New Roman" w:cs="Times New Roman"/>
          <w:sz w:val="24"/>
          <w:szCs w:val="24"/>
        </w:rPr>
        <w:t>19 outbreak has delayed the finalisation of the</w:t>
      </w:r>
      <w:r w:rsidRPr="00B16395">
        <w:rPr>
          <w:rFonts w:ascii="Times New Roman" w:eastAsia="Calibri" w:hAnsi="Times New Roman" w:cs="Times New Roman"/>
          <w:sz w:val="24"/>
          <w:szCs w:val="24"/>
        </w:rPr>
        <w:t xml:space="preserve"> underlying analysis </w:t>
      </w:r>
      <w:r>
        <w:rPr>
          <w:rFonts w:ascii="Times New Roman" w:eastAsia="Calibri" w:hAnsi="Times New Roman" w:cs="Times New Roman"/>
          <w:sz w:val="24"/>
          <w:szCs w:val="24"/>
        </w:rPr>
        <w:t xml:space="preserve">to feed into the new strategy </w:t>
      </w:r>
      <w:r w:rsidRPr="00B16395">
        <w:rPr>
          <w:rFonts w:ascii="Times New Roman" w:eastAsia="Calibri" w:hAnsi="Times New Roman" w:cs="Times New Roman"/>
          <w:sz w:val="24"/>
          <w:szCs w:val="24"/>
        </w:rPr>
        <w:t>for rationalisation of the judicial network</w:t>
      </w:r>
      <w:r w:rsidR="00A82AAC">
        <w:rPr>
          <w:rFonts w:ascii="Times New Roman" w:eastAsia="Calibri" w:hAnsi="Times New Roman" w:cs="Times New Roman"/>
          <w:sz w:val="24"/>
          <w:szCs w:val="24"/>
        </w:rPr>
        <w:t>,</w:t>
      </w:r>
      <w:r>
        <w:rPr>
          <w:rFonts w:ascii="Times New Roman" w:eastAsia="Calibri" w:hAnsi="Times New Roman" w:cs="Times New Roman"/>
          <w:sz w:val="24"/>
          <w:szCs w:val="24"/>
        </w:rPr>
        <w:t xml:space="preserve"> which is currently under preparation.  </w:t>
      </w:r>
    </w:p>
    <w:p w14:paraId="054E8253" w14:textId="183A6BA2" w:rsidR="00995366" w:rsidRPr="00B16395" w:rsidRDefault="00995366" w:rsidP="00995366">
      <w:pPr>
        <w:spacing w:after="120" w:line="240" w:lineRule="auto"/>
        <w:jc w:val="both"/>
        <w:rPr>
          <w:rFonts w:ascii="Times New Roman" w:eastAsia="Calibri" w:hAnsi="Times New Roman" w:cs="Times New Roman"/>
          <w:sz w:val="24"/>
          <w:szCs w:val="24"/>
          <w:u w:val="single"/>
        </w:rPr>
      </w:pPr>
      <w:r w:rsidRPr="00570713">
        <w:rPr>
          <w:rFonts w:ascii="Times New Roman" w:eastAsia="Calibri" w:hAnsi="Times New Roman" w:cs="Times New Roman"/>
          <w:iCs/>
          <w:sz w:val="24"/>
          <w:szCs w:val="24"/>
        </w:rPr>
        <w:t>Montenegro</w:t>
      </w:r>
      <w:r>
        <w:rPr>
          <w:rFonts w:ascii="Times New Roman" w:eastAsia="Calibri" w:hAnsi="Times New Roman" w:cs="Times New Roman"/>
          <w:iCs/>
          <w:sz w:val="24"/>
          <w:szCs w:val="24"/>
        </w:rPr>
        <w:t xml:space="preserve"> continued implementing</w:t>
      </w:r>
      <w:r w:rsidRPr="00570713">
        <w:rPr>
          <w:rFonts w:ascii="Times New Roman" w:eastAsia="Calibri" w:hAnsi="Times New Roman" w:cs="Times New Roman"/>
          <w:iCs/>
          <w:sz w:val="24"/>
          <w:szCs w:val="24"/>
        </w:rPr>
        <w:t xml:space="preserve"> measures to strengthen and promote </w:t>
      </w:r>
      <w:r>
        <w:rPr>
          <w:rFonts w:ascii="Times New Roman" w:eastAsia="Calibri" w:hAnsi="Times New Roman" w:cs="Times New Roman"/>
          <w:iCs/>
          <w:sz w:val="24"/>
          <w:szCs w:val="24"/>
        </w:rPr>
        <w:t>the</w:t>
      </w:r>
      <w:r w:rsidRPr="00570713">
        <w:rPr>
          <w:rFonts w:ascii="Times New Roman" w:eastAsia="Calibri" w:hAnsi="Times New Roman" w:cs="Times New Roman"/>
          <w:iCs/>
          <w:sz w:val="24"/>
          <w:szCs w:val="24"/>
        </w:rPr>
        <w:t xml:space="preserve"> use</w:t>
      </w:r>
      <w:r>
        <w:rPr>
          <w:rFonts w:ascii="Times New Roman" w:eastAsia="Calibri" w:hAnsi="Times New Roman" w:cs="Times New Roman"/>
          <w:iCs/>
          <w:sz w:val="24"/>
          <w:szCs w:val="24"/>
        </w:rPr>
        <w:t xml:space="preserve"> of alternative dispute resolution</w:t>
      </w:r>
      <w:r w:rsidRPr="00570713">
        <w:rPr>
          <w:rFonts w:ascii="Times New Roman" w:eastAsia="Calibri" w:hAnsi="Times New Roman" w:cs="Times New Roman"/>
          <w:iCs/>
          <w:sz w:val="24"/>
          <w:szCs w:val="24"/>
        </w:rPr>
        <w:t xml:space="preserve">. The </w:t>
      </w:r>
      <w:r>
        <w:rPr>
          <w:rFonts w:ascii="Times New Roman" w:eastAsia="Calibri" w:hAnsi="Times New Roman" w:cs="Times New Roman"/>
          <w:iCs/>
          <w:sz w:val="24"/>
          <w:szCs w:val="24"/>
        </w:rPr>
        <w:t xml:space="preserve">new </w:t>
      </w:r>
      <w:r w:rsidRPr="00570713">
        <w:rPr>
          <w:rFonts w:ascii="Times New Roman" w:eastAsia="Calibri" w:hAnsi="Times New Roman" w:cs="Times New Roman"/>
          <w:iCs/>
          <w:sz w:val="24"/>
          <w:szCs w:val="24"/>
        </w:rPr>
        <w:t>law on alternative dispute resolution</w:t>
      </w:r>
      <w:r w:rsidR="00A82AAC">
        <w:rPr>
          <w:rFonts w:ascii="Times New Roman" w:eastAsia="Calibri" w:hAnsi="Times New Roman" w:cs="Times New Roman"/>
          <w:iCs/>
          <w:sz w:val="24"/>
          <w:szCs w:val="24"/>
        </w:rPr>
        <w:t>,</w:t>
      </w:r>
      <w:r w:rsidRPr="00570713">
        <w:rPr>
          <w:rFonts w:ascii="Times New Roman" w:eastAsia="Calibri" w:hAnsi="Times New Roman" w:cs="Times New Roman"/>
          <w:iCs/>
          <w:sz w:val="24"/>
          <w:szCs w:val="24"/>
        </w:rPr>
        <w:t xml:space="preserve"> adopted by the government in November 2019</w:t>
      </w:r>
      <w:r w:rsidR="00A82AAC">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is yet to be enacted by Parliament. </w:t>
      </w:r>
      <w:r w:rsidRPr="00570713">
        <w:rPr>
          <w:rFonts w:ascii="Times New Roman" w:eastAsia="Calibri" w:hAnsi="Times New Roman" w:cs="Times New Roman"/>
          <w:iCs/>
          <w:sz w:val="24"/>
          <w:szCs w:val="24"/>
        </w:rPr>
        <w:t>In 2019, 917 cases were referred to the Centre for Mediation (2018: 629)</w:t>
      </w:r>
      <w:r w:rsidRPr="00570713">
        <w:rPr>
          <w:rFonts w:ascii="Times New Roman" w:eastAsia="Times New Roman" w:hAnsi="Times New Roman" w:cs="Times New Roman"/>
          <w:sz w:val="24"/>
          <w:szCs w:val="24"/>
        </w:rPr>
        <w:t xml:space="preserve">, and 403 cases were settled through mediation (2018: 107). </w:t>
      </w:r>
      <w:r w:rsidRPr="00570713">
        <w:rPr>
          <w:rFonts w:ascii="Times New Roman" w:eastAsia="Calibri" w:hAnsi="Times New Roman" w:cs="Times New Roman"/>
          <w:iCs/>
          <w:sz w:val="24"/>
          <w:szCs w:val="24"/>
        </w:rPr>
        <w:t xml:space="preserve">During the same period, 2,743 cases (2018: </w:t>
      </w:r>
      <w:r w:rsidRPr="00570713">
        <w:rPr>
          <w:rFonts w:ascii="Times New Roman" w:eastAsia="Calibri" w:hAnsi="Times New Roman" w:cs="Times New Roman"/>
          <w:sz w:val="24"/>
          <w:szCs w:val="24"/>
        </w:rPr>
        <w:t>3,450</w:t>
      </w:r>
      <w:r w:rsidRPr="00570713">
        <w:rPr>
          <w:rFonts w:ascii="Times New Roman" w:eastAsia="Calibri" w:hAnsi="Times New Roman" w:cs="Times New Roman"/>
          <w:iCs/>
          <w:sz w:val="24"/>
          <w:szCs w:val="24"/>
        </w:rPr>
        <w:t xml:space="preserve">) were submitted to the Agency for Peaceful Settlement of Labour Disputes, </w:t>
      </w:r>
      <w:r w:rsidRPr="00570713">
        <w:rPr>
          <w:rFonts w:ascii="Times New Roman" w:eastAsia="Times New Roman" w:hAnsi="Times New Roman" w:cs="Times New Roman"/>
          <w:sz w:val="24"/>
          <w:szCs w:val="24"/>
        </w:rPr>
        <w:t xml:space="preserve">1,258 </w:t>
      </w:r>
      <w:r w:rsidR="00F474A7">
        <w:rPr>
          <w:rFonts w:ascii="Times New Roman" w:eastAsia="Times New Roman" w:hAnsi="Times New Roman" w:cs="Times New Roman"/>
          <w:sz w:val="24"/>
          <w:szCs w:val="24"/>
        </w:rPr>
        <w:t xml:space="preserve">of which </w:t>
      </w:r>
      <w:r w:rsidRPr="00570713">
        <w:rPr>
          <w:rFonts w:ascii="Times New Roman" w:eastAsia="Calibri" w:hAnsi="Times New Roman" w:cs="Times New Roman"/>
          <w:iCs/>
          <w:sz w:val="24"/>
          <w:szCs w:val="24"/>
        </w:rPr>
        <w:t>were resolved (2018: 3,041).</w:t>
      </w:r>
    </w:p>
    <w:p w14:paraId="2FEA5F6D" w14:textId="4AA14E5D" w:rsidR="00995366" w:rsidRPr="00B16395" w:rsidRDefault="00995366" w:rsidP="00995366">
      <w:pPr>
        <w:spacing w:after="120" w:line="240" w:lineRule="auto"/>
        <w:jc w:val="both"/>
        <w:rPr>
          <w:rFonts w:ascii="Times New Roman" w:eastAsia="Calibri" w:hAnsi="Times New Roman" w:cs="Times New Roman"/>
          <w:sz w:val="24"/>
          <w:szCs w:val="24"/>
        </w:rPr>
      </w:pPr>
      <w:r w:rsidRPr="00B16395">
        <w:rPr>
          <w:rFonts w:ascii="Times New Roman" w:eastAsia="Calibri" w:hAnsi="Times New Roman" w:cs="Times New Roman"/>
          <w:sz w:val="24"/>
          <w:szCs w:val="24"/>
        </w:rPr>
        <w:t xml:space="preserve">In 2020, the Judicial Training Centre </w:t>
      </w:r>
      <w:r w:rsidR="007D49CA">
        <w:rPr>
          <w:rFonts w:ascii="Times New Roman" w:eastAsia="Calibri" w:hAnsi="Times New Roman" w:cs="Times New Roman"/>
          <w:sz w:val="24"/>
          <w:szCs w:val="24"/>
        </w:rPr>
        <w:t>has an</w:t>
      </w:r>
      <w:r w:rsidRPr="00B16395">
        <w:rPr>
          <w:rFonts w:ascii="Times New Roman" w:eastAsia="Calibri" w:hAnsi="Times New Roman" w:cs="Times New Roman"/>
          <w:sz w:val="24"/>
          <w:szCs w:val="24"/>
        </w:rPr>
        <w:t xml:space="preserve"> allocated budget of € 615,593 (2019: € 619,000) which remains below the statutory minimum</w:t>
      </w:r>
      <w:r>
        <w:rPr>
          <w:rFonts w:ascii="Times New Roman" w:eastAsia="Calibri" w:hAnsi="Times New Roman" w:cs="Times New Roman"/>
          <w:sz w:val="24"/>
          <w:szCs w:val="24"/>
        </w:rPr>
        <w:t>, but</w:t>
      </w:r>
      <w:r w:rsidRPr="00B16395">
        <w:rPr>
          <w:rFonts w:ascii="Times New Roman" w:eastAsia="Calibri" w:hAnsi="Times New Roman" w:cs="Times New Roman"/>
          <w:sz w:val="24"/>
          <w:szCs w:val="24"/>
        </w:rPr>
        <w:t xml:space="preserve"> sufficient since a large part of its activities continue to be financially supported by the EU and other international donors.</w:t>
      </w:r>
      <w:r w:rsidRPr="00B16395">
        <w:rPr>
          <w:rFonts w:ascii="Times New Roman" w:eastAsia="Calibri" w:hAnsi="Times New Roman" w:cs="Times New Roman"/>
          <w:iCs/>
          <w:sz w:val="24"/>
          <w:szCs w:val="24"/>
        </w:rPr>
        <w:t xml:space="preserve"> Its secretariat still employs</w:t>
      </w:r>
      <w:r w:rsidR="00A82AAC">
        <w:rPr>
          <w:rFonts w:ascii="Times New Roman" w:eastAsia="Calibri" w:hAnsi="Times New Roman" w:cs="Times New Roman"/>
          <w:iCs/>
          <w:sz w:val="24"/>
          <w:szCs w:val="24"/>
        </w:rPr>
        <w:t xml:space="preserve"> </w:t>
      </w:r>
      <w:r w:rsidRPr="00B16395">
        <w:rPr>
          <w:rFonts w:ascii="Times New Roman" w:eastAsia="Calibri" w:hAnsi="Times New Roman" w:cs="Times New Roman"/>
          <w:iCs/>
          <w:sz w:val="24"/>
          <w:szCs w:val="24"/>
        </w:rPr>
        <w:t>14 of the 19 planned posts, while the number of its implemented activities is steadily increasing.</w:t>
      </w:r>
      <w:r w:rsidRPr="00B16395">
        <w:rPr>
          <w:rFonts w:ascii="Times New Roman" w:eastAsia="Calibri" w:hAnsi="Times New Roman" w:cs="Times New Roman"/>
          <w:sz w:val="24"/>
          <w:szCs w:val="24"/>
        </w:rPr>
        <w:t xml:space="preserve"> </w:t>
      </w:r>
      <w:r w:rsidR="00A720DD" w:rsidRPr="00A720DD">
        <w:rPr>
          <w:rFonts w:ascii="Times New Roman" w:eastAsia="Calibri" w:hAnsi="Times New Roman" w:cs="Times New Roman"/>
          <w:iCs/>
          <w:sz w:val="24"/>
          <w:szCs w:val="24"/>
        </w:rPr>
        <w:t>The Ce</w:t>
      </w:r>
      <w:r w:rsidR="00A720DD" w:rsidRPr="005146B8">
        <w:rPr>
          <w:rFonts w:ascii="Times New Roman" w:eastAsia="Calibri" w:hAnsi="Times New Roman" w:cs="Times New Roman"/>
          <w:iCs/>
          <w:sz w:val="24"/>
          <w:szCs w:val="24"/>
        </w:rPr>
        <w:t xml:space="preserve">ntre </w:t>
      </w:r>
      <w:r w:rsidR="00A720DD" w:rsidRPr="00861A9A">
        <w:rPr>
          <w:rFonts w:ascii="Times New Roman" w:eastAsia="Calibri" w:hAnsi="Times New Roman" w:cs="Times New Roman"/>
          <w:iCs/>
          <w:sz w:val="24"/>
          <w:szCs w:val="24"/>
        </w:rPr>
        <w:t>is an observer to the European Judicial Training Network (EJTN) but is not proactively benefiting from the expertise within the network.</w:t>
      </w:r>
    </w:p>
    <w:p w14:paraId="4D5BB80E" w14:textId="77777777" w:rsidR="00995366" w:rsidRPr="00B16395" w:rsidRDefault="00995366" w:rsidP="00995366">
      <w:pPr>
        <w:autoSpaceDE w:val="0"/>
        <w:autoSpaceDN w:val="0"/>
        <w:adjustRightInd w:val="0"/>
        <w:spacing w:after="120" w:line="240" w:lineRule="auto"/>
        <w:jc w:val="both"/>
        <w:rPr>
          <w:rFonts w:ascii="Times New Roman" w:eastAsia="Calibri" w:hAnsi="Times New Roman" w:cs="Times New Roman"/>
          <w:color w:val="000000" w:themeColor="text1"/>
          <w:sz w:val="24"/>
          <w:szCs w:val="24"/>
        </w:rPr>
      </w:pPr>
      <w:r w:rsidRPr="00B16395">
        <w:rPr>
          <w:rFonts w:ascii="Times New Roman" w:eastAsia="Calibri" w:hAnsi="Times New Roman" w:cs="Times New Roman"/>
          <w:color w:val="000000" w:themeColor="text1"/>
          <w:sz w:val="24"/>
          <w:szCs w:val="24"/>
          <w:u w:val="single"/>
        </w:rPr>
        <w:t xml:space="preserve">Domestic handling of war crimes cases </w:t>
      </w:r>
    </w:p>
    <w:p w14:paraId="52B0DAA9" w14:textId="67A41555" w:rsidR="00995366" w:rsidRPr="00B16395" w:rsidRDefault="00995366" w:rsidP="00995366">
      <w:pPr>
        <w:autoSpaceDE w:val="0"/>
        <w:autoSpaceDN w:val="0"/>
        <w:adjustRightInd w:val="0"/>
        <w:spacing w:after="120" w:line="240" w:lineRule="auto"/>
        <w:jc w:val="both"/>
        <w:rPr>
          <w:rFonts w:ascii="Times New Roman" w:eastAsia="Calibri" w:hAnsi="Times New Roman" w:cs="Times New Roman"/>
          <w:iCs/>
          <w:color w:val="000000" w:themeColor="text1"/>
          <w:sz w:val="24"/>
          <w:szCs w:val="24"/>
        </w:rPr>
      </w:pPr>
      <w:r>
        <w:rPr>
          <w:rFonts w:ascii="Times New Roman" w:eastAsia="Calibri" w:hAnsi="Times New Roman" w:cs="Times New Roman"/>
          <w:iCs/>
          <w:color w:val="000000" w:themeColor="text1"/>
          <w:sz w:val="24"/>
          <w:szCs w:val="24"/>
        </w:rPr>
        <w:t xml:space="preserve">In November 2019, </w:t>
      </w:r>
      <w:r w:rsidRPr="00B16395">
        <w:rPr>
          <w:rFonts w:ascii="Times New Roman" w:eastAsia="Calibri" w:hAnsi="Times New Roman" w:cs="Times New Roman"/>
          <w:iCs/>
          <w:color w:val="000000" w:themeColor="text1"/>
          <w:sz w:val="24"/>
          <w:szCs w:val="24"/>
        </w:rPr>
        <w:t xml:space="preserve">a </w:t>
      </w:r>
      <w:r>
        <w:rPr>
          <w:rFonts w:ascii="Times New Roman" w:eastAsia="Calibri" w:hAnsi="Times New Roman" w:cs="Times New Roman"/>
          <w:iCs/>
          <w:color w:val="000000" w:themeColor="text1"/>
          <w:sz w:val="24"/>
          <w:szCs w:val="24"/>
        </w:rPr>
        <w:t xml:space="preserve">second-instance </w:t>
      </w:r>
      <w:r w:rsidRPr="00B16395">
        <w:rPr>
          <w:rFonts w:ascii="Times New Roman" w:eastAsia="Calibri" w:hAnsi="Times New Roman" w:cs="Times New Roman"/>
          <w:iCs/>
          <w:color w:val="000000" w:themeColor="text1"/>
          <w:sz w:val="24"/>
          <w:szCs w:val="24"/>
        </w:rPr>
        <w:t xml:space="preserve">court </w:t>
      </w:r>
      <w:r>
        <w:rPr>
          <w:rFonts w:ascii="Times New Roman" w:eastAsia="Calibri" w:hAnsi="Times New Roman" w:cs="Times New Roman"/>
          <w:iCs/>
          <w:color w:val="000000" w:themeColor="text1"/>
          <w:sz w:val="24"/>
          <w:szCs w:val="24"/>
        </w:rPr>
        <w:t xml:space="preserve">upheld the first-instance </w:t>
      </w:r>
      <w:r w:rsidRPr="00B16395">
        <w:rPr>
          <w:rFonts w:ascii="Times New Roman" w:eastAsia="Calibri" w:hAnsi="Times New Roman" w:cs="Times New Roman"/>
          <w:iCs/>
          <w:color w:val="000000" w:themeColor="text1"/>
          <w:sz w:val="24"/>
          <w:szCs w:val="24"/>
        </w:rPr>
        <w:t>decision</w:t>
      </w:r>
      <w:r w:rsidR="00A82AAC">
        <w:rPr>
          <w:rFonts w:ascii="Times New Roman" w:eastAsia="Calibri" w:hAnsi="Times New Roman" w:cs="Times New Roman"/>
          <w:iCs/>
          <w:color w:val="000000" w:themeColor="text1"/>
          <w:sz w:val="24"/>
          <w:szCs w:val="24"/>
        </w:rPr>
        <w:t xml:space="preserve"> from June of the same year,</w:t>
      </w:r>
      <w:r w:rsidRPr="00B16395">
        <w:rPr>
          <w:rFonts w:ascii="Times New Roman" w:eastAsia="Calibri" w:hAnsi="Times New Roman" w:cs="Times New Roman"/>
          <w:iCs/>
          <w:color w:val="000000" w:themeColor="text1"/>
          <w:sz w:val="24"/>
          <w:szCs w:val="24"/>
        </w:rPr>
        <w:t xml:space="preserve"> sentencing a defendant to 14 years of imprisonment for crimes against the civilian population in Kosovo</w:t>
      </w:r>
      <w:r w:rsidRPr="007136D6">
        <w:rPr>
          <w:rFonts w:ascii="Times New Roman" w:eastAsia="Times New Roman" w:hAnsi="Times New Roman" w:cs="Times New Roman"/>
          <w:noProof/>
          <w:sz w:val="24"/>
          <w:szCs w:val="24"/>
          <w:vertAlign w:val="superscript"/>
          <w:lang w:bidi="en-US"/>
        </w:rPr>
        <w:footnoteReference w:customMarkFollows="1" w:id="1"/>
        <w:t>*</w:t>
      </w:r>
      <w:r w:rsidRPr="00B16395">
        <w:rPr>
          <w:rFonts w:ascii="Times New Roman" w:eastAsia="Calibri" w:hAnsi="Times New Roman" w:cs="Times New Roman"/>
          <w:iCs/>
          <w:color w:val="000000" w:themeColor="text1"/>
          <w:sz w:val="24"/>
          <w:szCs w:val="24"/>
        </w:rPr>
        <w:t xml:space="preserve">. Within the jurisdiction of the Special Prosecutor's Office (SPO), four cases remain in the preliminary phase of investigation concerning war crimes committed on </w:t>
      </w:r>
      <w:r w:rsidRPr="00B16395">
        <w:rPr>
          <w:rFonts w:ascii="Times New Roman" w:eastAsia="Calibri" w:hAnsi="Times New Roman" w:cs="Times New Roman"/>
          <w:iCs/>
          <w:color w:val="000000" w:themeColor="text1"/>
          <w:sz w:val="24"/>
          <w:szCs w:val="24"/>
        </w:rPr>
        <w:lastRenderedPageBreak/>
        <w:t xml:space="preserve">the territories of Bosnia and Herzegovina, and Croatia. In 2019, Montenegro acted upon seven letters rogatory from Bosnia and Herzegovina and three letters rogatory from Croatia. Activities are ongoing on re-examination of old cases with a view to securing revision of the final judgements. The prosecution regularly participates in regional operational meetings. In 2019, there were 19 claims for compensation pending before the basic court of Podgorica: 17 for damages incurred due to the reduction of general life activity, fear and mental suffering, and 2 for damages incurred due to unlawful deprivation of liberty. All these claims are given priority by the court. By 31 March 2020, </w:t>
      </w:r>
      <w:r w:rsidR="00A82AAC">
        <w:rPr>
          <w:rFonts w:ascii="Times New Roman" w:eastAsia="Calibri" w:hAnsi="Times New Roman" w:cs="Times New Roman"/>
          <w:iCs/>
          <w:color w:val="000000" w:themeColor="text1"/>
          <w:sz w:val="24"/>
          <w:szCs w:val="24"/>
        </w:rPr>
        <w:t>3</w:t>
      </w:r>
      <w:r w:rsidRPr="00B16395">
        <w:rPr>
          <w:rFonts w:ascii="Times New Roman" w:eastAsia="Calibri" w:hAnsi="Times New Roman" w:cs="Times New Roman"/>
          <w:iCs/>
          <w:color w:val="000000" w:themeColor="text1"/>
          <w:sz w:val="24"/>
          <w:szCs w:val="24"/>
        </w:rPr>
        <w:t xml:space="preserve"> claims for compensation were partially upheld, awarding non-pecuniary damages in the amounts between €</w:t>
      </w:r>
      <w:r w:rsidR="00A82AAC">
        <w:rPr>
          <w:rFonts w:ascii="Times New Roman" w:eastAsia="Calibri" w:hAnsi="Times New Roman" w:cs="Times New Roman"/>
          <w:iCs/>
          <w:color w:val="000000" w:themeColor="text1"/>
          <w:sz w:val="24"/>
          <w:szCs w:val="24"/>
        </w:rPr>
        <w:t xml:space="preserve"> </w:t>
      </w:r>
      <w:r w:rsidRPr="00B16395">
        <w:rPr>
          <w:rFonts w:ascii="Times New Roman" w:eastAsia="Calibri" w:hAnsi="Times New Roman" w:cs="Times New Roman"/>
          <w:iCs/>
          <w:color w:val="000000" w:themeColor="text1"/>
          <w:sz w:val="24"/>
          <w:szCs w:val="24"/>
        </w:rPr>
        <w:t>4,500 and €</w:t>
      </w:r>
      <w:r w:rsidR="00A82AAC">
        <w:rPr>
          <w:rFonts w:ascii="Times New Roman" w:eastAsia="Calibri" w:hAnsi="Times New Roman" w:cs="Times New Roman"/>
          <w:iCs/>
          <w:color w:val="000000" w:themeColor="text1"/>
          <w:sz w:val="24"/>
          <w:szCs w:val="24"/>
        </w:rPr>
        <w:t xml:space="preserve"> </w:t>
      </w:r>
      <w:r w:rsidRPr="00B16395">
        <w:rPr>
          <w:rFonts w:ascii="Times New Roman" w:eastAsia="Calibri" w:hAnsi="Times New Roman" w:cs="Times New Roman"/>
          <w:iCs/>
          <w:color w:val="000000" w:themeColor="text1"/>
          <w:sz w:val="24"/>
          <w:szCs w:val="24"/>
        </w:rPr>
        <w:t xml:space="preserve">6,000.  </w:t>
      </w:r>
    </w:p>
    <w:p w14:paraId="65C15C9C" w14:textId="77777777" w:rsidR="00995366" w:rsidRPr="00570713" w:rsidRDefault="00995366" w:rsidP="00995366">
      <w:pPr>
        <w:spacing w:after="120" w:line="240" w:lineRule="auto"/>
        <w:jc w:val="both"/>
        <w:rPr>
          <w:rFonts w:ascii="Times New Roman" w:eastAsia="Calibri" w:hAnsi="Times New Roman" w:cs="Times New Roman"/>
          <w:b/>
          <w:bCs/>
          <w:color w:val="000000" w:themeColor="text1"/>
          <w:sz w:val="24"/>
          <w:szCs w:val="24"/>
        </w:rPr>
      </w:pPr>
      <w:r w:rsidRPr="00570713">
        <w:rPr>
          <w:rFonts w:ascii="Times New Roman" w:eastAsia="Calibri" w:hAnsi="Times New Roman" w:cs="Times New Roman"/>
          <w:b/>
          <w:bCs/>
          <w:color w:val="000000" w:themeColor="text1"/>
          <w:sz w:val="24"/>
          <w:szCs w:val="24"/>
        </w:rPr>
        <w:t>Fight against corruption</w:t>
      </w:r>
    </w:p>
    <w:p w14:paraId="460AB6FF" w14:textId="77777777" w:rsidR="00995366" w:rsidRPr="00570713" w:rsidRDefault="00995366" w:rsidP="00995366">
      <w:pPr>
        <w:spacing w:after="120" w:line="240" w:lineRule="auto"/>
        <w:rPr>
          <w:rFonts w:ascii="Times New Roman" w:eastAsia="Calibri" w:hAnsi="Times New Roman" w:cs="Times New Roman"/>
          <w:sz w:val="24"/>
          <w:szCs w:val="24"/>
          <w:u w:val="single"/>
        </w:rPr>
      </w:pPr>
      <w:r w:rsidRPr="00570713">
        <w:rPr>
          <w:rFonts w:ascii="Times New Roman" w:eastAsia="Calibri" w:hAnsi="Times New Roman" w:cs="Times New Roman"/>
          <w:sz w:val="24"/>
          <w:szCs w:val="24"/>
          <w:u w:val="single"/>
        </w:rPr>
        <w:t>Prevention of corruption</w:t>
      </w:r>
    </w:p>
    <w:p w14:paraId="241B24D0" w14:textId="2508F0C5" w:rsidR="00995366" w:rsidRDefault="00995366" w:rsidP="00995366">
      <w:pPr>
        <w:spacing w:after="120" w:line="240" w:lineRule="auto"/>
        <w:jc w:val="both"/>
        <w:rPr>
          <w:rFonts w:ascii="Times New Roman" w:eastAsia="Calibri" w:hAnsi="Times New Roman" w:cs="Times New Roman"/>
          <w:sz w:val="24"/>
          <w:szCs w:val="24"/>
        </w:rPr>
      </w:pPr>
      <w:r w:rsidRPr="00B16395">
        <w:rPr>
          <w:rFonts w:ascii="Times New Roman" w:eastAsia="Calibri" w:hAnsi="Times New Roman" w:cs="Times New Roman"/>
          <w:color w:val="000000" w:themeColor="text1"/>
          <w:sz w:val="24"/>
          <w:szCs w:val="24"/>
        </w:rPr>
        <w:t>The capacity of the A</w:t>
      </w:r>
      <w:r>
        <w:rPr>
          <w:rFonts w:ascii="Times New Roman" w:eastAsia="Calibri" w:hAnsi="Times New Roman" w:cs="Times New Roman"/>
          <w:color w:val="000000" w:themeColor="text1"/>
          <w:sz w:val="24"/>
          <w:szCs w:val="24"/>
        </w:rPr>
        <w:t xml:space="preserve">nti-Corruption Agency (ACA) </w:t>
      </w:r>
      <w:r w:rsidRPr="00B16395">
        <w:rPr>
          <w:rFonts w:ascii="Times New Roman" w:eastAsia="Calibri" w:hAnsi="Times New Roman" w:cs="Times New Roman"/>
          <w:color w:val="000000" w:themeColor="text1"/>
          <w:sz w:val="24"/>
          <w:szCs w:val="24"/>
        </w:rPr>
        <w:t>continued to be strengthened through capacity-building activities and technical assistance. Currently, 54 people are employed out of the 60 planned posts. There were further improvements to the IT system. The ACA now has real-time access to relevant databases. All data since the Agency began</w:t>
      </w:r>
      <w:r>
        <w:rPr>
          <w:rFonts w:ascii="Times New Roman" w:eastAsia="Calibri" w:hAnsi="Times New Roman" w:cs="Times New Roman"/>
          <w:color w:val="000000" w:themeColor="text1"/>
          <w:sz w:val="24"/>
          <w:szCs w:val="24"/>
        </w:rPr>
        <w:t xml:space="preserve"> </w:t>
      </w:r>
      <w:r w:rsidRPr="00B16395">
        <w:rPr>
          <w:rFonts w:ascii="Times New Roman" w:eastAsia="Calibri" w:hAnsi="Times New Roman" w:cs="Times New Roman"/>
          <w:color w:val="000000" w:themeColor="text1"/>
          <w:sz w:val="24"/>
          <w:szCs w:val="24"/>
        </w:rPr>
        <w:t>operating (1 January 2016) have been incorporated into its information system. The ACA continued measures on communication and awareness-raising. Despite the measures taken and the more proactive work of the new ACA Council</w:t>
      </w:r>
      <w:r>
        <w:rPr>
          <w:rFonts w:ascii="Times New Roman" w:eastAsia="Calibri" w:hAnsi="Times New Roman" w:cs="Times New Roman"/>
          <w:color w:val="000000" w:themeColor="text1"/>
          <w:sz w:val="24"/>
          <w:szCs w:val="24"/>
        </w:rPr>
        <w:t xml:space="preserve"> (such as on the Government’s housing policy for civil servants)</w:t>
      </w:r>
      <w:r w:rsidRPr="00B16395">
        <w:rPr>
          <w:rFonts w:ascii="Times New Roman" w:eastAsia="Calibri" w:hAnsi="Times New Roman" w:cs="Times New Roman"/>
          <w:color w:val="000000" w:themeColor="text1"/>
          <w:sz w:val="24"/>
          <w:szCs w:val="24"/>
        </w:rPr>
        <w:t xml:space="preserve">, challenges </w:t>
      </w:r>
      <w:r>
        <w:rPr>
          <w:rFonts w:ascii="Times New Roman" w:eastAsia="Calibri" w:hAnsi="Times New Roman" w:cs="Times New Roman"/>
          <w:color w:val="000000" w:themeColor="text1"/>
          <w:sz w:val="24"/>
          <w:szCs w:val="24"/>
        </w:rPr>
        <w:t xml:space="preserve">with regard to </w:t>
      </w:r>
      <w:r w:rsidRPr="00B16395">
        <w:rPr>
          <w:rFonts w:ascii="Times New Roman" w:eastAsia="Calibri" w:hAnsi="Times New Roman" w:cs="Times New Roman"/>
          <w:color w:val="000000" w:themeColor="text1"/>
          <w:sz w:val="24"/>
          <w:szCs w:val="24"/>
        </w:rPr>
        <w:t xml:space="preserve">transparency, integrity, impartiality, independence, an unselective approach, </w:t>
      </w:r>
      <w:r>
        <w:rPr>
          <w:rFonts w:ascii="Times New Roman" w:eastAsia="Calibri" w:hAnsi="Times New Roman" w:cs="Times New Roman"/>
          <w:color w:val="000000" w:themeColor="text1"/>
          <w:sz w:val="24"/>
          <w:szCs w:val="24"/>
        </w:rPr>
        <w:t xml:space="preserve">together with </w:t>
      </w:r>
      <w:r w:rsidRPr="00B16395">
        <w:rPr>
          <w:rFonts w:ascii="Times New Roman" w:eastAsia="Calibri" w:hAnsi="Times New Roman" w:cs="Times New Roman"/>
          <w:color w:val="000000" w:themeColor="text1"/>
          <w:sz w:val="24"/>
          <w:szCs w:val="24"/>
        </w:rPr>
        <w:t>uniform and full application of relevant laws</w:t>
      </w:r>
      <w:r w:rsidR="00A82AAC">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remain</w:t>
      </w:r>
      <w:r w:rsidRPr="00B16395">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Following the resignation of the previous ACA director in December 2019</w:t>
      </w:r>
      <w:r>
        <w:rPr>
          <w:rFonts w:ascii="Times New Roman" w:eastAsia="Calibri" w:hAnsi="Times New Roman" w:cs="Times New Roman"/>
          <w:iCs/>
          <w:color w:val="000000" w:themeColor="text1"/>
          <w:sz w:val="24"/>
          <w:szCs w:val="24"/>
        </w:rPr>
        <w:t>, t</w:t>
      </w:r>
      <w:r w:rsidRPr="00B16395">
        <w:rPr>
          <w:rFonts w:ascii="Times New Roman" w:eastAsia="Calibri" w:hAnsi="Times New Roman" w:cs="Times New Roman"/>
          <w:sz w:val="24"/>
          <w:szCs w:val="24"/>
        </w:rPr>
        <w:t>he new director is yet to be confirmed</w:t>
      </w:r>
      <w:r w:rsidR="0073065F">
        <w:rPr>
          <w:rFonts w:ascii="Times New Roman" w:eastAsia="Calibri" w:hAnsi="Times New Roman" w:cs="Times New Roman"/>
          <w:sz w:val="24"/>
          <w:szCs w:val="24"/>
        </w:rPr>
        <w:t>;</w:t>
      </w:r>
      <w:r w:rsidR="0073065F" w:rsidRPr="00B16395">
        <w:rPr>
          <w:rFonts w:ascii="Times New Roman" w:eastAsia="Calibri" w:hAnsi="Times New Roman" w:cs="Times New Roman"/>
          <w:sz w:val="24"/>
          <w:szCs w:val="24"/>
        </w:rPr>
        <w:t xml:space="preserve"> th</w:t>
      </w:r>
      <w:r w:rsidR="0073065F">
        <w:rPr>
          <w:rFonts w:ascii="Times New Roman" w:eastAsia="Calibri" w:hAnsi="Times New Roman" w:cs="Times New Roman"/>
          <w:sz w:val="24"/>
          <w:szCs w:val="24"/>
        </w:rPr>
        <w:t>ree</w:t>
      </w:r>
      <w:r w:rsidR="0073065F" w:rsidRPr="00B16395">
        <w:rPr>
          <w:rFonts w:ascii="Times New Roman" w:eastAsia="Calibri" w:hAnsi="Times New Roman" w:cs="Times New Roman"/>
          <w:sz w:val="24"/>
          <w:szCs w:val="24"/>
        </w:rPr>
        <w:t xml:space="preserve"> </w:t>
      </w:r>
      <w:r w:rsidRPr="00B16395">
        <w:rPr>
          <w:rFonts w:ascii="Times New Roman" w:eastAsia="Calibri" w:hAnsi="Times New Roman" w:cs="Times New Roman"/>
          <w:sz w:val="24"/>
          <w:szCs w:val="24"/>
        </w:rPr>
        <w:t xml:space="preserve">call for candidates </w:t>
      </w:r>
      <w:r w:rsidR="0073065F">
        <w:rPr>
          <w:rFonts w:ascii="Times New Roman" w:eastAsia="Calibri" w:hAnsi="Times New Roman" w:cs="Times New Roman"/>
          <w:sz w:val="24"/>
          <w:szCs w:val="24"/>
        </w:rPr>
        <w:t>has so far been unsuccessful</w:t>
      </w:r>
      <w:r w:rsidRPr="00B16395">
        <w:rPr>
          <w:rFonts w:ascii="Times New Roman" w:eastAsia="Calibri" w:hAnsi="Times New Roman" w:cs="Times New Roman"/>
          <w:sz w:val="24"/>
          <w:szCs w:val="24"/>
        </w:rPr>
        <w:t xml:space="preserve">. </w:t>
      </w:r>
    </w:p>
    <w:p w14:paraId="406000AD" w14:textId="07E5D593" w:rsidR="00995366" w:rsidRPr="00B16395" w:rsidRDefault="00995366" w:rsidP="00995366">
      <w:pPr>
        <w:spacing w:after="120" w:line="240" w:lineRule="auto"/>
        <w:jc w:val="both"/>
        <w:rPr>
          <w:rFonts w:ascii="Times New Roman" w:eastAsia="Calibri" w:hAnsi="Times New Roman" w:cs="Times New Roman"/>
          <w:sz w:val="24"/>
          <w:szCs w:val="24"/>
        </w:rPr>
      </w:pPr>
      <w:r w:rsidRPr="00570713">
        <w:rPr>
          <w:rFonts w:ascii="Times New Roman" w:eastAsia="Calibri" w:hAnsi="Times New Roman" w:cs="Times New Roman"/>
          <w:sz w:val="24"/>
          <w:szCs w:val="24"/>
        </w:rPr>
        <w:t>In 2019, the ACA instituted 387 proceedings before the misdemeanour courts (380 for violation of the law on prevention of corruption and 7</w:t>
      </w:r>
      <w:r>
        <w:rPr>
          <w:rFonts w:ascii="Times New Roman" w:eastAsia="Calibri" w:hAnsi="Times New Roman" w:cs="Times New Roman"/>
          <w:sz w:val="24"/>
          <w:szCs w:val="24"/>
        </w:rPr>
        <w:t> </w:t>
      </w:r>
      <w:r w:rsidRPr="00570713">
        <w:rPr>
          <w:rFonts w:ascii="Times New Roman" w:eastAsia="Calibri" w:hAnsi="Times New Roman" w:cs="Times New Roman"/>
          <w:sz w:val="24"/>
          <w:szCs w:val="24"/>
        </w:rPr>
        <w:t>for violation of the law on financing of political entities and electoral campaigns). A total of 371 proceedings were completed, including those from previous years</w:t>
      </w:r>
      <w:r w:rsidR="00A82AAC">
        <w:rPr>
          <w:rFonts w:ascii="Times New Roman" w:eastAsia="Calibri" w:hAnsi="Times New Roman" w:cs="Times New Roman"/>
          <w:sz w:val="24"/>
          <w:szCs w:val="24"/>
        </w:rPr>
        <w:t xml:space="preserve"> and</w:t>
      </w:r>
      <w:r w:rsidRPr="00570713">
        <w:rPr>
          <w:rFonts w:ascii="Times New Roman" w:eastAsia="Calibri" w:hAnsi="Times New Roman" w:cs="Times New Roman"/>
          <w:sz w:val="24"/>
          <w:szCs w:val="24"/>
        </w:rPr>
        <w:t xml:space="preserve"> </w:t>
      </w:r>
      <w:r w:rsidR="00F474A7">
        <w:rPr>
          <w:rFonts w:ascii="Times New Roman" w:eastAsia="Calibri" w:hAnsi="Times New Roman" w:cs="Times New Roman"/>
          <w:sz w:val="24"/>
          <w:szCs w:val="24"/>
        </w:rPr>
        <w:t>fines were imposed in</w:t>
      </w:r>
      <w:r w:rsidR="00F474A7" w:rsidRPr="00570713">
        <w:rPr>
          <w:rFonts w:ascii="Times New Roman" w:eastAsia="Calibri" w:hAnsi="Times New Roman" w:cs="Times New Roman"/>
          <w:sz w:val="24"/>
          <w:szCs w:val="24"/>
        </w:rPr>
        <w:t xml:space="preserve"> </w:t>
      </w:r>
      <w:r w:rsidRPr="00570713">
        <w:rPr>
          <w:rFonts w:ascii="Times New Roman" w:eastAsia="Calibri" w:hAnsi="Times New Roman" w:cs="Times New Roman"/>
          <w:sz w:val="24"/>
          <w:szCs w:val="24"/>
        </w:rPr>
        <w:t>90 % of them. These</w:t>
      </w:r>
      <w:r w:rsidR="00F474A7">
        <w:rPr>
          <w:rFonts w:ascii="Times New Roman" w:eastAsia="Calibri" w:hAnsi="Times New Roman" w:cs="Times New Roman"/>
          <w:sz w:val="24"/>
          <w:szCs w:val="24"/>
        </w:rPr>
        <w:t xml:space="preserve"> fines</w:t>
      </w:r>
      <w:r w:rsidRPr="00570713">
        <w:rPr>
          <w:rFonts w:ascii="Times New Roman" w:eastAsia="Calibri" w:hAnsi="Times New Roman" w:cs="Times New Roman"/>
          <w:sz w:val="24"/>
          <w:szCs w:val="24"/>
        </w:rPr>
        <w:t xml:space="preserve"> amounted to € 75,380 for violation of the law on prevention of corruption, and € 19,900 for violating provisions of the law on financing of political entities and electoral campaigns. The ACA issued</w:t>
      </w:r>
      <w:r w:rsidR="00F474A7">
        <w:rPr>
          <w:rFonts w:ascii="Times New Roman" w:eastAsia="Calibri" w:hAnsi="Times New Roman" w:cs="Times New Roman"/>
          <w:sz w:val="24"/>
          <w:szCs w:val="24"/>
        </w:rPr>
        <w:t xml:space="preserve"> a further</w:t>
      </w:r>
      <w:r w:rsidRPr="00570713">
        <w:rPr>
          <w:rFonts w:ascii="Times New Roman" w:eastAsia="Calibri" w:hAnsi="Times New Roman" w:cs="Times New Roman"/>
          <w:sz w:val="24"/>
          <w:szCs w:val="24"/>
        </w:rPr>
        <w:t xml:space="preserve"> 40 direct misdemeanour orders, 35 for violation of the law on prevention of corruption and </w:t>
      </w:r>
      <w:r w:rsidR="00A82AAC">
        <w:rPr>
          <w:rFonts w:ascii="Times New Roman" w:eastAsia="Calibri" w:hAnsi="Times New Roman" w:cs="Times New Roman"/>
          <w:sz w:val="24"/>
          <w:szCs w:val="24"/>
        </w:rPr>
        <w:t>2</w:t>
      </w:r>
      <w:r w:rsidRPr="00570713">
        <w:rPr>
          <w:rFonts w:ascii="Times New Roman" w:eastAsia="Calibri" w:hAnsi="Times New Roman" w:cs="Times New Roman"/>
          <w:sz w:val="24"/>
          <w:szCs w:val="24"/>
        </w:rPr>
        <w:t xml:space="preserve"> for violation of the law on financing of political entities and electoral campaigns (2019: 19)</w:t>
      </w:r>
      <w:r w:rsidR="00A82AAC">
        <w:rPr>
          <w:rFonts w:ascii="Times New Roman" w:eastAsia="Calibri" w:hAnsi="Times New Roman" w:cs="Times New Roman"/>
          <w:sz w:val="24"/>
          <w:szCs w:val="24"/>
        </w:rPr>
        <w:t>,</w:t>
      </w:r>
      <w:r w:rsidRPr="00570713">
        <w:rPr>
          <w:rFonts w:ascii="Times New Roman" w:eastAsia="Calibri" w:hAnsi="Times New Roman" w:cs="Times New Roman"/>
          <w:sz w:val="24"/>
          <w:szCs w:val="24"/>
        </w:rPr>
        <w:t xml:space="preserve"> imposing fines in the amount of € 21,997. In 13 cases</w:t>
      </w:r>
      <w:r w:rsidR="00A82AAC">
        <w:rPr>
          <w:rFonts w:ascii="Times New Roman" w:eastAsia="Calibri" w:hAnsi="Times New Roman" w:cs="Times New Roman"/>
          <w:sz w:val="24"/>
          <w:szCs w:val="24"/>
        </w:rPr>
        <w:t>,</w:t>
      </w:r>
      <w:r w:rsidRPr="00570713">
        <w:rPr>
          <w:rFonts w:ascii="Times New Roman" w:eastAsia="Calibri" w:hAnsi="Times New Roman" w:cs="Times New Roman"/>
          <w:sz w:val="24"/>
          <w:szCs w:val="24"/>
        </w:rPr>
        <w:t xml:space="preserve"> the ACA requested seizure of material gain before the competent courts, resulting in seizures in 7 cases with a total amount of € 22,966.</w:t>
      </w:r>
      <w:r w:rsidRPr="00B16395">
        <w:rPr>
          <w:rFonts w:ascii="Times New Roman" w:eastAsia="Calibri" w:hAnsi="Times New Roman" w:cs="Times New Roman"/>
          <w:sz w:val="24"/>
          <w:szCs w:val="24"/>
        </w:rPr>
        <w:t xml:space="preserve"> </w:t>
      </w:r>
    </w:p>
    <w:p w14:paraId="3E06C0C5" w14:textId="77777777" w:rsidR="00995366" w:rsidRPr="00B16395" w:rsidRDefault="00995366" w:rsidP="00995366">
      <w:pPr>
        <w:spacing w:after="120" w:line="240" w:lineRule="auto"/>
        <w:jc w:val="both"/>
        <w:rPr>
          <w:rFonts w:ascii="Times New Roman" w:eastAsia="Calibri" w:hAnsi="Times New Roman" w:cs="Times New Roman"/>
          <w:color w:val="000000" w:themeColor="text1"/>
          <w:sz w:val="24"/>
          <w:szCs w:val="24"/>
        </w:rPr>
      </w:pPr>
      <w:r w:rsidRPr="00B16395">
        <w:rPr>
          <w:rFonts w:ascii="Times New Roman" w:eastAsia="Calibri" w:hAnsi="Times New Roman" w:cs="Times New Roman"/>
          <w:color w:val="000000" w:themeColor="text1"/>
          <w:sz w:val="24"/>
          <w:szCs w:val="24"/>
        </w:rPr>
        <w:t xml:space="preserve">Based on the </w:t>
      </w:r>
      <w:r w:rsidRPr="00B16395">
        <w:rPr>
          <w:rFonts w:ascii="Times New Roman" w:eastAsia="Calibri" w:hAnsi="Times New Roman" w:cs="Times New Roman"/>
          <w:sz w:val="24"/>
          <w:szCs w:val="24"/>
        </w:rPr>
        <w:t xml:space="preserve">158 opinions (2018: 185) and 72 decisions (2018: 60) issued by the Agency in 2019 on </w:t>
      </w:r>
      <w:r w:rsidRPr="00B16395">
        <w:rPr>
          <w:rFonts w:ascii="Times New Roman" w:eastAsia="Calibri" w:hAnsi="Times New Roman" w:cs="Times New Roman"/>
          <w:b/>
          <w:sz w:val="24"/>
          <w:szCs w:val="24"/>
        </w:rPr>
        <w:t>incompatibility of functions and conflict of interests</w:t>
      </w:r>
      <w:r w:rsidRPr="00B16395">
        <w:rPr>
          <w:rFonts w:ascii="Times New Roman" w:eastAsia="Calibri" w:hAnsi="Times New Roman" w:cs="Times New Roman"/>
          <w:color w:val="000000" w:themeColor="text1"/>
          <w:sz w:val="24"/>
          <w:szCs w:val="24"/>
        </w:rPr>
        <w:t>, 57 public officials (2019: 77) resigned from their office and from 59 functions and 4 were dismissed.</w:t>
      </w:r>
    </w:p>
    <w:p w14:paraId="241E09D4" w14:textId="14958232" w:rsidR="00995366" w:rsidRPr="00B16395" w:rsidRDefault="00995366" w:rsidP="00995366">
      <w:pPr>
        <w:spacing w:after="120" w:line="240" w:lineRule="auto"/>
        <w:jc w:val="both"/>
        <w:rPr>
          <w:rFonts w:ascii="Times New Roman" w:eastAsia="Calibri" w:hAnsi="Times New Roman" w:cs="Times New Roman"/>
          <w:sz w:val="24"/>
          <w:szCs w:val="24"/>
        </w:rPr>
      </w:pPr>
      <w:r w:rsidRPr="00B16395">
        <w:rPr>
          <w:rFonts w:ascii="Times New Roman" w:eastAsia="Calibri" w:hAnsi="Times New Roman" w:cs="Times New Roman"/>
          <w:sz w:val="24"/>
          <w:szCs w:val="24"/>
        </w:rPr>
        <w:t xml:space="preserve">In 2019, 8,149 </w:t>
      </w:r>
      <w:r w:rsidRPr="00B16395">
        <w:rPr>
          <w:rFonts w:ascii="Times New Roman" w:eastAsia="Calibri" w:hAnsi="Times New Roman" w:cs="Times New Roman"/>
          <w:b/>
          <w:sz w:val="24"/>
          <w:szCs w:val="24"/>
        </w:rPr>
        <w:t>income and asset declarations</w:t>
      </w:r>
      <w:r w:rsidRPr="00B16395">
        <w:rPr>
          <w:rFonts w:ascii="Times New Roman" w:eastAsia="Calibri" w:hAnsi="Times New Roman" w:cs="Times New Roman"/>
          <w:sz w:val="24"/>
          <w:szCs w:val="24"/>
        </w:rPr>
        <w:t xml:space="preserve"> were submitted to the Agency (2018: 8,004). The optional consent for accessing bank accounts for the purpose of verifying the data submitted in the declarations decreased in 2019 from 60% to 57% of public officials and from 69% to 65% of civil servants. The ACA verified 911 such reports, slightly exceeding its annual plan. It initiated 119 administrative proceedings, and established violations and irregularities in 54 decisions. Sanctions were imposed in 17 cases, 15 in the form of a warning, 1 as</w:t>
      </w:r>
      <w:r w:rsidR="009412AF">
        <w:rPr>
          <w:rFonts w:ascii="Times New Roman" w:eastAsia="Calibri" w:hAnsi="Times New Roman" w:cs="Times New Roman"/>
          <w:sz w:val="24"/>
          <w:szCs w:val="24"/>
        </w:rPr>
        <w:t xml:space="preserve"> a</w:t>
      </w:r>
      <w:r w:rsidRPr="00B16395">
        <w:rPr>
          <w:rFonts w:ascii="Times New Roman" w:eastAsia="Calibri" w:hAnsi="Times New Roman" w:cs="Times New Roman"/>
          <w:sz w:val="24"/>
          <w:szCs w:val="24"/>
        </w:rPr>
        <w:t xml:space="preserve"> dismissal, and 1 in the form of a salary deduction. The Agency investigated 31</w:t>
      </w:r>
      <w:r w:rsidR="00B10615">
        <w:rPr>
          <w:rFonts w:ascii="Times New Roman" w:eastAsia="Calibri" w:hAnsi="Times New Roman" w:cs="Times New Roman"/>
          <w:sz w:val="24"/>
          <w:szCs w:val="24"/>
        </w:rPr>
        <w:t> </w:t>
      </w:r>
      <w:r w:rsidRPr="00B16395">
        <w:rPr>
          <w:rFonts w:ascii="Times New Roman" w:eastAsia="Calibri" w:hAnsi="Times New Roman" w:cs="Times New Roman"/>
          <w:sz w:val="24"/>
          <w:szCs w:val="24"/>
        </w:rPr>
        <w:t xml:space="preserve">cases of inexplicable wealth in 2019 but found no irregularities. The ACA carried out planned control and verification of 839 public officials, 20 of them high-ranking officials. In this regard, 7 misdemeanour orders were issued totalling € 2,252. </w:t>
      </w:r>
    </w:p>
    <w:p w14:paraId="2F6BCFB3" w14:textId="0982BDF4" w:rsidR="00995366" w:rsidRDefault="00995366" w:rsidP="00995366">
      <w:pPr>
        <w:autoSpaceDE w:val="0"/>
        <w:autoSpaceDN w:val="0"/>
        <w:adjustRightInd w:val="0"/>
        <w:spacing w:after="120" w:line="240" w:lineRule="auto"/>
        <w:jc w:val="both"/>
        <w:rPr>
          <w:rFonts w:ascii="Times New Roman" w:eastAsia="Calibri" w:hAnsi="Times New Roman" w:cs="Times New Roman"/>
          <w:sz w:val="24"/>
          <w:szCs w:val="24"/>
        </w:rPr>
      </w:pPr>
      <w:r w:rsidRPr="00B16395">
        <w:rPr>
          <w:rFonts w:ascii="Times New Roman" w:eastAsia="Calibri" w:hAnsi="Times New Roman" w:cs="Times New Roman"/>
          <w:color w:val="000000" w:themeColor="text1"/>
          <w:sz w:val="24"/>
          <w:szCs w:val="24"/>
        </w:rPr>
        <w:lastRenderedPageBreak/>
        <w:t xml:space="preserve">The ACA continued to monitor the overall compliance of relevant entities in meeting the legal obligations on the </w:t>
      </w:r>
      <w:r w:rsidRPr="00B16395">
        <w:rPr>
          <w:rFonts w:ascii="Times New Roman" w:eastAsia="Calibri" w:hAnsi="Times New Roman" w:cs="Times New Roman"/>
          <w:b/>
          <w:bCs/>
          <w:color w:val="000000" w:themeColor="text1"/>
          <w:sz w:val="24"/>
          <w:szCs w:val="24"/>
        </w:rPr>
        <w:t>f</w:t>
      </w:r>
      <w:r w:rsidR="00687AD9">
        <w:rPr>
          <w:rFonts w:ascii="Times New Roman" w:eastAsia="Calibri" w:hAnsi="Times New Roman" w:cs="Times New Roman"/>
          <w:b/>
          <w:bCs/>
          <w:color w:val="000000" w:themeColor="text1"/>
          <w:sz w:val="24"/>
          <w:szCs w:val="24"/>
        </w:rPr>
        <w:t>inancing</w:t>
      </w:r>
      <w:r w:rsidRPr="00B16395">
        <w:rPr>
          <w:rFonts w:ascii="Times New Roman" w:eastAsia="Calibri" w:hAnsi="Times New Roman" w:cs="Times New Roman"/>
          <w:b/>
          <w:bCs/>
          <w:color w:val="000000" w:themeColor="text1"/>
          <w:sz w:val="24"/>
          <w:szCs w:val="24"/>
        </w:rPr>
        <w:t xml:space="preserve"> of political parties and electoral campaigns</w:t>
      </w:r>
      <w:r w:rsidRPr="00B16395">
        <w:rPr>
          <w:rFonts w:ascii="Times New Roman" w:eastAsia="Calibri" w:hAnsi="Times New Roman" w:cs="Times New Roman"/>
          <w:color w:val="000000" w:themeColor="text1"/>
          <w:sz w:val="24"/>
          <w:szCs w:val="24"/>
        </w:rPr>
        <w:t>. Forty-eight political parties (out of 59) submitted annual financial reports, while 44 submitted decisions regarding amounts of membership fees for 2019. All reports submitted were published on the Agency’s website. In 2019, the Agency verified</w:t>
      </w:r>
      <w:r>
        <w:rPr>
          <w:rFonts w:ascii="Times New Roman" w:eastAsia="Calibri" w:hAnsi="Times New Roman" w:cs="Times New Roman"/>
          <w:color w:val="000000" w:themeColor="text1"/>
          <w:sz w:val="24"/>
          <w:szCs w:val="24"/>
        </w:rPr>
        <w:t xml:space="preserve"> </w:t>
      </w:r>
      <w:r w:rsidRPr="00B16395">
        <w:rPr>
          <w:rFonts w:ascii="Times New Roman" w:eastAsia="Calibri" w:hAnsi="Times New Roman" w:cs="Times New Roman"/>
          <w:color w:val="000000" w:themeColor="text1"/>
          <w:sz w:val="24"/>
          <w:szCs w:val="24"/>
        </w:rPr>
        <w:t xml:space="preserve">6 reports from the biggest political parties and performed further 41 verifications of compliance with the law. </w:t>
      </w:r>
      <w:r w:rsidRPr="00B16395">
        <w:rPr>
          <w:rFonts w:ascii="Times New Roman" w:eastAsia="Calibri" w:hAnsi="Times New Roman" w:cs="Times New Roman"/>
          <w:sz w:val="24"/>
          <w:szCs w:val="24"/>
        </w:rPr>
        <w:t>In the context of the 'envelope affair', the ACA published the decision on the misdemeanour order of €</w:t>
      </w:r>
      <w:r w:rsidR="00B10615">
        <w:rPr>
          <w:rFonts w:ascii="Times New Roman" w:eastAsia="Calibri" w:hAnsi="Times New Roman" w:cs="Times New Roman"/>
          <w:sz w:val="24"/>
          <w:szCs w:val="24"/>
        </w:rPr>
        <w:t xml:space="preserve"> </w:t>
      </w:r>
      <w:r w:rsidRPr="00B16395">
        <w:rPr>
          <w:rFonts w:ascii="Times New Roman" w:eastAsia="Calibri" w:hAnsi="Times New Roman" w:cs="Times New Roman"/>
          <w:sz w:val="24"/>
          <w:szCs w:val="24"/>
        </w:rPr>
        <w:t>20,000 against the ruling party and a request for payment of €</w:t>
      </w:r>
      <w:r w:rsidR="00B10615">
        <w:rPr>
          <w:rFonts w:ascii="Times New Roman" w:eastAsia="Calibri" w:hAnsi="Times New Roman" w:cs="Times New Roman"/>
          <w:sz w:val="24"/>
          <w:szCs w:val="24"/>
        </w:rPr>
        <w:t xml:space="preserve"> </w:t>
      </w:r>
      <w:r w:rsidRPr="00B16395">
        <w:rPr>
          <w:rFonts w:ascii="Times New Roman" w:eastAsia="Calibri" w:hAnsi="Times New Roman" w:cs="Times New Roman"/>
          <w:sz w:val="24"/>
          <w:szCs w:val="24"/>
        </w:rPr>
        <w:t xml:space="preserve">47,000 to the state budget in December 2019, 10 months after it </w:t>
      </w:r>
      <w:r>
        <w:rPr>
          <w:rFonts w:ascii="Times New Roman" w:eastAsia="Calibri" w:hAnsi="Times New Roman" w:cs="Times New Roman"/>
          <w:sz w:val="24"/>
          <w:szCs w:val="24"/>
        </w:rPr>
        <w:t>had been</w:t>
      </w:r>
      <w:r w:rsidRPr="00B16395">
        <w:rPr>
          <w:rFonts w:ascii="Times New Roman" w:eastAsia="Calibri" w:hAnsi="Times New Roman" w:cs="Times New Roman"/>
          <w:sz w:val="24"/>
          <w:szCs w:val="24"/>
        </w:rPr>
        <w:t xml:space="preserve"> issued.</w:t>
      </w:r>
      <w:r>
        <w:rPr>
          <w:rFonts w:ascii="Times New Roman" w:eastAsia="Calibri" w:hAnsi="Times New Roman" w:cs="Times New Roman"/>
          <w:sz w:val="24"/>
          <w:szCs w:val="24"/>
        </w:rPr>
        <w:t xml:space="preserve"> </w:t>
      </w:r>
    </w:p>
    <w:p w14:paraId="560BDD05" w14:textId="187FEDD6" w:rsidR="00995366" w:rsidRPr="00B16395" w:rsidRDefault="00995366" w:rsidP="00995366">
      <w:pPr>
        <w:autoSpaceDE w:val="0"/>
        <w:autoSpaceDN w:val="0"/>
        <w:adjustRightInd w:val="0"/>
        <w:spacing w:after="120" w:line="240" w:lineRule="auto"/>
        <w:jc w:val="both"/>
        <w:rPr>
          <w:rFonts w:ascii="Times New Roman" w:eastAsia="Calibri" w:hAnsi="Times New Roman" w:cs="Times New Roman"/>
          <w:i/>
          <w:color w:val="000000" w:themeColor="text1"/>
          <w:sz w:val="24"/>
          <w:szCs w:val="24"/>
        </w:rPr>
      </w:pPr>
      <w:r w:rsidRPr="00B16395">
        <w:rPr>
          <w:rFonts w:ascii="Times New Roman" w:eastAsia="Calibri" w:hAnsi="Times New Roman" w:cs="Times New Roman"/>
          <w:sz w:val="24"/>
          <w:szCs w:val="24"/>
        </w:rPr>
        <w:t xml:space="preserve">The new law on </w:t>
      </w:r>
      <w:r w:rsidRPr="00687AD9">
        <w:rPr>
          <w:rFonts w:ascii="Times New Roman" w:eastAsia="Calibri" w:hAnsi="Times New Roman" w:cs="Times New Roman"/>
          <w:sz w:val="24"/>
          <w:szCs w:val="24"/>
        </w:rPr>
        <w:t>financing of political entities and election campaigns,</w:t>
      </w:r>
      <w:r w:rsidRPr="00B16395">
        <w:rPr>
          <w:rFonts w:ascii="Times New Roman" w:eastAsia="Calibri" w:hAnsi="Times New Roman" w:cs="Times New Roman"/>
          <w:sz w:val="24"/>
          <w:szCs w:val="24"/>
        </w:rPr>
        <w:t xml:space="preserve"> enacted by Parliament in December 2019 only partially addressed the OSCE/ODIHR recommendations. In April 2020, the Parliament enacted a</w:t>
      </w:r>
      <w:r>
        <w:rPr>
          <w:rFonts w:ascii="Times New Roman" w:eastAsia="Calibri" w:hAnsi="Times New Roman" w:cs="Times New Roman"/>
          <w:sz w:val="24"/>
          <w:szCs w:val="24"/>
        </w:rPr>
        <w:t xml:space="preserve"> further </w:t>
      </w:r>
      <w:r w:rsidRPr="00B16395">
        <w:rPr>
          <w:rFonts w:ascii="Times New Roman" w:eastAsia="Calibri" w:hAnsi="Times New Roman" w:cs="Times New Roman"/>
          <w:sz w:val="24"/>
          <w:szCs w:val="24"/>
        </w:rPr>
        <w:t>amendment to th</w:t>
      </w:r>
      <w:r>
        <w:rPr>
          <w:rFonts w:ascii="Times New Roman" w:eastAsia="Calibri" w:hAnsi="Times New Roman" w:cs="Times New Roman"/>
          <w:sz w:val="24"/>
          <w:szCs w:val="24"/>
        </w:rPr>
        <w:t>is</w:t>
      </w:r>
      <w:r w:rsidRPr="00B16395">
        <w:rPr>
          <w:rFonts w:ascii="Times New Roman" w:eastAsia="Calibri" w:hAnsi="Times New Roman" w:cs="Times New Roman"/>
          <w:sz w:val="24"/>
          <w:szCs w:val="24"/>
        </w:rPr>
        <w:t xml:space="preserve"> law, providing for allocation of social benefits from the budgetary reserve i</w:t>
      </w:r>
      <w:r w:rsidR="007D49CA">
        <w:rPr>
          <w:rFonts w:ascii="Times New Roman" w:eastAsia="Calibri" w:hAnsi="Times New Roman" w:cs="Times New Roman"/>
          <w:sz w:val="24"/>
          <w:szCs w:val="24"/>
        </w:rPr>
        <w:t>n an election year, in case of</w:t>
      </w:r>
      <w:r w:rsidRPr="00B16395">
        <w:rPr>
          <w:rFonts w:ascii="Times New Roman" w:eastAsia="Calibri" w:hAnsi="Times New Roman" w:cs="Times New Roman"/>
          <w:sz w:val="24"/>
          <w:szCs w:val="24"/>
        </w:rPr>
        <w:t xml:space="preserve"> war, state of emergency, epidemic of pandemic of communicable diseases. </w:t>
      </w:r>
      <w:r w:rsidR="00F474A7">
        <w:rPr>
          <w:rFonts w:ascii="Times New Roman" w:eastAsia="Calibri" w:hAnsi="Times New Roman" w:cs="Times New Roman"/>
          <w:sz w:val="24"/>
          <w:szCs w:val="24"/>
        </w:rPr>
        <w:t>A</w:t>
      </w:r>
      <w:r w:rsidRPr="00B16395">
        <w:rPr>
          <w:rFonts w:ascii="Times New Roman" w:eastAsia="Calibri" w:hAnsi="Times New Roman" w:cs="Times New Roman"/>
          <w:sz w:val="24"/>
          <w:szCs w:val="24"/>
        </w:rPr>
        <w:t xml:space="preserve">dequate safeguards </w:t>
      </w:r>
      <w:r w:rsidR="00F474A7">
        <w:rPr>
          <w:rFonts w:ascii="Times New Roman" w:eastAsia="Calibri" w:hAnsi="Times New Roman" w:cs="Times New Roman"/>
          <w:sz w:val="24"/>
          <w:szCs w:val="24"/>
        </w:rPr>
        <w:t xml:space="preserve">have to be </w:t>
      </w:r>
      <w:r w:rsidRPr="00B16395">
        <w:rPr>
          <w:rFonts w:ascii="Times New Roman" w:eastAsia="Calibri" w:hAnsi="Times New Roman" w:cs="Times New Roman"/>
          <w:sz w:val="24"/>
          <w:szCs w:val="24"/>
        </w:rPr>
        <w:t xml:space="preserve">put in place in order to prevent abuse of public funds for electoral campaigns purposes. </w:t>
      </w:r>
    </w:p>
    <w:p w14:paraId="202ADE3D" w14:textId="2693EA1F" w:rsidR="00995366" w:rsidRPr="00B16395" w:rsidRDefault="00995366" w:rsidP="00995366">
      <w:pPr>
        <w:spacing w:after="120" w:line="240" w:lineRule="auto"/>
        <w:jc w:val="both"/>
        <w:rPr>
          <w:rFonts w:ascii="Times New Roman" w:eastAsia="Calibri" w:hAnsi="Times New Roman" w:cs="Times New Roman"/>
          <w:color w:val="000000" w:themeColor="text1"/>
          <w:sz w:val="24"/>
          <w:szCs w:val="24"/>
        </w:rPr>
      </w:pPr>
      <w:r w:rsidRPr="00B16395">
        <w:rPr>
          <w:rFonts w:ascii="Times New Roman" w:eastAsia="Calibri" w:hAnsi="Times New Roman" w:cs="Times New Roman"/>
          <w:color w:val="000000" w:themeColor="text1"/>
          <w:sz w:val="24"/>
          <w:szCs w:val="24"/>
        </w:rPr>
        <w:t xml:space="preserve">In 2019, 3 requests for </w:t>
      </w:r>
      <w:r w:rsidRPr="00B16395">
        <w:rPr>
          <w:rFonts w:ascii="Times New Roman" w:eastAsia="Calibri" w:hAnsi="Times New Roman" w:cs="Times New Roman"/>
          <w:b/>
          <w:color w:val="000000" w:themeColor="text1"/>
          <w:sz w:val="24"/>
          <w:szCs w:val="24"/>
        </w:rPr>
        <w:t>whistle-blower</w:t>
      </w:r>
      <w:r w:rsidRPr="00B16395">
        <w:rPr>
          <w:rFonts w:ascii="Times New Roman" w:eastAsia="Calibri" w:hAnsi="Times New Roman" w:cs="Times New Roman"/>
          <w:color w:val="000000" w:themeColor="text1"/>
          <w:sz w:val="24"/>
          <w:szCs w:val="24"/>
        </w:rPr>
        <w:t xml:space="preserve"> protection were submitted to the ACA (2018:1). So far, ACA issued a negative decision in one of these cases, the other </w:t>
      </w:r>
      <w:r w:rsidR="009412AF">
        <w:rPr>
          <w:rFonts w:ascii="Times New Roman" w:eastAsia="Calibri" w:hAnsi="Times New Roman" w:cs="Times New Roman"/>
          <w:color w:val="000000" w:themeColor="text1"/>
          <w:sz w:val="24"/>
          <w:szCs w:val="24"/>
        </w:rPr>
        <w:t>2</w:t>
      </w:r>
      <w:r w:rsidRPr="00B16395">
        <w:rPr>
          <w:rFonts w:ascii="Times New Roman" w:eastAsia="Calibri" w:hAnsi="Times New Roman" w:cs="Times New Roman"/>
          <w:color w:val="000000" w:themeColor="text1"/>
          <w:sz w:val="24"/>
          <w:szCs w:val="24"/>
        </w:rPr>
        <w:t xml:space="preserve"> are still under examination. The Agency </w:t>
      </w:r>
      <w:r w:rsidR="00F474A7">
        <w:rPr>
          <w:rFonts w:ascii="Times New Roman" w:eastAsia="Calibri" w:hAnsi="Times New Roman" w:cs="Times New Roman"/>
          <w:color w:val="000000" w:themeColor="text1"/>
          <w:sz w:val="24"/>
          <w:szCs w:val="24"/>
        </w:rPr>
        <w:t>also</w:t>
      </w:r>
      <w:r w:rsidR="00F474A7" w:rsidRPr="00B16395">
        <w:rPr>
          <w:rFonts w:ascii="Times New Roman" w:eastAsia="Calibri" w:hAnsi="Times New Roman" w:cs="Times New Roman"/>
          <w:color w:val="000000" w:themeColor="text1"/>
          <w:sz w:val="24"/>
          <w:szCs w:val="24"/>
        </w:rPr>
        <w:t xml:space="preserve"> </w:t>
      </w:r>
      <w:r w:rsidRPr="00B16395">
        <w:rPr>
          <w:rFonts w:ascii="Times New Roman" w:eastAsia="Calibri" w:hAnsi="Times New Roman" w:cs="Times New Roman"/>
          <w:color w:val="000000" w:themeColor="text1"/>
          <w:sz w:val="24"/>
          <w:szCs w:val="24"/>
        </w:rPr>
        <w:t xml:space="preserve">received 110 reports on threats to public interest (same number as in 2018). In 49 completed examinations of these reports, </w:t>
      </w:r>
      <w:r w:rsidR="00F474A7">
        <w:rPr>
          <w:rFonts w:ascii="Times New Roman" w:eastAsia="Calibri" w:hAnsi="Times New Roman" w:cs="Times New Roman"/>
          <w:color w:val="000000" w:themeColor="text1"/>
          <w:sz w:val="24"/>
          <w:szCs w:val="24"/>
        </w:rPr>
        <w:t>it</w:t>
      </w:r>
      <w:r w:rsidR="00F474A7" w:rsidRPr="00B16395">
        <w:rPr>
          <w:rFonts w:ascii="Times New Roman" w:eastAsia="Calibri" w:hAnsi="Times New Roman" w:cs="Times New Roman"/>
          <w:color w:val="000000" w:themeColor="text1"/>
          <w:sz w:val="24"/>
          <w:szCs w:val="24"/>
        </w:rPr>
        <w:t xml:space="preserve"> </w:t>
      </w:r>
      <w:r w:rsidRPr="00B16395">
        <w:rPr>
          <w:rFonts w:ascii="Times New Roman" w:eastAsia="Calibri" w:hAnsi="Times New Roman" w:cs="Times New Roman"/>
          <w:color w:val="000000" w:themeColor="text1"/>
          <w:sz w:val="24"/>
          <w:szCs w:val="24"/>
        </w:rPr>
        <w:t xml:space="preserve">identified a threat to public interest </w:t>
      </w:r>
      <w:r w:rsidR="00F474A7">
        <w:rPr>
          <w:rFonts w:ascii="Times New Roman" w:eastAsia="Calibri" w:hAnsi="Times New Roman" w:cs="Times New Roman"/>
          <w:color w:val="000000" w:themeColor="text1"/>
          <w:sz w:val="24"/>
          <w:szCs w:val="24"/>
        </w:rPr>
        <w:t>in</w:t>
      </w:r>
      <w:r w:rsidRPr="00B16395">
        <w:rPr>
          <w:rFonts w:ascii="Times New Roman" w:eastAsia="Calibri" w:hAnsi="Times New Roman" w:cs="Times New Roman"/>
          <w:color w:val="000000" w:themeColor="text1"/>
          <w:sz w:val="24"/>
          <w:szCs w:val="24"/>
        </w:rPr>
        <w:t xml:space="preserve"> 9 </w:t>
      </w:r>
      <w:r w:rsidR="00F474A7">
        <w:rPr>
          <w:rFonts w:ascii="Times New Roman" w:eastAsia="Calibri" w:hAnsi="Times New Roman" w:cs="Times New Roman"/>
          <w:color w:val="000000" w:themeColor="text1"/>
          <w:sz w:val="24"/>
          <w:szCs w:val="24"/>
        </w:rPr>
        <w:t>cases</w:t>
      </w:r>
      <w:r w:rsidRPr="00B16395">
        <w:rPr>
          <w:rFonts w:ascii="Times New Roman" w:eastAsia="Calibri" w:hAnsi="Times New Roman" w:cs="Times New Roman"/>
          <w:color w:val="000000" w:themeColor="text1"/>
          <w:sz w:val="24"/>
          <w:szCs w:val="24"/>
        </w:rPr>
        <w:t xml:space="preserve">. The Agency further initiated 3 </w:t>
      </w:r>
      <w:r w:rsidRPr="00B16395">
        <w:rPr>
          <w:rFonts w:ascii="Times New Roman" w:eastAsia="Calibri" w:hAnsi="Times New Roman" w:cs="Times New Roman"/>
          <w:i/>
          <w:color w:val="000000" w:themeColor="text1"/>
          <w:sz w:val="24"/>
          <w:szCs w:val="24"/>
        </w:rPr>
        <w:t>ex officio</w:t>
      </w:r>
      <w:r w:rsidRPr="00B16395">
        <w:rPr>
          <w:rFonts w:ascii="Times New Roman" w:eastAsia="Calibri" w:hAnsi="Times New Roman" w:cs="Times New Roman"/>
          <w:color w:val="000000" w:themeColor="text1"/>
          <w:sz w:val="24"/>
          <w:szCs w:val="24"/>
        </w:rPr>
        <w:t xml:space="preserve"> proceedings (still ongoing) for determining the existence of a threat to the public interest and continued working on the 4 it initiated in 2018. </w:t>
      </w:r>
    </w:p>
    <w:p w14:paraId="279C8056" w14:textId="77777777" w:rsidR="00995366" w:rsidRPr="00B16395" w:rsidRDefault="00995366" w:rsidP="00995366">
      <w:pPr>
        <w:spacing w:after="120" w:line="240" w:lineRule="auto"/>
        <w:jc w:val="both"/>
        <w:rPr>
          <w:rFonts w:ascii="Times New Roman" w:eastAsia="Calibri" w:hAnsi="Times New Roman" w:cs="Times New Roman"/>
          <w:sz w:val="24"/>
          <w:szCs w:val="24"/>
        </w:rPr>
      </w:pPr>
      <w:r w:rsidRPr="00B16395">
        <w:rPr>
          <w:rFonts w:ascii="Times New Roman" w:eastAsia="Calibri" w:hAnsi="Times New Roman" w:cs="Times New Roman"/>
          <w:sz w:val="24"/>
          <w:szCs w:val="24"/>
        </w:rPr>
        <w:t xml:space="preserve">The ACA continued to provide support to public bodies concerning </w:t>
      </w:r>
      <w:r w:rsidRPr="00B16395">
        <w:rPr>
          <w:rFonts w:ascii="Times New Roman" w:eastAsia="Calibri" w:hAnsi="Times New Roman" w:cs="Times New Roman"/>
          <w:b/>
          <w:sz w:val="24"/>
          <w:szCs w:val="24"/>
        </w:rPr>
        <w:t>integrity plans</w:t>
      </w:r>
      <w:r w:rsidRPr="00B16395">
        <w:rPr>
          <w:rFonts w:ascii="Times New Roman" w:eastAsia="Calibri" w:hAnsi="Times New Roman" w:cs="Times New Roman"/>
          <w:sz w:val="24"/>
          <w:szCs w:val="24"/>
        </w:rPr>
        <w:t xml:space="preserve">. In 2019, 671 reports on implementation of the integrity plans were submitted to the Agency. The practical impact of integrity plans has yet to be assessed. </w:t>
      </w:r>
    </w:p>
    <w:p w14:paraId="39F4233B" w14:textId="77777777" w:rsidR="00995366" w:rsidRPr="00B16395" w:rsidRDefault="00995366" w:rsidP="00995366">
      <w:pPr>
        <w:spacing w:after="120" w:line="240" w:lineRule="auto"/>
        <w:jc w:val="both"/>
        <w:rPr>
          <w:rFonts w:ascii="Times New Roman" w:eastAsia="Calibri" w:hAnsi="Times New Roman" w:cs="Times New Roman"/>
          <w:sz w:val="24"/>
          <w:szCs w:val="24"/>
        </w:rPr>
      </w:pPr>
      <w:r w:rsidRPr="00B16395">
        <w:rPr>
          <w:rFonts w:ascii="Times New Roman" w:eastAsia="Calibri" w:hAnsi="Times New Roman" w:cs="Times New Roman"/>
          <w:sz w:val="24"/>
          <w:szCs w:val="24"/>
        </w:rPr>
        <w:t xml:space="preserve">No new </w:t>
      </w:r>
      <w:r w:rsidRPr="00B16395">
        <w:rPr>
          <w:rFonts w:ascii="Times New Roman" w:eastAsia="Calibri" w:hAnsi="Times New Roman" w:cs="Times New Roman"/>
          <w:b/>
          <w:sz w:val="24"/>
          <w:szCs w:val="24"/>
        </w:rPr>
        <w:t>lobbying certificates</w:t>
      </w:r>
      <w:r w:rsidRPr="00B16395">
        <w:rPr>
          <w:rFonts w:ascii="Times New Roman" w:eastAsia="Calibri" w:hAnsi="Times New Roman" w:cs="Times New Roman"/>
          <w:sz w:val="24"/>
          <w:szCs w:val="24"/>
        </w:rPr>
        <w:t xml:space="preserve"> were issued in 2019 (since 2014: 14). Six lobbyists and one legal entity remain registered with the Agency. In 2019, the ACA prepared an analysis of the legal framework in this area. </w:t>
      </w:r>
    </w:p>
    <w:p w14:paraId="65F86CEB" w14:textId="4798EBCE" w:rsidR="00995366" w:rsidRDefault="00995366" w:rsidP="00995366">
      <w:pPr>
        <w:spacing w:after="120" w:line="240" w:lineRule="auto"/>
        <w:jc w:val="both"/>
        <w:rPr>
          <w:rFonts w:ascii="Times New Roman" w:eastAsia="Calibri" w:hAnsi="Times New Roman" w:cs="Times New Roman"/>
          <w:sz w:val="24"/>
          <w:szCs w:val="24"/>
        </w:rPr>
      </w:pPr>
      <w:r w:rsidRPr="00B16395">
        <w:rPr>
          <w:rFonts w:ascii="Times New Roman" w:eastAsia="Calibri" w:hAnsi="Times New Roman" w:cs="Times New Roman"/>
          <w:sz w:val="24"/>
          <w:szCs w:val="24"/>
        </w:rPr>
        <w:t xml:space="preserve">Apart from </w:t>
      </w:r>
      <w:r w:rsidR="009412AF">
        <w:rPr>
          <w:rFonts w:ascii="Times New Roman" w:eastAsia="Calibri" w:hAnsi="Times New Roman" w:cs="Times New Roman"/>
          <w:sz w:val="24"/>
          <w:szCs w:val="24"/>
        </w:rPr>
        <w:t>p</w:t>
      </w:r>
      <w:r w:rsidRPr="00B16395">
        <w:rPr>
          <w:rFonts w:ascii="Times New Roman" w:eastAsia="Calibri" w:hAnsi="Times New Roman" w:cs="Times New Roman"/>
          <w:sz w:val="24"/>
          <w:szCs w:val="24"/>
        </w:rPr>
        <w:t xml:space="preserve">olice and </w:t>
      </w:r>
      <w:r w:rsidR="009412AF">
        <w:rPr>
          <w:rFonts w:ascii="Times New Roman" w:eastAsia="Calibri" w:hAnsi="Times New Roman" w:cs="Times New Roman"/>
          <w:sz w:val="24"/>
          <w:szCs w:val="24"/>
        </w:rPr>
        <w:t>c</w:t>
      </w:r>
      <w:r w:rsidRPr="00B16395">
        <w:rPr>
          <w:rFonts w:ascii="Times New Roman" w:eastAsia="Calibri" w:hAnsi="Times New Roman" w:cs="Times New Roman"/>
          <w:sz w:val="24"/>
          <w:szCs w:val="24"/>
        </w:rPr>
        <w:t xml:space="preserve">ustoms, there were no cases demonstrating the implementation of </w:t>
      </w:r>
      <w:r w:rsidRPr="00B16395">
        <w:rPr>
          <w:rFonts w:ascii="Times New Roman" w:eastAsia="Calibri" w:hAnsi="Times New Roman" w:cs="Times New Roman"/>
          <w:b/>
          <w:sz w:val="24"/>
          <w:szCs w:val="24"/>
        </w:rPr>
        <w:t>codes of ethics</w:t>
      </w:r>
      <w:r w:rsidRPr="00B16395">
        <w:rPr>
          <w:rFonts w:ascii="Times New Roman" w:eastAsia="Calibri" w:hAnsi="Times New Roman" w:cs="Times New Roman"/>
          <w:sz w:val="24"/>
          <w:szCs w:val="24"/>
        </w:rPr>
        <w:t xml:space="preserve"> for members of the legislative and executive authorities. </w:t>
      </w:r>
    </w:p>
    <w:p w14:paraId="06774F16" w14:textId="25C0F02C" w:rsidR="00995366" w:rsidRPr="00B16395" w:rsidRDefault="00995366" w:rsidP="00995366">
      <w:pPr>
        <w:spacing w:after="120" w:line="240" w:lineRule="auto"/>
        <w:jc w:val="both"/>
        <w:rPr>
          <w:rFonts w:ascii="Times New Roman" w:eastAsia="Calibri" w:hAnsi="Times New Roman" w:cs="Times New Roman"/>
          <w:iCs/>
          <w:color w:val="000000" w:themeColor="text1"/>
          <w:sz w:val="24"/>
          <w:szCs w:val="24"/>
        </w:rPr>
      </w:pPr>
      <w:r w:rsidRPr="00B16395">
        <w:rPr>
          <w:rFonts w:ascii="Times New Roman" w:eastAsia="Calibri" w:hAnsi="Times New Roman" w:cs="Times New Roman"/>
          <w:iCs/>
          <w:color w:val="000000" w:themeColor="text1"/>
          <w:sz w:val="24"/>
          <w:szCs w:val="24"/>
        </w:rPr>
        <w:t xml:space="preserve">The </w:t>
      </w:r>
      <w:r>
        <w:rPr>
          <w:rFonts w:ascii="Times New Roman" w:eastAsia="Calibri" w:hAnsi="Times New Roman" w:cs="Times New Roman"/>
          <w:iCs/>
          <w:color w:val="000000" w:themeColor="text1"/>
          <w:sz w:val="24"/>
          <w:szCs w:val="24"/>
        </w:rPr>
        <w:t>application</w:t>
      </w:r>
      <w:r w:rsidRPr="00B16395">
        <w:rPr>
          <w:rFonts w:ascii="Times New Roman" w:eastAsia="Calibri" w:hAnsi="Times New Roman" w:cs="Times New Roman"/>
          <w:iCs/>
          <w:color w:val="000000" w:themeColor="text1"/>
          <w:sz w:val="24"/>
          <w:szCs w:val="24"/>
        </w:rPr>
        <w:t xml:space="preserve"> of the current </w:t>
      </w:r>
      <w:r w:rsidRPr="00B16395">
        <w:rPr>
          <w:rFonts w:ascii="Times New Roman" w:eastAsia="Calibri" w:hAnsi="Times New Roman" w:cs="Times New Roman"/>
          <w:b/>
          <w:iCs/>
          <w:color w:val="000000" w:themeColor="text1"/>
          <w:sz w:val="24"/>
          <w:szCs w:val="24"/>
        </w:rPr>
        <w:t>law on free access to information</w:t>
      </w:r>
      <w:r w:rsidRPr="00B16395">
        <w:rPr>
          <w:rFonts w:ascii="Times New Roman" w:eastAsia="Calibri" w:hAnsi="Times New Roman" w:cs="Times New Roman"/>
          <w:iCs/>
          <w:color w:val="000000" w:themeColor="text1"/>
          <w:sz w:val="24"/>
          <w:szCs w:val="24"/>
        </w:rPr>
        <w:t xml:space="preserve"> has not helped to increase the accountability and transparency of the public service</w:t>
      </w:r>
      <w:r>
        <w:rPr>
          <w:rFonts w:ascii="Times New Roman" w:eastAsia="Calibri" w:hAnsi="Times New Roman" w:cs="Times New Roman"/>
          <w:iCs/>
          <w:color w:val="000000" w:themeColor="text1"/>
          <w:sz w:val="24"/>
          <w:szCs w:val="24"/>
        </w:rPr>
        <w:t xml:space="preserve"> with authorities continuing</w:t>
      </w:r>
      <w:r w:rsidR="009412AF">
        <w:rPr>
          <w:rFonts w:ascii="Times New Roman" w:eastAsia="Calibri" w:hAnsi="Times New Roman" w:cs="Times New Roman"/>
          <w:iCs/>
          <w:color w:val="000000" w:themeColor="text1"/>
          <w:sz w:val="24"/>
          <w:szCs w:val="24"/>
        </w:rPr>
        <w:t xml:space="preserve"> to</w:t>
      </w:r>
      <w:r>
        <w:rPr>
          <w:rFonts w:ascii="Times New Roman" w:eastAsia="Calibri" w:hAnsi="Times New Roman" w:cs="Times New Roman"/>
          <w:iCs/>
          <w:color w:val="000000" w:themeColor="text1"/>
          <w:sz w:val="24"/>
          <w:szCs w:val="24"/>
        </w:rPr>
        <w:t xml:space="preserve"> declar</w:t>
      </w:r>
      <w:r w:rsidR="009412AF">
        <w:rPr>
          <w:rFonts w:ascii="Times New Roman" w:eastAsia="Calibri" w:hAnsi="Times New Roman" w:cs="Times New Roman"/>
          <w:iCs/>
          <w:color w:val="000000" w:themeColor="text1"/>
          <w:sz w:val="24"/>
          <w:szCs w:val="24"/>
        </w:rPr>
        <w:t>e</w:t>
      </w:r>
      <w:r>
        <w:rPr>
          <w:rFonts w:ascii="Times New Roman" w:eastAsia="Calibri" w:hAnsi="Times New Roman" w:cs="Times New Roman"/>
          <w:iCs/>
          <w:color w:val="000000" w:themeColor="text1"/>
          <w:sz w:val="24"/>
          <w:szCs w:val="24"/>
        </w:rPr>
        <w:t xml:space="preserve"> requested information as classified and thereby excluding it from the scope of the law</w:t>
      </w:r>
      <w:r w:rsidRPr="00B16395">
        <w:rPr>
          <w:rFonts w:ascii="Times New Roman" w:eastAsia="Calibri" w:hAnsi="Times New Roman" w:cs="Times New Roman"/>
          <w:iCs/>
          <w:color w:val="000000" w:themeColor="text1"/>
          <w:sz w:val="24"/>
          <w:szCs w:val="24"/>
        </w:rPr>
        <w:t>. In 2019</w:t>
      </w:r>
      <w:r w:rsidR="009412AF">
        <w:rPr>
          <w:rFonts w:ascii="Times New Roman" w:eastAsia="Calibri" w:hAnsi="Times New Roman" w:cs="Times New Roman"/>
          <w:iCs/>
          <w:color w:val="000000" w:themeColor="text1"/>
          <w:sz w:val="24"/>
          <w:szCs w:val="24"/>
        </w:rPr>
        <w:t>,</w:t>
      </w:r>
      <w:r w:rsidRPr="00B16395">
        <w:rPr>
          <w:rFonts w:ascii="Times New Roman" w:eastAsia="Calibri" w:hAnsi="Times New Roman" w:cs="Times New Roman"/>
          <w:iCs/>
          <w:color w:val="000000" w:themeColor="text1"/>
          <w:sz w:val="24"/>
          <w:szCs w:val="24"/>
        </w:rPr>
        <w:t xml:space="preserve"> the total number of requests for free access to information was 5,409 (2018: 6,080) and 3,531 complaints were filed (2018: 3,248). The process of revising the law started in spring 2019, but has been </w:t>
      </w:r>
      <w:r w:rsidR="00B10615">
        <w:rPr>
          <w:rFonts w:ascii="Times New Roman" w:eastAsia="Calibri" w:hAnsi="Times New Roman" w:cs="Times New Roman"/>
          <w:iCs/>
          <w:color w:val="000000" w:themeColor="text1"/>
          <w:sz w:val="24"/>
          <w:szCs w:val="24"/>
        </w:rPr>
        <w:t>delayed</w:t>
      </w:r>
      <w:r w:rsidRPr="00B16395">
        <w:rPr>
          <w:rFonts w:ascii="Times New Roman" w:eastAsia="Calibri" w:hAnsi="Times New Roman" w:cs="Times New Roman"/>
          <w:iCs/>
          <w:color w:val="000000" w:themeColor="text1"/>
          <w:sz w:val="24"/>
          <w:szCs w:val="24"/>
        </w:rPr>
        <w:t xml:space="preserve"> due to the </w:t>
      </w:r>
      <w:r w:rsidR="008E399E">
        <w:rPr>
          <w:rFonts w:ascii="Times New Roman" w:eastAsia="Calibri" w:hAnsi="Times New Roman" w:cs="Times New Roman"/>
          <w:iCs/>
          <w:color w:val="000000" w:themeColor="text1"/>
          <w:sz w:val="24"/>
          <w:szCs w:val="24"/>
        </w:rPr>
        <w:t>COVID</w:t>
      </w:r>
      <w:r w:rsidR="009412AF">
        <w:rPr>
          <w:rFonts w:ascii="Times New Roman" w:eastAsia="Calibri" w:hAnsi="Times New Roman" w:cs="Times New Roman"/>
          <w:iCs/>
          <w:color w:val="000000" w:themeColor="text1"/>
          <w:sz w:val="24"/>
          <w:szCs w:val="24"/>
        </w:rPr>
        <w:t>-</w:t>
      </w:r>
      <w:r w:rsidRPr="00B16395">
        <w:rPr>
          <w:rFonts w:ascii="Times New Roman" w:eastAsia="Calibri" w:hAnsi="Times New Roman" w:cs="Times New Roman"/>
          <w:iCs/>
          <w:color w:val="000000" w:themeColor="text1"/>
          <w:sz w:val="24"/>
          <w:szCs w:val="24"/>
        </w:rPr>
        <w:t xml:space="preserve">19 outbreak.  </w:t>
      </w:r>
    </w:p>
    <w:p w14:paraId="2A21BF0F" w14:textId="75CA8C8A" w:rsidR="00995366" w:rsidRDefault="00995366" w:rsidP="00995366">
      <w:pPr>
        <w:spacing w:after="120" w:line="240" w:lineRule="auto"/>
        <w:jc w:val="both"/>
        <w:rPr>
          <w:rFonts w:ascii="Times New Roman" w:eastAsia="Calibri" w:hAnsi="Times New Roman" w:cs="Times New Roman"/>
          <w:color w:val="000000" w:themeColor="text1"/>
          <w:sz w:val="24"/>
          <w:szCs w:val="24"/>
        </w:rPr>
      </w:pPr>
      <w:r w:rsidRPr="00B16395">
        <w:rPr>
          <w:rFonts w:ascii="Times New Roman" w:eastAsia="Calibri" w:hAnsi="Times New Roman" w:cs="Times New Roman"/>
          <w:color w:val="000000" w:themeColor="text1"/>
          <w:sz w:val="24"/>
          <w:szCs w:val="24"/>
        </w:rPr>
        <w:t xml:space="preserve">The overall impact of anti-corruption measures in </w:t>
      </w:r>
      <w:r w:rsidRPr="00B16395">
        <w:rPr>
          <w:rFonts w:ascii="Times New Roman" w:eastAsia="Calibri" w:hAnsi="Times New Roman" w:cs="Times New Roman"/>
          <w:b/>
          <w:color w:val="000000" w:themeColor="text1"/>
          <w:sz w:val="24"/>
          <w:szCs w:val="24"/>
        </w:rPr>
        <w:t>particularly vulnerable areas</w:t>
      </w:r>
      <w:r w:rsidRPr="00B16395">
        <w:rPr>
          <w:rFonts w:ascii="Times New Roman" w:eastAsia="Calibri" w:hAnsi="Times New Roman" w:cs="Times New Roman"/>
          <w:color w:val="000000" w:themeColor="text1"/>
          <w:sz w:val="24"/>
          <w:szCs w:val="24"/>
        </w:rPr>
        <w:t xml:space="preserve"> (local self-government, spatial planning, public procurement, privatisation, healthcare and education) has yet to be demonstrated by tangible results. Regarding public procurement, the amendments to the law on public procurement </w:t>
      </w:r>
      <w:r>
        <w:rPr>
          <w:rFonts w:ascii="Times New Roman" w:eastAsia="Calibri" w:hAnsi="Times New Roman" w:cs="Times New Roman"/>
          <w:color w:val="000000" w:themeColor="text1"/>
          <w:sz w:val="24"/>
          <w:szCs w:val="24"/>
        </w:rPr>
        <w:t xml:space="preserve">were </w:t>
      </w:r>
      <w:r w:rsidRPr="00B16395">
        <w:rPr>
          <w:rFonts w:ascii="Times New Roman" w:eastAsia="Calibri" w:hAnsi="Times New Roman" w:cs="Times New Roman"/>
          <w:color w:val="000000" w:themeColor="text1"/>
          <w:sz w:val="24"/>
          <w:szCs w:val="24"/>
        </w:rPr>
        <w:t>enacted in December 2019, providing a legal basis for full implementation of an electronic public procurement system</w:t>
      </w:r>
      <w:r w:rsidR="009412AF">
        <w:rPr>
          <w:rFonts w:ascii="Times New Roman" w:eastAsia="Calibri" w:hAnsi="Times New Roman" w:cs="Times New Roman"/>
          <w:color w:val="000000" w:themeColor="text1"/>
          <w:sz w:val="24"/>
          <w:szCs w:val="24"/>
        </w:rPr>
        <w:t>.</w:t>
      </w:r>
      <w:r w:rsidRPr="00B16395">
        <w:rPr>
          <w:rFonts w:ascii="Times New Roman" w:eastAsia="Calibri" w:hAnsi="Times New Roman" w:cs="Times New Roman"/>
          <w:color w:val="000000" w:themeColor="text1"/>
          <w:sz w:val="24"/>
          <w:szCs w:val="24"/>
        </w:rPr>
        <w:t xml:space="preserve"> This should improve the transparency of public procurement procedures and help to reduce corruption risks.</w:t>
      </w:r>
    </w:p>
    <w:p w14:paraId="6BAB6189" w14:textId="77777777" w:rsidR="00995366" w:rsidRPr="00B44B8A" w:rsidRDefault="00995366" w:rsidP="00995366">
      <w:pPr>
        <w:autoSpaceDE w:val="0"/>
        <w:autoSpaceDN w:val="0"/>
        <w:adjustRightInd w:val="0"/>
        <w:spacing w:after="120" w:line="240" w:lineRule="auto"/>
        <w:jc w:val="both"/>
        <w:rPr>
          <w:rFonts w:ascii="Times New Roman" w:eastAsia="Calibri" w:hAnsi="Times New Roman" w:cs="Times New Roman"/>
          <w:color w:val="000000" w:themeColor="text1"/>
          <w:sz w:val="24"/>
          <w:szCs w:val="24"/>
          <w:u w:val="single"/>
        </w:rPr>
      </w:pPr>
      <w:r w:rsidRPr="00B44B8A">
        <w:rPr>
          <w:rFonts w:ascii="Times New Roman" w:eastAsia="Calibri" w:hAnsi="Times New Roman" w:cs="Times New Roman"/>
          <w:i/>
          <w:iCs/>
          <w:color w:val="000000" w:themeColor="text1"/>
          <w:sz w:val="24"/>
          <w:szCs w:val="24"/>
          <w:u w:val="single"/>
        </w:rPr>
        <w:t xml:space="preserve">Repression of corruption </w:t>
      </w:r>
    </w:p>
    <w:p w14:paraId="28C9C2BA" w14:textId="77777777" w:rsidR="00995366" w:rsidRPr="00B44B8A" w:rsidRDefault="00995366" w:rsidP="00995366">
      <w:pPr>
        <w:spacing w:after="120" w:line="240" w:lineRule="auto"/>
        <w:jc w:val="both"/>
        <w:rPr>
          <w:rFonts w:ascii="Times New Roman" w:eastAsia="Calibri" w:hAnsi="Times New Roman" w:cs="Times New Roman"/>
          <w:sz w:val="24"/>
          <w:szCs w:val="24"/>
        </w:rPr>
      </w:pPr>
      <w:r w:rsidRPr="00B44B8A">
        <w:rPr>
          <w:rFonts w:ascii="Times New Roman" w:eastAsia="Calibri" w:hAnsi="Times New Roman" w:cs="Times New Roman"/>
          <w:sz w:val="24"/>
          <w:szCs w:val="24"/>
        </w:rPr>
        <w:t>A track record of investigations, prosecutions and final convictions in cases of high-level corruption has been established but remains to be further consolidated.</w:t>
      </w:r>
    </w:p>
    <w:p w14:paraId="5F401A15" w14:textId="13895BA4" w:rsidR="00995366" w:rsidRPr="00B44B8A" w:rsidRDefault="00995366" w:rsidP="00995366">
      <w:pPr>
        <w:spacing w:after="120" w:line="240" w:lineRule="auto"/>
        <w:jc w:val="both"/>
        <w:rPr>
          <w:rFonts w:ascii="Times New Roman" w:eastAsia="Calibri" w:hAnsi="Times New Roman" w:cs="Times New Roman"/>
          <w:sz w:val="24"/>
          <w:szCs w:val="24"/>
        </w:rPr>
      </w:pPr>
      <w:r w:rsidRPr="00B44B8A">
        <w:rPr>
          <w:rFonts w:ascii="Times New Roman" w:eastAsia="Calibri" w:hAnsi="Times New Roman" w:cs="Times New Roman"/>
          <w:sz w:val="24"/>
          <w:szCs w:val="24"/>
        </w:rPr>
        <w:lastRenderedPageBreak/>
        <w:t>In 2019</w:t>
      </w:r>
      <w:r w:rsidR="009412AF">
        <w:rPr>
          <w:rFonts w:ascii="Times New Roman" w:eastAsia="Calibri" w:hAnsi="Times New Roman" w:cs="Times New Roman"/>
          <w:sz w:val="24"/>
          <w:szCs w:val="24"/>
        </w:rPr>
        <w:t>,</w:t>
      </w:r>
      <w:r w:rsidRPr="00B44B8A">
        <w:rPr>
          <w:rFonts w:ascii="Times New Roman" w:eastAsia="Calibri" w:hAnsi="Times New Roman" w:cs="Times New Roman"/>
          <w:sz w:val="24"/>
          <w:szCs w:val="24"/>
        </w:rPr>
        <w:t xml:space="preserve"> the Special Public Prosecutor's Office opened investigations into high-level corruption</w:t>
      </w:r>
      <w:r w:rsidR="00F474A7">
        <w:rPr>
          <w:rFonts w:ascii="Times New Roman" w:eastAsia="Calibri" w:hAnsi="Times New Roman" w:cs="Times New Roman"/>
          <w:sz w:val="24"/>
          <w:szCs w:val="24"/>
        </w:rPr>
        <w:t>-</w:t>
      </w:r>
      <w:r w:rsidRPr="00B44B8A">
        <w:rPr>
          <w:rFonts w:ascii="Times New Roman" w:eastAsia="Calibri" w:hAnsi="Times New Roman" w:cs="Times New Roman"/>
          <w:sz w:val="24"/>
          <w:szCs w:val="24"/>
        </w:rPr>
        <w:t xml:space="preserve">related criminal offences in 6 cases against 15 individuals, including </w:t>
      </w:r>
      <w:r w:rsidR="009412AF">
        <w:rPr>
          <w:rFonts w:ascii="Times New Roman" w:eastAsia="Calibri" w:hAnsi="Times New Roman" w:cs="Times New Roman"/>
          <w:sz w:val="24"/>
          <w:szCs w:val="24"/>
        </w:rPr>
        <w:t xml:space="preserve">the </w:t>
      </w:r>
      <w:r w:rsidRPr="00B44B8A">
        <w:rPr>
          <w:rFonts w:ascii="Times New Roman" w:eastAsia="Calibri" w:hAnsi="Times New Roman" w:cs="Times New Roman"/>
          <w:sz w:val="24"/>
          <w:szCs w:val="24"/>
        </w:rPr>
        <w:t xml:space="preserve">majority owner of a commercial bank and the bank’s CEO, director of a public company and municipality functionaries; and 1 legal entity. </w:t>
      </w:r>
      <w:r w:rsidR="009412AF">
        <w:rPr>
          <w:rFonts w:ascii="Times New Roman" w:eastAsia="Calibri" w:hAnsi="Times New Roman" w:cs="Times New Roman"/>
          <w:sz w:val="24"/>
          <w:szCs w:val="24"/>
        </w:rPr>
        <w:t>A f</w:t>
      </w:r>
      <w:r w:rsidRPr="00B44B8A">
        <w:rPr>
          <w:rFonts w:ascii="Times New Roman" w:eastAsia="Calibri" w:hAnsi="Times New Roman" w:cs="Times New Roman"/>
          <w:sz w:val="24"/>
          <w:szCs w:val="24"/>
        </w:rPr>
        <w:t xml:space="preserve">urther </w:t>
      </w:r>
      <w:r w:rsidR="009412AF">
        <w:rPr>
          <w:rFonts w:ascii="Times New Roman" w:eastAsia="Calibri" w:hAnsi="Times New Roman" w:cs="Times New Roman"/>
          <w:sz w:val="24"/>
          <w:szCs w:val="24"/>
        </w:rPr>
        <w:t>3</w:t>
      </w:r>
      <w:r w:rsidRPr="00B44B8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investigations were opened by </w:t>
      </w:r>
      <w:r w:rsidR="007D49C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end of </w:t>
      </w:r>
      <w:r w:rsidRPr="00B44B8A">
        <w:rPr>
          <w:rFonts w:ascii="Times New Roman" w:eastAsia="Calibri" w:hAnsi="Times New Roman" w:cs="Times New Roman"/>
          <w:sz w:val="24"/>
          <w:szCs w:val="24"/>
        </w:rPr>
        <w:t>March 2020. In 2019, 5 indictments (2018: 12 cases) were lodged for the criminal offence of high-level corruption against 38 individuals and 3 legal entities and the financial investigations have been launched in 4 cases against 29 individuals in high-level corruption cases. In the ‘envelope affair’ case</w:t>
      </w:r>
      <w:r w:rsidR="009412AF">
        <w:rPr>
          <w:rFonts w:ascii="Times New Roman" w:eastAsia="Calibri" w:hAnsi="Times New Roman" w:cs="Times New Roman"/>
          <w:sz w:val="24"/>
          <w:szCs w:val="24"/>
        </w:rPr>
        <w:t>,</w:t>
      </w:r>
      <w:r w:rsidRPr="00B44B8A">
        <w:rPr>
          <w:rFonts w:ascii="Times New Roman" w:eastAsia="Calibri" w:hAnsi="Times New Roman" w:cs="Times New Roman"/>
          <w:sz w:val="24"/>
          <w:szCs w:val="24"/>
        </w:rPr>
        <w:t xml:space="preserve"> the prosecution indicted the former mayor of Podgorica and current adviser of the President of Montenegro for money laundering. No further indictments were lodged by 31 March 2020. Four final and enforceable judgements (2018: 4) were issued for high-level corruption in 2019 and one fur</w:t>
      </w:r>
      <w:r>
        <w:rPr>
          <w:rFonts w:ascii="Times New Roman" w:eastAsia="Calibri" w:hAnsi="Times New Roman" w:cs="Times New Roman"/>
          <w:sz w:val="24"/>
          <w:szCs w:val="24"/>
        </w:rPr>
        <w:t>ther against 3 individuals by</w:t>
      </w:r>
      <w:r w:rsidR="007D49CA">
        <w:rPr>
          <w:rFonts w:ascii="Times New Roman" w:eastAsia="Calibri" w:hAnsi="Times New Roman" w:cs="Times New Roman"/>
          <w:sz w:val="24"/>
          <w:szCs w:val="24"/>
        </w:rPr>
        <w:t xml:space="preserve"> the</w:t>
      </w:r>
      <w:r>
        <w:rPr>
          <w:rFonts w:ascii="Times New Roman" w:eastAsia="Calibri" w:hAnsi="Times New Roman" w:cs="Times New Roman"/>
          <w:sz w:val="24"/>
          <w:szCs w:val="24"/>
        </w:rPr>
        <w:t xml:space="preserve"> end of</w:t>
      </w:r>
      <w:r w:rsidRPr="00B44B8A">
        <w:rPr>
          <w:rFonts w:ascii="Times New Roman" w:eastAsia="Calibri" w:hAnsi="Times New Roman" w:cs="Times New Roman"/>
          <w:sz w:val="24"/>
          <w:szCs w:val="24"/>
        </w:rPr>
        <w:t xml:space="preserve"> March 2020. No final judgements were issued against public officials.</w:t>
      </w:r>
      <w:r>
        <w:rPr>
          <w:rFonts w:ascii="Times New Roman" w:eastAsia="Calibri" w:hAnsi="Times New Roman" w:cs="Times New Roman"/>
          <w:sz w:val="24"/>
          <w:szCs w:val="24"/>
        </w:rPr>
        <w:t xml:space="preserve"> There have been no new developments with regard to </w:t>
      </w:r>
      <w:r w:rsidRPr="00B44B8A">
        <w:rPr>
          <w:rFonts w:ascii="Times New Roman" w:eastAsia="Calibri" w:hAnsi="Times New Roman" w:cs="Times New Roman"/>
          <w:sz w:val="24"/>
          <w:szCs w:val="24"/>
        </w:rPr>
        <w:t>Montenegro</w:t>
      </w:r>
      <w:r>
        <w:rPr>
          <w:rFonts w:ascii="Times New Roman" w:eastAsia="Calibri" w:hAnsi="Times New Roman" w:cs="Times New Roman"/>
          <w:sz w:val="24"/>
          <w:szCs w:val="24"/>
        </w:rPr>
        <w:t>’s</w:t>
      </w:r>
      <w:r w:rsidRPr="00B44B8A">
        <w:rPr>
          <w:rFonts w:ascii="Times New Roman" w:eastAsia="Calibri" w:hAnsi="Times New Roman" w:cs="Times New Roman"/>
          <w:sz w:val="24"/>
          <w:szCs w:val="24"/>
        </w:rPr>
        <w:t xml:space="preserve"> request to Serbia in April 2019 for the extradition of the former President of the State Union of Serbia and Montenegro who was convicted of high-level corruption</w:t>
      </w:r>
      <w:r w:rsidR="00687AD9">
        <w:rPr>
          <w:rFonts w:ascii="Times New Roman" w:eastAsia="Calibri" w:hAnsi="Times New Roman" w:cs="Times New Roman"/>
          <w:sz w:val="24"/>
          <w:szCs w:val="24"/>
        </w:rPr>
        <w:t>-related offences</w:t>
      </w:r>
      <w:r w:rsidRPr="00B44B8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39358087" w14:textId="3FDF17E4" w:rsidR="00995366" w:rsidRPr="00B44B8A" w:rsidRDefault="00995366" w:rsidP="00995366">
      <w:pPr>
        <w:spacing w:after="120" w:line="240" w:lineRule="auto"/>
        <w:jc w:val="both"/>
        <w:rPr>
          <w:rFonts w:ascii="Times New Roman" w:eastAsia="Calibri" w:hAnsi="Times New Roman" w:cs="Times New Roman"/>
          <w:sz w:val="24"/>
          <w:szCs w:val="24"/>
        </w:rPr>
      </w:pPr>
      <w:r w:rsidRPr="00B44B8A">
        <w:rPr>
          <w:rFonts w:ascii="Times New Roman" w:eastAsia="Calibri" w:hAnsi="Times New Roman" w:cs="Times New Roman"/>
          <w:sz w:val="24"/>
          <w:szCs w:val="24"/>
        </w:rPr>
        <w:t xml:space="preserve">The track record on the </w:t>
      </w:r>
      <w:r w:rsidRPr="00B44B8A">
        <w:rPr>
          <w:rFonts w:ascii="Times New Roman" w:eastAsia="Calibri" w:hAnsi="Times New Roman" w:cs="Times New Roman"/>
          <w:b/>
          <w:sz w:val="24"/>
          <w:szCs w:val="24"/>
        </w:rPr>
        <w:t>confiscation</w:t>
      </w:r>
      <w:r w:rsidRPr="00B44B8A">
        <w:rPr>
          <w:rFonts w:ascii="Times New Roman" w:eastAsia="Calibri" w:hAnsi="Times New Roman" w:cs="Times New Roman"/>
          <w:sz w:val="24"/>
          <w:szCs w:val="24"/>
        </w:rPr>
        <w:t xml:space="preserve"> </w:t>
      </w:r>
      <w:r w:rsidRPr="00B44B8A">
        <w:rPr>
          <w:rFonts w:ascii="Times New Roman" w:eastAsia="Calibri" w:hAnsi="Times New Roman" w:cs="Times New Roman"/>
          <w:b/>
          <w:sz w:val="24"/>
          <w:szCs w:val="24"/>
        </w:rPr>
        <w:t>of assets</w:t>
      </w:r>
      <w:r w:rsidRPr="00B44B8A">
        <w:rPr>
          <w:rFonts w:ascii="Times New Roman" w:eastAsia="Calibri" w:hAnsi="Times New Roman" w:cs="Times New Roman"/>
          <w:sz w:val="24"/>
          <w:szCs w:val="24"/>
        </w:rPr>
        <w:t xml:space="preserve"> still needs to be improved. In 2019</w:t>
      </w:r>
      <w:r w:rsidR="009412AF">
        <w:rPr>
          <w:rFonts w:ascii="Times New Roman" w:eastAsia="Calibri" w:hAnsi="Times New Roman" w:cs="Times New Roman"/>
          <w:sz w:val="24"/>
          <w:szCs w:val="24"/>
        </w:rPr>
        <w:t>,</w:t>
      </w:r>
      <w:r w:rsidRPr="00B44B8A">
        <w:rPr>
          <w:rFonts w:ascii="Times New Roman" w:hAnsi="Times New Roman" w:cs="Times New Roman"/>
          <w:sz w:val="24"/>
          <w:szCs w:val="24"/>
        </w:rPr>
        <w:t xml:space="preserve"> </w:t>
      </w:r>
      <w:r w:rsidRPr="00B44B8A">
        <w:rPr>
          <w:rFonts w:ascii="Times New Roman" w:eastAsia="Calibri" w:hAnsi="Times New Roman" w:cs="Times New Roman"/>
          <w:sz w:val="24"/>
          <w:szCs w:val="24"/>
        </w:rPr>
        <w:t>the High Court in Podgorica ordered the temporary confiscation of assets with a total value of €</w:t>
      </w:r>
      <w:r w:rsidR="00B10615">
        <w:rPr>
          <w:rFonts w:ascii="Times New Roman" w:eastAsia="Calibri" w:hAnsi="Times New Roman" w:cs="Times New Roman"/>
          <w:sz w:val="24"/>
          <w:szCs w:val="24"/>
        </w:rPr>
        <w:t> </w:t>
      </w:r>
      <w:r w:rsidRPr="00B44B8A">
        <w:rPr>
          <w:rFonts w:ascii="Times New Roman" w:eastAsia="Calibri" w:hAnsi="Times New Roman" w:cs="Times New Roman"/>
          <w:sz w:val="24"/>
          <w:szCs w:val="24"/>
        </w:rPr>
        <w:t xml:space="preserve">3,477,880 in three cases. One </w:t>
      </w:r>
      <w:r>
        <w:rPr>
          <w:rFonts w:ascii="Times New Roman" w:eastAsia="Calibri" w:hAnsi="Times New Roman" w:cs="Times New Roman"/>
          <w:sz w:val="24"/>
          <w:szCs w:val="24"/>
        </w:rPr>
        <w:t xml:space="preserve">further </w:t>
      </w:r>
      <w:r w:rsidRPr="00B44B8A">
        <w:rPr>
          <w:rFonts w:ascii="Times New Roman" w:eastAsia="Calibri" w:hAnsi="Times New Roman" w:cs="Times New Roman"/>
          <w:sz w:val="24"/>
          <w:szCs w:val="24"/>
        </w:rPr>
        <w:t>residential unit of 193m</w:t>
      </w:r>
      <w:r w:rsidRPr="00B44B8A">
        <w:rPr>
          <w:rFonts w:ascii="Times New Roman" w:eastAsia="Calibri" w:hAnsi="Times New Roman" w:cs="Times New Roman"/>
          <w:sz w:val="24"/>
          <w:szCs w:val="24"/>
          <w:vertAlign w:val="superscript"/>
        </w:rPr>
        <w:t>2</w:t>
      </w:r>
      <w:r w:rsidRPr="00B44B8A">
        <w:rPr>
          <w:rFonts w:ascii="Times New Roman" w:eastAsia="Calibri" w:hAnsi="Times New Roman" w:cs="Times New Roman"/>
          <w:sz w:val="24"/>
          <w:szCs w:val="24"/>
        </w:rPr>
        <w:t xml:space="preserve"> was permanently confiscated in February 2020. </w:t>
      </w:r>
    </w:p>
    <w:p w14:paraId="5490A045" w14:textId="77777777" w:rsidR="00995366" w:rsidRPr="00B16395" w:rsidRDefault="00995366" w:rsidP="00995366">
      <w:pPr>
        <w:spacing w:after="120" w:line="240" w:lineRule="auto"/>
        <w:jc w:val="both"/>
        <w:rPr>
          <w:rFonts w:ascii="Times New Roman" w:hAnsi="Times New Roman" w:cs="Times New Roman"/>
          <w:b/>
          <w:sz w:val="24"/>
          <w:szCs w:val="24"/>
        </w:rPr>
      </w:pPr>
      <w:r w:rsidRPr="00B16395">
        <w:rPr>
          <w:rFonts w:ascii="Times New Roman" w:hAnsi="Times New Roman" w:cs="Times New Roman"/>
          <w:b/>
          <w:sz w:val="24"/>
          <w:szCs w:val="24"/>
        </w:rPr>
        <w:t xml:space="preserve">Fundamental rights </w:t>
      </w:r>
    </w:p>
    <w:p w14:paraId="4B61601E" w14:textId="6CA46A14" w:rsidR="00995366" w:rsidRPr="00B16395" w:rsidRDefault="00995366" w:rsidP="00995366">
      <w:pPr>
        <w:autoSpaceDE w:val="0"/>
        <w:autoSpaceDN w:val="0"/>
        <w:adjustRightInd w:val="0"/>
        <w:spacing w:after="120" w:line="240" w:lineRule="auto"/>
        <w:jc w:val="both"/>
        <w:rPr>
          <w:rFonts w:ascii="Times New Roman" w:eastAsia="Calibri" w:hAnsi="Times New Roman" w:cs="Times New Roman"/>
          <w:sz w:val="24"/>
          <w:szCs w:val="24"/>
        </w:rPr>
      </w:pPr>
      <w:r w:rsidRPr="00B16395">
        <w:rPr>
          <w:rFonts w:ascii="Times New Roman" w:eastAsia="Calibri" w:hAnsi="Times New Roman" w:cs="Times New Roman"/>
          <w:sz w:val="24"/>
          <w:szCs w:val="24"/>
        </w:rPr>
        <w:t xml:space="preserve">As regards </w:t>
      </w:r>
      <w:r w:rsidR="009412AF">
        <w:rPr>
          <w:rFonts w:ascii="Times New Roman" w:eastAsia="Calibri" w:hAnsi="Times New Roman" w:cs="Times New Roman"/>
          <w:sz w:val="24"/>
          <w:szCs w:val="24"/>
        </w:rPr>
        <w:t xml:space="preserve">to </w:t>
      </w:r>
      <w:r w:rsidRPr="00B16395">
        <w:rPr>
          <w:rFonts w:ascii="Times New Roman" w:eastAsia="Calibri" w:hAnsi="Times New Roman" w:cs="Times New Roman"/>
          <w:b/>
          <w:bCs/>
          <w:sz w:val="24"/>
          <w:szCs w:val="24"/>
        </w:rPr>
        <w:t>international human rights instruments</w:t>
      </w:r>
      <w:r w:rsidRPr="00B16395">
        <w:rPr>
          <w:rFonts w:ascii="Times New Roman" w:eastAsia="Calibri" w:hAnsi="Times New Roman" w:cs="Times New Roman"/>
          <w:sz w:val="24"/>
          <w:szCs w:val="24"/>
        </w:rPr>
        <w:t xml:space="preserve">, no new </w:t>
      </w:r>
      <w:r>
        <w:rPr>
          <w:rFonts w:ascii="Times New Roman" w:eastAsia="Calibri" w:hAnsi="Times New Roman" w:cs="Times New Roman"/>
          <w:sz w:val="24"/>
          <w:szCs w:val="24"/>
        </w:rPr>
        <w:t>ratifications took place</w:t>
      </w:r>
      <w:r w:rsidRPr="00B16395">
        <w:rPr>
          <w:rFonts w:ascii="Times New Roman" w:eastAsia="Calibri" w:hAnsi="Times New Roman" w:cs="Times New Roman"/>
          <w:sz w:val="24"/>
          <w:szCs w:val="24"/>
        </w:rPr>
        <w:t xml:space="preserve">. </w:t>
      </w:r>
      <w:r>
        <w:rPr>
          <w:rFonts w:ascii="Times New Roman" w:eastAsia="Calibri" w:hAnsi="Times New Roman" w:cs="Times New Roman"/>
          <w:sz w:val="24"/>
          <w:szCs w:val="24"/>
        </w:rPr>
        <w:t>In</w:t>
      </w:r>
      <w:r w:rsidR="00B10615">
        <w:rPr>
          <w:rFonts w:ascii="Times New Roman" w:eastAsia="Calibri" w:hAnsi="Times New Roman" w:cs="Times New Roman"/>
          <w:sz w:val="24"/>
          <w:szCs w:val="24"/>
        </w:rPr>
        <w:t> </w:t>
      </w:r>
      <w:r w:rsidRPr="00B16395">
        <w:rPr>
          <w:rFonts w:ascii="Times New Roman" w:eastAsia="Calibri" w:hAnsi="Times New Roman" w:cs="Times New Roman"/>
          <w:sz w:val="24"/>
          <w:szCs w:val="24"/>
        </w:rPr>
        <w:t>2019</w:t>
      </w:r>
      <w:r w:rsidR="009412AF">
        <w:rPr>
          <w:rFonts w:ascii="Times New Roman" w:eastAsia="Calibri" w:hAnsi="Times New Roman" w:cs="Times New Roman"/>
          <w:sz w:val="24"/>
          <w:szCs w:val="24"/>
        </w:rPr>
        <w:t>,</w:t>
      </w:r>
      <w:r>
        <w:rPr>
          <w:rFonts w:ascii="Times New Roman" w:eastAsia="Calibri" w:hAnsi="Times New Roman" w:cs="Times New Roman"/>
          <w:sz w:val="24"/>
          <w:szCs w:val="24"/>
        </w:rPr>
        <w:t xml:space="preserve"> t</w:t>
      </w:r>
      <w:r w:rsidRPr="00B16395">
        <w:rPr>
          <w:rFonts w:ascii="Times New Roman" w:eastAsia="Calibri" w:hAnsi="Times New Roman" w:cs="Times New Roman"/>
          <w:sz w:val="24"/>
          <w:szCs w:val="24"/>
        </w:rPr>
        <w:t xml:space="preserve">he Ministry of Foreign Affairs developed a database to track the implementation of obligations and recommendations from international human right mechanisms.  </w:t>
      </w:r>
    </w:p>
    <w:p w14:paraId="71B12BB2" w14:textId="15556804" w:rsidR="00995366" w:rsidRPr="00B16395" w:rsidRDefault="00995366" w:rsidP="00995366">
      <w:pPr>
        <w:spacing w:after="120" w:line="240" w:lineRule="auto"/>
        <w:jc w:val="both"/>
        <w:rPr>
          <w:rFonts w:ascii="Times New Roman" w:eastAsia="Calibri" w:hAnsi="Times New Roman" w:cs="Times New Roman"/>
          <w:sz w:val="24"/>
          <w:szCs w:val="24"/>
        </w:rPr>
      </w:pPr>
      <w:r w:rsidRPr="00B16395">
        <w:rPr>
          <w:rFonts w:ascii="Times New Roman" w:eastAsia="Calibri" w:hAnsi="Times New Roman" w:cs="Times New Roman"/>
          <w:sz w:val="24"/>
          <w:szCs w:val="24"/>
        </w:rPr>
        <w:t xml:space="preserve">Montenegro continues to ensure a good level of cooperation with the </w:t>
      </w:r>
      <w:r w:rsidRPr="00B16395">
        <w:rPr>
          <w:rFonts w:ascii="Times New Roman" w:eastAsia="Calibri" w:hAnsi="Times New Roman" w:cs="Times New Roman"/>
          <w:b/>
          <w:sz w:val="24"/>
          <w:szCs w:val="24"/>
        </w:rPr>
        <w:t>European Court of Human Rights (ECtHR)</w:t>
      </w:r>
      <w:r w:rsidRPr="00B16395">
        <w:rPr>
          <w:rFonts w:ascii="Times New Roman" w:eastAsia="Calibri" w:hAnsi="Times New Roman" w:cs="Times New Roman"/>
          <w:sz w:val="24"/>
          <w:szCs w:val="24"/>
        </w:rPr>
        <w:t xml:space="preserve">. In 2019, 427 new applications against Montenegro were allocated to a judicial formation and 98 applications were pending before the Court at the end of the year. The ECtHR found violations of the European Convention on Human Rights </w:t>
      </w:r>
      <w:r w:rsidR="00B10615">
        <w:rPr>
          <w:rFonts w:ascii="Times New Roman" w:eastAsia="Calibri" w:hAnsi="Times New Roman" w:cs="Times New Roman"/>
          <w:sz w:val="24"/>
          <w:szCs w:val="24"/>
        </w:rPr>
        <w:t xml:space="preserve">(ECHR) </w:t>
      </w:r>
      <w:r w:rsidRPr="00B16395">
        <w:rPr>
          <w:rFonts w:ascii="Times New Roman" w:eastAsia="Calibri" w:hAnsi="Times New Roman" w:cs="Times New Roman"/>
          <w:sz w:val="24"/>
          <w:szCs w:val="24"/>
        </w:rPr>
        <w:t xml:space="preserve">in </w:t>
      </w:r>
      <w:r w:rsidR="00B10615">
        <w:rPr>
          <w:rFonts w:ascii="Times New Roman" w:eastAsia="Calibri" w:hAnsi="Times New Roman" w:cs="Times New Roman"/>
          <w:sz w:val="24"/>
          <w:szCs w:val="24"/>
        </w:rPr>
        <w:t>3</w:t>
      </w:r>
      <w:r w:rsidR="00B10615" w:rsidRPr="00B16395">
        <w:rPr>
          <w:rFonts w:ascii="Times New Roman" w:eastAsia="Calibri" w:hAnsi="Times New Roman" w:cs="Times New Roman"/>
          <w:sz w:val="24"/>
          <w:szCs w:val="24"/>
        </w:rPr>
        <w:t xml:space="preserve"> </w:t>
      </w:r>
      <w:r w:rsidRPr="00B16395">
        <w:rPr>
          <w:rFonts w:ascii="Times New Roman" w:eastAsia="Calibri" w:hAnsi="Times New Roman" w:cs="Times New Roman"/>
          <w:sz w:val="24"/>
          <w:szCs w:val="24"/>
        </w:rPr>
        <w:t xml:space="preserve">cases with respect to inhuman treatment during detention, unlawful detention and unjustified duration of detention. </w:t>
      </w:r>
    </w:p>
    <w:p w14:paraId="34E652D6" w14:textId="5A1D2867" w:rsidR="00995366" w:rsidRPr="00B16395" w:rsidRDefault="00995366" w:rsidP="00995366">
      <w:pPr>
        <w:spacing w:after="120" w:line="240" w:lineRule="auto"/>
        <w:jc w:val="both"/>
        <w:rPr>
          <w:rFonts w:ascii="Times New Roman" w:eastAsia="Times New Roman" w:hAnsi="Times New Roman" w:cs="Times New Roman"/>
          <w:sz w:val="24"/>
          <w:szCs w:val="24"/>
        </w:rPr>
      </w:pPr>
      <w:r w:rsidRPr="00B16395">
        <w:rPr>
          <w:rFonts w:ascii="Times New Roman" w:eastAsia="Calibri" w:hAnsi="Times New Roman" w:cs="Times New Roman"/>
          <w:sz w:val="24"/>
          <w:szCs w:val="24"/>
        </w:rPr>
        <w:t xml:space="preserve">As regards </w:t>
      </w:r>
      <w:r w:rsidR="009412AF">
        <w:rPr>
          <w:rFonts w:ascii="Times New Roman" w:eastAsia="Calibri" w:hAnsi="Times New Roman" w:cs="Times New Roman"/>
          <w:sz w:val="24"/>
          <w:szCs w:val="24"/>
        </w:rPr>
        <w:t xml:space="preserve">to </w:t>
      </w:r>
      <w:r w:rsidRPr="00B16395">
        <w:rPr>
          <w:rFonts w:ascii="Times New Roman" w:eastAsia="Calibri" w:hAnsi="Times New Roman" w:cs="Times New Roman"/>
          <w:sz w:val="24"/>
          <w:szCs w:val="24"/>
        </w:rPr>
        <w:t xml:space="preserve">the </w:t>
      </w:r>
      <w:r w:rsidRPr="00B16395">
        <w:rPr>
          <w:rFonts w:ascii="Times New Roman" w:eastAsia="Calibri" w:hAnsi="Times New Roman" w:cs="Times New Roman"/>
          <w:b/>
          <w:iCs/>
          <w:color w:val="000000"/>
          <w:sz w:val="24"/>
          <w:szCs w:val="24"/>
          <w:shd w:val="clear" w:color="auto" w:fill="FFFFFF"/>
          <w:lang w:bidi="en-US"/>
        </w:rPr>
        <w:t>promotion and enforcement of human rights</w:t>
      </w:r>
      <w:r w:rsidRPr="00B16395">
        <w:rPr>
          <w:rFonts w:ascii="Times New Roman" w:eastAsia="Calibri" w:hAnsi="Times New Roman" w:cs="Times New Roman"/>
          <w:i/>
          <w:iCs/>
          <w:color w:val="000000"/>
          <w:sz w:val="24"/>
          <w:szCs w:val="24"/>
          <w:shd w:val="clear" w:color="auto" w:fill="FFFFFF"/>
          <w:lang w:bidi="en-US"/>
        </w:rPr>
        <w:t>,</w:t>
      </w:r>
      <w:r w:rsidRPr="00B16395">
        <w:rPr>
          <w:rFonts w:ascii="Times New Roman" w:eastAsia="Calibri" w:hAnsi="Times New Roman" w:cs="Times New Roman"/>
          <w:sz w:val="24"/>
          <w:szCs w:val="24"/>
        </w:rPr>
        <w:t xml:space="preserve"> the Ministry of Human and Minority Rights (MHMR) continued to strengthen its administrative capacity th</w:t>
      </w:r>
      <w:r w:rsidR="009412AF">
        <w:rPr>
          <w:rFonts w:ascii="Times New Roman" w:eastAsia="Calibri" w:hAnsi="Times New Roman" w:cs="Times New Roman"/>
          <w:sz w:val="24"/>
          <w:szCs w:val="24"/>
        </w:rPr>
        <w:t>r</w:t>
      </w:r>
      <w:r w:rsidRPr="00B16395">
        <w:rPr>
          <w:rFonts w:ascii="Times New Roman" w:eastAsia="Calibri" w:hAnsi="Times New Roman" w:cs="Times New Roman"/>
          <w:sz w:val="24"/>
          <w:szCs w:val="24"/>
        </w:rPr>
        <w:t xml:space="preserve">ough the creation of new positions and internal training programmes. However, the MHMR’s overall capacity remains weak. </w:t>
      </w:r>
      <w:r w:rsidRPr="00B16395">
        <w:rPr>
          <w:rFonts w:ascii="Times New Roman" w:eastAsia="Times New Roman" w:hAnsi="Times New Roman" w:cs="Times New Roman"/>
          <w:sz w:val="24"/>
          <w:szCs w:val="24"/>
        </w:rPr>
        <w:t xml:space="preserve">Public institutions’ overall awareness of human rights standards slightly improved in 2019. </w:t>
      </w:r>
      <w:r w:rsidRPr="00B16395">
        <w:rPr>
          <w:rFonts w:ascii="Times New Roman" w:eastAsia="Calibri" w:hAnsi="Times New Roman" w:cs="Times New Roman"/>
          <w:sz w:val="24"/>
          <w:szCs w:val="24"/>
        </w:rPr>
        <w:t>The quality of the Constitutional Court's</w:t>
      </w:r>
      <w:r>
        <w:rPr>
          <w:rFonts w:ascii="Times New Roman" w:eastAsia="Calibri" w:hAnsi="Times New Roman" w:cs="Times New Roman"/>
          <w:sz w:val="24"/>
          <w:szCs w:val="24"/>
        </w:rPr>
        <w:t xml:space="preserve"> and regular courts’</w:t>
      </w:r>
      <w:r w:rsidRPr="00B16395">
        <w:rPr>
          <w:rFonts w:ascii="Times New Roman" w:eastAsia="Calibri" w:hAnsi="Times New Roman" w:cs="Times New Roman"/>
          <w:sz w:val="24"/>
          <w:szCs w:val="24"/>
        </w:rPr>
        <w:t xml:space="preserve"> decisions continues to improve in</w:t>
      </w:r>
      <w:r w:rsidRPr="00B16395">
        <w:rPr>
          <w:rFonts w:ascii="Times New Roman" w:eastAsia="Times New Roman" w:hAnsi="Times New Roman" w:cs="Times New Roman"/>
          <w:sz w:val="24"/>
          <w:szCs w:val="24"/>
        </w:rPr>
        <w:t xml:space="preserve"> terms of application of human rights standards and ECtHR case law. </w:t>
      </w:r>
      <w:r w:rsidRPr="00B16395">
        <w:rPr>
          <w:rFonts w:ascii="Times New Roman" w:eastAsia="Calibri" w:hAnsi="Times New Roman" w:cs="Times New Roman"/>
          <w:sz w:val="24"/>
          <w:szCs w:val="24"/>
        </w:rPr>
        <w:t xml:space="preserve">However, </w:t>
      </w:r>
      <w:r>
        <w:rPr>
          <w:rFonts w:ascii="Times New Roman" w:eastAsia="Calibri" w:hAnsi="Times New Roman" w:cs="Times New Roman"/>
          <w:sz w:val="24"/>
          <w:szCs w:val="24"/>
        </w:rPr>
        <w:t xml:space="preserve">there are </w:t>
      </w:r>
      <w:r w:rsidRPr="00B16395">
        <w:rPr>
          <w:rFonts w:ascii="Times New Roman" w:eastAsia="Calibri" w:hAnsi="Times New Roman" w:cs="Times New Roman"/>
          <w:sz w:val="24"/>
          <w:szCs w:val="24"/>
        </w:rPr>
        <w:t>concerns over institutional disputes and divergent understanding and interpretation of human rights standards between the Supreme and</w:t>
      </w:r>
      <w:r w:rsidR="00B10615">
        <w:rPr>
          <w:rFonts w:ascii="Times New Roman" w:eastAsia="Calibri" w:hAnsi="Times New Roman" w:cs="Times New Roman"/>
          <w:sz w:val="24"/>
          <w:szCs w:val="24"/>
        </w:rPr>
        <w:t xml:space="preserve"> the</w:t>
      </w:r>
      <w:r w:rsidRPr="00B16395">
        <w:rPr>
          <w:rFonts w:ascii="Times New Roman" w:eastAsia="Calibri" w:hAnsi="Times New Roman" w:cs="Times New Roman"/>
          <w:sz w:val="24"/>
          <w:szCs w:val="24"/>
        </w:rPr>
        <w:t xml:space="preserve"> Constitutional Court, putting legal certainty and the right to a final </w:t>
      </w:r>
      <w:r w:rsidR="00B10615">
        <w:rPr>
          <w:rFonts w:ascii="Times New Roman" w:eastAsia="Calibri" w:hAnsi="Times New Roman" w:cs="Times New Roman"/>
          <w:sz w:val="24"/>
          <w:szCs w:val="24"/>
        </w:rPr>
        <w:t>decision</w:t>
      </w:r>
      <w:r w:rsidR="00B10615" w:rsidRPr="00B16395">
        <w:rPr>
          <w:rFonts w:ascii="Times New Roman" w:eastAsia="Calibri" w:hAnsi="Times New Roman" w:cs="Times New Roman"/>
          <w:sz w:val="24"/>
          <w:szCs w:val="24"/>
        </w:rPr>
        <w:t xml:space="preserve"> </w:t>
      </w:r>
      <w:r w:rsidRPr="00B16395">
        <w:rPr>
          <w:rFonts w:ascii="Times New Roman" w:eastAsia="Calibri" w:hAnsi="Times New Roman" w:cs="Times New Roman"/>
          <w:sz w:val="24"/>
          <w:szCs w:val="24"/>
        </w:rPr>
        <w:t>and effective legal remedy</w:t>
      </w:r>
      <w:r w:rsidR="0077585A">
        <w:rPr>
          <w:rFonts w:ascii="Times New Roman" w:eastAsia="Calibri" w:hAnsi="Times New Roman" w:cs="Times New Roman"/>
          <w:sz w:val="24"/>
          <w:szCs w:val="24"/>
        </w:rPr>
        <w:t xml:space="preserve"> at risk</w:t>
      </w:r>
      <w:r w:rsidRPr="00B16395">
        <w:rPr>
          <w:rFonts w:ascii="Times New Roman" w:eastAsia="Calibri" w:hAnsi="Times New Roman" w:cs="Times New Roman"/>
          <w:sz w:val="24"/>
          <w:szCs w:val="24"/>
        </w:rPr>
        <w:t xml:space="preserve">. </w:t>
      </w:r>
    </w:p>
    <w:p w14:paraId="0304A94C" w14:textId="2BA3CCFD" w:rsidR="00995366" w:rsidRPr="00995366" w:rsidRDefault="00995366" w:rsidP="00995366">
      <w:pPr>
        <w:autoSpaceDE w:val="0"/>
        <w:autoSpaceDN w:val="0"/>
        <w:adjustRightInd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budget allocate</w:t>
      </w:r>
      <w:r w:rsidRPr="00E629C4">
        <w:rPr>
          <w:rFonts w:ascii="Times New Roman" w:eastAsia="Times New Roman" w:hAnsi="Times New Roman" w:cs="Times New Roman"/>
          <w:sz w:val="24"/>
          <w:szCs w:val="24"/>
        </w:rPr>
        <w:t>d to the Ombuds</w:t>
      </w:r>
      <w:r>
        <w:rPr>
          <w:rFonts w:ascii="Times New Roman" w:eastAsia="Times New Roman" w:hAnsi="Times New Roman" w:cs="Times New Roman"/>
          <w:sz w:val="24"/>
          <w:szCs w:val="24"/>
        </w:rPr>
        <w:t>person’s</w:t>
      </w:r>
      <w:r w:rsidRPr="00E629C4">
        <w:rPr>
          <w:rFonts w:ascii="Times New Roman" w:eastAsia="Times New Roman" w:hAnsi="Times New Roman" w:cs="Times New Roman"/>
          <w:sz w:val="24"/>
          <w:szCs w:val="24"/>
        </w:rPr>
        <w:t xml:space="preserve"> Office for 2020 (</w:t>
      </w:r>
      <w:r w:rsidRPr="001144F2">
        <w:rPr>
          <w:rFonts w:ascii="Times New Roman" w:eastAsia="Times New Roman" w:hAnsi="Times New Roman" w:cs="Times New Roman"/>
          <w:sz w:val="24"/>
          <w:szCs w:val="24"/>
        </w:rPr>
        <w:t>€</w:t>
      </w:r>
      <w:r w:rsidR="0077585A">
        <w:rPr>
          <w:rFonts w:ascii="Times New Roman" w:eastAsia="Times New Roman" w:hAnsi="Times New Roman" w:cs="Times New Roman"/>
          <w:sz w:val="24"/>
          <w:szCs w:val="24"/>
        </w:rPr>
        <w:t xml:space="preserve"> </w:t>
      </w:r>
      <w:r w:rsidRPr="00E629C4">
        <w:rPr>
          <w:rFonts w:ascii="Times New Roman" w:eastAsia="Times New Roman" w:hAnsi="Times New Roman" w:cs="Times New Roman"/>
          <w:sz w:val="24"/>
          <w:szCs w:val="24"/>
        </w:rPr>
        <w:t>725,227) slightly increase</w:t>
      </w:r>
      <w:r>
        <w:rPr>
          <w:rFonts w:ascii="Times New Roman" w:eastAsia="Times New Roman" w:hAnsi="Times New Roman" w:cs="Times New Roman"/>
          <w:sz w:val="24"/>
          <w:szCs w:val="24"/>
        </w:rPr>
        <w:t>d</w:t>
      </w:r>
      <w:r w:rsidRPr="00E629C4">
        <w:rPr>
          <w:rFonts w:ascii="Times New Roman" w:eastAsia="Times New Roman" w:hAnsi="Times New Roman" w:cs="Times New Roman"/>
          <w:sz w:val="24"/>
          <w:szCs w:val="24"/>
        </w:rPr>
        <w:t xml:space="preserve"> compared to </w:t>
      </w:r>
      <w:r w:rsidR="0077585A">
        <w:rPr>
          <w:rFonts w:ascii="Times New Roman" w:eastAsia="Times New Roman" w:hAnsi="Times New Roman" w:cs="Times New Roman"/>
          <w:sz w:val="24"/>
          <w:szCs w:val="24"/>
        </w:rPr>
        <w:t xml:space="preserve">the </w:t>
      </w:r>
      <w:r w:rsidRPr="00E629C4">
        <w:rPr>
          <w:rFonts w:ascii="Times New Roman" w:eastAsia="Times New Roman" w:hAnsi="Times New Roman" w:cs="Times New Roman"/>
          <w:sz w:val="24"/>
          <w:szCs w:val="24"/>
        </w:rPr>
        <w:t>previous year (</w:t>
      </w:r>
      <w:r w:rsidRPr="001144F2">
        <w:rPr>
          <w:rFonts w:ascii="Times New Roman" w:eastAsia="Times New Roman" w:hAnsi="Times New Roman" w:cs="Times New Roman"/>
          <w:sz w:val="24"/>
          <w:szCs w:val="24"/>
        </w:rPr>
        <w:t>€</w:t>
      </w:r>
      <w:r w:rsidR="0077585A">
        <w:rPr>
          <w:rFonts w:ascii="Times New Roman" w:eastAsia="Times New Roman" w:hAnsi="Times New Roman" w:cs="Times New Roman"/>
          <w:sz w:val="24"/>
          <w:szCs w:val="24"/>
        </w:rPr>
        <w:t xml:space="preserve"> </w:t>
      </w:r>
      <w:r w:rsidRPr="001144F2">
        <w:rPr>
          <w:rFonts w:ascii="Times New Roman" w:eastAsia="Times New Roman" w:hAnsi="Times New Roman" w:cs="Times New Roman"/>
          <w:sz w:val="24"/>
          <w:szCs w:val="24"/>
        </w:rPr>
        <w:t>695,322</w:t>
      </w:r>
      <w:r w:rsidRPr="00E629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27812">
        <w:rPr>
          <w:rFonts w:ascii="Times New Roman" w:eastAsia="Times New Roman" w:hAnsi="Times New Roman" w:cs="Times New Roman"/>
          <w:sz w:val="24"/>
          <w:szCs w:val="24"/>
        </w:rPr>
        <w:t>Despite</w:t>
      </w:r>
      <w:r w:rsidR="0077585A">
        <w:rPr>
          <w:rFonts w:ascii="Times New Roman" w:eastAsia="Times New Roman" w:hAnsi="Times New Roman" w:cs="Times New Roman"/>
          <w:sz w:val="24"/>
          <w:szCs w:val="24"/>
        </w:rPr>
        <w:t xml:space="preserve"> the</w:t>
      </w:r>
      <w:r w:rsidRPr="00A27812">
        <w:rPr>
          <w:rFonts w:ascii="Times New Roman" w:eastAsia="Times New Roman" w:hAnsi="Times New Roman" w:cs="Times New Roman"/>
          <w:sz w:val="24"/>
          <w:szCs w:val="24"/>
        </w:rPr>
        <w:t xml:space="preserve"> lack of staff and </w:t>
      </w:r>
      <w:r w:rsidR="0077585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A27812">
        <w:rPr>
          <w:rFonts w:ascii="Times New Roman" w:eastAsia="Times New Roman" w:hAnsi="Times New Roman" w:cs="Times New Roman"/>
          <w:sz w:val="24"/>
          <w:szCs w:val="24"/>
        </w:rPr>
        <w:t>relatively limited resources</w:t>
      </w:r>
      <w:r>
        <w:rPr>
          <w:rFonts w:ascii="Times New Roman" w:eastAsia="Times New Roman" w:hAnsi="Times New Roman" w:cs="Times New Roman"/>
          <w:sz w:val="24"/>
          <w:szCs w:val="24"/>
        </w:rPr>
        <w:t>,</w:t>
      </w:r>
      <w:r w:rsidRPr="00A27812">
        <w:rPr>
          <w:rFonts w:ascii="Times New Roman" w:eastAsia="Times New Roman" w:hAnsi="Times New Roman" w:cs="Times New Roman"/>
          <w:sz w:val="24"/>
          <w:szCs w:val="24"/>
        </w:rPr>
        <w:t xml:space="preserve"> the Office continues to have good visibility, outreach and productivity. In December 2019, Parliament confirmed, with wide political support, the appointment of a new Ombudsperson. Staff training activities and initiatives to promote the human rights of the most vulnerable groups, particularly children, continued, along with cooperation with the UNHCR</w:t>
      </w:r>
      <w:r w:rsidRPr="00A27812" w:rsidDel="00C82CA4">
        <w:rPr>
          <w:rFonts w:ascii="Times New Roman" w:eastAsia="Times New Roman" w:hAnsi="Times New Roman" w:cs="Times New Roman"/>
          <w:sz w:val="24"/>
          <w:szCs w:val="24"/>
        </w:rPr>
        <w:t xml:space="preserve"> </w:t>
      </w:r>
      <w:r w:rsidRPr="00A27812">
        <w:rPr>
          <w:rFonts w:ascii="Times New Roman" w:eastAsia="Times New Roman" w:hAnsi="Times New Roman" w:cs="Times New Roman"/>
          <w:sz w:val="24"/>
          <w:szCs w:val="24"/>
        </w:rPr>
        <w:t xml:space="preserve">to uphold </w:t>
      </w:r>
      <w:r w:rsidR="0077585A">
        <w:rPr>
          <w:rFonts w:ascii="Times New Roman" w:eastAsia="Times New Roman" w:hAnsi="Times New Roman" w:cs="Times New Roman"/>
          <w:sz w:val="24"/>
          <w:szCs w:val="24"/>
        </w:rPr>
        <w:t xml:space="preserve">the </w:t>
      </w:r>
      <w:r w:rsidRPr="00A27812">
        <w:rPr>
          <w:rFonts w:ascii="Times New Roman" w:eastAsia="Times New Roman" w:hAnsi="Times New Roman" w:cs="Times New Roman"/>
          <w:sz w:val="24"/>
          <w:szCs w:val="24"/>
        </w:rPr>
        <w:t xml:space="preserve">protection of the human rights of migrants and asylum seekers. The national electronic database for the management of complaints was improved. </w:t>
      </w:r>
      <w:r>
        <w:rPr>
          <w:rFonts w:ascii="Times New Roman" w:eastAsia="Times New Roman" w:hAnsi="Times New Roman" w:cs="Times New Roman"/>
          <w:sz w:val="24"/>
          <w:szCs w:val="24"/>
        </w:rPr>
        <w:t>In 2019</w:t>
      </w:r>
      <w:r w:rsidR="007758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95366">
        <w:rPr>
          <w:rFonts w:ascii="Times New Roman" w:eastAsia="Times New Roman" w:hAnsi="Times New Roman" w:cs="Times New Roman"/>
          <w:sz w:val="24"/>
          <w:szCs w:val="24"/>
        </w:rPr>
        <w:t xml:space="preserve">the </w:t>
      </w:r>
      <w:r w:rsidRPr="00995366">
        <w:rPr>
          <w:rFonts w:ascii="Times New Roman" w:eastAsia="Calibri" w:hAnsi="Times New Roman" w:cs="Times New Roman"/>
          <w:sz w:val="24"/>
          <w:szCs w:val="24"/>
        </w:rPr>
        <w:t xml:space="preserve">Office </w:t>
      </w:r>
      <w:r w:rsidRPr="00995366">
        <w:rPr>
          <w:rFonts w:ascii="Times New Roman" w:eastAsia="Times New Roman" w:hAnsi="Times New Roman" w:cs="Times New Roman"/>
          <w:sz w:val="24"/>
          <w:szCs w:val="24"/>
        </w:rPr>
        <w:t>received 840</w:t>
      </w:r>
      <w:r>
        <w:rPr>
          <w:rFonts w:ascii="Times New Roman" w:eastAsia="Times New Roman" w:hAnsi="Times New Roman" w:cs="Times New Roman"/>
          <w:sz w:val="24"/>
          <w:szCs w:val="24"/>
        </w:rPr>
        <w:t xml:space="preserve"> human rights</w:t>
      </w:r>
      <w:r w:rsidRPr="00995366">
        <w:rPr>
          <w:rFonts w:ascii="Times New Roman" w:eastAsia="Times New Roman" w:hAnsi="Times New Roman" w:cs="Times New Roman"/>
          <w:sz w:val="24"/>
          <w:szCs w:val="24"/>
        </w:rPr>
        <w:t xml:space="preserve"> complaints (2018: 889)</w:t>
      </w:r>
      <w:r w:rsidRPr="00995366">
        <w:rPr>
          <w:rFonts w:ascii="Times New Roman" w:eastAsia="Calibri" w:hAnsi="Times New Roman" w:cs="Times New Roman"/>
          <w:iCs/>
          <w:sz w:val="24"/>
          <w:szCs w:val="24"/>
        </w:rPr>
        <w:t>.</w:t>
      </w:r>
      <w:r w:rsidRPr="00995366">
        <w:rPr>
          <w:rFonts w:ascii="Times New Roman" w:eastAsia="Times New Roman" w:hAnsi="Times New Roman" w:cs="Times New Roman"/>
          <w:sz w:val="24"/>
          <w:szCs w:val="24"/>
        </w:rPr>
        <w:t xml:space="preserve"> </w:t>
      </w:r>
    </w:p>
    <w:p w14:paraId="64DF7C02" w14:textId="06FC6B1E" w:rsidR="00995366" w:rsidRPr="00B16395" w:rsidRDefault="00995366" w:rsidP="00995366">
      <w:pPr>
        <w:autoSpaceDE w:val="0"/>
        <w:autoSpaceDN w:val="0"/>
        <w:adjustRightInd w:val="0"/>
        <w:spacing w:after="120" w:line="240" w:lineRule="auto"/>
        <w:jc w:val="both"/>
        <w:rPr>
          <w:rFonts w:ascii="Times New Roman" w:eastAsia="MS Mincho" w:hAnsi="Times New Roman" w:cs="Times New Roman"/>
          <w:color w:val="000000"/>
          <w:sz w:val="24"/>
          <w:szCs w:val="24"/>
        </w:rPr>
      </w:pPr>
      <w:r w:rsidRPr="00B16395">
        <w:rPr>
          <w:rFonts w:ascii="Times New Roman" w:eastAsia="Calibri" w:hAnsi="Times New Roman" w:cs="Times New Roman"/>
          <w:sz w:val="24"/>
          <w:szCs w:val="24"/>
        </w:rPr>
        <w:lastRenderedPageBreak/>
        <w:t xml:space="preserve">As regards </w:t>
      </w:r>
      <w:r w:rsidR="0077585A">
        <w:rPr>
          <w:rFonts w:ascii="Times New Roman" w:eastAsia="Calibri" w:hAnsi="Times New Roman" w:cs="Times New Roman"/>
          <w:sz w:val="24"/>
          <w:szCs w:val="24"/>
        </w:rPr>
        <w:t xml:space="preserve">to the </w:t>
      </w:r>
      <w:r w:rsidRPr="00B16395">
        <w:rPr>
          <w:rFonts w:ascii="Times New Roman" w:eastAsia="Calibri" w:hAnsi="Times New Roman" w:cs="Times New Roman"/>
          <w:b/>
          <w:sz w:val="24"/>
          <w:szCs w:val="24"/>
        </w:rPr>
        <w:t>prevention of torture and ill-treatment</w:t>
      </w:r>
      <w:r w:rsidRPr="00B16395">
        <w:rPr>
          <w:rFonts w:ascii="Times New Roman" w:eastAsia="Calibri" w:hAnsi="Times New Roman" w:cs="Times New Roman"/>
          <w:sz w:val="24"/>
          <w:szCs w:val="24"/>
        </w:rPr>
        <w:t xml:space="preserve">, the regulatory framework has been partly consolidated with the adoption of a set of implementing rules in 2019 and early 2020. </w:t>
      </w:r>
      <w:r>
        <w:rPr>
          <w:rFonts w:ascii="Times New Roman" w:eastAsia="Calibri" w:hAnsi="Times New Roman" w:cs="Times New Roman"/>
          <w:sz w:val="24"/>
          <w:szCs w:val="24"/>
        </w:rPr>
        <w:t>N</w:t>
      </w:r>
      <w:r w:rsidRPr="00B16395">
        <w:rPr>
          <w:rFonts w:ascii="Times New Roman" w:eastAsia="Calibri" w:hAnsi="Times New Roman" w:cs="Times New Roman"/>
          <w:sz w:val="24"/>
          <w:szCs w:val="24"/>
        </w:rPr>
        <w:t>o steps have been taken yet to address the 2018 UN Universal Periodic Review recommendation to explicitly prohibit in the Criminal Code the statute of limitations for crimes of torture and other forms of ill-treatment.</w:t>
      </w:r>
      <w:r w:rsidRPr="00B16395">
        <w:rPr>
          <w:rFonts w:ascii="Times New Roman" w:eastAsia="MS Mincho" w:hAnsi="Times New Roman" w:cs="Times New Roman"/>
          <w:color w:val="000000"/>
          <w:sz w:val="24"/>
          <w:szCs w:val="24"/>
        </w:rPr>
        <w:t xml:space="preserve"> </w:t>
      </w:r>
    </w:p>
    <w:p w14:paraId="6CA549CB" w14:textId="178D54C8" w:rsidR="00995366" w:rsidRPr="00B16395" w:rsidRDefault="00995366" w:rsidP="00995366">
      <w:pPr>
        <w:autoSpaceDE w:val="0"/>
        <w:autoSpaceDN w:val="0"/>
        <w:adjustRightInd w:val="0"/>
        <w:spacing w:after="120" w:line="240" w:lineRule="auto"/>
        <w:jc w:val="both"/>
        <w:rPr>
          <w:rFonts w:ascii="Times New Roman" w:eastAsia="Calibri" w:hAnsi="Times New Roman" w:cs="Times New Roman"/>
          <w:sz w:val="24"/>
          <w:szCs w:val="24"/>
        </w:rPr>
      </w:pPr>
      <w:r w:rsidRPr="0087285B">
        <w:rPr>
          <w:rFonts w:ascii="Times New Roman" w:eastAsia="Calibri" w:hAnsi="Times New Roman" w:cs="Times New Roman"/>
          <w:sz w:val="24"/>
          <w:szCs w:val="24"/>
        </w:rPr>
        <w:t xml:space="preserve">In 2019, 13 complaints related to torture, </w:t>
      </w:r>
      <w:r w:rsidRPr="00DB4C47">
        <w:rPr>
          <w:rFonts w:ascii="Times New Roman" w:eastAsia="Calibri" w:hAnsi="Times New Roman" w:cs="Times New Roman"/>
          <w:sz w:val="24"/>
          <w:szCs w:val="24"/>
        </w:rPr>
        <w:t>and ill-treatment were registered by the Ombudsperson's Office</w:t>
      </w:r>
      <w:r w:rsidRPr="001144F2">
        <w:rPr>
          <w:rFonts w:ascii="Times New Roman" w:eastAsia="Calibri" w:hAnsi="Times New Roman" w:cs="Times New Roman"/>
          <w:sz w:val="24"/>
          <w:szCs w:val="24"/>
        </w:rPr>
        <w:t>. New investigations were opened and indictments lodged for ill-treatment by law enforcement. Judgements were issued at first-instance, but no</w:t>
      </w:r>
      <w:r w:rsidR="0077585A">
        <w:rPr>
          <w:rFonts w:ascii="Times New Roman" w:eastAsia="Calibri" w:hAnsi="Times New Roman" w:cs="Times New Roman"/>
          <w:sz w:val="24"/>
          <w:szCs w:val="24"/>
        </w:rPr>
        <w:t xml:space="preserve"> judgement</w:t>
      </w:r>
      <w:r w:rsidRPr="001144F2">
        <w:rPr>
          <w:rFonts w:ascii="Times New Roman" w:eastAsia="Calibri" w:hAnsi="Times New Roman" w:cs="Times New Roman"/>
          <w:sz w:val="24"/>
          <w:szCs w:val="24"/>
        </w:rPr>
        <w:t xml:space="preserve"> is yet final and 12 such cases are currently pending before first</w:t>
      </w:r>
      <w:r w:rsidR="0077585A">
        <w:rPr>
          <w:rFonts w:ascii="Times New Roman" w:eastAsia="Calibri" w:hAnsi="Times New Roman" w:cs="Times New Roman"/>
          <w:sz w:val="24"/>
          <w:szCs w:val="24"/>
        </w:rPr>
        <w:t>-</w:t>
      </w:r>
      <w:r w:rsidRPr="001144F2">
        <w:rPr>
          <w:rFonts w:ascii="Times New Roman" w:eastAsia="Calibri" w:hAnsi="Times New Roman" w:cs="Times New Roman"/>
          <w:sz w:val="24"/>
          <w:szCs w:val="24"/>
        </w:rPr>
        <w:t xml:space="preserve">instance. In total, 21 disciplinary proceedings were initiated in 2019 </w:t>
      </w:r>
      <w:r w:rsidR="00F474A7">
        <w:rPr>
          <w:rFonts w:ascii="Times New Roman" w:eastAsia="Calibri" w:hAnsi="Times New Roman" w:cs="Times New Roman"/>
          <w:sz w:val="24"/>
          <w:szCs w:val="24"/>
        </w:rPr>
        <w:t>for</w:t>
      </w:r>
      <w:r w:rsidR="00F474A7" w:rsidRPr="001144F2">
        <w:rPr>
          <w:rFonts w:ascii="Times New Roman" w:eastAsia="Calibri" w:hAnsi="Times New Roman" w:cs="Times New Roman"/>
          <w:sz w:val="24"/>
          <w:szCs w:val="24"/>
        </w:rPr>
        <w:t xml:space="preserve"> </w:t>
      </w:r>
      <w:r w:rsidRPr="001144F2">
        <w:rPr>
          <w:rFonts w:ascii="Times New Roman" w:eastAsia="Calibri" w:hAnsi="Times New Roman" w:cs="Times New Roman"/>
          <w:sz w:val="24"/>
          <w:szCs w:val="24"/>
        </w:rPr>
        <w:t>violation of official duty, while 6 new cases were opened in the prosecution against police officers suspected of excessive/disproportionate use of force.</w:t>
      </w:r>
      <w:r w:rsidRPr="00B16395">
        <w:rPr>
          <w:rFonts w:ascii="Times New Roman" w:eastAsia="Calibri" w:hAnsi="Times New Roman" w:cs="Times New Roman"/>
          <w:sz w:val="24"/>
          <w:szCs w:val="24"/>
        </w:rPr>
        <w:t xml:space="preserve"> </w:t>
      </w:r>
    </w:p>
    <w:p w14:paraId="1C0CE543" w14:textId="77777777" w:rsidR="00995366" w:rsidRPr="00B16395" w:rsidRDefault="00995366" w:rsidP="00995366">
      <w:pPr>
        <w:autoSpaceDE w:val="0"/>
        <w:autoSpaceDN w:val="0"/>
        <w:adjustRightInd w:val="0"/>
        <w:spacing w:after="120" w:line="240" w:lineRule="auto"/>
        <w:jc w:val="both"/>
        <w:rPr>
          <w:rFonts w:ascii="Times New Roman" w:eastAsia="Times New Roman" w:hAnsi="Times New Roman" w:cs="Times New Roman"/>
          <w:sz w:val="24"/>
          <w:szCs w:val="24"/>
        </w:rPr>
      </w:pPr>
      <w:r w:rsidRPr="00B16395">
        <w:rPr>
          <w:rFonts w:ascii="Times New Roman" w:eastAsia="Calibri" w:hAnsi="Times New Roman" w:cs="Times New Roman"/>
          <w:sz w:val="24"/>
          <w:szCs w:val="24"/>
        </w:rPr>
        <w:t xml:space="preserve">The </w:t>
      </w:r>
      <w:r w:rsidRPr="00B16395">
        <w:rPr>
          <w:rFonts w:ascii="Times New Roman" w:eastAsia="Times New Roman" w:hAnsi="Times New Roman" w:cs="Times New Roman"/>
          <w:sz w:val="24"/>
          <w:szCs w:val="24"/>
        </w:rPr>
        <w:t>operational capacity and visibility of the National Preventive Mechanism (NPM) were reinforced in 2019 with the provision of additional funds for promotional activities, research and monitoring. The NPM mission carried out 2</w:t>
      </w:r>
      <w:r>
        <w:rPr>
          <w:rFonts w:ascii="Times New Roman" w:eastAsia="Times New Roman" w:hAnsi="Times New Roman" w:cs="Times New Roman"/>
          <w:sz w:val="24"/>
          <w:szCs w:val="24"/>
        </w:rPr>
        <w:t>6</w:t>
      </w:r>
      <w:r w:rsidRPr="00B16395">
        <w:rPr>
          <w:rFonts w:ascii="Times New Roman" w:eastAsia="Times New Roman" w:hAnsi="Times New Roman" w:cs="Times New Roman"/>
          <w:sz w:val="24"/>
          <w:szCs w:val="24"/>
        </w:rPr>
        <w:t xml:space="preserve"> control visits to assess the conditions of detention</w:t>
      </w:r>
      <w:r>
        <w:rPr>
          <w:rFonts w:ascii="Times New Roman" w:eastAsia="Times New Roman" w:hAnsi="Times New Roman" w:cs="Times New Roman"/>
          <w:sz w:val="24"/>
          <w:szCs w:val="24"/>
        </w:rPr>
        <w:t xml:space="preserve">, as well as conditions in mental health institutions and </w:t>
      </w:r>
      <w:r w:rsidRPr="00B16395">
        <w:rPr>
          <w:rFonts w:ascii="Times New Roman" w:eastAsia="Times New Roman" w:hAnsi="Times New Roman" w:cs="Times New Roman"/>
          <w:sz w:val="24"/>
          <w:szCs w:val="24"/>
        </w:rPr>
        <w:t xml:space="preserve">treatment of migrants and asylum seekers were also conducted in 2019. </w:t>
      </w:r>
    </w:p>
    <w:p w14:paraId="35C40033" w14:textId="541A6BB9" w:rsidR="00995366" w:rsidRPr="00B16395" w:rsidRDefault="00995366" w:rsidP="00995366">
      <w:pPr>
        <w:autoSpaceDE w:val="0"/>
        <w:autoSpaceDN w:val="0"/>
        <w:adjustRightInd w:val="0"/>
        <w:spacing w:after="120" w:line="240" w:lineRule="auto"/>
        <w:jc w:val="both"/>
        <w:rPr>
          <w:rFonts w:ascii="Times New Roman" w:eastAsia="Times New Roman" w:hAnsi="Times New Roman" w:cs="Times New Roman"/>
          <w:sz w:val="24"/>
          <w:szCs w:val="24"/>
        </w:rPr>
      </w:pPr>
      <w:r w:rsidRPr="00B16395">
        <w:rPr>
          <w:rFonts w:ascii="Times New Roman" w:eastAsia="Times New Roman" w:hAnsi="Times New Roman" w:cs="Times New Roman"/>
          <w:sz w:val="24"/>
          <w:szCs w:val="24"/>
        </w:rPr>
        <w:t xml:space="preserve">Concerning the </w:t>
      </w:r>
      <w:r w:rsidRPr="00B16395">
        <w:rPr>
          <w:rFonts w:ascii="Times New Roman" w:eastAsia="Times New Roman" w:hAnsi="Times New Roman" w:cs="Times New Roman"/>
          <w:b/>
          <w:sz w:val="24"/>
          <w:szCs w:val="24"/>
        </w:rPr>
        <w:t>prison system and conditions</w:t>
      </w:r>
      <w:r w:rsidRPr="00B16395">
        <w:rPr>
          <w:rFonts w:ascii="Times New Roman" w:eastAsia="Times New Roman" w:hAnsi="Times New Roman" w:cs="Times New Roman"/>
          <w:sz w:val="24"/>
          <w:szCs w:val="24"/>
        </w:rPr>
        <w:t xml:space="preserve">, additional measures were taken to address the recommendations of the European Committee for the Prevention of Torture and Inhuman or Degrading Treatment or Punishment (CPT) from February 2019. </w:t>
      </w:r>
      <w:r w:rsidRPr="00B16395">
        <w:rPr>
          <w:rFonts w:ascii="Times New Roman" w:eastAsia="Calibri" w:hAnsi="Times New Roman" w:cs="Times New Roman"/>
          <w:sz w:val="24"/>
          <w:szCs w:val="24"/>
        </w:rPr>
        <w:t xml:space="preserve">An ethics committee was established for monitoring compliance with the provisions of the new code of ethics for civil servants and state employees of the Institute for the Execution of Criminal Sanctions. </w:t>
      </w:r>
      <w:r w:rsidRPr="00B16395">
        <w:rPr>
          <w:rFonts w:ascii="Times New Roman" w:eastAsia="Times New Roman" w:hAnsi="Times New Roman" w:cs="Times New Roman"/>
          <w:sz w:val="24"/>
          <w:szCs w:val="24"/>
        </w:rPr>
        <w:t xml:space="preserve">Some improvements were made to nutrition and health-care services, family visits, human resources development and the working environment. </w:t>
      </w:r>
      <w:r>
        <w:rPr>
          <w:rFonts w:ascii="Times New Roman" w:eastAsia="Times New Roman" w:hAnsi="Times New Roman" w:cs="Times New Roman"/>
          <w:sz w:val="24"/>
          <w:szCs w:val="24"/>
        </w:rPr>
        <w:t>T</w:t>
      </w:r>
      <w:r w:rsidRPr="00B16395">
        <w:rPr>
          <w:rFonts w:ascii="Times New Roman" w:eastAsia="Times New Roman" w:hAnsi="Times New Roman" w:cs="Times New Roman"/>
          <w:sz w:val="24"/>
          <w:szCs w:val="24"/>
        </w:rPr>
        <w:t>he material conditions of detention remain poor</w:t>
      </w:r>
      <w:r>
        <w:rPr>
          <w:rFonts w:ascii="Times New Roman" w:eastAsia="Times New Roman" w:hAnsi="Times New Roman" w:cs="Times New Roman"/>
          <w:sz w:val="24"/>
          <w:szCs w:val="24"/>
        </w:rPr>
        <w:t xml:space="preserve"> overall</w:t>
      </w:r>
      <w:r w:rsidRPr="00B16395">
        <w:rPr>
          <w:rFonts w:ascii="Times New Roman" w:eastAsia="Times New Roman" w:hAnsi="Times New Roman" w:cs="Times New Roman"/>
          <w:sz w:val="24"/>
          <w:szCs w:val="24"/>
        </w:rPr>
        <w:t xml:space="preserve"> and serious challenges in this respect were further exposed in the context of the </w:t>
      </w:r>
      <w:r w:rsidR="00F474A7">
        <w:rPr>
          <w:rFonts w:ascii="Times New Roman" w:eastAsia="Times New Roman" w:hAnsi="Times New Roman" w:cs="Times New Roman"/>
          <w:sz w:val="24"/>
          <w:szCs w:val="24"/>
        </w:rPr>
        <w:t>COVID</w:t>
      </w:r>
      <w:r w:rsidR="0077585A">
        <w:rPr>
          <w:rFonts w:ascii="Times New Roman" w:eastAsia="Times New Roman" w:hAnsi="Times New Roman" w:cs="Times New Roman"/>
          <w:sz w:val="24"/>
          <w:szCs w:val="24"/>
        </w:rPr>
        <w:t>-</w:t>
      </w:r>
      <w:r w:rsidRPr="00B16395">
        <w:rPr>
          <w:rFonts w:ascii="Times New Roman" w:eastAsia="Times New Roman" w:hAnsi="Times New Roman" w:cs="Times New Roman"/>
          <w:sz w:val="24"/>
          <w:szCs w:val="24"/>
        </w:rPr>
        <w:t xml:space="preserve">19 </w:t>
      </w:r>
      <w:r>
        <w:rPr>
          <w:rFonts w:ascii="Times New Roman" w:eastAsia="Times New Roman" w:hAnsi="Times New Roman" w:cs="Times New Roman"/>
          <w:sz w:val="24"/>
          <w:szCs w:val="24"/>
        </w:rPr>
        <w:t>outbreak.</w:t>
      </w:r>
      <w:r w:rsidRPr="00B16395">
        <w:rPr>
          <w:rFonts w:ascii="Times New Roman" w:eastAsia="Times New Roman" w:hAnsi="Times New Roman" w:cs="Times New Roman"/>
          <w:sz w:val="24"/>
          <w:szCs w:val="24"/>
        </w:rPr>
        <w:t xml:space="preserve"> Prison extensions and additional penitentiary building plans are currently under preparation. The EU-funded technical assistance for the construction of a new prison facility in Mojkovac started in November 2019. </w:t>
      </w:r>
      <w:r>
        <w:rPr>
          <w:rFonts w:ascii="Times New Roman" w:eastAsia="Times New Roman" w:hAnsi="Times New Roman" w:cs="Times New Roman"/>
          <w:sz w:val="24"/>
          <w:szCs w:val="24"/>
        </w:rPr>
        <w:t>C</w:t>
      </w:r>
      <w:r w:rsidRPr="00B16395">
        <w:rPr>
          <w:rFonts w:ascii="Times New Roman" w:eastAsia="Times New Roman" w:hAnsi="Times New Roman" w:cs="Times New Roman"/>
          <w:sz w:val="24"/>
          <w:szCs w:val="24"/>
        </w:rPr>
        <w:t xml:space="preserve">ooperation with civil society continued regarding prisoners with special needs, prevention of recidivism and social reintegration and personal/professional development. Full accessibility for persons with disabilities in prison is yet to be addressed. </w:t>
      </w:r>
      <w:r w:rsidRPr="00B16395">
        <w:rPr>
          <w:rFonts w:ascii="Times New Roman" w:eastAsia="Calibri" w:hAnsi="Times New Roman" w:cs="Times New Roman"/>
          <w:sz w:val="24"/>
          <w:szCs w:val="24"/>
        </w:rPr>
        <w:t xml:space="preserve"> </w:t>
      </w:r>
    </w:p>
    <w:p w14:paraId="3B487B98" w14:textId="3320768F" w:rsidR="00995366" w:rsidRPr="00B16395" w:rsidRDefault="00995366" w:rsidP="00995366">
      <w:pPr>
        <w:spacing w:line="240" w:lineRule="auto"/>
        <w:jc w:val="both"/>
        <w:rPr>
          <w:rFonts w:ascii="Times New Roman" w:eastAsia="Times New Roman" w:hAnsi="Times New Roman" w:cs="Times New Roman"/>
          <w:b/>
          <w:sz w:val="24"/>
          <w:szCs w:val="24"/>
        </w:rPr>
      </w:pPr>
      <w:r w:rsidRPr="00B16395">
        <w:rPr>
          <w:rFonts w:ascii="Times New Roman" w:eastAsia="Times New Roman" w:hAnsi="Times New Roman" w:cs="Times New Roman"/>
          <w:sz w:val="24"/>
          <w:szCs w:val="24"/>
        </w:rPr>
        <w:t xml:space="preserve">On </w:t>
      </w:r>
      <w:r w:rsidRPr="00B16395">
        <w:rPr>
          <w:rFonts w:ascii="Times New Roman" w:eastAsia="Times New Roman" w:hAnsi="Times New Roman" w:cs="Times New Roman"/>
          <w:b/>
          <w:sz w:val="24"/>
          <w:szCs w:val="24"/>
        </w:rPr>
        <w:t>protection of personal data</w:t>
      </w:r>
      <w:r w:rsidRPr="00B163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B16395">
        <w:rPr>
          <w:rFonts w:ascii="Times New Roman" w:eastAsia="Times New Roman" w:hAnsi="Times New Roman" w:cs="Times New Roman"/>
          <w:sz w:val="24"/>
          <w:szCs w:val="24"/>
        </w:rPr>
        <w:t xml:space="preserve"> new law on protection of personal data is in preparation with the aim of aligning it with the </w:t>
      </w:r>
      <w:r w:rsidR="00687AD9">
        <w:rPr>
          <w:rFonts w:ascii="Times New Roman" w:eastAsia="Times New Roman" w:hAnsi="Times New Roman" w:cs="Times New Roman"/>
          <w:sz w:val="24"/>
          <w:szCs w:val="24"/>
        </w:rPr>
        <w:t xml:space="preserve">Regulation (EU) </w:t>
      </w:r>
      <w:r w:rsidRPr="00B16395">
        <w:rPr>
          <w:rFonts w:ascii="Times New Roman" w:eastAsia="Times New Roman" w:hAnsi="Times New Roman" w:cs="Times New Roman"/>
          <w:sz w:val="24"/>
          <w:szCs w:val="24"/>
        </w:rPr>
        <w:t>2016</w:t>
      </w:r>
      <w:r w:rsidR="00687AD9">
        <w:rPr>
          <w:rFonts w:ascii="Times New Roman" w:eastAsia="Times New Roman" w:hAnsi="Times New Roman" w:cs="Times New Roman"/>
          <w:sz w:val="24"/>
          <w:szCs w:val="24"/>
        </w:rPr>
        <w:t>/679 (</w:t>
      </w:r>
      <w:r w:rsidRPr="00B16395">
        <w:rPr>
          <w:rFonts w:ascii="Times New Roman" w:eastAsia="Times New Roman" w:hAnsi="Times New Roman" w:cs="Times New Roman"/>
          <w:sz w:val="24"/>
          <w:szCs w:val="24"/>
        </w:rPr>
        <w:t>General Data Protection Regulation</w:t>
      </w:r>
      <w:r w:rsidR="00687AD9">
        <w:rPr>
          <w:rFonts w:ascii="Times New Roman" w:eastAsia="Times New Roman" w:hAnsi="Times New Roman" w:cs="Times New Roman"/>
          <w:sz w:val="24"/>
          <w:szCs w:val="24"/>
        </w:rPr>
        <w:t>)</w:t>
      </w:r>
      <w:r w:rsidRPr="00B16395">
        <w:rPr>
          <w:rFonts w:ascii="Times New Roman" w:eastAsia="Times New Roman" w:hAnsi="Times New Roman" w:cs="Times New Roman"/>
          <w:sz w:val="24"/>
          <w:szCs w:val="24"/>
        </w:rPr>
        <w:t xml:space="preserve"> and the Directive</w:t>
      </w:r>
      <w:r w:rsidR="00687AD9">
        <w:rPr>
          <w:rFonts w:ascii="Times New Roman" w:eastAsia="Times New Roman" w:hAnsi="Times New Roman" w:cs="Times New Roman"/>
          <w:sz w:val="24"/>
          <w:szCs w:val="24"/>
        </w:rPr>
        <w:t xml:space="preserve"> (EU) 2016/680</w:t>
      </w:r>
      <w:r w:rsidRPr="00B16395">
        <w:rPr>
          <w:rFonts w:ascii="Times New Roman" w:eastAsia="Times New Roman" w:hAnsi="Times New Roman" w:cs="Times New Roman"/>
          <w:sz w:val="24"/>
          <w:szCs w:val="24"/>
        </w:rPr>
        <w:t xml:space="preserve"> on the processing of personal data for authorities responsible for preventing, investigating, detecting and prosecuting crimes</w:t>
      </w:r>
      <w:r w:rsidRPr="00B16395">
        <w:rPr>
          <w:rFonts w:ascii="Arial" w:hAnsi="Arial" w:cs="Arial"/>
          <w:color w:val="666666"/>
          <w:sz w:val="20"/>
          <w:szCs w:val="20"/>
        </w:rPr>
        <w:t>.</w:t>
      </w:r>
      <w:r w:rsidRPr="00B16395">
        <w:rPr>
          <w:rFonts w:ascii="Times New Roman" w:eastAsia="Times New Roman" w:hAnsi="Times New Roman" w:cs="Times New Roman"/>
          <w:sz w:val="24"/>
          <w:szCs w:val="24"/>
        </w:rPr>
        <w:t xml:space="preserve"> Activities to increase the capacity of the Agency for Personal Data Protection and Free Access to Information have continued but its overall capacity remains limited. The </w:t>
      </w:r>
      <w:r w:rsidR="008E399E">
        <w:rPr>
          <w:rFonts w:ascii="Times New Roman" w:eastAsia="Times New Roman" w:hAnsi="Times New Roman" w:cs="Times New Roman"/>
          <w:sz w:val="24"/>
          <w:szCs w:val="24"/>
        </w:rPr>
        <w:t>COVID</w:t>
      </w:r>
      <w:r w:rsidR="0077585A">
        <w:rPr>
          <w:rFonts w:ascii="Times New Roman" w:eastAsia="Times New Roman" w:hAnsi="Times New Roman" w:cs="Times New Roman"/>
          <w:sz w:val="24"/>
          <w:szCs w:val="24"/>
        </w:rPr>
        <w:t>-</w:t>
      </w:r>
      <w:r w:rsidRPr="00B16395">
        <w:rPr>
          <w:rFonts w:ascii="Times New Roman" w:eastAsia="Times New Roman" w:hAnsi="Times New Roman" w:cs="Times New Roman"/>
          <w:sz w:val="24"/>
          <w:szCs w:val="24"/>
        </w:rPr>
        <w:t>19 crisis exposed the challenges</w:t>
      </w:r>
      <w:r>
        <w:rPr>
          <w:rFonts w:ascii="Times New Roman" w:eastAsia="Times New Roman" w:hAnsi="Times New Roman" w:cs="Times New Roman"/>
          <w:sz w:val="24"/>
          <w:szCs w:val="24"/>
        </w:rPr>
        <w:t xml:space="preserve"> in this area</w:t>
      </w:r>
      <w:r w:rsidRPr="00B16395">
        <w:rPr>
          <w:rFonts w:ascii="Times New Roman" w:eastAsia="Times New Roman" w:hAnsi="Times New Roman" w:cs="Times New Roman"/>
          <w:sz w:val="24"/>
          <w:szCs w:val="24"/>
        </w:rPr>
        <w:t xml:space="preserve"> with</w:t>
      </w:r>
      <w:r>
        <w:rPr>
          <w:rFonts w:ascii="Times New Roman" w:eastAsia="Times New Roman" w:hAnsi="Times New Roman" w:cs="Times New Roman"/>
          <w:sz w:val="24"/>
          <w:szCs w:val="24"/>
        </w:rPr>
        <w:t xml:space="preserve"> regard to</w:t>
      </w:r>
      <w:r w:rsidRPr="00B16395">
        <w:rPr>
          <w:rFonts w:ascii="Times New Roman" w:eastAsia="Times New Roman" w:hAnsi="Times New Roman" w:cs="Times New Roman"/>
          <w:sz w:val="24"/>
          <w:szCs w:val="24"/>
        </w:rPr>
        <w:t xml:space="preserve"> finding the right balance between </w:t>
      </w:r>
      <w:r w:rsidR="008E399E">
        <w:rPr>
          <w:rFonts w:ascii="Times New Roman" w:eastAsia="Times New Roman" w:hAnsi="Times New Roman" w:cs="Times New Roman"/>
          <w:sz w:val="24"/>
          <w:szCs w:val="24"/>
        </w:rPr>
        <w:t xml:space="preserve">the </w:t>
      </w:r>
      <w:r w:rsidRPr="00B16395">
        <w:rPr>
          <w:rFonts w:ascii="Times New Roman" w:eastAsia="Times New Roman" w:hAnsi="Times New Roman" w:cs="Times New Roman"/>
          <w:sz w:val="24"/>
          <w:szCs w:val="24"/>
        </w:rPr>
        <w:t>protection of health and respecting the confidentiality of personal health data and the right to private life of citizens. A list of all persons subject to</w:t>
      </w:r>
      <w:r w:rsidR="00B10615">
        <w:rPr>
          <w:rFonts w:ascii="Times New Roman" w:eastAsia="Times New Roman" w:hAnsi="Times New Roman" w:cs="Times New Roman"/>
          <w:sz w:val="24"/>
          <w:szCs w:val="24"/>
        </w:rPr>
        <w:t xml:space="preserve"> </w:t>
      </w:r>
      <w:r w:rsidRPr="00B16395">
        <w:rPr>
          <w:rFonts w:ascii="Times New Roman" w:eastAsia="Times New Roman" w:hAnsi="Times New Roman" w:cs="Times New Roman"/>
          <w:sz w:val="24"/>
          <w:szCs w:val="24"/>
        </w:rPr>
        <w:t>self-isolation</w:t>
      </w:r>
      <w:r w:rsidR="0077585A">
        <w:rPr>
          <w:rFonts w:ascii="Times New Roman" w:eastAsia="Times New Roman" w:hAnsi="Times New Roman" w:cs="Times New Roman"/>
          <w:sz w:val="24"/>
          <w:szCs w:val="24"/>
        </w:rPr>
        <w:t xml:space="preserve"> measures</w:t>
      </w:r>
      <w:r w:rsidRPr="00B16395">
        <w:rPr>
          <w:rFonts w:ascii="Times New Roman" w:eastAsia="Times New Roman" w:hAnsi="Times New Roman" w:cs="Times New Roman"/>
          <w:sz w:val="24"/>
          <w:szCs w:val="24"/>
        </w:rPr>
        <w:t xml:space="preserve"> was published which was subsequently used by a private individual to create an app allowing users to locate those in self-isolation. In April 2020, a list </w:t>
      </w:r>
      <w:r w:rsidR="00F474A7">
        <w:rPr>
          <w:rFonts w:ascii="Times New Roman" w:eastAsia="Times New Roman" w:hAnsi="Times New Roman" w:cs="Times New Roman"/>
          <w:sz w:val="24"/>
          <w:szCs w:val="24"/>
        </w:rPr>
        <w:t>concerning</w:t>
      </w:r>
      <w:r w:rsidR="00F474A7" w:rsidRPr="00B16395">
        <w:rPr>
          <w:rFonts w:ascii="Times New Roman" w:eastAsia="Times New Roman" w:hAnsi="Times New Roman" w:cs="Times New Roman"/>
          <w:sz w:val="24"/>
          <w:szCs w:val="24"/>
        </w:rPr>
        <w:t xml:space="preserve"> </w:t>
      </w:r>
      <w:r w:rsidRPr="00B16395">
        <w:rPr>
          <w:rFonts w:ascii="Times New Roman" w:eastAsia="Times New Roman" w:hAnsi="Times New Roman" w:cs="Times New Roman"/>
          <w:sz w:val="24"/>
          <w:szCs w:val="24"/>
        </w:rPr>
        <w:t>more than 60 persons infected with the virus</w:t>
      </w:r>
      <w:r w:rsidR="00F474A7">
        <w:rPr>
          <w:rFonts w:ascii="Times New Roman" w:eastAsia="Times New Roman" w:hAnsi="Times New Roman" w:cs="Times New Roman"/>
          <w:sz w:val="24"/>
          <w:szCs w:val="24"/>
        </w:rPr>
        <w:t xml:space="preserve"> was leaked</w:t>
      </w:r>
      <w:r w:rsidRPr="00B16395">
        <w:rPr>
          <w:rFonts w:ascii="Times New Roman" w:eastAsia="Times New Roman" w:hAnsi="Times New Roman" w:cs="Times New Roman"/>
          <w:sz w:val="24"/>
          <w:szCs w:val="24"/>
        </w:rPr>
        <w:t xml:space="preserve">, containing their names, birth data and ID numbers. </w:t>
      </w:r>
      <w:r w:rsidR="0077585A">
        <w:rPr>
          <w:rFonts w:ascii="Times New Roman" w:eastAsia="Times New Roman" w:hAnsi="Times New Roman" w:cs="Times New Roman"/>
          <w:sz w:val="24"/>
          <w:szCs w:val="24"/>
        </w:rPr>
        <w:t>A c</w:t>
      </w:r>
      <w:r w:rsidRPr="00B16395">
        <w:rPr>
          <w:rFonts w:ascii="Times New Roman" w:eastAsia="Times New Roman" w:hAnsi="Times New Roman" w:cs="Times New Roman"/>
          <w:sz w:val="24"/>
          <w:szCs w:val="24"/>
        </w:rPr>
        <w:t xml:space="preserve">riminal investigation is currently underway. </w:t>
      </w:r>
    </w:p>
    <w:p w14:paraId="66BA529A" w14:textId="1C786184" w:rsidR="00995366" w:rsidRPr="00B90B24" w:rsidRDefault="00995366" w:rsidP="00995366">
      <w:pPr>
        <w:autoSpaceDE w:val="0"/>
        <w:autoSpaceDN w:val="0"/>
        <w:adjustRightInd w:val="0"/>
        <w:spacing w:after="120" w:line="240" w:lineRule="auto"/>
        <w:jc w:val="both"/>
        <w:rPr>
          <w:rFonts w:ascii="Times New Roman" w:eastAsia="Times New Roman" w:hAnsi="Times New Roman" w:cs="Times New Roman"/>
          <w:sz w:val="24"/>
          <w:szCs w:val="24"/>
        </w:rPr>
      </w:pPr>
      <w:r w:rsidRPr="00B16395">
        <w:rPr>
          <w:rFonts w:ascii="Times New Roman" w:eastAsia="Times New Roman" w:hAnsi="Times New Roman" w:cs="Times New Roman"/>
          <w:sz w:val="24"/>
          <w:szCs w:val="24"/>
        </w:rPr>
        <w:t xml:space="preserve">In the area of </w:t>
      </w:r>
      <w:r w:rsidRPr="00B16395">
        <w:rPr>
          <w:rFonts w:ascii="Times New Roman" w:eastAsia="Times New Roman" w:hAnsi="Times New Roman" w:cs="Times New Roman"/>
          <w:b/>
          <w:sz w:val="24"/>
          <w:szCs w:val="24"/>
        </w:rPr>
        <w:t>freedom of thought, conscience and religion</w:t>
      </w:r>
      <w:r w:rsidRPr="00B16395">
        <w:rPr>
          <w:rFonts w:ascii="Times New Roman" w:eastAsia="Times New Roman" w:hAnsi="Times New Roman" w:cs="Times New Roman"/>
          <w:sz w:val="24"/>
          <w:szCs w:val="24"/>
        </w:rPr>
        <w:t xml:space="preserve">, in December 2019 Parliament enacted the law on the freedom of religion or belief in order to regulate, among other things, the legal status of religious communities, their property and property rights over religious sites. The law declares state property rights over religious buildings and land built or obtained </w:t>
      </w:r>
      <w:r w:rsidRPr="00B16395">
        <w:rPr>
          <w:rFonts w:ascii="Times New Roman" w:eastAsia="Times New Roman" w:hAnsi="Times New Roman" w:cs="Times New Roman"/>
          <w:sz w:val="24"/>
          <w:szCs w:val="24"/>
        </w:rPr>
        <w:lastRenderedPageBreak/>
        <w:t>from state revenues, or which were owned by the state until 1 December 1918 and for which there is no evidence of ownership by the religious community. Large</w:t>
      </w:r>
      <w:r w:rsidR="00F474A7">
        <w:rPr>
          <w:rFonts w:ascii="Times New Roman" w:eastAsia="Times New Roman" w:hAnsi="Times New Roman" w:cs="Times New Roman"/>
          <w:sz w:val="24"/>
          <w:szCs w:val="24"/>
        </w:rPr>
        <w:t>-</w:t>
      </w:r>
      <w:r w:rsidRPr="00B16395">
        <w:rPr>
          <w:rFonts w:ascii="Times New Roman" w:eastAsia="Times New Roman" w:hAnsi="Times New Roman" w:cs="Times New Roman"/>
          <w:sz w:val="24"/>
          <w:szCs w:val="24"/>
        </w:rPr>
        <w:t xml:space="preserve">scale religious rallies in support of the Serbian Orthodox Church and protests subsequently followed, but were </w:t>
      </w:r>
      <w:r w:rsidR="00F474A7">
        <w:rPr>
          <w:rFonts w:ascii="Times New Roman" w:eastAsia="Times New Roman" w:hAnsi="Times New Roman" w:cs="Times New Roman"/>
          <w:sz w:val="24"/>
          <w:szCs w:val="24"/>
        </w:rPr>
        <w:t>halted by the Church</w:t>
      </w:r>
      <w:r w:rsidR="00F474A7" w:rsidRPr="00B16395">
        <w:rPr>
          <w:rFonts w:ascii="Times New Roman" w:eastAsia="Times New Roman" w:hAnsi="Times New Roman" w:cs="Times New Roman"/>
          <w:sz w:val="24"/>
          <w:szCs w:val="24"/>
        </w:rPr>
        <w:t xml:space="preserve"> </w:t>
      </w:r>
      <w:r w:rsidRPr="00B16395">
        <w:rPr>
          <w:rFonts w:ascii="Times New Roman" w:eastAsia="Times New Roman" w:hAnsi="Times New Roman" w:cs="Times New Roman"/>
          <w:sz w:val="24"/>
          <w:szCs w:val="24"/>
        </w:rPr>
        <w:t xml:space="preserve">due to </w:t>
      </w:r>
      <w:r w:rsidR="008E399E">
        <w:rPr>
          <w:rFonts w:ascii="Times New Roman" w:eastAsia="Times New Roman" w:hAnsi="Times New Roman" w:cs="Times New Roman"/>
          <w:sz w:val="24"/>
          <w:szCs w:val="24"/>
        </w:rPr>
        <w:t>the COVID</w:t>
      </w:r>
      <w:r w:rsidR="0077585A">
        <w:rPr>
          <w:rFonts w:ascii="Times New Roman" w:eastAsia="Times New Roman" w:hAnsi="Times New Roman" w:cs="Times New Roman"/>
          <w:sz w:val="24"/>
          <w:szCs w:val="24"/>
        </w:rPr>
        <w:t>-</w:t>
      </w:r>
      <w:r w:rsidRPr="00B16395">
        <w:rPr>
          <w:rFonts w:ascii="Times New Roman" w:eastAsia="Times New Roman" w:hAnsi="Times New Roman" w:cs="Times New Roman"/>
          <w:sz w:val="24"/>
          <w:szCs w:val="24"/>
        </w:rPr>
        <w:t xml:space="preserve">19 crisis. In February 2020, the government </w:t>
      </w:r>
      <w:r>
        <w:rPr>
          <w:rFonts w:ascii="Times New Roman" w:eastAsia="Times New Roman" w:hAnsi="Times New Roman" w:cs="Times New Roman"/>
          <w:sz w:val="24"/>
          <w:szCs w:val="24"/>
        </w:rPr>
        <w:t>re-</w:t>
      </w:r>
      <w:r w:rsidRPr="00B16395">
        <w:rPr>
          <w:rFonts w:ascii="Times New Roman" w:eastAsia="Times New Roman" w:hAnsi="Times New Roman" w:cs="Times New Roman"/>
          <w:sz w:val="24"/>
          <w:szCs w:val="24"/>
        </w:rPr>
        <w:t>initiated a dialogue between legal experts and the Serbian Orthodox Church, which considers itself heavily impacted by the law.</w:t>
      </w:r>
      <w:r>
        <w:rPr>
          <w:rFonts w:ascii="Times New Roman" w:eastAsia="Times New Roman" w:hAnsi="Times New Roman" w:cs="Times New Roman"/>
          <w:sz w:val="24"/>
          <w:szCs w:val="24"/>
        </w:rPr>
        <w:t xml:space="preserve"> </w:t>
      </w:r>
      <w:r w:rsidRPr="001144F2">
        <w:rPr>
          <w:rFonts w:ascii="Times New Roman" w:eastAsia="Times New Roman" w:hAnsi="Times New Roman" w:cs="Times New Roman"/>
          <w:sz w:val="24"/>
          <w:szCs w:val="24"/>
        </w:rPr>
        <w:t xml:space="preserve">In </w:t>
      </w:r>
      <w:r w:rsidR="00F474A7">
        <w:rPr>
          <w:rFonts w:ascii="Times New Roman" w:eastAsia="Times New Roman" w:hAnsi="Times New Roman" w:cs="Times New Roman"/>
          <w:sz w:val="24"/>
          <w:szCs w:val="24"/>
        </w:rPr>
        <w:t>mid-</w:t>
      </w:r>
      <w:r w:rsidRPr="001144F2">
        <w:rPr>
          <w:rFonts w:ascii="Times New Roman" w:eastAsia="Times New Roman" w:hAnsi="Times New Roman" w:cs="Times New Roman"/>
          <w:sz w:val="24"/>
          <w:szCs w:val="24"/>
        </w:rPr>
        <w:t>May 2020</w:t>
      </w:r>
      <w:r w:rsidR="0077585A">
        <w:rPr>
          <w:rFonts w:ascii="Times New Roman" w:eastAsia="Times New Roman" w:hAnsi="Times New Roman" w:cs="Times New Roman"/>
          <w:sz w:val="24"/>
          <w:szCs w:val="24"/>
        </w:rPr>
        <w:t>,</w:t>
      </w:r>
      <w:r w:rsidRPr="001144F2">
        <w:rPr>
          <w:rFonts w:ascii="Times New Roman" w:eastAsia="Times New Roman" w:hAnsi="Times New Roman" w:cs="Times New Roman"/>
          <w:sz w:val="24"/>
          <w:szCs w:val="24"/>
        </w:rPr>
        <w:t xml:space="preserve"> </w:t>
      </w:r>
      <w:r w:rsidR="00F474A7">
        <w:rPr>
          <w:rFonts w:ascii="Times New Roman" w:eastAsia="Times New Roman" w:hAnsi="Times New Roman" w:cs="Times New Roman"/>
          <w:sz w:val="24"/>
          <w:szCs w:val="24"/>
        </w:rPr>
        <w:t xml:space="preserve">just before easing of the ban on public gatherings, </w:t>
      </w:r>
      <w:r>
        <w:rPr>
          <w:rFonts w:ascii="Times New Roman" w:eastAsia="Times New Roman" w:hAnsi="Times New Roman" w:cs="Times New Roman"/>
          <w:sz w:val="24"/>
          <w:szCs w:val="24"/>
        </w:rPr>
        <w:t xml:space="preserve">the </w:t>
      </w:r>
      <w:r w:rsidRPr="001144F2">
        <w:rPr>
          <w:rFonts w:ascii="Times New Roman" w:eastAsia="Times New Roman" w:hAnsi="Times New Roman" w:cs="Times New Roman"/>
          <w:sz w:val="24"/>
          <w:szCs w:val="24"/>
        </w:rPr>
        <w:t>authorities arrest</w:t>
      </w:r>
      <w:r>
        <w:rPr>
          <w:rFonts w:ascii="Times New Roman" w:eastAsia="Times New Roman" w:hAnsi="Times New Roman" w:cs="Times New Roman"/>
          <w:sz w:val="24"/>
          <w:szCs w:val="24"/>
        </w:rPr>
        <w:t>ed</w:t>
      </w:r>
      <w:r w:rsidRPr="001144F2">
        <w:rPr>
          <w:rFonts w:ascii="Times New Roman" w:eastAsia="Times New Roman" w:hAnsi="Times New Roman" w:cs="Times New Roman"/>
          <w:sz w:val="24"/>
          <w:szCs w:val="24"/>
        </w:rPr>
        <w:t xml:space="preserve"> and det</w:t>
      </w:r>
      <w:r>
        <w:rPr>
          <w:rFonts w:ascii="Times New Roman" w:eastAsia="Times New Roman" w:hAnsi="Times New Roman" w:cs="Times New Roman"/>
          <w:sz w:val="24"/>
          <w:szCs w:val="24"/>
        </w:rPr>
        <w:t>ained</w:t>
      </w:r>
      <w:r w:rsidR="007758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one of the </w:t>
      </w:r>
      <w:r w:rsidRPr="001144F2">
        <w:rPr>
          <w:rFonts w:ascii="Times New Roman" w:eastAsia="Times New Roman" w:hAnsi="Times New Roman" w:cs="Times New Roman"/>
          <w:sz w:val="24"/>
          <w:szCs w:val="24"/>
        </w:rPr>
        <w:t xml:space="preserve">Church’s </w:t>
      </w:r>
      <w:r w:rsidR="00F474A7">
        <w:rPr>
          <w:rFonts w:ascii="Times New Roman" w:eastAsia="Times New Roman" w:hAnsi="Times New Roman" w:cs="Times New Roman"/>
          <w:sz w:val="24"/>
          <w:szCs w:val="24"/>
        </w:rPr>
        <w:t>B</w:t>
      </w:r>
      <w:r w:rsidR="00F474A7" w:rsidRPr="001144F2">
        <w:rPr>
          <w:rFonts w:ascii="Times New Roman" w:eastAsia="Times New Roman" w:hAnsi="Times New Roman" w:cs="Times New Roman"/>
          <w:sz w:val="24"/>
          <w:szCs w:val="24"/>
        </w:rPr>
        <w:t>ishop</w:t>
      </w:r>
      <w:r w:rsidR="00F474A7">
        <w:rPr>
          <w:rFonts w:ascii="Times New Roman" w:eastAsia="Times New Roman" w:hAnsi="Times New Roman" w:cs="Times New Roman"/>
          <w:sz w:val="24"/>
          <w:szCs w:val="24"/>
        </w:rPr>
        <w:t>s</w:t>
      </w:r>
      <w:r w:rsidR="00F474A7" w:rsidRPr="001144F2">
        <w:rPr>
          <w:rFonts w:ascii="Times New Roman" w:eastAsia="Times New Roman" w:hAnsi="Times New Roman" w:cs="Times New Roman"/>
          <w:sz w:val="24"/>
          <w:szCs w:val="24"/>
        </w:rPr>
        <w:t xml:space="preserve"> </w:t>
      </w:r>
      <w:r w:rsidRPr="001144F2">
        <w:rPr>
          <w:rFonts w:ascii="Times New Roman" w:eastAsia="Times New Roman" w:hAnsi="Times New Roman" w:cs="Times New Roman"/>
          <w:sz w:val="24"/>
          <w:szCs w:val="24"/>
        </w:rPr>
        <w:t xml:space="preserve">and </w:t>
      </w:r>
      <w:r w:rsidR="00F474A7">
        <w:rPr>
          <w:rFonts w:ascii="Times New Roman" w:eastAsia="Times New Roman" w:hAnsi="Times New Roman" w:cs="Times New Roman"/>
          <w:sz w:val="24"/>
          <w:szCs w:val="24"/>
        </w:rPr>
        <w:t xml:space="preserve">eights of </w:t>
      </w:r>
      <w:r w:rsidRPr="001144F2">
        <w:rPr>
          <w:rFonts w:ascii="Times New Roman" w:eastAsia="Times New Roman" w:hAnsi="Times New Roman" w:cs="Times New Roman"/>
          <w:sz w:val="24"/>
          <w:szCs w:val="24"/>
        </w:rPr>
        <w:t xml:space="preserve">its priests for disobeying the </w:t>
      </w:r>
      <w:r w:rsidR="008E399E">
        <w:rPr>
          <w:rFonts w:ascii="Times New Roman" w:eastAsia="Times New Roman" w:hAnsi="Times New Roman" w:cs="Times New Roman"/>
          <w:sz w:val="24"/>
          <w:szCs w:val="24"/>
        </w:rPr>
        <w:t>COVID</w:t>
      </w:r>
      <w:r w:rsidR="0077585A">
        <w:rPr>
          <w:rFonts w:ascii="Times New Roman" w:eastAsia="Times New Roman" w:hAnsi="Times New Roman" w:cs="Times New Roman"/>
          <w:sz w:val="24"/>
          <w:szCs w:val="24"/>
        </w:rPr>
        <w:t>-</w:t>
      </w:r>
      <w:r w:rsidRPr="001144F2">
        <w:rPr>
          <w:rFonts w:ascii="Times New Roman" w:eastAsia="Times New Roman" w:hAnsi="Times New Roman" w:cs="Times New Roman"/>
          <w:sz w:val="24"/>
          <w:szCs w:val="24"/>
        </w:rPr>
        <w:t xml:space="preserve">19 </w:t>
      </w:r>
      <w:r>
        <w:rPr>
          <w:rFonts w:ascii="Times New Roman" w:eastAsia="Times New Roman" w:hAnsi="Times New Roman" w:cs="Times New Roman"/>
          <w:sz w:val="24"/>
          <w:szCs w:val="24"/>
        </w:rPr>
        <w:t>restrictions on gatherings</w:t>
      </w:r>
      <w:r w:rsidR="0077585A">
        <w:rPr>
          <w:rFonts w:ascii="Times New Roman" w:eastAsia="Times New Roman" w:hAnsi="Times New Roman" w:cs="Times New Roman"/>
          <w:sz w:val="24"/>
          <w:szCs w:val="24"/>
        </w:rPr>
        <w:t xml:space="preserve"> for 72 hours</w:t>
      </w:r>
      <w:r w:rsidRPr="001144F2">
        <w:rPr>
          <w:rFonts w:ascii="Times New Roman" w:eastAsia="Times New Roman" w:hAnsi="Times New Roman" w:cs="Times New Roman"/>
          <w:sz w:val="24"/>
          <w:szCs w:val="24"/>
        </w:rPr>
        <w:t>.</w:t>
      </w:r>
      <w:r w:rsidR="00D8440E">
        <w:rPr>
          <w:rFonts w:ascii="Times New Roman" w:eastAsia="Times New Roman" w:hAnsi="Times New Roman" w:cs="Times New Roman"/>
          <w:sz w:val="24"/>
          <w:szCs w:val="24"/>
        </w:rPr>
        <w:t xml:space="preserve"> </w:t>
      </w:r>
      <w:r w:rsidR="00D8440E" w:rsidRPr="00B450D5">
        <w:rPr>
          <w:rFonts w:ascii="Times New Roman" w:hAnsi="Times New Roman" w:cs="Times New Roman"/>
          <w:color w:val="000000" w:themeColor="text1"/>
          <w:sz w:val="24"/>
          <w:szCs w:val="24"/>
          <w:lang w:bidi="en-US"/>
        </w:rPr>
        <w:t>As of mid-May religious ceremonies can be held with believers if social distancing is respected</w:t>
      </w:r>
      <w:r w:rsidR="00D8440E">
        <w:rPr>
          <w:rFonts w:ascii="Times New Roman" w:hAnsi="Times New Roman" w:cs="Times New Roman"/>
          <w:color w:val="000000" w:themeColor="text1"/>
          <w:sz w:val="24"/>
          <w:szCs w:val="24"/>
          <w:lang w:bidi="en-US"/>
        </w:rPr>
        <w:t>.</w:t>
      </w:r>
    </w:p>
    <w:p w14:paraId="14FFDCBA" w14:textId="399BEABE" w:rsidR="00995366" w:rsidRDefault="00995366" w:rsidP="00995366">
      <w:pPr>
        <w:autoSpaceDE w:val="0"/>
        <w:autoSpaceDN w:val="0"/>
        <w:adjustRightInd w:val="0"/>
        <w:spacing w:after="120" w:line="240" w:lineRule="auto"/>
        <w:jc w:val="both"/>
        <w:rPr>
          <w:rFonts w:ascii="Times New Roman" w:hAnsi="Times New Roman" w:cs="Times New Roman"/>
          <w:color w:val="000000" w:themeColor="text1"/>
          <w:sz w:val="24"/>
          <w:szCs w:val="24"/>
          <w:lang w:bidi="en-US"/>
        </w:rPr>
      </w:pPr>
      <w:r>
        <w:rPr>
          <w:rFonts w:ascii="Times New Roman" w:eastAsia="Times New Roman" w:hAnsi="Times New Roman" w:cs="Times New Roman"/>
          <w:sz w:val="24"/>
          <w:szCs w:val="24"/>
        </w:rPr>
        <w:t xml:space="preserve">In the area of </w:t>
      </w:r>
      <w:r>
        <w:rPr>
          <w:rFonts w:ascii="Times New Roman" w:hAnsi="Times New Roman" w:cs="Times New Roman"/>
          <w:b/>
          <w:color w:val="000000" w:themeColor="text1"/>
          <w:sz w:val="24"/>
          <w:szCs w:val="24"/>
        </w:rPr>
        <w:t>f</w:t>
      </w:r>
      <w:r w:rsidRPr="00B16395">
        <w:rPr>
          <w:rFonts w:ascii="Times New Roman" w:hAnsi="Times New Roman" w:cs="Times New Roman"/>
          <w:b/>
          <w:color w:val="000000" w:themeColor="text1"/>
          <w:sz w:val="24"/>
          <w:szCs w:val="24"/>
        </w:rPr>
        <w:t>reedom of expression</w:t>
      </w:r>
      <w:r>
        <w:rPr>
          <w:rFonts w:ascii="Times New Roman" w:hAnsi="Times New Roman" w:cs="Times New Roman"/>
          <w:color w:val="000000" w:themeColor="text1"/>
          <w:sz w:val="24"/>
          <w:szCs w:val="24"/>
        </w:rPr>
        <w:t xml:space="preserve">, </w:t>
      </w:r>
      <w:r w:rsidR="007D49CA">
        <w:rPr>
          <w:rFonts w:ascii="Times New Roman" w:hAnsi="Times New Roman" w:cs="Times New Roman"/>
          <w:color w:val="000000" w:themeColor="text1"/>
          <w:sz w:val="24"/>
          <w:szCs w:val="24"/>
        </w:rPr>
        <w:t>f</w:t>
      </w:r>
      <w:r w:rsidRPr="00B16395">
        <w:rPr>
          <w:rFonts w:ascii="Times New Roman" w:hAnsi="Times New Roman" w:cs="Times New Roman"/>
          <w:color w:val="000000" w:themeColor="text1"/>
          <w:sz w:val="24"/>
          <w:szCs w:val="24"/>
          <w:lang w:bidi="en-US"/>
        </w:rPr>
        <w:t xml:space="preserve">our attacks </w:t>
      </w:r>
      <w:r w:rsidR="007D49CA">
        <w:rPr>
          <w:rFonts w:ascii="Times New Roman" w:hAnsi="Times New Roman" w:cs="Times New Roman"/>
          <w:color w:val="000000" w:themeColor="text1"/>
          <w:sz w:val="24"/>
          <w:szCs w:val="24"/>
          <w:lang w:bidi="en-US"/>
        </w:rPr>
        <w:t xml:space="preserve">against journalist </w:t>
      </w:r>
      <w:r w:rsidRPr="00B16395">
        <w:rPr>
          <w:rFonts w:ascii="Times New Roman" w:hAnsi="Times New Roman" w:cs="Times New Roman"/>
          <w:color w:val="000000" w:themeColor="text1"/>
          <w:sz w:val="24"/>
          <w:szCs w:val="24"/>
          <w:lang w:bidi="en-US"/>
        </w:rPr>
        <w:t>were registered by the authorities in 2019</w:t>
      </w:r>
      <w:r w:rsidRPr="00B16395">
        <w:rPr>
          <w:rFonts w:ascii="Times New Roman" w:hAnsi="Times New Roman" w:cs="Times New Roman"/>
          <w:sz w:val="24"/>
          <w:szCs w:val="24"/>
        </w:rPr>
        <w:t>.</w:t>
      </w:r>
      <w:r w:rsidRPr="00B16395">
        <w:rPr>
          <w:rFonts w:ascii="Times New Roman" w:hAnsi="Times New Roman" w:cs="Times New Roman"/>
          <w:color w:val="000000" w:themeColor="text1"/>
          <w:sz w:val="24"/>
          <w:szCs w:val="24"/>
          <w:lang w:bidi="en-US"/>
        </w:rPr>
        <w:t xml:space="preserve"> In</w:t>
      </w:r>
      <w:r w:rsidR="006F246B">
        <w:rPr>
          <w:rFonts w:ascii="Times New Roman" w:hAnsi="Times New Roman" w:cs="Times New Roman"/>
          <w:color w:val="000000" w:themeColor="text1"/>
          <w:sz w:val="24"/>
          <w:szCs w:val="24"/>
          <w:lang w:bidi="en-US"/>
        </w:rPr>
        <w:t>dictments were lodged in</w:t>
      </w:r>
      <w:r w:rsidRPr="00B16395">
        <w:rPr>
          <w:rFonts w:ascii="Times New Roman" w:hAnsi="Times New Roman" w:cs="Times New Roman"/>
          <w:color w:val="000000" w:themeColor="text1"/>
          <w:sz w:val="24"/>
          <w:szCs w:val="24"/>
          <w:lang w:bidi="en-US"/>
        </w:rPr>
        <w:t xml:space="preserve"> 3 of those cases. Protection was offered to 2 journalists. Further cyber-attacks against media outlets were reported. In spite of initial results in the investigation into the May 2018 serious attack on investigative journalist Olivera </w:t>
      </w:r>
      <w:r w:rsidR="00F474A7" w:rsidRPr="00B16395">
        <w:rPr>
          <w:rFonts w:ascii="Times New Roman" w:hAnsi="Times New Roman" w:cs="Times New Roman"/>
          <w:color w:val="000000" w:themeColor="text1"/>
          <w:sz w:val="24"/>
          <w:szCs w:val="24"/>
          <w:lang w:bidi="en-US"/>
        </w:rPr>
        <w:t>Laki</w:t>
      </w:r>
      <w:r w:rsidR="00F474A7">
        <w:rPr>
          <w:rFonts w:ascii="Times New Roman" w:hAnsi="Times New Roman" w:cs="Times New Roman"/>
          <w:color w:val="000000" w:themeColor="text1"/>
          <w:sz w:val="24"/>
          <w:szCs w:val="24"/>
          <w:lang w:bidi="en-US"/>
        </w:rPr>
        <w:t>ć</w:t>
      </w:r>
      <w:r w:rsidRPr="00B16395">
        <w:rPr>
          <w:rFonts w:ascii="Times New Roman" w:hAnsi="Times New Roman" w:cs="Times New Roman"/>
          <w:color w:val="000000" w:themeColor="text1"/>
          <w:sz w:val="24"/>
          <w:szCs w:val="24"/>
          <w:lang w:bidi="en-US"/>
        </w:rPr>
        <w:t xml:space="preserve">, </w:t>
      </w:r>
      <w:r>
        <w:rPr>
          <w:rFonts w:ascii="Times New Roman" w:hAnsi="Times New Roman" w:cs="Times New Roman"/>
          <w:color w:val="000000" w:themeColor="text1"/>
          <w:sz w:val="24"/>
          <w:szCs w:val="24"/>
          <w:lang w:bidi="en-US"/>
        </w:rPr>
        <w:t>no indictments have been lodged so far</w:t>
      </w:r>
      <w:r w:rsidRPr="00B16395">
        <w:rPr>
          <w:rFonts w:ascii="Times New Roman" w:hAnsi="Times New Roman" w:cs="Times New Roman"/>
          <w:color w:val="000000" w:themeColor="text1"/>
          <w:sz w:val="24"/>
          <w:szCs w:val="24"/>
          <w:lang w:bidi="en-US"/>
        </w:rPr>
        <w:t xml:space="preserve">. </w:t>
      </w:r>
      <w:r w:rsidR="007D49CA">
        <w:rPr>
          <w:rFonts w:ascii="Times New Roman" w:hAnsi="Times New Roman" w:cs="Times New Roman"/>
          <w:color w:val="000000" w:themeColor="text1"/>
          <w:sz w:val="24"/>
          <w:szCs w:val="24"/>
          <w:lang w:bidi="en-US"/>
        </w:rPr>
        <w:t xml:space="preserve">There were no new developments with regard to </w:t>
      </w:r>
      <w:r w:rsidRPr="00B16395">
        <w:rPr>
          <w:rFonts w:ascii="Times New Roman" w:hAnsi="Times New Roman" w:cs="Times New Roman"/>
          <w:color w:val="000000" w:themeColor="text1"/>
          <w:sz w:val="24"/>
          <w:szCs w:val="24"/>
          <w:lang w:bidi="en-US"/>
        </w:rPr>
        <w:t xml:space="preserve">older </w:t>
      </w:r>
      <w:r w:rsidR="007D49CA">
        <w:rPr>
          <w:rFonts w:ascii="Times New Roman" w:hAnsi="Times New Roman" w:cs="Times New Roman"/>
          <w:color w:val="000000" w:themeColor="text1"/>
          <w:sz w:val="24"/>
          <w:szCs w:val="24"/>
          <w:lang w:bidi="en-US"/>
        </w:rPr>
        <w:t xml:space="preserve">serious </w:t>
      </w:r>
      <w:r w:rsidRPr="00B16395">
        <w:rPr>
          <w:rFonts w:ascii="Times New Roman" w:hAnsi="Times New Roman" w:cs="Times New Roman"/>
          <w:color w:val="000000" w:themeColor="text1"/>
          <w:sz w:val="24"/>
          <w:szCs w:val="24"/>
          <w:lang w:bidi="en-US"/>
        </w:rPr>
        <w:t>cases</w:t>
      </w:r>
      <w:r w:rsidR="007D49CA">
        <w:rPr>
          <w:rFonts w:ascii="Times New Roman" w:hAnsi="Times New Roman" w:cs="Times New Roman"/>
          <w:color w:val="000000" w:themeColor="text1"/>
          <w:sz w:val="24"/>
          <w:szCs w:val="24"/>
          <w:lang w:bidi="en-US"/>
        </w:rPr>
        <w:t xml:space="preserve"> of attacks against journalists</w:t>
      </w:r>
      <w:r w:rsidRPr="00B16395">
        <w:rPr>
          <w:rFonts w:ascii="Times New Roman" w:hAnsi="Times New Roman" w:cs="Times New Roman"/>
          <w:color w:val="000000" w:themeColor="text1"/>
          <w:sz w:val="24"/>
          <w:szCs w:val="24"/>
          <w:lang w:bidi="en-US"/>
        </w:rPr>
        <w:t xml:space="preserve">, including the 2004 murder of the editor of </w:t>
      </w:r>
      <w:r w:rsidRPr="00B16395">
        <w:rPr>
          <w:rFonts w:ascii="Times New Roman" w:hAnsi="Times New Roman" w:cs="Times New Roman"/>
          <w:i/>
          <w:color w:val="000000" w:themeColor="text1"/>
          <w:sz w:val="24"/>
          <w:szCs w:val="24"/>
          <w:lang w:bidi="en-US"/>
        </w:rPr>
        <w:t>D</w:t>
      </w:r>
      <w:r>
        <w:rPr>
          <w:rFonts w:ascii="Times New Roman" w:hAnsi="Times New Roman" w:cs="Times New Roman"/>
          <w:i/>
          <w:color w:val="000000" w:themeColor="text1"/>
          <w:sz w:val="24"/>
          <w:szCs w:val="24"/>
          <w:lang w:bidi="en-US"/>
        </w:rPr>
        <w:t>an</w:t>
      </w:r>
      <w:r>
        <w:rPr>
          <w:rFonts w:ascii="Times New Roman" w:hAnsi="Times New Roman" w:cs="Times New Roman"/>
          <w:color w:val="000000" w:themeColor="text1"/>
          <w:sz w:val="24"/>
          <w:szCs w:val="24"/>
          <w:lang w:bidi="en-US"/>
        </w:rPr>
        <w:t>.</w:t>
      </w:r>
      <w:r w:rsidRPr="00B16395">
        <w:rPr>
          <w:rFonts w:ascii="Times New Roman" w:hAnsi="Times New Roman" w:cs="Times New Roman"/>
          <w:color w:val="000000" w:themeColor="text1"/>
          <w:sz w:val="24"/>
          <w:szCs w:val="24"/>
          <w:lang w:bidi="en-US"/>
        </w:rPr>
        <w:t xml:space="preserve"> In April 2020, the Police, however, she</w:t>
      </w:r>
      <w:r>
        <w:rPr>
          <w:rFonts w:ascii="Times New Roman" w:hAnsi="Times New Roman" w:cs="Times New Roman"/>
          <w:color w:val="000000" w:themeColor="text1"/>
          <w:sz w:val="24"/>
          <w:szCs w:val="24"/>
          <w:lang w:bidi="en-US"/>
        </w:rPr>
        <w:t>d</w:t>
      </w:r>
      <w:r w:rsidRPr="00B16395">
        <w:rPr>
          <w:rFonts w:ascii="Times New Roman" w:hAnsi="Times New Roman" w:cs="Times New Roman"/>
          <w:color w:val="000000" w:themeColor="text1"/>
          <w:sz w:val="24"/>
          <w:szCs w:val="24"/>
          <w:lang w:bidi="en-US"/>
        </w:rPr>
        <w:t xml:space="preserve"> light on four cases of attacks on media property from 2011 and 2014, when five vehicles were damaged and destroyed. Two persons – minors at the time of the attacks – were arrested, </w:t>
      </w:r>
      <w:r>
        <w:rPr>
          <w:rFonts w:ascii="Times New Roman" w:hAnsi="Times New Roman" w:cs="Times New Roman"/>
          <w:color w:val="000000" w:themeColor="text1"/>
          <w:sz w:val="24"/>
          <w:szCs w:val="24"/>
          <w:lang w:bidi="en-US"/>
        </w:rPr>
        <w:t>but</w:t>
      </w:r>
      <w:r w:rsidRPr="00B16395">
        <w:rPr>
          <w:rFonts w:ascii="Times New Roman" w:hAnsi="Times New Roman" w:cs="Times New Roman"/>
          <w:color w:val="000000" w:themeColor="text1"/>
          <w:sz w:val="24"/>
          <w:szCs w:val="24"/>
          <w:lang w:bidi="en-US"/>
        </w:rPr>
        <w:t xml:space="preserve"> the organisers of attacks remain unknown. Montenegro’s Police Directorate </w:t>
      </w:r>
      <w:r>
        <w:rPr>
          <w:rFonts w:ascii="Times New Roman" w:hAnsi="Times New Roman" w:cs="Times New Roman"/>
          <w:color w:val="000000" w:themeColor="text1"/>
          <w:sz w:val="24"/>
          <w:szCs w:val="24"/>
          <w:lang w:bidi="en-US"/>
        </w:rPr>
        <w:t>is</w:t>
      </w:r>
      <w:r w:rsidR="0029112D">
        <w:rPr>
          <w:rFonts w:ascii="Times New Roman" w:hAnsi="Times New Roman" w:cs="Times New Roman"/>
          <w:color w:val="000000" w:themeColor="text1"/>
          <w:sz w:val="24"/>
          <w:szCs w:val="24"/>
          <w:lang w:bidi="en-US"/>
        </w:rPr>
        <w:t xml:space="preserve"> the</w:t>
      </w:r>
      <w:r>
        <w:rPr>
          <w:rFonts w:ascii="Times New Roman" w:hAnsi="Times New Roman" w:cs="Times New Roman"/>
          <w:color w:val="000000" w:themeColor="text1"/>
          <w:sz w:val="24"/>
          <w:szCs w:val="24"/>
          <w:lang w:bidi="en-US"/>
        </w:rPr>
        <w:t xml:space="preserve"> first in the region t</w:t>
      </w:r>
      <w:r w:rsidR="0029112D">
        <w:rPr>
          <w:rFonts w:ascii="Times New Roman" w:hAnsi="Times New Roman" w:cs="Times New Roman"/>
          <w:color w:val="000000" w:themeColor="text1"/>
          <w:sz w:val="24"/>
          <w:szCs w:val="24"/>
          <w:lang w:bidi="en-US"/>
        </w:rPr>
        <w:t>o</w:t>
      </w:r>
      <w:r>
        <w:rPr>
          <w:rFonts w:ascii="Times New Roman" w:hAnsi="Times New Roman" w:cs="Times New Roman"/>
          <w:color w:val="000000" w:themeColor="text1"/>
          <w:sz w:val="24"/>
          <w:szCs w:val="24"/>
          <w:lang w:bidi="en-US"/>
        </w:rPr>
        <w:t xml:space="preserve"> commit to</w:t>
      </w:r>
      <w:r w:rsidRPr="00B16395">
        <w:rPr>
          <w:rFonts w:ascii="Times New Roman" w:hAnsi="Times New Roman" w:cs="Times New Roman"/>
          <w:color w:val="000000" w:themeColor="text1"/>
          <w:sz w:val="24"/>
          <w:szCs w:val="24"/>
          <w:lang w:bidi="en-US"/>
        </w:rPr>
        <w:t xml:space="preserve"> capacity building</w:t>
      </w:r>
      <w:r>
        <w:rPr>
          <w:rFonts w:ascii="Times New Roman" w:hAnsi="Times New Roman" w:cs="Times New Roman"/>
          <w:color w:val="000000" w:themeColor="text1"/>
          <w:sz w:val="24"/>
          <w:szCs w:val="24"/>
          <w:lang w:bidi="en-US"/>
        </w:rPr>
        <w:t xml:space="preserve"> activities</w:t>
      </w:r>
      <w:r w:rsidRPr="00B16395">
        <w:rPr>
          <w:rFonts w:ascii="Times New Roman" w:hAnsi="Times New Roman" w:cs="Times New Roman"/>
          <w:color w:val="000000" w:themeColor="text1"/>
          <w:sz w:val="24"/>
          <w:szCs w:val="24"/>
          <w:lang w:bidi="en-US"/>
        </w:rPr>
        <w:t xml:space="preserve"> on safety of journalists under an EU-funded project.</w:t>
      </w:r>
      <w:r>
        <w:rPr>
          <w:rFonts w:ascii="Times New Roman" w:hAnsi="Times New Roman" w:cs="Times New Roman"/>
          <w:color w:val="000000" w:themeColor="text1"/>
          <w:sz w:val="24"/>
          <w:szCs w:val="24"/>
          <w:lang w:bidi="en-US"/>
        </w:rPr>
        <w:t xml:space="preserve"> </w:t>
      </w:r>
    </w:p>
    <w:p w14:paraId="36C38BEF" w14:textId="3DFCD9C3" w:rsidR="00995366" w:rsidRPr="00B16395" w:rsidRDefault="007D49CA" w:rsidP="00995366">
      <w:pPr>
        <w:autoSpaceDE w:val="0"/>
        <w:autoSpaceDN w:val="0"/>
        <w:adjustRightInd w:val="0"/>
        <w:spacing w:after="120" w:line="24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lang w:bidi="en-US"/>
        </w:rPr>
        <w:t>In</w:t>
      </w:r>
      <w:r w:rsidR="00995366" w:rsidRPr="00B16395">
        <w:rPr>
          <w:rFonts w:ascii="Times New Roman" w:hAnsi="Times New Roman" w:cs="Times New Roman"/>
          <w:color w:val="000000" w:themeColor="text1"/>
          <w:sz w:val="24"/>
          <w:szCs w:val="24"/>
          <w:lang w:bidi="en-US"/>
        </w:rPr>
        <w:t xml:space="preserve"> January 2020</w:t>
      </w:r>
      <w:r w:rsidR="006F246B">
        <w:rPr>
          <w:rFonts w:ascii="Times New Roman" w:hAnsi="Times New Roman" w:cs="Times New Roman"/>
          <w:color w:val="000000" w:themeColor="text1"/>
          <w:sz w:val="24"/>
          <w:szCs w:val="24"/>
          <w:lang w:bidi="en-US"/>
        </w:rPr>
        <w:t>, as a measure to fight disinformation,</w:t>
      </w:r>
      <w:r w:rsidR="00995366" w:rsidRPr="00B16395">
        <w:rPr>
          <w:rFonts w:ascii="Times New Roman" w:hAnsi="Times New Roman" w:cs="Times New Roman"/>
          <w:color w:val="000000" w:themeColor="text1"/>
          <w:sz w:val="24"/>
          <w:szCs w:val="24"/>
          <w:lang w:bidi="en-US"/>
        </w:rPr>
        <w:t xml:space="preserve"> </w:t>
      </w:r>
      <w:r>
        <w:rPr>
          <w:rFonts w:ascii="Times New Roman" w:hAnsi="Times New Roman" w:cs="Times New Roman"/>
          <w:color w:val="000000" w:themeColor="text1"/>
          <w:sz w:val="24"/>
          <w:szCs w:val="24"/>
          <w:lang w:bidi="en-US"/>
        </w:rPr>
        <w:t>e</w:t>
      </w:r>
      <w:r w:rsidR="00995366" w:rsidRPr="00B16395">
        <w:rPr>
          <w:rFonts w:ascii="Times New Roman" w:hAnsi="Times New Roman" w:cs="Times New Roman"/>
          <w:color w:val="000000" w:themeColor="text1"/>
          <w:sz w:val="24"/>
          <w:szCs w:val="24"/>
          <w:lang w:bidi="en-US"/>
        </w:rPr>
        <w:t xml:space="preserve">ditors of online portals </w:t>
      </w:r>
      <w:r>
        <w:rPr>
          <w:rFonts w:ascii="Times New Roman" w:hAnsi="Times New Roman" w:cs="Times New Roman"/>
          <w:color w:val="000000" w:themeColor="text1"/>
          <w:sz w:val="24"/>
          <w:szCs w:val="24"/>
          <w:lang w:bidi="en-US"/>
        </w:rPr>
        <w:t xml:space="preserve">were detained </w:t>
      </w:r>
      <w:r w:rsidR="00995366" w:rsidRPr="00B16395">
        <w:rPr>
          <w:rFonts w:ascii="Times New Roman" w:hAnsi="Times New Roman" w:cs="Times New Roman"/>
          <w:color w:val="000000" w:themeColor="text1"/>
          <w:sz w:val="24"/>
          <w:szCs w:val="24"/>
          <w:lang w:bidi="en-US"/>
        </w:rPr>
        <w:t>for the alleged offence of causing panic and disorder</w:t>
      </w:r>
      <w:r>
        <w:rPr>
          <w:rFonts w:ascii="Times New Roman" w:hAnsi="Times New Roman" w:cs="Times New Roman"/>
          <w:color w:val="000000" w:themeColor="text1"/>
          <w:sz w:val="24"/>
          <w:szCs w:val="24"/>
          <w:lang w:bidi="en-US"/>
        </w:rPr>
        <w:t xml:space="preserve">. There were further </w:t>
      </w:r>
      <w:r w:rsidR="00995366" w:rsidRPr="00B16395">
        <w:rPr>
          <w:rFonts w:ascii="Times New Roman" w:hAnsi="Times New Roman" w:cs="Times New Roman"/>
          <w:color w:val="000000" w:themeColor="text1"/>
          <w:sz w:val="24"/>
          <w:szCs w:val="24"/>
          <w:lang w:bidi="en-US"/>
        </w:rPr>
        <w:t xml:space="preserve">subsequent repressive measures </w:t>
      </w:r>
      <w:r w:rsidR="006F246B">
        <w:rPr>
          <w:rFonts w:ascii="Times New Roman" w:hAnsi="Times New Roman" w:cs="Times New Roman"/>
          <w:color w:val="000000" w:themeColor="text1"/>
          <w:sz w:val="24"/>
          <w:szCs w:val="24"/>
          <w:lang w:bidi="en-US"/>
        </w:rPr>
        <w:t xml:space="preserve">by the authorities </w:t>
      </w:r>
      <w:r w:rsidR="00995366" w:rsidRPr="00B16395">
        <w:rPr>
          <w:rFonts w:ascii="Times New Roman" w:hAnsi="Times New Roman" w:cs="Times New Roman"/>
          <w:color w:val="000000" w:themeColor="text1"/>
          <w:sz w:val="24"/>
          <w:szCs w:val="24"/>
          <w:lang w:bidi="en-US"/>
        </w:rPr>
        <w:t xml:space="preserve">against members of the public for their social media posts, including in the context of the </w:t>
      </w:r>
      <w:r w:rsidR="008E399E">
        <w:rPr>
          <w:rFonts w:ascii="Times New Roman" w:hAnsi="Times New Roman" w:cs="Times New Roman"/>
          <w:color w:val="000000" w:themeColor="text1"/>
          <w:sz w:val="24"/>
          <w:szCs w:val="24"/>
          <w:lang w:bidi="en-US"/>
        </w:rPr>
        <w:t>COVID</w:t>
      </w:r>
      <w:r w:rsidR="0029112D">
        <w:rPr>
          <w:rFonts w:ascii="Times New Roman" w:hAnsi="Times New Roman" w:cs="Times New Roman"/>
          <w:color w:val="000000" w:themeColor="text1"/>
          <w:sz w:val="24"/>
          <w:szCs w:val="24"/>
          <w:lang w:bidi="en-US"/>
        </w:rPr>
        <w:t>-</w:t>
      </w:r>
      <w:r w:rsidR="00995366" w:rsidRPr="00B16395">
        <w:rPr>
          <w:rFonts w:ascii="Times New Roman" w:hAnsi="Times New Roman" w:cs="Times New Roman"/>
          <w:color w:val="000000" w:themeColor="text1"/>
          <w:sz w:val="24"/>
          <w:szCs w:val="24"/>
          <w:lang w:bidi="en-US"/>
        </w:rPr>
        <w:t>19 crisis</w:t>
      </w:r>
      <w:r w:rsidR="008D7EF6">
        <w:rPr>
          <w:rFonts w:ascii="Times New Roman" w:hAnsi="Times New Roman" w:cs="Times New Roman"/>
          <w:color w:val="000000" w:themeColor="text1"/>
          <w:sz w:val="24"/>
          <w:szCs w:val="24"/>
          <w:lang w:bidi="en-US"/>
        </w:rPr>
        <w:t xml:space="preserve"> and criminal proceedings were instituted against four citizens.</w:t>
      </w:r>
      <w:r w:rsidR="00995366" w:rsidRPr="00B16395">
        <w:rPr>
          <w:rFonts w:ascii="Times New Roman" w:hAnsi="Times New Roman" w:cs="Times New Roman"/>
          <w:color w:val="000000" w:themeColor="text1"/>
          <w:sz w:val="24"/>
          <w:szCs w:val="24"/>
          <w:lang w:bidi="en-US"/>
        </w:rPr>
        <w:t xml:space="preserve"> The </w:t>
      </w:r>
      <w:r w:rsidR="00995366">
        <w:rPr>
          <w:rFonts w:ascii="Times New Roman" w:hAnsi="Times New Roman" w:cs="Times New Roman"/>
          <w:color w:val="000000" w:themeColor="text1"/>
          <w:sz w:val="24"/>
          <w:szCs w:val="24"/>
          <w:lang w:bidi="en-US"/>
        </w:rPr>
        <w:t xml:space="preserve">recommendations of the </w:t>
      </w:r>
      <w:r w:rsidR="00995366" w:rsidRPr="00B16395">
        <w:rPr>
          <w:rFonts w:ascii="Times New Roman" w:hAnsi="Times New Roman" w:cs="Times New Roman"/>
          <w:color w:val="000000" w:themeColor="text1"/>
          <w:sz w:val="24"/>
          <w:szCs w:val="24"/>
          <w:lang w:bidi="en-US"/>
        </w:rPr>
        <w:t>ad hoc commission for monitoring violence against</w:t>
      </w:r>
      <w:r w:rsidR="0029112D">
        <w:rPr>
          <w:rFonts w:ascii="Times New Roman" w:hAnsi="Times New Roman" w:cs="Times New Roman"/>
          <w:color w:val="000000" w:themeColor="text1"/>
          <w:sz w:val="24"/>
          <w:szCs w:val="24"/>
          <w:lang w:bidi="en-US"/>
        </w:rPr>
        <w:t xml:space="preserve"> the</w:t>
      </w:r>
      <w:r w:rsidR="00995366" w:rsidRPr="00B16395">
        <w:rPr>
          <w:rFonts w:ascii="Times New Roman" w:hAnsi="Times New Roman" w:cs="Times New Roman"/>
          <w:color w:val="000000" w:themeColor="text1"/>
          <w:sz w:val="24"/>
          <w:szCs w:val="24"/>
          <w:lang w:bidi="en-US"/>
        </w:rPr>
        <w:t xml:space="preserve"> media are yet to be fully implemented. While</w:t>
      </w:r>
      <w:r w:rsidR="00995366">
        <w:rPr>
          <w:rFonts w:ascii="Times New Roman" w:hAnsi="Times New Roman" w:cs="Times New Roman"/>
          <w:color w:val="000000" w:themeColor="text1"/>
          <w:sz w:val="24"/>
          <w:szCs w:val="24"/>
          <w:lang w:bidi="en-US"/>
        </w:rPr>
        <w:t xml:space="preserve"> the ad hoc commission’s</w:t>
      </w:r>
      <w:r w:rsidR="00995366" w:rsidRPr="00B16395">
        <w:rPr>
          <w:rFonts w:ascii="Times New Roman" w:hAnsi="Times New Roman" w:cs="Times New Roman"/>
          <w:color w:val="000000" w:themeColor="text1"/>
          <w:sz w:val="24"/>
          <w:szCs w:val="24"/>
          <w:lang w:bidi="en-US"/>
        </w:rPr>
        <w:t xml:space="preserve"> mandate has been extended until September 2020, its funding for 2020 has been temporar</w:t>
      </w:r>
      <w:r w:rsidR="0029112D">
        <w:rPr>
          <w:rFonts w:ascii="Times New Roman" w:hAnsi="Times New Roman" w:cs="Times New Roman"/>
          <w:color w:val="000000" w:themeColor="text1"/>
          <w:sz w:val="24"/>
          <w:szCs w:val="24"/>
          <w:lang w:bidi="en-US"/>
        </w:rPr>
        <w:t>ily</w:t>
      </w:r>
      <w:r w:rsidR="00995366" w:rsidRPr="00B16395">
        <w:rPr>
          <w:rFonts w:ascii="Times New Roman" w:hAnsi="Times New Roman" w:cs="Times New Roman"/>
          <w:color w:val="000000" w:themeColor="text1"/>
          <w:sz w:val="24"/>
          <w:szCs w:val="24"/>
          <w:lang w:bidi="en-US"/>
        </w:rPr>
        <w:t xml:space="preserve"> suspended due to the </w:t>
      </w:r>
      <w:r w:rsidR="008E399E">
        <w:rPr>
          <w:rFonts w:ascii="Times New Roman" w:hAnsi="Times New Roman" w:cs="Times New Roman"/>
          <w:color w:val="000000" w:themeColor="text1"/>
          <w:sz w:val="24"/>
          <w:szCs w:val="24"/>
          <w:lang w:bidi="en-US"/>
        </w:rPr>
        <w:t>COVID-</w:t>
      </w:r>
      <w:r w:rsidR="00995366" w:rsidRPr="00B16395">
        <w:rPr>
          <w:rFonts w:ascii="Times New Roman" w:hAnsi="Times New Roman" w:cs="Times New Roman"/>
          <w:color w:val="000000" w:themeColor="text1"/>
          <w:sz w:val="24"/>
          <w:szCs w:val="24"/>
          <w:lang w:bidi="en-US"/>
        </w:rPr>
        <w:t xml:space="preserve">19 </w:t>
      </w:r>
      <w:r w:rsidR="00995366">
        <w:rPr>
          <w:rFonts w:ascii="Times New Roman" w:hAnsi="Times New Roman" w:cs="Times New Roman"/>
          <w:color w:val="000000" w:themeColor="text1"/>
          <w:sz w:val="24"/>
          <w:szCs w:val="24"/>
          <w:lang w:bidi="en-US"/>
        </w:rPr>
        <w:t>outbreak</w:t>
      </w:r>
      <w:r w:rsidR="00995366" w:rsidRPr="00B16395">
        <w:rPr>
          <w:rFonts w:ascii="Times New Roman" w:hAnsi="Times New Roman" w:cs="Times New Roman"/>
          <w:color w:val="000000" w:themeColor="text1"/>
          <w:sz w:val="24"/>
          <w:szCs w:val="24"/>
          <w:lang w:bidi="en-US"/>
        </w:rPr>
        <w:t>. New laws on</w:t>
      </w:r>
      <w:r w:rsidR="0029112D">
        <w:rPr>
          <w:rFonts w:ascii="Times New Roman" w:hAnsi="Times New Roman" w:cs="Times New Roman"/>
          <w:color w:val="000000" w:themeColor="text1"/>
          <w:sz w:val="24"/>
          <w:szCs w:val="24"/>
          <w:lang w:bidi="en-US"/>
        </w:rPr>
        <w:t xml:space="preserve"> the</w:t>
      </w:r>
      <w:r w:rsidR="00995366" w:rsidRPr="00B16395">
        <w:rPr>
          <w:rFonts w:ascii="Times New Roman" w:hAnsi="Times New Roman" w:cs="Times New Roman"/>
          <w:color w:val="000000" w:themeColor="text1"/>
          <w:sz w:val="24"/>
          <w:szCs w:val="24"/>
          <w:lang w:bidi="en-US"/>
        </w:rPr>
        <w:t xml:space="preserve"> media and the public broadcaster RTCG</w:t>
      </w:r>
      <w:r w:rsidR="00995366">
        <w:rPr>
          <w:rFonts w:ascii="Times New Roman" w:hAnsi="Times New Roman" w:cs="Times New Roman"/>
          <w:color w:val="000000" w:themeColor="text1"/>
          <w:sz w:val="24"/>
          <w:szCs w:val="24"/>
          <w:lang w:bidi="en-US"/>
        </w:rPr>
        <w:t xml:space="preserve"> </w:t>
      </w:r>
      <w:r w:rsidR="00995366" w:rsidRPr="00B16395">
        <w:rPr>
          <w:rFonts w:ascii="Times New Roman" w:hAnsi="Times New Roman" w:cs="Times New Roman"/>
          <w:color w:val="000000" w:themeColor="text1"/>
          <w:sz w:val="24"/>
          <w:szCs w:val="24"/>
          <w:lang w:bidi="en-US"/>
        </w:rPr>
        <w:t xml:space="preserve">have yet to be enacted by Parliament, while the new law on audio-visual media </w:t>
      </w:r>
      <w:r w:rsidR="00995366">
        <w:rPr>
          <w:rFonts w:ascii="Times New Roman" w:hAnsi="Times New Roman" w:cs="Times New Roman"/>
          <w:color w:val="000000" w:themeColor="text1"/>
          <w:sz w:val="24"/>
          <w:szCs w:val="24"/>
          <w:lang w:bidi="en-US"/>
        </w:rPr>
        <w:t xml:space="preserve">which should align with EU </w:t>
      </w:r>
      <w:r w:rsidR="00995366" w:rsidRPr="0082020D">
        <w:rPr>
          <w:rFonts w:ascii="Times New Roman" w:hAnsi="Times New Roman" w:cs="Times New Roman"/>
          <w:i/>
          <w:color w:val="000000" w:themeColor="text1"/>
          <w:sz w:val="24"/>
          <w:szCs w:val="24"/>
          <w:lang w:bidi="en-US"/>
        </w:rPr>
        <w:t>acquis</w:t>
      </w:r>
      <w:r w:rsidR="00995366" w:rsidRPr="00B16395">
        <w:rPr>
          <w:rFonts w:ascii="Times New Roman" w:hAnsi="Times New Roman" w:cs="Times New Roman"/>
          <w:color w:val="000000" w:themeColor="text1"/>
          <w:sz w:val="24"/>
          <w:szCs w:val="24"/>
          <w:lang w:bidi="en-US"/>
        </w:rPr>
        <w:t xml:space="preserve"> </w:t>
      </w:r>
      <w:r w:rsidR="00995366">
        <w:rPr>
          <w:rFonts w:ascii="Times New Roman" w:hAnsi="Times New Roman" w:cs="Times New Roman"/>
          <w:color w:val="000000" w:themeColor="text1"/>
          <w:sz w:val="24"/>
          <w:szCs w:val="24"/>
          <w:lang w:bidi="en-US"/>
        </w:rPr>
        <w:t xml:space="preserve">in this area is </w:t>
      </w:r>
      <w:r w:rsidR="00995366" w:rsidRPr="00B16395">
        <w:rPr>
          <w:rFonts w:ascii="Times New Roman" w:hAnsi="Times New Roman" w:cs="Times New Roman"/>
          <w:color w:val="000000" w:themeColor="text1"/>
          <w:sz w:val="24"/>
          <w:szCs w:val="24"/>
          <w:lang w:bidi="en-US"/>
        </w:rPr>
        <w:t xml:space="preserve">under preparation. </w:t>
      </w:r>
      <w:r w:rsidR="006F246B">
        <w:rPr>
          <w:rFonts w:ascii="Times New Roman" w:hAnsi="Times New Roman" w:cs="Times New Roman"/>
          <w:color w:val="000000" w:themeColor="text1"/>
          <w:sz w:val="24"/>
          <w:szCs w:val="24"/>
          <w:lang w:bidi="en-US"/>
        </w:rPr>
        <w:t xml:space="preserve">The </w:t>
      </w:r>
      <w:r w:rsidR="00995366" w:rsidRPr="00B16395">
        <w:rPr>
          <w:rFonts w:ascii="Times New Roman" w:hAnsi="Times New Roman" w:cs="Times New Roman"/>
          <w:color w:val="000000" w:themeColor="text1"/>
          <w:sz w:val="24"/>
          <w:szCs w:val="24"/>
          <w:lang w:bidi="en-US"/>
        </w:rPr>
        <w:t xml:space="preserve">RTCG's transition from a state media organisation to a true public service broadcaster has not </w:t>
      </w:r>
      <w:r w:rsidR="0029112D">
        <w:rPr>
          <w:rFonts w:ascii="Times New Roman" w:hAnsi="Times New Roman" w:cs="Times New Roman"/>
          <w:color w:val="000000" w:themeColor="text1"/>
          <w:sz w:val="24"/>
          <w:szCs w:val="24"/>
          <w:lang w:bidi="en-US"/>
        </w:rPr>
        <w:t xml:space="preserve">yet </w:t>
      </w:r>
      <w:r w:rsidR="00995366" w:rsidRPr="00B16395">
        <w:rPr>
          <w:rFonts w:ascii="Times New Roman" w:hAnsi="Times New Roman" w:cs="Times New Roman"/>
          <w:color w:val="000000" w:themeColor="text1"/>
          <w:sz w:val="24"/>
          <w:szCs w:val="24"/>
          <w:lang w:bidi="en-US"/>
        </w:rPr>
        <w:t xml:space="preserve">been completed. The appointment of its new Council in June 2019, has not succeeded in improving </w:t>
      </w:r>
      <w:r w:rsidR="006F246B">
        <w:rPr>
          <w:rFonts w:ascii="Times New Roman" w:hAnsi="Times New Roman" w:cs="Times New Roman"/>
          <w:color w:val="000000" w:themeColor="text1"/>
          <w:sz w:val="24"/>
          <w:szCs w:val="24"/>
          <w:lang w:bidi="en-US"/>
        </w:rPr>
        <w:t xml:space="preserve">the </w:t>
      </w:r>
      <w:r w:rsidR="00995366" w:rsidRPr="00B16395">
        <w:rPr>
          <w:rFonts w:ascii="Times New Roman" w:hAnsi="Times New Roman" w:cs="Times New Roman"/>
          <w:sz w:val="24"/>
          <w:szCs w:val="24"/>
        </w:rPr>
        <w:t xml:space="preserve">RTCG’s </w:t>
      </w:r>
      <w:r w:rsidR="00995366" w:rsidRPr="00B16395">
        <w:rPr>
          <w:rFonts w:ascii="Times New Roman" w:hAnsi="Times New Roman" w:cs="Times New Roman"/>
          <w:color w:val="000000" w:themeColor="text1"/>
          <w:sz w:val="24"/>
          <w:szCs w:val="24"/>
          <w:lang w:bidi="en-US"/>
        </w:rPr>
        <w:t>editorial independence and professional standards.</w:t>
      </w:r>
      <w:r w:rsidR="00995366" w:rsidRPr="00B021F7">
        <w:rPr>
          <w:rFonts w:ascii="Times New Roman" w:hAnsi="Times New Roman" w:cs="Times New Roman"/>
          <w:color w:val="000000" w:themeColor="text1"/>
          <w:sz w:val="24"/>
          <w:szCs w:val="24"/>
          <w:lang w:bidi="en-US"/>
        </w:rPr>
        <w:t xml:space="preserve"> </w:t>
      </w:r>
      <w:r w:rsidR="00995366" w:rsidRPr="00B212FF">
        <w:rPr>
          <w:rFonts w:ascii="Times New Roman" w:hAnsi="Times New Roman" w:cs="Times New Roman"/>
          <w:color w:val="000000" w:themeColor="text1"/>
          <w:sz w:val="24"/>
          <w:szCs w:val="24"/>
          <w:lang w:bidi="en-US"/>
        </w:rPr>
        <w:t xml:space="preserve">In December 2019, Parliament enacted amendments to the </w:t>
      </w:r>
      <w:r w:rsidR="00995366" w:rsidRPr="00B212FF">
        <w:rPr>
          <w:rFonts w:ascii="Times New Roman" w:eastAsia="Times New Roman" w:hAnsi="Times New Roman" w:cs="Times New Roman"/>
          <w:sz w:val="24"/>
          <w:szCs w:val="24"/>
        </w:rPr>
        <w:t>law on public peace and order which introduces fines for not standing for the national anthem.</w:t>
      </w:r>
    </w:p>
    <w:p w14:paraId="06DC2ACA" w14:textId="27EBE952" w:rsidR="00995366" w:rsidRPr="00B16395" w:rsidRDefault="00995366" w:rsidP="00995366">
      <w:pPr>
        <w:autoSpaceDE w:val="0"/>
        <w:autoSpaceDN w:val="0"/>
        <w:adjustRightInd w:val="0"/>
        <w:spacing w:after="120" w:line="240" w:lineRule="auto"/>
        <w:jc w:val="both"/>
        <w:rPr>
          <w:rFonts w:ascii="Times New Roman" w:hAnsi="Times New Roman" w:cs="Times New Roman"/>
          <w:color w:val="000000" w:themeColor="text1"/>
          <w:sz w:val="24"/>
          <w:szCs w:val="24"/>
          <w:lang w:bidi="en-US"/>
        </w:rPr>
      </w:pPr>
      <w:r>
        <w:rPr>
          <w:rFonts w:ascii="Times New Roman" w:eastAsia="Times New Roman" w:hAnsi="Times New Roman" w:cs="Times New Roman"/>
          <w:b/>
          <w:sz w:val="24"/>
          <w:szCs w:val="24"/>
        </w:rPr>
        <w:t>On f</w:t>
      </w:r>
      <w:r w:rsidRPr="00B16395">
        <w:rPr>
          <w:rFonts w:ascii="Times New Roman" w:eastAsia="Times New Roman" w:hAnsi="Times New Roman" w:cs="Times New Roman"/>
          <w:b/>
          <w:sz w:val="24"/>
          <w:szCs w:val="24"/>
        </w:rPr>
        <w:t>reedom of assembly and association</w:t>
      </w:r>
      <w:r w:rsidRPr="00B90B24">
        <w:rPr>
          <w:rFonts w:ascii="Times New Roman" w:eastAsia="Times New Roman" w:hAnsi="Times New Roman" w:cs="Times New Roman"/>
          <w:sz w:val="24"/>
          <w:szCs w:val="24"/>
        </w:rPr>
        <w:t xml:space="preserve">, </w:t>
      </w:r>
      <w:r w:rsidR="006F246B">
        <w:rPr>
          <w:rFonts w:ascii="Times New Roman" w:eastAsia="Times New Roman" w:hAnsi="Times New Roman" w:cs="Times New Roman"/>
          <w:sz w:val="24"/>
          <w:szCs w:val="24"/>
        </w:rPr>
        <w:t xml:space="preserve">a ban on </w:t>
      </w:r>
      <w:r w:rsidRPr="00B16395">
        <w:rPr>
          <w:rFonts w:ascii="Times New Roman" w:eastAsia="Times New Roman" w:hAnsi="Times New Roman" w:cs="Times New Roman"/>
          <w:sz w:val="24"/>
          <w:szCs w:val="24"/>
        </w:rPr>
        <w:t xml:space="preserve">public gatherings </w:t>
      </w:r>
      <w:r>
        <w:rPr>
          <w:rFonts w:ascii="Times New Roman" w:eastAsia="Times New Roman" w:hAnsi="Times New Roman" w:cs="Times New Roman"/>
          <w:sz w:val="24"/>
          <w:szCs w:val="24"/>
        </w:rPr>
        <w:t>was</w:t>
      </w:r>
      <w:r w:rsidRPr="00B16395">
        <w:rPr>
          <w:rFonts w:ascii="Times New Roman" w:eastAsia="Times New Roman" w:hAnsi="Times New Roman" w:cs="Times New Roman"/>
          <w:sz w:val="24"/>
          <w:szCs w:val="24"/>
        </w:rPr>
        <w:t xml:space="preserve"> introduced </w:t>
      </w:r>
      <w:r>
        <w:rPr>
          <w:rFonts w:ascii="Times New Roman" w:eastAsia="Times New Roman" w:hAnsi="Times New Roman" w:cs="Times New Roman"/>
          <w:sz w:val="24"/>
          <w:szCs w:val="24"/>
        </w:rPr>
        <w:t xml:space="preserve">for the duration of the </w:t>
      </w:r>
      <w:r w:rsidR="008E399E">
        <w:rPr>
          <w:rFonts w:ascii="Times New Roman" w:eastAsia="Times New Roman" w:hAnsi="Times New Roman" w:cs="Times New Roman"/>
          <w:sz w:val="24"/>
          <w:szCs w:val="24"/>
        </w:rPr>
        <w:t>COVID-</w:t>
      </w:r>
      <w:r w:rsidRPr="00B16395">
        <w:rPr>
          <w:rFonts w:ascii="Times New Roman" w:eastAsia="Times New Roman" w:hAnsi="Times New Roman" w:cs="Times New Roman"/>
          <w:sz w:val="24"/>
          <w:szCs w:val="24"/>
        </w:rPr>
        <w:t xml:space="preserve">19 </w:t>
      </w:r>
      <w:r>
        <w:rPr>
          <w:rFonts w:ascii="Times New Roman" w:eastAsia="Times New Roman" w:hAnsi="Times New Roman" w:cs="Times New Roman"/>
          <w:sz w:val="24"/>
          <w:szCs w:val="24"/>
        </w:rPr>
        <w:t>crisis</w:t>
      </w:r>
      <w:r w:rsidRPr="00B16395">
        <w:rPr>
          <w:rFonts w:ascii="Times New Roman" w:eastAsia="Times New Roman" w:hAnsi="Times New Roman" w:cs="Times New Roman"/>
          <w:sz w:val="24"/>
          <w:szCs w:val="24"/>
        </w:rPr>
        <w:t xml:space="preserve">. </w:t>
      </w:r>
      <w:r w:rsidR="006F246B">
        <w:rPr>
          <w:rFonts w:ascii="Times New Roman" w:eastAsia="Times New Roman" w:hAnsi="Times New Roman" w:cs="Times New Roman"/>
          <w:sz w:val="24"/>
          <w:szCs w:val="24"/>
        </w:rPr>
        <w:t xml:space="preserve">As of mid-May the ban is maintained for public gatherings of more than 200 persons. </w:t>
      </w:r>
    </w:p>
    <w:p w14:paraId="47624E7D" w14:textId="7FC9E449" w:rsidR="00995366" w:rsidRPr="00B16395" w:rsidRDefault="00995366" w:rsidP="00995366">
      <w:pPr>
        <w:autoSpaceDE w:val="0"/>
        <w:autoSpaceDN w:val="0"/>
        <w:adjustRightInd w:val="0"/>
        <w:spacing w:after="120" w:line="240" w:lineRule="auto"/>
        <w:jc w:val="both"/>
        <w:rPr>
          <w:rFonts w:ascii="Times New Roman" w:eastAsia="Times New Roman" w:hAnsi="Times New Roman" w:cs="Times New Roman"/>
          <w:b/>
          <w:sz w:val="24"/>
          <w:szCs w:val="24"/>
        </w:rPr>
      </w:pPr>
      <w:r w:rsidRPr="00B16395">
        <w:rPr>
          <w:rFonts w:ascii="Times New Roman" w:eastAsia="Calibri" w:hAnsi="Times New Roman" w:cs="Times New Roman"/>
          <w:color w:val="000000" w:themeColor="text1"/>
          <w:sz w:val="24"/>
          <w:szCs w:val="24"/>
        </w:rPr>
        <w:t xml:space="preserve">Regarding </w:t>
      </w:r>
      <w:r w:rsidRPr="00B16395">
        <w:rPr>
          <w:rFonts w:ascii="Times New Roman" w:eastAsia="Calibri" w:hAnsi="Times New Roman" w:cs="Times New Roman"/>
          <w:b/>
          <w:color w:val="000000" w:themeColor="text1"/>
          <w:sz w:val="24"/>
          <w:szCs w:val="24"/>
        </w:rPr>
        <w:t>property rights</w:t>
      </w:r>
      <w:r w:rsidRPr="00B16395">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s</w:t>
      </w:r>
      <w:r w:rsidRPr="00B44B8A">
        <w:rPr>
          <w:rFonts w:ascii="Times New Roman" w:eastAsia="Times New Roman" w:hAnsi="Times New Roman" w:cs="Times New Roman"/>
          <w:sz w:val="24"/>
          <w:szCs w:val="24"/>
        </w:rPr>
        <w:t>everal cases of alleged violations of Article 1 of Protocol No. 1</w:t>
      </w:r>
      <w:r w:rsidR="00B10615">
        <w:rPr>
          <w:rFonts w:ascii="Times New Roman" w:eastAsia="Times New Roman" w:hAnsi="Times New Roman" w:cs="Times New Roman"/>
          <w:sz w:val="24"/>
          <w:szCs w:val="24"/>
        </w:rPr>
        <w:t xml:space="preserve"> ECHR</w:t>
      </w:r>
      <w:r w:rsidRPr="00B44B8A">
        <w:rPr>
          <w:rFonts w:ascii="Times New Roman" w:eastAsia="Times New Roman" w:hAnsi="Times New Roman" w:cs="Times New Roman"/>
          <w:sz w:val="24"/>
          <w:szCs w:val="24"/>
        </w:rPr>
        <w:t xml:space="preserve"> (right to property) are pending before the ECtHR. </w:t>
      </w:r>
      <w:r w:rsidRPr="00B1639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detailed </w:t>
      </w:r>
      <w:r w:rsidRPr="00B16395">
        <w:rPr>
          <w:rFonts w:ascii="Times New Roman" w:eastAsia="Times New Roman" w:hAnsi="Times New Roman" w:cs="Times New Roman"/>
          <w:sz w:val="24"/>
          <w:szCs w:val="24"/>
        </w:rPr>
        <w:t>procedure</w:t>
      </w:r>
      <w:r>
        <w:rPr>
          <w:rFonts w:ascii="Times New Roman" w:eastAsia="Times New Roman" w:hAnsi="Times New Roman" w:cs="Times New Roman"/>
          <w:sz w:val="24"/>
          <w:szCs w:val="24"/>
        </w:rPr>
        <w:t>s</w:t>
      </w:r>
      <w:r w:rsidRPr="00B16395">
        <w:rPr>
          <w:rFonts w:ascii="Times New Roman" w:eastAsia="Times New Roman" w:hAnsi="Times New Roman" w:cs="Times New Roman"/>
          <w:sz w:val="24"/>
          <w:szCs w:val="24"/>
        </w:rPr>
        <w:t xml:space="preserve"> to determine property rights over religious sites</w:t>
      </w:r>
      <w:r>
        <w:rPr>
          <w:rFonts w:ascii="Times New Roman" w:eastAsia="Times New Roman" w:hAnsi="Times New Roman" w:cs="Times New Roman"/>
          <w:sz w:val="24"/>
          <w:szCs w:val="24"/>
        </w:rPr>
        <w:t xml:space="preserve"> and their use</w:t>
      </w:r>
      <w:r w:rsidRPr="00B163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accordance with the</w:t>
      </w:r>
      <w:r w:rsidRPr="00B44B8A">
        <w:rPr>
          <w:rFonts w:ascii="Times New Roman" w:eastAsia="Times New Roman" w:hAnsi="Times New Roman" w:cs="Times New Roman"/>
          <w:sz w:val="24"/>
          <w:szCs w:val="24"/>
        </w:rPr>
        <w:t xml:space="preserve"> new law o</w:t>
      </w:r>
      <w:r w:rsidRPr="00B16395">
        <w:rPr>
          <w:rFonts w:ascii="Times New Roman" w:eastAsia="Times New Roman" w:hAnsi="Times New Roman" w:cs="Times New Roman"/>
          <w:sz w:val="24"/>
          <w:szCs w:val="24"/>
        </w:rPr>
        <w:t xml:space="preserve">n freedom of religion or belief </w:t>
      </w:r>
      <w:r>
        <w:rPr>
          <w:rFonts w:ascii="Times New Roman" w:eastAsia="Times New Roman" w:hAnsi="Times New Roman" w:cs="Times New Roman"/>
          <w:sz w:val="24"/>
          <w:szCs w:val="24"/>
        </w:rPr>
        <w:t xml:space="preserve">is yet to be </w:t>
      </w:r>
      <w:r w:rsidR="0029112D">
        <w:rPr>
          <w:rFonts w:ascii="Times New Roman" w:eastAsia="Times New Roman" w:hAnsi="Times New Roman" w:cs="Times New Roman"/>
          <w:sz w:val="24"/>
          <w:szCs w:val="24"/>
        </w:rPr>
        <w:t>clarified</w:t>
      </w:r>
      <w:r>
        <w:rPr>
          <w:rFonts w:ascii="Times New Roman" w:eastAsia="Times New Roman" w:hAnsi="Times New Roman" w:cs="Times New Roman"/>
          <w:sz w:val="24"/>
          <w:szCs w:val="24"/>
        </w:rPr>
        <w:t xml:space="preserve">. It will need to be </w:t>
      </w:r>
      <w:r w:rsidRPr="00B90B24">
        <w:rPr>
          <w:rFonts w:ascii="Times New Roman" w:eastAsia="Times New Roman" w:hAnsi="Times New Roman" w:cs="Times New Roman"/>
          <w:sz w:val="24"/>
          <w:szCs w:val="24"/>
        </w:rPr>
        <w:t xml:space="preserve">in line with relevant international and European human rights standards, including the recommendations of the Venice Commission opinion on the </w:t>
      </w:r>
      <w:r w:rsidR="00B10615">
        <w:rPr>
          <w:rFonts w:ascii="Times New Roman" w:eastAsia="Times New Roman" w:hAnsi="Times New Roman" w:cs="Times New Roman"/>
          <w:sz w:val="24"/>
          <w:szCs w:val="24"/>
        </w:rPr>
        <w:t xml:space="preserve">draft </w:t>
      </w:r>
      <w:r w:rsidRPr="00B90B24">
        <w:rPr>
          <w:rFonts w:ascii="Times New Roman" w:eastAsia="Times New Roman" w:hAnsi="Times New Roman" w:cs="Times New Roman"/>
          <w:sz w:val="24"/>
          <w:szCs w:val="24"/>
        </w:rPr>
        <w:t>law of June 2019.</w:t>
      </w:r>
    </w:p>
    <w:p w14:paraId="2169F9B6" w14:textId="2062C808" w:rsidR="00995366" w:rsidRPr="00B16395" w:rsidRDefault="00995366" w:rsidP="00995366">
      <w:pPr>
        <w:spacing w:after="120" w:line="240" w:lineRule="auto"/>
        <w:jc w:val="both"/>
        <w:rPr>
          <w:rFonts w:ascii="Times New Roman" w:eastAsia="Calibri" w:hAnsi="Times New Roman" w:cs="Times New Roman"/>
          <w:sz w:val="24"/>
          <w:szCs w:val="24"/>
        </w:rPr>
      </w:pPr>
      <w:r w:rsidRPr="00B16395">
        <w:rPr>
          <w:rFonts w:ascii="Times New Roman" w:eastAsia="Calibri" w:hAnsi="Times New Roman" w:cs="Times New Roman"/>
          <w:sz w:val="24"/>
          <w:szCs w:val="24"/>
        </w:rPr>
        <w:t xml:space="preserve">Regarding </w:t>
      </w:r>
      <w:r w:rsidRPr="00B16395">
        <w:rPr>
          <w:rFonts w:ascii="Times New Roman" w:eastAsia="Calibri" w:hAnsi="Times New Roman" w:cs="Times New Roman"/>
          <w:b/>
          <w:sz w:val="24"/>
          <w:szCs w:val="24"/>
        </w:rPr>
        <w:t>non-discrimination</w:t>
      </w:r>
      <w:r w:rsidRPr="00B16395">
        <w:rPr>
          <w:rFonts w:ascii="Times New Roman" w:eastAsia="Calibri" w:hAnsi="Times New Roman" w:cs="Times New Roman"/>
          <w:sz w:val="24"/>
          <w:szCs w:val="24"/>
        </w:rPr>
        <w:t>, the number of complaints of discrimination</w:t>
      </w:r>
      <w:r>
        <w:rPr>
          <w:rFonts w:ascii="Times New Roman" w:eastAsia="Calibri" w:hAnsi="Times New Roman" w:cs="Times New Roman"/>
          <w:sz w:val="24"/>
          <w:szCs w:val="24"/>
        </w:rPr>
        <w:t xml:space="preserve"> (141)</w:t>
      </w:r>
      <w:r w:rsidRPr="00B16395">
        <w:rPr>
          <w:rFonts w:ascii="Times New Roman" w:eastAsia="Calibri" w:hAnsi="Times New Roman" w:cs="Times New Roman"/>
          <w:sz w:val="24"/>
          <w:szCs w:val="24"/>
        </w:rPr>
        <w:t xml:space="preserve"> submitted to the Ombudsperson’s Office</w:t>
      </w:r>
      <w:r>
        <w:rPr>
          <w:rFonts w:ascii="Times New Roman" w:eastAsia="Calibri" w:hAnsi="Times New Roman" w:cs="Times New Roman"/>
          <w:sz w:val="24"/>
          <w:szCs w:val="24"/>
        </w:rPr>
        <w:t xml:space="preserve"> </w:t>
      </w:r>
      <w:r w:rsidR="00D8440E">
        <w:rPr>
          <w:rFonts w:ascii="Times New Roman" w:eastAsia="Calibri" w:hAnsi="Times New Roman" w:cs="Times New Roman"/>
          <w:sz w:val="24"/>
          <w:szCs w:val="24"/>
        </w:rPr>
        <w:t xml:space="preserve">in </w:t>
      </w:r>
      <w:r>
        <w:rPr>
          <w:rFonts w:ascii="Times New Roman" w:eastAsia="Calibri" w:hAnsi="Times New Roman" w:cs="Times New Roman"/>
          <w:sz w:val="24"/>
          <w:szCs w:val="24"/>
        </w:rPr>
        <w:t>2019</w:t>
      </w:r>
      <w:r w:rsidRPr="00B16395">
        <w:rPr>
          <w:rFonts w:ascii="Times New Roman" w:eastAsia="Calibri" w:hAnsi="Times New Roman" w:cs="Times New Roman"/>
          <w:sz w:val="24"/>
          <w:szCs w:val="24"/>
        </w:rPr>
        <w:t xml:space="preserve">, which also has the legal mandate of an equality body, </w:t>
      </w:r>
      <w:r>
        <w:rPr>
          <w:rFonts w:ascii="Times New Roman" w:eastAsia="Calibri" w:hAnsi="Times New Roman" w:cs="Times New Roman"/>
          <w:sz w:val="24"/>
          <w:szCs w:val="24"/>
        </w:rPr>
        <w:t>remained at the</w:t>
      </w:r>
      <w:r w:rsidR="00D8440E">
        <w:rPr>
          <w:rFonts w:ascii="Times New Roman" w:eastAsia="Calibri" w:hAnsi="Times New Roman" w:cs="Times New Roman"/>
          <w:sz w:val="24"/>
          <w:szCs w:val="24"/>
        </w:rPr>
        <w:t xml:space="preserve"> 2018</w:t>
      </w:r>
      <w:r>
        <w:rPr>
          <w:rFonts w:ascii="Times New Roman" w:eastAsia="Calibri" w:hAnsi="Times New Roman" w:cs="Times New Roman"/>
          <w:sz w:val="24"/>
          <w:szCs w:val="24"/>
        </w:rPr>
        <w:t xml:space="preserve"> level (146). The t</w:t>
      </w:r>
      <w:r w:rsidRPr="00B16395">
        <w:rPr>
          <w:rFonts w:ascii="Times New Roman" w:eastAsia="Calibri" w:hAnsi="Times New Roman" w:cs="Times New Roman"/>
          <w:sz w:val="24"/>
          <w:szCs w:val="24"/>
        </w:rPr>
        <w:t xml:space="preserve">rust in the </w:t>
      </w:r>
      <w:r w:rsidR="0029112D">
        <w:rPr>
          <w:rFonts w:ascii="Times New Roman" w:eastAsia="Calibri" w:hAnsi="Times New Roman" w:cs="Times New Roman"/>
          <w:sz w:val="24"/>
          <w:szCs w:val="24"/>
        </w:rPr>
        <w:t>O</w:t>
      </w:r>
      <w:r w:rsidRPr="00B16395">
        <w:rPr>
          <w:rFonts w:ascii="Times New Roman" w:eastAsia="Calibri" w:hAnsi="Times New Roman" w:cs="Times New Roman"/>
          <w:sz w:val="24"/>
          <w:szCs w:val="24"/>
        </w:rPr>
        <w:t xml:space="preserve">ffice’s contribution to the fight against discrimination continues to increase. </w:t>
      </w:r>
      <w:r>
        <w:rPr>
          <w:rFonts w:ascii="Times New Roman" w:eastAsia="Calibri" w:hAnsi="Times New Roman" w:cs="Times New Roman"/>
          <w:sz w:val="24"/>
          <w:szCs w:val="24"/>
        </w:rPr>
        <w:t>N</w:t>
      </w:r>
      <w:r w:rsidRPr="00B16395">
        <w:rPr>
          <w:rFonts w:ascii="Times New Roman" w:eastAsia="Calibri" w:hAnsi="Times New Roman" w:cs="Times New Roman"/>
          <w:sz w:val="24"/>
          <w:szCs w:val="24"/>
        </w:rPr>
        <w:t xml:space="preserve">o new </w:t>
      </w:r>
      <w:r>
        <w:rPr>
          <w:rFonts w:ascii="Times New Roman" w:eastAsia="Calibri" w:hAnsi="Times New Roman" w:cs="Times New Roman"/>
          <w:sz w:val="24"/>
          <w:szCs w:val="24"/>
        </w:rPr>
        <w:t xml:space="preserve">court </w:t>
      </w:r>
      <w:r w:rsidRPr="00B16395">
        <w:rPr>
          <w:rFonts w:ascii="Times New Roman" w:eastAsia="Calibri" w:hAnsi="Times New Roman" w:cs="Times New Roman"/>
          <w:sz w:val="24"/>
          <w:szCs w:val="24"/>
        </w:rPr>
        <w:t>cases were opened in 2019.</w:t>
      </w:r>
      <w:r w:rsidRPr="00B16395">
        <w:rPr>
          <w:rFonts w:ascii="Times New Roman" w:hAnsi="Times New Roman" w:cs="Times New Roman"/>
          <w:color w:val="000000" w:themeColor="text1"/>
          <w:sz w:val="24"/>
          <w:szCs w:val="24"/>
          <w:lang w:bidi="en-US"/>
        </w:rPr>
        <w:t xml:space="preserve"> </w:t>
      </w:r>
      <w:r w:rsidRPr="00B16395">
        <w:rPr>
          <w:rFonts w:ascii="Times New Roman" w:eastAsia="Calibri" w:hAnsi="Times New Roman" w:cs="Times New Roman"/>
          <w:sz w:val="24"/>
          <w:szCs w:val="24"/>
        </w:rPr>
        <w:t xml:space="preserve">In December </w:t>
      </w:r>
      <w:r w:rsidRPr="00B16395">
        <w:rPr>
          <w:rFonts w:ascii="Times New Roman" w:eastAsia="Calibri" w:hAnsi="Times New Roman" w:cs="Times New Roman"/>
          <w:sz w:val="24"/>
          <w:szCs w:val="24"/>
        </w:rPr>
        <w:lastRenderedPageBreak/>
        <w:t xml:space="preserve">2019, a working group for revising the law on prohibition of discrimination to further align it with EU </w:t>
      </w:r>
      <w:r w:rsidRPr="00B16395">
        <w:rPr>
          <w:rFonts w:ascii="Times New Roman" w:eastAsia="Calibri" w:hAnsi="Times New Roman" w:cs="Times New Roman"/>
          <w:i/>
          <w:sz w:val="24"/>
          <w:szCs w:val="24"/>
        </w:rPr>
        <w:t>acquis</w:t>
      </w:r>
      <w:r w:rsidR="00B10615">
        <w:rPr>
          <w:rFonts w:ascii="Times New Roman" w:eastAsia="Calibri" w:hAnsi="Times New Roman" w:cs="Times New Roman"/>
          <w:sz w:val="24"/>
          <w:szCs w:val="24"/>
        </w:rPr>
        <w:t xml:space="preserve"> was established</w:t>
      </w:r>
      <w:r w:rsidRPr="00B16395">
        <w:rPr>
          <w:rFonts w:ascii="Times New Roman" w:eastAsia="Calibri" w:hAnsi="Times New Roman" w:cs="Times New Roman"/>
          <w:sz w:val="24"/>
          <w:szCs w:val="24"/>
        </w:rPr>
        <w:t>. The finalisation of the draft has been delayed due to the C</w:t>
      </w:r>
      <w:r w:rsidR="008E399E">
        <w:rPr>
          <w:rFonts w:ascii="Times New Roman" w:eastAsia="Calibri" w:hAnsi="Times New Roman" w:cs="Times New Roman"/>
          <w:sz w:val="24"/>
          <w:szCs w:val="24"/>
        </w:rPr>
        <w:t>OVID-</w:t>
      </w:r>
      <w:r w:rsidRPr="00B16395">
        <w:rPr>
          <w:rFonts w:ascii="Times New Roman" w:eastAsia="Calibri" w:hAnsi="Times New Roman" w:cs="Times New Roman"/>
          <w:sz w:val="24"/>
          <w:szCs w:val="24"/>
        </w:rPr>
        <w:t xml:space="preserve">19 outbreak.     </w:t>
      </w:r>
    </w:p>
    <w:p w14:paraId="799D8EF5" w14:textId="715ED342" w:rsidR="00995366" w:rsidRPr="00B16395" w:rsidRDefault="00995366" w:rsidP="00995366">
      <w:pPr>
        <w:spacing w:line="240" w:lineRule="auto"/>
        <w:jc w:val="both"/>
        <w:rPr>
          <w:rFonts w:ascii="Times New Roman" w:eastAsia="Calibri" w:hAnsi="Times New Roman" w:cs="Times New Roman"/>
          <w:sz w:val="24"/>
          <w:szCs w:val="24"/>
        </w:rPr>
      </w:pPr>
      <w:r w:rsidRPr="00B16395">
        <w:rPr>
          <w:rFonts w:ascii="Times New Roman" w:eastAsia="Calibri" w:hAnsi="Times New Roman" w:cs="Times New Roman"/>
          <w:sz w:val="24"/>
          <w:szCs w:val="24"/>
        </w:rPr>
        <w:t xml:space="preserve">On </w:t>
      </w:r>
      <w:r w:rsidRPr="00B16395">
        <w:rPr>
          <w:rFonts w:ascii="Times New Roman" w:eastAsia="Calibri" w:hAnsi="Times New Roman" w:cs="Times New Roman"/>
          <w:b/>
          <w:sz w:val="24"/>
          <w:szCs w:val="24"/>
        </w:rPr>
        <w:t>equality between women and men</w:t>
      </w:r>
      <w:r w:rsidRPr="00B16395">
        <w:rPr>
          <w:rFonts w:ascii="Times New Roman" w:eastAsia="Calibri" w:hAnsi="Times New Roman" w:cs="Times New Roman"/>
          <w:sz w:val="24"/>
          <w:szCs w:val="24"/>
        </w:rPr>
        <w:t>,</w:t>
      </w:r>
      <w:r w:rsidRPr="00B16395">
        <w:rPr>
          <w:rFonts w:ascii="Times New Roman" w:hAnsi="Times New Roman"/>
          <w:sz w:val="24"/>
        </w:rPr>
        <w:t xml:space="preserve"> </w:t>
      </w:r>
      <w:r>
        <w:rPr>
          <w:rFonts w:ascii="Times New Roman" w:eastAsia="Calibri" w:hAnsi="Times New Roman" w:cs="Times New Roman"/>
          <w:sz w:val="24"/>
          <w:szCs w:val="24"/>
        </w:rPr>
        <w:t>in</w:t>
      </w:r>
      <w:r w:rsidRPr="00B16395">
        <w:rPr>
          <w:rFonts w:ascii="Times New Roman" w:eastAsia="Calibri" w:hAnsi="Times New Roman" w:cs="Times New Roman"/>
          <w:sz w:val="24"/>
          <w:szCs w:val="24"/>
        </w:rPr>
        <w:t xml:space="preserve"> 2019, for the first time, a Montenegro Gender Equality Report was prepared</w:t>
      </w:r>
      <w:r w:rsidR="00B10615">
        <w:rPr>
          <w:rFonts w:ascii="Times New Roman" w:eastAsia="Calibri" w:hAnsi="Times New Roman" w:cs="Times New Roman"/>
          <w:sz w:val="24"/>
          <w:szCs w:val="24"/>
        </w:rPr>
        <w:t xml:space="preserve"> and published</w:t>
      </w:r>
      <w:r w:rsidRPr="00B16395">
        <w:rPr>
          <w:rFonts w:ascii="Times New Roman" w:eastAsia="Calibri" w:hAnsi="Times New Roman" w:cs="Times New Roman"/>
          <w:sz w:val="24"/>
          <w:szCs w:val="24"/>
        </w:rPr>
        <w:t xml:space="preserve">, based on the methodology of the Gender Equality Index developed by the European Institute for Gender Equality (EIGE) for the European Union and its Member States. Montenegro’s index score was 55 points, compared to an EU average of 67.4. In December 2019, Parliament enacted a new </w:t>
      </w:r>
      <w:r w:rsidR="0029112D">
        <w:rPr>
          <w:rFonts w:ascii="Times New Roman" w:eastAsia="Calibri" w:hAnsi="Times New Roman" w:cs="Times New Roman"/>
          <w:sz w:val="24"/>
          <w:szCs w:val="24"/>
        </w:rPr>
        <w:t>l</w:t>
      </w:r>
      <w:r w:rsidRPr="00B16395">
        <w:rPr>
          <w:rFonts w:ascii="Times New Roman" w:eastAsia="Calibri" w:hAnsi="Times New Roman" w:cs="Times New Roman"/>
          <w:sz w:val="24"/>
          <w:szCs w:val="24"/>
        </w:rPr>
        <w:t xml:space="preserve">abour </w:t>
      </w:r>
      <w:r w:rsidR="0029112D">
        <w:rPr>
          <w:rFonts w:ascii="Times New Roman" w:eastAsia="Calibri" w:hAnsi="Times New Roman" w:cs="Times New Roman"/>
          <w:sz w:val="24"/>
          <w:szCs w:val="24"/>
        </w:rPr>
        <w:t>l</w:t>
      </w:r>
      <w:r w:rsidRPr="00B16395">
        <w:rPr>
          <w:rFonts w:ascii="Times New Roman" w:eastAsia="Calibri" w:hAnsi="Times New Roman" w:cs="Times New Roman"/>
          <w:sz w:val="24"/>
          <w:szCs w:val="24"/>
        </w:rPr>
        <w:t xml:space="preserve">aw, </w:t>
      </w:r>
      <w:r w:rsidR="0029112D">
        <w:rPr>
          <w:rFonts w:ascii="Times New Roman" w:eastAsia="Calibri" w:hAnsi="Times New Roman" w:cs="Times New Roman"/>
          <w:sz w:val="24"/>
          <w:szCs w:val="24"/>
        </w:rPr>
        <w:t>which aimed</w:t>
      </w:r>
      <w:r w:rsidRPr="00B16395">
        <w:rPr>
          <w:rFonts w:ascii="Times New Roman" w:eastAsia="Calibri" w:hAnsi="Times New Roman" w:cs="Times New Roman"/>
          <w:sz w:val="24"/>
          <w:szCs w:val="24"/>
        </w:rPr>
        <w:t xml:space="preserve"> to bring national law in line with the EU directives 2006/54</w:t>
      </w:r>
      <w:r w:rsidR="007D49CA">
        <w:rPr>
          <w:rFonts w:ascii="Times New Roman" w:eastAsia="Calibri" w:hAnsi="Times New Roman" w:cs="Times New Roman"/>
          <w:sz w:val="24"/>
          <w:szCs w:val="24"/>
        </w:rPr>
        <w:t>/EC</w:t>
      </w:r>
      <w:r w:rsidRPr="00B16395">
        <w:rPr>
          <w:rFonts w:ascii="Times New Roman" w:eastAsia="Calibri" w:hAnsi="Times New Roman" w:cs="Times New Roman"/>
          <w:sz w:val="24"/>
          <w:szCs w:val="24"/>
        </w:rPr>
        <w:t xml:space="preserve"> on </w:t>
      </w:r>
      <w:r w:rsidR="007D49CA">
        <w:rPr>
          <w:rFonts w:ascii="Times New Roman" w:eastAsia="Calibri" w:hAnsi="Times New Roman" w:cs="Times New Roman"/>
          <w:sz w:val="24"/>
          <w:szCs w:val="24"/>
        </w:rPr>
        <w:t xml:space="preserve">equal opportunities </w:t>
      </w:r>
      <w:r w:rsidRPr="00B16395">
        <w:rPr>
          <w:rFonts w:ascii="Times New Roman" w:eastAsia="Calibri" w:hAnsi="Times New Roman" w:cs="Times New Roman"/>
          <w:sz w:val="24"/>
          <w:szCs w:val="24"/>
        </w:rPr>
        <w:t>in employment and 92/85</w:t>
      </w:r>
      <w:r w:rsidR="007D49CA">
        <w:rPr>
          <w:rFonts w:ascii="Times New Roman" w:eastAsia="Calibri" w:hAnsi="Times New Roman" w:cs="Times New Roman"/>
          <w:sz w:val="24"/>
          <w:szCs w:val="24"/>
        </w:rPr>
        <w:t>/EEC</w:t>
      </w:r>
      <w:r w:rsidRPr="00B16395">
        <w:rPr>
          <w:rFonts w:ascii="Times New Roman" w:eastAsia="Calibri" w:hAnsi="Times New Roman" w:cs="Times New Roman"/>
          <w:sz w:val="24"/>
          <w:szCs w:val="24"/>
        </w:rPr>
        <w:t xml:space="preserve"> on pregnant workers, although further progress still needs to be made regarding alignment to the latter directive. </w:t>
      </w:r>
      <w:r w:rsidRPr="00E13A4E">
        <w:rPr>
          <w:rFonts w:ascii="Times New Roman" w:eastAsia="Calibri" w:hAnsi="Times New Roman" w:cs="Times New Roman"/>
          <w:sz w:val="24"/>
          <w:szCs w:val="24"/>
        </w:rPr>
        <w:t xml:space="preserve">The Judicial Training Centre and State Prosecution organised trainings on women's rights and gender equality. Sexual harassment is still not </w:t>
      </w:r>
      <w:r>
        <w:rPr>
          <w:rFonts w:ascii="Times New Roman" w:eastAsia="Calibri" w:hAnsi="Times New Roman" w:cs="Times New Roman"/>
          <w:sz w:val="24"/>
          <w:szCs w:val="24"/>
        </w:rPr>
        <w:t>qualifie</w:t>
      </w:r>
      <w:r w:rsidRPr="00E13A4E">
        <w:rPr>
          <w:rFonts w:ascii="Times New Roman" w:eastAsia="Calibri" w:hAnsi="Times New Roman" w:cs="Times New Roman"/>
          <w:sz w:val="24"/>
          <w:szCs w:val="24"/>
        </w:rPr>
        <w:t xml:space="preserve">d as </w:t>
      </w:r>
      <w:r>
        <w:rPr>
          <w:rFonts w:ascii="Times New Roman" w:eastAsia="Calibri" w:hAnsi="Times New Roman" w:cs="Times New Roman"/>
          <w:sz w:val="24"/>
          <w:szCs w:val="24"/>
        </w:rPr>
        <w:t>criminal</w:t>
      </w:r>
      <w:r w:rsidRPr="00E13A4E">
        <w:rPr>
          <w:rFonts w:ascii="Times New Roman" w:eastAsia="Calibri" w:hAnsi="Times New Roman" w:cs="Times New Roman"/>
          <w:sz w:val="24"/>
          <w:szCs w:val="24"/>
        </w:rPr>
        <w:t xml:space="preserve"> offence.</w:t>
      </w:r>
    </w:p>
    <w:p w14:paraId="2C825706" w14:textId="146EA129" w:rsidR="00995366" w:rsidRPr="00B16395" w:rsidRDefault="00995366" w:rsidP="00995366">
      <w:pPr>
        <w:spacing w:line="240" w:lineRule="auto"/>
        <w:jc w:val="both"/>
        <w:rPr>
          <w:rFonts w:ascii="Times New Roman" w:eastAsia="Times New Roman" w:hAnsi="Times New Roman" w:cs="Times New Roman"/>
          <w:sz w:val="24"/>
          <w:szCs w:val="24"/>
        </w:rPr>
      </w:pPr>
      <w:r w:rsidRPr="00B16395">
        <w:rPr>
          <w:rFonts w:ascii="Times New Roman" w:eastAsia="Times New Roman" w:hAnsi="Times New Roman" w:cs="Times New Roman"/>
          <w:sz w:val="24"/>
          <w:szCs w:val="24"/>
        </w:rPr>
        <w:t xml:space="preserve">2019 saw a persistently high number of reported cases of </w:t>
      </w:r>
      <w:r w:rsidRPr="00B16395">
        <w:rPr>
          <w:rFonts w:ascii="Times New Roman" w:eastAsia="Times New Roman" w:hAnsi="Times New Roman" w:cs="Times New Roman"/>
          <w:b/>
          <w:sz w:val="24"/>
          <w:szCs w:val="24"/>
        </w:rPr>
        <w:t>violence against women and domestic violence</w:t>
      </w:r>
      <w:r w:rsidRPr="00B16395">
        <w:rPr>
          <w:rFonts w:ascii="Times New Roman" w:eastAsia="Times New Roman" w:hAnsi="Times New Roman" w:cs="Times New Roman"/>
          <w:sz w:val="24"/>
          <w:szCs w:val="24"/>
        </w:rPr>
        <w:t xml:space="preserve"> which relate to criminal offences (186 cases, of which courts resolved 106) and domestic violence misdemeanours (1,759 cases, of which courts resolved 382). </w:t>
      </w:r>
      <w:r>
        <w:rPr>
          <w:rFonts w:ascii="Times New Roman" w:eastAsia="Times New Roman" w:hAnsi="Times New Roman" w:cs="Times New Roman"/>
          <w:sz w:val="24"/>
          <w:szCs w:val="24"/>
        </w:rPr>
        <w:t>T</w:t>
      </w:r>
      <w:r w:rsidRPr="00B16395">
        <w:rPr>
          <w:rFonts w:ascii="Times New Roman" w:eastAsia="Times New Roman" w:hAnsi="Times New Roman" w:cs="Times New Roman"/>
          <w:sz w:val="24"/>
          <w:szCs w:val="24"/>
        </w:rPr>
        <w:t xml:space="preserve">he Ministry of Labour and Social Welfare started issuing licences to several specialised </w:t>
      </w:r>
      <w:r>
        <w:rPr>
          <w:rFonts w:ascii="Times New Roman" w:eastAsia="Times New Roman" w:hAnsi="Times New Roman" w:cs="Times New Roman"/>
          <w:sz w:val="24"/>
          <w:szCs w:val="24"/>
        </w:rPr>
        <w:t>CSO</w:t>
      </w:r>
      <w:r w:rsidRPr="00B16395">
        <w:rPr>
          <w:rFonts w:ascii="Times New Roman" w:eastAsia="Times New Roman" w:hAnsi="Times New Roman" w:cs="Times New Roman"/>
          <w:sz w:val="24"/>
          <w:szCs w:val="24"/>
        </w:rPr>
        <w:t xml:space="preserve">s offering victim support services. Confinement measures imposed during the </w:t>
      </w:r>
      <w:r w:rsidR="008E399E">
        <w:rPr>
          <w:rFonts w:ascii="Times New Roman" w:eastAsia="Times New Roman" w:hAnsi="Times New Roman" w:cs="Times New Roman"/>
          <w:sz w:val="24"/>
          <w:szCs w:val="24"/>
        </w:rPr>
        <w:t>COVID-</w:t>
      </w:r>
      <w:r w:rsidRPr="00B16395">
        <w:rPr>
          <w:rFonts w:ascii="Times New Roman" w:eastAsia="Times New Roman" w:hAnsi="Times New Roman" w:cs="Times New Roman"/>
          <w:sz w:val="24"/>
          <w:szCs w:val="24"/>
        </w:rPr>
        <w:t xml:space="preserve">19 outbreak led to a </w:t>
      </w:r>
      <w:r>
        <w:rPr>
          <w:rFonts w:ascii="Times New Roman" w:eastAsia="Times New Roman" w:hAnsi="Times New Roman" w:cs="Times New Roman"/>
          <w:sz w:val="24"/>
          <w:szCs w:val="24"/>
        </w:rPr>
        <w:t>notable</w:t>
      </w:r>
      <w:r w:rsidR="00B10615">
        <w:rPr>
          <w:rFonts w:ascii="Times New Roman" w:eastAsia="Times New Roman" w:hAnsi="Times New Roman" w:cs="Times New Roman"/>
          <w:sz w:val="24"/>
          <w:szCs w:val="24"/>
        </w:rPr>
        <w:t xml:space="preserve"> additional</w:t>
      </w:r>
      <w:r w:rsidRPr="00B16395">
        <w:rPr>
          <w:rFonts w:ascii="Times New Roman" w:eastAsia="Times New Roman" w:hAnsi="Times New Roman" w:cs="Times New Roman"/>
          <w:sz w:val="24"/>
          <w:szCs w:val="24"/>
        </w:rPr>
        <w:t xml:space="preserve"> increase of cases of domestic violence. The authorities, in cooperation with CSOs, responded with a campaign to raise awareness and provide help to victims, and launched a mobile phone application </w:t>
      </w:r>
      <w:r w:rsidR="00D8440E">
        <w:rPr>
          <w:rFonts w:ascii="Times New Roman" w:eastAsia="Times New Roman" w:hAnsi="Times New Roman" w:cs="Times New Roman"/>
          <w:sz w:val="24"/>
          <w:szCs w:val="24"/>
        </w:rPr>
        <w:t xml:space="preserve">for victims to contact </w:t>
      </w:r>
      <w:r w:rsidRPr="00B16395">
        <w:rPr>
          <w:rFonts w:ascii="Times New Roman" w:eastAsia="Times New Roman" w:hAnsi="Times New Roman" w:cs="Times New Roman"/>
          <w:sz w:val="24"/>
          <w:szCs w:val="24"/>
        </w:rPr>
        <w:t>the national SOS helpline</w:t>
      </w:r>
      <w:r>
        <w:rPr>
          <w:rFonts w:ascii="Times New Roman" w:eastAsia="Times New Roman" w:hAnsi="Times New Roman" w:cs="Times New Roman"/>
          <w:sz w:val="24"/>
          <w:szCs w:val="24"/>
        </w:rPr>
        <w:t xml:space="preserve"> and seek protection</w:t>
      </w:r>
      <w:r w:rsidRPr="00B16395">
        <w:rPr>
          <w:rFonts w:ascii="Times New Roman" w:eastAsia="Times New Roman" w:hAnsi="Times New Roman" w:cs="Times New Roman"/>
          <w:sz w:val="24"/>
          <w:szCs w:val="24"/>
        </w:rPr>
        <w:t>. Despite authorities’ commitment and concrete measures taken, challenges remain with regard to services’ response to domestic violence cases, lack of a systematic approach with regard to physical protection of victims and pr</w:t>
      </w:r>
      <w:r>
        <w:rPr>
          <w:rFonts w:ascii="Times New Roman" w:eastAsia="Times New Roman" w:hAnsi="Times New Roman" w:cs="Times New Roman"/>
          <w:sz w:val="24"/>
          <w:szCs w:val="24"/>
        </w:rPr>
        <w:t xml:space="preserve">osecution of registered cases, </w:t>
      </w:r>
      <w:r w:rsidRPr="00B16395">
        <w:rPr>
          <w:rFonts w:ascii="Times New Roman" w:eastAsia="Times New Roman" w:hAnsi="Times New Roman" w:cs="Times New Roman"/>
          <w:sz w:val="24"/>
          <w:szCs w:val="24"/>
        </w:rPr>
        <w:t>as well as overly lenient sanctions.</w:t>
      </w:r>
    </w:p>
    <w:p w14:paraId="1F514B23" w14:textId="73296D1F" w:rsidR="00995366" w:rsidRPr="00B16395" w:rsidRDefault="00995366" w:rsidP="00995366">
      <w:pPr>
        <w:autoSpaceDE w:val="0"/>
        <w:autoSpaceDN w:val="0"/>
        <w:adjustRightInd w:val="0"/>
        <w:spacing w:after="120" w:line="240" w:lineRule="auto"/>
        <w:jc w:val="both"/>
        <w:rPr>
          <w:rFonts w:ascii="Times New Roman" w:eastAsiaTheme="majorEastAsia" w:hAnsi="Times New Roman" w:cstheme="minorHAnsi"/>
          <w:sz w:val="24"/>
          <w:lang w:val="bs-Latn-BA"/>
        </w:rPr>
      </w:pPr>
      <w:r w:rsidRPr="00B16395">
        <w:rPr>
          <w:rFonts w:ascii="Times New Roman" w:eastAsia="Times New Roman" w:hAnsi="Times New Roman" w:cs="Times New Roman"/>
          <w:sz w:val="24"/>
          <w:szCs w:val="24"/>
        </w:rPr>
        <w:t xml:space="preserve">Concerning the </w:t>
      </w:r>
      <w:r w:rsidRPr="00B16395">
        <w:rPr>
          <w:rFonts w:ascii="Times New Roman" w:eastAsia="Times New Roman" w:hAnsi="Times New Roman" w:cs="Times New Roman"/>
          <w:b/>
          <w:sz w:val="24"/>
          <w:szCs w:val="24"/>
        </w:rPr>
        <w:t>rights of the child</w:t>
      </w:r>
      <w:r w:rsidRPr="00B163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g</w:t>
      </w:r>
      <w:r w:rsidRPr="00B16395">
        <w:rPr>
          <w:rFonts w:ascii="Times New Roman" w:eastAsiaTheme="majorEastAsia" w:hAnsi="Times New Roman" w:cstheme="minorHAnsi"/>
          <w:sz w:val="24"/>
          <w:lang w:val="bs-Latn-BA"/>
        </w:rPr>
        <w:t>uidelines for the health sector</w:t>
      </w:r>
      <w:r w:rsidR="007D49CA">
        <w:rPr>
          <w:rFonts w:ascii="Times New Roman" w:eastAsiaTheme="majorEastAsia" w:hAnsi="Times New Roman" w:cstheme="minorHAnsi"/>
          <w:sz w:val="24"/>
          <w:lang w:val="bs-Latn-BA"/>
        </w:rPr>
        <w:t>'s</w:t>
      </w:r>
      <w:r w:rsidRPr="00B16395">
        <w:rPr>
          <w:rFonts w:ascii="Times New Roman" w:eastAsiaTheme="majorEastAsia" w:hAnsi="Times New Roman" w:cstheme="minorHAnsi"/>
          <w:sz w:val="24"/>
          <w:lang w:val="bs-Latn-BA"/>
        </w:rPr>
        <w:t xml:space="preserve"> response to children and adolescents who are victims of violence, intended to increase detection and reporting, were finalised in November 2019. </w:t>
      </w:r>
      <w:r w:rsidRPr="00B16395">
        <w:rPr>
          <w:rFonts w:ascii="Times New Roman" w:eastAsia="Times New Roman" w:hAnsi="Times New Roman" w:cs="Times New Roman"/>
          <w:sz w:val="24"/>
          <w:szCs w:val="24"/>
          <w:lang w:val="bs-Latn-BA"/>
        </w:rPr>
        <w:t>T</w:t>
      </w:r>
      <w:r w:rsidRPr="00B16395">
        <w:rPr>
          <w:rFonts w:ascii="Times New Roman" w:eastAsia="Times New Roman" w:hAnsi="Times New Roman" w:cs="Times New Roman"/>
          <w:sz w:val="24"/>
          <w:szCs w:val="24"/>
        </w:rPr>
        <w:t>he very low numbers of reported cases of sexual violence against children continue</w:t>
      </w:r>
      <w:r w:rsidR="0029112D">
        <w:rPr>
          <w:rFonts w:ascii="Times New Roman" w:eastAsia="Times New Roman" w:hAnsi="Times New Roman" w:cs="Times New Roman"/>
          <w:sz w:val="24"/>
          <w:szCs w:val="24"/>
        </w:rPr>
        <w:t>s</w:t>
      </w:r>
      <w:r w:rsidRPr="00B16395">
        <w:rPr>
          <w:rFonts w:ascii="Times New Roman" w:eastAsia="Times New Roman" w:hAnsi="Times New Roman" w:cs="Times New Roman"/>
          <w:sz w:val="24"/>
          <w:szCs w:val="24"/>
        </w:rPr>
        <w:t xml:space="preserve"> to raise concerns about under-reporting and identification of victims. </w:t>
      </w:r>
      <w:r w:rsidR="0029112D">
        <w:rPr>
          <w:rFonts w:ascii="Times New Roman" w:eastAsia="Times New Roman" w:hAnsi="Times New Roman" w:cs="Times New Roman"/>
          <w:sz w:val="24"/>
          <w:szCs w:val="24"/>
        </w:rPr>
        <w:t>A</w:t>
      </w:r>
      <w:r w:rsidR="0029112D">
        <w:rPr>
          <w:rFonts w:ascii="Times New Roman" w:eastAsia="Times New Roman" w:hAnsi="Times New Roman" w:cs="Times New Roman"/>
          <w:sz w:val="24"/>
          <w:szCs w:val="24"/>
          <w:lang w:val="bs-Latn-BA"/>
        </w:rPr>
        <w:t xml:space="preserve"> d</w:t>
      </w:r>
      <w:r w:rsidRPr="00B16395">
        <w:rPr>
          <w:rFonts w:ascii="Times New Roman" w:eastAsia="Times New Roman" w:hAnsi="Times New Roman" w:cs="Times New Roman"/>
          <w:sz w:val="24"/>
          <w:szCs w:val="24"/>
          <w:lang w:val="bs-Latn-BA"/>
        </w:rPr>
        <w:t>edicated campaign on the</w:t>
      </w:r>
      <w:r w:rsidRPr="00B16395">
        <w:rPr>
          <w:rFonts w:ascii="Times New Roman" w:eastAsia="Times New Roman" w:hAnsi="Times New Roman" w:cs="Times New Roman"/>
          <w:sz w:val="24"/>
          <w:szCs w:val="24"/>
        </w:rPr>
        <w:t xml:space="preserve"> mental health of children was launched in 2019. The system for licensing CSO service providers in the social protection system </w:t>
      </w:r>
      <w:r>
        <w:rPr>
          <w:rFonts w:ascii="Times New Roman" w:eastAsia="Times New Roman" w:hAnsi="Times New Roman" w:cs="Times New Roman"/>
          <w:sz w:val="24"/>
          <w:szCs w:val="24"/>
        </w:rPr>
        <w:t xml:space="preserve">was </w:t>
      </w:r>
      <w:r w:rsidRPr="00B16395">
        <w:rPr>
          <w:rFonts w:ascii="Times New Roman" w:eastAsia="Times New Roman" w:hAnsi="Times New Roman" w:cs="Times New Roman"/>
          <w:sz w:val="24"/>
          <w:szCs w:val="24"/>
        </w:rPr>
        <w:t>further developed to provide day-care services for children from families at risk, family outreach workers and an SOS telephone line for children. However, those services are largely project-funded and require more sustainable public financing</w:t>
      </w:r>
      <w:r w:rsidRPr="00B16395">
        <w:rPr>
          <w:rFonts w:ascii="Times New Roman" w:hAnsi="Times New Roman" w:cs="Times New Roman"/>
          <w:color w:val="000000" w:themeColor="text1"/>
          <w:sz w:val="24"/>
          <w:szCs w:val="24"/>
          <w:lang w:bidi="en-US"/>
        </w:rPr>
        <w:t xml:space="preserve">. In March 2020, a public awareness-raising campaign against arranged child marriages was launched, in cooperation </w:t>
      </w:r>
      <w:r>
        <w:rPr>
          <w:rFonts w:ascii="Times New Roman" w:hAnsi="Times New Roman" w:cs="Times New Roman"/>
          <w:color w:val="000000" w:themeColor="text1"/>
          <w:sz w:val="24"/>
          <w:szCs w:val="24"/>
          <w:lang w:bidi="en-US"/>
        </w:rPr>
        <w:t>with</w:t>
      </w:r>
      <w:r w:rsidRPr="00B16395">
        <w:rPr>
          <w:rFonts w:ascii="Times New Roman" w:hAnsi="Times New Roman" w:cs="Times New Roman"/>
          <w:color w:val="000000" w:themeColor="text1"/>
          <w:sz w:val="24"/>
          <w:szCs w:val="24"/>
          <w:lang w:bidi="en-US"/>
        </w:rPr>
        <w:t xml:space="preserve"> </w:t>
      </w:r>
      <w:r w:rsidR="00687AD9">
        <w:rPr>
          <w:rFonts w:ascii="Times New Roman" w:hAnsi="Times New Roman" w:cs="Times New Roman"/>
          <w:color w:val="000000" w:themeColor="text1"/>
          <w:sz w:val="24"/>
          <w:szCs w:val="24"/>
          <w:lang w:bidi="en-US"/>
        </w:rPr>
        <w:t>CSOs</w:t>
      </w:r>
      <w:r w:rsidRPr="00B16395">
        <w:rPr>
          <w:rFonts w:ascii="Times New Roman" w:hAnsi="Times New Roman" w:cs="Times New Roman"/>
          <w:color w:val="000000" w:themeColor="text1"/>
          <w:sz w:val="24"/>
          <w:szCs w:val="24"/>
          <w:lang w:bidi="en-US"/>
        </w:rPr>
        <w:t>.</w:t>
      </w:r>
      <w:r w:rsidRPr="00B16395">
        <w:rPr>
          <w:rFonts w:ascii="Times New Roman" w:eastAsiaTheme="majorEastAsia" w:hAnsi="Times New Roman" w:cstheme="minorHAnsi"/>
          <w:sz w:val="24"/>
          <w:lang w:val="bs-Latn-BA"/>
        </w:rPr>
        <w:t xml:space="preserve">    </w:t>
      </w:r>
    </w:p>
    <w:p w14:paraId="0CBC3BE9" w14:textId="23B6451E" w:rsidR="00995366" w:rsidRPr="00B16395" w:rsidRDefault="00995366" w:rsidP="00995366">
      <w:pPr>
        <w:autoSpaceDE w:val="0"/>
        <w:autoSpaceDN w:val="0"/>
        <w:adjustRightInd w:val="0"/>
        <w:spacing w:after="120" w:line="240" w:lineRule="auto"/>
        <w:jc w:val="both"/>
        <w:rPr>
          <w:rFonts w:ascii="Times New Roman" w:eastAsia="Times New Roman" w:hAnsi="Times New Roman" w:cs="Times New Roman"/>
          <w:sz w:val="24"/>
          <w:szCs w:val="24"/>
        </w:rPr>
      </w:pPr>
      <w:r w:rsidRPr="00B16395">
        <w:rPr>
          <w:rFonts w:ascii="Times New Roman" w:eastAsia="Times New Roman" w:hAnsi="Times New Roman" w:cs="Times New Roman"/>
          <w:sz w:val="24"/>
          <w:szCs w:val="24"/>
        </w:rPr>
        <w:t xml:space="preserve">Regarding the </w:t>
      </w:r>
      <w:r w:rsidRPr="00B16395">
        <w:rPr>
          <w:rFonts w:ascii="Times New Roman" w:eastAsia="Times New Roman" w:hAnsi="Times New Roman" w:cs="Times New Roman"/>
          <w:b/>
          <w:sz w:val="24"/>
          <w:szCs w:val="24"/>
        </w:rPr>
        <w:t>rights of persons with disabilities</w:t>
      </w:r>
      <w:r w:rsidRPr="00B163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B16395">
        <w:rPr>
          <w:rFonts w:ascii="Times New Roman" w:eastAsia="Calibri" w:hAnsi="Times New Roman" w:cs="Times New Roman"/>
          <w:sz w:val="24"/>
          <w:szCs w:val="24"/>
        </w:rPr>
        <w:t>n action plan to follow-up on recommendations of the UN Committee on the Rights of Persons with Disabilities is under preparation. A</w:t>
      </w:r>
      <w:r w:rsidRPr="00B16395">
        <w:rPr>
          <w:rFonts w:ascii="Times New Roman" w:eastAsia="Times New Roman" w:hAnsi="Times New Roman" w:cs="Times New Roman"/>
          <w:sz w:val="24"/>
          <w:szCs w:val="24"/>
        </w:rPr>
        <w:t>mendments to the law on professional rehabilitation and employment of persons with disabilities are not yet finalised. This has, among other things, delayed validation of the rulebook on the working centres and facilities for employment of persons with intellectual and psycho-social disabilities. Concrete steps were taken in 2019 to improve access for persons with disabilities to public facilities and institutions, but the existing legal provisions are yet to be effectively implemented to ensure the systematic enforcement of their rights. Access to polling stations remains a concern. As of 1 January 2020</w:t>
      </w:r>
      <w:r w:rsidR="00701BB2">
        <w:rPr>
          <w:rFonts w:ascii="Times New Roman" w:eastAsia="Times New Roman" w:hAnsi="Times New Roman" w:cs="Times New Roman"/>
          <w:sz w:val="24"/>
          <w:szCs w:val="24"/>
        </w:rPr>
        <w:t>,</w:t>
      </w:r>
      <w:r w:rsidRPr="00B16395">
        <w:rPr>
          <w:rFonts w:ascii="Times New Roman" w:eastAsia="Times New Roman" w:hAnsi="Times New Roman" w:cs="Times New Roman"/>
          <w:sz w:val="24"/>
          <w:szCs w:val="24"/>
        </w:rPr>
        <w:t xml:space="preserve"> a new law on non-contentious proceedings is in force which </w:t>
      </w:r>
      <w:r w:rsidR="00B10615">
        <w:rPr>
          <w:rFonts w:ascii="Times New Roman" w:eastAsia="Times New Roman" w:hAnsi="Times New Roman" w:cs="Times New Roman"/>
          <w:sz w:val="24"/>
          <w:szCs w:val="24"/>
        </w:rPr>
        <w:t>includes some</w:t>
      </w:r>
      <w:r w:rsidRPr="00B16395">
        <w:rPr>
          <w:rFonts w:ascii="Times New Roman" w:eastAsia="Times New Roman" w:hAnsi="Times New Roman" w:cs="Times New Roman"/>
          <w:sz w:val="24"/>
          <w:szCs w:val="24"/>
        </w:rPr>
        <w:t xml:space="preserve"> </w:t>
      </w:r>
      <w:r w:rsidR="00B10615">
        <w:rPr>
          <w:rFonts w:ascii="Times New Roman" w:eastAsia="Times New Roman" w:hAnsi="Times New Roman" w:cs="Times New Roman"/>
          <w:sz w:val="24"/>
          <w:szCs w:val="24"/>
        </w:rPr>
        <w:t xml:space="preserve">procedural </w:t>
      </w:r>
      <w:r w:rsidRPr="00B16395">
        <w:rPr>
          <w:rFonts w:ascii="Times New Roman" w:eastAsia="Times New Roman" w:hAnsi="Times New Roman" w:cs="Times New Roman"/>
          <w:sz w:val="24"/>
          <w:szCs w:val="24"/>
        </w:rPr>
        <w:t xml:space="preserve">safeguards with regard to </w:t>
      </w:r>
      <w:r w:rsidR="00687AD9">
        <w:rPr>
          <w:rFonts w:ascii="Times New Roman" w:eastAsia="Times New Roman" w:hAnsi="Times New Roman" w:cs="Times New Roman"/>
          <w:sz w:val="24"/>
          <w:szCs w:val="24"/>
        </w:rPr>
        <w:t xml:space="preserve">procedure for </w:t>
      </w:r>
      <w:r w:rsidRPr="00B16395">
        <w:rPr>
          <w:rFonts w:ascii="Times New Roman" w:eastAsia="Times New Roman" w:hAnsi="Times New Roman" w:cs="Times New Roman"/>
          <w:sz w:val="24"/>
          <w:szCs w:val="24"/>
        </w:rPr>
        <w:t>deprivation of legal capacity.</w:t>
      </w:r>
    </w:p>
    <w:p w14:paraId="2C5303FB" w14:textId="012D334F" w:rsidR="00995366" w:rsidRPr="00B16395" w:rsidRDefault="00995366" w:rsidP="00995366">
      <w:pPr>
        <w:autoSpaceDE w:val="0"/>
        <w:autoSpaceDN w:val="0"/>
        <w:adjustRightInd w:val="0"/>
        <w:spacing w:after="120" w:line="240" w:lineRule="auto"/>
        <w:jc w:val="both"/>
        <w:rPr>
          <w:rFonts w:ascii="Times New Roman" w:eastAsia="Times New Roman" w:hAnsi="Times New Roman" w:cs="Times New Roman"/>
          <w:sz w:val="24"/>
          <w:szCs w:val="24"/>
        </w:rPr>
      </w:pPr>
      <w:r w:rsidRPr="00B16395">
        <w:rPr>
          <w:rFonts w:ascii="Times New Roman" w:eastAsia="Times New Roman" w:hAnsi="Times New Roman" w:cs="Times New Roman"/>
          <w:sz w:val="24"/>
          <w:szCs w:val="24"/>
        </w:rPr>
        <w:lastRenderedPageBreak/>
        <w:t xml:space="preserve">On the </w:t>
      </w:r>
      <w:r w:rsidRPr="00B16395">
        <w:rPr>
          <w:rFonts w:ascii="Times New Roman" w:eastAsia="Times New Roman" w:hAnsi="Times New Roman" w:cs="Times New Roman"/>
          <w:b/>
          <w:sz w:val="24"/>
          <w:szCs w:val="24"/>
        </w:rPr>
        <w:t>rights of lesbian, gay, bisexual, transgender and intersex (LGBTI)</w:t>
      </w:r>
      <w:r w:rsidRPr="00B16395">
        <w:rPr>
          <w:rFonts w:ascii="Times New Roman" w:eastAsia="Times New Roman" w:hAnsi="Times New Roman" w:cs="Times New Roman"/>
          <w:sz w:val="24"/>
          <w:szCs w:val="24"/>
        </w:rPr>
        <w:t xml:space="preserve"> </w:t>
      </w:r>
      <w:r w:rsidRPr="00B16395">
        <w:rPr>
          <w:rFonts w:ascii="Times New Roman" w:eastAsia="Times New Roman" w:hAnsi="Times New Roman" w:cs="Times New Roman"/>
          <w:b/>
          <w:sz w:val="24"/>
          <w:szCs w:val="24"/>
        </w:rPr>
        <w:t>persons</w:t>
      </w:r>
      <w:r w:rsidRPr="00B163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Pr="00B16395">
        <w:rPr>
          <w:rFonts w:ascii="Times New Roman" w:eastAsia="Times New Roman" w:hAnsi="Times New Roman" w:cs="Times New Roman"/>
          <w:sz w:val="24"/>
          <w:szCs w:val="24"/>
        </w:rPr>
        <w:t>apacity-building activities for police officers, prosecutors and social services professionals were delivered in six municipalities. The Ministry of Human and Minority Rights provided grants to help maintain two LGB</w:t>
      </w:r>
      <w:r w:rsidR="007D49CA">
        <w:rPr>
          <w:rFonts w:ascii="Times New Roman" w:eastAsia="Times New Roman" w:hAnsi="Times New Roman" w:cs="Times New Roman"/>
          <w:sz w:val="24"/>
          <w:szCs w:val="24"/>
        </w:rPr>
        <w:t>T</w:t>
      </w:r>
      <w:r w:rsidRPr="00B16395">
        <w:rPr>
          <w:rFonts w:ascii="Times New Roman" w:eastAsia="Times New Roman" w:hAnsi="Times New Roman" w:cs="Times New Roman"/>
          <w:sz w:val="24"/>
          <w:szCs w:val="24"/>
        </w:rPr>
        <w:t>I shelters. After two unsuccessful votes in Parliament, the government revised its proposal for the law on life partnership of same sex partners (same-sex partnership law) in December 2019. In March 2020, the Parliamentary human rights committee organised a consultative session to promote the law</w:t>
      </w:r>
      <w:r w:rsidR="00B10615">
        <w:rPr>
          <w:rFonts w:ascii="Times New Roman" w:eastAsia="Times New Roman" w:hAnsi="Times New Roman" w:cs="Times New Roman"/>
          <w:sz w:val="24"/>
          <w:szCs w:val="24"/>
        </w:rPr>
        <w:t xml:space="preserve"> which is still pending enactment</w:t>
      </w:r>
      <w:r w:rsidRPr="00B16395">
        <w:rPr>
          <w:rFonts w:ascii="Times New Roman" w:eastAsia="Times New Roman" w:hAnsi="Times New Roman" w:cs="Times New Roman"/>
          <w:sz w:val="24"/>
          <w:szCs w:val="24"/>
        </w:rPr>
        <w:t>. More than 100 complaint</w:t>
      </w:r>
      <w:r>
        <w:rPr>
          <w:rFonts w:ascii="Times New Roman" w:eastAsia="Times New Roman" w:hAnsi="Times New Roman" w:cs="Times New Roman"/>
          <w:sz w:val="24"/>
          <w:szCs w:val="24"/>
        </w:rPr>
        <w:t>s</w:t>
      </w:r>
      <w:r w:rsidRPr="00B16395">
        <w:rPr>
          <w:rFonts w:ascii="Times New Roman" w:eastAsia="Times New Roman" w:hAnsi="Times New Roman" w:cs="Times New Roman"/>
          <w:sz w:val="24"/>
          <w:szCs w:val="24"/>
        </w:rPr>
        <w:t xml:space="preserve"> of discrimination, hate speech and verbal abuse in the media have been lodged in 2019, but only one person was convicted in the same year for violent LGBTI-phobic behaviour perpetrated in 2017. In September 2019, the seventh Pride Parade took place in Podgorica without incident</w:t>
      </w:r>
      <w:r w:rsidR="00B10615">
        <w:rPr>
          <w:rFonts w:ascii="Times New Roman" w:eastAsia="Times New Roman" w:hAnsi="Times New Roman" w:cs="Times New Roman"/>
          <w:sz w:val="24"/>
          <w:szCs w:val="24"/>
        </w:rPr>
        <w:t>s</w:t>
      </w:r>
      <w:r w:rsidRPr="00B16395">
        <w:rPr>
          <w:rFonts w:ascii="Times New Roman" w:eastAsia="Times New Roman" w:hAnsi="Times New Roman" w:cs="Times New Roman"/>
          <w:sz w:val="24"/>
          <w:szCs w:val="24"/>
        </w:rPr>
        <w:t xml:space="preserve">. </w:t>
      </w:r>
    </w:p>
    <w:p w14:paraId="07CC7FB7" w14:textId="77777777" w:rsidR="00995366" w:rsidRPr="00B16395" w:rsidRDefault="00995366" w:rsidP="00995366">
      <w:pPr>
        <w:autoSpaceDE w:val="0"/>
        <w:autoSpaceDN w:val="0"/>
        <w:adjustRightInd w:val="0"/>
        <w:spacing w:after="120" w:line="240" w:lineRule="auto"/>
        <w:jc w:val="both"/>
        <w:rPr>
          <w:rFonts w:ascii="Times New Roman" w:eastAsia="Times New Roman" w:hAnsi="Times New Roman" w:cs="Times New Roman"/>
          <w:sz w:val="24"/>
          <w:szCs w:val="24"/>
        </w:rPr>
      </w:pPr>
      <w:r w:rsidRPr="00B16395">
        <w:rPr>
          <w:rFonts w:ascii="Times New Roman" w:eastAsia="Times New Roman" w:hAnsi="Times New Roman" w:cs="Times New Roman"/>
          <w:sz w:val="24"/>
          <w:szCs w:val="24"/>
        </w:rPr>
        <w:t xml:space="preserve">In the field of </w:t>
      </w:r>
      <w:r w:rsidRPr="00B16395">
        <w:rPr>
          <w:rFonts w:ascii="Times New Roman" w:eastAsia="Times New Roman" w:hAnsi="Times New Roman" w:cs="Times New Roman"/>
          <w:b/>
          <w:sz w:val="24"/>
          <w:szCs w:val="24"/>
        </w:rPr>
        <w:t>procedural rights</w:t>
      </w:r>
      <w:r w:rsidRPr="00B16395">
        <w:rPr>
          <w:rFonts w:ascii="Times New Roman" w:eastAsia="Times New Roman" w:hAnsi="Times New Roman" w:cs="Times New Roman"/>
          <w:sz w:val="24"/>
          <w:szCs w:val="24"/>
        </w:rPr>
        <w:t xml:space="preserve">, no new activities have been implemented to ensure full alignment with the EU </w:t>
      </w:r>
      <w:r w:rsidRPr="00B16395">
        <w:rPr>
          <w:rFonts w:ascii="Times New Roman" w:eastAsia="Times New Roman" w:hAnsi="Times New Roman" w:cs="Times New Roman"/>
          <w:i/>
          <w:sz w:val="24"/>
          <w:szCs w:val="24"/>
        </w:rPr>
        <w:t>acquis</w:t>
      </w:r>
      <w:r w:rsidRPr="00B16395">
        <w:rPr>
          <w:rFonts w:ascii="Times New Roman" w:eastAsia="Times New Roman" w:hAnsi="Times New Roman" w:cs="Times New Roman"/>
          <w:sz w:val="24"/>
          <w:szCs w:val="24"/>
        </w:rPr>
        <w:t xml:space="preserve"> and European standards, notably on the rights of suspects and accused persons in criminal proceedings as well as on victims’ rights. The duration of judicial proceedings remains an issue. More efforts are required to ensure access to justice, including through dissemination of information on free legal aid and additional measures for victims, more particularly for vulnerable groups and persons in situation of vulnerability. </w:t>
      </w:r>
    </w:p>
    <w:p w14:paraId="4B4C468D" w14:textId="5F61D6E1" w:rsidR="00995366" w:rsidRPr="00B16395" w:rsidRDefault="00995366" w:rsidP="00995366">
      <w:pPr>
        <w:autoSpaceDE w:val="0"/>
        <w:autoSpaceDN w:val="0"/>
        <w:adjustRightInd w:val="0"/>
        <w:spacing w:after="120" w:line="240" w:lineRule="auto"/>
        <w:jc w:val="both"/>
        <w:rPr>
          <w:rFonts w:ascii="Times New Roman" w:eastAsia="Times New Roman" w:hAnsi="Times New Roman" w:cs="Times New Roman"/>
          <w:sz w:val="24"/>
          <w:szCs w:val="24"/>
        </w:rPr>
      </w:pPr>
      <w:r w:rsidRPr="00B16395">
        <w:rPr>
          <w:rFonts w:ascii="Times New Roman" w:eastAsia="Times New Roman" w:hAnsi="Times New Roman" w:cs="Times New Roman"/>
          <w:sz w:val="24"/>
          <w:szCs w:val="24"/>
        </w:rPr>
        <w:t xml:space="preserve">Concerning </w:t>
      </w:r>
      <w:r w:rsidR="00F474A7">
        <w:rPr>
          <w:rFonts w:ascii="Times New Roman" w:eastAsia="Times New Roman" w:hAnsi="Times New Roman" w:cs="Times New Roman"/>
          <w:sz w:val="24"/>
          <w:szCs w:val="24"/>
        </w:rPr>
        <w:t xml:space="preserve">the </w:t>
      </w:r>
      <w:r w:rsidR="00F474A7">
        <w:rPr>
          <w:rFonts w:ascii="Times New Roman" w:eastAsia="Times New Roman" w:hAnsi="Times New Roman" w:cs="Times New Roman"/>
          <w:b/>
          <w:sz w:val="24"/>
          <w:szCs w:val="24"/>
        </w:rPr>
        <w:t>protection of minorities</w:t>
      </w:r>
      <w:r w:rsidRPr="00B16395">
        <w:rPr>
          <w:rFonts w:ascii="Times New Roman" w:eastAsia="Times New Roman" w:hAnsi="Times New Roman" w:cs="Times New Roman"/>
          <w:sz w:val="24"/>
          <w:szCs w:val="24"/>
        </w:rPr>
        <w:t xml:space="preserve">, there has been some improvement regarding the Fund for the Protection and Realisation of Minority Rights, </w:t>
      </w:r>
      <w:r>
        <w:rPr>
          <w:rFonts w:ascii="Times New Roman" w:eastAsia="Times New Roman" w:hAnsi="Times New Roman" w:cs="Times New Roman"/>
          <w:sz w:val="24"/>
          <w:szCs w:val="24"/>
        </w:rPr>
        <w:t xml:space="preserve">but </w:t>
      </w:r>
      <w:r w:rsidRPr="00B16395">
        <w:rPr>
          <w:rFonts w:ascii="Times New Roman" w:eastAsia="Times New Roman" w:hAnsi="Times New Roman" w:cs="Times New Roman"/>
          <w:sz w:val="24"/>
          <w:szCs w:val="24"/>
        </w:rPr>
        <w:t xml:space="preserve">lack of monitoring and evaluation of projects receiving funding feed into a perception that the funding process still lacks transparency. The legal framework for Minority Councils </w:t>
      </w:r>
      <w:r w:rsidR="00F474A7">
        <w:rPr>
          <w:rFonts w:ascii="Times New Roman" w:eastAsia="Times New Roman" w:hAnsi="Times New Roman" w:cs="Times New Roman"/>
          <w:sz w:val="24"/>
          <w:szCs w:val="24"/>
        </w:rPr>
        <w:t>will</w:t>
      </w:r>
      <w:r w:rsidR="00F474A7" w:rsidRPr="00B16395">
        <w:rPr>
          <w:rFonts w:ascii="Times New Roman" w:eastAsia="Times New Roman" w:hAnsi="Times New Roman" w:cs="Times New Roman"/>
          <w:sz w:val="24"/>
          <w:szCs w:val="24"/>
        </w:rPr>
        <w:t xml:space="preserve"> </w:t>
      </w:r>
      <w:r w:rsidRPr="00B16395">
        <w:rPr>
          <w:rFonts w:ascii="Times New Roman" w:eastAsia="Times New Roman" w:hAnsi="Times New Roman" w:cs="Times New Roman"/>
          <w:sz w:val="24"/>
          <w:szCs w:val="24"/>
        </w:rPr>
        <w:t>need to be reviewed regarding their establishment, legal status and gender balance</w:t>
      </w:r>
      <w:r>
        <w:rPr>
          <w:rFonts w:ascii="Times New Roman" w:eastAsia="Times New Roman" w:hAnsi="Times New Roman" w:cs="Times New Roman"/>
          <w:sz w:val="24"/>
          <w:szCs w:val="24"/>
        </w:rPr>
        <w:t xml:space="preserve"> in accordance with the October 2019 recommendations of the Council of Europe Advisory Committee on the Framework Convention for the Protection of National Minorities</w:t>
      </w:r>
      <w:r w:rsidRPr="00B16395">
        <w:rPr>
          <w:rFonts w:ascii="Times New Roman" w:eastAsia="Times New Roman" w:hAnsi="Times New Roman" w:cs="Times New Roman"/>
          <w:sz w:val="24"/>
          <w:szCs w:val="24"/>
        </w:rPr>
        <w:t xml:space="preserve">. Some inter-ethnic incidents were reported in the context of the adoption of </w:t>
      </w:r>
      <w:r w:rsidR="00B10615">
        <w:rPr>
          <w:rFonts w:ascii="Times New Roman" w:eastAsia="Times New Roman" w:hAnsi="Times New Roman" w:cs="Times New Roman"/>
          <w:sz w:val="24"/>
          <w:szCs w:val="24"/>
        </w:rPr>
        <w:t xml:space="preserve">the </w:t>
      </w:r>
      <w:r w:rsidRPr="00B16395">
        <w:rPr>
          <w:rFonts w:ascii="Times New Roman" w:eastAsia="Times New Roman" w:hAnsi="Times New Roman" w:cs="Times New Roman"/>
          <w:sz w:val="24"/>
          <w:szCs w:val="24"/>
        </w:rPr>
        <w:t>law on freedom of religion</w:t>
      </w:r>
      <w:r>
        <w:rPr>
          <w:rFonts w:ascii="Times New Roman" w:eastAsia="Times New Roman" w:hAnsi="Times New Roman" w:cs="Times New Roman"/>
          <w:sz w:val="24"/>
          <w:szCs w:val="24"/>
        </w:rPr>
        <w:t xml:space="preserve"> or beliefs</w:t>
      </w:r>
      <w:r w:rsidRPr="00B16395">
        <w:rPr>
          <w:rFonts w:ascii="Times New Roman" w:eastAsia="Times New Roman" w:hAnsi="Times New Roman" w:cs="Times New Roman"/>
          <w:sz w:val="24"/>
          <w:szCs w:val="24"/>
        </w:rPr>
        <w:t xml:space="preserve">.       </w:t>
      </w:r>
    </w:p>
    <w:p w14:paraId="483B7C78" w14:textId="2D3D541F" w:rsidR="00995366" w:rsidRPr="00B16395" w:rsidRDefault="00995366" w:rsidP="00995366">
      <w:pPr>
        <w:spacing w:after="120" w:line="240" w:lineRule="auto"/>
        <w:jc w:val="both"/>
        <w:rPr>
          <w:rFonts w:ascii="Times New Roman" w:eastAsia="Calibri" w:hAnsi="Times New Roman" w:cs="Times New Roman"/>
          <w:color w:val="000000"/>
          <w:sz w:val="24"/>
          <w:szCs w:val="24"/>
        </w:rPr>
      </w:pPr>
      <w:r w:rsidRPr="00B16395">
        <w:rPr>
          <w:rFonts w:ascii="Times New Roman" w:eastAsia="Times New Roman" w:hAnsi="Times New Roman" w:cs="Times New Roman"/>
          <w:sz w:val="24"/>
          <w:szCs w:val="24"/>
        </w:rPr>
        <w:t>In April 2020, the government adopted the annual action plan for the implementation of the strategy for the social inclusion of</w:t>
      </w:r>
      <w:r w:rsidRPr="00B16395">
        <w:rPr>
          <w:rFonts w:ascii="Times New Roman" w:eastAsia="Times New Roman" w:hAnsi="Times New Roman" w:cs="Times New Roman"/>
          <w:b/>
          <w:sz w:val="24"/>
          <w:szCs w:val="24"/>
        </w:rPr>
        <w:t xml:space="preserve"> Roma and Egyptians</w:t>
      </w:r>
      <w:r w:rsidRPr="00B16395">
        <w:rPr>
          <w:rFonts w:ascii="Times New Roman" w:eastAsia="Times New Roman" w:hAnsi="Times New Roman" w:cs="Times New Roman"/>
          <w:sz w:val="24"/>
          <w:szCs w:val="24"/>
          <w:vertAlign w:val="superscript"/>
        </w:rPr>
        <w:footnoteReference w:id="2"/>
      </w:r>
      <w:r w:rsidRPr="00B16395">
        <w:rPr>
          <w:rFonts w:ascii="Times New Roman" w:eastAsia="Times New Roman" w:hAnsi="Times New Roman" w:cs="Times New Roman"/>
          <w:sz w:val="24"/>
          <w:szCs w:val="24"/>
        </w:rPr>
        <w:t xml:space="preserve">. </w:t>
      </w:r>
      <w:r w:rsidRPr="00B16395">
        <w:rPr>
          <w:rFonts w:ascii="Times New Roman" w:eastAsia="Calibri" w:hAnsi="Times New Roman" w:cs="Times New Roman"/>
          <w:sz w:val="24"/>
          <w:szCs w:val="24"/>
        </w:rPr>
        <w:t xml:space="preserve">The budget allocated for implementing the strategy remains insufficient and Roma-responsive budgeting needs to be given greater priority across different sectors. </w:t>
      </w:r>
      <w:r w:rsidRPr="00B16395">
        <w:rPr>
          <w:rFonts w:ascii="Times New Roman" w:hAnsi="Times New Roman" w:cs="Times New Roman"/>
          <w:noProof/>
          <w:sz w:val="24"/>
          <w:szCs w:val="24"/>
        </w:rPr>
        <w:t>Efforts to meet the</w:t>
      </w:r>
      <w:r>
        <w:rPr>
          <w:rFonts w:ascii="Times New Roman" w:hAnsi="Times New Roman" w:cs="Times New Roman"/>
          <w:noProof/>
          <w:sz w:val="24"/>
          <w:szCs w:val="24"/>
        </w:rPr>
        <w:t xml:space="preserve"> </w:t>
      </w:r>
      <w:r w:rsidRPr="00B16395">
        <w:rPr>
          <w:rFonts w:ascii="Times New Roman" w:hAnsi="Times New Roman" w:cs="Times New Roman"/>
          <w:noProof/>
          <w:sz w:val="24"/>
          <w:szCs w:val="24"/>
        </w:rPr>
        <w:t>commitments</w:t>
      </w:r>
      <w:r>
        <w:rPr>
          <w:rFonts w:ascii="Times New Roman" w:hAnsi="Times New Roman" w:cs="Times New Roman"/>
          <w:noProof/>
          <w:sz w:val="24"/>
          <w:szCs w:val="24"/>
        </w:rPr>
        <w:t xml:space="preserve"> from</w:t>
      </w:r>
      <w:r w:rsidRPr="00B16395">
        <w:rPr>
          <w:rFonts w:ascii="Times New Roman" w:hAnsi="Times New Roman" w:cs="Times New Roman"/>
          <w:noProof/>
          <w:sz w:val="24"/>
          <w:szCs w:val="24"/>
        </w:rPr>
        <w:t xml:space="preserve"> </w:t>
      </w:r>
      <w:r w:rsidRPr="00B16395">
        <w:rPr>
          <w:rFonts w:ascii="Times New Roman" w:eastAsia="Calibri" w:hAnsi="Times New Roman" w:cs="Times New Roman"/>
          <w:sz w:val="24"/>
          <w:szCs w:val="24"/>
        </w:rPr>
        <w:t xml:space="preserve">the Western Balkan Partners Roma Integration declaration in Poznan </w:t>
      </w:r>
      <w:r w:rsidR="00BF6E46">
        <w:rPr>
          <w:rFonts w:ascii="Times New Roman" w:eastAsia="Calibri" w:hAnsi="Times New Roman" w:cs="Times New Roman"/>
          <w:sz w:val="24"/>
          <w:szCs w:val="24"/>
        </w:rPr>
        <w:t>(</w:t>
      </w:r>
      <w:r>
        <w:rPr>
          <w:rFonts w:ascii="Times New Roman" w:eastAsia="Calibri" w:hAnsi="Times New Roman" w:cs="Times New Roman"/>
          <w:sz w:val="24"/>
          <w:szCs w:val="24"/>
        </w:rPr>
        <w:t xml:space="preserve">signed </w:t>
      </w:r>
      <w:r w:rsidRPr="00B16395">
        <w:rPr>
          <w:rFonts w:ascii="Times New Roman" w:eastAsia="Calibri" w:hAnsi="Times New Roman" w:cs="Times New Roman"/>
          <w:sz w:val="24"/>
          <w:szCs w:val="24"/>
        </w:rPr>
        <w:t>in July 2019</w:t>
      </w:r>
      <w:r w:rsidR="00BF6E4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16395">
        <w:rPr>
          <w:rFonts w:ascii="Times New Roman" w:hAnsi="Times New Roman" w:cs="Times New Roman"/>
          <w:noProof/>
          <w:sz w:val="24"/>
          <w:szCs w:val="24"/>
        </w:rPr>
        <w:t xml:space="preserve">need to be stepped up. The </w:t>
      </w:r>
      <w:r w:rsidR="00BF6E46">
        <w:rPr>
          <w:rFonts w:ascii="Times New Roman" w:hAnsi="Times New Roman" w:cs="Times New Roman"/>
          <w:noProof/>
          <w:sz w:val="24"/>
          <w:szCs w:val="24"/>
        </w:rPr>
        <w:t>c</w:t>
      </w:r>
      <w:r w:rsidRPr="00B16395">
        <w:rPr>
          <w:rFonts w:ascii="Times New Roman" w:hAnsi="Times New Roman" w:cs="Times New Roman"/>
          <w:noProof/>
          <w:sz w:val="24"/>
          <w:szCs w:val="24"/>
        </w:rPr>
        <w:t>onclusions from the June 2018 Roma Seminar involving all the relevant stakeholders, are yet to be implemented.</w:t>
      </w:r>
      <w:r w:rsidRPr="00B16395">
        <w:rPr>
          <w:rFonts w:ascii="Times New Roman" w:eastAsia="Calibri" w:hAnsi="Times New Roman" w:cs="Times New Roman"/>
          <w:color w:val="000000"/>
          <w:sz w:val="24"/>
          <w:szCs w:val="24"/>
        </w:rPr>
        <w:t xml:space="preserve"> </w:t>
      </w:r>
      <w:r w:rsidRPr="00B16395">
        <w:rPr>
          <w:rFonts w:ascii="Times New Roman" w:eastAsia="Calibri" w:hAnsi="Times New Roman" w:cs="Times New Roman"/>
          <w:sz w:val="24"/>
          <w:szCs w:val="24"/>
        </w:rPr>
        <w:t xml:space="preserve">In 2019/2020, 1,803 Roma and Egyptian children were enrolled in primary schools (1,793 in 2018/2019), only 142 in secondary school and there were 13 high school students. While drop-out rates are moderately decreasing, the overall completion rates remain </w:t>
      </w:r>
      <w:r>
        <w:rPr>
          <w:rFonts w:ascii="Times New Roman" w:eastAsia="Calibri" w:hAnsi="Times New Roman" w:cs="Times New Roman"/>
          <w:sz w:val="24"/>
          <w:szCs w:val="24"/>
        </w:rPr>
        <w:t>very</w:t>
      </w:r>
      <w:r w:rsidRPr="00B16395">
        <w:rPr>
          <w:rFonts w:ascii="Times New Roman" w:eastAsia="Calibri" w:hAnsi="Times New Roman" w:cs="Times New Roman"/>
          <w:sz w:val="24"/>
          <w:szCs w:val="24"/>
        </w:rPr>
        <w:t xml:space="preserve"> low, with only </w:t>
      </w:r>
      <w:r w:rsidRPr="00B16395">
        <w:rPr>
          <w:rFonts w:ascii="Times New Roman" w:eastAsia="Calibri" w:hAnsi="Times New Roman" w:cs="Times New Roman"/>
          <w:color w:val="000000"/>
          <w:sz w:val="24"/>
          <w:szCs w:val="24"/>
        </w:rPr>
        <w:t>88 pupils successfully completing elementary school and 19 secondary school in 2019. Twenty-one Roma mediators have been employed by the Ministry of Education since the beginning of the 2019/2020 school year to help</w:t>
      </w:r>
      <w:r>
        <w:rPr>
          <w:rFonts w:ascii="Times New Roman" w:eastAsia="Calibri" w:hAnsi="Times New Roman" w:cs="Times New Roman"/>
          <w:color w:val="000000"/>
          <w:sz w:val="24"/>
          <w:szCs w:val="24"/>
        </w:rPr>
        <w:t xml:space="preserve"> </w:t>
      </w:r>
      <w:r w:rsidRPr="00B16395">
        <w:rPr>
          <w:rFonts w:ascii="Times New Roman" w:eastAsia="Calibri" w:hAnsi="Times New Roman" w:cs="Times New Roman"/>
          <w:color w:val="000000"/>
          <w:sz w:val="24"/>
          <w:szCs w:val="24"/>
        </w:rPr>
        <w:t>increase the enrolment rate of Roma and Egyptian children and reduce the dropout rate.</w:t>
      </w:r>
      <w:r>
        <w:rPr>
          <w:rFonts w:ascii="Times New Roman" w:eastAsia="Calibri" w:hAnsi="Times New Roman" w:cs="Times New Roman"/>
          <w:color w:val="000000"/>
          <w:sz w:val="24"/>
          <w:szCs w:val="24"/>
        </w:rPr>
        <w:t xml:space="preserve"> </w:t>
      </w:r>
      <w:r w:rsidRPr="00B16395">
        <w:rPr>
          <w:rFonts w:ascii="Times New Roman" w:eastAsia="Calibri" w:hAnsi="Times New Roman" w:cs="Times New Roman"/>
          <w:color w:val="000000"/>
          <w:sz w:val="24"/>
          <w:szCs w:val="24"/>
        </w:rPr>
        <w:t>Some targeted measures were implemented</w:t>
      </w:r>
      <w:r>
        <w:rPr>
          <w:rFonts w:ascii="Times New Roman" w:eastAsia="Calibri" w:hAnsi="Times New Roman" w:cs="Times New Roman"/>
          <w:color w:val="000000"/>
          <w:sz w:val="24"/>
          <w:szCs w:val="24"/>
        </w:rPr>
        <w:t xml:space="preserve"> with regard to </w:t>
      </w:r>
      <w:r w:rsidRPr="00B16395">
        <w:rPr>
          <w:rFonts w:ascii="Times New Roman" w:eastAsia="Calibri" w:hAnsi="Times New Roman" w:cs="Times New Roman"/>
          <w:color w:val="000000"/>
          <w:sz w:val="24"/>
          <w:szCs w:val="24"/>
        </w:rPr>
        <w:t>active employment measures</w:t>
      </w:r>
      <w:r>
        <w:rPr>
          <w:rFonts w:ascii="Times New Roman" w:eastAsia="Calibri" w:hAnsi="Times New Roman" w:cs="Times New Roman"/>
          <w:color w:val="000000"/>
          <w:sz w:val="24"/>
          <w:szCs w:val="24"/>
        </w:rPr>
        <w:t xml:space="preserve"> of Roma</w:t>
      </w:r>
      <w:r w:rsidRPr="00B16395">
        <w:rPr>
          <w:rFonts w:ascii="Times New Roman" w:eastAsia="Calibri" w:hAnsi="Times New Roman" w:cs="Times New Roman"/>
          <w:color w:val="000000"/>
          <w:sz w:val="24"/>
          <w:szCs w:val="24"/>
        </w:rPr>
        <w:t xml:space="preserve">, but their sustainability and effectiveness have yet to be ensured. In the area of health, three Roma health mediators are employed in Podgorica and two in Nikšić and Berane. Challenges remain for the housing of domiciled Roma and Egyptians, in particular in light of the July 2019 deadline </w:t>
      </w:r>
      <w:r w:rsidR="00F474A7">
        <w:rPr>
          <w:rFonts w:ascii="Times New Roman" w:eastAsia="Calibri" w:hAnsi="Times New Roman" w:cs="Times New Roman"/>
          <w:color w:val="000000"/>
          <w:sz w:val="24"/>
          <w:szCs w:val="24"/>
        </w:rPr>
        <w:t>provided</w:t>
      </w:r>
      <w:r w:rsidR="00F474A7" w:rsidRPr="00B16395">
        <w:rPr>
          <w:rFonts w:ascii="Times New Roman" w:eastAsia="Calibri" w:hAnsi="Times New Roman" w:cs="Times New Roman"/>
          <w:color w:val="000000"/>
          <w:sz w:val="24"/>
          <w:szCs w:val="24"/>
        </w:rPr>
        <w:t xml:space="preserve"> </w:t>
      </w:r>
      <w:r w:rsidRPr="00B16395">
        <w:rPr>
          <w:rFonts w:ascii="Times New Roman" w:eastAsia="Calibri" w:hAnsi="Times New Roman" w:cs="Times New Roman"/>
          <w:color w:val="000000"/>
          <w:sz w:val="24"/>
          <w:szCs w:val="24"/>
        </w:rPr>
        <w:t xml:space="preserve">by the law on spatial planning and construction for applications for the legalisation of illegal buildings. This cumbersome and expensive process has created difficulties for many Roma and Egyptian families. </w:t>
      </w:r>
    </w:p>
    <w:p w14:paraId="2D22DAFE" w14:textId="77777777" w:rsidR="00995366" w:rsidRPr="00B16395" w:rsidRDefault="00995366" w:rsidP="00995366">
      <w:pPr>
        <w:spacing w:after="120" w:line="240" w:lineRule="auto"/>
        <w:jc w:val="both"/>
        <w:rPr>
          <w:rFonts w:ascii="Times New Roman" w:eastAsia="Calibri" w:hAnsi="Times New Roman" w:cs="Times New Roman"/>
          <w:color w:val="000000"/>
          <w:sz w:val="24"/>
          <w:szCs w:val="24"/>
        </w:rPr>
      </w:pPr>
      <w:r w:rsidRPr="00B16395">
        <w:rPr>
          <w:rFonts w:ascii="Times New Roman" w:eastAsia="Calibri" w:hAnsi="Times New Roman" w:cs="Times New Roman"/>
          <w:color w:val="000000"/>
          <w:sz w:val="24"/>
          <w:szCs w:val="24"/>
        </w:rPr>
        <w:lastRenderedPageBreak/>
        <w:t xml:space="preserve">With regard to </w:t>
      </w:r>
      <w:r w:rsidRPr="00B16395">
        <w:rPr>
          <w:rFonts w:ascii="Times New Roman" w:eastAsia="Calibri" w:hAnsi="Times New Roman" w:cs="Times New Roman"/>
          <w:b/>
          <w:color w:val="000000"/>
          <w:sz w:val="24"/>
          <w:szCs w:val="24"/>
        </w:rPr>
        <w:t>displaced and internally displaced people</w:t>
      </w:r>
      <w:r w:rsidRPr="00B16395">
        <w:rPr>
          <w:rFonts w:ascii="Times New Roman" w:eastAsia="Calibri" w:hAnsi="Times New Roman" w:cs="Times New Roman"/>
          <w:color w:val="000000"/>
          <w:sz w:val="24"/>
          <w:szCs w:val="24"/>
        </w:rPr>
        <w:t xml:space="preserve">, there were a total of 15,247 requests for permanent or temporary residence lodged </w:t>
      </w:r>
      <w:r>
        <w:rPr>
          <w:rFonts w:ascii="Times New Roman" w:eastAsia="Calibri" w:hAnsi="Times New Roman" w:cs="Times New Roman"/>
          <w:color w:val="000000"/>
          <w:sz w:val="24"/>
          <w:szCs w:val="24"/>
        </w:rPr>
        <w:t>until</w:t>
      </w:r>
      <w:r w:rsidRPr="00B16395">
        <w:rPr>
          <w:rFonts w:ascii="Times New Roman" w:eastAsia="Calibri" w:hAnsi="Times New Roman" w:cs="Times New Roman"/>
          <w:color w:val="000000"/>
          <w:sz w:val="24"/>
          <w:szCs w:val="24"/>
        </w:rPr>
        <w:t xml:space="preserve"> March 2020</w:t>
      </w:r>
      <w:r>
        <w:rPr>
          <w:rFonts w:ascii="Times New Roman" w:eastAsia="Calibri" w:hAnsi="Times New Roman" w:cs="Times New Roman"/>
          <w:color w:val="000000"/>
          <w:sz w:val="24"/>
          <w:szCs w:val="24"/>
        </w:rPr>
        <w:t>,</w:t>
      </w:r>
      <w:r w:rsidRPr="00B16395">
        <w:rPr>
          <w:rFonts w:ascii="Times New Roman" w:eastAsia="Calibri" w:hAnsi="Times New Roman" w:cs="Times New Roman"/>
          <w:color w:val="000000"/>
          <w:sz w:val="24"/>
          <w:szCs w:val="24"/>
        </w:rPr>
        <w:t xml:space="preserve"> 15,075 were resolved with 12,374 persons being granted permanent or temporary residence up to 3 years and 172 requests were still pending. Some 298 requests were rejected and 2,412 </w:t>
      </w:r>
      <w:r>
        <w:rPr>
          <w:rFonts w:ascii="Times New Roman" w:eastAsia="Calibri" w:hAnsi="Times New Roman" w:cs="Times New Roman"/>
          <w:color w:val="000000"/>
          <w:sz w:val="24"/>
          <w:szCs w:val="24"/>
        </w:rPr>
        <w:t>discontinued</w:t>
      </w:r>
      <w:r w:rsidRPr="00B16395">
        <w:rPr>
          <w:rFonts w:ascii="Times New Roman" w:eastAsia="Calibri" w:hAnsi="Times New Roman" w:cs="Times New Roman"/>
          <w:color w:val="000000"/>
          <w:sz w:val="24"/>
          <w:szCs w:val="24"/>
        </w:rPr>
        <w:t xml:space="preserve"> due to incomplete or double application</w:t>
      </w:r>
      <w:r>
        <w:rPr>
          <w:rFonts w:ascii="Times New Roman" w:eastAsia="Calibri" w:hAnsi="Times New Roman" w:cs="Times New Roman"/>
          <w:color w:val="000000"/>
          <w:sz w:val="24"/>
          <w:szCs w:val="24"/>
        </w:rPr>
        <w:t>s</w:t>
      </w:r>
      <w:r w:rsidRPr="00B16395">
        <w:rPr>
          <w:rFonts w:ascii="Times New Roman" w:eastAsia="Calibri" w:hAnsi="Times New Roman" w:cs="Times New Roman"/>
          <w:color w:val="000000"/>
          <w:sz w:val="24"/>
          <w:szCs w:val="24"/>
        </w:rPr>
        <w:t>.</w:t>
      </w:r>
    </w:p>
    <w:p w14:paraId="2D37FC1F" w14:textId="7DE756DA" w:rsidR="00995366" w:rsidRDefault="00995366" w:rsidP="00995366">
      <w:pPr>
        <w:spacing w:after="120" w:line="240" w:lineRule="auto"/>
        <w:jc w:val="both"/>
        <w:rPr>
          <w:rFonts w:ascii="Times New Roman" w:hAnsi="Times New Roman"/>
          <w:sz w:val="24"/>
        </w:rPr>
      </w:pPr>
      <w:r w:rsidRPr="00B16395">
        <w:rPr>
          <w:rFonts w:ascii="Times New Roman" w:eastAsia="Calibri" w:hAnsi="Times New Roman" w:cs="Times New Roman"/>
          <w:sz w:val="24"/>
          <w:szCs w:val="24"/>
        </w:rPr>
        <w:t xml:space="preserve">In the </w:t>
      </w:r>
      <w:r w:rsidRPr="00B16395">
        <w:rPr>
          <w:rFonts w:ascii="Times New Roman" w:eastAsia="Calibri" w:hAnsi="Times New Roman" w:cs="Times New Roman"/>
          <w:b/>
          <w:sz w:val="24"/>
          <w:szCs w:val="24"/>
        </w:rPr>
        <w:t>field of citizenship rights</w:t>
      </w:r>
      <w:r w:rsidRPr="00B16395">
        <w:rPr>
          <w:rFonts w:ascii="Times New Roman" w:eastAsia="Calibri" w:hAnsi="Times New Roman" w:cs="Times New Roman"/>
          <w:sz w:val="24"/>
          <w:szCs w:val="24"/>
        </w:rPr>
        <w:t xml:space="preserve">, Montenegro launched its investors' citizenship scheme in January 2019 and has received 24 applications so far. Five were rejected after due diligence procedure, while </w:t>
      </w:r>
      <w:r w:rsidR="00627AF1">
        <w:rPr>
          <w:rFonts w:ascii="Times New Roman" w:eastAsia="Calibri" w:hAnsi="Times New Roman" w:cs="Times New Roman"/>
          <w:sz w:val="24"/>
          <w:szCs w:val="24"/>
        </w:rPr>
        <w:t xml:space="preserve">final </w:t>
      </w:r>
      <w:r w:rsidR="004241A0">
        <w:rPr>
          <w:rFonts w:ascii="Times New Roman" w:eastAsia="Calibri" w:hAnsi="Times New Roman" w:cs="Times New Roman"/>
          <w:sz w:val="24"/>
          <w:szCs w:val="24"/>
        </w:rPr>
        <w:t xml:space="preserve">positive </w:t>
      </w:r>
      <w:r w:rsidR="00627AF1">
        <w:rPr>
          <w:rFonts w:ascii="Times New Roman" w:eastAsia="Calibri" w:hAnsi="Times New Roman" w:cs="Times New Roman"/>
          <w:sz w:val="24"/>
          <w:szCs w:val="24"/>
        </w:rPr>
        <w:t xml:space="preserve">decisions </w:t>
      </w:r>
      <w:r w:rsidRPr="00B16395">
        <w:rPr>
          <w:rFonts w:ascii="Times New Roman" w:eastAsia="Calibri" w:hAnsi="Times New Roman" w:cs="Times New Roman"/>
          <w:sz w:val="24"/>
          <w:szCs w:val="24"/>
        </w:rPr>
        <w:t>for 5 applications on citizenship were issued. No passports have</w:t>
      </w:r>
      <w:r w:rsidR="00627AF1">
        <w:rPr>
          <w:rFonts w:ascii="Times New Roman" w:eastAsia="Calibri" w:hAnsi="Times New Roman" w:cs="Times New Roman"/>
          <w:sz w:val="24"/>
          <w:szCs w:val="24"/>
        </w:rPr>
        <w:t xml:space="preserve"> yet</w:t>
      </w:r>
      <w:r w:rsidRPr="00B16395">
        <w:rPr>
          <w:rFonts w:ascii="Times New Roman" w:eastAsia="Calibri" w:hAnsi="Times New Roman" w:cs="Times New Roman"/>
          <w:sz w:val="24"/>
          <w:szCs w:val="24"/>
        </w:rPr>
        <w:t xml:space="preserve"> been issued to these applicants or th</w:t>
      </w:r>
      <w:r w:rsidR="00627AF1">
        <w:rPr>
          <w:rFonts w:ascii="Times New Roman" w:eastAsia="Calibri" w:hAnsi="Times New Roman" w:cs="Times New Roman"/>
          <w:sz w:val="24"/>
          <w:szCs w:val="24"/>
        </w:rPr>
        <w:t>eir</w:t>
      </w:r>
      <w:r w:rsidRPr="00B16395">
        <w:rPr>
          <w:rFonts w:ascii="Times New Roman" w:eastAsia="Calibri" w:hAnsi="Times New Roman" w:cs="Times New Roman"/>
          <w:sz w:val="24"/>
          <w:szCs w:val="24"/>
        </w:rPr>
        <w:t xml:space="preserve"> family members due to the C</w:t>
      </w:r>
      <w:r w:rsidR="008E399E">
        <w:rPr>
          <w:rFonts w:ascii="Times New Roman" w:eastAsia="Calibri" w:hAnsi="Times New Roman" w:cs="Times New Roman"/>
          <w:sz w:val="24"/>
          <w:szCs w:val="24"/>
        </w:rPr>
        <w:t>OVID-</w:t>
      </w:r>
      <w:r w:rsidRPr="00B16395">
        <w:rPr>
          <w:rFonts w:ascii="Times New Roman" w:eastAsia="Calibri" w:hAnsi="Times New Roman" w:cs="Times New Roman"/>
          <w:sz w:val="24"/>
          <w:szCs w:val="24"/>
        </w:rPr>
        <w:t xml:space="preserve">19 outbreak and the respective travel ban. In December 2019, Parliament enacted amendments to the </w:t>
      </w:r>
      <w:r w:rsidRPr="00B16395">
        <w:rPr>
          <w:rFonts w:ascii="Times New Roman" w:hAnsi="Times New Roman" w:cs="Times New Roman"/>
          <w:sz w:val="24"/>
          <w:szCs w:val="24"/>
        </w:rPr>
        <w:t xml:space="preserve">law on Montenegrin citizenship. These confirm the automatic eligibility for citizenship of the </w:t>
      </w:r>
      <w:r w:rsidRPr="00B16395">
        <w:rPr>
          <w:rFonts w:ascii="Times New Roman" w:hAnsi="Times New Roman"/>
          <w:sz w:val="24"/>
        </w:rPr>
        <w:t xml:space="preserve">family members of successful applicants to the </w:t>
      </w:r>
      <w:r w:rsidR="004241A0">
        <w:rPr>
          <w:rFonts w:ascii="Times New Roman" w:hAnsi="Times New Roman"/>
          <w:sz w:val="24"/>
        </w:rPr>
        <w:t>investors’</w:t>
      </w:r>
      <w:r w:rsidR="004241A0" w:rsidRPr="00B16395">
        <w:rPr>
          <w:rFonts w:ascii="Times New Roman" w:hAnsi="Times New Roman"/>
          <w:sz w:val="24"/>
        </w:rPr>
        <w:t xml:space="preserve"> </w:t>
      </w:r>
      <w:r w:rsidRPr="00B16395">
        <w:rPr>
          <w:rFonts w:ascii="Times New Roman" w:hAnsi="Times New Roman"/>
          <w:sz w:val="24"/>
        </w:rPr>
        <w:t>citizenship scheme</w:t>
      </w:r>
      <w:r w:rsidR="00627AF1">
        <w:rPr>
          <w:rFonts w:ascii="Times New Roman" w:hAnsi="Times New Roman"/>
          <w:sz w:val="24"/>
        </w:rPr>
        <w:t>,</w:t>
      </w:r>
      <w:r w:rsidRPr="00B16395">
        <w:rPr>
          <w:rFonts w:ascii="Times New Roman" w:hAnsi="Times New Roman" w:cs="Times New Roman"/>
          <w:sz w:val="24"/>
          <w:szCs w:val="24"/>
        </w:rPr>
        <w:t xml:space="preserve"> as well as the eligibility of </w:t>
      </w:r>
      <w:r w:rsidRPr="00B16395">
        <w:rPr>
          <w:rFonts w:ascii="Times New Roman" w:hAnsi="Times New Roman"/>
          <w:sz w:val="24"/>
        </w:rPr>
        <w:t xml:space="preserve">talented athletes and </w:t>
      </w:r>
      <w:r w:rsidR="004241A0">
        <w:rPr>
          <w:rFonts w:ascii="Times New Roman" w:hAnsi="Times New Roman"/>
          <w:sz w:val="24"/>
        </w:rPr>
        <w:t xml:space="preserve">under age </w:t>
      </w:r>
      <w:r w:rsidRPr="00B16395">
        <w:rPr>
          <w:rFonts w:ascii="Times New Roman" w:hAnsi="Times New Roman"/>
          <w:sz w:val="24"/>
        </w:rPr>
        <w:t>artists for citizenship.</w:t>
      </w:r>
      <w:r w:rsidR="00893AFC">
        <w:rPr>
          <w:rFonts w:ascii="Times New Roman" w:hAnsi="Times New Roman"/>
          <w:sz w:val="24"/>
        </w:rPr>
        <w:t xml:space="preserve"> </w:t>
      </w:r>
      <w:r w:rsidR="00FB3768">
        <w:rPr>
          <w:rFonts w:ascii="Times New Roman" w:hAnsi="Times New Roman"/>
          <w:sz w:val="24"/>
        </w:rPr>
        <w:t>This scheme needs to be closely monitored as i</w:t>
      </w:r>
      <w:r w:rsidR="00A7387C">
        <w:rPr>
          <w:rFonts w:ascii="Times New Roman" w:hAnsi="Times New Roman"/>
          <w:sz w:val="24"/>
        </w:rPr>
        <w:t>t</w:t>
      </w:r>
      <w:r w:rsidR="00FB3768">
        <w:rPr>
          <w:rFonts w:ascii="Times New Roman" w:hAnsi="Times New Roman"/>
          <w:sz w:val="24"/>
        </w:rPr>
        <w:t xml:space="preserve"> poses risks as regards migration, security, money laundering, tax evasion, terrorist financing, corruption and infiltration by organised crime. </w:t>
      </w:r>
    </w:p>
    <w:p w14:paraId="57CFED6E" w14:textId="77777777" w:rsidR="005E1FEF" w:rsidRPr="00946C1B" w:rsidRDefault="005E1FEF" w:rsidP="005E1FEF">
      <w:pPr>
        <w:rPr>
          <w:rFonts w:ascii="Times New Roman" w:hAnsi="Times New Roman" w:cs="Times New Roman"/>
          <w:b/>
          <w:u w:val="single"/>
        </w:rPr>
      </w:pPr>
      <w:r w:rsidRPr="00946C1B">
        <w:rPr>
          <w:rFonts w:ascii="Times New Roman" w:hAnsi="Times New Roman" w:cs="Times New Roman"/>
          <w:b/>
          <w:u w:val="single"/>
        </w:rPr>
        <w:t xml:space="preserve">2.2 Chapter 24 – Justice, Freedom and Security  </w:t>
      </w:r>
    </w:p>
    <w:p w14:paraId="5ED46954" w14:textId="77777777" w:rsidR="005E1FEF" w:rsidRDefault="005E1FEF" w:rsidP="005E1FEF">
      <w:pPr>
        <w:spacing w:after="120" w:line="240" w:lineRule="auto"/>
        <w:jc w:val="both"/>
        <w:rPr>
          <w:rFonts w:ascii="Times New Roman" w:hAnsi="Times New Roman" w:cs="Times New Roman"/>
          <w:b/>
        </w:rPr>
      </w:pPr>
      <w:r w:rsidRPr="00946C1B">
        <w:rPr>
          <w:rFonts w:ascii="Times New Roman" w:hAnsi="Times New Roman" w:cs="Times New Roman"/>
          <w:b/>
        </w:rPr>
        <w:t>Migration</w:t>
      </w:r>
    </w:p>
    <w:p w14:paraId="15D9A997" w14:textId="04110E76" w:rsidR="005E1FEF" w:rsidRPr="005E1FEF" w:rsidRDefault="005E1FEF" w:rsidP="005E1FEF">
      <w:pPr>
        <w:spacing w:after="120" w:line="240" w:lineRule="auto"/>
        <w:jc w:val="both"/>
        <w:rPr>
          <w:rFonts w:ascii="Times New Roman" w:eastAsia="Calibri" w:hAnsi="Times New Roman" w:cs="Times New Roman"/>
          <w:sz w:val="24"/>
          <w:szCs w:val="24"/>
        </w:rPr>
      </w:pPr>
      <w:r w:rsidRPr="005E1FEF">
        <w:rPr>
          <w:rFonts w:ascii="Times New Roman" w:eastAsia="Calibri" w:hAnsi="Times New Roman" w:cs="Times New Roman"/>
          <w:sz w:val="24"/>
          <w:szCs w:val="24"/>
        </w:rPr>
        <w:t>Montenegro continued to be an attractive country for labour migration in 2019, with 27,634 work permits delivered. Legal migration is regulated by a quota system</w:t>
      </w:r>
      <w:r w:rsidR="00627AF1">
        <w:rPr>
          <w:rFonts w:ascii="Times New Roman" w:eastAsia="Calibri" w:hAnsi="Times New Roman" w:cs="Times New Roman"/>
          <w:sz w:val="24"/>
          <w:szCs w:val="24"/>
        </w:rPr>
        <w:t xml:space="preserve"> which is</w:t>
      </w:r>
      <w:r w:rsidRPr="005E1FEF">
        <w:rPr>
          <w:rFonts w:ascii="Times New Roman" w:eastAsia="Calibri" w:hAnsi="Times New Roman" w:cs="Times New Roman"/>
          <w:sz w:val="24"/>
          <w:szCs w:val="24"/>
        </w:rPr>
        <w:t xml:space="preserve"> established annually. Seasonal workers, mainly from the Western Balkans, work primarily in tourism, construction and agriculture. 42,517 temporary residence permits were issued in 2019.</w:t>
      </w:r>
    </w:p>
    <w:p w14:paraId="5A4BB2D0" w14:textId="39CFFBE3" w:rsidR="005E1FEF" w:rsidRDefault="005E1FEF" w:rsidP="005E1FEF">
      <w:pPr>
        <w:spacing w:after="120" w:line="240" w:lineRule="auto"/>
        <w:jc w:val="both"/>
        <w:rPr>
          <w:rFonts w:ascii="Times New Roman" w:eastAsia="Calibri" w:hAnsi="Times New Roman" w:cs="Times New Roman"/>
          <w:sz w:val="24"/>
          <w:szCs w:val="24"/>
        </w:rPr>
      </w:pPr>
      <w:r w:rsidRPr="005E1FEF">
        <w:rPr>
          <w:rFonts w:ascii="Times New Roman" w:eastAsia="Calibri" w:hAnsi="Times New Roman" w:cs="Times New Roman"/>
          <w:sz w:val="24"/>
          <w:szCs w:val="24"/>
        </w:rPr>
        <w:t xml:space="preserve">The upward trend in the number of irregular migrant arrivals continued in 2019 and the first </w:t>
      </w:r>
      <w:r w:rsidR="00627AF1">
        <w:rPr>
          <w:rFonts w:ascii="Times New Roman" w:eastAsia="Calibri" w:hAnsi="Times New Roman" w:cs="Times New Roman"/>
          <w:sz w:val="24"/>
          <w:szCs w:val="24"/>
        </w:rPr>
        <w:t>3</w:t>
      </w:r>
      <w:r w:rsidRPr="005E1FEF">
        <w:rPr>
          <w:rFonts w:ascii="Times New Roman" w:eastAsia="Calibri" w:hAnsi="Times New Roman" w:cs="Times New Roman"/>
          <w:sz w:val="24"/>
          <w:szCs w:val="24"/>
        </w:rPr>
        <w:t xml:space="preserve"> months of 2020. 7,978 migrants were apprehended in 2019, a 60% increase from 2018, and 1</w:t>
      </w:r>
      <w:r w:rsidR="00627AF1">
        <w:rPr>
          <w:rFonts w:ascii="Times New Roman" w:eastAsia="Calibri" w:hAnsi="Times New Roman" w:cs="Times New Roman"/>
          <w:sz w:val="24"/>
          <w:szCs w:val="24"/>
        </w:rPr>
        <w:t>,</w:t>
      </w:r>
      <w:r w:rsidRPr="005E1FEF">
        <w:rPr>
          <w:rFonts w:ascii="Times New Roman" w:eastAsia="Calibri" w:hAnsi="Times New Roman" w:cs="Times New Roman"/>
          <w:sz w:val="24"/>
          <w:szCs w:val="24"/>
        </w:rPr>
        <w:t xml:space="preserve">200 between January and March 2020. Montenegrin authorities prevented 516 illegal entries to the country and 1,514 illegal exists from the country in 2019. The Special Prosecutor’s Office conducted three investigations into migrant smuggling in 2019, involving more than 40 people. In four cases, final convictions were pronounced regarding 48 people. </w:t>
      </w:r>
    </w:p>
    <w:p w14:paraId="7AFF00F0" w14:textId="08994588" w:rsidR="000036AB" w:rsidRPr="004504FF" w:rsidRDefault="000036AB" w:rsidP="005E1FEF">
      <w:pPr>
        <w:spacing w:after="12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Montenegro has </w:t>
      </w:r>
      <w:r w:rsidRPr="000036AB">
        <w:rPr>
          <w:rFonts w:ascii="Times New Roman" w:eastAsia="Calibri" w:hAnsi="Times New Roman" w:cs="Times New Roman"/>
          <w:sz w:val="24"/>
          <w:szCs w:val="24"/>
        </w:rPr>
        <w:t>a contingency plan for possible mass influx of migrants and asylum seekers at the borders</w:t>
      </w:r>
      <w:r>
        <w:rPr>
          <w:rFonts w:ascii="Times New Roman" w:eastAsia="Calibri" w:hAnsi="Times New Roman" w:cs="Times New Roman"/>
          <w:sz w:val="24"/>
          <w:szCs w:val="24"/>
        </w:rPr>
        <w:t>,</w:t>
      </w:r>
      <w:r w:rsidRPr="000036AB">
        <w:rPr>
          <w:rFonts w:ascii="Times New Roman" w:eastAsia="Calibri" w:hAnsi="Times New Roman" w:cs="Times New Roman"/>
          <w:sz w:val="24"/>
          <w:szCs w:val="24"/>
        </w:rPr>
        <w:t xml:space="preserve"> adopted in 2015</w:t>
      </w:r>
      <w:r>
        <w:rPr>
          <w:rFonts w:ascii="Times New Roman" w:eastAsia="Calibri" w:hAnsi="Times New Roman" w:cs="Times New Roman"/>
          <w:sz w:val="24"/>
          <w:szCs w:val="24"/>
        </w:rPr>
        <w:t xml:space="preserve">. </w:t>
      </w:r>
    </w:p>
    <w:p w14:paraId="5961AC03" w14:textId="413594EE" w:rsidR="007D05C2" w:rsidRDefault="00500BD5" w:rsidP="005E1FEF">
      <w:pPr>
        <w:spacing w:after="120" w:line="240" w:lineRule="auto"/>
        <w:jc w:val="both"/>
        <w:rPr>
          <w:rFonts w:ascii="Times New Roman" w:eastAsia="Calibri" w:hAnsi="Times New Roman" w:cs="Times New Roman"/>
          <w:sz w:val="24"/>
          <w:szCs w:val="24"/>
          <w:lang w:val="en-US"/>
        </w:rPr>
      </w:pPr>
      <w:r w:rsidRPr="00500BD5">
        <w:rPr>
          <w:rFonts w:ascii="Times New Roman" w:eastAsia="Calibri" w:hAnsi="Times New Roman" w:cs="Times New Roman"/>
          <w:sz w:val="24"/>
          <w:szCs w:val="24"/>
        </w:rPr>
        <w:t xml:space="preserve">In the context of the COVID-19 pandemic, </w:t>
      </w:r>
      <w:r w:rsidR="007D05C2">
        <w:rPr>
          <w:rFonts w:ascii="Times New Roman" w:eastAsia="Calibri" w:hAnsi="Times New Roman" w:cs="Times New Roman"/>
          <w:sz w:val="24"/>
          <w:szCs w:val="24"/>
        </w:rPr>
        <w:t xml:space="preserve">only six </w:t>
      </w:r>
      <w:r w:rsidRPr="00500BD5">
        <w:rPr>
          <w:rFonts w:ascii="Times New Roman" w:eastAsia="Calibri" w:hAnsi="Times New Roman" w:cs="Times New Roman"/>
          <w:sz w:val="24"/>
          <w:szCs w:val="24"/>
        </w:rPr>
        <w:t xml:space="preserve">border crossing points </w:t>
      </w:r>
      <w:r w:rsidR="007D05C2">
        <w:rPr>
          <w:rFonts w:ascii="Times New Roman" w:eastAsia="Calibri" w:hAnsi="Times New Roman" w:cs="Times New Roman"/>
          <w:sz w:val="24"/>
          <w:szCs w:val="24"/>
        </w:rPr>
        <w:t xml:space="preserve">remained open, to ensure the movement of goods and the return of Montenegrin citizens. The entry of foreigners was prohibited. </w:t>
      </w:r>
      <w:r w:rsidRPr="00500BD5">
        <w:rPr>
          <w:rFonts w:ascii="Times New Roman" w:eastAsia="Calibri" w:hAnsi="Times New Roman" w:cs="Times New Roman"/>
          <w:sz w:val="24"/>
          <w:szCs w:val="24"/>
        </w:rPr>
        <w:t>Foreigners with temporary or permanent residence in Montenegro were sub</w:t>
      </w:r>
      <w:r w:rsidR="007F48D8">
        <w:rPr>
          <w:rFonts w:ascii="Times New Roman" w:eastAsia="Calibri" w:hAnsi="Times New Roman" w:cs="Times New Roman"/>
          <w:sz w:val="24"/>
          <w:szCs w:val="24"/>
        </w:rPr>
        <w:t>jected</w:t>
      </w:r>
      <w:r w:rsidRPr="00500BD5">
        <w:rPr>
          <w:rFonts w:ascii="Times New Roman" w:eastAsia="Calibri" w:hAnsi="Times New Roman" w:cs="Times New Roman"/>
          <w:sz w:val="24"/>
          <w:szCs w:val="24"/>
        </w:rPr>
        <w:t xml:space="preserve"> to the sa</w:t>
      </w:r>
      <w:r w:rsidR="005B5C9E">
        <w:rPr>
          <w:rFonts w:ascii="Times New Roman" w:eastAsia="Calibri" w:hAnsi="Times New Roman" w:cs="Times New Roman"/>
          <w:sz w:val="24"/>
          <w:szCs w:val="24"/>
        </w:rPr>
        <w:t>me regime</w:t>
      </w:r>
      <w:r w:rsidRPr="00500BD5">
        <w:rPr>
          <w:rFonts w:ascii="Times New Roman" w:eastAsia="Calibri" w:hAnsi="Times New Roman" w:cs="Times New Roman"/>
          <w:sz w:val="24"/>
          <w:szCs w:val="24"/>
        </w:rPr>
        <w:t xml:space="preserve"> as Montenegrin citizens</w:t>
      </w:r>
      <w:r w:rsidR="007D05C2">
        <w:rPr>
          <w:rFonts w:ascii="Times New Roman" w:eastAsia="Calibri" w:hAnsi="Times New Roman" w:cs="Times New Roman"/>
          <w:sz w:val="24"/>
          <w:szCs w:val="24"/>
        </w:rPr>
        <w:t>, which did not include a total prohibition of movements</w:t>
      </w:r>
      <w:r w:rsidRPr="00500BD5">
        <w:rPr>
          <w:rFonts w:ascii="Times New Roman" w:eastAsia="Calibri" w:hAnsi="Times New Roman" w:cs="Times New Roman"/>
          <w:sz w:val="24"/>
          <w:szCs w:val="24"/>
        </w:rPr>
        <w:t>.</w:t>
      </w:r>
      <w:r w:rsidRPr="00500BD5">
        <w:rPr>
          <w:rFonts w:ascii="Times New Roman" w:eastAsia="Calibri" w:hAnsi="Times New Roman" w:cs="Times New Roman"/>
          <w:sz w:val="24"/>
          <w:szCs w:val="24"/>
          <w:lang w:val="sr-Cyrl-CS"/>
        </w:rPr>
        <w:t xml:space="preserve"> </w:t>
      </w:r>
      <w:r w:rsidRPr="007358A6">
        <w:rPr>
          <w:rFonts w:ascii="Times New Roman" w:eastAsia="Calibri" w:hAnsi="Times New Roman" w:cs="Times New Roman"/>
          <w:sz w:val="24"/>
          <w:szCs w:val="24"/>
          <w:lang w:val="en-IE"/>
        </w:rPr>
        <w:t xml:space="preserve">The number of illegal entries went down </w:t>
      </w:r>
      <w:r w:rsidRPr="007D05C2">
        <w:rPr>
          <w:rFonts w:ascii="Times New Roman" w:eastAsia="Calibri" w:hAnsi="Times New Roman" w:cs="Times New Roman"/>
          <w:sz w:val="24"/>
          <w:szCs w:val="24"/>
          <w:lang w:val="en-IE"/>
        </w:rPr>
        <w:t xml:space="preserve">to </w:t>
      </w:r>
      <w:r w:rsidR="007D05C2">
        <w:rPr>
          <w:rFonts w:ascii="Times New Roman" w:eastAsia="Calibri" w:hAnsi="Times New Roman" w:cs="Times New Roman"/>
          <w:sz w:val="24"/>
          <w:szCs w:val="24"/>
          <w:lang w:val="en-IE"/>
        </w:rPr>
        <w:t xml:space="preserve">4 </w:t>
      </w:r>
      <w:r w:rsidRPr="007358A6">
        <w:rPr>
          <w:rFonts w:ascii="Times New Roman" w:eastAsia="Calibri" w:hAnsi="Times New Roman" w:cs="Times New Roman"/>
          <w:sz w:val="24"/>
          <w:szCs w:val="24"/>
          <w:lang w:val="en-IE"/>
        </w:rPr>
        <w:t xml:space="preserve">in April and </w:t>
      </w:r>
      <w:r w:rsidR="007D05C2">
        <w:rPr>
          <w:rFonts w:ascii="Times New Roman" w:eastAsia="Calibri" w:hAnsi="Times New Roman" w:cs="Times New Roman"/>
          <w:sz w:val="24"/>
          <w:szCs w:val="24"/>
          <w:lang w:val="en-IE"/>
        </w:rPr>
        <w:t>8 until the 26</w:t>
      </w:r>
      <w:r w:rsidR="007D05C2" w:rsidRPr="004504FF">
        <w:rPr>
          <w:rFonts w:ascii="Times New Roman" w:eastAsia="Calibri" w:hAnsi="Times New Roman" w:cs="Times New Roman"/>
          <w:sz w:val="24"/>
          <w:szCs w:val="24"/>
          <w:vertAlign w:val="superscript"/>
          <w:lang w:val="en-IE"/>
        </w:rPr>
        <w:t>th</w:t>
      </w:r>
      <w:r w:rsidR="007D05C2">
        <w:rPr>
          <w:rFonts w:ascii="Times New Roman" w:eastAsia="Calibri" w:hAnsi="Times New Roman" w:cs="Times New Roman"/>
          <w:sz w:val="24"/>
          <w:szCs w:val="24"/>
          <w:lang w:val="en-IE"/>
        </w:rPr>
        <w:t xml:space="preserve"> of</w:t>
      </w:r>
      <w:r w:rsidRPr="007358A6">
        <w:rPr>
          <w:rFonts w:ascii="Times New Roman" w:eastAsia="Calibri" w:hAnsi="Times New Roman" w:cs="Times New Roman"/>
          <w:sz w:val="24"/>
          <w:szCs w:val="24"/>
          <w:lang w:val="en-IE"/>
        </w:rPr>
        <w:t xml:space="preserve"> May 2020.</w:t>
      </w:r>
    </w:p>
    <w:p w14:paraId="2517AECE" w14:textId="2007DC6F" w:rsidR="005E1FEF" w:rsidRPr="005E1FEF" w:rsidRDefault="005E1FEF" w:rsidP="005E1FEF">
      <w:pPr>
        <w:spacing w:after="120" w:line="240" w:lineRule="auto"/>
        <w:jc w:val="both"/>
        <w:rPr>
          <w:rFonts w:ascii="Times New Roman" w:eastAsia="Calibri" w:hAnsi="Times New Roman" w:cs="Times New Roman"/>
          <w:sz w:val="24"/>
          <w:szCs w:val="24"/>
        </w:rPr>
      </w:pPr>
      <w:r w:rsidRPr="005E1FEF">
        <w:rPr>
          <w:rFonts w:ascii="Times New Roman" w:eastAsia="Calibri" w:hAnsi="Times New Roman" w:cs="Times New Roman"/>
          <w:sz w:val="24"/>
          <w:szCs w:val="24"/>
        </w:rPr>
        <w:t xml:space="preserve">Secondary movements continued to add to migratory flows, in particular those created by readmission from Bosnia and Herzegovina. Montenegro readmitted 2,213 third-country nationals from neighbouring countries in 2019 under bilateral readmission agreements, </w:t>
      </w:r>
      <w:r w:rsidR="00C9125F">
        <w:rPr>
          <w:rFonts w:ascii="Times New Roman" w:eastAsia="Calibri" w:hAnsi="Times New Roman" w:cs="Times New Roman"/>
          <w:sz w:val="24"/>
          <w:szCs w:val="24"/>
        </w:rPr>
        <w:t xml:space="preserve">with </w:t>
      </w:r>
      <w:r w:rsidRPr="005E1FEF">
        <w:rPr>
          <w:rFonts w:ascii="Times New Roman" w:eastAsia="Calibri" w:hAnsi="Times New Roman" w:cs="Times New Roman"/>
          <w:sz w:val="24"/>
          <w:szCs w:val="24"/>
        </w:rPr>
        <w:t>2,033 from Bosnia and Herzegovina (a 139% increase from 2018). Readmission from Montenegro to neighbouring countries increased to 382 people, including 350 to Albania.</w:t>
      </w:r>
    </w:p>
    <w:p w14:paraId="1899D521" w14:textId="68A048FE" w:rsidR="005E1FEF" w:rsidRPr="005E1FEF" w:rsidRDefault="00627AF1" w:rsidP="005E1FEF">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Forty</w:t>
      </w:r>
      <w:r w:rsidR="00065447">
        <w:rPr>
          <w:rFonts w:ascii="Times New Roman" w:eastAsia="Calibri" w:hAnsi="Times New Roman" w:cs="Times New Roman"/>
          <w:sz w:val="24"/>
          <w:szCs w:val="24"/>
        </w:rPr>
        <w:t>-one</w:t>
      </w:r>
      <w:r w:rsidR="005E1FEF" w:rsidRPr="005E1FEF">
        <w:rPr>
          <w:rFonts w:ascii="Times New Roman" w:eastAsia="Calibri" w:hAnsi="Times New Roman" w:cs="Times New Roman"/>
          <w:sz w:val="24"/>
          <w:szCs w:val="24"/>
        </w:rPr>
        <w:t xml:space="preserve"> voluntary returns from Montenegro took place</w:t>
      </w:r>
      <w:r w:rsidR="00C40E26">
        <w:rPr>
          <w:rFonts w:ascii="Times New Roman" w:eastAsia="Calibri" w:hAnsi="Times New Roman" w:cs="Times New Roman"/>
          <w:sz w:val="24"/>
          <w:szCs w:val="24"/>
        </w:rPr>
        <w:t xml:space="preserve"> in 2019</w:t>
      </w:r>
      <w:r w:rsidR="005E1FEF" w:rsidRPr="005E1FEF">
        <w:rPr>
          <w:rFonts w:ascii="Times New Roman" w:eastAsia="Calibri" w:hAnsi="Times New Roman" w:cs="Times New Roman"/>
          <w:sz w:val="24"/>
          <w:szCs w:val="24"/>
        </w:rPr>
        <w:t>. These included 21 to neighbouring countries, processed directly by Montenegrin border police, and 20 to origin countries, supported by the International Organi</w:t>
      </w:r>
      <w:r w:rsidR="00461A67">
        <w:rPr>
          <w:rFonts w:ascii="Times New Roman" w:eastAsia="Calibri" w:hAnsi="Times New Roman" w:cs="Times New Roman"/>
          <w:sz w:val="24"/>
          <w:szCs w:val="24"/>
        </w:rPr>
        <w:t>z</w:t>
      </w:r>
      <w:r w:rsidR="005E1FEF" w:rsidRPr="005E1FEF">
        <w:rPr>
          <w:rFonts w:ascii="Times New Roman" w:eastAsia="Calibri" w:hAnsi="Times New Roman" w:cs="Times New Roman"/>
          <w:sz w:val="24"/>
          <w:szCs w:val="24"/>
        </w:rPr>
        <w:t xml:space="preserve">ation for Migration. Montenegro has </w:t>
      </w:r>
      <w:r>
        <w:rPr>
          <w:rFonts w:ascii="Times New Roman" w:eastAsia="Calibri" w:hAnsi="Times New Roman" w:cs="Times New Roman"/>
          <w:sz w:val="24"/>
          <w:szCs w:val="24"/>
        </w:rPr>
        <w:t>10</w:t>
      </w:r>
      <w:r w:rsidR="005E1FEF" w:rsidRPr="005E1FEF">
        <w:rPr>
          <w:rFonts w:ascii="Times New Roman" w:eastAsia="Calibri" w:hAnsi="Times New Roman" w:cs="Times New Roman"/>
          <w:sz w:val="24"/>
          <w:szCs w:val="24"/>
        </w:rPr>
        <w:t xml:space="preserve"> readmission agreements with non-EU countries, but none with the main countries of origin that it would need to process forced returns.</w:t>
      </w:r>
    </w:p>
    <w:p w14:paraId="4F65676B" w14:textId="294BC012" w:rsidR="001E428F" w:rsidRPr="004504FF" w:rsidRDefault="005E1FEF" w:rsidP="001E428F">
      <w:pPr>
        <w:spacing w:after="120" w:line="240" w:lineRule="auto"/>
        <w:jc w:val="both"/>
        <w:rPr>
          <w:rFonts w:ascii="Times New Roman" w:eastAsia="Calibri" w:hAnsi="Times New Roman" w:cs="Times New Roman"/>
          <w:iCs/>
          <w:sz w:val="24"/>
          <w:szCs w:val="24"/>
        </w:rPr>
      </w:pPr>
      <w:r w:rsidRPr="005E1FEF">
        <w:rPr>
          <w:rFonts w:ascii="Times New Roman" w:eastAsia="Calibri" w:hAnsi="Times New Roman" w:cs="Times New Roman"/>
          <w:sz w:val="24"/>
          <w:szCs w:val="24"/>
        </w:rPr>
        <w:lastRenderedPageBreak/>
        <w:t xml:space="preserve">The EU-Montenegro readmission agreement and its 15 implementing protocols with EU Member States continued to be implemented satisfactorily, with the number of readmission requests from EU Member States </w:t>
      </w:r>
      <w:r w:rsidR="00296DCE" w:rsidRPr="00296DCE">
        <w:rPr>
          <w:rFonts w:ascii="Times New Roman" w:eastAsia="Calibri" w:hAnsi="Times New Roman" w:cs="Times New Roman"/>
          <w:sz w:val="24"/>
          <w:szCs w:val="24"/>
        </w:rPr>
        <w:t xml:space="preserve">and Schengen associated countries </w:t>
      </w:r>
      <w:r w:rsidRPr="005E1FEF">
        <w:rPr>
          <w:rFonts w:ascii="Times New Roman" w:eastAsia="Calibri" w:hAnsi="Times New Roman" w:cs="Times New Roman"/>
          <w:sz w:val="24"/>
          <w:szCs w:val="24"/>
        </w:rPr>
        <w:t xml:space="preserve">continuing to decline. </w:t>
      </w:r>
      <w:r w:rsidR="001E428F">
        <w:rPr>
          <w:rFonts w:ascii="Times New Roman" w:eastAsia="Calibri" w:hAnsi="Times New Roman" w:cs="Times New Roman"/>
          <w:sz w:val="24"/>
          <w:szCs w:val="24"/>
        </w:rPr>
        <w:t>Five hundred</w:t>
      </w:r>
      <w:r w:rsidR="007D05C2">
        <w:rPr>
          <w:rFonts w:ascii="Times New Roman" w:eastAsia="Calibri" w:hAnsi="Times New Roman" w:cs="Times New Roman"/>
          <w:sz w:val="24"/>
          <w:szCs w:val="24"/>
        </w:rPr>
        <w:t xml:space="preserve"> ninety-</w:t>
      </w:r>
      <w:r w:rsidR="001E428F">
        <w:rPr>
          <w:rFonts w:ascii="Times New Roman" w:eastAsia="Calibri" w:hAnsi="Times New Roman" w:cs="Times New Roman"/>
          <w:sz w:val="24"/>
          <w:szCs w:val="24"/>
        </w:rPr>
        <w:t xml:space="preserve">five Montenegrin citizens were </w:t>
      </w:r>
      <w:r w:rsidR="001E428F" w:rsidRPr="001E428F">
        <w:rPr>
          <w:rFonts w:ascii="Times New Roman" w:eastAsia="Calibri" w:hAnsi="Times New Roman" w:cs="Times New Roman"/>
          <w:sz w:val="24"/>
          <w:szCs w:val="24"/>
        </w:rPr>
        <w:t>ordered to leave</w:t>
      </w:r>
      <w:r w:rsidR="001E428F">
        <w:rPr>
          <w:rFonts w:ascii="Times New Roman" w:eastAsia="Calibri" w:hAnsi="Times New Roman" w:cs="Times New Roman"/>
          <w:sz w:val="24"/>
          <w:szCs w:val="24"/>
        </w:rPr>
        <w:t xml:space="preserve"> the EU in 2019</w:t>
      </w:r>
      <w:r w:rsidR="00296DCE">
        <w:rPr>
          <w:rFonts w:ascii="Times New Roman" w:eastAsia="Calibri" w:hAnsi="Times New Roman" w:cs="Times New Roman"/>
          <w:sz w:val="24"/>
          <w:szCs w:val="24"/>
        </w:rPr>
        <w:t>. The</w:t>
      </w:r>
      <w:r w:rsidR="001E428F">
        <w:rPr>
          <w:rFonts w:ascii="Times New Roman" w:eastAsia="Calibri" w:hAnsi="Times New Roman" w:cs="Times New Roman"/>
          <w:sz w:val="24"/>
          <w:szCs w:val="24"/>
        </w:rPr>
        <w:t xml:space="preserve"> </w:t>
      </w:r>
      <w:r w:rsidR="001E428F" w:rsidRPr="004504FF">
        <w:rPr>
          <w:rFonts w:ascii="Times New Roman" w:eastAsia="Calibri" w:hAnsi="Times New Roman" w:cs="Times New Roman"/>
          <w:bCs/>
          <w:sz w:val="24"/>
          <w:szCs w:val="24"/>
        </w:rPr>
        <w:t xml:space="preserve">return rate </w:t>
      </w:r>
      <w:r w:rsidR="001E428F">
        <w:rPr>
          <w:rFonts w:ascii="Times New Roman" w:eastAsia="Calibri" w:hAnsi="Times New Roman" w:cs="Times New Roman"/>
          <w:bCs/>
          <w:sz w:val="24"/>
          <w:szCs w:val="24"/>
        </w:rPr>
        <w:t>was</w:t>
      </w:r>
      <w:r w:rsidR="001E428F" w:rsidRPr="004504FF">
        <w:rPr>
          <w:rFonts w:ascii="Times New Roman" w:eastAsia="Calibri" w:hAnsi="Times New Roman" w:cs="Times New Roman"/>
          <w:bCs/>
          <w:sz w:val="24"/>
          <w:szCs w:val="24"/>
        </w:rPr>
        <w:t xml:space="preserve"> 59.7%</w:t>
      </w:r>
      <w:r w:rsidR="001E428F">
        <w:rPr>
          <w:rFonts w:ascii="Times New Roman" w:eastAsia="Calibri" w:hAnsi="Times New Roman" w:cs="Times New Roman"/>
          <w:sz w:val="24"/>
          <w:szCs w:val="24"/>
        </w:rPr>
        <w:t xml:space="preserve">. </w:t>
      </w:r>
      <w:r w:rsidR="001E428F" w:rsidRPr="004504FF">
        <w:rPr>
          <w:rFonts w:ascii="Times New Roman" w:eastAsia="Calibri" w:hAnsi="Times New Roman" w:cs="Times New Roman"/>
          <w:iCs/>
          <w:sz w:val="24"/>
          <w:szCs w:val="24"/>
        </w:rPr>
        <w:t>Fluctuations in the return rates over the past years are not the result of underperformance in cooperation, which remains good, but can be rather attributed to t</w:t>
      </w:r>
      <w:r w:rsidR="001E428F" w:rsidRPr="001E428F">
        <w:rPr>
          <w:rFonts w:ascii="Times New Roman" w:eastAsia="Calibri" w:hAnsi="Times New Roman" w:cs="Times New Roman"/>
          <w:iCs/>
          <w:sz w:val="24"/>
          <w:szCs w:val="24"/>
        </w:rPr>
        <w:t>he processing of backlog cases.</w:t>
      </w:r>
    </w:p>
    <w:p w14:paraId="5C2E9EFD" w14:textId="77777777" w:rsidR="005E1FEF" w:rsidRPr="005E1FEF" w:rsidRDefault="005E1FEF" w:rsidP="005E1FEF">
      <w:pPr>
        <w:spacing w:after="120" w:line="240" w:lineRule="auto"/>
        <w:jc w:val="both"/>
        <w:rPr>
          <w:rFonts w:ascii="Times New Roman" w:hAnsi="Times New Roman" w:cs="Times New Roman"/>
          <w:b/>
          <w:sz w:val="24"/>
          <w:szCs w:val="24"/>
        </w:rPr>
      </w:pPr>
      <w:r w:rsidRPr="005E1FEF">
        <w:rPr>
          <w:rFonts w:ascii="Times New Roman" w:hAnsi="Times New Roman" w:cs="Times New Roman"/>
          <w:b/>
          <w:sz w:val="24"/>
          <w:szCs w:val="24"/>
        </w:rPr>
        <w:t>Asylum</w:t>
      </w:r>
    </w:p>
    <w:p w14:paraId="039637D7" w14:textId="765BC5CC"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The legal framework on asylum is largely in place. A list of safe countries of origin, including the Western Balkan partners and Turkey, was adopted in December 2019. The directorate in charge of integrating people under a protection status, which is now under the Ministry of Interior, was reorganised. In July 2019, new integration measures were developed, including financial assistance, language and culture courses, school enrolment for children and job placement. However, the number of people concerned remain</w:t>
      </w:r>
      <w:r w:rsidR="00627AF1">
        <w:rPr>
          <w:rFonts w:ascii="Times New Roman" w:hAnsi="Times New Roman" w:cs="Times New Roman"/>
          <w:sz w:val="24"/>
          <w:szCs w:val="24"/>
        </w:rPr>
        <w:t>s</w:t>
      </w:r>
      <w:r w:rsidRPr="005E1FEF">
        <w:rPr>
          <w:rFonts w:ascii="Times New Roman" w:hAnsi="Times New Roman" w:cs="Times New Roman"/>
          <w:sz w:val="24"/>
          <w:szCs w:val="24"/>
        </w:rPr>
        <w:t xml:space="preserve"> limited. Montenegro currently has 27 people under </w:t>
      </w:r>
      <w:r w:rsidR="00F20725">
        <w:rPr>
          <w:rFonts w:ascii="Times New Roman" w:hAnsi="Times New Roman" w:cs="Times New Roman"/>
          <w:sz w:val="24"/>
          <w:szCs w:val="24"/>
        </w:rPr>
        <w:t xml:space="preserve">an international </w:t>
      </w:r>
      <w:r w:rsidRPr="005E1FEF">
        <w:rPr>
          <w:rFonts w:ascii="Times New Roman" w:hAnsi="Times New Roman" w:cs="Times New Roman"/>
          <w:sz w:val="24"/>
          <w:szCs w:val="24"/>
        </w:rPr>
        <w:t xml:space="preserve">protection status. Nine of the </w:t>
      </w:r>
      <w:r w:rsidR="00627AF1">
        <w:rPr>
          <w:rFonts w:ascii="Times New Roman" w:hAnsi="Times New Roman" w:cs="Times New Roman"/>
          <w:sz w:val="24"/>
          <w:szCs w:val="24"/>
        </w:rPr>
        <w:t>12</w:t>
      </w:r>
      <w:r w:rsidRPr="005E1FEF">
        <w:rPr>
          <w:rFonts w:ascii="Times New Roman" w:hAnsi="Times New Roman" w:cs="Times New Roman"/>
          <w:sz w:val="24"/>
          <w:szCs w:val="24"/>
        </w:rPr>
        <w:t xml:space="preserve"> adults are working. </w:t>
      </w:r>
    </w:p>
    <w:p w14:paraId="34E8E41C" w14:textId="4D57B5D6"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All the apprehended migrants expressed their intention to request asylum, which put the country’s reception capacity</w:t>
      </w:r>
      <w:r w:rsidR="00627AF1">
        <w:rPr>
          <w:rFonts w:ascii="Times New Roman" w:hAnsi="Times New Roman" w:cs="Times New Roman"/>
          <w:sz w:val="24"/>
          <w:szCs w:val="24"/>
        </w:rPr>
        <w:t xml:space="preserve"> under pressure</w:t>
      </w:r>
      <w:r w:rsidRPr="005E1FEF">
        <w:rPr>
          <w:rFonts w:ascii="Times New Roman" w:hAnsi="Times New Roman" w:cs="Times New Roman"/>
          <w:sz w:val="24"/>
          <w:szCs w:val="24"/>
        </w:rPr>
        <w:t>. However, the number of those actually lodging asylum claims declined. Only 1,921 asylum requests were registered in 2019, a 38% drop from 2018, and 382 in the first three months of 2020, suggesting an increased mobility and a higher tendency to leave the country even before lodging the asylum request. In 2019, 9</w:t>
      </w:r>
      <w:r w:rsidR="00627AF1">
        <w:rPr>
          <w:rFonts w:ascii="Times New Roman" w:hAnsi="Times New Roman" w:cs="Times New Roman"/>
          <w:sz w:val="24"/>
          <w:szCs w:val="24"/>
        </w:rPr>
        <w:t>.</w:t>
      </w:r>
      <w:r w:rsidRPr="005E1FEF">
        <w:rPr>
          <w:rFonts w:ascii="Times New Roman" w:hAnsi="Times New Roman" w:cs="Times New Roman"/>
          <w:sz w:val="24"/>
          <w:szCs w:val="24"/>
        </w:rPr>
        <w:t xml:space="preserve">6% of the applicants were women and 89% were adults. 34% of the requests were lodged by Moroccan nationals, followed by Algerian (15%), Iraqi (15%) and Syrian (14%) nationals. Most of them left before the end of the procedure. </w:t>
      </w:r>
    </w:p>
    <w:p w14:paraId="6583D811" w14:textId="44C6F684"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Despite the relatively small number of asylum seekers who actually remained in the system, some concerns emerged over delays in the status determination process. Between January 2019 and March 2020, </w:t>
      </w:r>
      <w:r w:rsidR="00627AF1">
        <w:rPr>
          <w:rFonts w:ascii="Times New Roman" w:hAnsi="Times New Roman" w:cs="Times New Roman"/>
          <w:sz w:val="24"/>
          <w:szCs w:val="24"/>
        </w:rPr>
        <w:t xml:space="preserve">out </w:t>
      </w:r>
      <w:r w:rsidRPr="005E1FEF">
        <w:rPr>
          <w:rFonts w:ascii="Times New Roman" w:hAnsi="Times New Roman" w:cs="Times New Roman"/>
          <w:sz w:val="24"/>
          <w:szCs w:val="24"/>
        </w:rPr>
        <w:t>of 77 cases where the applicants actually show</w:t>
      </w:r>
      <w:r w:rsidR="005B5C9E">
        <w:rPr>
          <w:rFonts w:ascii="Times New Roman" w:hAnsi="Times New Roman" w:cs="Times New Roman"/>
          <w:sz w:val="24"/>
          <w:szCs w:val="24"/>
        </w:rPr>
        <w:t>ed</w:t>
      </w:r>
      <w:r w:rsidRPr="005E1FEF">
        <w:rPr>
          <w:rFonts w:ascii="Times New Roman" w:hAnsi="Times New Roman" w:cs="Times New Roman"/>
          <w:sz w:val="24"/>
          <w:szCs w:val="24"/>
        </w:rPr>
        <w:t xml:space="preserve"> up at the interview, only 21 final decision</w:t>
      </w:r>
      <w:r w:rsidR="00627AF1">
        <w:rPr>
          <w:rFonts w:ascii="Times New Roman" w:hAnsi="Times New Roman" w:cs="Times New Roman"/>
          <w:sz w:val="24"/>
          <w:szCs w:val="24"/>
        </w:rPr>
        <w:t>s</w:t>
      </w:r>
      <w:r w:rsidRPr="005E1FEF">
        <w:rPr>
          <w:rFonts w:ascii="Times New Roman" w:hAnsi="Times New Roman" w:cs="Times New Roman"/>
          <w:sz w:val="24"/>
          <w:szCs w:val="24"/>
        </w:rPr>
        <w:t xml:space="preserve"> were taken. A number of interviews were postponed for technical reasons. Five people were granted an international protection status from January 2019 to March 2020, including </w:t>
      </w:r>
      <w:r w:rsidR="005F3749">
        <w:rPr>
          <w:rFonts w:ascii="Times New Roman" w:hAnsi="Times New Roman" w:cs="Times New Roman"/>
          <w:sz w:val="24"/>
          <w:szCs w:val="24"/>
        </w:rPr>
        <w:t>4 who received</w:t>
      </w:r>
      <w:r w:rsidRPr="005E1FEF">
        <w:rPr>
          <w:rFonts w:ascii="Times New Roman" w:hAnsi="Times New Roman" w:cs="Times New Roman"/>
          <w:sz w:val="24"/>
          <w:szCs w:val="24"/>
        </w:rPr>
        <w:t xml:space="preserve"> refugee status based on family reunification grounds, and only </w:t>
      </w:r>
      <w:r w:rsidR="005F3749">
        <w:rPr>
          <w:rFonts w:ascii="Times New Roman" w:hAnsi="Times New Roman" w:cs="Times New Roman"/>
          <w:sz w:val="24"/>
          <w:szCs w:val="24"/>
        </w:rPr>
        <w:t>1</w:t>
      </w:r>
      <w:r w:rsidRPr="005E1FEF">
        <w:rPr>
          <w:rFonts w:ascii="Times New Roman" w:hAnsi="Times New Roman" w:cs="Times New Roman"/>
          <w:sz w:val="24"/>
          <w:szCs w:val="24"/>
        </w:rPr>
        <w:t xml:space="preserve"> subsidiary protection resulting from the request’s own merit. </w:t>
      </w:r>
      <w:r w:rsidR="005F3749">
        <w:rPr>
          <w:rFonts w:ascii="Times New Roman" w:hAnsi="Times New Roman" w:cs="Times New Roman"/>
          <w:sz w:val="24"/>
          <w:szCs w:val="24"/>
        </w:rPr>
        <w:t>Thirteen</w:t>
      </w:r>
      <w:r w:rsidRPr="005E1FEF">
        <w:rPr>
          <w:rFonts w:ascii="Times New Roman" w:hAnsi="Times New Roman" w:cs="Times New Roman"/>
          <w:sz w:val="24"/>
          <w:szCs w:val="24"/>
        </w:rPr>
        <w:t xml:space="preserve"> appeal claims were lodged at the administrative court.</w:t>
      </w:r>
    </w:p>
    <w:p w14:paraId="0E04F279" w14:textId="40971007" w:rsidR="005E1FEF" w:rsidRPr="005E1FEF" w:rsidRDefault="005F3749" w:rsidP="005E1FE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total of </w:t>
      </w:r>
      <w:r w:rsidR="005E1FEF" w:rsidRPr="005E1FEF">
        <w:rPr>
          <w:rFonts w:ascii="Times New Roman" w:hAnsi="Times New Roman" w:cs="Times New Roman"/>
          <w:sz w:val="24"/>
          <w:szCs w:val="24"/>
        </w:rPr>
        <w:t>7,739 people were accommodated in the country’s reception centres in 2019, a 73% surge compared with 2019, mainly for short stays. This stretched the system to its limit. 4</w:t>
      </w:r>
      <w:r>
        <w:rPr>
          <w:rFonts w:ascii="Times New Roman" w:hAnsi="Times New Roman" w:cs="Times New Roman"/>
          <w:sz w:val="24"/>
          <w:szCs w:val="24"/>
        </w:rPr>
        <w:t>.</w:t>
      </w:r>
      <w:r w:rsidR="005E1FEF" w:rsidRPr="005E1FEF">
        <w:rPr>
          <w:rFonts w:ascii="Times New Roman" w:hAnsi="Times New Roman" w:cs="Times New Roman"/>
          <w:sz w:val="24"/>
          <w:szCs w:val="24"/>
        </w:rPr>
        <w:t xml:space="preserve">5% of the asylum seekers were women. 71% of the asylum seekers stayed in the alternative centre in Konik where, despite recent improvements, standards still do not match those of a fully-fledged asylum centre. The centre, </w:t>
      </w:r>
      <w:r>
        <w:rPr>
          <w:rFonts w:ascii="Times New Roman" w:hAnsi="Times New Roman" w:cs="Times New Roman"/>
          <w:sz w:val="24"/>
          <w:szCs w:val="24"/>
        </w:rPr>
        <w:t>which has</w:t>
      </w:r>
      <w:r w:rsidR="005E1FEF" w:rsidRPr="005E1FEF">
        <w:rPr>
          <w:rFonts w:ascii="Times New Roman" w:hAnsi="Times New Roman" w:cs="Times New Roman"/>
          <w:sz w:val="24"/>
          <w:szCs w:val="24"/>
        </w:rPr>
        <w:t xml:space="preserve"> a 225</w:t>
      </w:r>
      <w:r w:rsidR="00FC6662">
        <w:rPr>
          <w:rFonts w:ascii="Times New Roman" w:hAnsi="Times New Roman" w:cs="Times New Roman"/>
          <w:sz w:val="24"/>
          <w:szCs w:val="24"/>
        </w:rPr>
        <w:t>-</w:t>
      </w:r>
      <w:r w:rsidR="005E1FEF" w:rsidRPr="005E1FEF">
        <w:rPr>
          <w:rFonts w:ascii="Times New Roman" w:hAnsi="Times New Roman" w:cs="Times New Roman"/>
          <w:sz w:val="24"/>
          <w:szCs w:val="24"/>
        </w:rPr>
        <w:t>bed capacity, is a private</w:t>
      </w:r>
      <w:r>
        <w:rPr>
          <w:rFonts w:ascii="Times New Roman" w:hAnsi="Times New Roman" w:cs="Times New Roman"/>
          <w:sz w:val="24"/>
          <w:szCs w:val="24"/>
        </w:rPr>
        <w:t>ly</w:t>
      </w:r>
      <w:r w:rsidR="005E1FEF" w:rsidRPr="005E1FEF">
        <w:rPr>
          <w:rFonts w:ascii="Times New Roman" w:hAnsi="Times New Roman" w:cs="Times New Roman"/>
          <w:sz w:val="24"/>
          <w:szCs w:val="24"/>
        </w:rPr>
        <w:t>-own</w:t>
      </w:r>
      <w:r>
        <w:rPr>
          <w:rFonts w:ascii="Times New Roman" w:hAnsi="Times New Roman" w:cs="Times New Roman"/>
          <w:sz w:val="24"/>
          <w:szCs w:val="24"/>
        </w:rPr>
        <w:t>ed</w:t>
      </w:r>
      <w:r w:rsidR="005E1FEF" w:rsidRPr="005E1FEF">
        <w:rPr>
          <w:rFonts w:ascii="Times New Roman" w:hAnsi="Times New Roman" w:cs="Times New Roman"/>
          <w:sz w:val="24"/>
          <w:szCs w:val="24"/>
        </w:rPr>
        <w:t xml:space="preserve"> facilit</w:t>
      </w:r>
      <w:r>
        <w:rPr>
          <w:rFonts w:ascii="Times New Roman" w:hAnsi="Times New Roman" w:cs="Times New Roman"/>
          <w:sz w:val="24"/>
          <w:szCs w:val="24"/>
        </w:rPr>
        <w:t>y</w:t>
      </w:r>
      <w:r w:rsidR="005E1FEF" w:rsidRPr="005E1FEF">
        <w:rPr>
          <w:rFonts w:ascii="Times New Roman" w:hAnsi="Times New Roman" w:cs="Times New Roman"/>
          <w:sz w:val="24"/>
          <w:szCs w:val="24"/>
        </w:rPr>
        <w:t xml:space="preserve"> that the asylum directorate rents at </w:t>
      </w:r>
      <w:r>
        <w:rPr>
          <w:rFonts w:ascii="Times New Roman" w:hAnsi="Times New Roman" w:cs="Times New Roman"/>
          <w:sz w:val="24"/>
          <w:szCs w:val="24"/>
        </w:rPr>
        <w:t xml:space="preserve">an </w:t>
      </w:r>
      <w:r w:rsidR="005E1FEF" w:rsidRPr="005E1FEF">
        <w:rPr>
          <w:rFonts w:ascii="Times New Roman" w:hAnsi="Times New Roman" w:cs="Times New Roman"/>
          <w:sz w:val="24"/>
          <w:szCs w:val="24"/>
        </w:rPr>
        <w:t>expensive commercial price. The budget of the asylum system rose to €</w:t>
      </w:r>
      <w:r>
        <w:rPr>
          <w:rFonts w:ascii="Times New Roman" w:hAnsi="Times New Roman" w:cs="Times New Roman"/>
          <w:sz w:val="24"/>
          <w:szCs w:val="24"/>
        </w:rPr>
        <w:t xml:space="preserve"> </w:t>
      </w:r>
      <w:r w:rsidR="005E1FEF" w:rsidRPr="005E1FEF">
        <w:rPr>
          <w:rFonts w:ascii="Times New Roman" w:hAnsi="Times New Roman" w:cs="Times New Roman"/>
          <w:sz w:val="24"/>
          <w:szCs w:val="24"/>
        </w:rPr>
        <w:t xml:space="preserve">1.7 million in 2019 (a twofold increase compared with 2018), 66% of which was spent on the alternative reception centre. Reception costs were entirely paid from Montenegro’s </w:t>
      </w:r>
      <w:r w:rsidR="00D57D15">
        <w:rPr>
          <w:rFonts w:ascii="Times New Roman" w:hAnsi="Times New Roman" w:cs="Times New Roman"/>
          <w:sz w:val="24"/>
          <w:szCs w:val="24"/>
        </w:rPr>
        <w:t xml:space="preserve">national </w:t>
      </w:r>
      <w:r w:rsidR="005E1FEF" w:rsidRPr="005E1FEF">
        <w:rPr>
          <w:rFonts w:ascii="Times New Roman" w:hAnsi="Times New Roman" w:cs="Times New Roman"/>
          <w:sz w:val="24"/>
          <w:szCs w:val="24"/>
        </w:rPr>
        <w:t xml:space="preserve">budget, with no external support. </w:t>
      </w:r>
    </w:p>
    <w:p w14:paraId="78B87DA5" w14:textId="4DA1BB8B" w:rsidR="002C5594" w:rsidRPr="00861A9A" w:rsidRDefault="002C5594" w:rsidP="005E1FEF">
      <w:pPr>
        <w:spacing w:after="120" w:line="240" w:lineRule="auto"/>
        <w:jc w:val="both"/>
        <w:rPr>
          <w:rFonts w:ascii="Times New Roman" w:hAnsi="Times New Roman" w:cs="Times New Roman"/>
          <w:b/>
          <w:sz w:val="24"/>
          <w:szCs w:val="24"/>
        </w:rPr>
      </w:pPr>
      <w:r w:rsidRPr="002C5594">
        <w:rPr>
          <w:rFonts w:ascii="Times New Roman" w:hAnsi="Times New Roman" w:cs="Times New Roman"/>
          <w:sz w:val="24"/>
          <w:szCs w:val="24"/>
        </w:rPr>
        <w:t>Against the back</w:t>
      </w:r>
      <w:r w:rsidR="00792B05">
        <w:rPr>
          <w:rFonts w:ascii="Times New Roman" w:hAnsi="Times New Roman" w:cs="Times New Roman"/>
          <w:sz w:val="24"/>
          <w:szCs w:val="24"/>
        </w:rPr>
        <w:t>drop</w:t>
      </w:r>
      <w:r w:rsidRPr="002C5594">
        <w:rPr>
          <w:rFonts w:ascii="Times New Roman" w:hAnsi="Times New Roman" w:cs="Times New Roman"/>
          <w:sz w:val="24"/>
          <w:szCs w:val="24"/>
        </w:rPr>
        <w:t xml:space="preserve"> of the COVID-19 outbreak, </w:t>
      </w:r>
      <w:r w:rsidR="007D05C2">
        <w:rPr>
          <w:rFonts w:ascii="Times New Roman" w:hAnsi="Times New Roman" w:cs="Times New Roman"/>
          <w:sz w:val="24"/>
          <w:szCs w:val="24"/>
        </w:rPr>
        <w:t xml:space="preserve">the reception </w:t>
      </w:r>
      <w:r w:rsidR="007D05C2" w:rsidRPr="007D05C2">
        <w:rPr>
          <w:rFonts w:ascii="Times New Roman" w:hAnsi="Times New Roman" w:cs="Times New Roman"/>
          <w:sz w:val="24"/>
          <w:szCs w:val="24"/>
        </w:rPr>
        <w:t xml:space="preserve">procedure </w:t>
      </w:r>
      <w:r w:rsidR="007D05C2">
        <w:rPr>
          <w:rFonts w:ascii="Times New Roman" w:hAnsi="Times New Roman" w:cs="Times New Roman"/>
          <w:sz w:val="24"/>
          <w:szCs w:val="24"/>
        </w:rPr>
        <w:t>was adapted</w:t>
      </w:r>
      <w:r w:rsidR="007D05C2" w:rsidRPr="007D05C2">
        <w:rPr>
          <w:rFonts w:ascii="Times New Roman" w:hAnsi="Times New Roman" w:cs="Times New Roman"/>
          <w:sz w:val="24"/>
          <w:szCs w:val="24"/>
        </w:rPr>
        <w:t xml:space="preserve">. </w:t>
      </w:r>
      <w:r w:rsidR="007D05C2">
        <w:rPr>
          <w:rFonts w:ascii="Times New Roman" w:hAnsi="Times New Roman" w:cs="Times New Roman"/>
          <w:sz w:val="24"/>
          <w:szCs w:val="24"/>
        </w:rPr>
        <w:t>M</w:t>
      </w:r>
      <w:r w:rsidR="007D05C2" w:rsidRPr="007D05C2">
        <w:rPr>
          <w:rFonts w:ascii="Times New Roman" w:hAnsi="Times New Roman" w:cs="Times New Roman"/>
          <w:sz w:val="24"/>
          <w:szCs w:val="24"/>
        </w:rPr>
        <w:t>igrants inten</w:t>
      </w:r>
      <w:r w:rsidR="007D05C2">
        <w:rPr>
          <w:rFonts w:ascii="Times New Roman" w:hAnsi="Times New Roman" w:cs="Times New Roman"/>
          <w:sz w:val="24"/>
          <w:szCs w:val="24"/>
        </w:rPr>
        <w:t>ding</w:t>
      </w:r>
      <w:r w:rsidR="007D05C2" w:rsidRPr="007D05C2">
        <w:rPr>
          <w:rFonts w:ascii="Times New Roman" w:hAnsi="Times New Roman" w:cs="Times New Roman"/>
          <w:sz w:val="24"/>
          <w:szCs w:val="24"/>
        </w:rPr>
        <w:t xml:space="preserve"> to request asylum </w:t>
      </w:r>
      <w:r w:rsidR="007D05C2">
        <w:rPr>
          <w:rFonts w:ascii="Times New Roman" w:hAnsi="Times New Roman" w:cs="Times New Roman"/>
          <w:sz w:val="24"/>
          <w:szCs w:val="24"/>
        </w:rPr>
        <w:t>were</w:t>
      </w:r>
      <w:r w:rsidR="007D05C2" w:rsidRPr="007D05C2">
        <w:rPr>
          <w:rFonts w:ascii="Times New Roman" w:hAnsi="Times New Roman" w:cs="Times New Roman"/>
          <w:sz w:val="24"/>
          <w:szCs w:val="24"/>
        </w:rPr>
        <w:t xml:space="preserve"> accommodated </w:t>
      </w:r>
      <w:r w:rsidR="00C40E26">
        <w:rPr>
          <w:rFonts w:ascii="Times New Roman" w:hAnsi="Times New Roman" w:cs="Times New Roman"/>
          <w:sz w:val="24"/>
          <w:szCs w:val="24"/>
        </w:rPr>
        <w:t>first in the migrant</w:t>
      </w:r>
      <w:r w:rsidR="007D05C2">
        <w:rPr>
          <w:rFonts w:ascii="Times New Roman" w:hAnsi="Times New Roman" w:cs="Times New Roman"/>
          <w:sz w:val="24"/>
          <w:szCs w:val="24"/>
        </w:rPr>
        <w:t xml:space="preserve"> detention centre, temporarily used as a quarantine facility, and transferred after 14 days to the centre for asylum seekers, provided they were tested </w:t>
      </w:r>
      <w:r w:rsidR="007D05C2" w:rsidRPr="007D05C2">
        <w:rPr>
          <w:rFonts w:ascii="Times New Roman" w:hAnsi="Times New Roman" w:cs="Times New Roman"/>
          <w:sz w:val="24"/>
          <w:szCs w:val="24"/>
        </w:rPr>
        <w:t xml:space="preserve">negative </w:t>
      </w:r>
      <w:r w:rsidR="007D05C2">
        <w:rPr>
          <w:rFonts w:ascii="Times New Roman" w:hAnsi="Times New Roman" w:cs="Times New Roman"/>
          <w:sz w:val="24"/>
          <w:szCs w:val="24"/>
        </w:rPr>
        <w:t>on COVID-</w:t>
      </w:r>
      <w:r w:rsidR="007D05C2" w:rsidRPr="007D05C2">
        <w:rPr>
          <w:rFonts w:ascii="Times New Roman" w:hAnsi="Times New Roman" w:cs="Times New Roman"/>
          <w:sz w:val="24"/>
          <w:szCs w:val="24"/>
        </w:rPr>
        <w:t>19</w:t>
      </w:r>
      <w:r w:rsidR="007D05C2">
        <w:rPr>
          <w:rFonts w:ascii="Times New Roman" w:hAnsi="Times New Roman" w:cs="Times New Roman"/>
          <w:sz w:val="24"/>
          <w:szCs w:val="24"/>
        </w:rPr>
        <w:t>.</w:t>
      </w:r>
      <w:r w:rsidR="007D05C2" w:rsidRPr="007D05C2">
        <w:rPr>
          <w:rFonts w:ascii="Times New Roman" w:hAnsi="Times New Roman" w:cs="Times New Roman"/>
          <w:sz w:val="24"/>
          <w:szCs w:val="24"/>
        </w:rPr>
        <w:t xml:space="preserve"> </w:t>
      </w:r>
      <w:r w:rsidRPr="002C5594">
        <w:rPr>
          <w:rFonts w:ascii="Times New Roman" w:hAnsi="Times New Roman" w:cs="Times New Roman"/>
          <w:sz w:val="24"/>
          <w:szCs w:val="24"/>
        </w:rPr>
        <w:t>Preventive hygien</w:t>
      </w:r>
      <w:r w:rsidR="005600A8">
        <w:rPr>
          <w:rFonts w:ascii="Times New Roman" w:hAnsi="Times New Roman" w:cs="Times New Roman"/>
          <w:sz w:val="24"/>
          <w:szCs w:val="24"/>
        </w:rPr>
        <w:t>e</w:t>
      </w:r>
      <w:r w:rsidRPr="002C5594">
        <w:rPr>
          <w:rFonts w:ascii="Times New Roman" w:hAnsi="Times New Roman" w:cs="Times New Roman"/>
          <w:sz w:val="24"/>
          <w:szCs w:val="24"/>
        </w:rPr>
        <w:t xml:space="preserve"> </w:t>
      </w:r>
      <w:r w:rsidR="007D05C2">
        <w:rPr>
          <w:rFonts w:ascii="Times New Roman" w:hAnsi="Times New Roman" w:cs="Times New Roman"/>
          <w:sz w:val="24"/>
          <w:szCs w:val="24"/>
        </w:rPr>
        <w:t xml:space="preserve">and disinfection </w:t>
      </w:r>
      <w:r w:rsidRPr="002C5594">
        <w:rPr>
          <w:rFonts w:ascii="Times New Roman" w:hAnsi="Times New Roman" w:cs="Times New Roman"/>
          <w:sz w:val="24"/>
          <w:szCs w:val="24"/>
        </w:rPr>
        <w:t xml:space="preserve">measures were applied in </w:t>
      </w:r>
      <w:r w:rsidR="007D05C2">
        <w:rPr>
          <w:rFonts w:ascii="Times New Roman" w:hAnsi="Times New Roman" w:cs="Times New Roman"/>
          <w:sz w:val="24"/>
          <w:szCs w:val="24"/>
        </w:rPr>
        <w:t xml:space="preserve">all </w:t>
      </w:r>
      <w:r w:rsidRPr="002C5594">
        <w:rPr>
          <w:rFonts w:ascii="Times New Roman" w:hAnsi="Times New Roman" w:cs="Times New Roman"/>
          <w:sz w:val="24"/>
          <w:szCs w:val="24"/>
        </w:rPr>
        <w:t xml:space="preserve">the centres. </w:t>
      </w:r>
      <w:r w:rsidRPr="007358A6">
        <w:rPr>
          <w:rFonts w:ascii="Times New Roman" w:hAnsi="Times New Roman" w:cs="Times New Roman"/>
          <w:sz w:val="24"/>
          <w:szCs w:val="24"/>
        </w:rPr>
        <w:t xml:space="preserve">The </w:t>
      </w:r>
      <w:r w:rsidR="007D05C2">
        <w:rPr>
          <w:rFonts w:ascii="Times New Roman" w:hAnsi="Times New Roman" w:cs="Times New Roman"/>
          <w:sz w:val="24"/>
          <w:szCs w:val="24"/>
        </w:rPr>
        <w:t xml:space="preserve">total </w:t>
      </w:r>
      <w:r w:rsidRPr="007358A6">
        <w:rPr>
          <w:rFonts w:ascii="Times New Roman" w:hAnsi="Times New Roman" w:cs="Times New Roman"/>
          <w:sz w:val="24"/>
          <w:szCs w:val="24"/>
        </w:rPr>
        <w:t xml:space="preserve">number of accommodated migrants </w:t>
      </w:r>
      <w:r w:rsidR="007D05C2">
        <w:rPr>
          <w:rFonts w:ascii="Times New Roman" w:hAnsi="Times New Roman" w:cs="Times New Roman"/>
          <w:sz w:val="24"/>
          <w:szCs w:val="24"/>
        </w:rPr>
        <w:t xml:space="preserve">between January and April 2020 </w:t>
      </w:r>
      <w:r w:rsidRPr="007358A6">
        <w:rPr>
          <w:rFonts w:ascii="Times New Roman" w:hAnsi="Times New Roman" w:cs="Times New Roman"/>
          <w:sz w:val="24"/>
          <w:szCs w:val="24"/>
        </w:rPr>
        <w:t>reached</w:t>
      </w:r>
      <w:r w:rsidR="007D05C2">
        <w:rPr>
          <w:rFonts w:ascii="Times New Roman" w:hAnsi="Times New Roman" w:cs="Times New Roman"/>
          <w:sz w:val="24"/>
          <w:szCs w:val="24"/>
        </w:rPr>
        <w:t xml:space="preserve"> 1197</w:t>
      </w:r>
      <w:r w:rsidRPr="007358A6">
        <w:rPr>
          <w:rFonts w:ascii="Times New Roman" w:hAnsi="Times New Roman" w:cs="Times New Roman"/>
          <w:sz w:val="24"/>
          <w:szCs w:val="24"/>
        </w:rPr>
        <w:t xml:space="preserve"> .</w:t>
      </w:r>
      <w:r w:rsidRPr="002C5594">
        <w:rPr>
          <w:rFonts w:ascii="Times New Roman" w:hAnsi="Times New Roman" w:cs="Times New Roman"/>
          <w:sz w:val="24"/>
          <w:szCs w:val="24"/>
        </w:rPr>
        <w:t xml:space="preserve"> </w:t>
      </w:r>
    </w:p>
    <w:p w14:paraId="41A2BE2A" w14:textId="50A49B63"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lastRenderedPageBreak/>
        <w:t>In June 2019, the government approved a set of measures aimed at increasing the country’s reception capacity. A temporary container settlement was established in 2019 in</w:t>
      </w:r>
      <w:r w:rsidR="00F80C8C">
        <w:rPr>
          <w:rFonts w:ascii="Times New Roman" w:hAnsi="Times New Roman" w:cs="Times New Roman"/>
          <w:sz w:val="24"/>
          <w:szCs w:val="24"/>
        </w:rPr>
        <w:t xml:space="preserve"> </w:t>
      </w:r>
      <w:r w:rsidR="00F80C8C" w:rsidRPr="000032B4">
        <w:rPr>
          <w:rFonts w:ascii="Times New Roman" w:hAnsi="Times New Roman" w:cs="Times New Roman"/>
          <w:sz w:val="24"/>
          <w:szCs w:val="24"/>
        </w:rPr>
        <w:t>Božaj</w:t>
      </w:r>
      <w:r w:rsidRPr="005E1FEF">
        <w:rPr>
          <w:rFonts w:ascii="Times New Roman" w:hAnsi="Times New Roman" w:cs="Times New Roman"/>
          <w:sz w:val="24"/>
          <w:szCs w:val="24"/>
        </w:rPr>
        <w:t xml:space="preserve">, close to the border with Albania, but is yet to be opened. This will create an additional reception capacity for 60 people, adding to the existing 329 beds for asylum seekers in Spuz and Konik. The detention centre has a capacity of 40 beds. </w:t>
      </w:r>
    </w:p>
    <w:p w14:paraId="1B663930" w14:textId="77777777" w:rsidR="005E1FEF" w:rsidRPr="005E1FEF" w:rsidRDefault="005E1FEF" w:rsidP="005E1FEF">
      <w:pPr>
        <w:spacing w:after="120" w:line="240" w:lineRule="auto"/>
        <w:jc w:val="both"/>
        <w:rPr>
          <w:rFonts w:ascii="Times New Roman" w:hAnsi="Times New Roman" w:cs="Times New Roman"/>
          <w:b/>
          <w:sz w:val="24"/>
          <w:szCs w:val="24"/>
        </w:rPr>
      </w:pPr>
      <w:r w:rsidRPr="005E1FEF">
        <w:rPr>
          <w:rFonts w:ascii="Times New Roman" w:hAnsi="Times New Roman" w:cs="Times New Roman"/>
          <w:b/>
          <w:sz w:val="24"/>
          <w:szCs w:val="24"/>
        </w:rPr>
        <w:t>Visa Policy</w:t>
      </w:r>
    </w:p>
    <w:p w14:paraId="6E86B8E4" w14:textId="0D3FD23E" w:rsidR="00B7600A" w:rsidRPr="00B7600A" w:rsidRDefault="005E1FEF" w:rsidP="004504F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Montenegro’s visa policy is not fully aligned </w:t>
      </w:r>
      <w:r w:rsidR="005F3749">
        <w:rPr>
          <w:rFonts w:ascii="Times New Roman" w:hAnsi="Times New Roman" w:cs="Times New Roman"/>
          <w:sz w:val="24"/>
          <w:szCs w:val="24"/>
        </w:rPr>
        <w:t>with</w:t>
      </w:r>
      <w:r w:rsidRPr="005E1FEF">
        <w:rPr>
          <w:rFonts w:ascii="Times New Roman" w:hAnsi="Times New Roman" w:cs="Times New Roman"/>
          <w:sz w:val="24"/>
          <w:szCs w:val="24"/>
        </w:rPr>
        <w:t xml:space="preserve"> the EU list of countries whose nationals require a visa and those who are exempt from this requirement. Under its tourism development policy, Montenegro still exempts nationals from Russia, Armenia, Kazakhstan, Azerbaijan, Belarus, Cuba, Ecuador, Kuwait and Turkey from short-term visa requirements – either on a seasonal basis for tourism purposes or permanently. </w:t>
      </w:r>
      <w:r w:rsidR="00B7600A" w:rsidRPr="00B7600A">
        <w:rPr>
          <w:rFonts w:ascii="Times New Roman" w:hAnsi="Times New Roman" w:cs="Times New Roman"/>
          <w:sz w:val="24"/>
          <w:szCs w:val="24"/>
        </w:rPr>
        <w:t xml:space="preserve">Seasonal visa exemption measures are not in line with the </w:t>
      </w:r>
      <w:r w:rsidR="00B7600A" w:rsidRPr="004504FF">
        <w:rPr>
          <w:rFonts w:ascii="Times New Roman" w:hAnsi="Times New Roman" w:cs="Times New Roman"/>
          <w:sz w:val="24"/>
          <w:szCs w:val="24"/>
        </w:rPr>
        <w:t xml:space="preserve">EU </w:t>
      </w:r>
      <w:r w:rsidR="00B7600A" w:rsidRPr="00C40E26">
        <w:rPr>
          <w:rFonts w:ascii="Times New Roman" w:hAnsi="Times New Roman" w:cs="Times New Roman"/>
          <w:i/>
          <w:sz w:val="24"/>
          <w:szCs w:val="24"/>
        </w:rPr>
        <w:t>acquis</w:t>
      </w:r>
      <w:r w:rsidR="00B7600A" w:rsidRPr="00B7600A">
        <w:rPr>
          <w:rFonts w:ascii="Times New Roman" w:hAnsi="Times New Roman" w:cs="Times New Roman"/>
          <w:sz w:val="24"/>
          <w:szCs w:val="24"/>
        </w:rPr>
        <w:t xml:space="preserve">. </w:t>
      </w:r>
      <w:r w:rsidRPr="00FD68B7">
        <w:rPr>
          <w:rFonts w:ascii="Times New Roman" w:hAnsi="Times New Roman" w:cs="Times New Roman"/>
          <w:sz w:val="24"/>
          <w:szCs w:val="24"/>
        </w:rPr>
        <w:t xml:space="preserve">The impact of the exemptions are closely monitored, and </w:t>
      </w:r>
      <w:r w:rsidR="00B7600A" w:rsidRPr="004504FF">
        <w:rPr>
          <w:rFonts w:ascii="Times New Roman" w:hAnsi="Times New Roman" w:cs="Times New Roman"/>
          <w:sz w:val="24"/>
          <w:szCs w:val="24"/>
        </w:rPr>
        <w:t>no impact on irregular migratory flows into the country</w:t>
      </w:r>
      <w:r w:rsidR="006F3091" w:rsidRPr="004504FF">
        <w:rPr>
          <w:rFonts w:ascii="Times New Roman" w:hAnsi="Times New Roman" w:cs="Times New Roman"/>
          <w:sz w:val="24"/>
          <w:szCs w:val="24"/>
        </w:rPr>
        <w:t xml:space="preserve"> have been observed so far</w:t>
      </w:r>
      <w:r w:rsidR="00B7600A" w:rsidRPr="004504FF">
        <w:rPr>
          <w:rFonts w:ascii="Times New Roman" w:hAnsi="Times New Roman" w:cs="Times New Roman"/>
          <w:sz w:val="24"/>
          <w:szCs w:val="24"/>
        </w:rPr>
        <w:t>.</w:t>
      </w:r>
    </w:p>
    <w:p w14:paraId="3BAC9771" w14:textId="2DC8F0C5" w:rsidR="005E1FEF" w:rsidRPr="005E1FEF" w:rsidRDefault="005E1FEF" w:rsidP="005E1FEF">
      <w:pPr>
        <w:spacing w:after="120" w:line="240" w:lineRule="auto"/>
        <w:jc w:val="both"/>
        <w:rPr>
          <w:rFonts w:ascii="Times New Roman" w:hAnsi="Times New Roman" w:cs="Times New Roman"/>
          <w:sz w:val="24"/>
          <w:szCs w:val="24"/>
        </w:rPr>
      </w:pPr>
    </w:p>
    <w:p w14:paraId="673A9BF2" w14:textId="19A0B2CD"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Montenegro now has 31 consular missions connected through the national Visa Information System. Three visas were issued at border crossing points under conditions that were in line with the EU </w:t>
      </w:r>
      <w:r w:rsidRPr="005E1FEF">
        <w:rPr>
          <w:rFonts w:ascii="Times New Roman" w:hAnsi="Times New Roman" w:cs="Times New Roman"/>
          <w:i/>
          <w:sz w:val="24"/>
          <w:szCs w:val="24"/>
        </w:rPr>
        <w:t>acquis</w:t>
      </w:r>
      <w:r w:rsidRPr="005E1FEF">
        <w:rPr>
          <w:rFonts w:ascii="Times New Roman" w:hAnsi="Times New Roman" w:cs="Times New Roman"/>
          <w:sz w:val="24"/>
          <w:szCs w:val="24"/>
        </w:rPr>
        <w:t>. Under the post-visa</w:t>
      </w:r>
      <w:r w:rsidR="008E399E">
        <w:rPr>
          <w:rFonts w:ascii="Times New Roman" w:hAnsi="Times New Roman" w:cs="Times New Roman"/>
          <w:sz w:val="24"/>
          <w:szCs w:val="24"/>
        </w:rPr>
        <w:t xml:space="preserve"> </w:t>
      </w:r>
      <w:r w:rsidRPr="005E1FEF">
        <w:rPr>
          <w:rFonts w:ascii="Times New Roman" w:hAnsi="Times New Roman" w:cs="Times New Roman"/>
          <w:sz w:val="24"/>
          <w:szCs w:val="24"/>
        </w:rPr>
        <w:t xml:space="preserve">liberalisation process, Montenegro continued to implement relevant measures to prevent </w:t>
      </w:r>
      <w:r w:rsidR="008E399E">
        <w:rPr>
          <w:rFonts w:ascii="Times New Roman" w:hAnsi="Times New Roman" w:cs="Times New Roman"/>
          <w:sz w:val="24"/>
          <w:szCs w:val="24"/>
        </w:rPr>
        <w:t xml:space="preserve">the </w:t>
      </w:r>
      <w:r w:rsidRPr="005E1FEF">
        <w:rPr>
          <w:rFonts w:ascii="Times New Roman" w:hAnsi="Times New Roman" w:cs="Times New Roman"/>
          <w:sz w:val="24"/>
          <w:szCs w:val="24"/>
        </w:rPr>
        <w:t xml:space="preserve">abuse of the visa-free regime with the EU and </w:t>
      </w:r>
      <w:r w:rsidR="008E399E">
        <w:rPr>
          <w:rFonts w:ascii="Times New Roman" w:hAnsi="Times New Roman" w:cs="Times New Roman"/>
          <w:sz w:val="24"/>
          <w:szCs w:val="24"/>
        </w:rPr>
        <w:t xml:space="preserve">carried out </w:t>
      </w:r>
      <w:r w:rsidRPr="005E1FEF">
        <w:rPr>
          <w:rFonts w:ascii="Times New Roman" w:hAnsi="Times New Roman" w:cs="Times New Roman"/>
          <w:sz w:val="24"/>
          <w:szCs w:val="24"/>
        </w:rPr>
        <w:t>report</w:t>
      </w:r>
      <w:r w:rsidR="008E399E">
        <w:rPr>
          <w:rFonts w:ascii="Times New Roman" w:hAnsi="Times New Roman" w:cs="Times New Roman"/>
          <w:sz w:val="24"/>
          <w:szCs w:val="24"/>
        </w:rPr>
        <w:t>ing</w:t>
      </w:r>
      <w:r w:rsidRPr="005E1FEF">
        <w:rPr>
          <w:rFonts w:ascii="Times New Roman" w:hAnsi="Times New Roman" w:cs="Times New Roman"/>
          <w:sz w:val="24"/>
          <w:szCs w:val="24"/>
        </w:rPr>
        <w:t xml:space="preserve"> on it on a monthly basis. The number of asylum applicants from Montenegro in EU Member States and Schengen associated countries remained low, with 225 applications lodged in 2019.</w:t>
      </w:r>
    </w:p>
    <w:p w14:paraId="4E7D8135" w14:textId="77777777" w:rsidR="005E1FEF" w:rsidRPr="005E1FEF" w:rsidRDefault="005E1FEF" w:rsidP="005E1FEF">
      <w:pPr>
        <w:spacing w:after="120" w:line="240" w:lineRule="auto"/>
        <w:jc w:val="both"/>
        <w:rPr>
          <w:rFonts w:ascii="Times New Roman" w:hAnsi="Times New Roman" w:cs="Times New Roman"/>
          <w:b/>
          <w:sz w:val="24"/>
          <w:szCs w:val="24"/>
        </w:rPr>
      </w:pPr>
      <w:r w:rsidRPr="005E1FEF">
        <w:rPr>
          <w:rFonts w:ascii="Times New Roman" w:hAnsi="Times New Roman" w:cs="Times New Roman"/>
          <w:b/>
          <w:sz w:val="24"/>
          <w:szCs w:val="24"/>
        </w:rPr>
        <w:t>External border and Schengen</w:t>
      </w:r>
    </w:p>
    <w:p w14:paraId="351DA571" w14:textId="670AE767" w:rsidR="00B7600A" w:rsidRPr="005E1FEF" w:rsidRDefault="00B7600A" w:rsidP="005E1FEF">
      <w:pPr>
        <w:spacing w:after="120" w:line="240" w:lineRule="auto"/>
        <w:jc w:val="both"/>
        <w:rPr>
          <w:rFonts w:ascii="Times New Roman" w:hAnsi="Times New Roman" w:cs="Times New Roman"/>
          <w:sz w:val="24"/>
          <w:szCs w:val="24"/>
        </w:rPr>
      </w:pPr>
      <w:r w:rsidRPr="00B7600A">
        <w:rPr>
          <w:rFonts w:ascii="Times New Roman" w:hAnsi="Times New Roman" w:cs="Times New Roman"/>
          <w:sz w:val="24"/>
          <w:szCs w:val="24"/>
        </w:rPr>
        <w:t xml:space="preserve">The Status Agreement with the EU, providing for the deployment of European Border and Coast Guard teams with executive powers along Montenegro’s borders with the EU, was ratified by both sides and is expected to enter into force on the 1 July 2020. After Albania, this will only be the second such agreement to enter into force. </w:t>
      </w:r>
    </w:p>
    <w:p w14:paraId="11AF5990" w14:textId="3C26F7C5"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The National Coordination Centre (NCC), established in April 2019,</w:t>
      </w:r>
      <w:r w:rsidR="008E399E">
        <w:rPr>
          <w:rFonts w:ascii="Times New Roman" w:hAnsi="Times New Roman" w:cs="Times New Roman"/>
          <w:sz w:val="24"/>
          <w:szCs w:val="24"/>
        </w:rPr>
        <w:t xml:space="preserve"> is</w:t>
      </w:r>
      <w:r w:rsidRPr="005E1FEF">
        <w:rPr>
          <w:rFonts w:ascii="Times New Roman" w:hAnsi="Times New Roman" w:cs="Times New Roman"/>
          <w:sz w:val="24"/>
          <w:szCs w:val="24"/>
        </w:rPr>
        <w:t xml:space="preserve"> partially staffed and equipped</w:t>
      </w:r>
      <w:r w:rsidR="008E399E">
        <w:rPr>
          <w:rFonts w:ascii="Times New Roman" w:hAnsi="Times New Roman" w:cs="Times New Roman"/>
          <w:sz w:val="24"/>
          <w:szCs w:val="24"/>
        </w:rPr>
        <w:t xml:space="preserve"> and </w:t>
      </w:r>
      <w:r w:rsidRPr="005E1FEF">
        <w:rPr>
          <w:rFonts w:ascii="Times New Roman" w:hAnsi="Times New Roman" w:cs="Times New Roman"/>
          <w:sz w:val="24"/>
          <w:szCs w:val="24"/>
        </w:rPr>
        <w:t>is yet to become fully operational. Montenegro’s border police still does not have a biometric migrant registration and identification system.</w:t>
      </w:r>
      <w:r w:rsidR="00FD0717">
        <w:rPr>
          <w:rFonts w:ascii="Times New Roman" w:hAnsi="Times New Roman" w:cs="Times New Roman"/>
          <w:sz w:val="24"/>
          <w:szCs w:val="24"/>
        </w:rPr>
        <w:t xml:space="preserve"> </w:t>
      </w:r>
    </w:p>
    <w:p w14:paraId="0F0BAABA" w14:textId="7C51C9DE"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The 2014-2018 strategy on integrated border management (IBM), which was extended to 2019, continued to be implemented. A new IBM strategy for 2020-2024, encompassing the new EU European IBM concept, was adopted</w:t>
      </w:r>
      <w:r w:rsidR="00A73FB3">
        <w:rPr>
          <w:rFonts w:ascii="Times New Roman" w:hAnsi="Times New Roman" w:cs="Times New Roman"/>
          <w:sz w:val="24"/>
          <w:szCs w:val="24"/>
        </w:rPr>
        <w:t xml:space="preserve"> in January 2020</w:t>
      </w:r>
      <w:r w:rsidRPr="005E1FEF">
        <w:rPr>
          <w:rFonts w:ascii="Times New Roman" w:hAnsi="Times New Roman" w:cs="Times New Roman"/>
          <w:sz w:val="24"/>
          <w:szCs w:val="24"/>
        </w:rPr>
        <w:t>. The number of positions in the border police is 1,364, of which 1,321 have already been recruited. The Advance Passenger Information System (API) is not operational.</w:t>
      </w:r>
      <w:r w:rsidR="00B86D25" w:rsidRPr="00B86D25">
        <w:rPr>
          <w:rFonts w:ascii="Times New Roman" w:hAnsi="Times New Roman" w:cs="Times New Roman"/>
          <w:sz w:val="24"/>
          <w:szCs w:val="24"/>
          <w:lang w:val="en-IE"/>
        </w:rPr>
        <w:t xml:space="preserve"> </w:t>
      </w:r>
    </w:p>
    <w:p w14:paraId="4DA16B00" w14:textId="68BA3817"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Montenegro continued to strengthen its capacity through training, TAEIX support and the purchase of equipment. Some 115 forged documents were seized. </w:t>
      </w:r>
    </w:p>
    <w:p w14:paraId="4492B924" w14:textId="04EA3A7A"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The cooperation with neighbouring countries on border management continued to be good. Joint patrols with all neighbouring countries were conducted, with a significant increase in joint patrols with Albania. 39,644 joint inspections were carried out, 713 requests for information were processed by the joint cooperation centres of Plav and Trebinje. The demolition plan for 29 cross-border alternative roads with Serbia, agreed in March 2019, has yet to be implemented. Montenegro continued to play a positive role at </w:t>
      </w:r>
      <w:r w:rsidR="008E399E">
        <w:rPr>
          <w:rFonts w:ascii="Times New Roman" w:hAnsi="Times New Roman" w:cs="Times New Roman"/>
          <w:sz w:val="24"/>
          <w:szCs w:val="24"/>
        </w:rPr>
        <w:t xml:space="preserve">a </w:t>
      </w:r>
      <w:r w:rsidRPr="005E1FEF">
        <w:rPr>
          <w:rFonts w:ascii="Times New Roman" w:hAnsi="Times New Roman" w:cs="Times New Roman"/>
          <w:sz w:val="24"/>
          <w:szCs w:val="24"/>
        </w:rPr>
        <w:t xml:space="preserve">regional level in promoting the Sea Gate initiative to address the challenges of the Adriatic high-risk zone for cross border crime. Montenegro cooperates actively with Europol, Interpol and Frontex on </w:t>
      </w:r>
      <w:r w:rsidRPr="005E1FEF">
        <w:rPr>
          <w:rFonts w:ascii="Times New Roman" w:hAnsi="Times New Roman" w:cs="Times New Roman"/>
          <w:sz w:val="24"/>
          <w:szCs w:val="24"/>
        </w:rPr>
        <w:lastRenderedPageBreak/>
        <w:t xml:space="preserve">countering cross-border criminal activities. It participates in the Western Balkan risk analysis network under the aegis of Frontex. </w:t>
      </w:r>
    </w:p>
    <w:p w14:paraId="3A12A053" w14:textId="76DDFFBD" w:rsidR="00A73FB3" w:rsidRPr="00375171" w:rsidRDefault="00A73FB3" w:rsidP="00A73FB3">
      <w:pPr>
        <w:spacing w:after="120" w:line="240" w:lineRule="auto"/>
        <w:jc w:val="both"/>
        <w:rPr>
          <w:rFonts w:ascii="Times New Roman" w:hAnsi="Times New Roman" w:cs="Times New Roman"/>
          <w:sz w:val="24"/>
          <w:szCs w:val="24"/>
        </w:rPr>
      </w:pPr>
      <w:r w:rsidRPr="00375171">
        <w:t xml:space="preserve"> </w:t>
      </w:r>
      <w:r w:rsidRPr="00375171">
        <w:rPr>
          <w:rFonts w:ascii="Times New Roman" w:hAnsi="Times New Roman" w:cs="Times New Roman"/>
          <w:sz w:val="24"/>
          <w:szCs w:val="24"/>
        </w:rPr>
        <w:t>In the context of the COVID-19 pandemic</w:t>
      </w:r>
      <w:r w:rsidRPr="00861A9A">
        <w:rPr>
          <w:rFonts w:ascii="Times New Roman" w:hAnsi="Times New Roman" w:cs="Times New Roman"/>
          <w:sz w:val="24"/>
          <w:szCs w:val="24"/>
        </w:rPr>
        <w:t xml:space="preserve">, all </w:t>
      </w:r>
      <w:r w:rsidR="007D05C2">
        <w:rPr>
          <w:rFonts w:ascii="Times New Roman" w:hAnsi="Times New Roman" w:cs="Times New Roman"/>
          <w:sz w:val="24"/>
          <w:szCs w:val="24"/>
        </w:rPr>
        <w:t xml:space="preserve">but six </w:t>
      </w:r>
      <w:r w:rsidRPr="00861A9A">
        <w:rPr>
          <w:rFonts w:ascii="Times New Roman" w:hAnsi="Times New Roman" w:cs="Times New Roman"/>
          <w:sz w:val="24"/>
          <w:szCs w:val="24"/>
        </w:rPr>
        <w:t>border crossings were closed for international road,</w:t>
      </w:r>
      <w:r w:rsidRPr="00861A9A">
        <w:rPr>
          <w:rFonts w:ascii="Times New Roman" w:hAnsi="Times New Roman" w:cs="Times New Roman"/>
          <w:b/>
          <w:sz w:val="24"/>
          <w:szCs w:val="24"/>
        </w:rPr>
        <w:t xml:space="preserve"> </w:t>
      </w:r>
      <w:r w:rsidRPr="00861A9A">
        <w:rPr>
          <w:rFonts w:ascii="Times New Roman" w:hAnsi="Times New Roman" w:cs="Times New Roman"/>
          <w:sz w:val="24"/>
          <w:szCs w:val="24"/>
        </w:rPr>
        <w:t>railway or waterway traffic (including border crossing at airports)</w:t>
      </w:r>
      <w:r w:rsidR="007D05C2">
        <w:rPr>
          <w:rFonts w:ascii="Times New Roman" w:hAnsi="Times New Roman" w:cs="Times New Roman"/>
          <w:sz w:val="24"/>
          <w:szCs w:val="24"/>
        </w:rPr>
        <w:t>.</w:t>
      </w:r>
    </w:p>
    <w:p w14:paraId="5401103F" w14:textId="77777777" w:rsidR="005E1FEF" w:rsidRPr="005E1FEF" w:rsidRDefault="005E1FEF" w:rsidP="005E1FEF">
      <w:pPr>
        <w:spacing w:after="120" w:line="240" w:lineRule="auto"/>
        <w:jc w:val="both"/>
        <w:rPr>
          <w:rFonts w:ascii="Times New Roman" w:hAnsi="Times New Roman" w:cs="Times New Roman"/>
          <w:b/>
          <w:sz w:val="24"/>
          <w:szCs w:val="24"/>
        </w:rPr>
      </w:pPr>
      <w:r w:rsidRPr="005E1FEF">
        <w:rPr>
          <w:rFonts w:ascii="Times New Roman" w:hAnsi="Times New Roman" w:cs="Times New Roman"/>
          <w:b/>
          <w:sz w:val="24"/>
          <w:szCs w:val="24"/>
        </w:rPr>
        <w:t>Judicial cooperation in civil and criminal matters</w:t>
      </w:r>
    </w:p>
    <w:p w14:paraId="47D9109C" w14:textId="63CFF7DD"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As regards</w:t>
      </w:r>
      <w:r w:rsidR="008E399E">
        <w:rPr>
          <w:rFonts w:ascii="Times New Roman" w:hAnsi="Times New Roman" w:cs="Times New Roman"/>
          <w:sz w:val="24"/>
          <w:szCs w:val="24"/>
        </w:rPr>
        <w:t xml:space="preserve"> to</w:t>
      </w:r>
      <w:r w:rsidRPr="005E1FEF">
        <w:rPr>
          <w:rFonts w:ascii="Times New Roman" w:hAnsi="Times New Roman" w:cs="Times New Roman"/>
          <w:sz w:val="24"/>
          <w:szCs w:val="24"/>
        </w:rPr>
        <w:t xml:space="preserve"> judicial cooperation in criminal matters, the government adopted amendments to the Additional Protocol to the Convention on the transfer of sentenced persons</w:t>
      </w:r>
      <w:r w:rsidR="008E399E">
        <w:rPr>
          <w:rFonts w:ascii="Times New Roman" w:hAnsi="Times New Roman" w:cs="Times New Roman"/>
          <w:sz w:val="24"/>
          <w:szCs w:val="24"/>
        </w:rPr>
        <w:t xml:space="preserve"> in September 2019</w:t>
      </w:r>
      <w:r w:rsidRPr="005E1FEF">
        <w:rPr>
          <w:rFonts w:ascii="Times New Roman" w:hAnsi="Times New Roman" w:cs="Times New Roman"/>
          <w:sz w:val="24"/>
          <w:szCs w:val="24"/>
        </w:rPr>
        <w:t>. Montenegro has well</w:t>
      </w:r>
      <w:r w:rsidR="008E399E">
        <w:rPr>
          <w:rFonts w:ascii="Times New Roman" w:hAnsi="Times New Roman" w:cs="Times New Roman"/>
          <w:sz w:val="24"/>
          <w:szCs w:val="24"/>
        </w:rPr>
        <w:t xml:space="preserve"> </w:t>
      </w:r>
      <w:r w:rsidRPr="005E1FEF">
        <w:rPr>
          <w:rFonts w:ascii="Times New Roman" w:hAnsi="Times New Roman" w:cs="Times New Roman"/>
          <w:sz w:val="24"/>
          <w:szCs w:val="24"/>
        </w:rPr>
        <w:t xml:space="preserve">established cooperation with Eurojust. </w:t>
      </w:r>
      <w:r w:rsidR="000236C8">
        <w:rPr>
          <w:rFonts w:ascii="Times New Roman" w:hAnsi="Times New Roman" w:cs="Times New Roman"/>
          <w:sz w:val="24"/>
          <w:szCs w:val="24"/>
        </w:rPr>
        <w:t xml:space="preserve">Montenegro was involved in </w:t>
      </w:r>
      <w:r w:rsidRPr="005E1FEF">
        <w:rPr>
          <w:rFonts w:ascii="Times New Roman" w:hAnsi="Times New Roman" w:cs="Times New Roman"/>
          <w:sz w:val="24"/>
          <w:szCs w:val="24"/>
        </w:rPr>
        <w:t xml:space="preserve">12 cases in 2019, </w:t>
      </w:r>
      <w:r w:rsidR="008E399E">
        <w:rPr>
          <w:rFonts w:ascii="Times New Roman" w:hAnsi="Times New Roman" w:cs="Times New Roman"/>
          <w:sz w:val="24"/>
          <w:szCs w:val="24"/>
        </w:rPr>
        <w:t xml:space="preserve">which were </w:t>
      </w:r>
      <w:r w:rsidRPr="005E1FEF">
        <w:rPr>
          <w:rFonts w:ascii="Times New Roman" w:hAnsi="Times New Roman" w:cs="Times New Roman"/>
          <w:sz w:val="24"/>
          <w:szCs w:val="24"/>
        </w:rPr>
        <w:t xml:space="preserve">mostly related to money laundering, swindling and fraud. </w:t>
      </w:r>
      <w:r w:rsidR="008E399E">
        <w:rPr>
          <w:rFonts w:ascii="Times New Roman" w:hAnsi="Times New Roman" w:cs="Times New Roman"/>
          <w:sz w:val="24"/>
          <w:szCs w:val="24"/>
        </w:rPr>
        <w:t>Ten</w:t>
      </w:r>
      <w:r w:rsidRPr="005E1FEF">
        <w:rPr>
          <w:rFonts w:ascii="Times New Roman" w:hAnsi="Times New Roman" w:cs="Times New Roman"/>
          <w:sz w:val="24"/>
          <w:szCs w:val="24"/>
        </w:rPr>
        <w:t xml:space="preserve"> cases were requested by EU Member States and </w:t>
      </w:r>
      <w:r w:rsidR="008E399E">
        <w:rPr>
          <w:rFonts w:ascii="Times New Roman" w:hAnsi="Times New Roman" w:cs="Times New Roman"/>
          <w:sz w:val="24"/>
          <w:szCs w:val="24"/>
        </w:rPr>
        <w:t>2</w:t>
      </w:r>
      <w:r w:rsidRPr="005E1FEF">
        <w:rPr>
          <w:rFonts w:ascii="Times New Roman" w:hAnsi="Times New Roman" w:cs="Times New Roman"/>
          <w:sz w:val="24"/>
          <w:szCs w:val="24"/>
        </w:rPr>
        <w:t xml:space="preserve"> cases by Montenegro. There are </w:t>
      </w:r>
      <w:r w:rsidR="008E399E">
        <w:rPr>
          <w:rFonts w:ascii="Times New Roman" w:hAnsi="Times New Roman" w:cs="Times New Roman"/>
          <w:sz w:val="24"/>
          <w:szCs w:val="24"/>
        </w:rPr>
        <w:t>2</w:t>
      </w:r>
      <w:r w:rsidRPr="005E1FEF">
        <w:rPr>
          <w:rFonts w:ascii="Times New Roman" w:hAnsi="Times New Roman" w:cs="Times New Roman"/>
          <w:sz w:val="24"/>
          <w:szCs w:val="24"/>
        </w:rPr>
        <w:t xml:space="preserve"> Eurojust contact points in the country. </w:t>
      </w:r>
    </w:p>
    <w:p w14:paraId="6D5F14B3" w14:textId="77777777"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In the area of judicial cooperation in civil matters, Montenegro is still not a party to the 2007 Protocol to the Hague Convention on International Recovery of Child Support and Other Forms of Family Maintenance, relating to maintenance obligations, or to the 2000 Hague Convention on the International Protection of Adults.</w:t>
      </w:r>
    </w:p>
    <w:p w14:paraId="73AA03AC" w14:textId="3C64B391"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The volume of judicial cooperation remained stable in 2019 compared with 2018, with 1,036 cases of mutual legal assistance in criminal matters and 867 cases in civil matters. The main partners </w:t>
      </w:r>
      <w:r w:rsidR="008E399E">
        <w:rPr>
          <w:rFonts w:ascii="Times New Roman" w:hAnsi="Times New Roman" w:cs="Times New Roman"/>
          <w:sz w:val="24"/>
          <w:szCs w:val="24"/>
        </w:rPr>
        <w:t>continued to be</w:t>
      </w:r>
      <w:r w:rsidRPr="005E1FEF">
        <w:rPr>
          <w:rFonts w:ascii="Times New Roman" w:hAnsi="Times New Roman" w:cs="Times New Roman"/>
          <w:sz w:val="24"/>
          <w:szCs w:val="24"/>
        </w:rPr>
        <w:t xml:space="preserve"> the Western Balkans and the EU Member States. </w:t>
      </w:r>
    </w:p>
    <w:p w14:paraId="5C5BC602" w14:textId="77777777" w:rsidR="005E1FEF" w:rsidRPr="005E1FEF" w:rsidRDefault="005E1FEF" w:rsidP="005E1FEF">
      <w:pPr>
        <w:spacing w:after="120" w:line="240" w:lineRule="auto"/>
        <w:jc w:val="both"/>
        <w:rPr>
          <w:rFonts w:ascii="Times New Roman" w:hAnsi="Times New Roman" w:cs="Times New Roman"/>
          <w:b/>
          <w:sz w:val="24"/>
          <w:szCs w:val="24"/>
        </w:rPr>
      </w:pPr>
      <w:r w:rsidRPr="005E1FEF">
        <w:rPr>
          <w:rFonts w:ascii="Times New Roman" w:hAnsi="Times New Roman" w:cs="Times New Roman"/>
          <w:b/>
          <w:sz w:val="24"/>
          <w:szCs w:val="24"/>
        </w:rPr>
        <w:t>Police cooperation and the fight against organised crime</w:t>
      </w:r>
    </w:p>
    <w:p w14:paraId="47C8238D" w14:textId="77777777"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The Police Directorate was re-organised into eight departments in April 2019. The department in charge of the fight against organised crime, encompassing the Special Police Unit (SPU) and four other units, totals 92 positions, of which 70 are filled. With clearer lines of command, this department is providing stronger and more coordinated resources in support to the investigations led by the Special Prosecutors’ Office (SPO). Operational capacity was increased in all departments, some functions were decentralised and the responsibility of regional police offices strengthened. However, human resources are still insufficient to cope with the workload in the SPU and other key units. The police needs more senior investigators into organised crime and drug smuggling, specialists on charge of special investigative measures and experts in cybercrime, economic crime and forensic. </w:t>
      </w:r>
    </w:p>
    <w:p w14:paraId="6408B67B" w14:textId="711E242F"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The Administration for the Prevention of Money Laundering and Terrorism Financing (or FIU), now integrated in one of the </w:t>
      </w:r>
      <w:r w:rsidR="008E399E">
        <w:rPr>
          <w:rFonts w:ascii="Times New Roman" w:hAnsi="Times New Roman" w:cs="Times New Roman"/>
          <w:sz w:val="24"/>
          <w:szCs w:val="24"/>
        </w:rPr>
        <w:t>8</w:t>
      </w:r>
      <w:r w:rsidRPr="005E1FEF">
        <w:rPr>
          <w:rFonts w:ascii="Times New Roman" w:hAnsi="Times New Roman" w:cs="Times New Roman"/>
          <w:sz w:val="24"/>
          <w:szCs w:val="24"/>
        </w:rPr>
        <w:t xml:space="preserve"> departments of the Police Directorate, has 30 positions, including 17 dealing directly with cases (up from 10 in the previous FIU). The FIU has applied to restore its membership of the Egmont Group, which was cancelled when the FIU ceased to exist in its previous legal form. In the meantime, Montenegro is using judicial cooperation, Interpol and Europol communication channels to access international intelligence on money laundering. </w:t>
      </w:r>
    </w:p>
    <w:p w14:paraId="3D4D79DB" w14:textId="65E06B27"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The Asset Recovery Office (ARO), established in the Police Directorate within the unit in charge of international police cooperation, has only </w:t>
      </w:r>
      <w:r w:rsidR="008E399E">
        <w:rPr>
          <w:rFonts w:ascii="Times New Roman" w:hAnsi="Times New Roman" w:cs="Times New Roman"/>
          <w:sz w:val="24"/>
          <w:szCs w:val="24"/>
        </w:rPr>
        <w:t>1</w:t>
      </w:r>
      <w:r w:rsidRPr="005E1FEF">
        <w:rPr>
          <w:rFonts w:ascii="Times New Roman" w:hAnsi="Times New Roman" w:cs="Times New Roman"/>
          <w:sz w:val="24"/>
          <w:szCs w:val="24"/>
        </w:rPr>
        <w:t xml:space="preserve"> staff member. It acts rather as an ARO contact point for foreign AROs and for the Camden Asset Recovery Inter-agency Network (CARIN), than as a fully-fledged ARO in the meaning of the EU </w:t>
      </w:r>
      <w:r w:rsidRPr="005E1FEF">
        <w:rPr>
          <w:rFonts w:ascii="Times New Roman" w:hAnsi="Times New Roman" w:cs="Times New Roman"/>
          <w:i/>
          <w:sz w:val="24"/>
          <w:szCs w:val="24"/>
        </w:rPr>
        <w:t>acquis</w:t>
      </w:r>
      <w:r w:rsidRPr="005E1FEF">
        <w:rPr>
          <w:rFonts w:ascii="Times New Roman" w:hAnsi="Times New Roman" w:cs="Times New Roman"/>
          <w:sz w:val="24"/>
          <w:szCs w:val="24"/>
        </w:rPr>
        <w:t xml:space="preserve">. The freezing and recovery of assets remains with the Prosecution. </w:t>
      </w:r>
    </w:p>
    <w:p w14:paraId="604892FC" w14:textId="0B1CA597"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The number of police officers was reduced to 4,537, including 1,321 border police officers, from 5</w:t>
      </w:r>
      <w:r w:rsidR="008E399E">
        <w:rPr>
          <w:rFonts w:ascii="Times New Roman" w:hAnsi="Times New Roman" w:cs="Times New Roman"/>
          <w:sz w:val="24"/>
          <w:szCs w:val="24"/>
        </w:rPr>
        <w:t>,</w:t>
      </w:r>
      <w:r w:rsidRPr="005E1FEF">
        <w:rPr>
          <w:rFonts w:ascii="Times New Roman" w:hAnsi="Times New Roman" w:cs="Times New Roman"/>
          <w:sz w:val="24"/>
          <w:szCs w:val="24"/>
        </w:rPr>
        <w:t xml:space="preserve">400 in 2018, including border police. The ratio of police officers nevertheless remains high at 517/100,000 inhabitants, above the EU average of 326/100,000 recorded by Eurostat. The SPO and SPU have stabilised their personnel at around 50 and 32 staff members </w:t>
      </w:r>
      <w:r w:rsidRPr="005E1FEF">
        <w:rPr>
          <w:rFonts w:ascii="Times New Roman" w:hAnsi="Times New Roman" w:cs="Times New Roman"/>
          <w:sz w:val="24"/>
          <w:szCs w:val="24"/>
        </w:rPr>
        <w:lastRenderedPageBreak/>
        <w:t>respectively. This includes 14 Special Prosecutors in the SPO. The SPO’s poor office conditions, which are hampering its efficient functioning, remain unaddressed.</w:t>
      </w:r>
    </w:p>
    <w:p w14:paraId="729D638A" w14:textId="77777777" w:rsidR="00BA468C"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The legal framework for the fight against organised crime is largely in place and aligned with the EU </w:t>
      </w:r>
      <w:r w:rsidRPr="005E1FEF">
        <w:rPr>
          <w:rFonts w:ascii="Times New Roman" w:hAnsi="Times New Roman" w:cs="Times New Roman"/>
          <w:i/>
          <w:sz w:val="24"/>
          <w:szCs w:val="24"/>
        </w:rPr>
        <w:t>acquis</w:t>
      </w:r>
      <w:r w:rsidRPr="005E1FEF">
        <w:rPr>
          <w:rFonts w:ascii="Times New Roman" w:hAnsi="Times New Roman" w:cs="Times New Roman"/>
          <w:sz w:val="24"/>
          <w:szCs w:val="24"/>
        </w:rPr>
        <w:t xml:space="preserve">. In December 2019, Montenegro once again amended its </w:t>
      </w:r>
      <w:r w:rsidR="008E399E">
        <w:rPr>
          <w:rFonts w:ascii="Times New Roman" w:hAnsi="Times New Roman" w:cs="Times New Roman"/>
          <w:sz w:val="24"/>
          <w:szCs w:val="24"/>
        </w:rPr>
        <w:t>l</w:t>
      </w:r>
      <w:r w:rsidRPr="005E1FEF">
        <w:rPr>
          <w:rFonts w:ascii="Times New Roman" w:hAnsi="Times New Roman" w:cs="Times New Roman"/>
          <w:sz w:val="24"/>
          <w:szCs w:val="24"/>
        </w:rPr>
        <w:t xml:space="preserve">aw on </w:t>
      </w:r>
      <w:r w:rsidR="008E399E">
        <w:rPr>
          <w:rFonts w:ascii="Times New Roman" w:hAnsi="Times New Roman" w:cs="Times New Roman"/>
          <w:sz w:val="24"/>
          <w:szCs w:val="24"/>
        </w:rPr>
        <w:t xml:space="preserve">the </w:t>
      </w:r>
      <w:r w:rsidRPr="005E1FEF">
        <w:rPr>
          <w:rFonts w:ascii="Times New Roman" w:hAnsi="Times New Roman" w:cs="Times New Roman"/>
          <w:sz w:val="24"/>
          <w:szCs w:val="24"/>
        </w:rPr>
        <w:t xml:space="preserve">prevention of money laundering and terrorism financing. It did so in order to reflect the changes in the FIU’s institutional setting, and ensure compliance with Financial Action task Force (FATF) recommendations on FIU’s independence. In 2020, the law will need to be amended again, to address remaining shortcomings and align it with the Fifth EU Anti-Money Laundering Directive. </w:t>
      </w:r>
      <w:r w:rsidR="00BA468C" w:rsidRPr="0043298B">
        <w:rPr>
          <w:rFonts w:ascii="Times New Roman" w:hAnsi="Times New Roman" w:cs="Times New Roman"/>
          <w:sz w:val="24"/>
          <w:szCs w:val="24"/>
        </w:rPr>
        <w:t>In May 2020</w:t>
      </w:r>
      <w:r w:rsidR="00BA468C">
        <w:rPr>
          <w:rFonts w:ascii="Times New Roman" w:hAnsi="Times New Roman" w:cs="Times New Roman"/>
          <w:sz w:val="24"/>
          <w:szCs w:val="24"/>
        </w:rPr>
        <w:t>,</w:t>
      </w:r>
      <w:r w:rsidR="00BA468C" w:rsidRPr="0043298B">
        <w:rPr>
          <w:rFonts w:ascii="Times New Roman" w:hAnsi="Times New Roman" w:cs="Times New Roman"/>
          <w:sz w:val="24"/>
          <w:szCs w:val="24"/>
        </w:rPr>
        <w:t xml:space="preserve"> the Committee of experts on the evaluation of anti-money laundering measures and the financing of terrorism (MONEYVAL) formally removed Montenegro from the fourth round follow-up process, considering that the country had taken sufficient steps to remedy deficiencies that had been identified</w:t>
      </w:r>
      <w:r w:rsidR="00BA468C">
        <w:rPr>
          <w:rFonts w:ascii="Times New Roman" w:hAnsi="Times New Roman" w:cs="Times New Roman"/>
          <w:sz w:val="24"/>
          <w:szCs w:val="24"/>
        </w:rPr>
        <w:t xml:space="preserve"> in 2015</w:t>
      </w:r>
      <w:r w:rsidR="00BA468C" w:rsidRPr="0043298B">
        <w:rPr>
          <w:rFonts w:ascii="Times New Roman" w:hAnsi="Times New Roman" w:cs="Times New Roman"/>
          <w:sz w:val="24"/>
          <w:szCs w:val="24"/>
        </w:rPr>
        <w:t xml:space="preserve">. </w:t>
      </w:r>
    </w:p>
    <w:p w14:paraId="1C23C089" w14:textId="146BC25D"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The draft </w:t>
      </w:r>
      <w:r w:rsidR="008E399E">
        <w:rPr>
          <w:rFonts w:ascii="Times New Roman" w:hAnsi="Times New Roman" w:cs="Times New Roman"/>
          <w:sz w:val="24"/>
          <w:szCs w:val="24"/>
        </w:rPr>
        <w:t>l</w:t>
      </w:r>
      <w:r w:rsidRPr="005E1FEF">
        <w:rPr>
          <w:rFonts w:ascii="Times New Roman" w:hAnsi="Times New Roman" w:cs="Times New Roman"/>
          <w:sz w:val="24"/>
          <w:szCs w:val="24"/>
        </w:rPr>
        <w:t xml:space="preserve">aw on internal affairs, which has been under preparation for </w:t>
      </w:r>
      <w:r w:rsidR="008E399E">
        <w:rPr>
          <w:rFonts w:ascii="Times New Roman" w:hAnsi="Times New Roman" w:cs="Times New Roman"/>
          <w:sz w:val="24"/>
          <w:szCs w:val="24"/>
        </w:rPr>
        <w:t>3</w:t>
      </w:r>
      <w:r w:rsidRPr="005E1FEF">
        <w:rPr>
          <w:rFonts w:ascii="Times New Roman" w:hAnsi="Times New Roman" w:cs="Times New Roman"/>
          <w:sz w:val="24"/>
          <w:szCs w:val="24"/>
        </w:rPr>
        <w:t xml:space="preserve"> years </w:t>
      </w:r>
      <w:r w:rsidR="008E399E">
        <w:rPr>
          <w:rFonts w:ascii="Times New Roman" w:hAnsi="Times New Roman" w:cs="Times New Roman"/>
          <w:sz w:val="24"/>
          <w:szCs w:val="24"/>
        </w:rPr>
        <w:t>has yet</w:t>
      </w:r>
      <w:r w:rsidRPr="005E1FEF">
        <w:rPr>
          <w:rFonts w:ascii="Times New Roman" w:hAnsi="Times New Roman" w:cs="Times New Roman"/>
          <w:sz w:val="24"/>
          <w:szCs w:val="24"/>
        </w:rPr>
        <w:t xml:space="preserve"> to be adopted.</w:t>
      </w:r>
      <w:r w:rsidR="00BA468C">
        <w:rPr>
          <w:rFonts w:ascii="Times New Roman" w:hAnsi="Times New Roman" w:cs="Times New Roman"/>
          <w:sz w:val="24"/>
          <w:szCs w:val="24"/>
        </w:rPr>
        <w:t xml:space="preserve"> </w:t>
      </w:r>
      <w:r w:rsidRPr="005E1FEF">
        <w:rPr>
          <w:rFonts w:ascii="Times New Roman" w:hAnsi="Times New Roman" w:cs="Times New Roman"/>
          <w:sz w:val="24"/>
          <w:szCs w:val="24"/>
        </w:rPr>
        <w:t xml:space="preserve">The suspension of some special investigative measures (SIMs), further to a 2018 Constitutional Court Ruling, has not been addressed. The prosecution remains deprived of using undercover activities or so-called “controlled delivery”, whereby a consignment of drugs is detected and allowed to go forward in order to secure evidence against the perpetrators. </w:t>
      </w:r>
    </w:p>
    <w:p w14:paraId="229DF94D" w14:textId="400A1FA3"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The SPO conducted 31 investigations targeting 293 people in 2019. Some 95 people were indicted for organised crime offences. Final convictions were pronounced against 67 people, of which 62 </w:t>
      </w:r>
      <w:r w:rsidR="004557ED">
        <w:rPr>
          <w:rFonts w:ascii="Times New Roman" w:hAnsi="Times New Roman" w:cs="Times New Roman"/>
          <w:sz w:val="24"/>
          <w:szCs w:val="24"/>
        </w:rPr>
        <w:t xml:space="preserve">people </w:t>
      </w:r>
      <w:r w:rsidRPr="005E1FEF">
        <w:rPr>
          <w:rFonts w:ascii="Times New Roman" w:hAnsi="Times New Roman" w:cs="Times New Roman"/>
          <w:sz w:val="24"/>
          <w:szCs w:val="24"/>
        </w:rPr>
        <w:t xml:space="preserve">were convicted </w:t>
      </w:r>
      <w:r w:rsidR="004557ED">
        <w:rPr>
          <w:rFonts w:ascii="Times New Roman" w:hAnsi="Times New Roman" w:cs="Times New Roman"/>
          <w:sz w:val="24"/>
          <w:szCs w:val="24"/>
        </w:rPr>
        <w:t>on the basis of</w:t>
      </w:r>
      <w:r w:rsidRPr="005E1FEF">
        <w:rPr>
          <w:rFonts w:ascii="Times New Roman" w:hAnsi="Times New Roman" w:cs="Times New Roman"/>
          <w:sz w:val="24"/>
          <w:szCs w:val="24"/>
        </w:rPr>
        <w:t xml:space="preserve"> plea bargains. Sentences in the context of plea bargains ranged from three months o</w:t>
      </w:r>
      <w:r w:rsidR="00F74958">
        <w:rPr>
          <w:rFonts w:ascii="Times New Roman" w:hAnsi="Times New Roman" w:cs="Times New Roman"/>
          <w:sz w:val="24"/>
          <w:szCs w:val="24"/>
        </w:rPr>
        <w:t>f</w:t>
      </w:r>
      <w:r w:rsidRPr="005E1FEF">
        <w:rPr>
          <w:rFonts w:ascii="Times New Roman" w:hAnsi="Times New Roman" w:cs="Times New Roman"/>
          <w:sz w:val="24"/>
          <w:szCs w:val="24"/>
        </w:rPr>
        <w:t xml:space="preserve"> in-house imprisonment to two years of imprisonment and fines from €</w:t>
      </w:r>
      <w:r w:rsidR="008E399E">
        <w:rPr>
          <w:rFonts w:ascii="Times New Roman" w:hAnsi="Times New Roman" w:cs="Times New Roman"/>
          <w:sz w:val="24"/>
          <w:szCs w:val="24"/>
        </w:rPr>
        <w:t xml:space="preserve"> </w:t>
      </w:r>
      <w:r w:rsidRPr="005E1FEF">
        <w:rPr>
          <w:rFonts w:ascii="Times New Roman" w:hAnsi="Times New Roman" w:cs="Times New Roman"/>
          <w:sz w:val="24"/>
          <w:szCs w:val="24"/>
        </w:rPr>
        <w:t>1,000 to €</w:t>
      </w:r>
      <w:r w:rsidR="008E399E">
        <w:rPr>
          <w:rFonts w:ascii="Times New Roman" w:hAnsi="Times New Roman" w:cs="Times New Roman"/>
          <w:sz w:val="24"/>
          <w:szCs w:val="24"/>
        </w:rPr>
        <w:t xml:space="preserve"> </w:t>
      </w:r>
      <w:r w:rsidRPr="005E1FEF">
        <w:rPr>
          <w:rFonts w:ascii="Times New Roman" w:hAnsi="Times New Roman" w:cs="Times New Roman"/>
          <w:sz w:val="24"/>
          <w:szCs w:val="24"/>
        </w:rPr>
        <w:t xml:space="preserve">50,000. In addition, up to 45 investigations were launched in relation to serious crime, a large majority of them involving drug smuggling; 62 final convictions for serious crime were pronounced, all based on plea bargains, with sentences from </w:t>
      </w:r>
      <w:r w:rsidR="008E399E">
        <w:rPr>
          <w:rFonts w:ascii="Times New Roman" w:hAnsi="Times New Roman" w:cs="Times New Roman"/>
          <w:sz w:val="24"/>
          <w:szCs w:val="24"/>
        </w:rPr>
        <w:t>3</w:t>
      </w:r>
      <w:r w:rsidRPr="005E1FEF">
        <w:rPr>
          <w:rFonts w:ascii="Times New Roman" w:hAnsi="Times New Roman" w:cs="Times New Roman"/>
          <w:sz w:val="24"/>
          <w:szCs w:val="24"/>
        </w:rPr>
        <w:t xml:space="preserve"> months of in-house imprisonment to </w:t>
      </w:r>
      <w:r w:rsidR="008E399E">
        <w:rPr>
          <w:rFonts w:ascii="Times New Roman" w:hAnsi="Times New Roman" w:cs="Times New Roman"/>
          <w:sz w:val="24"/>
          <w:szCs w:val="24"/>
        </w:rPr>
        <w:t>2</w:t>
      </w:r>
      <w:r w:rsidRPr="005E1FEF">
        <w:rPr>
          <w:rFonts w:ascii="Times New Roman" w:hAnsi="Times New Roman" w:cs="Times New Roman"/>
          <w:sz w:val="24"/>
          <w:szCs w:val="24"/>
        </w:rPr>
        <w:t xml:space="preserve"> years of imprisonment.</w:t>
      </w:r>
    </w:p>
    <w:p w14:paraId="2171B4EC" w14:textId="730CA02E" w:rsidR="005E1FEF" w:rsidRPr="005E1FEF" w:rsidRDefault="008E399E" w:rsidP="005E1FE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criminal scene in </w:t>
      </w:r>
      <w:r w:rsidR="005E1FEF" w:rsidRPr="005E1FEF">
        <w:rPr>
          <w:rFonts w:ascii="Times New Roman" w:hAnsi="Times New Roman" w:cs="Times New Roman"/>
          <w:sz w:val="24"/>
          <w:szCs w:val="24"/>
        </w:rPr>
        <w:t xml:space="preserve">Montenegro remains dominated by frequent gang-related murders. Up to 44 gang-related murders were recorded since 2012, including 10 in 2019 and two in the first three months of 2020. Homicides involving Montenegrin criminal groups have also taken place abroad (9 since 2018), including in Spain, Germany, Austria and Greece. At the same time, the number of arrests of members of crime groups reached the unprecedented number of 333 people from 2018 to the first quarter of 2020, including 19 arrested abroad. </w:t>
      </w:r>
    </w:p>
    <w:p w14:paraId="2236932F" w14:textId="410FD0F6"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In general, the number of investigations and prosecutions of serious and organised crimes increased exponentially in 2018-2019, compared with 2016-2017, by respectively 150</w:t>
      </w:r>
      <w:r w:rsidR="00B90888">
        <w:rPr>
          <w:rFonts w:ascii="Times New Roman" w:hAnsi="Times New Roman" w:cs="Times New Roman"/>
          <w:sz w:val="24"/>
          <w:szCs w:val="24"/>
        </w:rPr>
        <w:t>%</w:t>
      </w:r>
      <w:r w:rsidRPr="005E1FEF">
        <w:rPr>
          <w:rFonts w:ascii="Times New Roman" w:hAnsi="Times New Roman" w:cs="Times New Roman"/>
          <w:sz w:val="24"/>
          <w:szCs w:val="24"/>
        </w:rPr>
        <w:t xml:space="preserve"> and 100%. This reflects the positive impact of the coordinated work of the SPO and SPU, an increased capacity to address drug smuggling and good international police and judicial cooperation. At the same time, the number of final convictions for organised crime offences remains low. Court proceedings are excessively lengthy as multiple adjournments are frequent. The use of plea bargain by the prosecution remains the norm. A suspected criminal, who becomes a cooperative witness in the investigation, is exempted from legal proceedings, notwithstanding the gravity of the offence. As a result, despite some notable exceptions, the criminal justice response appears generally lenient, with sentences, fine and asset confiscation disproportionally low compared with the gravity of the crime.</w:t>
      </w:r>
    </w:p>
    <w:p w14:paraId="22B93690" w14:textId="77777777"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Montenegro has a national SOCTA (Serious and Organised Crime Threat Assessment). Montenegro does not have a centralised database on organised crime and corruption, collected from all relevant authorities, for strategic monitoring and policy-making purposes.</w:t>
      </w:r>
    </w:p>
    <w:p w14:paraId="366EE68A" w14:textId="6A0990D2"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lastRenderedPageBreak/>
        <w:t xml:space="preserve">The Ministry of Interior continued to work on technical solutions to improve the </w:t>
      </w:r>
      <w:r w:rsidRPr="005E1FEF">
        <w:rPr>
          <w:rFonts w:ascii="Times New Roman" w:hAnsi="Times New Roman" w:cs="Times New Roman"/>
          <w:b/>
          <w:sz w:val="24"/>
          <w:szCs w:val="24"/>
        </w:rPr>
        <w:t>access of law-enforcement agencies to key databases</w:t>
      </w:r>
      <w:r w:rsidRPr="005E1FEF">
        <w:rPr>
          <w:rFonts w:ascii="Times New Roman" w:hAnsi="Times New Roman" w:cs="Times New Roman"/>
          <w:sz w:val="24"/>
          <w:szCs w:val="24"/>
        </w:rPr>
        <w:t>, but this access is currently insufficient, and does not include much</w:t>
      </w:r>
      <w:r w:rsidR="008E399E">
        <w:rPr>
          <w:rFonts w:ascii="Times New Roman" w:hAnsi="Times New Roman" w:cs="Times New Roman"/>
          <w:sz w:val="24"/>
          <w:szCs w:val="24"/>
        </w:rPr>
        <w:t xml:space="preserve"> </w:t>
      </w:r>
      <w:r w:rsidRPr="005E1FEF">
        <w:rPr>
          <w:rFonts w:ascii="Times New Roman" w:hAnsi="Times New Roman" w:cs="Times New Roman"/>
          <w:sz w:val="24"/>
          <w:szCs w:val="24"/>
        </w:rPr>
        <w:t>needed single search features between interoperable databases. The department in charge of the fight against organised crime does not have direct access to Europol’s SIENA secure communication channel, as the Europol contact point i</w:t>
      </w:r>
      <w:r w:rsidR="008E399E">
        <w:rPr>
          <w:rFonts w:ascii="Times New Roman" w:hAnsi="Times New Roman" w:cs="Times New Roman"/>
          <w:sz w:val="24"/>
          <w:szCs w:val="24"/>
        </w:rPr>
        <w:t>s</w:t>
      </w:r>
      <w:r w:rsidRPr="005E1FEF">
        <w:rPr>
          <w:rFonts w:ascii="Times New Roman" w:hAnsi="Times New Roman" w:cs="Times New Roman"/>
          <w:sz w:val="24"/>
          <w:szCs w:val="24"/>
        </w:rPr>
        <w:t xml:space="preserve"> located in another department of the police. The internal secure communication mechanism established in 2017 between several key institutions has increased the number of exchanges, but it can be used for low security messages only, and it does not include the national land registry and the Central Bank. Only the FIU has a direct and automatic access to the Central Bank’s databases, as provided for under the relevant EU </w:t>
      </w:r>
      <w:r w:rsidRPr="00861A9A">
        <w:rPr>
          <w:rFonts w:ascii="Times New Roman" w:hAnsi="Times New Roman" w:cs="Times New Roman"/>
          <w:i/>
          <w:sz w:val="24"/>
          <w:szCs w:val="24"/>
        </w:rPr>
        <w:t>acquis</w:t>
      </w:r>
      <w:r w:rsidRPr="005E1FEF">
        <w:rPr>
          <w:rFonts w:ascii="Times New Roman" w:hAnsi="Times New Roman" w:cs="Times New Roman"/>
          <w:sz w:val="24"/>
          <w:szCs w:val="24"/>
        </w:rPr>
        <w:t>.</w:t>
      </w:r>
    </w:p>
    <w:p w14:paraId="578F06C3" w14:textId="2C71490A" w:rsidR="005E1FEF" w:rsidRPr="00861A9A" w:rsidRDefault="005E1FEF" w:rsidP="005E1FEF">
      <w:pPr>
        <w:spacing w:after="120" w:line="240" w:lineRule="auto"/>
        <w:jc w:val="both"/>
        <w:rPr>
          <w:rFonts w:ascii="Times New Roman" w:hAnsi="Times New Roman" w:cs="Times New Roman"/>
          <w:b/>
          <w:sz w:val="24"/>
          <w:szCs w:val="24"/>
        </w:rPr>
      </w:pPr>
      <w:r w:rsidRPr="005E1FEF">
        <w:rPr>
          <w:rFonts w:ascii="Times New Roman" w:hAnsi="Times New Roman" w:cs="Times New Roman"/>
          <w:b/>
          <w:sz w:val="24"/>
          <w:szCs w:val="24"/>
        </w:rPr>
        <w:t>International police cooperation</w:t>
      </w:r>
      <w:r w:rsidRPr="005E1FEF">
        <w:rPr>
          <w:rFonts w:ascii="Times New Roman" w:hAnsi="Times New Roman" w:cs="Times New Roman"/>
          <w:sz w:val="24"/>
          <w:szCs w:val="24"/>
        </w:rPr>
        <w:t xml:space="preserve"> continued to play a strategic role in the fight against Montenegrin criminal groups, whose members often live and operate outside of Montenegro. The number of communication</w:t>
      </w:r>
      <w:r w:rsidR="00672887">
        <w:rPr>
          <w:rFonts w:ascii="Times New Roman" w:hAnsi="Times New Roman" w:cs="Times New Roman"/>
          <w:sz w:val="24"/>
          <w:szCs w:val="24"/>
        </w:rPr>
        <w:t>s (59,337)</w:t>
      </w:r>
      <w:r w:rsidRPr="005E1FEF">
        <w:rPr>
          <w:rFonts w:ascii="Times New Roman" w:hAnsi="Times New Roman" w:cs="Times New Roman"/>
          <w:sz w:val="24"/>
          <w:szCs w:val="24"/>
        </w:rPr>
        <w:t xml:space="preserve"> exchanged with foreign police services through Interpol </w:t>
      </w:r>
      <w:r w:rsidR="00AB3D12">
        <w:rPr>
          <w:rFonts w:ascii="Times New Roman" w:hAnsi="Times New Roman" w:cs="Times New Roman"/>
          <w:sz w:val="24"/>
          <w:szCs w:val="24"/>
        </w:rPr>
        <w:t>rose by 40% compared with 2018. The number of communication</w:t>
      </w:r>
      <w:r w:rsidR="00AA276F">
        <w:rPr>
          <w:rFonts w:ascii="Times New Roman" w:hAnsi="Times New Roman" w:cs="Times New Roman"/>
          <w:sz w:val="24"/>
          <w:szCs w:val="24"/>
        </w:rPr>
        <w:t>s</w:t>
      </w:r>
      <w:r w:rsidR="00AB3D12">
        <w:rPr>
          <w:rFonts w:ascii="Times New Roman" w:hAnsi="Times New Roman" w:cs="Times New Roman"/>
          <w:sz w:val="24"/>
          <w:szCs w:val="24"/>
        </w:rPr>
        <w:t xml:space="preserve"> exchanged through Europol reached </w:t>
      </w:r>
      <w:r w:rsidR="00AB3D12" w:rsidRPr="005E1FEF">
        <w:rPr>
          <w:rFonts w:ascii="Times New Roman" w:hAnsi="Times New Roman" w:cs="Times New Roman"/>
          <w:sz w:val="24"/>
          <w:szCs w:val="24"/>
        </w:rPr>
        <w:t>4,488</w:t>
      </w:r>
      <w:r w:rsidR="00AB3D12">
        <w:rPr>
          <w:rFonts w:ascii="Times New Roman" w:hAnsi="Times New Roman" w:cs="Times New Roman"/>
          <w:sz w:val="24"/>
          <w:szCs w:val="24"/>
        </w:rPr>
        <w:t>, a stable number compared to 2018.</w:t>
      </w:r>
      <w:r w:rsidRPr="005E1FEF">
        <w:rPr>
          <w:rFonts w:ascii="Times New Roman" w:hAnsi="Times New Roman" w:cs="Times New Roman"/>
          <w:sz w:val="24"/>
          <w:szCs w:val="24"/>
        </w:rPr>
        <w:t xml:space="preserve"> Montenegro has an observer status in the European Network of Fugitive Active </w:t>
      </w:r>
      <w:r w:rsidR="00F74958">
        <w:rPr>
          <w:rFonts w:ascii="Times New Roman" w:hAnsi="Times New Roman" w:cs="Times New Roman"/>
          <w:sz w:val="24"/>
          <w:szCs w:val="24"/>
        </w:rPr>
        <w:t>S</w:t>
      </w:r>
      <w:r w:rsidRPr="005E1FEF">
        <w:rPr>
          <w:rFonts w:ascii="Times New Roman" w:hAnsi="Times New Roman" w:cs="Times New Roman"/>
          <w:sz w:val="24"/>
          <w:szCs w:val="24"/>
        </w:rPr>
        <w:t xml:space="preserve">earch Units (ENFAST). </w:t>
      </w:r>
      <w:r w:rsidR="008E399E">
        <w:rPr>
          <w:rFonts w:ascii="Times New Roman" w:hAnsi="Times New Roman" w:cs="Times New Roman"/>
          <w:sz w:val="24"/>
          <w:szCs w:val="24"/>
        </w:rPr>
        <w:t>Eighteen</w:t>
      </w:r>
      <w:r w:rsidRPr="005E1FEF">
        <w:rPr>
          <w:rFonts w:ascii="Times New Roman" w:hAnsi="Times New Roman" w:cs="Times New Roman"/>
          <w:sz w:val="24"/>
          <w:szCs w:val="24"/>
        </w:rPr>
        <w:t xml:space="preserve"> Montenegrin fugitives are currently targeted by an active search. In 2019, cooperation was particularly important with the police services of Germany, Austria, the Netherlands, and the United States. Montenegro is actively involved in Europol’s analytical and operational projects, which has been instrumental in the success of several police operations. Within Europol’s EMPACT policy cycle (European Multidisciplinary Platform against Criminal Threats) in 2020</w:t>
      </w:r>
      <w:r w:rsidR="008E399E">
        <w:rPr>
          <w:rFonts w:ascii="Times New Roman" w:hAnsi="Times New Roman" w:cs="Times New Roman"/>
          <w:sz w:val="24"/>
          <w:szCs w:val="24"/>
        </w:rPr>
        <w:t>,</w:t>
      </w:r>
      <w:r w:rsidRPr="005E1FEF">
        <w:rPr>
          <w:rFonts w:ascii="Times New Roman" w:hAnsi="Times New Roman" w:cs="Times New Roman"/>
          <w:sz w:val="24"/>
          <w:szCs w:val="24"/>
        </w:rPr>
        <w:t xml:space="preserve"> Montenegro is co-leading the firearms policy area together with Spain. This makes it the first Western Balkans partner to co-lead an EMPACT priority area.</w:t>
      </w:r>
    </w:p>
    <w:p w14:paraId="25033D62" w14:textId="110BC7FF"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In 2019, the SPO launched 15 new </w:t>
      </w:r>
      <w:r w:rsidRPr="005E1FEF">
        <w:rPr>
          <w:rFonts w:ascii="Times New Roman" w:hAnsi="Times New Roman" w:cs="Times New Roman"/>
          <w:b/>
          <w:sz w:val="24"/>
          <w:szCs w:val="24"/>
        </w:rPr>
        <w:t>financial investigations</w:t>
      </w:r>
      <w:r w:rsidRPr="005E1FEF">
        <w:rPr>
          <w:rFonts w:ascii="Times New Roman" w:hAnsi="Times New Roman" w:cs="Times New Roman"/>
          <w:sz w:val="24"/>
          <w:szCs w:val="24"/>
        </w:rPr>
        <w:t xml:space="preserve"> regarding 207 people and 152 legal entities, which added to the 29 financial investigations pending from 2018. Launching a financial investigation in parallel with the criminal investigation is legally possible but remains limited. In most cases, financial investigations start too late and remain focused on tracing assets, mainly with the aim of proceeding to an extended confiscation and</w:t>
      </w:r>
      <w:r w:rsidR="008E399E">
        <w:rPr>
          <w:rFonts w:ascii="Times New Roman" w:hAnsi="Times New Roman" w:cs="Times New Roman"/>
          <w:sz w:val="24"/>
          <w:szCs w:val="24"/>
        </w:rPr>
        <w:t>,</w:t>
      </w:r>
      <w:r w:rsidRPr="005E1FEF">
        <w:rPr>
          <w:rFonts w:ascii="Times New Roman" w:hAnsi="Times New Roman" w:cs="Times New Roman"/>
          <w:sz w:val="24"/>
          <w:szCs w:val="24"/>
        </w:rPr>
        <w:t xml:space="preserve"> therefore</w:t>
      </w:r>
      <w:r w:rsidR="008E399E">
        <w:rPr>
          <w:rFonts w:ascii="Times New Roman" w:hAnsi="Times New Roman" w:cs="Times New Roman"/>
          <w:sz w:val="24"/>
          <w:szCs w:val="24"/>
        </w:rPr>
        <w:t>,</w:t>
      </w:r>
      <w:r w:rsidRPr="005E1FEF">
        <w:rPr>
          <w:rFonts w:ascii="Times New Roman" w:hAnsi="Times New Roman" w:cs="Times New Roman"/>
          <w:sz w:val="24"/>
          <w:szCs w:val="24"/>
        </w:rPr>
        <w:t xml:space="preserve"> are not in line with EU practice and FATF standards. Instead, the prosecution conducts financial analysis within the criminal investigation to evaluate the proceeds of crime, but not on a sufficient scale to prove criminal acts, improve knowledge of criminal networks or uncover financial flows and investment of dirty money in the economy. Standard operating procedures for conducting financial investigations have been adopted. Montenegro has now a centralised bank account register, </w:t>
      </w:r>
      <w:r w:rsidR="00F74958">
        <w:rPr>
          <w:rFonts w:ascii="Times New Roman" w:hAnsi="Times New Roman" w:cs="Times New Roman"/>
          <w:sz w:val="24"/>
          <w:szCs w:val="24"/>
        </w:rPr>
        <w:t xml:space="preserve">which </w:t>
      </w:r>
      <w:r w:rsidRPr="005E1FEF">
        <w:rPr>
          <w:rFonts w:ascii="Times New Roman" w:hAnsi="Times New Roman" w:cs="Times New Roman"/>
          <w:sz w:val="24"/>
          <w:szCs w:val="24"/>
        </w:rPr>
        <w:t>includ</w:t>
      </w:r>
      <w:r w:rsidR="00F74958">
        <w:rPr>
          <w:rFonts w:ascii="Times New Roman" w:hAnsi="Times New Roman" w:cs="Times New Roman"/>
          <w:sz w:val="24"/>
          <w:szCs w:val="24"/>
        </w:rPr>
        <w:t>es</w:t>
      </w:r>
      <w:r w:rsidRPr="005E1FEF">
        <w:rPr>
          <w:rFonts w:ascii="Times New Roman" w:hAnsi="Times New Roman" w:cs="Times New Roman"/>
          <w:sz w:val="24"/>
          <w:szCs w:val="24"/>
        </w:rPr>
        <w:t xml:space="preserve"> only resident bank accounts</w:t>
      </w:r>
      <w:r w:rsidR="00B90888">
        <w:rPr>
          <w:rFonts w:ascii="Times New Roman" w:hAnsi="Times New Roman" w:cs="Times New Roman"/>
          <w:sz w:val="24"/>
          <w:szCs w:val="24"/>
        </w:rPr>
        <w:t xml:space="preserve"> for the time being</w:t>
      </w:r>
      <w:r w:rsidRPr="005E1FEF">
        <w:rPr>
          <w:rFonts w:ascii="Times New Roman" w:hAnsi="Times New Roman" w:cs="Times New Roman"/>
          <w:sz w:val="24"/>
          <w:szCs w:val="24"/>
        </w:rPr>
        <w:t xml:space="preserve">. </w:t>
      </w:r>
    </w:p>
    <w:p w14:paraId="0856AA94" w14:textId="70AB3BC8"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There </w:t>
      </w:r>
      <w:r w:rsidR="006D50A2" w:rsidRPr="006D50A2">
        <w:rPr>
          <w:rFonts w:ascii="Times New Roman" w:hAnsi="Times New Roman" w:cs="Times New Roman"/>
          <w:sz w:val="24"/>
          <w:szCs w:val="24"/>
        </w:rPr>
        <w:t>were</w:t>
      </w:r>
      <w:r w:rsidRPr="005E1FEF">
        <w:rPr>
          <w:rFonts w:ascii="Times New Roman" w:hAnsi="Times New Roman" w:cs="Times New Roman"/>
          <w:sz w:val="24"/>
          <w:szCs w:val="24"/>
        </w:rPr>
        <w:t xml:space="preserve"> no court convictions in </w:t>
      </w:r>
      <w:r w:rsidRPr="005E1FEF">
        <w:rPr>
          <w:rFonts w:ascii="Times New Roman" w:hAnsi="Times New Roman" w:cs="Times New Roman"/>
          <w:b/>
          <w:sz w:val="24"/>
          <w:szCs w:val="24"/>
        </w:rPr>
        <w:t>the fight against tobacco smuggling</w:t>
      </w:r>
      <w:r w:rsidRPr="005E1FEF">
        <w:rPr>
          <w:rFonts w:ascii="Times New Roman" w:hAnsi="Times New Roman" w:cs="Times New Roman"/>
          <w:sz w:val="24"/>
          <w:szCs w:val="24"/>
        </w:rPr>
        <w:t xml:space="preserve"> in 2019. However, criminal proceedings were conducted on </w:t>
      </w:r>
      <w:r w:rsidR="008E399E">
        <w:rPr>
          <w:rFonts w:ascii="Times New Roman" w:hAnsi="Times New Roman" w:cs="Times New Roman"/>
          <w:sz w:val="24"/>
          <w:szCs w:val="24"/>
        </w:rPr>
        <w:t>3</w:t>
      </w:r>
      <w:r w:rsidRPr="005E1FEF">
        <w:rPr>
          <w:rFonts w:ascii="Times New Roman" w:hAnsi="Times New Roman" w:cs="Times New Roman"/>
          <w:sz w:val="24"/>
          <w:szCs w:val="24"/>
        </w:rPr>
        <w:t xml:space="preserve"> large-scale cases, including </w:t>
      </w:r>
      <w:r w:rsidR="008E399E">
        <w:rPr>
          <w:rFonts w:ascii="Times New Roman" w:hAnsi="Times New Roman" w:cs="Times New Roman"/>
          <w:sz w:val="24"/>
          <w:szCs w:val="24"/>
        </w:rPr>
        <w:t>1</w:t>
      </w:r>
      <w:r w:rsidRPr="005E1FEF">
        <w:rPr>
          <w:rFonts w:ascii="Times New Roman" w:hAnsi="Times New Roman" w:cs="Times New Roman"/>
          <w:sz w:val="24"/>
          <w:szCs w:val="24"/>
        </w:rPr>
        <w:t xml:space="preserve"> case involving 22 suspects. In another case, a well-known suspected smuggler, who had been sought for 20 years, was arrested. Seizures of illicit tobacco are regularly conducted by customs, the local or central police. The total amount of seizures in 2019 was 1,</w:t>
      </w:r>
      <w:r w:rsidR="00676A72" w:rsidRPr="005E1FEF">
        <w:rPr>
          <w:rFonts w:ascii="Times New Roman" w:hAnsi="Times New Roman" w:cs="Times New Roman"/>
          <w:sz w:val="24"/>
          <w:szCs w:val="24"/>
        </w:rPr>
        <w:t>7</w:t>
      </w:r>
      <w:r w:rsidR="00676A72">
        <w:rPr>
          <w:rFonts w:ascii="Times New Roman" w:hAnsi="Times New Roman" w:cs="Times New Roman"/>
          <w:sz w:val="24"/>
          <w:szCs w:val="24"/>
        </w:rPr>
        <w:t>19</w:t>
      </w:r>
      <w:r w:rsidR="00676A72" w:rsidRPr="005E1FEF">
        <w:rPr>
          <w:rFonts w:ascii="Times New Roman" w:hAnsi="Times New Roman" w:cs="Times New Roman"/>
          <w:sz w:val="24"/>
          <w:szCs w:val="24"/>
        </w:rPr>
        <w:t xml:space="preserve"> </w:t>
      </w:r>
      <w:r w:rsidRPr="005E1FEF">
        <w:rPr>
          <w:rFonts w:ascii="Times New Roman" w:hAnsi="Times New Roman" w:cs="Times New Roman"/>
          <w:sz w:val="24"/>
          <w:szCs w:val="24"/>
        </w:rPr>
        <w:t>million cigarette packs, worth €</w:t>
      </w:r>
      <w:r w:rsidR="008E399E">
        <w:rPr>
          <w:rFonts w:ascii="Times New Roman" w:hAnsi="Times New Roman" w:cs="Times New Roman"/>
          <w:sz w:val="24"/>
          <w:szCs w:val="24"/>
        </w:rPr>
        <w:t xml:space="preserve"> </w:t>
      </w:r>
      <w:r w:rsidRPr="005E1FEF">
        <w:rPr>
          <w:rFonts w:ascii="Times New Roman" w:hAnsi="Times New Roman" w:cs="Times New Roman"/>
          <w:sz w:val="24"/>
          <w:szCs w:val="24"/>
        </w:rPr>
        <w:t>39 million</w:t>
      </w:r>
      <w:r w:rsidR="00676A72">
        <w:rPr>
          <w:rFonts w:ascii="Times New Roman" w:hAnsi="Times New Roman" w:cs="Times New Roman"/>
          <w:sz w:val="24"/>
          <w:szCs w:val="24"/>
        </w:rPr>
        <w:t xml:space="preserve"> and </w:t>
      </w:r>
      <w:r w:rsidR="00F74958" w:rsidRPr="00F74958">
        <w:rPr>
          <w:rFonts w:ascii="Times New Roman" w:hAnsi="Times New Roman" w:cs="Times New Roman"/>
          <w:iCs/>
          <w:sz w:val="24"/>
          <w:szCs w:val="24"/>
          <w:lang w:val="sr-Latn-ME"/>
        </w:rPr>
        <w:t>1,</w:t>
      </w:r>
      <w:r w:rsidR="00676A72" w:rsidRPr="004504FF">
        <w:rPr>
          <w:rFonts w:ascii="Times New Roman" w:hAnsi="Times New Roman" w:cs="Times New Roman"/>
          <w:iCs/>
          <w:sz w:val="24"/>
          <w:szCs w:val="24"/>
          <w:lang w:val="sr-Latn-ME"/>
        </w:rPr>
        <w:t>531 kg of cut tobacco</w:t>
      </w:r>
      <w:r w:rsidRPr="008772AD">
        <w:rPr>
          <w:rFonts w:ascii="Times New Roman" w:hAnsi="Times New Roman" w:cs="Times New Roman"/>
          <w:sz w:val="24"/>
          <w:szCs w:val="24"/>
        </w:rPr>
        <w:t>.</w:t>
      </w:r>
      <w:r w:rsidR="00676A72">
        <w:rPr>
          <w:rFonts w:ascii="Times New Roman" w:hAnsi="Times New Roman" w:cs="Times New Roman"/>
          <w:sz w:val="24"/>
          <w:szCs w:val="24"/>
        </w:rPr>
        <w:t xml:space="preserve"> </w:t>
      </w:r>
      <w:r w:rsidRPr="005E1FEF">
        <w:rPr>
          <w:rFonts w:ascii="Times New Roman" w:hAnsi="Times New Roman" w:cs="Times New Roman"/>
          <w:sz w:val="24"/>
          <w:szCs w:val="24"/>
        </w:rPr>
        <w:t xml:space="preserve">However, despite the increasing efforts of law-enforcement agencies in this area, and improved cooperation between Montenegrin customs and EU and international partners, the number of cases initiated remains low, considering the estimated scale of tobacco smuggling from, to and across Montenegro. </w:t>
      </w:r>
    </w:p>
    <w:p w14:paraId="7FDA984C" w14:textId="74215F17"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The initial track record on </w:t>
      </w:r>
      <w:r w:rsidRPr="005E1FEF">
        <w:rPr>
          <w:rFonts w:ascii="Times New Roman" w:hAnsi="Times New Roman" w:cs="Times New Roman"/>
          <w:b/>
          <w:sz w:val="24"/>
          <w:szCs w:val="24"/>
        </w:rPr>
        <w:t>money laundering</w:t>
      </w:r>
      <w:r w:rsidRPr="005E1FEF">
        <w:rPr>
          <w:rFonts w:ascii="Times New Roman" w:hAnsi="Times New Roman" w:cs="Times New Roman"/>
          <w:sz w:val="24"/>
          <w:szCs w:val="24"/>
        </w:rPr>
        <w:t xml:space="preserve"> was further developed, reflecting a stronger focus and an increased capacity of law</w:t>
      </w:r>
      <w:r w:rsidR="008E399E">
        <w:rPr>
          <w:rFonts w:ascii="Times New Roman" w:hAnsi="Times New Roman" w:cs="Times New Roman"/>
          <w:sz w:val="24"/>
          <w:szCs w:val="24"/>
        </w:rPr>
        <w:t xml:space="preserve"> </w:t>
      </w:r>
      <w:r w:rsidRPr="005E1FEF">
        <w:rPr>
          <w:rFonts w:ascii="Times New Roman" w:hAnsi="Times New Roman" w:cs="Times New Roman"/>
          <w:sz w:val="24"/>
          <w:szCs w:val="24"/>
        </w:rPr>
        <w:t xml:space="preserve">enforcement agencies in this area. There were </w:t>
      </w:r>
      <w:r w:rsidR="008E399E">
        <w:rPr>
          <w:rFonts w:ascii="Times New Roman" w:hAnsi="Times New Roman" w:cs="Times New Roman"/>
          <w:sz w:val="24"/>
          <w:szCs w:val="24"/>
        </w:rPr>
        <w:t>2</w:t>
      </w:r>
      <w:r w:rsidRPr="005E1FEF">
        <w:rPr>
          <w:rFonts w:ascii="Times New Roman" w:hAnsi="Times New Roman" w:cs="Times New Roman"/>
          <w:sz w:val="24"/>
          <w:szCs w:val="24"/>
        </w:rPr>
        <w:t xml:space="preserve"> final convictions for money-laundering in 2019, both achieved through plea agreements, leading to sentences of </w:t>
      </w:r>
      <w:r w:rsidR="008E399E">
        <w:rPr>
          <w:rFonts w:ascii="Times New Roman" w:hAnsi="Times New Roman" w:cs="Times New Roman"/>
          <w:sz w:val="24"/>
          <w:szCs w:val="24"/>
        </w:rPr>
        <w:t>3</w:t>
      </w:r>
      <w:r w:rsidRPr="005E1FEF">
        <w:rPr>
          <w:rFonts w:ascii="Times New Roman" w:hAnsi="Times New Roman" w:cs="Times New Roman"/>
          <w:sz w:val="24"/>
          <w:szCs w:val="24"/>
        </w:rPr>
        <w:t xml:space="preserve"> and </w:t>
      </w:r>
      <w:r w:rsidR="008E399E">
        <w:rPr>
          <w:rFonts w:ascii="Times New Roman" w:hAnsi="Times New Roman" w:cs="Times New Roman"/>
          <w:sz w:val="24"/>
          <w:szCs w:val="24"/>
        </w:rPr>
        <w:t>5</w:t>
      </w:r>
      <w:r w:rsidRPr="005E1FEF">
        <w:rPr>
          <w:rFonts w:ascii="Times New Roman" w:hAnsi="Times New Roman" w:cs="Times New Roman"/>
          <w:sz w:val="24"/>
          <w:szCs w:val="24"/>
        </w:rPr>
        <w:t xml:space="preserve"> month, respectively, and fine and compensation payments of up to </w:t>
      </w:r>
      <w:r w:rsidRPr="005E1FEF">
        <w:rPr>
          <w:rFonts w:ascii="Times New Roman" w:hAnsi="Times New Roman" w:cs="Times New Roman"/>
          <w:sz w:val="24"/>
          <w:szCs w:val="24"/>
        </w:rPr>
        <w:lastRenderedPageBreak/>
        <w:t xml:space="preserve">€75,000. Two cases were pending before the court, including the prominent Atlas Bank case, in which the former owner of the bank was indicted for abuse of office in April 2019. Ten preliminary investigations and </w:t>
      </w:r>
      <w:r w:rsidR="008E399E">
        <w:rPr>
          <w:rFonts w:ascii="Times New Roman" w:hAnsi="Times New Roman" w:cs="Times New Roman"/>
          <w:sz w:val="24"/>
          <w:szCs w:val="24"/>
        </w:rPr>
        <w:t>7</w:t>
      </w:r>
      <w:r w:rsidRPr="005E1FEF">
        <w:rPr>
          <w:rFonts w:ascii="Times New Roman" w:hAnsi="Times New Roman" w:cs="Times New Roman"/>
          <w:sz w:val="24"/>
          <w:szCs w:val="24"/>
        </w:rPr>
        <w:t xml:space="preserve"> investigations were conducted, regarding 122 entities, including one case of a value of €25 million. However, deficiencies continue to hamper the whole chain of criminal justice in addressing money laundering.</w:t>
      </w:r>
    </w:p>
    <w:p w14:paraId="0011A615" w14:textId="169B132F"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In a prominent case,</w:t>
      </w:r>
      <w:r w:rsidR="008E399E">
        <w:rPr>
          <w:rFonts w:ascii="Times New Roman" w:hAnsi="Times New Roman" w:cs="Times New Roman"/>
          <w:sz w:val="24"/>
          <w:szCs w:val="24"/>
        </w:rPr>
        <w:t xml:space="preserve"> 2</w:t>
      </w:r>
      <w:r w:rsidRPr="005E1FEF">
        <w:rPr>
          <w:rFonts w:ascii="Times New Roman" w:hAnsi="Times New Roman" w:cs="Times New Roman"/>
          <w:sz w:val="24"/>
          <w:szCs w:val="24"/>
        </w:rPr>
        <w:t xml:space="preserve"> people suspected of laundering €</w:t>
      </w:r>
      <w:r w:rsidR="008E399E">
        <w:rPr>
          <w:rFonts w:ascii="Times New Roman" w:hAnsi="Times New Roman" w:cs="Times New Roman"/>
          <w:sz w:val="24"/>
          <w:szCs w:val="24"/>
        </w:rPr>
        <w:t xml:space="preserve"> </w:t>
      </w:r>
      <w:r w:rsidRPr="005E1FEF">
        <w:rPr>
          <w:rFonts w:ascii="Times New Roman" w:hAnsi="Times New Roman" w:cs="Times New Roman"/>
          <w:sz w:val="24"/>
          <w:szCs w:val="24"/>
        </w:rPr>
        <w:t>20 million from drug smuggling activities, who had been convicted in first instance to 11 years of prison in 2017, but acquitted in 2018 by an appeal court, won court cases against the state in September 2019 for unlawful detention. They are entitled to compensation of €</w:t>
      </w:r>
      <w:r w:rsidR="008E399E">
        <w:rPr>
          <w:rFonts w:ascii="Times New Roman" w:hAnsi="Times New Roman" w:cs="Times New Roman"/>
          <w:sz w:val="24"/>
          <w:szCs w:val="24"/>
        </w:rPr>
        <w:t xml:space="preserve"> </w:t>
      </w:r>
      <w:r w:rsidRPr="005E1FEF">
        <w:rPr>
          <w:rFonts w:ascii="Times New Roman" w:hAnsi="Times New Roman" w:cs="Times New Roman"/>
          <w:sz w:val="24"/>
          <w:szCs w:val="24"/>
        </w:rPr>
        <w:t>152,000.</w:t>
      </w:r>
    </w:p>
    <w:p w14:paraId="401D1A84" w14:textId="3F49E3E0"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The number of legal proceedings for </w:t>
      </w:r>
      <w:r w:rsidRPr="005E1FEF">
        <w:rPr>
          <w:rFonts w:ascii="Times New Roman" w:hAnsi="Times New Roman" w:cs="Times New Roman"/>
          <w:b/>
          <w:sz w:val="24"/>
          <w:szCs w:val="24"/>
        </w:rPr>
        <w:t>asset recovery</w:t>
      </w:r>
      <w:r w:rsidRPr="005E1FEF">
        <w:rPr>
          <w:rFonts w:ascii="Times New Roman" w:hAnsi="Times New Roman" w:cs="Times New Roman"/>
          <w:sz w:val="24"/>
          <w:szCs w:val="24"/>
        </w:rPr>
        <w:t xml:space="preserve"> and the amount concerned have increased. However, temporary recovery orders were pronounced in only </w:t>
      </w:r>
      <w:r w:rsidR="008E399E">
        <w:rPr>
          <w:rFonts w:ascii="Times New Roman" w:hAnsi="Times New Roman" w:cs="Times New Roman"/>
          <w:sz w:val="24"/>
          <w:szCs w:val="24"/>
        </w:rPr>
        <w:t>6</w:t>
      </w:r>
      <w:r w:rsidRPr="005E1FEF">
        <w:rPr>
          <w:rFonts w:ascii="Times New Roman" w:hAnsi="Times New Roman" w:cs="Times New Roman"/>
          <w:sz w:val="24"/>
          <w:szCs w:val="24"/>
        </w:rPr>
        <w:t xml:space="preserve"> cases in 2019, regarding 120 people, for €</w:t>
      </w:r>
      <w:r w:rsidR="008E399E">
        <w:rPr>
          <w:rFonts w:ascii="Times New Roman" w:hAnsi="Times New Roman" w:cs="Times New Roman"/>
          <w:sz w:val="24"/>
          <w:szCs w:val="24"/>
        </w:rPr>
        <w:t xml:space="preserve"> </w:t>
      </w:r>
      <w:r w:rsidRPr="005E1FEF">
        <w:rPr>
          <w:rFonts w:ascii="Times New Roman" w:hAnsi="Times New Roman" w:cs="Times New Roman"/>
          <w:sz w:val="24"/>
          <w:szCs w:val="24"/>
        </w:rPr>
        <w:t xml:space="preserve">4 million and a number of real estate properties. In a high-profile corruption case involving the former president of the country, large real estate and land properties were confiscated. In general, due to the limited scope of financial investigations, the amount of seized and confiscated asset is not yet at the expected level. The confiscation of assets of equivalent value, when the proceeds of the crime itself cannot be found, does not exist in Montenegrin practice. There is no national and standardised system for collecting statistics on frozen, seized and confiscated assets data, including their estimated value. </w:t>
      </w:r>
    </w:p>
    <w:p w14:paraId="378F1E36" w14:textId="77777777"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In 2019, 37 requests for verification of 137 individuals and 23 legal entities have been received by the Asset Recovery Office (ARO). Some 103 requests for verification of 217 individuals and 80 legal entities have been forwarded to foreign authorities.</w:t>
      </w:r>
    </w:p>
    <w:p w14:paraId="0886C015" w14:textId="55E816A3" w:rsidR="005E1FEF" w:rsidRPr="005E1FEF" w:rsidRDefault="0043298B" w:rsidP="005E1FE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w:t>
      </w:r>
      <w:r w:rsidR="005E1FEF" w:rsidRPr="0043298B">
        <w:rPr>
          <w:rFonts w:ascii="Times New Roman" w:hAnsi="Times New Roman" w:cs="Times New Roman"/>
          <w:sz w:val="24"/>
          <w:szCs w:val="24"/>
        </w:rPr>
        <w:t xml:space="preserve">n </w:t>
      </w:r>
      <w:r>
        <w:rPr>
          <w:rFonts w:ascii="Times New Roman" w:hAnsi="Times New Roman" w:cs="Times New Roman"/>
          <w:sz w:val="24"/>
          <w:szCs w:val="24"/>
        </w:rPr>
        <w:t xml:space="preserve">the </w:t>
      </w:r>
      <w:r w:rsidR="005E1FEF" w:rsidRPr="0043298B">
        <w:rPr>
          <w:rFonts w:ascii="Times New Roman" w:hAnsi="Times New Roman" w:cs="Times New Roman"/>
          <w:b/>
          <w:sz w:val="24"/>
          <w:szCs w:val="24"/>
        </w:rPr>
        <w:t>fight against trafficking in human beings</w:t>
      </w:r>
      <w:r>
        <w:rPr>
          <w:rFonts w:ascii="Times New Roman" w:hAnsi="Times New Roman" w:cs="Times New Roman"/>
          <w:b/>
          <w:sz w:val="24"/>
          <w:szCs w:val="24"/>
        </w:rPr>
        <w:t xml:space="preserve">, </w:t>
      </w:r>
      <w:r>
        <w:rPr>
          <w:rFonts w:ascii="Times New Roman" w:hAnsi="Times New Roman" w:cs="Times New Roman"/>
          <w:sz w:val="24"/>
          <w:szCs w:val="24"/>
        </w:rPr>
        <w:t>t</w:t>
      </w:r>
      <w:r w:rsidR="005E1FEF" w:rsidRPr="005E1FEF">
        <w:rPr>
          <w:rFonts w:ascii="Times New Roman" w:hAnsi="Times New Roman" w:cs="Times New Roman"/>
          <w:sz w:val="24"/>
          <w:szCs w:val="24"/>
        </w:rPr>
        <w:t xml:space="preserve">he track record was further consolidated in 2019, reflecting a more targeted and coordinated approach to detecting trafficking offences. Montenegro had 11 trafficking cases in 2019, at different stages of the procedure, including </w:t>
      </w:r>
      <w:r w:rsidR="008E399E">
        <w:rPr>
          <w:rFonts w:ascii="Times New Roman" w:hAnsi="Times New Roman" w:cs="Times New Roman"/>
          <w:sz w:val="24"/>
          <w:szCs w:val="24"/>
        </w:rPr>
        <w:t>3</w:t>
      </w:r>
      <w:r w:rsidR="005E1FEF" w:rsidRPr="005E1FEF">
        <w:rPr>
          <w:rFonts w:ascii="Times New Roman" w:hAnsi="Times New Roman" w:cs="Times New Roman"/>
          <w:sz w:val="24"/>
          <w:szCs w:val="24"/>
        </w:rPr>
        <w:t xml:space="preserve"> cases of trafficking within an organised crime group. Three cases involved sexual exploitation and in </w:t>
      </w:r>
      <w:r w:rsidR="008E399E">
        <w:rPr>
          <w:rFonts w:ascii="Times New Roman" w:hAnsi="Times New Roman" w:cs="Times New Roman"/>
          <w:sz w:val="24"/>
          <w:szCs w:val="24"/>
        </w:rPr>
        <w:t>2</w:t>
      </w:r>
      <w:r w:rsidR="005E1FEF" w:rsidRPr="005E1FEF">
        <w:rPr>
          <w:rFonts w:ascii="Times New Roman" w:hAnsi="Times New Roman" w:cs="Times New Roman"/>
          <w:sz w:val="24"/>
          <w:szCs w:val="24"/>
        </w:rPr>
        <w:t xml:space="preserve"> cases, the victims were women. One final conviction was pronounced in November 2019, leading to unprecedented severe prison sentences. Two cases were pending before the court. In January 2020, the Montenegrin police uncovered a human trafficking network from Taiwan, leading to the arrest of 93 people, in the biggest-ever trafficking case in the Western Balkans. </w:t>
      </w:r>
    </w:p>
    <w:p w14:paraId="34839D87" w14:textId="360A3387"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The institutional capacity to address human trafficking was strengthened, under the leadership of a multi-disciplinary body</w:t>
      </w:r>
      <w:r w:rsidR="00B958D8">
        <w:rPr>
          <w:rFonts w:ascii="Times New Roman" w:hAnsi="Times New Roman" w:cs="Times New Roman"/>
          <w:sz w:val="24"/>
          <w:szCs w:val="24"/>
        </w:rPr>
        <w:t>,</w:t>
      </w:r>
      <w:r w:rsidRPr="005E1FEF">
        <w:rPr>
          <w:rFonts w:ascii="Times New Roman" w:hAnsi="Times New Roman" w:cs="Times New Roman"/>
          <w:sz w:val="24"/>
          <w:szCs w:val="24"/>
        </w:rPr>
        <w:t xml:space="preserve"> monitoring the implementation of the anti-trafficking strategy. The Podgorica High Prosecutor’s Office continues to oversee cases from lower instances that could present elements of trafficking. The Ministry of Interior established a department in charge of identifying and referring victims. Sixteen contact points for victim identification were appointed at local police units and trained. A public awareness campaign was launched, including a TV</w:t>
      </w:r>
      <w:r w:rsidR="008E399E">
        <w:rPr>
          <w:rFonts w:ascii="Times New Roman" w:hAnsi="Times New Roman" w:cs="Times New Roman"/>
          <w:sz w:val="24"/>
          <w:szCs w:val="24"/>
        </w:rPr>
        <w:t>-</w:t>
      </w:r>
      <w:r w:rsidRPr="005E1FEF">
        <w:rPr>
          <w:rFonts w:ascii="Times New Roman" w:hAnsi="Times New Roman" w:cs="Times New Roman"/>
          <w:sz w:val="24"/>
          <w:szCs w:val="24"/>
        </w:rPr>
        <w:t>clip on the risks of trafficking. Twelve NGOs benefit from state grants for prevention and protection activities, and one NGO runs a state-funded 24/7 SOS hotline.</w:t>
      </w:r>
    </w:p>
    <w:p w14:paraId="383F0ADA" w14:textId="43B957B6"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Institutional capacity was strengthened in the area of </w:t>
      </w:r>
      <w:r w:rsidRPr="005E1FEF">
        <w:rPr>
          <w:rFonts w:ascii="Times New Roman" w:hAnsi="Times New Roman" w:cs="Times New Roman"/>
          <w:b/>
          <w:sz w:val="24"/>
          <w:szCs w:val="24"/>
        </w:rPr>
        <w:t xml:space="preserve">cybercrime. </w:t>
      </w:r>
      <w:r w:rsidRPr="005E1FEF">
        <w:rPr>
          <w:rFonts w:ascii="Times New Roman" w:hAnsi="Times New Roman" w:cs="Times New Roman"/>
          <w:sz w:val="24"/>
          <w:szCs w:val="24"/>
        </w:rPr>
        <w:t>This resulted in a 50% surge in the number of cases initiated (111</w:t>
      </w:r>
      <w:r w:rsidR="008E399E">
        <w:rPr>
          <w:rFonts w:ascii="Times New Roman" w:hAnsi="Times New Roman" w:cs="Times New Roman"/>
          <w:sz w:val="24"/>
          <w:szCs w:val="24"/>
        </w:rPr>
        <w:t xml:space="preserve"> </w:t>
      </w:r>
      <w:r w:rsidRPr="005E1FEF">
        <w:rPr>
          <w:rFonts w:ascii="Times New Roman" w:hAnsi="Times New Roman" w:cs="Times New Roman"/>
          <w:sz w:val="24"/>
          <w:szCs w:val="24"/>
        </w:rPr>
        <w:t xml:space="preserve">preliminary investigations and </w:t>
      </w:r>
      <w:r w:rsidR="008E399E">
        <w:rPr>
          <w:rFonts w:ascii="Times New Roman" w:hAnsi="Times New Roman" w:cs="Times New Roman"/>
          <w:sz w:val="24"/>
          <w:szCs w:val="24"/>
        </w:rPr>
        <w:t>4</w:t>
      </w:r>
      <w:r w:rsidRPr="005E1FEF">
        <w:rPr>
          <w:rFonts w:ascii="Times New Roman" w:hAnsi="Times New Roman" w:cs="Times New Roman"/>
          <w:sz w:val="24"/>
          <w:szCs w:val="24"/>
        </w:rPr>
        <w:t xml:space="preserve"> investigations were launched for a broad range of cyber offences, such as on-line fraud, hacking, ransoming, selling of counterfeit goods, extortion, hate speech, child pornography</w:t>
      </w:r>
      <w:r w:rsidR="00B10615">
        <w:rPr>
          <w:rFonts w:ascii="Times New Roman" w:hAnsi="Times New Roman" w:cs="Times New Roman"/>
          <w:sz w:val="24"/>
          <w:szCs w:val="24"/>
        </w:rPr>
        <w:t>)</w:t>
      </w:r>
      <w:r w:rsidRPr="005E1FEF">
        <w:rPr>
          <w:rFonts w:ascii="Times New Roman" w:hAnsi="Times New Roman" w:cs="Times New Roman"/>
          <w:sz w:val="24"/>
          <w:szCs w:val="24"/>
        </w:rPr>
        <w:t xml:space="preserve">. </w:t>
      </w:r>
      <w:r w:rsidR="00B958D8">
        <w:rPr>
          <w:rFonts w:ascii="Times New Roman" w:hAnsi="Times New Roman" w:cs="Times New Roman"/>
          <w:sz w:val="24"/>
          <w:szCs w:val="24"/>
        </w:rPr>
        <w:t xml:space="preserve">However, </w:t>
      </w:r>
      <w:r w:rsidR="008B06BE">
        <w:rPr>
          <w:rFonts w:ascii="Times New Roman" w:hAnsi="Times New Roman" w:cs="Times New Roman"/>
          <w:sz w:val="24"/>
          <w:szCs w:val="24"/>
        </w:rPr>
        <w:t xml:space="preserve">the </w:t>
      </w:r>
      <w:r w:rsidR="00B958D8">
        <w:rPr>
          <w:rFonts w:ascii="Times New Roman" w:hAnsi="Times New Roman" w:cs="Times New Roman"/>
          <w:sz w:val="24"/>
          <w:szCs w:val="24"/>
        </w:rPr>
        <w:t>n</w:t>
      </w:r>
      <w:r w:rsidRPr="005E1FEF">
        <w:rPr>
          <w:rFonts w:ascii="Times New Roman" w:hAnsi="Times New Roman" w:cs="Times New Roman"/>
          <w:sz w:val="24"/>
          <w:szCs w:val="24"/>
        </w:rPr>
        <w:t xml:space="preserve">umber of staff in the concerned police unit is </w:t>
      </w:r>
      <w:r w:rsidR="00B958D8">
        <w:rPr>
          <w:rFonts w:ascii="Times New Roman" w:hAnsi="Times New Roman" w:cs="Times New Roman"/>
          <w:sz w:val="24"/>
          <w:szCs w:val="24"/>
        </w:rPr>
        <w:t xml:space="preserve">still </w:t>
      </w:r>
      <w:r w:rsidRPr="005E1FEF">
        <w:rPr>
          <w:rFonts w:ascii="Times New Roman" w:hAnsi="Times New Roman" w:cs="Times New Roman"/>
          <w:sz w:val="24"/>
          <w:szCs w:val="24"/>
        </w:rPr>
        <w:t>insufficient.</w:t>
      </w:r>
    </w:p>
    <w:p w14:paraId="6590199F" w14:textId="07923EAC"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In the area of </w:t>
      </w:r>
      <w:r w:rsidRPr="005E1FEF">
        <w:rPr>
          <w:rFonts w:ascii="Times New Roman" w:hAnsi="Times New Roman" w:cs="Times New Roman"/>
          <w:b/>
          <w:sz w:val="24"/>
          <w:szCs w:val="24"/>
        </w:rPr>
        <w:t>trafficking in weapons</w:t>
      </w:r>
      <w:r w:rsidRPr="005E1FEF">
        <w:rPr>
          <w:rFonts w:ascii="Times New Roman" w:hAnsi="Times New Roman" w:cs="Times New Roman"/>
          <w:sz w:val="24"/>
          <w:szCs w:val="24"/>
        </w:rPr>
        <w:t>, Montenegro seized 990 weapons in 2019, of which 514 were firearms. The government continued</w:t>
      </w:r>
      <w:r w:rsidR="00B958D8">
        <w:rPr>
          <w:rFonts w:ascii="Times New Roman" w:hAnsi="Times New Roman" w:cs="Times New Roman"/>
          <w:sz w:val="24"/>
          <w:szCs w:val="24"/>
        </w:rPr>
        <w:t xml:space="preserve"> to </w:t>
      </w:r>
      <w:r w:rsidRPr="005E1FEF">
        <w:rPr>
          <w:rFonts w:ascii="Times New Roman" w:hAnsi="Times New Roman" w:cs="Times New Roman"/>
          <w:sz w:val="24"/>
          <w:szCs w:val="24"/>
        </w:rPr>
        <w:t>implement the 2015-2019 action plan on illicit trafficking in firearms between the EU and the South East Europe region</w:t>
      </w:r>
      <w:r w:rsidR="00C57FA6">
        <w:rPr>
          <w:rFonts w:ascii="Times New Roman" w:hAnsi="Times New Roman" w:cs="Times New Roman"/>
          <w:sz w:val="24"/>
          <w:szCs w:val="24"/>
        </w:rPr>
        <w:t xml:space="preserve">. The focal point for </w:t>
      </w:r>
      <w:r w:rsidR="00C57FA6" w:rsidRPr="00C57FA6">
        <w:rPr>
          <w:rFonts w:ascii="Times New Roman" w:hAnsi="Times New Roman" w:cs="Times New Roman"/>
          <w:sz w:val="24"/>
          <w:szCs w:val="24"/>
        </w:rPr>
        <w:t>firearms</w:t>
      </w:r>
      <w:r w:rsidR="008B06BE">
        <w:rPr>
          <w:rFonts w:ascii="Times New Roman" w:hAnsi="Times New Roman" w:cs="Times New Roman"/>
          <w:sz w:val="24"/>
          <w:szCs w:val="24"/>
          <w:lang w:val="en-US"/>
        </w:rPr>
        <w:t xml:space="preserve"> </w:t>
      </w:r>
      <w:r w:rsidR="00C57FA6" w:rsidRPr="004504FF">
        <w:rPr>
          <w:rFonts w:ascii="Times New Roman" w:hAnsi="Times New Roman" w:cs="Times New Roman"/>
          <w:sz w:val="24"/>
          <w:szCs w:val="24"/>
          <w:lang w:val="en-US"/>
        </w:rPr>
        <w:t>was</w:t>
      </w:r>
      <w:r w:rsidR="00C57FA6" w:rsidRPr="00C57FA6">
        <w:rPr>
          <w:rFonts w:ascii="Times New Roman" w:hAnsi="Times New Roman" w:cs="Times New Roman"/>
          <w:sz w:val="24"/>
          <w:szCs w:val="24"/>
          <w:lang w:val="en-US"/>
        </w:rPr>
        <w:t xml:space="preserve"> </w:t>
      </w:r>
      <w:r w:rsidR="00C57FA6" w:rsidRPr="004504FF">
        <w:rPr>
          <w:rFonts w:ascii="Times New Roman" w:hAnsi="Times New Roman" w:cs="Times New Roman"/>
          <w:bCs/>
          <w:sz w:val="24"/>
          <w:szCs w:val="24"/>
          <w:lang w:val="en-US"/>
        </w:rPr>
        <w:t>established and is operational</w:t>
      </w:r>
      <w:r w:rsidR="00C57FA6" w:rsidRPr="00C57FA6">
        <w:rPr>
          <w:rFonts w:ascii="Times New Roman" w:hAnsi="Times New Roman" w:cs="Times New Roman"/>
          <w:sz w:val="24"/>
          <w:szCs w:val="24"/>
          <w:lang w:val="en-US"/>
        </w:rPr>
        <w:t xml:space="preserve">. </w:t>
      </w:r>
      <w:r w:rsidR="00C57FA6">
        <w:rPr>
          <w:rFonts w:ascii="Times New Roman" w:hAnsi="Times New Roman" w:cs="Times New Roman"/>
          <w:sz w:val="24"/>
          <w:szCs w:val="24"/>
          <w:lang w:val="en-US"/>
        </w:rPr>
        <w:t xml:space="preserve">It consists in a team of police officers from </w:t>
      </w:r>
      <w:r w:rsidR="00C57FA6">
        <w:rPr>
          <w:rFonts w:ascii="Times New Roman" w:hAnsi="Times New Roman" w:cs="Times New Roman"/>
          <w:sz w:val="24"/>
          <w:szCs w:val="24"/>
          <w:lang w:val="en-US"/>
        </w:rPr>
        <w:lastRenderedPageBreak/>
        <w:t xml:space="preserve">different services, duly trained and equipped prior to formal appointment. The team is in charge of </w:t>
      </w:r>
      <w:r w:rsidR="00C57FA6" w:rsidRPr="00C57FA6">
        <w:rPr>
          <w:rFonts w:ascii="Times New Roman" w:hAnsi="Times New Roman" w:cs="Times New Roman"/>
          <w:sz w:val="24"/>
          <w:szCs w:val="24"/>
          <w:lang w:val="en-US"/>
        </w:rPr>
        <w:t>data collection</w:t>
      </w:r>
      <w:r w:rsidR="00C57FA6">
        <w:rPr>
          <w:rFonts w:ascii="Times New Roman" w:hAnsi="Times New Roman" w:cs="Times New Roman"/>
          <w:sz w:val="24"/>
          <w:szCs w:val="24"/>
          <w:lang w:val="en-US"/>
        </w:rPr>
        <w:t>, analysis and exchange within Europol projects and</w:t>
      </w:r>
      <w:r w:rsidR="00C57FA6" w:rsidRPr="00C57FA6">
        <w:rPr>
          <w:rFonts w:ascii="Times New Roman" w:hAnsi="Times New Roman" w:cs="Times New Roman"/>
          <w:sz w:val="24"/>
          <w:szCs w:val="24"/>
          <w:lang w:val="en-US"/>
        </w:rPr>
        <w:t xml:space="preserve"> </w:t>
      </w:r>
      <w:r w:rsidR="00C57FA6">
        <w:rPr>
          <w:rFonts w:ascii="Times New Roman" w:hAnsi="Times New Roman" w:cs="Times New Roman"/>
          <w:sz w:val="24"/>
          <w:szCs w:val="24"/>
          <w:lang w:val="en-US"/>
        </w:rPr>
        <w:t xml:space="preserve">with the </w:t>
      </w:r>
      <w:r w:rsidR="00C57FA6" w:rsidRPr="004504FF">
        <w:rPr>
          <w:rFonts w:ascii="Times New Roman" w:hAnsi="Times New Roman" w:cs="Times New Roman"/>
          <w:bCs/>
          <w:sz w:val="24"/>
          <w:szCs w:val="24"/>
        </w:rPr>
        <w:t>Southeast European Law Enforcement Center</w:t>
      </w:r>
      <w:r w:rsidR="00C57FA6">
        <w:rPr>
          <w:rFonts w:ascii="Times New Roman" w:hAnsi="Times New Roman" w:cs="Times New Roman"/>
          <w:sz w:val="24"/>
          <w:szCs w:val="24"/>
          <w:lang w:val="en-US"/>
        </w:rPr>
        <w:t xml:space="preserve">. </w:t>
      </w:r>
    </w:p>
    <w:p w14:paraId="3DAC7C56" w14:textId="5BB15B68" w:rsidR="00A93CFD" w:rsidRPr="004504FF" w:rsidRDefault="005E1FEF" w:rsidP="000E4354">
      <w:pPr>
        <w:spacing w:after="120" w:line="240" w:lineRule="auto"/>
        <w:jc w:val="both"/>
        <w:rPr>
          <w:rFonts w:ascii="Times New Roman" w:hAnsi="Times New Roman" w:cs="Times New Roman"/>
          <w:b/>
          <w:sz w:val="24"/>
          <w:szCs w:val="24"/>
        </w:rPr>
      </w:pPr>
      <w:r w:rsidRPr="005E1FEF">
        <w:rPr>
          <w:rFonts w:ascii="Times New Roman" w:hAnsi="Times New Roman" w:cs="Times New Roman"/>
          <w:b/>
          <w:sz w:val="24"/>
          <w:szCs w:val="24"/>
        </w:rPr>
        <w:t>Cooperation in the field of drugs</w:t>
      </w:r>
    </w:p>
    <w:p w14:paraId="324FCD83" w14:textId="3E0C85E4" w:rsidR="005E1FEF" w:rsidRPr="005E1FEF" w:rsidRDefault="005E1FEF" w:rsidP="005E1FEF">
      <w:pPr>
        <w:spacing w:after="120" w:line="240" w:lineRule="auto"/>
        <w:jc w:val="both"/>
        <w:rPr>
          <w:rFonts w:ascii="Times New Roman" w:hAnsi="Times New Roman" w:cs="Times New Roman"/>
          <w:sz w:val="24"/>
          <w:szCs w:val="24"/>
        </w:rPr>
      </w:pPr>
      <w:r w:rsidRPr="000E4354">
        <w:rPr>
          <w:rFonts w:ascii="Times New Roman" w:hAnsi="Times New Roman" w:cs="Times New Roman"/>
          <w:sz w:val="24"/>
          <w:szCs w:val="24"/>
        </w:rPr>
        <w:t xml:space="preserve">There was no </w:t>
      </w:r>
      <w:r w:rsidR="0043298B" w:rsidRPr="000E4354">
        <w:rPr>
          <w:rFonts w:ascii="Times New Roman" w:hAnsi="Times New Roman" w:cs="Times New Roman"/>
          <w:sz w:val="24"/>
          <w:szCs w:val="24"/>
        </w:rPr>
        <w:t xml:space="preserve">follow-up </w:t>
      </w:r>
      <w:r w:rsidRPr="000E4354">
        <w:rPr>
          <w:rFonts w:ascii="Times New Roman" w:hAnsi="Times New Roman" w:cs="Times New Roman"/>
          <w:sz w:val="24"/>
          <w:szCs w:val="24"/>
        </w:rPr>
        <w:t>in addressing the deficiencies of the national drug information</w:t>
      </w:r>
      <w:r w:rsidRPr="005E1FEF">
        <w:rPr>
          <w:rFonts w:ascii="Times New Roman" w:hAnsi="Times New Roman" w:cs="Times New Roman"/>
          <w:sz w:val="24"/>
          <w:szCs w:val="24"/>
        </w:rPr>
        <w:t xml:space="preserve"> system, in accordance with EU standards. The National Drug Observatory (NDO) remains understaffed, has limited budget autonomy and does not sufficiently fulfil its coordination function. Montenegro provided a national drug report</w:t>
      </w:r>
      <w:r w:rsidR="008E399E">
        <w:rPr>
          <w:rFonts w:ascii="Times New Roman" w:hAnsi="Times New Roman" w:cs="Times New Roman"/>
          <w:sz w:val="24"/>
          <w:szCs w:val="24"/>
        </w:rPr>
        <w:t xml:space="preserve"> for the first time in 5 years</w:t>
      </w:r>
      <w:r w:rsidRPr="005E1FEF">
        <w:rPr>
          <w:rFonts w:ascii="Times New Roman" w:hAnsi="Times New Roman" w:cs="Times New Roman"/>
          <w:sz w:val="24"/>
          <w:szCs w:val="24"/>
        </w:rPr>
        <w:t xml:space="preserve">. However, despite good technical and scientific capacity in the forensic laboratory and other institutions dealing with drug-related issues, data collection on drugs remains fragmented, and does not rely on protocols compliant with the EMCDDA standards. The National Early Warning System (NEWS) is not fully operational. The recommendations from a July 2018 report by the EMCDDA have not been addressed yet. </w:t>
      </w:r>
    </w:p>
    <w:p w14:paraId="3A8BF27B" w14:textId="77D47692"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On the law-enforcement side, the police has two units in charge of drug-related crimes, one for petty drug-smuggling offences and the other for organised drug trafficking. The latter consists of only </w:t>
      </w:r>
      <w:r w:rsidR="008E399E">
        <w:rPr>
          <w:rFonts w:ascii="Times New Roman" w:hAnsi="Times New Roman" w:cs="Times New Roman"/>
          <w:sz w:val="24"/>
          <w:szCs w:val="24"/>
        </w:rPr>
        <w:t>8</w:t>
      </w:r>
      <w:r w:rsidRPr="005E1FEF">
        <w:rPr>
          <w:rFonts w:ascii="Times New Roman" w:hAnsi="Times New Roman" w:cs="Times New Roman"/>
          <w:sz w:val="24"/>
          <w:szCs w:val="24"/>
        </w:rPr>
        <w:t xml:space="preserve"> staff members, despite the fact that drug smuggling is the main activity of Montenegrin crime groups. This unit does not have direct access to international channels of communication such as SIENA. </w:t>
      </w:r>
    </w:p>
    <w:p w14:paraId="25E234FF" w14:textId="2CD5C2D7"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The authorities seized 2.4 tons of drugs in 2019, of which 2.2 tons were marijuana. Seizures of cocaine and heroin surged by 250% and 1,300% respectively compared with the previous year, reflecting international trends. In addition, 39 kg of cocaine and one ton of marijuana were seized abroad, as a result of international investigations. Montenegro participated in </w:t>
      </w:r>
      <w:r w:rsidR="008E399E">
        <w:rPr>
          <w:rFonts w:ascii="Times New Roman" w:hAnsi="Times New Roman" w:cs="Times New Roman"/>
          <w:sz w:val="24"/>
          <w:szCs w:val="24"/>
        </w:rPr>
        <w:t>4</w:t>
      </w:r>
      <w:r w:rsidRPr="005E1FEF">
        <w:rPr>
          <w:rFonts w:ascii="Times New Roman" w:hAnsi="Times New Roman" w:cs="Times New Roman"/>
          <w:sz w:val="24"/>
          <w:szCs w:val="24"/>
        </w:rPr>
        <w:t xml:space="preserve"> multi-country police operations involving Austria, Slovenia, Croatia, Italy, Germany, France, the United States, Australia, Albania, and Serbia. </w:t>
      </w:r>
    </w:p>
    <w:p w14:paraId="3311F22A" w14:textId="068EF6E8" w:rsidR="00065447"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The number of drug cases investigated in Montenegro continued to increase in 2019, consolidating the trend of the previous year</w:t>
      </w:r>
      <w:r w:rsidR="00996282">
        <w:rPr>
          <w:rFonts w:ascii="Times New Roman" w:hAnsi="Times New Roman" w:cs="Times New Roman"/>
          <w:sz w:val="24"/>
          <w:szCs w:val="24"/>
        </w:rPr>
        <w:t>s</w:t>
      </w:r>
      <w:r w:rsidRPr="005E1FEF">
        <w:rPr>
          <w:rFonts w:ascii="Times New Roman" w:hAnsi="Times New Roman" w:cs="Times New Roman"/>
          <w:sz w:val="24"/>
          <w:szCs w:val="24"/>
        </w:rPr>
        <w:t>. The number of investigations into drug smuggling rose to 155 in 2019, of which five qualified as organised crime and 150 as serious crime.</w:t>
      </w:r>
      <w:r w:rsidR="008E399E">
        <w:rPr>
          <w:rFonts w:ascii="Times New Roman" w:hAnsi="Times New Roman" w:cs="Times New Roman"/>
          <w:sz w:val="24"/>
          <w:szCs w:val="24"/>
        </w:rPr>
        <w:t xml:space="preserve"> Eleven</w:t>
      </w:r>
      <w:r w:rsidRPr="005E1FEF">
        <w:rPr>
          <w:rFonts w:ascii="Times New Roman" w:hAnsi="Times New Roman" w:cs="Times New Roman"/>
          <w:sz w:val="24"/>
          <w:szCs w:val="24"/>
        </w:rPr>
        <w:t xml:space="preserve"> investigations were conducted with international cooperation, a 175% surge compared with 2018, leading to a number of successful high-profile operations.</w:t>
      </w:r>
      <w:r w:rsidR="00B42FFB" w:rsidRPr="00B42FFB">
        <w:rPr>
          <w:b/>
        </w:rPr>
        <w:t xml:space="preserve"> </w:t>
      </w:r>
      <w:r w:rsidR="00B42FFB" w:rsidRPr="00B42FFB">
        <w:rPr>
          <w:rFonts w:ascii="Times New Roman" w:hAnsi="Times New Roman" w:cs="Times New Roman"/>
          <w:sz w:val="24"/>
          <w:szCs w:val="24"/>
        </w:rPr>
        <w:t>I</w:t>
      </w:r>
      <w:r w:rsidR="00B42FFB" w:rsidRPr="00861A9A">
        <w:rPr>
          <w:rFonts w:ascii="Times New Roman" w:hAnsi="Times New Roman" w:cs="Times New Roman"/>
          <w:sz w:val="24"/>
          <w:szCs w:val="24"/>
        </w:rPr>
        <w:t>n a major international police operation</w:t>
      </w:r>
      <w:r w:rsidR="00B42FFB">
        <w:rPr>
          <w:rFonts w:ascii="Times New Roman" w:hAnsi="Times New Roman" w:cs="Times New Roman"/>
          <w:sz w:val="24"/>
          <w:szCs w:val="24"/>
        </w:rPr>
        <w:t xml:space="preserve"> conducted in February 2020</w:t>
      </w:r>
      <w:r w:rsidR="00B42FFB" w:rsidRPr="00861A9A">
        <w:rPr>
          <w:rFonts w:ascii="Times New Roman" w:hAnsi="Times New Roman" w:cs="Times New Roman"/>
          <w:sz w:val="24"/>
          <w:szCs w:val="24"/>
        </w:rPr>
        <w:t xml:space="preserve">, </w:t>
      </w:r>
      <w:r w:rsidR="00B42FFB" w:rsidRPr="002F4F9A">
        <w:rPr>
          <w:rFonts w:ascii="Times New Roman" w:hAnsi="Times New Roman" w:cs="Times New Roman"/>
          <w:bCs/>
          <w:sz w:val="24"/>
          <w:szCs w:val="24"/>
        </w:rPr>
        <w:t>5</w:t>
      </w:r>
      <w:r w:rsidR="00AA276F">
        <w:rPr>
          <w:rFonts w:ascii="Times New Roman" w:hAnsi="Times New Roman" w:cs="Times New Roman"/>
          <w:bCs/>
          <w:sz w:val="24"/>
          <w:szCs w:val="24"/>
        </w:rPr>
        <w:t>.</w:t>
      </w:r>
      <w:r w:rsidR="00B42FFB" w:rsidRPr="002F4F9A">
        <w:rPr>
          <w:rFonts w:ascii="Times New Roman" w:hAnsi="Times New Roman" w:cs="Times New Roman"/>
          <w:bCs/>
          <w:sz w:val="24"/>
          <w:szCs w:val="24"/>
        </w:rPr>
        <w:t>7</w:t>
      </w:r>
      <w:r w:rsidR="00AA276F" w:rsidRPr="002F4F9A">
        <w:rPr>
          <w:rFonts w:ascii="Times New Roman" w:hAnsi="Times New Roman" w:cs="Times New Roman"/>
          <w:bCs/>
          <w:sz w:val="24"/>
          <w:szCs w:val="24"/>
        </w:rPr>
        <w:t> tons</w:t>
      </w:r>
      <w:r w:rsidR="00B42FFB" w:rsidRPr="002F4F9A">
        <w:rPr>
          <w:rFonts w:ascii="Times New Roman" w:hAnsi="Times New Roman" w:cs="Times New Roman"/>
          <w:sz w:val="24"/>
          <w:szCs w:val="24"/>
        </w:rPr>
        <w:t xml:space="preserve"> of cocaine </w:t>
      </w:r>
      <w:r w:rsidR="00B42FFB">
        <w:rPr>
          <w:rFonts w:ascii="Times New Roman" w:hAnsi="Times New Roman" w:cs="Times New Roman"/>
          <w:sz w:val="24"/>
          <w:szCs w:val="24"/>
        </w:rPr>
        <w:t xml:space="preserve">were </w:t>
      </w:r>
      <w:r w:rsidR="00B42FFB" w:rsidRPr="002F4F9A">
        <w:rPr>
          <w:rFonts w:ascii="Times New Roman" w:hAnsi="Times New Roman" w:cs="Times New Roman"/>
          <w:sz w:val="24"/>
          <w:szCs w:val="24"/>
        </w:rPr>
        <w:t>seized</w:t>
      </w:r>
      <w:r w:rsidR="00B42FFB" w:rsidRPr="00B42FFB">
        <w:rPr>
          <w:rFonts w:ascii="Times New Roman" w:hAnsi="Times New Roman" w:cs="Times New Roman"/>
          <w:sz w:val="24"/>
          <w:szCs w:val="24"/>
        </w:rPr>
        <w:t xml:space="preserve"> </w:t>
      </w:r>
      <w:r w:rsidR="00B42FFB">
        <w:rPr>
          <w:rFonts w:ascii="Times New Roman" w:hAnsi="Times New Roman" w:cs="Times New Roman"/>
          <w:sz w:val="24"/>
          <w:szCs w:val="24"/>
        </w:rPr>
        <w:t>an</w:t>
      </w:r>
      <w:r w:rsidR="00AA276F">
        <w:rPr>
          <w:rFonts w:ascii="Times New Roman" w:hAnsi="Times New Roman" w:cs="Times New Roman"/>
          <w:sz w:val="24"/>
          <w:szCs w:val="24"/>
        </w:rPr>
        <w:t>d 7</w:t>
      </w:r>
      <w:r w:rsidR="00B42FFB" w:rsidRPr="00861A9A">
        <w:rPr>
          <w:rFonts w:ascii="Times New Roman" w:hAnsi="Times New Roman" w:cs="Times New Roman"/>
          <w:sz w:val="24"/>
          <w:szCs w:val="24"/>
        </w:rPr>
        <w:t xml:space="preserve"> crew members</w:t>
      </w:r>
      <w:r w:rsidR="00B42FFB">
        <w:rPr>
          <w:rFonts w:ascii="Times New Roman" w:hAnsi="Times New Roman" w:cs="Times New Roman"/>
          <w:sz w:val="24"/>
          <w:szCs w:val="24"/>
        </w:rPr>
        <w:t>,</w:t>
      </w:r>
      <w:r w:rsidR="00B42FFB" w:rsidRPr="00861A9A">
        <w:rPr>
          <w:rFonts w:ascii="Times New Roman" w:hAnsi="Times New Roman" w:cs="Times New Roman"/>
          <w:sz w:val="24"/>
          <w:szCs w:val="24"/>
        </w:rPr>
        <w:t xml:space="preserve"> including </w:t>
      </w:r>
      <w:r w:rsidR="00AA276F">
        <w:rPr>
          <w:rFonts w:ascii="Times New Roman" w:hAnsi="Times New Roman" w:cs="Times New Roman"/>
          <w:sz w:val="24"/>
          <w:szCs w:val="24"/>
        </w:rPr>
        <w:t>4</w:t>
      </w:r>
      <w:r w:rsidR="00B42FFB" w:rsidRPr="00861A9A">
        <w:rPr>
          <w:rFonts w:ascii="Times New Roman" w:hAnsi="Times New Roman" w:cs="Times New Roman"/>
          <w:sz w:val="24"/>
          <w:szCs w:val="24"/>
        </w:rPr>
        <w:t xml:space="preserve"> Montenegrin nationals</w:t>
      </w:r>
      <w:r w:rsidR="00B42FFB">
        <w:rPr>
          <w:rFonts w:ascii="Times New Roman" w:hAnsi="Times New Roman" w:cs="Times New Roman"/>
          <w:sz w:val="24"/>
          <w:szCs w:val="24"/>
        </w:rPr>
        <w:t>,</w:t>
      </w:r>
      <w:r w:rsidR="00B42FFB" w:rsidRPr="00861A9A">
        <w:rPr>
          <w:rFonts w:ascii="Times New Roman" w:hAnsi="Times New Roman" w:cs="Times New Roman"/>
          <w:sz w:val="24"/>
          <w:szCs w:val="24"/>
        </w:rPr>
        <w:t xml:space="preserve"> arrested on a ship navigating </w:t>
      </w:r>
      <w:r w:rsidR="00B42FFB" w:rsidRPr="00861A9A">
        <w:rPr>
          <w:rFonts w:ascii="Times New Roman" w:hAnsi="Times New Roman" w:cs="Times New Roman"/>
          <w:sz w:val="24"/>
          <w:szCs w:val="24"/>
          <w:lang w:val="en-IE"/>
        </w:rPr>
        <w:t>from Venezuela to Greece</w:t>
      </w:r>
      <w:r w:rsidR="00B42FFB" w:rsidRPr="00861A9A">
        <w:rPr>
          <w:rFonts w:ascii="Times New Roman" w:hAnsi="Times New Roman" w:cs="Times New Roman"/>
          <w:sz w:val="24"/>
          <w:szCs w:val="24"/>
        </w:rPr>
        <w:t xml:space="preserve">. </w:t>
      </w:r>
      <w:r w:rsidR="00B42FFB">
        <w:rPr>
          <w:rFonts w:ascii="Times New Roman" w:hAnsi="Times New Roman" w:cs="Times New Roman"/>
          <w:sz w:val="24"/>
          <w:szCs w:val="24"/>
        </w:rPr>
        <w:t>T</w:t>
      </w:r>
      <w:r w:rsidR="00B42FFB" w:rsidRPr="00711ED5">
        <w:rPr>
          <w:rFonts w:ascii="Times New Roman" w:hAnsi="Times New Roman" w:cs="Times New Roman"/>
          <w:sz w:val="24"/>
          <w:szCs w:val="24"/>
        </w:rPr>
        <w:t xml:space="preserve">he operation </w:t>
      </w:r>
      <w:r w:rsidR="00AA276F">
        <w:rPr>
          <w:rFonts w:ascii="Times New Roman" w:hAnsi="Times New Roman" w:cs="Times New Roman"/>
          <w:sz w:val="24"/>
          <w:szCs w:val="24"/>
        </w:rPr>
        <w:t>was a result of</w:t>
      </w:r>
      <w:r w:rsidR="00B42FFB">
        <w:rPr>
          <w:rFonts w:ascii="Times New Roman" w:hAnsi="Times New Roman" w:cs="Times New Roman"/>
          <w:sz w:val="24"/>
          <w:szCs w:val="24"/>
        </w:rPr>
        <w:t xml:space="preserve"> cooperation between </w:t>
      </w:r>
      <w:r w:rsidR="00B42FFB" w:rsidRPr="00711ED5">
        <w:rPr>
          <w:rFonts w:ascii="Times New Roman" w:hAnsi="Times New Roman" w:cs="Times New Roman"/>
          <w:sz w:val="24"/>
          <w:szCs w:val="24"/>
        </w:rPr>
        <w:t>the United Kingdom, Serbia, the Netherl</w:t>
      </w:r>
      <w:r w:rsidR="00B42FFB">
        <w:rPr>
          <w:rFonts w:ascii="Times New Roman" w:hAnsi="Times New Roman" w:cs="Times New Roman"/>
          <w:sz w:val="24"/>
          <w:szCs w:val="24"/>
        </w:rPr>
        <w:t>ands</w:t>
      </w:r>
      <w:r w:rsidR="00996282">
        <w:rPr>
          <w:rFonts w:ascii="Times New Roman" w:hAnsi="Times New Roman" w:cs="Times New Roman"/>
          <w:sz w:val="24"/>
          <w:szCs w:val="24"/>
        </w:rPr>
        <w:t>, amongst other partners,</w:t>
      </w:r>
      <w:r w:rsidR="00B42FFB">
        <w:rPr>
          <w:rFonts w:ascii="Times New Roman" w:hAnsi="Times New Roman" w:cs="Times New Roman"/>
          <w:sz w:val="24"/>
          <w:szCs w:val="24"/>
        </w:rPr>
        <w:t xml:space="preserve"> and was b</w:t>
      </w:r>
      <w:r w:rsidR="00B42FFB" w:rsidRPr="00861A9A">
        <w:rPr>
          <w:rFonts w:ascii="Times New Roman" w:hAnsi="Times New Roman" w:cs="Times New Roman"/>
          <w:sz w:val="24"/>
          <w:szCs w:val="24"/>
        </w:rPr>
        <w:t>ased on the intelligence prov</w:t>
      </w:r>
      <w:r w:rsidR="00B42FFB" w:rsidRPr="00B42FFB">
        <w:rPr>
          <w:rFonts w:ascii="Times New Roman" w:hAnsi="Times New Roman" w:cs="Times New Roman"/>
          <w:sz w:val="24"/>
          <w:szCs w:val="24"/>
        </w:rPr>
        <w:t>ided by the Montenegrin police.</w:t>
      </w:r>
      <w:r w:rsidR="00B42FFB">
        <w:rPr>
          <w:rFonts w:ascii="Times New Roman" w:hAnsi="Times New Roman" w:cs="Times New Roman"/>
          <w:sz w:val="24"/>
          <w:szCs w:val="24"/>
        </w:rPr>
        <w:t xml:space="preserve"> </w:t>
      </w:r>
      <w:r w:rsidR="00B42FFB" w:rsidRPr="00861A9A">
        <w:rPr>
          <w:rFonts w:ascii="Times New Roman" w:hAnsi="Times New Roman" w:cs="Times New Roman"/>
          <w:sz w:val="24"/>
          <w:szCs w:val="24"/>
        </w:rPr>
        <w:t xml:space="preserve">Another complex international investigation, led by Montenegro, supported by Europol and involving law enforcement </w:t>
      </w:r>
      <w:r w:rsidR="00B42FFB">
        <w:rPr>
          <w:rFonts w:ascii="Times New Roman" w:hAnsi="Times New Roman" w:cs="Times New Roman"/>
          <w:sz w:val="24"/>
          <w:szCs w:val="24"/>
        </w:rPr>
        <w:t xml:space="preserve">agencies </w:t>
      </w:r>
      <w:r w:rsidR="00B42FFB" w:rsidRPr="00861A9A">
        <w:rPr>
          <w:rFonts w:ascii="Times New Roman" w:hAnsi="Times New Roman" w:cs="Times New Roman"/>
          <w:sz w:val="24"/>
          <w:szCs w:val="24"/>
        </w:rPr>
        <w:t xml:space="preserve">from Austria, Croatia, France, Portugal, Serbia and Slovenia, severely disrupted one of the smuggling routes from Central America to Europe. </w:t>
      </w:r>
      <w:r w:rsidR="00B42FFB">
        <w:rPr>
          <w:rFonts w:ascii="Times New Roman" w:hAnsi="Times New Roman" w:cs="Times New Roman"/>
          <w:sz w:val="24"/>
          <w:szCs w:val="24"/>
        </w:rPr>
        <w:t>Eight</w:t>
      </w:r>
      <w:r w:rsidR="00B42FFB" w:rsidRPr="00861A9A">
        <w:rPr>
          <w:rFonts w:ascii="Times New Roman" w:hAnsi="Times New Roman" w:cs="Times New Roman"/>
          <w:sz w:val="24"/>
          <w:szCs w:val="24"/>
        </w:rPr>
        <w:t xml:space="preserve"> individuals were arrested in March 2020 in several countries after 20 locations </w:t>
      </w:r>
      <w:r w:rsidR="00B42FFB">
        <w:rPr>
          <w:rFonts w:ascii="Times New Roman" w:hAnsi="Times New Roman" w:cs="Times New Roman"/>
          <w:sz w:val="24"/>
          <w:szCs w:val="24"/>
        </w:rPr>
        <w:t xml:space="preserve">had been </w:t>
      </w:r>
      <w:r w:rsidR="00AA276F" w:rsidRPr="00AA276F">
        <w:rPr>
          <w:rFonts w:ascii="Times New Roman" w:hAnsi="Times New Roman" w:cs="Times New Roman"/>
          <w:sz w:val="24"/>
          <w:szCs w:val="24"/>
        </w:rPr>
        <w:t>searched.</w:t>
      </w:r>
      <w:r w:rsidR="00AA276F" w:rsidRPr="005E1FEF">
        <w:rPr>
          <w:rFonts w:ascii="Times New Roman" w:hAnsi="Times New Roman" w:cs="Times New Roman"/>
          <w:sz w:val="24"/>
          <w:szCs w:val="24"/>
        </w:rPr>
        <w:t xml:space="preserve"> </w:t>
      </w:r>
      <w:r w:rsidR="00B87485">
        <w:rPr>
          <w:rFonts w:ascii="Times New Roman" w:hAnsi="Times New Roman" w:cs="Times New Roman"/>
          <w:sz w:val="24"/>
          <w:szCs w:val="24"/>
        </w:rPr>
        <w:t xml:space="preserve">In another prominent case, </w:t>
      </w:r>
      <w:r w:rsidR="003C7EB0" w:rsidRPr="00B87485">
        <w:rPr>
          <w:rFonts w:ascii="Times New Roman" w:hAnsi="Times New Roman" w:cs="Times New Roman"/>
          <w:sz w:val="24"/>
          <w:szCs w:val="24"/>
        </w:rPr>
        <w:t xml:space="preserve">in the port of Hamburg </w:t>
      </w:r>
      <w:r w:rsidR="00B87485" w:rsidRPr="00B87485">
        <w:rPr>
          <w:rFonts w:ascii="Times New Roman" w:hAnsi="Times New Roman" w:cs="Times New Roman"/>
          <w:sz w:val="24"/>
          <w:szCs w:val="24"/>
        </w:rPr>
        <w:t xml:space="preserve">German police seized half a ton of cocaine from </w:t>
      </w:r>
      <w:r w:rsidR="00B87485">
        <w:rPr>
          <w:rFonts w:ascii="Times New Roman" w:hAnsi="Times New Roman" w:cs="Times New Roman"/>
          <w:sz w:val="24"/>
          <w:szCs w:val="24"/>
        </w:rPr>
        <w:t>a ship</w:t>
      </w:r>
      <w:r w:rsidR="00B87485" w:rsidRPr="00B87485">
        <w:rPr>
          <w:rFonts w:ascii="Times New Roman" w:hAnsi="Times New Roman" w:cs="Times New Roman"/>
          <w:sz w:val="24"/>
          <w:szCs w:val="24"/>
        </w:rPr>
        <w:t xml:space="preserve"> </w:t>
      </w:r>
      <w:r w:rsidR="00B87485">
        <w:rPr>
          <w:rFonts w:ascii="Times New Roman" w:hAnsi="Times New Roman" w:cs="Times New Roman"/>
          <w:sz w:val="24"/>
          <w:szCs w:val="24"/>
        </w:rPr>
        <w:t>sailing</w:t>
      </w:r>
      <w:r w:rsidR="00B87485" w:rsidRPr="00B87485">
        <w:rPr>
          <w:rFonts w:ascii="Times New Roman" w:hAnsi="Times New Roman" w:cs="Times New Roman"/>
          <w:sz w:val="24"/>
          <w:szCs w:val="24"/>
        </w:rPr>
        <w:t xml:space="preserve"> under the Montenegrin flag</w:t>
      </w:r>
      <w:r w:rsidR="00B87485">
        <w:rPr>
          <w:rFonts w:ascii="Times New Roman" w:hAnsi="Times New Roman" w:cs="Times New Roman"/>
          <w:sz w:val="24"/>
          <w:szCs w:val="24"/>
        </w:rPr>
        <w:t xml:space="preserve"> and</w:t>
      </w:r>
      <w:r w:rsidR="00B87485" w:rsidRPr="00B87485">
        <w:rPr>
          <w:rFonts w:ascii="Times New Roman" w:hAnsi="Times New Roman" w:cs="Times New Roman"/>
          <w:sz w:val="24"/>
          <w:szCs w:val="24"/>
        </w:rPr>
        <w:t xml:space="preserve"> owned by the Bar Shipping-Montenegro Line, a state-owned company</w:t>
      </w:r>
      <w:r w:rsidR="00B87485">
        <w:rPr>
          <w:rFonts w:ascii="Times New Roman" w:hAnsi="Times New Roman" w:cs="Times New Roman"/>
          <w:sz w:val="24"/>
          <w:szCs w:val="24"/>
        </w:rPr>
        <w:t>.  Th</w:t>
      </w:r>
      <w:r w:rsidR="00B87485" w:rsidRPr="00B87485">
        <w:rPr>
          <w:rFonts w:ascii="Times New Roman" w:hAnsi="Times New Roman" w:cs="Times New Roman"/>
          <w:sz w:val="24"/>
          <w:szCs w:val="24"/>
        </w:rPr>
        <w:t>e action was conducted by the Montenegrin police with colleagues from the U</w:t>
      </w:r>
      <w:r w:rsidR="002877C1">
        <w:rPr>
          <w:rFonts w:ascii="Times New Roman" w:hAnsi="Times New Roman" w:cs="Times New Roman"/>
          <w:sz w:val="24"/>
          <w:szCs w:val="24"/>
        </w:rPr>
        <w:t>nited States</w:t>
      </w:r>
      <w:r w:rsidR="00B87485">
        <w:rPr>
          <w:rFonts w:ascii="Times New Roman" w:hAnsi="Times New Roman" w:cs="Times New Roman"/>
          <w:sz w:val="24"/>
          <w:szCs w:val="24"/>
        </w:rPr>
        <w:t>, Germany and</w:t>
      </w:r>
      <w:r w:rsidR="00B87485" w:rsidRPr="00B87485">
        <w:rPr>
          <w:rFonts w:ascii="Times New Roman" w:hAnsi="Times New Roman" w:cs="Times New Roman"/>
          <w:sz w:val="24"/>
          <w:szCs w:val="24"/>
        </w:rPr>
        <w:t xml:space="preserve"> several </w:t>
      </w:r>
      <w:r w:rsidR="006D3F53">
        <w:rPr>
          <w:rFonts w:ascii="Times New Roman" w:hAnsi="Times New Roman" w:cs="Times New Roman"/>
          <w:sz w:val="24"/>
          <w:szCs w:val="24"/>
        </w:rPr>
        <w:t xml:space="preserve">other </w:t>
      </w:r>
      <w:r w:rsidR="00B87485" w:rsidRPr="00B87485">
        <w:rPr>
          <w:rFonts w:ascii="Times New Roman" w:hAnsi="Times New Roman" w:cs="Times New Roman"/>
          <w:sz w:val="24"/>
          <w:szCs w:val="24"/>
        </w:rPr>
        <w:t>European countries</w:t>
      </w:r>
      <w:r w:rsidR="00B87485">
        <w:rPr>
          <w:rFonts w:ascii="Times New Roman" w:hAnsi="Times New Roman" w:cs="Times New Roman"/>
          <w:sz w:val="24"/>
          <w:szCs w:val="24"/>
        </w:rPr>
        <w:t>.</w:t>
      </w:r>
    </w:p>
    <w:p w14:paraId="1AC8CC7B" w14:textId="1D8C8689" w:rsidR="005E1FEF" w:rsidRPr="00687AD9" w:rsidRDefault="00AA276F" w:rsidP="005E1FEF">
      <w:pPr>
        <w:spacing w:after="120" w:line="240" w:lineRule="auto"/>
        <w:jc w:val="both"/>
        <w:rPr>
          <w:rFonts w:ascii="Times New Roman" w:hAnsi="Times New Roman" w:cs="Times New Roman"/>
          <w:bCs/>
          <w:sz w:val="24"/>
          <w:szCs w:val="24"/>
        </w:rPr>
      </w:pPr>
      <w:r w:rsidRPr="005E1FEF">
        <w:rPr>
          <w:rFonts w:ascii="Times New Roman" w:hAnsi="Times New Roman" w:cs="Times New Roman"/>
          <w:sz w:val="24"/>
          <w:szCs w:val="24"/>
        </w:rPr>
        <w:t>The</w:t>
      </w:r>
      <w:r w:rsidR="005E1FEF" w:rsidRPr="005E1FEF">
        <w:rPr>
          <w:rFonts w:ascii="Times New Roman" w:hAnsi="Times New Roman" w:cs="Times New Roman"/>
          <w:sz w:val="24"/>
          <w:szCs w:val="24"/>
        </w:rPr>
        <w:t xml:space="preserve"> court pronounced 37 final convictions for drug smuggling associated with organised crime in 2019, including 34 based on plea bargains. </w:t>
      </w:r>
      <w:r w:rsidR="008E399E">
        <w:rPr>
          <w:rFonts w:ascii="Times New Roman" w:hAnsi="Times New Roman" w:cs="Times New Roman"/>
          <w:sz w:val="24"/>
          <w:szCs w:val="24"/>
        </w:rPr>
        <w:t>One hundred and twenty-six</w:t>
      </w:r>
      <w:r w:rsidR="005E1FEF" w:rsidRPr="005E1FEF">
        <w:rPr>
          <w:rFonts w:ascii="Times New Roman" w:hAnsi="Times New Roman" w:cs="Times New Roman"/>
          <w:sz w:val="24"/>
          <w:szCs w:val="24"/>
        </w:rPr>
        <w:t xml:space="preserve"> final convictions for </w:t>
      </w:r>
      <w:r w:rsidR="00996282" w:rsidRPr="00996282">
        <w:rPr>
          <w:rFonts w:ascii="Times New Roman" w:hAnsi="Times New Roman" w:cs="Times New Roman"/>
          <w:sz w:val="24"/>
          <w:szCs w:val="24"/>
        </w:rPr>
        <w:t xml:space="preserve">drug smuggling associated with </w:t>
      </w:r>
      <w:r w:rsidR="00996282">
        <w:rPr>
          <w:rFonts w:ascii="Times New Roman" w:hAnsi="Times New Roman" w:cs="Times New Roman"/>
          <w:sz w:val="24"/>
          <w:szCs w:val="24"/>
        </w:rPr>
        <w:t>serious</w:t>
      </w:r>
      <w:r w:rsidR="00996282" w:rsidRPr="00996282">
        <w:rPr>
          <w:rFonts w:ascii="Times New Roman" w:hAnsi="Times New Roman" w:cs="Times New Roman"/>
          <w:sz w:val="24"/>
          <w:szCs w:val="24"/>
        </w:rPr>
        <w:t xml:space="preserve"> crime</w:t>
      </w:r>
      <w:r w:rsidR="00996282" w:rsidRPr="00996282" w:rsidDel="00996282">
        <w:rPr>
          <w:rFonts w:ascii="Times New Roman" w:hAnsi="Times New Roman" w:cs="Times New Roman"/>
          <w:sz w:val="24"/>
          <w:szCs w:val="24"/>
        </w:rPr>
        <w:t xml:space="preserve"> </w:t>
      </w:r>
      <w:r w:rsidR="005E1FEF" w:rsidRPr="005E1FEF">
        <w:rPr>
          <w:rFonts w:ascii="Times New Roman" w:hAnsi="Times New Roman" w:cs="Times New Roman"/>
          <w:sz w:val="24"/>
          <w:szCs w:val="24"/>
        </w:rPr>
        <w:t xml:space="preserve">were pronounced, of which 73 were based on plea bargains. The total amount of fines and penalties recovered was </w:t>
      </w:r>
      <w:r w:rsidR="008E399E">
        <w:rPr>
          <w:rFonts w:ascii="Times New Roman" w:hAnsi="Times New Roman" w:cs="Times New Roman"/>
          <w:sz w:val="24"/>
          <w:szCs w:val="24"/>
        </w:rPr>
        <w:t xml:space="preserve">€ </w:t>
      </w:r>
      <w:r w:rsidR="005E1FEF" w:rsidRPr="005E1FEF">
        <w:rPr>
          <w:rFonts w:ascii="Times New Roman" w:hAnsi="Times New Roman" w:cs="Times New Roman"/>
          <w:sz w:val="24"/>
          <w:szCs w:val="24"/>
        </w:rPr>
        <w:t xml:space="preserve">178,000. In serious crime cases, financial investigations, seizure and confiscation of the </w:t>
      </w:r>
      <w:r w:rsidR="005E1FEF" w:rsidRPr="005E1FEF">
        <w:rPr>
          <w:rFonts w:ascii="Times New Roman" w:hAnsi="Times New Roman" w:cs="Times New Roman"/>
          <w:sz w:val="24"/>
          <w:szCs w:val="24"/>
        </w:rPr>
        <w:lastRenderedPageBreak/>
        <w:t xml:space="preserve">proceeds of drug-related crimes remained rare. The lack of adequate storage for seized drugs </w:t>
      </w:r>
      <w:r w:rsidR="005E1FEF" w:rsidRPr="00687AD9">
        <w:rPr>
          <w:rFonts w:ascii="Times New Roman" w:hAnsi="Times New Roman" w:cs="Times New Roman"/>
          <w:bCs/>
          <w:sz w:val="24"/>
          <w:szCs w:val="24"/>
        </w:rPr>
        <w:t xml:space="preserve">and precursors prior to destruction was not addressed. </w:t>
      </w:r>
    </w:p>
    <w:p w14:paraId="24593F0F" w14:textId="7484362D" w:rsidR="005E1FEF" w:rsidRPr="00A7387C" w:rsidRDefault="005E1FEF">
      <w:pPr>
        <w:spacing w:after="120" w:line="240" w:lineRule="auto"/>
        <w:jc w:val="both"/>
        <w:rPr>
          <w:rFonts w:ascii="Times New Roman" w:hAnsi="Times New Roman" w:cs="Times New Roman"/>
          <w:b/>
          <w:bCs/>
          <w:sz w:val="24"/>
          <w:szCs w:val="24"/>
        </w:rPr>
      </w:pPr>
      <w:r w:rsidRPr="00A7387C">
        <w:rPr>
          <w:rFonts w:ascii="Times New Roman" w:hAnsi="Times New Roman" w:cs="Times New Roman"/>
          <w:b/>
          <w:bCs/>
          <w:sz w:val="24"/>
          <w:szCs w:val="24"/>
        </w:rPr>
        <w:t>Fight against terrorism, anti-radicalisation</w:t>
      </w:r>
    </w:p>
    <w:p w14:paraId="0ED4FB05" w14:textId="77777777" w:rsidR="005E1FEF" w:rsidRPr="005E1FEF" w:rsidRDefault="005E1FEF" w:rsidP="005E1FEF">
      <w:pPr>
        <w:spacing w:after="120" w:line="240" w:lineRule="auto"/>
        <w:jc w:val="both"/>
        <w:rPr>
          <w:rFonts w:ascii="Times New Roman" w:hAnsi="Times New Roman" w:cs="Times New Roman"/>
          <w:sz w:val="24"/>
          <w:szCs w:val="24"/>
        </w:rPr>
      </w:pPr>
      <w:r w:rsidRPr="004504FF">
        <w:rPr>
          <w:rFonts w:ascii="Times New Roman" w:hAnsi="Times New Roman" w:cs="Times New Roman"/>
          <w:bCs/>
          <w:sz w:val="24"/>
          <w:szCs w:val="24"/>
        </w:rPr>
        <w:t>In</w:t>
      </w:r>
      <w:r w:rsidRPr="005E1FEF">
        <w:rPr>
          <w:rFonts w:ascii="Times New Roman" w:hAnsi="Times New Roman" w:cs="Times New Roman"/>
          <w:sz w:val="24"/>
          <w:szCs w:val="24"/>
        </w:rPr>
        <w:t xml:space="preserve"> November 2019, Montenegro and the EU signed an arrangement to implement the Joint Action Plan on Counter-Terrorism for the Western Balkans covering 2019-2020. </w:t>
      </w:r>
    </w:p>
    <w:p w14:paraId="1BAE96C1" w14:textId="43FA991F"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iCs/>
          <w:sz w:val="24"/>
          <w:szCs w:val="24"/>
        </w:rPr>
        <w:t>T</w:t>
      </w:r>
      <w:r w:rsidRPr="005E1FEF">
        <w:rPr>
          <w:rFonts w:ascii="Times New Roman" w:hAnsi="Times New Roman" w:cs="Times New Roman"/>
          <w:sz w:val="24"/>
          <w:szCs w:val="24"/>
        </w:rPr>
        <w:t xml:space="preserve">he </w:t>
      </w:r>
      <w:r w:rsidR="00996282">
        <w:rPr>
          <w:rFonts w:ascii="Times New Roman" w:hAnsi="Times New Roman" w:cs="Times New Roman"/>
          <w:sz w:val="24"/>
          <w:szCs w:val="24"/>
        </w:rPr>
        <w:t>l</w:t>
      </w:r>
      <w:r w:rsidRPr="005E1FEF">
        <w:rPr>
          <w:rFonts w:ascii="Times New Roman" w:hAnsi="Times New Roman" w:cs="Times New Roman"/>
          <w:sz w:val="24"/>
          <w:szCs w:val="24"/>
        </w:rPr>
        <w:t xml:space="preserve">aw on international restrictive measures remains to be amended to bring it in line with European standards on prevention of terrorism financing. The </w:t>
      </w:r>
      <w:r w:rsidR="008E399E">
        <w:rPr>
          <w:rFonts w:ascii="Times New Roman" w:hAnsi="Times New Roman" w:cs="Times New Roman"/>
          <w:sz w:val="24"/>
          <w:szCs w:val="24"/>
        </w:rPr>
        <w:t>l</w:t>
      </w:r>
      <w:r w:rsidRPr="005E1FEF">
        <w:rPr>
          <w:rFonts w:ascii="Times New Roman" w:hAnsi="Times New Roman" w:cs="Times New Roman"/>
          <w:sz w:val="24"/>
          <w:szCs w:val="24"/>
        </w:rPr>
        <w:t xml:space="preserve">aw on critical infrastructure was adopted in October 2019, but needs to be complemented by </w:t>
      </w:r>
      <w:r w:rsidR="00996282">
        <w:rPr>
          <w:rFonts w:ascii="Times New Roman" w:hAnsi="Times New Roman" w:cs="Times New Roman"/>
          <w:sz w:val="24"/>
          <w:szCs w:val="24"/>
        </w:rPr>
        <w:t>secondary legislation</w:t>
      </w:r>
      <w:r w:rsidRPr="005E1FEF">
        <w:rPr>
          <w:rFonts w:ascii="Times New Roman" w:hAnsi="Times New Roman" w:cs="Times New Roman"/>
          <w:sz w:val="24"/>
          <w:szCs w:val="24"/>
        </w:rPr>
        <w:t xml:space="preserve"> identifying the list of infrastructures considered as critical for the state security. The strategy for the suppression of violent extremism</w:t>
      </w:r>
      <w:r w:rsidR="008531D3">
        <w:rPr>
          <w:rFonts w:ascii="Times New Roman" w:hAnsi="Times New Roman" w:cs="Times New Roman"/>
          <w:sz w:val="24"/>
          <w:szCs w:val="24"/>
        </w:rPr>
        <w:t xml:space="preserve"> </w:t>
      </w:r>
      <w:r w:rsidR="008531D3" w:rsidRPr="008531D3">
        <w:rPr>
          <w:rFonts w:ascii="Times New Roman" w:hAnsi="Times New Roman" w:cs="Times New Roman"/>
          <w:sz w:val="24"/>
          <w:szCs w:val="24"/>
        </w:rPr>
        <w:t>and a related action plan were</w:t>
      </w:r>
      <w:r w:rsidRPr="005E1FEF">
        <w:rPr>
          <w:rFonts w:ascii="Times New Roman" w:hAnsi="Times New Roman" w:cs="Times New Roman"/>
          <w:sz w:val="24"/>
          <w:szCs w:val="24"/>
        </w:rPr>
        <w:t xml:space="preserve"> adopted in February 2020. Montenegro has yet to adopt the strategy for the prevention and suppression of terrorism, money laundering and terrorism, which expired in 2018. </w:t>
      </w:r>
    </w:p>
    <w:p w14:paraId="13DA3CD6" w14:textId="7FD11406" w:rsidR="005E1FEF"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The threats of terrorism and violent extremism remained relatively low in the country. In May 2019, a multi-disciplinary mechanism was established, consisting of representatives of Ministries of Labour, Health, Education, Social Welfare, Interior, police, local authorities, and NGOs, to follow up on individual cases where there is a risk of radicalisation leading to violent extremism and terrorism and to propose adequate responses. A hotline to report on risks of violent extremism was set up. Prison staff have been trained on prevention work. A risk assessment for the identification of radicalised prisoners and those that are at risk of radicalisation has been drafted. </w:t>
      </w:r>
      <w:r w:rsidR="00461A67">
        <w:rPr>
          <w:rFonts w:ascii="Times New Roman" w:hAnsi="Times New Roman" w:cs="Times New Roman"/>
          <w:sz w:val="24"/>
          <w:szCs w:val="24"/>
        </w:rPr>
        <w:t>Resources</w:t>
      </w:r>
      <w:r w:rsidR="00461A67" w:rsidRPr="005E1FEF">
        <w:rPr>
          <w:rFonts w:ascii="Times New Roman" w:hAnsi="Times New Roman" w:cs="Times New Roman"/>
          <w:sz w:val="24"/>
          <w:szCs w:val="24"/>
        </w:rPr>
        <w:t xml:space="preserve"> </w:t>
      </w:r>
      <w:r w:rsidRPr="005E1FEF">
        <w:rPr>
          <w:rFonts w:ascii="Times New Roman" w:hAnsi="Times New Roman" w:cs="Times New Roman"/>
          <w:sz w:val="24"/>
          <w:szCs w:val="24"/>
        </w:rPr>
        <w:t>for religious counselling of prisoners were put in place.</w:t>
      </w:r>
    </w:p>
    <w:p w14:paraId="365CA599" w14:textId="77777777" w:rsidR="005F3749" w:rsidRPr="005E1FEF" w:rsidRDefault="005E1FEF" w:rsidP="005E1FEF">
      <w:pPr>
        <w:spacing w:after="120" w:line="240" w:lineRule="auto"/>
        <w:jc w:val="both"/>
        <w:rPr>
          <w:rFonts w:ascii="Times New Roman" w:hAnsi="Times New Roman" w:cs="Times New Roman"/>
          <w:sz w:val="24"/>
          <w:szCs w:val="24"/>
        </w:rPr>
      </w:pPr>
      <w:r w:rsidRPr="005E1FEF">
        <w:rPr>
          <w:rFonts w:ascii="Times New Roman" w:hAnsi="Times New Roman" w:cs="Times New Roman"/>
          <w:sz w:val="24"/>
          <w:szCs w:val="24"/>
        </w:rPr>
        <w:t xml:space="preserve">Montenegro continued to cooperate closely with Interpol and Europol and to contribute to the Terrorism Risk Assessment and Analysis for the Western Balkans. Montenegro is actively participating in the implementation of the Western Balkan Counter Terrorism Initiative (WBCTi). Cooperation with the Europol Internet Referral Unit (IRU) for dealing with terrorist content online has started. </w:t>
      </w:r>
    </w:p>
    <w:sectPr w:rsidR="005F3749" w:rsidRPr="005E1FE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581A7" w14:textId="77777777" w:rsidR="005F3749" w:rsidRDefault="005F3749" w:rsidP="00995366">
      <w:pPr>
        <w:spacing w:after="0" w:line="240" w:lineRule="auto"/>
      </w:pPr>
      <w:r>
        <w:separator/>
      </w:r>
    </w:p>
  </w:endnote>
  <w:endnote w:type="continuationSeparator" w:id="0">
    <w:p w14:paraId="6E419479" w14:textId="77777777" w:rsidR="005F3749" w:rsidRDefault="005F3749" w:rsidP="0099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733B9" w14:textId="77777777" w:rsidR="00B10615" w:rsidRDefault="00B10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044409008"/>
      <w:docPartObj>
        <w:docPartGallery w:val="Page Numbers (Bottom of Page)"/>
        <w:docPartUnique/>
      </w:docPartObj>
    </w:sdtPr>
    <w:sdtEndPr>
      <w:rPr>
        <w:noProof/>
      </w:rPr>
    </w:sdtEndPr>
    <w:sdtContent>
      <w:p w14:paraId="0FF3F96B" w14:textId="553B0B29" w:rsidR="00B10615" w:rsidRPr="005233EE" w:rsidRDefault="00B10615">
        <w:pPr>
          <w:pStyle w:val="Footer"/>
          <w:jc w:val="center"/>
          <w:rPr>
            <w:rFonts w:ascii="Times New Roman" w:hAnsi="Times New Roman" w:cs="Times New Roman"/>
          </w:rPr>
        </w:pPr>
        <w:r w:rsidRPr="005233EE">
          <w:rPr>
            <w:rFonts w:ascii="Times New Roman" w:hAnsi="Times New Roman" w:cs="Times New Roman"/>
          </w:rPr>
          <w:fldChar w:fldCharType="begin"/>
        </w:r>
        <w:r w:rsidRPr="005233EE">
          <w:rPr>
            <w:rFonts w:ascii="Times New Roman" w:hAnsi="Times New Roman" w:cs="Times New Roman"/>
          </w:rPr>
          <w:instrText xml:space="preserve"> PAGE   \* MERGEFORMAT </w:instrText>
        </w:r>
        <w:r w:rsidRPr="005233EE">
          <w:rPr>
            <w:rFonts w:ascii="Times New Roman" w:hAnsi="Times New Roman" w:cs="Times New Roman"/>
          </w:rPr>
          <w:fldChar w:fldCharType="separate"/>
        </w:r>
        <w:r w:rsidR="004504FF">
          <w:rPr>
            <w:rFonts w:ascii="Times New Roman" w:hAnsi="Times New Roman" w:cs="Times New Roman"/>
            <w:noProof/>
          </w:rPr>
          <w:t>1</w:t>
        </w:r>
        <w:r w:rsidRPr="005233EE">
          <w:rPr>
            <w:rFonts w:ascii="Times New Roman" w:hAnsi="Times New Roman" w:cs="Times New Roman"/>
            <w:noProof/>
          </w:rPr>
          <w:fldChar w:fldCharType="end"/>
        </w:r>
      </w:p>
    </w:sdtContent>
  </w:sdt>
  <w:p w14:paraId="049F3039" w14:textId="77777777" w:rsidR="00B10615" w:rsidRDefault="00B106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92D19" w14:textId="77777777" w:rsidR="00B10615" w:rsidRDefault="00B10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939C8" w14:textId="77777777" w:rsidR="005F3749" w:rsidRDefault="005F3749" w:rsidP="00995366">
      <w:pPr>
        <w:spacing w:after="0" w:line="240" w:lineRule="auto"/>
      </w:pPr>
      <w:r>
        <w:separator/>
      </w:r>
    </w:p>
  </w:footnote>
  <w:footnote w:type="continuationSeparator" w:id="0">
    <w:p w14:paraId="08FEE0BB" w14:textId="77777777" w:rsidR="005F3749" w:rsidRDefault="005F3749" w:rsidP="00995366">
      <w:pPr>
        <w:spacing w:after="0" w:line="240" w:lineRule="auto"/>
      </w:pPr>
      <w:r>
        <w:continuationSeparator/>
      </w:r>
    </w:p>
  </w:footnote>
  <w:footnote w:id="1">
    <w:p w14:paraId="20C294E4" w14:textId="77777777" w:rsidR="005F3749" w:rsidRPr="00063187" w:rsidRDefault="005F3749" w:rsidP="00995366">
      <w:pPr>
        <w:pStyle w:val="FootnoteText"/>
        <w:jc w:val="both"/>
        <w:rPr>
          <w:rFonts w:ascii="Times New Roman" w:hAnsi="Times New Roman"/>
        </w:rPr>
      </w:pPr>
      <w:r w:rsidRPr="00063187">
        <w:rPr>
          <w:rFonts w:ascii="Times New Roman" w:hAnsi="Times New Roman"/>
        </w:rPr>
        <w:t>* This designation is without prejudice to positions on status, and is in line with UNSCR 1244/1999 and the ICJ Opinion on the Kosovo declaration of independence.</w:t>
      </w:r>
    </w:p>
  </w:footnote>
  <w:footnote w:id="2">
    <w:p w14:paraId="63D6BE7A" w14:textId="77777777" w:rsidR="005F3749" w:rsidRPr="00F11D5E" w:rsidRDefault="005F3749" w:rsidP="00995366">
      <w:pPr>
        <w:pStyle w:val="FootnoteText"/>
        <w:rPr>
          <w:rFonts w:ascii="Times New Roman" w:hAnsi="Times New Roman"/>
        </w:rPr>
      </w:pPr>
      <w:r w:rsidRPr="00DE1BC2">
        <w:rPr>
          <w:rStyle w:val="FootnoteReference"/>
          <w:rFonts w:ascii="Times New Roman" w:hAnsi="Times New Roman"/>
        </w:rPr>
        <w:footnoteRef/>
      </w:r>
      <w:r w:rsidRPr="00DE1BC2">
        <w:rPr>
          <w:rFonts w:ascii="Times New Roman" w:hAnsi="Times New Roman"/>
        </w:rPr>
        <w:t xml:space="preserve"> </w:t>
      </w:r>
      <w:r w:rsidRPr="00DE1BC2">
        <w:rPr>
          <w:rFonts w:ascii="Times New Roman" w:hAnsi="Times New Roman"/>
          <w:iCs/>
        </w:rPr>
        <w:t xml:space="preserve">All these groups are considered under the wider </w:t>
      </w:r>
      <w:r>
        <w:rPr>
          <w:rFonts w:ascii="Times New Roman" w:hAnsi="Times New Roman"/>
          <w:iCs/>
        </w:rPr>
        <w:t>‘</w:t>
      </w:r>
      <w:r w:rsidRPr="00DE1BC2">
        <w:rPr>
          <w:rFonts w:ascii="Times New Roman" w:hAnsi="Times New Roman"/>
          <w:iCs/>
        </w:rPr>
        <w:t>Roma</w:t>
      </w:r>
      <w:r>
        <w:rPr>
          <w:rFonts w:ascii="Times New Roman" w:hAnsi="Times New Roman"/>
          <w:iCs/>
        </w:rPr>
        <w:t>’</w:t>
      </w:r>
      <w:r w:rsidRPr="00DE1BC2">
        <w:rPr>
          <w:rFonts w:ascii="Times New Roman" w:hAnsi="Times New Roman"/>
          <w:iCs/>
        </w:rPr>
        <w:t xml:space="preserve"> umbrella term under the EU framework for </w:t>
      </w:r>
      <w:r>
        <w:rPr>
          <w:rFonts w:ascii="Times New Roman" w:hAnsi="Times New Roman"/>
          <w:iCs/>
        </w:rPr>
        <w:t>n</w:t>
      </w:r>
      <w:r w:rsidRPr="00DE1BC2">
        <w:rPr>
          <w:rFonts w:ascii="Times New Roman" w:hAnsi="Times New Roman"/>
          <w:iCs/>
        </w:rPr>
        <w:t xml:space="preserve">ational Roma </w:t>
      </w:r>
      <w:r>
        <w:rPr>
          <w:rFonts w:ascii="Times New Roman" w:hAnsi="Times New Roman"/>
          <w:iCs/>
        </w:rPr>
        <w:t>i</w:t>
      </w:r>
      <w:r w:rsidRPr="00DE1BC2">
        <w:rPr>
          <w:rFonts w:ascii="Times New Roman" w:hAnsi="Times New Roman"/>
          <w:iCs/>
        </w:rPr>
        <w:t xml:space="preserve">ntegration </w:t>
      </w:r>
      <w:r>
        <w:rPr>
          <w:rFonts w:ascii="Times New Roman" w:hAnsi="Times New Roman"/>
          <w:iCs/>
        </w:rPr>
        <w:t>s</w:t>
      </w:r>
      <w:r w:rsidRPr="00DE1BC2">
        <w:rPr>
          <w:rFonts w:ascii="Times New Roman" w:hAnsi="Times New Roman"/>
          <w:iCs/>
        </w:rPr>
        <w:t>trategies.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106FF" w14:textId="77777777" w:rsidR="00B10615" w:rsidRDefault="00B10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7EC7" w14:textId="77777777" w:rsidR="00B10615" w:rsidRDefault="00B106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82FB8" w14:textId="77777777" w:rsidR="00B10615" w:rsidRDefault="00B106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366"/>
    <w:rsid w:val="000036AB"/>
    <w:rsid w:val="000236C8"/>
    <w:rsid w:val="00065447"/>
    <w:rsid w:val="000A5DF1"/>
    <w:rsid w:val="000E4354"/>
    <w:rsid w:val="000F6DF5"/>
    <w:rsid w:val="000F7A7F"/>
    <w:rsid w:val="0010681C"/>
    <w:rsid w:val="001504CD"/>
    <w:rsid w:val="001872EA"/>
    <w:rsid w:val="001E3E40"/>
    <w:rsid w:val="001E428F"/>
    <w:rsid w:val="00207CBC"/>
    <w:rsid w:val="00251DD0"/>
    <w:rsid w:val="00277F69"/>
    <w:rsid w:val="002877C1"/>
    <w:rsid w:val="0029112D"/>
    <w:rsid w:val="00293328"/>
    <w:rsid w:val="00296DCE"/>
    <w:rsid w:val="002A2220"/>
    <w:rsid w:val="002A6111"/>
    <w:rsid w:val="002C5594"/>
    <w:rsid w:val="00314970"/>
    <w:rsid w:val="00375171"/>
    <w:rsid w:val="003C1C43"/>
    <w:rsid w:val="003C7EB0"/>
    <w:rsid w:val="004241A0"/>
    <w:rsid w:val="0043298B"/>
    <w:rsid w:val="004504FF"/>
    <w:rsid w:val="004557ED"/>
    <w:rsid w:val="00461A67"/>
    <w:rsid w:val="004663D8"/>
    <w:rsid w:val="00497B51"/>
    <w:rsid w:val="004B16F1"/>
    <w:rsid w:val="00500BD5"/>
    <w:rsid w:val="005146B8"/>
    <w:rsid w:val="005233EE"/>
    <w:rsid w:val="005600A8"/>
    <w:rsid w:val="00566485"/>
    <w:rsid w:val="005A58D7"/>
    <w:rsid w:val="005B2FE2"/>
    <w:rsid w:val="005B5C9E"/>
    <w:rsid w:val="005E1FEF"/>
    <w:rsid w:val="005E57A5"/>
    <w:rsid w:val="005F3749"/>
    <w:rsid w:val="00627AF1"/>
    <w:rsid w:val="0065732F"/>
    <w:rsid w:val="00664923"/>
    <w:rsid w:val="00672887"/>
    <w:rsid w:val="00676A72"/>
    <w:rsid w:val="0067799C"/>
    <w:rsid w:val="00687AD9"/>
    <w:rsid w:val="006C731B"/>
    <w:rsid w:val="006D3BEE"/>
    <w:rsid w:val="006D3F53"/>
    <w:rsid w:val="006D50A2"/>
    <w:rsid w:val="006F246B"/>
    <w:rsid w:val="006F3091"/>
    <w:rsid w:val="00701BB2"/>
    <w:rsid w:val="0073065F"/>
    <w:rsid w:val="007358A6"/>
    <w:rsid w:val="0077585A"/>
    <w:rsid w:val="00792A8D"/>
    <w:rsid w:val="00792B05"/>
    <w:rsid w:val="007A140A"/>
    <w:rsid w:val="007A2097"/>
    <w:rsid w:val="007D05C2"/>
    <w:rsid w:val="007D49CA"/>
    <w:rsid w:val="007E3A84"/>
    <w:rsid w:val="007F48D8"/>
    <w:rsid w:val="008531D3"/>
    <w:rsid w:val="00861A9A"/>
    <w:rsid w:val="00863A93"/>
    <w:rsid w:val="008772AD"/>
    <w:rsid w:val="00893AFC"/>
    <w:rsid w:val="008B06BE"/>
    <w:rsid w:val="008D7EF6"/>
    <w:rsid w:val="008E399E"/>
    <w:rsid w:val="00911958"/>
    <w:rsid w:val="009412AF"/>
    <w:rsid w:val="00995366"/>
    <w:rsid w:val="00996282"/>
    <w:rsid w:val="009E7079"/>
    <w:rsid w:val="009F6188"/>
    <w:rsid w:val="00A50FEF"/>
    <w:rsid w:val="00A63429"/>
    <w:rsid w:val="00A720DD"/>
    <w:rsid w:val="00A7387C"/>
    <w:rsid w:val="00A73FB3"/>
    <w:rsid w:val="00A82AAC"/>
    <w:rsid w:val="00A93CFD"/>
    <w:rsid w:val="00AA276F"/>
    <w:rsid w:val="00AB3D12"/>
    <w:rsid w:val="00AF0FC5"/>
    <w:rsid w:val="00B10615"/>
    <w:rsid w:val="00B212FF"/>
    <w:rsid w:val="00B42FFB"/>
    <w:rsid w:val="00B7600A"/>
    <w:rsid w:val="00B86D25"/>
    <w:rsid w:val="00B87485"/>
    <w:rsid w:val="00B90888"/>
    <w:rsid w:val="00B958D8"/>
    <w:rsid w:val="00BA468C"/>
    <w:rsid w:val="00BF6E46"/>
    <w:rsid w:val="00C34024"/>
    <w:rsid w:val="00C40E26"/>
    <w:rsid w:val="00C57FA6"/>
    <w:rsid w:val="00C603FD"/>
    <w:rsid w:val="00C9125F"/>
    <w:rsid w:val="00D31A82"/>
    <w:rsid w:val="00D57B41"/>
    <w:rsid w:val="00D57D15"/>
    <w:rsid w:val="00D6066C"/>
    <w:rsid w:val="00D8440E"/>
    <w:rsid w:val="00E31D46"/>
    <w:rsid w:val="00E601E9"/>
    <w:rsid w:val="00EE6153"/>
    <w:rsid w:val="00F20725"/>
    <w:rsid w:val="00F474A7"/>
    <w:rsid w:val="00F64503"/>
    <w:rsid w:val="00F74958"/>
    <w:rsid w:val="00F80C8C"/>
    <w:rsid w:val="00FB3768"/>
    <w:rsid w:val="00FB4B2F"/>
    <w:rsid w:val="00FC6662"/>
    <w:rsid w:val="00FD0717"/>
    <w:rsid w:val="00FD68B7"/>
    <w:rsid w:val="00FF4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235D"/>
  <w15:chartTrackingRefBased/>
  <w15:docId w15:val="{CB69097E-3604-461D-8F7B-93318BC4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536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95366"/>
    <w:rPr>
      <w:sz w:val="16"/>
      <w:szCs w:val="16"/>
    </w:rPr>
  </w:style>
  <w:style w:type="paragraph" w:styleId="CommentText">
    <w:name w:val="annotation text"/>
    <w:basedOn w:val="Normal"/>
    <w:link w:val="CommentTextChar"/>
    <w:uiPriority w:val="99"/>
    <w:semiHidden/>
    <w:unhideWhenUsed/>
    <w:rsid w:val="00995366"/>
    <w:pPr>
      <w:spacing w:line="240" w:lineRule="auto"/>
    </w:pPr>
    <w:rPr>
      <w:sz w:val="20"/>
      <w:szCs w:val="20"/>
    </w:rPr>
  </w:style>
  <w:style w:type="character" w:customStyle="1" w:styleId="CommentTextChar">
    <w:name w:val="Comment Text Char"/>
    <w:basedOn w:val="DefaultParagraphFont"/>
    <w:link w:val="CommentText"/>
    <w:uiPriority w:val="99"/>
    <w:semiHidden/>
    <w:rsid w:val="00995366"/>
    <w:rPr>
      <w:sz w:val="20"/>
      <w:szCs w:val="20"/>
    </w:rPr>
  </w:style>
  <w:style w:type="paragraph" w:styleId="BalloonText">
    <w:name w:val="Balloon Text"/>
    <w:basedOn w:val="Normal"/>
    <w:link w:val="BalloonTextChar"/>
    <w:uiPriority w:val="99"/>
    <w:semiHidden/>
    <w:unhideWhenUsed/>
    <w:rsid w:val="00995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366"/>
    <w:rPr>
      <w:rFonts w:ascii="Segoe UI" w:hAnsi="Segoe UI" w:cs="Segoe UI"/>
      <w:sz w:val="18"/>
      <w:szCs w:val="18"/>
    </w:rPr>
  </w:style>
  <w:style w:type="character" w:customStyle="1" w:styleId="FootnoteTextChar">
    <w:name w:val="Footnote Text Char"/>
    <w:aliases w:val="single space Char,footnote text Char,Footnote Text Char Char Char1,Footnote Text Char Char Char Char,FOOTNOTES Char,fn Char,Tekst przypisu Char1,Tekst przypisu Char Char,Footnote Text Char1 Char Char,Footnote Text Char Char1 Char"/>
    <w:basedOn w:val="DefaultParagraphFont"/>
    <w:link w:val="FootnoteText"/>
    <w:uiPriority w:val="99"/>
    <w:qFormat/>
    <w:locked/>
    <w:rsid w:val="00995366"/>
    <w:rPr>
      <w:rFonts w:ascii="Calibri" w:eastAsia="Calibri" w:hAnsi="Calibri" w:cs="Times New Roman"/>
      <w:sz w:val="20"/>
      <w:szCs w:val="20"/>
    </w:rPr>
  </w:style>
  <w:style w:type="paragraph" w:styleId="FootnoteText">
    <w:name w:val="footnote text"/>
    <w:aliases w:val="single space,footnote text,Footnote Text Char Char,Footnote Text Char Char Char,FOOTNOTES,fn,Tekst przypisu,Tekst przypisu Char,Footnote Text Char1 Char,Footnote Text Char1 Char Char Char Char,Footnote Text Char Char1,~FootnoteText,ft,f"/>
    <w:basedOn w:val="Normal"/>
    <w:link w:val="FootnoteTextChar"/>
    <w:uiPriority w:val="99"/>
    <w:unhideWhenUsed/>
    <w:rsid w:val="00995366"/>
    <w:rPr>
      <w:rFonts w:ascii="Calibri" w:eastAsia="Calibri" w:hAnsi="Calibri" w:cs="Times New Roman"/>
      <w:sz w:val="20"/>
      <w:szCs w:val="20"/>
    </w:rPr>
  </w:style>
  <w:style w:type="character" w:customStyle="1" w:styleId="FootnoteTextChar1">
    <w:name w:val="Footnote Text Char1"/>
    <w:basedOn w:val="DefaultParagraphFont"/>
    <w:uiPriority w:val="99"/>
    <w:semiHidden/>
    <w:rsid w:val="00995366"/>
    <w:rPr>
      <w:sz w:val="20"/>
      <w:szCs w:val="20"/>
    </w:rPr>
  </w:style>
  <w:style w:type="character" w:styleId="FootnoteReference">
    <w:name w:val="footnote reference"/>
    <w:aliases w:val="ftref,Footnote text,Ref. de nota al pie1,BVI fnr,16 Point,Superscript 6 Point,Footnote Reference Number,Footnote Reference_LVL6,Footnote Reference_LVL61,Footnote Reference_LVL62,Footnote Reference_LVL63,Footnote Reference_LVL64,fr"/>
    <w:basedOn w:val="DefaultParagraphFont"/>
    <w:link w:val="BVIfnrChar1CharCharChar"/>
    <w:uiPriority w:val="99"/>
    <w:unhideWhenUsed/>
    <w:qFormat/>
    <w:rsid w:val="00995366"/>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qFormat/>
    <w:rsid w:val="00995366"/>
    <w:pPr>
      <w:spacing w:after="160" w:line="240" w:lineRule="exact"/>
    </w:pPr>
    <w:rPr>
      <w:vertAlign w:val="superscript"/>
    </w:rPr>
  </w:style>
  <w:style w:type="paragraph" w:styleId="CommentSubject">
    <w:name w:val="annotation subject"/>
    <w:basedOn w:val="CommentText"/>
    <w:next w:val="CommentText"/>
    <w:link w:val="CommentSubjectChar"/>
    <w:uiPriority w:val="99"/>
    <w:semiHidden/>
    <w:unhideWhenUsed/>
    <w:rsid w:val="000F7A7F"/>
    <w:rPr>
      <w:b/>
      <w:bCs/>
    </w:rPr>
  </w:style>
  <w:style w:type="character" w:customStyle="1" w:styleId="CommentSubjectChar">
    <w:name w:val="Comment Subject Char"/>
    <w:basedOn w:val="CommentTextChar"/>
    <w:link w:val="CommentSubject"/>
    <w:uiPriority w:val="99"/>
    <w:semiHidden/>
    <w:rsid w:val="000F7A7F"/>
    <w:rPr>
      <w:b/>
      <w:bCs/>
      <w:sz w:val="20"/>
      <w:szCs w:val="20"/>
    </w:rPr>
  </w:style>
  <w:style w:type="paragraph" w:styleId="Header">
    <w:name w:val="header"/>
    <w:basedOn w:val="Normal"/>
    <w:link w:val="HeaderChar"/>
    <w:uiPriority w:val="99"/>
    <w:unhideWhenUsed/>
    <w:rsid w:val="00B10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615"/>
  </w:style>
  <w:style w:type="paragraph" w:styleId="Footer">
    <w:name w:val="footer"/>
    <w:basedOn w:val="Normal"/>
    <w:link w:val="FooterChar"/>
    <w:uiPriority w:val="99"/>
    <w:unhideWhenUsed/>
    <w:rsid w:val="00B10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7188">
      <w:bodyDiv w:val="1"/>
      <w:marLeft w:val="0"/>
      <w:marRight w:val="0"/>
      <w:marTop w:val="0"/>
      <w:marBottom w:val="0"/>
      <w:divBdr>
        <w:top w:val="none" w:sz="0" w:space="0" w:color="auto"/>
        <w:left w:val="none" w:sz="0" w:space="0" w:color="auto"/>
        <w:bottom w:val="none" w:sz="0" w:space="0" w:color="auto"/>
        <w:right w:val="none" w:sz="0" w:space="0" w:color="auto"/>
      </w:divBdr>
    </w:div>
    <w:div w:id="113212749">
      <w:bodyDiv w:val="1"/>
      <w:marLeft w:val="0"/>
      <w:marRight w:val="0"/>
      <w:marTop w:val="0"/>
      <w:marBottom w:val="0"/>
      <w:divBdr>
        <w:top w:val="none" w:sz="0" w:space="0" w:color="auto"/>
        <w:left w:val="none" w:sz="0" w:space="0" w:color="auto"/>
        <w:bottom w:val="none" w:sz="0" w:space="0" w:color="auto"/>
        <w:right w:val="none" w:sz="0" w:space="0" w:color="auto"/>
      </w:divBdr>
    </w:div>
    <w:div w:id="450174087">
      <w:bodyDiv w:val="1"/>
      <w:marLeft w:val="0"/>
      <w:marRight w:val="0"/>
      <w:marTop w:val="0"/>
      <w:marBottom w:val="0"/>
      <w:divBdr>
        <w:top w:val="none" w:sz="0" w:space="0" w:color="auto"/>
        <w:left w:val="none" w:sz="0" w:space="0" w:color="auto"/>
        <w:bottom w:val="none" w:sz="0" w:space="0" w:color="auto"/>
        <w:right w:val="none" w:sz="0" w:space="0" w:color="auto"/>
      </w:divBdr>
    </w:div>
    <w:div w:id="676930125">
      <w:bodyDiv w:val="1"/>
      <w:marLeft w:val="0"/>
      <w:marRight w:val="0"/>
      <w:marTop w:val="0"/>
      <w:marBottom w:val="0"/>
      <w:divBdr>
        <w:top w:val="none" w:sz="0" w:space="0" w:color="auto"/>
        <w:left w:val="none" w:sz="0" w:space="0" w:color="auto"/>
        <w:bottom w:val="none" w:sz="0" w:space="0" w:color="auto"/>
        <w:right w:val="none" w:sz="0" w:space="0" w:color="auto"/>
      </w:divBdr>
    </w:div>
    <w:div w:id="759563912">
      <w:bodyDiv w:val="1"/>
      <w:marLeft w:val="0"/>
      <w:marRight w:val="0"/>
      <w:marTop w:val="0"/>
      <w:marBottom w:val="0"/>
      <w:divBdr>
        <w:top w:val="none" w:sz="0" w:space="0" w:color="auto"/>
        <w:left w:val="none" w:sz="0" w:space="0" w:color="auto"/>
        <w:bottom w:val="none" w:sz="0" w:space="0" w:color="auto"/>
        <w:right w:val="none" w:sz="0" w:space="0" w:color="auto"/>
      </w:divBdr>
    </w:div>
    <w:div w:id="984239883">
      <w:bodyDiv w:val="1"/>
      <w:marLeft w:val="0"/>
      <w:marRight w:val="0"/>
      <w:marTop w:val="0"/>
      <w:marBottom w:val="0"/>
      <w:divBdr>
        <w:top w:val="none" w:sz="0" w:space="0" w:color="auto"/>
        <w:left w:val="none" w:sz="0" w:space="0" w:color="auto"/>
        <w:bottom w:val="none" w:sz="0" w:space="0" w:color="auto"/>
        <w:right w:val="none" w:sz="0" w:space="0" w:color="auto"/>
      </w:divBdr>
    </w:div>
    <w:div w:id="1139298660">
      <w:bodyDiv w:val="1"/>
      <w:marLeft w:val="0"/>
      <w:marRight w:val="0"/>
      <w:marTop w:val="0"/>
      <w:marBottom w:val="0"/>
      <w:divBdr>
        <w:top w:val="none" w:sz="0" w:space="0" w:color="auto"/>
        <w:left w:val="none" w:sz="0" w:space="0" w:color="auto"/>
        <w:bottom w:val="none" w:sz="0" w:space="0" w:color="auto"/>
        <w:right w:val="none" w:sz="0" w:space="0" w:color="auto"/>
      </w:divBdr>
    </w:div>
    <w:div w:id="1139690622">
      <w:bodyDiv w:val="1"/>
      <w:marLeft w:val="0"/>
      <w:marRight w:val="0"/>
      <w:marTop w:val="0"/>
      <w:marBottom w:val="0"/>
      <w:divBdr>
        <w:top w:val="none" w:sz="0" w:space="0" w:color="auto"/>
        <w:left w:val="none" w:sz="0" w:space="0" w:color="auto"/>
        <w:bottom w:val="none" w:sz="0" w:space="0" w:color="auto"/>
        <w:right w:val="none" w:sz="0" w:space="0" w:color="auto"/>
      </w:divBdr>
    </w:div>
    <w:div w:id="1164322535">
      <w:bodyDiv w:val="1"/>
      <w:marLeft w:val="0"/>
      <w:marRight w:val="0"/>
      <w:marTop w:val="0"/>
      <w:marBottom w:val="0"/>
      <w:divBdr>
        <w:top w:val="none" w:sz="0" w:space="0" w:color="auto"/>
        <w:left w:val="none" w:sz="0" w:space="0" w:color="auto"/>
        <w:bottom w:val="none" w:sz="0" w:space="0" w:color="auto"/>
        <w:right w:val="none" w:sz="0" w:space="0" w:color="auto"/>
      </w:divBdr>
    </w:div>
    <w:div w:id="160210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0E964-0341-47EC-85A2-9C6AB9BEF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11531</Words>
  <Characters>64234</Characters>
  <Application>Microsoft Office Word</Application>
  <DocSecurity>0</DocSecurity>
  <Lines>917</Lines>
  <Paragraphs>165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SMRKOLJ Maja (NEAR)</dc:creator>
  <cp:keywords/>
  <dc:description/>
  <cp:lastModifiedBy>HORVATH Szabolcs (CAB-VARHELYI)</cp:lastModifiedBy>
  <cp:revision>2</cp:revision>
  <dcterms:created xsi:type="dcterms:W3CDTF">2020-06-05T19:50:00Z</dcterms:created>
  <dcterms:modified xsi:type="dcterms:W3CDTF">2020-06-05T19:50:00Z</dcterms:modified>
</cp:coreProperties>
</file>