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736736" w:rsidRDefault="00AB3B59" w:rsidP="00E12042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42457" w:rsidRPr="00736736" w:rsidRDefault="00342457" w:rsidP="00E12042">
      <w:pPr>
        <w:pStyle w:val="NoSpacing"/>
        <w:rPr>
          <w:rFonts w:ascii="Arial" w:hAnsi="Arial" w:cs="Arial"/>
          <w:sz w:val="22"/>
        </w:rPr>
      </w:pPr>
    </w:p>
    <w:p w:rsidR="00342457" w:rsidRPr="00736736" w:rsidRDefault="00342457" w:rsidP="00E12042">
      <w:pPr>
        <w:pStyle w:val="NoSpacing"/>
        <w:rPr>
          <w:rFonts w:ascii="Arial" w:hAnsi="Arial" w:cs="Arial"/>
          <w:sz w:val="22"/>
        </w:rPr>
      </w:pPr>
    </w:p>
    <w:p w:rsidR="00736736" w:rsidRDefault="00736736" w:rsidP="00E12042">
      <w:pPr>
        <w:pStyle w:val="NoSpacing"/>
        <w:rPr>
          <w:rFonts w:ascii="Arial" w:hAnsi="Arial" w:cs="Arial"/>
          <w:sz w:val="22"/>
        </w:rPr>
      </w:pPr>
    </w:p>
    <w:p w:rsidR="00A33B3F" w:rsidRPr="000671D1" w:rsidRDefault="00A33B3F" w:rsidP="00AB3B59">
      <w:pPr>
        <w:spacing w:before="0" w:after="0" w:line="240" w:lineRule="auto"/>
        <w:jc w:val="left"/>
        <w:rPr>
          <w:rFonts w:ascii="Arial" w:eastAsia="Calibri" w:hAnsi="Arial" w:cs="Arial"/>
          <w:sz w:val="22"/>
        </w:rPr>
      </w:pPr>
      <w:r w:rsidRPr="000671D1">
        <w:rPr>
          <w:rFonts w:ascii="Arial" w:eastAsia="Calibri" w:hAnsi="Arial" w:cs="Arial"/>
          <w:sz w:val="22"/>
        </w:rPr>
        <w:t>Broj:</w:t>
      </w:r>
      <w:r w:rsidR="00AB3B59">
        <w:rPr>
          <w:rFonts w:ascii="Arial" w:eastAsia="Calibri" w:hAnsi="Arial" w:cs="Arial"/>
          <w:sz w:val="22"/>
        </w:rPr>
        <w:t>01-03-402/22-914</w:t>
      </w:r>
      <w:r w:rsidR="00224352">
        <w:rPr>
          <w:rFonts w:ascii="Arial" w:eastAsia="Calibri" w:hAnsi="Arial" w:cs="Arial"/>
          <w:sz w:val="22"/>
        </w:rPr>
        <w:t>/2</w:t>
      </w:r>
      <w:r w:rsidRPr="000671D1">
        <w:rPr>
          <w:rFonts w:ascii="Arial" w:eastAsia="Calibri" w:hAnsi="Arial" w:cs="Arial"/>
          <w:sz w:val="22"/>
        </w:rPr>
        <w:t xml:space="preserve">                                                            </w:t>
      </w:r>
      <w:r w:rsidR="00AB3B59">
        <w:rPr>
          <w:rFonts w:ascii="Arial" w:eastAsia="Calibri" w:hAnsi="Arial" w:cs="Arial"/>
          <w:sz w:val="22"/>
        </w:rPr>
        <w:t xml:space="preserve">                                                                                            </w:t>
      </w:r>
      <w:r w:rsidR="00B502B4">
        <w:rPr>
          <w:rFonts w:ascii="Arial" w:eastAsia="Calibri" w:hAnsi="Arial" w:cs="Arial"/>
          <w:sz w:val="22"/>
        </w:rPr>
        <w:t xml:space="preserve"> </w:t>
      </w:r>
      <w:r w:rsidR="009D30D4">
        <w:rPr>
          <w:rFonts w:ascii="Arial" w:eastAsia="Calibri" w:hAnsi="Arial" w:cs="Arial"/>
          <w:sz w:val="22"/>
        </w:rPr>
        <w:t>21</w:t>
      </w:r>
      <w:r w:rsidRPr="000671D1">
        <w:rPr>
          <w:rFonts w:ascii="Arial" w:eastAsia="Calibri" w:hAnsi="Arial" w:cs="Arial"/>
          <w:sz w:val="22"/>
        </w:rPr>
        <w:t>.</w:t>
      </w:r>
      <w:r w:rsidR="00AB3B59">
        <w:rPr>
          <w:rFonts w:ascii="Arial" w:eastAsia="Calibri" w:hAnsi="Arial" w:cs="Arial"/>
          <w:sz w:val="22"/>
        </w:rPr>
        <w:t xml:space="preserve"> avgust</w:t>
      </w:r>
      <w:r w:rsidRPr="000671D1">
        <w:rPr>
          <w:rFonts w:ascii="Arial" w:eastAsia="Calibri" w:hAnsi="Arial" w:cs="Arial"/>
          <w:sz w:val="22"/>
        </w:rPr>
        <w:t xml:space="preserve"> 202</w:t>
      </w:r>
      <w:r w:rsidR="009D30D4">
        <w:rPr>
          <w:rFonts w:ascii="Arial" w:eastAsia="Calibri" w:hAnsi="Arial" w:cs="Arial"/>
          <w:sz w:val="22"/>
        </w:rPr>
        <w:t>3</w:t>
      </w:r>
      <w:r w:rsidRPr="000671D1">
        <w:rPr>
          <w:rFonts w:ascii="Arial" w:eastAsia="Calibri" w:hAnsi="Arial" w:cs="Arial"/>
          <w:sz w:val="22"/>
        </w:rPr>
        <w:t>.</w:t>
      </w:r>
      <w:r w:rsidR="009D30D4">
        <w:rPr>
          <w:rFonts w:ascii="Arial" w:eastAsia="Calibri" w:hAnsi="Arial" w:cs="Arial"/>
          <w:sz w:val="22"/>
        </w:rPr>
        <w:t xml:space="preserve"> </w:t>
      </w:r>
      <w:r w:rsidR="00AB3B59">
        <w:rPr>
          <w:rFonts w:ascii="Arial" w:eastAsia="Calibri" w:hAnsi="Arial" w:cs="Arial"/>
          <w:sz w:val="22"/>
        </w:rPr>
        <w:t>godine</w:t>
      </w:r>
      <w:r w:rsidRPr="000671D1">
        <w:rPr>
          <w:rFonts w:ascii="Arial" w:eastAsia="Calibri" w:hAnsi="Arial" w:cs="Arial"/>
          <w:sz w:val="22"/>
        </w:rPr>
        <w:t xml:space="preserve"> </w:t>
      </w:r>
    </w:p>
    <w:p w:rsidR="00A33B3F" w:rsidRPr="000671D1" w:rsidRDefault="00A33B3F" w:rsidP="00AB3B59">
      <w:pPr>
        <w:spacing w:before="0" w:after="0" w:line="240" w:lineRule="auto"/>
        <w:jc w:val="left"/>
        <w:rPr>
          <w:rFonts w:ascii="Arial" w:eastAsia="Calibri" w:hAnsi="Arial" w:cs="Arial"/>
          <w:sz w:val="22"/>
        </w:rPr>
      </w:pPr>
    </w:p>
    <w:p w:rsidR="00A33B3F" w:rsidRPr="000671D1" w:rsidRDefault="00A33B3F" w:rsidP="00A33B3F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</w:p>
    <w:p w:rsidR="00A33B3F" w:rsidRPr="000671D1" w:rsidRDefault="00A33B3F" w:rsidP="00A33B3F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</w:p>
    <w:p w:rsidR="00A33B3F" w:rsidRPr="000671D1" w:rsidRDefault="00A33B3F" w:rsidP="00A33B3F">
      <w:pPr>
        <w:spacing w:before="0" w:after="0" w:line="240" w:lineRule="auto"/>
        <w:jc w:val="center"/>
        <w:rPr>
          <w:rFonts w:ascii="Arial" w:eastAsia="Calibri" w:hAnsi="Arial" w:cs="Arial"/>
          <w:b/>
          <w:szCs w:val="24"/>
        </w:rPr>
      </w:pPr>
    </w:p>
    <w:p w:rsidR="00AB3B59" w:rsidRDefault="00AB3B59" w:rsidP="00A33B3F">
      <w:pPr>
        <w:spacing w:before="0" w:after="0" w:line="240" w:lineRule="auto"/>
        <w:jc w:val="center"/>
        <w:rPr>
          <w:rFonts w:ascii="Arial" w:eastAsia="Calibri" w:hAnsi="Arial" w:cs="Arial"/>
          <w:b/>
          <w:szCs w:val="24"/>
        </w:rPr>
      </w:pPr>
    </w:p>
    <w:p w:rsidR="00AB3B59" w:rsidRDefault="00AB3B59" w:rsidP="00A33B3F">
      <w:pPr>
        <w:spacing w:before="0" w:after="0" w:line="240" w:lineRule="auto"/>
        <w:jc w:val="center"/>
        <w:rPr>
          <w:rFonts w:ascii="Arial" w:eastAsia="Calibri" w:hAnsi="Arial" w:cs="Arial"/>
          <w:b/>
          <w:szCs w:val="24"/>
        </w:rPr>
      </w:pPr>
    </w:p>
    <w:p w:rsidR="00A33B3F" w:rsidRPr="000671D1" w:rsidRDefault="00AB3B59" w:rsidP="00A33B3F">
      <w:pPr>
        <w:spacing w:before="0" w:after="0" w:line="240" w:lineRule="auto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REGISTAR RIZIKA MINISTARSTVA SPORTA I MLADIH</w:t>
      </w:r>
    </w:p>
    <w:p w:rsidR="00A33B3F" w:rsidRPr="000671D1" w:rsidRDefault="00A33B3F" w:rsidP="00A33B3F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  <w:lang w:val="en-US"/>
        </w:rPr>
      </w:pPr>
    </w:p>
    <w:p w:rsidR="00A33B3F" w:rsidRPr="000671D1" w:rsidRDefault="00A33B3F" w:rsidP="00A33B3F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  <w:lang w:val="en-US"/>
        </w:rPr>
      </w:pPr>
    </w:p>
    <w:p w:rsidR="00A33B3F" w:rsidRDefault="00A33B3F" w:rsidP="00A33B3F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  <w:lang w:val="en-US"/>
        </w:rPr>
      </w:pPr>
    </w:p>
    <w:p w:rsidR="00AB3B59" w:rsidRDefault="00AB3B59" w:rsidP="00A33B3F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  <w:lang w:val="en-US"/>
        </w:rPr>
      </w:pPr>
    </w:p>
    <w:p w:rsidR="00AB3B59" w:rsidRDefault="00AB3B59" w:rsidP="00A33B3F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  <w:lang w:val="en-US"/>
        </w:rPr>
      </w:pPr>
    </w:p>
    <w:p w:rsidR="00AB3B59" w:rsidRDefault="00AB3B59" w:rsidP="00A33B3F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  <w:lang w:val="en-US"/>
        </w:rPr>
      </w:pPr>
    </w:p>
    <w:p w:rsidR="00AB3B59" w:rsidRDefault="00AB3B59" w:rsidP="00A33B3F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  <w:lang w:val="en-US"/>
        </w:rPr>
      </w:pPr>
    </w:p>
    <w:p w:rsidR="00AB3B59" w:rsidRDefault="00AB3B59" w:rsidP="00AB3B59">
      <w:pPr>
        <w:spacing w:before="0" w:after="160" w:line="259" w:lineRule="auto"/>
        <w:jc w:val="center"/>
        <w:rPr>
          <w:rFonts w:ascii="Arial" w:eastAsia="Calibri" w:hAnsi="Arial" w:cs="Arial"/>
          <w:sz w:val="22"/>
          <w:lang w:val="en-US"/>
        </w:rPr>
      </w:pPr>
      <w:r>
        <w:rPr>
          <w:rFonts w:ascii="Arial" w:eastAsia="Calibri" w:hAnsi="Arial" w:cs="Arial"/>
          <w:sz w:val="22"/>
          <w:lang w:val="en-US"/>
        </w:rPr>
        <w:t>Podgorica,</w:t>
      </w:r>
    </w:p>
    <w:p w:rsidR="00AB3B59" w:rsidRDefault="00990CD4" w:rsidP="00AB3B59">
      <w:pPr>
        <w:spacing w:before="0" w:after="160" w:line="259" w:lineRule="auto"/>
        <w:jc w:val="center"/>
        <w:rPr>
          <w:rFonts w:ascii="Arial" w:eastAsia="Calibri" w:hAnsi="Arial" w:cs="Arial"/>
          <w:sz w:val="22"/>
          <w:lang w:val="en-US"/>
        </w:rPr>
      </w:pPr>
      <w:proofErr w:type="spellStart"/>
      <w:r>
        <w:rPr>
          <w:rFonts w:ascii="Arial" w:eastAsia="Calibri" w:hAnsi="Arial" w:cs="Arial"/>
          <w:sz w:val="22"/>
          <w:lang w:val="en-US"/>
        </w:rPr>
        <w:t>a</w:t>
      </w:r>
      <w:r w:rsidR="00AB3B59">
        <w:rPr>
          <w:rFonts w:ascii="Arial" w:eastAsia="Calibri" w:hAnsi="Arial" w:cs="Arial"/>
          <w:sz w:val="22"/>
          <w:lang w:val="en-US"/>
        </w:rPr>
        <w:t>vgust</w:t>
      </w:r>
      <w:proofErr w:type="spellEnd"/>
      <w:r w:rsidR="00AB3B59">
        <w:rPr>
          <w:rFonts w:ascii="Arial" w:eastAsia="Calibri" w:hAnsi="Arial" w:cs="Arial"/>
          <w:sz w:val="22"/>
          <w:lang w:val="en-US"/>
        </w:rPr>
        <w:t xml:space="preserve"> 202</w:t>
      </w:r>
      <w:r w:rsidR="009D30D4">
        <w:rPr>
          <w:rFonts w:ascii="Arial" w:eastAsia="Calibri" w:hAnsi="Arial" w:cs="Arial"/>
          <w:sz w:val="22"/>
          <w:lang w:val="en-US"/>
        </w:rPr>
        <w:t>3</w:t>
      </w:r>
      <w:r w:rsidR="00AB3B59">
        <w:rPr>
          <w:rFonts w:ascii="Arial" w:eastAsia="Calibri" w:hAnsi="Arial" w:cs="Arial"/>
          <w:sz w:val="22"/>
          <w:lang w:val="en-US"/>
        </w:rPr>
        <w:t>.godine</w:t>
      </w:r>
    </w:p>
    <w:p w:rsidR="00A53CA4" w:rsidRDefault="00A53CA4" w:rsidP="00AB3B59">
      <w:pPr>
        <w:spacing w:before="0" w:after="160" w:line="259" w:lineRule="auto"/>
        <w:jc w:val="center"/>
        <w:rPr>
          <w:rFonts w:ascii="Arial" w:eastAsia="Calibri" w:hAnsi="Arial" w:cs="Arial"/>
          <w:sz w:val="22"/>
          <w:lang w:val="en-US"/>
        </w:rPr>
      </w:pPr>
    </w:p>
    <w:p w:rsidR="00A53CA4" w:rsidRDefault="00A53CA4" w:rsidP="00AB3B59">
      <w:pPr>
        <w:spacing w:before="0" w:after="160" w:line="259" w:lineRule="auto"/>
        <w:jc w:val="center"/>
        <w:rPr>
          <w:rFonts w:ascii="Arial" w:eastAsia="Calibri" w:hAnsi="Arial" w:cs="Arial"/>
          <w:sz w:val="22"/>
          <w:lang w:val="en-US"/>
        </w:rPr>
      </w:pPr>
    </w:p>
    <w:p w:rsidR="00A53CA4" w:rsidRDefault="00A53CA4" w:rsidP="00AB3B59">
      <w:pPr>
        <w:spacing w:before="0" w:after="160" w:line="259" w:lineRule="auto"/>
        <w:jc w:val="center"/>
        <w:rPr>
          <w:rFonts w:ascii="Arial" w:eastAsia="Calibri" w:hAnsi="Arial" w:cs="Arial"/>
          <w:sz w:val="22"/>
          <w:lang w:val="en-US"/>
        </w:rPr>
      </w:pPr>
    </w:p>
    <w:p w:rsidR="00B04DC1" w:rsidRDefault="00B04DC1" w:rsidP="00AB3B59">
      <w:pPr>
        <w:spacing w:before="0" w:after="160" w:line="259" w:lineRule="auto"/>
        <w:jc w:val="center"/>
        <w:rPr>
          <w:rFonts w:ascii="Arial" w:eastAsia="Calibri" w:hAnsi="Arial" w:cs="Arial"/>
          <w:b/>
          <w:szCs w:val="24"/>
          <w:lang w:val="en-US"/>
        </w:rPr>
      </w:pPr>
    </w:p>
    <w:p w:rsidR="00A53CA4" w:rsidRPr="007331FF" w:rsidRDefault="00A53CA4" w:rsidP="00AB3B59">
      <w:pPr>
        <w:spacing w:before="0" w:after="160" w:line="259" w:lineRule="auto"/>
        <w:jc w:val="center"/>
        <w:rPr>
          <w:rFonts w:ascii="Arial" w:eastAsia="Calibri" w:hAnsi="Arial" w:cs="Arial"/>
          <w:b/>
          <w:szCs w:val="24"/>
          <w:lang w:val="en-US"/>
        </w:rPr>
      </w:pPr>
      <w:r w:rsidRPr="007331FF">
        <w:rPr>
          <w:rFonts w:ascii="Arial" w:eastAsia="Calibri" w:hAnsi="Arial" w:cs="Arial"/>
          <w:b/>
          <w:szCs w:val="24"/>
          <w:lang w:val="en-US"/>
        </w:rPr>
        <w:lastRenderedPageBreak/>
        <w:t>UVOD</w:t>
      </w:r>
    </w:p>
    <w:p w:rsidR="00A53CA4" w:rsidRPr="007331FF" w:rsidRDefault="00A53CA4" w:rsidP="00A53CA4">
      <w:pPr>
        <w:spacing w:before="0" w:after="160" w:line="259" w:lineRule="auto"/>
        <w:jc w:val="left"/>
        <w:rPr>
          <w:rFonts w:ascii="Arial" w:eastAsia="Calibri" w:hAnsi="Arial" w:cs="Arial"/>
          <w:b/>
          <w:szCs w:val="24"/>
          <w:lang w:val="en-US"/>
        </w:rPr>
      </w:pPr>
    </w:p>
    <w:p w:rsidR="00A53CA4" w:rsidRDefault="00A53CA4" w:rsidP="00A53CA4">
      <w:pPr>
        <w:spacing w:before="0" w:after="160" w:line="259" w:lineRule="auto"/>
        <w:jc w:val="left"/>
        <w:rPr>
          <w:rFonts w:ascii="Arial" w:eastAsia="Calibri" w:hAnsi="Arial" w:cs="Arial"/>
          <w:szCs w:val="24"/>
          <w:lang w:val="en-US"/>
        </w:rPr>
      </w:pPr>
      <w:r w:rsidRPr="007331FF">
        <w:rPr>
          <w:rFonts w:ascii="Arial" w:eastAsia="Calibri" w:hAnsi="Arial" w:cs="Arial"/>
          <w:szCs w:val="24"/>
          <w:lang w:val="en-US"/>
        </w:rPr>
        <w:t xml:space="preserve">U </w:t>
      </w:r>
      <w:proofErr w:type="spellStart"/>
      <w:r w:rsidRPr="007331FF">
        <w:rPr>
          <w:rFonts w:ascii="Arial" w:eastAsia="Calibri" w:hAnsi="Arial" w:cs="Arial"/>
          <w:szCs w:val="24"/>
          <w:lang w:val="en-US"/>
        </w:rPr>
        <w:t>skladu</w:t>
      </w:r>
      <w:proofErr w:type="spellEnd"/>
      <w:r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7331FF">
        <w:rPr>
          <w:rFonts w:ascii="Arial" w:eastAsia="Calibri" w:hAnsi="Arial" w:cs="Arial"/>
          <w:szCs w:val="24"/>
          <w:lang w:val="en-US"/>
        </w:rPr>
        <w:t>sa</w:t>
      </w:r>
      <w:proofErr w:type="spellEnd"/>
      <w:r w:rsidRPr="007331FF">
        <w:rPr>
          <w:rFonts w:ascii="Arial" w:eastAsia="Calibri" w:hAnsi="Arial" w:cs="Arial"/>
          <w:szCs w:val="24"/>
        </w:rPr>
        <w:t xml:space="preserve"> članom 14 Zakona o upravljanju i unutrašnjim kontrolama u javnom sektoru (</w:t>
      </w:r>
      <w:r w:rsidRPr="007331FF">
        <w:rPr>
          <w:rFonts w:ascii="Arial" w:eastAsia="Calibri" w:hAnsi="Arial" w:cs="Arial"/>
          <w:szCs w:val="24"/>
          <w:lang w:val="en-US"/>
        </w:rPr>
        <w:t xml:space="preserve">‘’Sl. list CG’’, br. 75/18), </w:t>
      </w:r>
      <w:proofErr w:type="spellStart"/>
      <w:r w:rsidRPr="007331FF">
        <w:rPr>
          <w:rFonts w:ascii="Arial" w:eastAsia="Calibri" w:hAnsi="Arial" w:cs="Arial"/>
          <w:szCs w:val="24"/>
          <w:lang w:val="en-US"/>
        </w:rPr>
        <w:t>kojim</w:t>
      </w:r>
      <w:proofErr w:type="spellEnd"/>
      <w:r w:rsidRPr="007331FF">
        <w:rPr>
          <w:rFonts w:ascii="Arial" w:eastAsia="Calibri" w:hAnsi="Arial" w:cs="Arial"/>
          <w:szCs w:val="24"/>
          <w:lang w:val="en-US"/>
        </w:rPr>
        <w:t xml:space="preserve"> je </w:t>
      </w:r>
      <w:proofErr w:type="spellStart"/>
      <w:r w:rsidRPr="007331FF">
        <w:rPr>
          <w:rFonts w:ascii="Arial" w:eastAsia="Calibri" w:hAnsi="Arial" w:cs="Arial"/>
          <w:szCs w:val="24"/>
          <w:lang w:val="en-US"/>
        </w:rPr>
        <w:t>propisano</w:t>
      </w:r>
      <w:proofErr w:type="spellEnd"/>
      <w:r w:rsidRPr="007331FF">
        <w:rPr>
          <w:rFonts w:ascii="Arial" w:eastAsia="Calibri" w:hAnsi="Arial" w:cs="Arial"/>
          <w:szCs w:val="24"/>
          <w:lang w:val="en-US"/>
        </w:rPr>
        <w:t xml:space="preserve"> da je </w:t>
      </w:r>
      <w:proofErr w:type="spellStart"/>
      <w:r w:rsidRPr="007331FF">
        <w:rPr>
          <w:rFonts w:ascii="Arial" w:eastAsia="Calibri" w:hAnsi="Arial" w:cs="Arial"/>
          <w:szCs w:val="24"/>
          <w:lang w:val="en-US"/>
        </w:rPr>
        <w:t>rukovodilac</w:t>
      </w:r>
      <w:proofErr w:type="spellEnd"/>
      <w:r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7331FF">
        <w:rPr>
          <w:rFonts w:ascii="Arial" w:eastAsia="Calibri" w:hAnsi="Arial" w:cs="Arial"/>
          <w:szCs w:val="24"/>
          <w:lang w:val="en-US"/>
        </w:rPr>
        <w:t>subjekta</w:t>
      </w:r>
      <w:proofErr w:type="spellEnd"/>
      <w:r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Pr="007331FF">
        <w:rPr>
          <w:rFonts w:ascii="Arial" w:eastAsia="Calibri" w:hAnsi="Arial" w:cs="Arial"/>
          <w:szCs w:val="24"/>
          <w:lang w:val="en-US"/>
        </w:rPr>
        <w:t>dužan</w:t>
      </w:r>
      <w:proofErr w:type="spellEnd"/>
      <w:r w:rsidRPr="007331FF">
        <w:rPr>
          <w:rFonts w:ascii="Arial" w:eastAsia="Calibri" w:hAnsi="Arial" w:cs="Arial"/>
          <w:szCs w:val="24"/>
          <w:lang w:val="en-US"/>
        </w:rPr>
        <w:t xml:space="preserve"> da </w:t>
      </w:r>
      <w:proofErr w:type="spellStart"/>
      <w:r w:rsidRPr="007331FF">
        <w:rPr>
          <w:rFonts w:ascii="Arial" w:eastAsia="Calibri" w:hAnsi="Arial" w:cs="Arial"/>
          <w:szCs w:val="24"/>
          <w:lang w:val="en-US"/>
        </w:rPr>
        <w:t>uspostavi</w:t>
      </w:r>
      <w:proofErr w:type="spellEnd"/>
      <w:r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registar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rizika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i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odredi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lice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zaposleno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subjektu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za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koordinaciju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aktivnosti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na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uspostavljanju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procesa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upravljanja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rizicima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donosi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Registar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rizika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Ministarstva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sporta</w:t>
      </w:r>
      <w:proofErr w:type="spellEnd"/>
      <w:r w:rsidR="007331FF" w:rsidRPr="007331FF">
        <w:rPr>
          <w:rFonts w:ascii="Arial" w:eastAsia="Calibri" w:hAnsi="Arial" w:cs="Arial"/>
          <w:szCs w:val="24"/>
          <w:lang w:val="en-US"/>
        </w:rPr>
        <w:t xml:space="preserve"> i </w:t>
      </w:r>
      <w:proofErr w:type="spellStart"/>
      <w:r w:rsidR="007331FF" w:rsidRPr="007331FF">
        <w:rPr>
          <w:rFonts w:ascii="Arial" w:eastAsia="Calibri" w:hAnsi="Arial" w:cs="Arial"/>
          <w:szCs w:val="24"/>
          <w:lang w:val="en-US"/>
        </w:rPr>
        <w:t>mladih</w:t>
      </w:r>
      <w:proofErr w:type="spellEnd"/>
      <w:r w:rsidR="007331FF">
        <w:rPr>
          <w:rFonts w:ascii="Arial" w:eastAsia="Calibri" w:hAnsi="Arial" w:cs="Arial"/>
          <w:szCs w:val="24"/>
          <w:lang w:val="en-US"/>
        </w:rPr>
        <w:t>.</w:t>
      </w:r>
    </w:p>
    <w:p w:rsidR="007331FF" w:rsidRDefault="007331FF" w:rsidP="00A53CA4">
      <w:pPr>
        <w:spacing w:before="0" w:after="160" w:line="259" w:lineRule="auto"/>
        <w:jc w:val="left"/>
        <w:rPr>
          <w:rFonts w:ascii="Arial" w:eastAsia="Calibri" w:hAnsi="Arial" w:cs="Arial"/>
          <w:szCs w:val="24"/>
          <w:lang w:val="en-US"/>
        </w:rPr>
      </w:pPr>
      <w:proofErr w:type="spellStart"/>
      <w:r>
        <w:rPr>
          <w:rFonts w:ascii="Arial" w:eastAsia="Calibri" w:hAnsi="Arial" w:cs="Arial"/>
          <w:szCs w:val="24"/>
          <w:lang w:val="en-US"/>
        </w:rPr>
        <w:t>Upravljanje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szCs w:val="24"/>
          <w:lang w:val="en-US"/>
        </w:rPr>
        <w:t>kontrola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zasnivaju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se </w:t>
      </w:r>
      <w:proofErr w:type="spellStart"/>
      <w:r>
        <w:rPr>
          <w:rFonts w:ascii="Arial" w:eastAsia="Calibri" w:hAnsi="Arial" w:cs="Arial"/>
          <w:szCs w:val="24"/>
          <w:lang w:val="en-US"/>
        </w:rPr>
        <w:t>na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primjeni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sljedećih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elemenata</w:t>
      </w:r>
      <w:proofErr w:type="spellEnd"/>
      <w:r>
        <w:rPr>
          <w:rFonts w:ascii="Arial" w:eastAsia="Calibri" w:hAnsi="Arial" w:cs="Arial"/>
          <w:szCs w:val="24"/>
          <w:lang w:val="en-US"/>
        </w:rPr>
        <w:t>, i to:</w:t>
      </w:r>
    </w:p>
    <w:p w:rsidR="007331FF" w:rsidRDefault="007331FF" w:rsidP="007331FF">
      <w:pPr>
        <w:pStyle w:val="ListParagraph"/>
        <w:numPr>
          <w:ilvl w:val="0"/>
          <w:numId w:val="19"/>
        </w:numPr>
        <w:spacing w:before="0" w:after="160" w:line="259" w:lineRule="auto"/>
        <w:jc w:val="left"/>
        <w:rPr>
          <w:rFonts w:ascii="Arial" w:eastAsia="Calibri" w:hAnsi="Arial" w:cs="Arial"/>
          <w:szCs w:val="24"/>
          <w:lang w:val="en-US"/>
        </w:rPr>
      </w:pPr>
      <w:proofErr w:type="spellStart"/>
      <w:r>
        <w:rPr>
          <w:rFonts w:ascii="Arial" w:eastAsia="Calibri" w:hAnsi="Arial" w:cs="Arial"/>
          <w:szCs w:val="24"/>
          <w:lang w:val="en-US"/>
        </w:rPr>
        <w:t>kontrolnom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okruženju</w:t>
      </w:r>
      <w:proofErr w:type="spellEnd"/>
      <w:r>
        <w:rPr>
          <w:rFonts w:ascii="Arial" w:eastAsia="Calibri" w:hAnsi="Arial" w:cs="Arial"/>
          <w:szCs w:val="24"/>
          <w:lang w:val="en-US"/>
        </w:rPr>
        <w:t>;</w:t>
      </w:r>
    </w:p>
    <w:p w:rsidR="007331FF" w:rsidRDefault="007331FF" w:rsidP="007331FF">
      <w:pPr>
        <w:pStyle w:val="ListParagraph"/>
        <w:numPr>
          <w:ilvl w:val="0"/>
          <w:numId w:val="19"/>
        </w:numPr>
        <w:spacing w:before="0" w:after="160" w:line="259" w:lineRule="auto"/>
        <w:jc w:val="left"/>
        <w:rPr>
          <w:rFonts w:ascii="Arial" w:eastAsia="Calibri" w:hAnsi="Arial" w:cs="Arial"/>
          <w:szCs w:val="24"/>
          <w:lang w:val="en-US"/>
        </w:rPr>
      </w:pPr>
      <w:proofErr w:type="spellStart"/>
      <w:r>
        <w:rPr>
          <w:rFonts w:ascii="Arial" w:eastAsia="Calibri" w:hAnsi="Arial" w:cs="Arial"/>
          <w:szCs w:val="24"/>
          <w:lang w:val="en-US"/>
        </w:rPr>
        <w:t>upravljanju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rizicima</w:t>
      </w:r>
      <w:proofErr w:type="spellEnd"/>
      <w:r>
        <w:rPr>
          <w:rFonts w:ascii="Arial" w:eastAsia="Calibri" w:hAnsi="Arial" w:cs="Arial"/>
          <w:szCs w:val="24"/>
          <w:lang w:val="en-US"/>
        </w:rPr>
        <w:t>;</w:t>
      </w:r>
    </w:p>
    <w:p w:rsidR="007331FF" w:rsidRDefault="007331FF" w:rsidP="007331FF">
      <w:pPr>
        <w:pStyle w:val="ListParagraph"/>
        <w:numPr>
          <w:ilvl w:val="0"/>
          <w:numId w:val="19"/>
        </w:numPr>
        <w:spacing w:before="0" w:after="160" w:line="259" w:lineRule="auto"/>
        <w:jc w:val="left"/>
        <w:rPr>
          <w:rFonts w:ascii="Arial" w:eastAsia="Calibri" w:hAnsi="Arial" w:cs="Arial"/>
          <w:szCs w:val="24"/>
          <w:lang w:val="en-US"/>
        </w:rPr>
      </w:pPr>
      <w:proofErr w:type="spellStart"/>
      <w:r>
        <w:rPr>
          <w:rFonts w:ascii="Arial" w:eastAsia="Calibri" w:hAnsi="Arial" w:cs="Arial"/>
          <w:szCs w:val="24"/>
          <w:lang w:val="en-US"/>
        </w:rPr>
        <w:t>kontrolnim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aktivnostima</w:t>
      </w:r>
      <w:proofErr w:type="spellEnd"/>
      <w:r>
        <w:rPr>
          <w:rFonts w:ascii="Arial" w:eastAsia="Calibri" w:hAnsi="Arial" w:cs="Arial"/>
          <w:szCs w:val="24"/>
          <w:lang w:val="en-US"/>
        </w:rPr>
        <w:t>;</w:t>
      </w:r>
    </w:p>
    <w:p w:rsidR="007331FF" w:rsidRDefault="007331FF" w:rsidP="007331FF">
      <w:pPr>
        <w:pStyle w:val="ListParagraph"/>
        <w:numPr>
          <w:ilvl w:val="0"/>
          <w:numId w:val="19"/>
        </w:numPr>
        <w:spacing w:before="0" w:after="160" w:line="259" w:lineRule="auto"/>
        <w:jc w:val="left"/>
        <w:rPr>
          <w:rFonts w:ascii="Arial" w:eastAsia="Calibri" w:hAnsi="Arial" w:cs="Arial"/>
          <w:szCs w:val="24"/>
          <w:lang w:val="en-US"/>
        </w:rPr>
      </w:pPr>
      <w:proofErr w:type="spellStart"/>
      <w:r>
        <w:rPr>
          <w:rFonts w:ascii="Arial" w:eastAsia="Calibri" w:hAnsi="Arial" w:cs="Arial"/>
          <w:szCs w:val="24"/>
          <w:lang w:val="en-US"/>
        </w:rPr>
        <w:t>sistemu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informacija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szCs w:val="24"/>
          <w:lang w:val="en-US"/>
        </w:rPr>
        <w:t>komunikacija</w:t>
      </w:r>
      <w:proofErr w:type="spellEnd"/>
      <w:r>
        <w:rPr>
          <w:rFonts w:ascii="Arial" w:eastAsia="Calibri" w:hAnsi="Arial" w:cs="Arial"/>
          <w:szCs w:val="24"/>
          <w:lang w:val="en-US"/>
        </w:rPr>
        <w:t>; i</w:t>
      </w:r>
    </w:p>
    <w:p w:rsidR="007331FF" w:rsidRDefault="007331FF" w:rsidP="007331FF">
      <w:pPr>
        <w:pStyle w:val="ListParagraph"/>
        <w:numPr>
          <w:ilvl w:val="0"/>
          <w:numId w:val="19"/>
        </w:numPr>
        <w:spacing w:before="0" w:after="160" w:line="259" w:lineRule="auto"/>
        <w:jc w:val="left"/>
        <w:rPr>
          <w:rFonts w:ascii="Arial" w:eastAsia="Calibri" w:hAnsi="Arial" w:cs="Arial"/>
          <w:szCs w:val="24"/>
          <w:lang w:val="en-US"/>
        </w:rPr>
      </w:pPr>
      <w:proofErr w:type="spellStart"/>
      <w:r>
        <w:rPr>
          <w:rFonts w:ascii="Arial" w:eastAsia="Calibri" w:hAnsi="Arial" w:cs="Arial"/>
          <w:szCs w:val="24"/>
          <w:lang w:val="en-US"/>
        </w:rPr>
        <w:t>praćenju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szCs w:val="24"/>
          <w:lang w:val="en-US"/>
        </w:rPr>
        <w:t>procjeni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sistema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upravljanja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szCs w:val="24"/>
          <w:lang w:val="en-US"/>
        </w:rPr>
        <w:t>kontrola</w:t>
      </w:r>
      <w:proofErr w:type="spellEnd"/>
      <w:r>
        <w:rPr>
          <w:rFonts w:ascii="Arial" w:eastAsia="Calibri" w:hAnsi="Arial" w:cs="Arial"/>
          <w:szCs w:val="24"/>
          <w:lang w:val="en-US"/>
        </w:rPr>
        <w:t>.</w:t>
      </w:r>
    </w:p>
    <w:p w:rsidR="007331FF" w:rsidRDefault="007331FF" w:rsidP="007331FF">
      <w:pPr>
        <w:spacing w:before="0" w:after="160" w:line="259" w:lineRule="auto"/>
        <w:jc w:val="left"/>
        <w:rPr>
          <w:rFonts w:ascii="Arial" w:eastAsia="Calibri" w:hAnsi="Arial" w:cs="Arial"/>
          <w:szCs w:val="24"/>
          <w:lang w:val="en-US"/>
        </w:rPr>
      </w:pPr>
      <w:r>
        <w:rPr>
          <w:rFonts w:ascii="Arial" w:eastAsia="Calibri" w:hAnsi="Arial" w:cs="Arial"/>
          <w:szCs w:val="24"/>
          <w:lang w:val="en-US"/>
        </w:rPr>
        <w:t xml:space="preserve">U </w:t>
      </w:r>
      <w:proofErr w:type="spellStart"/>
      <w:r>
        <w:rPr>
          <w:rFonts w:ascii="Arial" w:eastAsia="Calibri" w:hAnsi="Arial" w:cs="Arial"/>
          <w:szCs w:val="24"/>
          <w:lang w:val="en-US"/>
        </w:rPr>
        <w:t>skladu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sa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Zakonom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o </w:t>
      </w:r>
      <w:proofErr w:type="spellStart"/>
      <w:r>
        <w:rPr>
          <w:rFonts w:ascii="Arial" w:eastAsia="Calibri" w:hAnsi="Arial" w:cs="Arial"/>
          <w:szCs w:val="24"/>
          <w:lang w:val="en-US"/>
        </w:rPr>
        <w:t>upravljanju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szCs w:val="24"/>
          <w:lang w:val="en-US"/>
        </w:rPr>
        <w:t>unutrašnjim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kontrolama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u </w:t>
      </w:r>
      <w:proofErr w:type="spellStart"/>
      <w:r>
        <w:rPr>
          <w:rFonts w:ascii="Arial" w:eastAsia="Calibri" w:hAnsi="Arial" w:cs="Arial"/>
          <w:szCs w:val="24"/>
          <w:lang w:val="en-US"/>
        </w:rPr>
        <w:t>javnom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sektoru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szCs w:val="24"/>
          <w:lang w:val="en-US"/>
        </w:rPr>
        <w:t>upravljanje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rizicima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obuhvata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postupak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identifikacije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szCs w:val="24"/>
          <w:lang w:val="en-US"/>
        </w:rPr>
        <w:t>procjene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szCs w:val="24"/>
          <w:lang w:val="en-US"/>
        </w:rPr>
        <w:t>praćenja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događaja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szCs w:val="24"/>
          <w:lang w:val="en-US"/>
        </w:rPr>
        <w:t>koji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mogu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negativno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uticati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na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ostvarivanje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utvrđenih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poslovnih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ciljeva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subjekta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szCs w:val="24"/>
          <w:lang w:val="en-US"/>
        </w:rPr>
        <w:t>preduzimanje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potrebnih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mjera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radi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smanjenja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rizika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do </w:t>
      </w:r>
      <w:proofErr w:type="spellStart"/>
      <w:r>
        <w:rPr>
          <w:rFonts w:ascii="Arial" w:eastAsia="Calibri" w:hAnsi="Arial" w:cs="Arial"/>
          <w:szCs w:val="24"/>
          <w:lang w:val="en-US"/>
        </w:rPr>
        <w:t>nivoa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razumne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uvjerenosti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da </w:t>
      </w:r>
      <w:proofErr w:type="spellStart"/>
      <w:r>
        <w:rPr>
          <w:rFonts w:ascii="Arial" w:eastAsia="Calibri" w:hAnsi="Arial" w:cs="Arial"/>
          <w:szCs w:val="24"/>
          <w:lang w:val="en-US"/>
        </w:rPr>
        <w:t>će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ciljevi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biti</w:t>
      </w:r>
      <w:proofErr w:type="spellEnd"/>
      <w:r>
        <w:rPr>
          <w:rFonts w:ascii="Arial" w:eastAsia="Calibri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Cs w:val="24"/>
          <w:lang w:val="en-US"/>
        </w:rPr>
        <w:t>ostvareni</w:t>
      </w:r>
      <w:proofErr w:type="spellEnd"/>
      <w:r>
        <w:rPr>
          <w:rFonts w:ascii="Arial" w:eastAsia="Calibri" w:hAnsi="Arial" w:cs="Arial"/>
          <w:szCs w:val="24"/>
          <w:lang w:val="en-US"/>
        </w:rPr>
        <w:t>.</w:t>
      </w:r>
    </w:p>
    <w:p w:rsidR="00695B4C" w:rsidRDefault="006933D7" w:rsidP="007331FF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Članom 4 navedenog zakona, rizik je mogućnost nastupanja događaja koji može negativno uticati na ostvarivanje postavljenih ciljeva subjekta.</w:t>
      </w:r>
    </w:p>
    <w:p w:rsidR="006933D7" w:rsidRDefault="006933D7" w:rsidP="007331FF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Upravljanje rizicima je sastavni dio upravljanja i predstavlja vezu između planiranja i donošenja odluka.</w:t>
      </w:r>
    </w:p>
    <w:p w:rsidR="006933D7" w:rsidRDefault="006933D7" w:rsidP="007331FF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Upravljanje rizicima obezbjeđuje:</w:t>
      </w:r>
    </w:p>
    <w:p w:rsidR="006933D7" w:rsidRDefault="006933D7" w:rsidP="006933D7">
      <w:pPr>
        <w:pStyle w:val="ListParagraph"/>
        <w:numPr>
          <w:ilvl w:val="0"/>
          <w:numId w:val="20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predviđanje mogućnosti nastan</w:t>
      </w:r>
      <w:r w:rsidR="0094597C">
        <w:rPr>
          <w:rFonts w:ascii="Arial" w:eastAsia="Calibri" w:hAnsi="Arial" w:cs="Arial"/>
          <w:szCs w:val="24"/>
        </w:rPr>
        <w:t>k</w:t>
      </w:r>
      <w:r>
        <w:rPr>
          <w:rFonts w:ascii="Arial" w:eastAsia="Calibri" w:hAnsi="Arial" w:cs="Arial"/>
          <w:szCs w:val="24"/>
        </w:rPr>
        <w:t xml:space="preserve">a nepovoljnih okolnosti ili događaja koji bi mogli spriječiti ostvarivanje ciljeva subjekta i </w:t>
      </w:r>
    </w:p>
    <w:p w:rsidR="006933D7" w:rsidRDefault="006933D7" w:rsidP="006933D7">
      <w:pPr>
        <w:pStyle w:val="ListParagraph"/>
        <w:numPr>
          <w:ilvl w:val="0"/>
          <w:numId w:val="20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usmjeravanje unutrašnjih kontrola i ograničenih resursa na ključne rizike u poslovnim procesima.</w:t>
      </w:r>
    </w:p>
    <w:p w:rsidR="006933D7" w:rsidRDefault="006933D7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Uspostavljanjem registra rizika i upravljanjem rizicima smanjiće se mogućnost nastupanja događaja koji može negativno uticati na ostvarivanje postavljenih ciljeva Ministarstva, a u slučaju da nastupi neželjeni događaj smanjiće se negativne posljedice istog blagovremenim i adekvtnim reagovanjem.</w:t>
      </w:r>
    </w:p>
    <w:p w:rsidR="006933D7" w:rsidRDefault="006933D7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lastRenderedPageBreak/>
        <w:t>Članom 7 Zakona o upravljanju i unutrašnjim kontrolama u javnom sektoru rukovodilac subjekta odgovoran je za utvrđivanje poslovnih ciljeva subjekta kojim rukovodi, a koji doprinose ostvarivanju misije subjekta; izradu i sprovođenje strateških i drugih planova, kao i programa za ostvarivanje poslovnih ciljeva subjekta; sprovođenje i razvoj sistema upravljanja i kontrola; identifikaciju, procjenu i upravljanje rizicima u subjektu.</w:t>
      </w:r>
    </w:p>
    <w:p w:rsidR="00677414" w:rsidRDefault="00677414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Rukovodilac subjekta treba da odredi lice odgovorno za koordinaciju aktivnosti na sprovođenju i unapređenju upravljanja i unutrašnjih kontrola u subjektu.</w:t>
      </w:r>
    </w:p>
    <w:p w:rsidR="00677414" w:rsidRDefault="00677414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Lice odgovorno za koordinaciju aktivnosti na sprovođenju i unapređenju upravljanja i unutrašnjih kontrola u subjektu obavlja poslove koji se naročito odnose na:</w:t>
      </w:r>
    </w:p>
    <w:p w:rsidR="00677414" w:rsidRDefault="00677414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-pripremu i praćenje sprovođenja plana za unapređenje upravljanja i kontrola;</w:t>
      </w:r>
    </w:p>
    <w:p w:rsidR="00677414" w:rsidRDefault="00677414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-koordiniranje aktivnosti za uspostavljanje i unapređenje upravljanja i kontrola;</w:t>
      </w:r>
    </w:p>
    <w:p w:rsidR="00677414" w:rsidRDefault="00677414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-pripremu godišnjeg izvještaja o upravljanju i kontrolama;</w:t>
      </w:r>
    </w:p>
    <w:p w:rsidR="00677414" w:rsidRDefault="00677414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-izvještavanje rukovodioca subjekta o stanju i razvoju upravljanja i kontrola i</w:t>
      </w:r>
    </w:p>
    <w:p w:rsidR="00677414" w:rsidRDefault="00677414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-saradnju sa Direktoratom za centralnu harmonizaciju Ministarstva finansija.</w:t>
      </w:r>
    </w:p>
    <w:p w:rsidR="00677414" w:rsidRDefault="00677414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Rješenjem broj 01-03-011/22-912 od 18.08.2022.godine, imenovano je lice zaduženo za koordinaciju aktivnosti na sprovođenju i unaprijeđenju upravljanja i kontrola u Ministarstvu sporta i mladih. Takođe, rješenjem broj 01-03-402/22-913 od 18.08.2022.godine, određeno je </w:t>
      </w:r>
      <w:r w:rsidR="00812058">
        <w:rPr>
          <w:rFonts w:ascii="Arial" w:eastAsia="Calibri" w:hAnsi="Arial" w:cs="Arial"/>
          <w:szCs w:val="24"/>
        </w:rPr>
        <w:t>lice za koordinaciju aktivnosti na uspostavljanju procesa upravljanja rizicima na nivou subjekta.</w:t>
      </w:r>
    </w:p>
    <w:p w:rsidR="00812058" w:rsidRDefault="00812058" w:rsidP="006933D7">
      <w:p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Članom 9 Zakona o upravljanju i unutrašnjim kontrolama u javnom sektoru rukovodilac organizacione jedinice dužan je da u okviru prenijetih ovlašćenja:</w:t>
      </w:r>
    </w:p>
    <w:p w:rsidR="00812058" w:rsidRDefault="00812058" w:rsidP="00812058">
      <w:pPr>
        <w:pStyle w:val="ListParagraph"/>
        <w:numPr>
          <w:ilvl w:val="0"/>
          <w:numId w:val="21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utvrdi ciljeve organizacione jedinice u skladu sa poslovnim ciljevima subjekta;</w:t>
      </w:r>
    </w:p>
    <w:p w:rsidR="00812058" w:rsidRDefault="00812058" w:rsidP="00812058">
      <w:pPr>
        <w:pStyle w:val="ListParagraph"/>
        <w:numPr>
          <w:ilvl w:val="0"/>
          <w:numId w:val="21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ostvaruje poslovne ciljeve u skladu sa odobenim budžetskim sredstvima u obimu prenesenih ovlašćenja;</w:t>
      </w:r>
    </w:p>
    <w:p w:rsidR="00812058" w:rsidRDefault="00812058" w:rsidP="00812058">
      <w:pPr>
        <w:pStyle w:val="ListParagraph"/>
        <w:numPr>
          <w:ilvl w:val="0"/>
          <w:numId w:val="21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utvrdi pokazatelje uspješnosti, kao osnovu za izvještavanje o realizaciji utvrđenih ciljeva;</w:t>
      </w:r>
    </w:p>
    <w:p w:rsidR="00812058" w:rsidRDefault="00812058" w:rsidP="00812058">
      <w:pPr>
        <w:pStyle w:val="ListParagraph"/>
        <w:numPr>
          <w:ilvl w:val="0"/>
          <w:numId w:val="21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identifikuje, procjeni i upravlja rizicima koji mogu da ugroze ostvarivanje poslovnih ciljeva;</w:t>
      </w:r>
    </w:p>
    <w:p w:rsidR="00812058" w:rsidRDefault="00812058" w:rsidP="00812058">
      <w:pPr>
        <w:pStyle w:val="ListParagraph"/>
        <w:numPr>
          <w:ilvl w:val="0"/>
          <w:numId w:val="21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razvija i sprovodi odgovarajuće unutrašnje kontrole i druge mjere ili aktivnosti za upravljanje rizicima;</w:t>
      </w:r>
    </w:p>
    <w:p w:rsidR="00812058" w:rsidRDefault="00812058" w:rsidP="00812058">
      <w:pPr>
        <w:pStyle w:val="ListParagraph"/>
        <w:numPr>
          <w:ilvl w:val="0"/>
          <w:numId w:val="21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organizuje poslovne procese radi pravilnog, ekonomičnog, efikasnog i efektivnog poslovanja; i</w:t>
      </w:r>
    </w:p>
    <w:p w:rsidR="00812058" w:rsidRDefault="00812058" w:rsidP="00812058">
      <w:pPr>
        <w:pStyle w:val="ListParagraph"/>
        <w:numPr>
          <w:ilvl w:val="0"/>
          <w:numId w:val="21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prati i procjenjuje efektivnost kontrola.</w:t>
      </w:r>
    </w:p>
    <w:p w:rsidR="00812058" w:rsidRDefault="00812058" w:rsidP="00812058">
      <w:pPr>
        <w:pStyle w:val="ListParagraph"/>
        <w:spacing w:before="0" w:after="160" w:line="259" w:lineRule="auto"/>
        <w:ind w:left="360"/>
        <w:jc w:val="left"/>
        <w:rPr>
          <w:rFonts w:ascii="Arial" w:eastAsia="Calibri" w:hAnsi="Arial" w:cs="Arial"/>
          <w:szCs w:val="24"/>
        </w:rPr>
      </w:pPr>
      <w:r w:rsidRPr="00812058">
        <w:rPr>
          <w:rFonts w:ascii="Arial" w:eastAsia="Calibri" w:hAnsi="Arial" w:cs="Arial"/>
          <w:szCs w:val="24"/>
        </w:rPr>
        <w:lastRenderedPageBreak/>
        <w:t>Rizici su procjenjeni uzimajući u obzir uticaj neželjenog događaja na Ministarstvo sporta i mladih i vjerovatnoću nastanka neželjenog događaja, odnosno davanjem odgovora na pitanja:</w:t>
      </w:r>
    </w:p>
    <w:p w:rsidR="00812058" w:rsidRDefault="00812058" w:rsidP="00812058">
      <w:pPr>
        <w:pStyle w:val="ListParagraph"/>
        <w:numPr>
          <w:ilvl w:val="1"/>
          <w:numId w:val="23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Koje su posljedice ako dođe do nastupanja neželjenog događaja (rizika)</w:t>
      </w:r>
      <w:r w:rsidR="00C86A32">
        <w:rPr>
          <w:rFonts w:ascii="Arial" w:eastAsia="Calibri" w:hAnsi="Arial" w:cs="Arial"/>
          <w:szCs w:val="24"/>
        </w:rPr>
        <w:t>?</w:t>
      </w:r>
    </w:p>
    <w:p w:rsidR="00C86A32" w:rsidRDefault="00C86A32" w:rsidP="00812058">
      <w:pPr>
        <w:pStyle w:val="ListParagraph"/>
        <w:numPr>
          <w:ilvl w:val="1"/>
          <w:numId w:val="23"/>
        </w:numPr>
        <w:spacing w:before="0" w:after="160"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Koja je vjerovatnoća pojave rizika i koja je očekivana učestalost takve pojave?</w:t>
      </w:r>
    </w:p>
    <w:p w:rsidR="00BC5012" w:rsidRPr="00BC5012" w:rsidRDefault="00BC5012" w:rsidP="00BC5012">
      <w:pPr>
        <w:spacing w:before="0" w:after="160" w:line="259" w:lineRule="auto"/>
        <w:ind w:left="360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Uticaj </w:t>
      </w:r>
      <w:r>
        <w:rPr>
          <w:rFonts w:ascii="Arial" w:eastAsia="Calibri" w:hAnsi="Arial" w:cs="Arial"/>
          <w:szCs w:val="24"/>
        </w:rPr>
        <w:t>je procjena posljedica u slučaju nastanka određenog rizičnog događaja. To može biti i neka vrsta štete ili izgubljene prilike. Mjerenj</w:t>
      </w:r>
      <w:r w:rsidR="0050736A">
        <w:rPr>
          <w:rFonts w:ascii="Arial" w:eastAsia="Calibri" w:hAnsi="Arial" w:cs="Arial"/>
          <w:szCs w:val="24"/>
        </w:rPr>
        <w:t>e</w:t>
      </w:r>
      <w:r>
        <w:rPr>
          <w:rFonts w:ascii="Arial" w:eastAsia="Calibri" w:hAnsi="Arial" w:cs="Arial"/>
          <w:szCs w:val="24"/>
        </w:rPr>
        <w:t xml:space="preserve"> uticaja rizika rangira se na sljedeći način:</w:t>
      </w:r>
    </w:p>
    <w:tbl>
      <w:tblPr>
        <w:tblStyle w:val="TableGrid"/>
        <w:tblpPr w:leftFromText="180" w:rightFromText="180" w:vertAnchor="text" w:horzAnchor="page" w:tblpX="1786" w:tblpY="263"/>
        <w:tblOverlap w:val="never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6817"/>
      </w:tblGrid>
      <w:tr w:rsidR="00155FA5" w:rsidTr="00155FA5">
        <w:trPr>
          <w:trHeight w:val="664"/>
        </w:trPr>
        <w:tc>
          <w:tcPr>
            <w:tcW w:w="2259" w:type="dxa"/>
          </w:tcPr>
          <w:p w:rsidR="00155FA5" w:rsidRPr="00BC5012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OCJENA</w:t>
            </w:r>
          </w:p>
        </w:tc>
        <w:tc>
          <w:tcPr>
            <w:tcW w:w="2259" w:type="dxa"/>
          </w:tcPr>
          <w:p w:rsidR="00155FA5" w:rsidRPr="00BC5012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UTICAJ</w:t>
            </w:r>
          </w:p>
        </w:tc>
        <w:tc>
          <w:tcPr>
            <w:tcW w:w="6817" w:type="dxa"/>
          </w:tcPr>
          <w:p w:rsidR="00155FA5" w:rsidRPr="00BC5012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OPIS</w:t>
            </w:r>
          </w:p>
        </w:tc>
      </w:tr>
      <w:tr w:rsidR="00155FA5" w:rsidTr="00155FA5">
        <w:trPr>
          <w:trHeight w:val="664"/>
        </w:trPr>
        <w:tc>
          <w:tcPr>
            <w:tcW w:w="2259" w:type="dxa"/>
          </w:tcPr>
          <w:p w:rsidR="005E07AA" w:rsidRDefault="005E07AA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:rsidR="00155FA5" w:rsidRPr="00BC5012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5</w:t>
            </w:r>
          </w:p>
        </w:tc>
        <w:tc>
          <w:tcPr>
            <w:tcW w:w="2259" w:type="dxa"/>
          </w:tcPr>
          <w:p w:rsidR="00155FA5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Veoma</w:t>
            </w:r>
          </w:p>
          <w:p w:rsidR="00155FA5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značajan</w:t>
            </w:r>
          </w:p>
        </w:tc>
        <w:tc>
          <w:tcPr>
            <w:tcW w:w="6817" w:type="dxa"/>
          </w:tcPr>
          <w:p w:rsidR="00155FA5" w:rsidRDefault="00155FA5" w:rsidP="00155FA5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U slučaju pojave rizika skoro je nevjerovatno da će se ciljevi ostvariti (postoji 1-29% šanse da će se ciljevi ostvariti)</w:t>
            </w:r>
          </w:p>
        </w:tc>
      </w:tr>
      <w:tr w:rsidR="00155FA5" w:rsidTr="00155FA5">
        <w:trPr>
          <w:trHeight w:val="687"/>
        </w:trPr>
        <w:tc>
          <w:tcPr>
            <w:tcW w:w="2259" w:type="dxa"/>
          </w:tcPr>
          <w:p w:rsidR="005E07AA" w:rsidRDefault="005E07AA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:rsidR="00155FA5" w:rsidRPr="00BC5012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4</w:t>
            </w:r>
          </w:p>
        </w:tc>
        <w:tc>
          <w:tcPr>
            <w:tcW w:w="2259" w:type="dxa"/>
          </w:tcPr>
          <w:p w:rsidR="005E07AA" w:rsidRDefault="005E07AA" w:rsidP="005E07AA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  <w:p w:rsidR="00155FA5" w:rsidRDefault="00155FA5" w:rsidP="005E07AA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Velik</w:t>
            </w:r>
          </w:p>
        </w:tc>
        <w:tc>
          <w:tcPr>
            <w:tcW w:w="6817" w:type="dxa"/>
          </w:tcPr>
          <w:p w:rsidR="00155FA5" w:rsidRDefault="00155FA5" w:rsidP="00155FA5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U slučaju pojave rizika, aktivnosti su značajno narušene, a malo je vjerovatno da će se ciljevi ostvariti (šansa da će se ciljevi ostvariti je 30-49%)</w:t>
            </w:r>
          </w:p>
        </w:tc>
      </w:tr>
      <w:tr w:rsidR="00155FA5" w:rsidTr="00155FA5">
        <w:trPr>
          <w:trHeight w:val="664"/>
        </w:trPr>
        <w:tc>
          <w:tcPr>
            <w:tcW w:w="2259" w:type="dxa"/>
          </w:tcPr>
          <w:p w:rsidR="005E07AA" w:rsidRDefault="005E07AA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:rsidR="00155FA5" w:rsidRPr="00BC5012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3</w:t>
            </w:r>
          </w:p>
        </w:tc>
        <w:tc>
          <w:tcPr>
            <w:tcW w:w="2259" w:type="dxa"/>
          </w:tcPr>
          <w:p w:rsidR="005E07AA" w:rsidRDefault="005E07AA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  <w:p w:rsidR="00155FA5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Srednji</w:t>
            </w:r>
          </w:p>
        </w:tc>
        <w:tc>
          <w:tcPr>
            <w:tcW w:w="6817" w:type="dxa"/>
          </w:tcPr>
          <w:p w:rsidR="00155FA5" w:rsidRDefault="00155FA5" w:rsidP="00155FA5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U slučaju rizika otežano je obavljanje aktivnosti subjekta, a ciljevi se samo donekle mogu ostvariti (šansa da će se ciljevi ostvariti je 50-69%)</w:t>
            </w:r>
          </w:p>
        </w:tc>
      </w:tr>
      <w:tr w:rsidR="00155FA5" w:rsidTr="00155FA5">
        <w:trPr>
          <w:trHeight w:val="664"/>
        </w:trPr>
        <w:tc>
          <w:tcPr>
            <w:tcW w:w="2259" w:type="dxa"/>
          </w:tcPr>
          <w:p w:rsidR="005E07AA" w:rsidRDefault="005E07AA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:rsidR="00155FA5" w:rsidRPr="00BC5012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2</w:t>
            </w:r>
          </w:p>
        </w:tc>
        <w:tc>
          <w:tcPr>
            <w:tcW w:w="2259" w:type="dxa"/>
          </w:tcPr>
          <w:p w:rsidR="005E07AA" w:rsidRDefault="005E07AA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  <w:p w:rsidR="00155FA5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Mali</w:t>
            </w:r>
          </w:p>
        </w:tc>
        <w:tc>
          <w:tcPr>
            <w:tcW w:w="6817" w:type="dxa"/>
          </w:tcPr>
          <w:p w:rsidR="00155FA5" w:rsidRDefault="00155FA5" w:rsidP="00155FA5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U slučaju pojave rizika aktivnosti se obavljaju sa malim smetnjama/kašnjenjem, ali vjerovatno će se ciljevi ostvariti (šansa da će se ciljevi ostvariti je 70-89%)</w:t>
            </w:r>
          </w:p>
        </w:tc>
      </w:tr>
      <w:tr w:rsidR="00155FA5" w:rsidTr="00155FA5">
        <w:trPr>
          <w:trHeight w:val="664"/>
        </w:trPr>
        <w:tc>
          <w:tcPr>
            <w:tcW w:w="2259" w:type="dxa"/>
          </w:tcPr>
          <w:p w:rsidR="005E07AA" w:rsidRDefault="005E07AA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:rsidR="00155FA5" w:rsidRPr="00BC5012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1</w:t>
            </w:r>
          </w:p>
        </w:tc>
        <w:tc>
          <w:tcPr>
            <w:tcW w:w="2259" w:type="dxa"/>
          </w:tcPr>
          <w:p w:rsidR="005E07AA" w:rsidRDefault="005E07AA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  <w:p w:rsidR="00155FA5" w:rsidRDefault="00155FA5" w:rsidP="00155FA5">
            <w:pPr>
              <w:spacing w:before="0" w:after="160" w:line="259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Zanemarljiv</w:t>
            </w:r>
          </w:p>
        </w:tc>
        <w:tc>
          <w:tcPr>
            <w:tcW w:w="6817" w:type="dxa"/>
          </w:tcPr>
          <w:p w:rsidR="00155FA5" w:rsidRDefault="00155FA5" w:rsidP="00155FA5">
            <w:pPr>
              <w:spacing w:before="0" w:after="160" w:line="259" w:lineRule="auto"/>
              <w:jc w:val="left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U slučaju pojave rizika aktivnosti se obavljaju sa malim smetnjama/kašnjenjem, ali vjerovatno će se ciljevi ostvariti (šansa da će se ciljevi ostvariti je 90-100%)</w:t>
            </w:r>
          </w:p>
        </w:tc>
      </w:tr>
    </w:tbl>
    <w:p w:rsidR="00B502B4" w:rsidRDefault="00B502B4" w:rsidP="00B502B4">
      <w:pPr>
        <w:spacing w:before="0" w:after="160" w:line="259" w:lineRule="auto"/>
        <w:ind w:left="360"/>
        <w:jc w:val="left"/>
        <w:rPr>
          <w:rFonts w:ascii="Arial" w:eastAsia="Calibri" w:hAnsi="Arial" w:cs="Arial"/>
          <w:szCs w:val="24"/>
        </w:rPr>
      </w:pPr>
    </w:p>
    <w:p w:rsidR="00B502B4" w:rsidRPr="00B502B4" w:rsidRDefault="00B502B4" w:rsidP="00B502B4">
      <w:pPr>
        <w:spacing w:before="0" w:after="160" w:line="259" w:lineRule="auto"/>
        <w:ind w:left="360"/>
        <w:jc w:val="left"/>
        <w:rPr>
          <w:rFonts w:ascii="Arial" w:eastAsia="Calibri" w:hAnsi="Arial" w:cs="Arial"/>
          <w:szCs w:val="24"/>
        </w:rPr>
      </w:pPr>
    </w:p>
    <w:p w:rsidR="00C86A32" w:rsidRPr="00C86A32" w:rsidRDefault="00C86A32" w:rsidP="00C86A32">
      <w:pPr>
        <w:spacing w:before="0" w:after="160" w:line="259" w:lineRule="auto"/>
        <w:ind w:left="360"/>
        <w:jc w:val="left"/>
        <w:rPr>
          <w:rFonts w:ascii="Arial" w:eastAsia="Calibri" w:hAnsi="Arial" w:cs="Arial"/>
          <w:szCs w:val="24"/>
        </w:rPr>
      </w:pPr>
    </w:p>
    <w:p w:rsidR="00AB3B59" w:rsidRPr="000671D1" w:rsidRDefault="00AB3B59" w:rsidP="00AB3B59">
      <w:pPr>
        <w:spacing w:before="0" w:after="160" w:line="259" w:lineRule="auto"/>
        <w:jc w:val="center"/>
        <w:rPr>
          <w:rFonts w:ascii="Calibri" w:eastAsia="Calibri" w:hAnsi="Calibri" w:cs="Times New Roman"/>
          <w:sz w:val="22"/>
          <w:lang w:val="en-US"/>
        </w:rPr>
      </w:pPr>
    </w:p>
    <w:p w:rsidR="00A33B3F" w:rsidRPr="000671D1" w:rsidRDefault="00A33B3F" w:rsidP="00A33B3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33B3F" w:rsidRPr="000671D1" w:rsidRDefault="00A33B3F" w:rsidP="00A33B3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33B3F" w:rsidRPr="000671D1" w:rsidRDefault="00A33B3F" w:rsidP="00A33B3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33B3F" w:rsidRPr="000671D1" w:rsidRDefault="00A33B3F" w:rsidP="00A33B3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33B3F" w:rsidRDefault="00A33B3F" w:rsidP="00A33B3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 w:val="22"/>
          <w:lang w:val="en-US"/>
        </w:rPr>
      </w:pPr>
    </w:p>
    <w:p w:rsidR="00A33B3F" w:rsidRDefault="00A33B3F" w:rsidP="00A33B3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 w:val="22"/>
          <w:lang w:val="en-US"/>
        </w:rPr>
      </w:pPr>
    </w:p>
    <w:p w:rsidR="00736736" w:rsidRDefault="00736736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:rsidR="00A70072" w:rsidRDefault="00A700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val="en-US"/>
        </w:rPr>
      </w:pPr>
      <w:proofErr w:type="spellStart"/>
      <w:r w:rsidRPr="00A70072">
        <w:rPr>
          <w:rFonts w:ascii="Arial" w:eastAsia="Times New Roman" w:hAnsi="Arial" w:cs="Arial"/>
          <w:color w:val="000000"/>
          <w:szCs w:val="24"/>
          <w:lang w:val="en-US"/>
        </w:rPr>
        <w:t>Vjerovatnoća</w:t>
      </w:r>
      <w:proofErr w:type="spellEnd"/>
      <w:r w:rsidRPr="00A70072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val="en-US"/>
        </w:rPr>
        <w:t xml:space="preserve">je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procjena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mogućnosti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nastanka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određenog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događaja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(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uključujući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i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razmatranje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učestalosti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sa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kojom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do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tog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ishoda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može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da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dođe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). Na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primjer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,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relativno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je mala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vjerovatnoća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da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će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se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desiti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veliko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oštećenje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na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nekoj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zgradi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,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ali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bi to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imalo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ogroman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lastRenderedPageBreak/>
        <w:t>uticaj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na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kontinuitet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poslovanja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.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Nasuprot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tome,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vrlo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je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vjerovatan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povremeni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pad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kompjuterskog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sistema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,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ali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to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obično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nema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veliki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uticaj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na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 w:rsidR="00155FA5">
        <w:rPr>
          <w:rFonts w:ascii="Arial" w:eastAsia="Times New Roman" w:hAnsi="Arial" w:cs="Arial"/>
          <w:color w:val="000000"/>
          <w:szCs w:val="24"/>
          <w:lang w:val="en-US"/>
        </w:rPr>
        <w:t>poslovanje</w:t>
      </w:r>
      <w:proofErr w:type="spellEnd"/>
      <w:r w:rsidR="00155FA5">
        <w:rPr>
          <w:rFonts w:ascii="Arial" w:eastAsia="Times New Roman" w:hAnsi="Arial" w:cs="Arial"/>
          <w:color w:val="000000"/>
          <w:szCs w:val="24"/>
          <w:lang w:val="en-US"/>
        </w:rPr>
        <w:t>.</w:t>
      </w:r>
    </w:p>
    <w:p w:rsidR="00095674" w:rsidRDefault="00095674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Mjerenja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vjerovatnoće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rizika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rangira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na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sljedeći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način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>:</w:t>
      </w:r>
    </w:p>
    <w:p w:rsidR="00095674" w:rsidRDefault="00095674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2"/>
        <w:gridCol w:w="2344"/>
        <w:gridCol w:w="5363"/>
      </w:tblGrid>
      <w:tr w:rsidR="00095674" w:rsidTr="000A129A">
        <w:trPr>
          <w:trHeight w:val="739"/>
        </w:trPr>
        <w:tc>
          <w:tcPr>
            <w:tcW w:w="1422" w:type="dxa"/>
          </w:tcPr>
          <w:p w:rsidR="00095674" w:rsidRPr="00095674" w:rsidRDefault="00095674" w:rsidP="00095674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OCJENA</w:t>
            </w:r>
          </w:p>
        </w:tc>
        <w:tc>
          <w:tcPr>
            <w:tcW w:w="2344" w:type="dxa"/>
          </w:tcPr>
          <w:p w:rsidR="00095674" w:rsidRPr="00095674" w:rsidRDefault="00095674" w:rsidP="00095674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VJEROVATNOĆA</w:t>
            </w:r>
          </w:p>
        </w:tc>
        <w:tc>
          <w:tcPr>
            <w:tcW w:w="5363" w:type="dxa"/>
          </w:tcPr>
          <w:p w:rsidR="00095674" w:rsidRPr="00095674" w:rsidRDefault="00095674" w:rsidP="00095674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OPIS</w:t>
            </w:r>
          </w:p>
        </w:tc>
      </w:tr>
      <w:tr w:rsidR="00095674" w:rsidTr="000A129A">
        <w:trPr>
          <w:trHeight w:val="729"/>
        </w:trPr>
        <w:tc>
          <w:tcPr>
            <w:tcW w:w="1422" w:type="dxa"/>
          </w:tcPr>
          <w:p w:rsidR="00095674" w:rsidRPr="00095674" w:rsidRDefault="00095674" w:rsidP="00095674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2344" w:type="dxa"/>
          </w:tcPr>
          <w:p w:rsidR="00095674" w:rsidRDefault="00095674" w:rsidP="000A12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Gotovo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sigurno</w:t>
            </w:r>
            <w:proofErr w:type="spellEnd"/>
          </w:p>
        </w:tc>
        <w:tc>
          <w:tcPr>
            <w:tcW w:w="5363" w:type="dxa"/>
          </w:tcPr>
          <w:p w:rsidR="00095674" w:rsidRDefault="000A129A" w:rsidP="00A33B3F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Šanse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će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rizik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dogoditi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90-100%</w:t>
            </w:r>
          </w:p>
        </w:tc>
      </w:tr>
      <w:tr w:rsidR="00095674" w:rsidTr="000A129A">
        <w:trPr>
          <w:trHeight w:val="609"/>
        </w:trPr>
        <w:tc>
          <w:tcPr>
            <w:tcW w:w="1422" w:type="dxa"/>
          </w:tcPr>
          <w:p w:rsidR="00095674" w:rsidRPr="00095674" w:rsidRDefault="00095674" w:rsidP="00095674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2344" w:type="dxa"/>
          </w:tcPr>
          <w:p w:rsidR="00095674" w:rsidRDefault="000A129A" w:rsidP="000A12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Vjerovatno</w:t>
            </w:r>
            <w:proofErr w:type="spellEnd"/>
          </w:p>
        </w:tc>
        <w:tc>
          <w:tcPr>
            <w:tcW w:w="5363" w:type="dxa"/>
          </w:tcPr>
          <w:p w:rsidR="00095674" w:rsidRDefault="000A129A" w:rsidP="00A33B3F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Šanse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će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rizik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dogoditi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70-89%</w:t>
            </w:r>
          </w:p>
        </w:tc>
      </w:tr>
      <w:tr w:rsidR="00095674" w:rsidTr="000A129A">
        <w:trPr>
          <w:trHeight w:val="589"/>
        </w:trPr>
        <w:tc>
          <w:tcPr>
            <w:tcW w:w="1422" w:type="dxa"/>
          </w:tcPr>
          <w:p w:rsidR="00095674" w:rsidRPr="00095674" w:rsidRDefault="00095674" w:rsidP="00095674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2344" w:type="dxa"/>
          </w:tcPr>
          <w:p w:rsidR="00095674" w:rsidRDefault="000A129A" w:rsidP="000A12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Umjereno</w:t>
            </w:r>
            <w:proofErr w:type="spellEnd"/>
          </w:p>
        </w:tc>
        <w:tc>
          <w:tcPr>
            <w:tcW w:w="5363" w:type="dxa"/>
          </w:tcPr>
          <w:p w:rsidR="00095674" w:rsidRDefault="000A129A" w:rsidP="00A33B3F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Šanse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da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će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se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rizik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dogoditi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50-69%</w:t>
            </w:r>
          </w:p>
        </w:tc>
      </w:tr>
      <w:tr w:rsidR="00095674" w:rsidTr="000A129A">
        <w:trPr>
          <w:trHeight w:val="709"/>
        </w:trPr>
        <w:tc>
          <w:tcPr>
            <w:tcW w:w="1422" w:type="dxa"/>
          </w:tcPr>
          <w:p w:rsidR="00095674" w:rsidRPr="00095674" w:rsidRDefault="00095674" w:rsidP="00095674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2344" w:type="dxa"/>
          </w:tcPr>
          <w:p w:rsidR="00095674" w:rsidRDefault="000A129A" w:rsidP="000A12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Rijetko</w:t>
            </w:r>
            <w:proofErr w:type="spellEnd"/>
          </w:p>
        </w:tc>
        <w:tc>
          <w:tcPr>
            <w:tcW w:w="5363" w:type="dxa"/>
          </w:tcPr>
          <w:p w:rsidR="00095674" w:rsidRDefault="000A129A" w:rsidP="00A33B3F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Šanse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da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će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se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rizik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dogoditi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30-49%</w:t>
            </w:r>
          </w:p>
        </w:tc>
      </w:tr>
      <w:tr w:rsidR="00095674" w:rsidTr="000A129A">
        <w:trPr>
          <w:trHeight w:val="729"/>
        </w:trPr>
        <w:tc>
          <w:tcPr>
            <w:tcW w:w="1422" w:type="dxa"/>
          </w:tcPr>
          <w:p w:rsidR="00095674" w:rsidRPr="00095674" w:rsidRDefault="00095674" w:rsidP="00095674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2344" w:type="dxa"/>
          </w:tcPr>
          <w:p w:rsidR="00095674" w:rsidRDefault="000A129A" w:rsidP="000A12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Sasvim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rijetko</w:t>
            </w:r>
            <w:proofErr w:type="spellEnd"/>
          </w:p>
        </w:tc>
        <w:tc>
          <w:tcPr>
            <w:tcW w:w="5363" w:type="dxa"/>
          </w:tcPr>
          <w:p w:rsidR="00095674" w:rsidRDefault="000A129A" w:rsidP="00A33B3F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Šanse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da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će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se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rizik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dogoditi</w:t>
            </w:r>
            <w:proofErr w:type="spellEnd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0A129A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su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1-29%</w:t>
            </w:r>
          </w:p>
        </w:tc>
      </w:tr>
    </w:tbl>
    <w:p w:rsidR="00095674" w:rsidRDefault="00095674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val="en-US"/>
        </w:rPr>
      </w:pPr>
    </w:p>
    <w:p w:rsidR="000A129A" w:rsidRDefault="000A129A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Procjena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ukupne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izloženosti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riziku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odnosno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rangiranje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rizika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potrebna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je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kako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bi se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utvrdili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prioriteti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tj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najznačajniji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rizici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kojima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treba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upravljati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Rezultat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ukupne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izloženosti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riziku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je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rezultat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množenja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ocjena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uticaja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r w:rsidR="00BC109A">
        <w:rPr>
          <w:rFonts w:ascii="Arial" w:eastAsia="Times New Roman" w:hAnsi="Arial" w:cs="Arial"/>
          <w:color w:val="000000"/>
          <w:szCs w:val="24"/>
          <w:lang w:val="en-US"/>
        </w:rPr>
        <w:t>i</w:t>
      </w:r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vjerovatnoće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nastanka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pojedinog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rizika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>.</w:t>
      </w:r>
    </w:p>
    <w:p w:rsidR="000A129A" w:rsidRDefault="000A129A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Izloženost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riziku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najčešće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prikazuje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pomoću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matrice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kojoj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povezuju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uticaj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r w:rsidR="00BC109A">
        <w:rPr>
          <w:rFonts w:ascii="Arial" w:eastAsia="Times New Roman" w:hAnsi="Arial" w:cs="Arial"/>
          <w:color w:val="000000"/>
          <w:szCs w:val="24"/>
          <w:lang w:val="en-US"/>
        </w:rPr>
        <w:t>i</w:t>
      </w:r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vjerovatnoća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kako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val="en-US"/>
        </w:rPr>
        <w:t>slijedi</w:t>
      </w:r>
      <w:proofErr w:type="spellEnd"/>
      <w:r>
        <w:rPr>
          <w:rFonts w:ascii="Arial" w:eastAsia="Times New Roman" w:hAnsi="Arial" w:cs="Arial"/>
          <w:color w:val="000000"/>
          <w:szCs w:val="24"/>
          <w:lang w:val="en-US"/>
        </w:rPr>
        <w:t>:</w:t>
      </w:r>
    </w:p>
    <w:p w:rsidR="000A129A" w:rsidRDefault="000A129A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val="en-US"/>
        </w:rPr>
      </w:pPr>
    </w:p>
    <w:tbl>
      <w:tblPr>
        <w:tblStyle w:val="TableGrid"/>
        <w:tblW w:w="6655" w:type="dxa"/>
        <w:tblInd w:w="720" w:type="dxa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990"/>
        <w:gridCol w:w="990"/>
        <w:gridCol w:w="900"/>
        <w:gridCol w:w="810"/>
      </w:tblGrid>
      <w:tr w:rsidR="00D23501" w:rsidTr="00D23501">
        <w:tc>
          <w:tcPr>
            <w:tcW w:w="985" w:type="dxa"/>
            <w:tcBorders>
              <w:bottom w:val="nil"/>
            </w:tcBorders>
          </w:tcPr>
          <w:p w:rsidR="00D23501" w:rsidRPr="00D23501" w:rsidRDefault="00D23501" w:rsidP="007461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D23501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U</w:t>
            </w:r>
          </w:p>
        </w:tc>
        <w:tc>
          <w:tcPr>
            <w:tcW w:w="990" w:type="dxa"/>
          </w:tcPr>
          <w:p w:rsidR="00D23501" w:rsidRDefault="00D23501" w:rsidP="007461FF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990" w:type="dxa"/>
          </w:tcPr>
          <w:p w:rsidR="00D23501" w:rsidRDefault="00D23501" w:rsidP="007461FF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990" w:type="dxa"/>
          </w:tcPr>
          <w:p w:rsidR="00D23501" w:rsidRDefault="00D23501" w:rsidP="007461FF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990" w:type="dxa"/>
          </w:tcPr>
          <w:p w:rsidR="00D23501" w:rsidRDefault="00D23501" w:rsidP="007461FF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15</w:t>
            </w:r>
          </w:p>
        </w:tc>
        <w:tc>
          <w:tcPr>
            <w:tcW w:w="900" w:type="dxa"/>
          </w:tcPr>
          <w:p w:rsidR="00D23501" w:rsidRDefault="00D23501" w:rsidP="007461FF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810" w:type="dxa"/>
          </w:tcPr>
          <w:p w:rsidR="00D23501" w:rsidRDefault="00D23501" w:rsidP="007461FF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25</w:t>
            </w:r>
          </w:p>
        </w:tc>
      </w:tr>
      <w:tr w:rsidR="000A129A" w:rsidTr="00D23501">
        <w:tc>
          <w:tcPr>
            <w:tcW w:w="985" w:type="dxa"/>
            <w:tcBorders>
              <w:top w:val="nil"/>
              <w:bottom w:val="nil"/>
            </w:tcBorders>
          </w:tcPr>
          <w:p w:rsidR="000A129A" w:rsidRPr="00D23501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D23501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T</w:t>
            </w:r>
          </w:p>
        </w:tc>
        <w:tc>
          <w:tcPr>
            <w:tcW w:w="990" w:type="dxa"/>
          </w:tcPr>
          <w:p w:rsidR="000A129A" w:rsidRDefault="000A129A" w:rsidP="000A12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:rsidR="000A129A" w:rsidRDefault="000A129A" w:rsidP="000A129A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12</w:t>
            </w:r>
          </w:p>
        </w:tc>
        <w:tc>
          <w:tcPr>
            <w:tcW w:w="90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16</w:t>
            </w:r>
          </w:p>
        </w:tc>
        <w:tc>
          <w:tcPr>
            <w:tcW w:w="81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20</w:t>
            </w:r>
          </w:p>
        </w:tc>
      </w:tr>
      <w:tr w:rsidR="000A129A" w:rsidTr="00D23501">
        <w:tc>
          <w:tcPr>
            <w:tcW w:w="985" w:type="dxa"/>
            <w:tcBorders>
              <w:top w:val="nil"/>
              <w:bottom w:val="nil"/>
            </w:tcBorders>
          </w:tcPr>
          <w:p w:rsidR="000A129A" w:rsidRPr="00D23501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D23501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I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90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12</w:t>
            </w:r>
          </w:p>
        </w:tc>
        <w:tc>
          <w:tcPr>
            <w:tcW w:w="81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15</w:t>
            </w:r>
          </w:p>
        </w:tc>
      </w:tr>
      <w:tr w:rsidR="000A129A" w:rsidTr="00D23501">
        <w:tc>
          <w:tcPr>
            <w:tcW w:w="985" w:type="dxa"/>
            <w:tcBorders>
              <w:top w:val="nil"/>
              <w:bottom w:val="nil"/>
            </w:tcBorders>
          </w:tcPr>
          <w:p w:rsidR="000A129A" w:rsidRPr="00D23501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D23501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C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81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10</w:t>
            </w:r>
          </w:p>
        </w:tc>
      </w:tr>
      <w:tr w:rsidR="000A129A" w:rsidTr="00D23501">
        <w:tc>
          <w:tcPr>
            <w:tcW w:w="985" w:type="dxa"/>
            <w:tcBorders>
              <w:top w:val="nil"/>
              <w:bottom w:val="nil"/>
            </w:tcBorders>
          </w:tcPr>
          <w:p w:rsidR="000A129A" w:rsidRPr="00D23501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D23501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81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</w:t>
            </w:r>
          </w:p>
        </w:tc>
      </w:tr>
      <w:tr w:rsidR="000A129A" w:rsidTr="008E6E72">
        <w:trPr>
          <w:trHeight w:val="444"/>
        </w:trPr>
        <w:tc>
          <w:tcPr>
            <w:tcW w:w="985" w:type="dxa"/>
            <w:tcBorders>
              <w:top w:val="nil"/>
            </w:tcBorders>
          </w:tcPr>
          <w:p w:rsidR="000A129A" w:rsidRPr="00D23501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D23501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J</w:t>
            </w:r>
          </w:p>
        </w:tc>
        <w:tc>
          <w:tcPr>
            <w:tcW w:w="990" w:type="dxa"/>
          </w:tcPr>
          <w:p w:rsidR="000A129A" w:rsidRDefault="000A129A" w:rsidP="00A33B3F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810" w:type="dxa"/>
          </w:tcPr>
          <w:p w:rsidR="000A129A" w:rsidRDefault="00D23501" w:rsidP="00D23501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</w:t>
            </w:r>
          </w:p>
        </w:tc>
      </w:tr>
    </w:tbl>
    <w:p w:rsidR="000A129A" w:rsidRDefault="008E6E72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-2540</wp:posOffset>
                </wp:positionV>
                <wp:extent cx="3600450" cy="3714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352" w:rsidRPr="008E6E72" w:rsidRDefault="00224352" w:rsidP="008E6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6E7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VJEROVATNOĆA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left:0;text-align:left;margin-left:84.75pt;margin-top:-.2pt;width:283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" fillcolor="white [3212]" strokecolor="black [1600]" strokeweight="2pt">
                <v:textbox>
                  <w:txbxContent>
                    <w:p w:rsidR="00224352" w:rsidRPr="008E6E72" w:rsidRDefault="00224352" w:rsidP="008E6E7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6E72">
                        <w:rPr>
                          <w:rFonts w:ascii="Arial" w:hAnsi="Arial" w:cs="Arial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VJEROVATNOĆA</w:t>
                      </w:r>
                    </w:p>
                  </w:txbxContent>
                </v:textbox>
              </v:rect>
            </w:pict>
          </mc:Fallback>
        </mc:AlternateContent>
      </w:r>
    </w:p>
    <w:p w:rsidR="000E77A1" w:rsidRDefault="000E77A1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  <w:lang w:val="en-US"/>
        </w:rPr>
        <w:lastRenderedPageBreak/>
        <w:t>Re</w:t>
      </w:r>
      <w:r>
        <w:rPr>
          <w:rFonts w:ascii="Arial" w:eastAsia="Times New Roman" w:hAnsi="Arial" w:cs="Arial"/>
          <w:color w:val="000000"/>
          <w:szCs w:val="24"/>
        </w:rPr>
        <w:t>zultati iz matrice rizika ukazuju na oblasti koje se smatraju visokim, srednjim ili malim rizikom. Rangiranje rizika je osnova za određivanje prioriteta i prikazuje izloženost Ministarstva rizicima.</w:t>
      </w:r>
    </w:p>
    <w:p w:rsidR="000E77A1" w:rsidRDefault="000E77A1" w:rsidP="00A33B3F">
      <w:pPr>
        <w:pStyle w:val="ListParagraph"/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Slijedi primjer rangiranja rizika:</w:t>
      </w:r>
    </w:p>
    <w:tbl>
      <w:tblPr>
        <w:tblStyle w:val="TableGrid"/>
        <w:tblpPr w:leftFromText="180" w:rightFromText="180" w:vertAnchor="page" w:horzAnchor="page" w:tblpX="2206" w:tblpY="2911"/>
        <w:tblW w:w="0" w:type="auto"/>
        <w:tblLook w:val="04A0" w:firstRow="1" w:lastRow="0" w:firstColumn="1" w:lastColumn="0" w:noHBand="0" w:noVBand="1"/>
      </w:tblPr>
      <w:tblGrid>
        <w:gridCol w:w="1505"/>
        <w:gridCol w:w="1604"/>
        <w:gridCol w:w="6514"/>
      </w:tblGrid>
      <w:tr w:rsidR="00786308" w:rsidTr="00786308">
        <w:trPr>
          <w:trHeight w:val="775"/>
        </w:trPr>
        <w:tc>
          <w:tcPr>
            <w:tcW w:w="1505" w:type="dxa"/>
          </w:tcPr>
          <w:p w:rsidR="00786308" w:rsidRPr="000E77A1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E77A1">
              <w:rPr>
                <w:rFonts w:ascii="Arial" w:eastAsia="Times New Roman" w:hAnsi="Arial" w:cs="Arial"/>
                <w:b/>
                <w:color w:val="000000"/>
                <w:szCs w:val="24"/>
              </w:rPr>
              <w:t>INDEKS RIZIKA</w:t>
            </w:r>
          </w:p>
        </w:tc>
        <w:tc>
          <w:tcPr>
            <w:tcW w:w="1604" w:type="dxa"/>
          </w:tcPr>
          <w:p w:rsidR="00786308" w:rsidRPr="000E77A1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E77A1">
              <w:rPr>
                <w:rFonts w:ascii="Arial" w:eastAsia="Times New Roman" w:hAnsi="Arial" w:cs="Arial"/>
                <w:b/>
                <w:color w:val="000000"/>
                <w:szCs w:val="24"/>
              </w:rPr>
              <w:t>RANG RIZIKA</w:t>
            </w:r>
          </w:p>
        </w:tc>
        <w:tc>
          <w:tcPr>
            <w:tcW w:w="6514" w:type="dxa"/>
          </w:tcPr>
          <w:p w:rsidR="00786308" w:rsidRPr="000E77A1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OPIS RIZIKA (PRIMJERI)</w:t>
            </w:r>
          </w:p>
        </w:tc>
      </w:tr>
      <w:tr w:rsidR="00786308" w:rsidTr="00786308">
        <w:trPr>
          <w:trHeight w:val="1635"/>
        </w:trPr>
        <w:tc>
          <w:tcPr>
            <w:tcW w:w="1505" w:type="dxa"/>
          </w:tcPr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15-25</w:t>
            </w:r>
          </w:p>
        </w:tc>
        <w:tc>
          <w:tcPr>
            <w:tcW w:w="1604" w:type="dxa"/>
          </w:tcPr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86308" w:rsidRPr="000E77A1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E77A1">
              <w:rPr>
                <w:rFonts w:ascii="Arial" w:eastAsia="Times New Roman" w:hAnsi="Arial" w:cs="Arial"/>
                <w:b/>
                <w:color w:val="000000"/>
                <w:szCs w:val="24"/>
              </w:rPr>
              <w:t>Visok</w:t>
            </w:r>
          </w:p>
        </w:tc>
        <w:tc>
          <w:tcPr>
            <w:tcW w:w="6514" w:type="dxa"/>
          </w:tcPr>
          <w:p w:rsidR="00786308" w:rsidRDefault="00786308" w:rsidP="0078630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-Prekid svih osnovnih programa/usluga</w:t>
            </w:r>
          </w:p>
          <w:p w:rsidR="00786308" w:rsidRDefault="00786308" w:rsidP="0078630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-Gubitak imovine velike vrijednosti</w:t>
            </w:r>
          </w:p>
          <w:p w:rsidR="00786308" w:rsidRDefault="00786308" w:rsidP="0078630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-Ozbiljne štete za životnu sredinu</w:t>
            </w:r>
          </w:p>
          <w:p w:rsidR="00786308" w:rsidRDefault="00786308" w:rsidP="0078630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-Značajan gubitak povjerenja javnosti</w:t>
            </w:r>
          </w:p>
          <w:p w:rsidR="00786308" w:rsidRPr="000E77A1" w:rsidRDefault="00786308" w:rsidP="0078630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-Pritisak javnosti za smjenu rukovodstva</w:t>
            </w:r>
          </w:p>
        </w:tc>
      </w:tr>
      <w:tr w:rsidR="00786308" w:rsidTr="00786308">
        <w:trPr>
          <w:trHeight w:val="1530"/>
        </w:trPr>
        <w:tc>
          <w:tcPr>
            <w:tcW w:w="1505" w:type="dxa"/>
          </w:tcPr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6-12</w:t>
            </w:r>
          </w:p>
        </w:tc>
        <w:tc>
          <w:tcPr>
            <w:tcW w:w="1604" w:type="dxa"/>
          </w:tcPr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86308" w:rsidRPr="000E77A1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Srednji</w:t>
            </w:r>
          </w:p>
        </w:tc>
        <w:tc>
          <w:tcPr>
            <w:tcW w:w="6514" w:type="dxa"/>
          </w:tcPr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-Prekid nekih osnovnih programa/usluga</w:t>
            </w: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-Gubitak imovine</w:t>
            </w: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-Štetne posljedice za životnu sredinu</w:t>
            </w: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-Djelimičan gubitak povjerenja javnosti</w:t>
            </w: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-Negativan stav javnosti u medijima</w:t>
            </w:r>
          </w:p>
        </w:tc>
      </w:tr>
      <w:tr w:rsidR="00786308" w:rsidTr="00786308">
        <w:trPr>
          <w:trHeight w:val="1513"/>
        </w:trPr>
        <w:tc>
          <w:tcPr>
            <w:tcW w:w="1505" w:type="dxa"/>
          </w:tcPr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1-5</w:t>
            </w:r>
          </w:p>
        </w:tc>
        <w:tc>
          <w:tcPr>
            <w:tcW w:w="1604" w:type="dxa"/>
          </w:tcPr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86308" w:rsidRPr="000E77A1" w:rsidRDefault="00786308" w:rsidP="00786308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E77A1">
              <w:rPr>
                <w:rFonts w:ascii="Arial" w:eastAsia="Times New Roman" w:hAnsi="Arial" w:cs="Arial"/>
                <w:b/>
                <w:color w:val="000000"/>
                <w:szCs w:val="24"/>
              </w:rPr>
              <w:t>Nizak</w:t>
            </w:r>
          </w:p>
        </w:tc>
        <w:tc>
          <w:tcPr>
            <w:tcW w:w="6514" w:type="dxa"/>
          </w:tcPr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-Kašnjenja u manjim projektima/uslugama</w:t>
            </w: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-Gubitak imovine (manje vrijednosti)</w:t>
            </w: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-Privremene štetne posljedice na životnu sredinu</w:t>
            </w: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-Smanjenje nivoa povjerenja javnosti</w:t>
            </w:r>
          </w:p>
          <w:p w:rsidR="00786308" w:rsidRDefault="00786308" w:rsidP="00786308">
            <w:pPr>
              <w:pStyle w:val="ListParagraph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-Djelimično negativan stav javnosti u medijima</w:t>
            </w:r>
          </w:p>
        </w:tc>
      </w:tr>
    </w:tbl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86308" w:rsidRDefault="00786308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U skladu sa svim prethodno navedenim, a na osnovu člana 7 Zakona o upravljanju i unutrašnjim kontrolama u javnom sektoru (''Službeni list Crne Gore'', broj 75/18) i Smjernicama za uspostavljanje i sprovođenje procesa upravljanja rizicima u subjektima javnog sektora (četvrto izdanje, decembar 2018. godine), u Ministarstvu sporta i mladih uspostavljen je Registar rizika na nivou </w:t>
      </w:r>
      <w:r w:rsidR="003C0375">
        <w:rPr>
          <w:rFonts w:ascii="Arial" w:eastAsia="Times New Roman" w:hAnsi="Arial" w:cs="Arial"/>
          <w:color w:val="000000"/>
          <w:szCs w:val="24"/>
        </w:rPr>
        <w:t>Ministarstva na osnovu podataka dobijenih od rukovodilaca organizacionih jedinica, kako slijedi.</w:t>
      </w:r>
    </w:p>
    <w:p w:rsidR="003C0375" w:rsidRDefault="003C0375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3C0375">
        <w:rPr>
          <w:rFonts w:ascii="Arial" w:eastAsia="Times New Roman" w:hAnsi="Arial" w:cs="Arial"/>
          <w:b/>
          <w:color w:val="000000"/>
          <w:szCs w:val="24"/>
          <w:u w:val="single"/>
        </w:rPr>
        <w:lastRenderedPageBreak/>
        <w:t>IDENTIFIKOVANI RIZICI U ORGANIZACIONIM JEDINICAMA</w:t>
      </w:r>
    </w:p>
    <w:p w:rsidR="003C0375" w:rsidRDefault="003C0375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  <w:u w:val="single"/>
        </w:rPr>
      </w:pPr>
    </w:p>
    <w:p w:rsidR="003C0375" w:rsidRDefault="003C0375" w:rsidP="0078630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</w:rPr>
        <w:t>NAZIV ORGANIZACIONE JEDINICE: DIREKTORAT ZA SPORT</w:t>
      </w:r>
    </w:p>
    <w:p w:rsidR="003C0375" w:rsidRDefault="003C0375" w:rsidP="003C0375">
      <w:pPr>
        <w:pStyle w:val="ListParagraph"/>
        <w:numPr>
          <w:ilvl w:val="0"/>
          <w:numId w:val="26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</w:rPr>
        <w:t xml:space="preserve">Opšti cilj: </w:t>
      </w:r>
      <w:r w:rsidRPr="003C0375">
        <w:rPr>
          <w:rFonts w:ascii="Arial" w:eastAsia="Times New Roman" w:hAnsi="Arial" w:cs="Arial"/>
          <w:color w:val="000000"/>
          <w:szCs w:val="24"/>
        </w:rPr>
        <w:t>Efikasno ispunjavanje zadataka iz nadležnosti Direktorata za sport</w:t>
      </w:r>
    </w:p>
    <w:p w:rsidR="003C0375" w:rsidRPr="003C0375" w:rsidRDefault="003C0375" w:rsidP="003C0375">
      <w:pPr>
        <w:pStyle w:val="ListParagraph"/>
        <w:numPr>
          <w:ilvl w:val="0"/>
          <w:numId w:val="26"/>
        </w:num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</w:rPr>
        <w:t xml:space="preserve">Posebni ciljevi: </w:t>
      </w:r>
      <w:r w:rsidRPr="003C0375">
        <w:rPr>
          <w:rFonts w:ascii="Arial" w:eastAsia="Times New Roman" w:hAnsi="Arial" w:cs="Arial"/>
          <w:color w:val="000000"/>
          <w:szCs w:val="24"/>
        </w:rPr>
        <w:t>Obezbijediti efikasno donošenje i sprovođenje odluka i blagovremeno izvještavanje</w:t>
      </w:r>
    </w:p>
    <w:p w:rsidR="003C0375" w:rsidRDefault="003C0375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883"/>
        <w:gridCol w:w="2044"/>
        <w:gridCol w:w="1663"/>
        <w:gridCol w:w="2602"/>
        <w:gridCol w:w="2163"/>
        <w:gridCol w:w="2041"/>
        <w:gridCol w:w="1613"/>
        <w:gridCol w:w="2106"/>
      </w:tblGrid>
      <w:tr w:rsidR="00F01653" w:rsidTr="00DF0042">
        <w:trPr>
          <w:trHeight w:val="1164"/>
        </w:trPr>
        <w:tc>
          <w:tcPr>
            <w:tcW w:w="883" w:type="dxa"/>
          </w:tcPr>
          <w:p w:rsidR="002608A9" w:rsidRDefault="006E1D86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Redni broj</w:t>
            </w:r>
          </w:p>
        </w:tc>
        <w:tc>
          <w:tcPr>
            <w:tcW w:w="2044" w:type="dxa"/>
          </w:tcPr>
          <w:p w:rsidR="006E1D86" w:rsidRDefault="006E1D86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2608A9" w:rsidRDefault="006E1D86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Opis rizika</w:t>
            </w:r>
          </w:p>
        </w:tc>
        <w:tc>
          <w:tcPr>
            <w:tcW w:w="1663" w:type="dxa"/>
          </w:tcPr>
          <w:p w:rsidR="006E1D86" w:rsidRDefault="006E1D86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2608A9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977264</wp:posOffset>
                      </wp:positionH>
                      <wp:positionV relativeFrom="paragraph">
                        <wp:posOffset>59690</wp:posOffset>
                      </wp:positionV>
                      <wp:extent cx="16668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C6755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4.7pt" to="208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" strokecolor="black [3040]"/>
                  </w:pict>
                </mc:Fallback>
              </mc:AlternateContent>
            </w:r>
            <w:r w:rsidR="006E1D86">
              <w:rPr>
                <w:rFonts w:ascii="Arial" w:eastAsia="Times New Roman" w:hAnsi="Arial" w:cs="Arial"/>
                <w:b/>
                <w:color w:val="000000"/>
                <w:szCs w:val="24"/>
              </w:rPr>
              <w:t>Vrsta rizika</w:t>
            </w:r>
          </w:p>
        </w:tc>
        <w:tc>
          <w:tcPr>
            <w:tcW w:w="2602" w:type="dxa"/>
          </w:tcPr>
          <w:p w:rsidR="002608A9" w:rsidRDefault="006E1D86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Rangiranje rizika</w:t>
            </w:r>
          </w:p>
          <w:p w:rsidR="006E1D86" w:rsidRDefault="00152119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59690</wp:posOffset>
                      </wp:positionV>
                      <wp:extent cx="0" cy="3876675"/>
                      <wp:effectExtent l="0" t="0" r="3810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04D5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4.7pt" to="33.35pt,3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" strokecolor="black [3040]"/>
                  </w:pict>
                </mc:Fallback>
              </mc:AlternateContent>
            </w:r>
            <w:r w:rsidR="00F01653"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59689</wp:posOffset>
                      </wp:positionV>
                      <wp:extent cx="9525" cy="387667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87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8164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pt,4.7pt" to="82.85pt,3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" strokecolor="black [3040]"/>
                  </w:pict>
                </mc:Fallback>
              </mc:AlternateContent>
            </w:r>
          </w:p>
          <w:p w:rsidR="006E1D86" w:rsidRDefault="006E1D86" w:rsidP="006E1D8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Uticaj Vjerova  Ukup</w:t>
            </w:r>
          </w:p>
          <w:p w:rsidR="006E1D86" w:rsidRDefault="006E1D86" w:rsidP="006E1D8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           </w:t>
            </w:r>
            <w:r w:rsidR="00F01653">
              <w:rPr>
                <w:rFonts w:ascii="Arial" w:eastAsia="Times New Roman" w:hAnsi="Arial" w:cs="Arial"/>
                <w:b/>
                <w:color w:val="000000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noća      no</w:t>
            </w:r>
          </w:p>
        </w:tc>
        <w:tc>
          <w:tcPr>
            <w:tcW w:w="2163" w:type="dxa"/>
          </w:tcPr>
          <w:p w:rsidR="002608A9" w:rsidRDefault="006E1D86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Pregled postojećih kontrola</w:t>
            </w:r>
          </w:p>
        </w:tc>
        <w:tc>
          <w:tcPr>
            <w:tcW w:w="2041" w:type="dxa"/>
          </w:tcPr>
          <w:p w:rsidR="006E1D86" w:rsidRDefault="006E1D86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2608A9" w:rsidRDefault="006E1D86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Reagovanje na rizik</w:t>
            </w:r>
          </w:p>
        </w:tc>
        <w:tc>
          <w:tcPr>
            <w:tcW w:w="1613" w:type="dxa"/>
          </w:tcPr>
          <w:p w:rsidR="002608A9" w:rsidRDefault="006E1D86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Odgovorna osoba za rizik</w:t>
            </w:r>
          </w:p>
        </w:tc>
        <w:tc>
          <w:tcPr>
            <w:tcW w:w="2106" w:type="dxa"/>
          </w:tcPr>
          <w:p w:rsidR="006E1D86" w:rsidRDefault="006E1D86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2608A9" w:rsidRDefault="006E1D86" w:rsidP="006E1D8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Rok </w:t>
            </w:r>
            <w:r w:rsidR="00491118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za 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sprovođenje</w:t>
            </w:r>
          </w:p>
        </w:tc>
      </w:tr>
      <w:tr w:rsidR="00F01653" w:rsidTr="00DF0042">
        <w:trPr>
          <w:trHeight w:val="5295"/>
        </w:trPr>
        <w:tc>
          <w:tcPr>
            <w:tcW w:w="883" w:type="dxa"/>
          </w:tcPr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E1D86" w:rsidRP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1.</w:t>
            </w:r>
          </w:p>
        </w:tc>
        <w:tc>
          <w:tcPr>
            <w:tcW w:w="2044" w:type="dxa"/>
          </w:tcPr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E1D86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Neblagovremeno i nazakonito lobiranje u postupku osnivanja sportske organizacije;</w:t>
            </w: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P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Donošenje nezakonitih odluka po zahtjevu za osnivanje sportske organizacije;</w:t>
            </w:r>
          </w:p>
        </w:tc>
        <w:tc>
          <w:tcPr>
            <w:tcW w:w="1663" w:type="dxa"/>
          </w:tcPr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E1D86" w:rsidRP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01653">
              <w:rPr>
                <w:rFonts w:ascii="Arial" w:eastAsia="Times New Roman" w:hAnsi="Arial" w:cs="Arial"/>
                <w:color w:val="000000"/>
                <w:szCs w:val="24"/>
              </w:rPr>
              <w:t>Operativni, opšti</w:t>
            </w:r>
          </w:p>
        </w:tc>
        <w:tc>
          <w:tcPr>
            <w:tcW w:w="2602" w:type="dxa"/>
          </w:tcPr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E1D86" w:rsidRPr="00F01653" w:rsidRDefault="00F01653" w:rsidP="00F01653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2            1            2</w:t>
            </w:r>
          </w:p>
        </w:tc>
        <w:tc>
          <w:tcPr>
            <w:tcW w:w="2163" w:type="dxa"/>
          </w:tcPr>
          <w:p w:rsidR="006E1D86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sportu;</w:t>
            </w: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o bližim uslovima za osnivanje sportske organizacije i obavljanje sportske djelatnosti;</w:t>
            </w: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o načinu vođenja sportskih organizacija;</w:t>
            </w:r>
          </w:p>
          <w:p w:rsid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01653" w:rsidRPr="00F01653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Izvještavanje o stanju u upravnoj oblasti;</w:t>
            </w:r>
          </w:p>
        </w:tc>
        <w:tc>
          <w:tcPr>
            <w:tcW w:w="2041" w:type="dxa"/>
          </w:tcPr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E1D86" w:rsidRDefault="00F01653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Transpar</w:t>
            </w:r>
            <w:r w:rsidR="00D87DC4">
              <w:rPr>
                <w:rFonts w:ascii="Arial" w:eastAsia="Times New Roman" w:hAnsi="Arial" w:cs="Arial"/>
                <w:color w:val="000000"/>
                <w:szCs w:val="24"/>
              </w:rPr>
              <w:t>entnost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u procedurama odlučivanja </w:t>
            </w:r>
            <w:r w:rsidR="00DF0042">
              <w:rPr>
                <w:rFonts w:ascii="Arial" w:eastAsia="Times New Roman" w:hAnsi="Arial" w:cs="Arial"/>
                <w:color w:val="000000"/>
                <w:szCs w:val="24"/>
              </w:rPr>
              <w:t>po zahtjevima za osnivanje sportske organizacije;</w:t>
            </w: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Pr="00F01653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Poštovanje propisanih rokova u skladu sa Zakonom o upravnom postupku;</w:t>
            </w:r>
          </w:p>
        </w:tc>
        <w:tc>
          <w:tcPr>
            <w:tcW w:w="1613" w:type="dxa"/>
          </w:tcPr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E1D86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Direktor direktorata za sport;</w:t>
            </w: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Načelnik;</w:t>
            </w: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P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2106" w:type="dxa"/>
          </w:tcPr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E1D86" w:rsidRPr="00DF0042" w:rsidRDefault="00DF004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F0042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</w:tbl>
    <w:p w:rsidR="003C0375" w:rsidRDefault="003C0375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0078BA" w:rsidRDefault="000078BA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0078BA" w:rsidRDefault="000078BA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"/>
        <w:gridCol w:w="2457"/>
        <w:gridCol w:w="1604"/>
        <w:gridCol w:w="746"/>
        <w:gridCol w:w="901"/>
        <w:gridCol w:w="746"/>
        <w:gridCol w:w="2099"/>
        <w:gridCol w:w="2055"/>
        <w:gridCol w:w="1630"/>
        <w:gridCol w:w="1585"/>
      </w:tblGrid>
      <w:tr w:rsidR="00F32CFA" w:rsidTr="002836F9">
        <w:trPr>
          <w:trHeight w:val="5835"/>
        </w:trPr>
        <w:tc>
          <w:tcPr>
            <w:tcW w:w="872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205A2" w:rsidRPr="009A3CD7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9A3CD7">
              <w:rPr>
                <w:rFonts w:ascii="Arial" w:eastAsia="Times New Roman" w:hAnsi="Arial" w:cs="Arial"/>
                <w:color w:val="000000"/>
                <w:szCs w:val="24"/>
              </w:rPr>
              <w:t>2.</w:t>
            </w:r>
          </w:p>
        </w:tc>
        <w:tc>
          <w:tcPr>
            <w:tcW w:w="2501" w:type="dxa"/>
          </w:tcPr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Donošenje nezakonitih odluka po konkursu za sufinansiranje programa sportskih organizacija;</w:t>
            </w:r>
          </w:p>
          <w:p w:rsid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205A2" w:rsidRPr="00D205A2" w:rsidRDefault="00D205A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Neadekvatna kontrola polugodišnjih i godišnjih-završnih izvještaja o namjenskom trošenju dodijeljenih sredstava sportskim organizacijama na konkursu za sufinansiranje programa sportskih organizacija</w:t>
            </w:r>
          </w:p>
        </w:tc>
        <w:tc>
          <w:tcPr>
            <w:tcW w:w="1310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P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 i finansijski</w:t>
            </w:r>
          </w:p>
        </w:tc>
        <w:tc>
          <w:tcPr>
            <w:tcW w:w="788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Pr="009A3CD7" w:rsidRDefault="009A3CD7" w:rsidP="009A3CD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9A3CD7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59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Pr="009A3CD7" w:rsidRDefault="009A3CD7" w:rsidP="009A3CD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Pr="009A3CD7" w:rsidRDefault="009A3CD7" w:rsidP="009A3CD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39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sportu;</w:t>
            </w:r>
          </w:p>
          <w:p w:rsid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A3CD7" w:rsidRP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o uslovima i načinu postupka i kriterijumima za dodjelu sredstava i kontrolu nad realizacijom programa sportskih organizacija;</w:t>
            </w:r>
          </w:p>
        </w:tc>
        <w:tc>
          <w:tcPr>
            <w:tcW w:w="2065" w:type="dxa"/>
          </w:tcPr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246AA5" w:rsidRPr="009A3CD7" w:rsidRDefault="009A3CD7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Transparentnost u procedurama odlučivanja u oblastima iz nadležnosti </w:t>
            </w:r>
            <w:r w:rsidR="00F342E4">
              <w:rPr>
                <w:rFonts w:ascii="Arial" w:eastAsia="Times New Roman" w:hAnsi="Arial" w:cs="Arial"/>
                <w:color w:val="000000"/>
                <w:szCs w:val="24"/>
              </w:rPr>
              <w:t>Ministarstva i Direktorata;</w:t>
            </w:r>
          </w:p>
        </w:tc>
        <w:tc>
          <w:tcPr>
            <w:tcW w:w="1630" w:type="dxa"/>
          </w:tcPr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246AA5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Direktor direktorata za sport;</w:t>
            </w:r>
          </w:p>
          <w:p w:rsidR="00F342E4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Načelnik;</w:t>
            </w:r>
          </w:p>
          <w:p w:rsidR="00F342E4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1600" w:type="dxa"/>
          </w:tcPr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246AA5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F32CFA" w:rsidTr="002836F9">
        <w:trPr>
          <w:trHeight w:val="3135"/>
        </w:trPr>
        <w:tc>
          <w:tcPr>
            <w:tcW w:w="872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3.</w:t>
            </w:r>
          </w:p>
        </w:tc>
        <w:tc>
          <w:tcPr>
            <w:tcW w:w="2501" w:type="dxa"/>
          </w:tcPr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246AA5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Neblagovremeno vođenje evidencije Registra sportskih organizacija</w:t>
            </w:r>
          </w:p>
        </w:tc>
        <w:tc>
          <w:tcPr>
            <w:tcW w:w="1310" w:type="dxa"/>
          </w:tcPr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246AA5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788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71B02" w:rsidRDefault="00371B02" w:rsidP="00F342E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F342E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Pr="00F342E4" w:rsidRDefault="00F342E4" w:rsidP="00F342E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59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71B02" w:rsidRDefault="00371B02" w:rsidP="00F342E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F342E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Pr="00F342E4" w:rsidRDefault="00F342E4" w:rsidP="00F342E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:rsidR="00246AA5" w:rsidRDefault="00246AA5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71B02" w:rsidRDefault="00371B02" w:rsidP="00F342E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F342E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Pr="00F342E4" w:rsidRDefault="00F342E4" w:rsidP="00F342E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39" w:type="dxa"/>
          </w:tcPr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246AA5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Zakon o sportu;</w:t>
            </w:r>
          </w:p>
          <w:p w:rsidR="00F342E4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o načinu vođenja registra sportskih organizacija</w:t>
            </w:r>
          </w:p>
        </w:tc>
        <w:tc>
          <w:tcPr>
            <w:tcW w:w="2065" w:type="dxa"/>
          </w:tcPr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246AA5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Redovno ažuriranje podataka u Registru sportskih organizacija</w:t>
            </w:r>
          </w:p>
        </w:tc>
        <w:tc>
          <w:tcPr>
            <w:tcW w:w="1630" w:type="dxa"/>
          </w:tcPr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246AA5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Direktor direktorata za sport;</w:t>
            </w: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Načelnik;</w:t>
            </w:r>
          </w:p>
          <w:p w:rsidR="00371B02" w:rsidRDefault="00371B0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Postupajući službenici</w:t>
            </w:r>
          </w:p>
        </w:tc>
        <w:tc>
          <w:tcPr>
            <w:tcW w:w="1600" w:type="dxa"/>
          </w:tcPr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246AA5" w:rsidRPr="00F342E4" w:rsidRDefault="00F342E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F32CFA" w:rsidTr="002836F9">
        <w:trPr>
          <w:trHeight w:val="3135"/>
        </w:trPr>
        <w:tc>
          <w:tcPr>
            <w:tcW w:w="872" w:type="dxa"/>
          </w:tcPr>
          <w:p w:rsidR="004A0D6C" w:rsidRDefault="004A0D6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4A0D6C" w:rsidRDefault="004A0D6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4A0D6C" w:rsidRDefault="004A0D6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4A0D6C" w:rsidRDefault="004A0D6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4A0D6C" w:rsidRDefault="004A0D6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4A0D6C" w:rsidRDefault="004A0D6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A0D6C" w:rsidRPr="004A0D6C" w:rsidRDefault="004A0D6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4A0D6C">
              <w:rPr>
                <w:rFonts w:ascii="Arial" w:eastAsia="Times New Roman" w:hAnsi="Arial" w:cs="Arial"/>
                <w:color w:val="000000"/>
                <w:szCs w:val="24"/>
              </w:rPr>
              <w:t>4.</w:t>
            </w:r>
          </w:p>
        </w:tc>
        <w:tc>
          <w:tcPr>
            <w:tcW w:w="2501" w:type="dxa"/>
          </w:tcPr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A0D6C" w:rsidRDefault="004A0D6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Neblagovremeno uno unošenje</w:t>
            </w:r>
            <w:r w:rsidR="00F5234F">
              <w:rPr>
                <w:rFonts w:ascii="Arial" w:eastAsia="Times New Roman" w:hAnsi="Arial" w:cs="Arial"/>
                <w:color w:val="000000"/>
                <w:szCs w:val="24"/>
              </w:rPr>
              <w:t xml:space="preserve"> i ažuriranje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podataka u </w:t>
            </w:r>
            <w:r w:rsidR="005A030C">
              <w:rPr>
                <w:rFonts w:ascii="Arial" w:eastAsia="Times New Roman" w:hAnsi="Arial" w:cs="Arial"/>
                <w:color w:val="000000"/>
                <w:szCs w:val="24"/>
              </w:rPr>
              <w:t xml:space="preserve">informacioni sistem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Centralni registar sportskih organizacija (CRSO)</w:t>
            </w:r>
          </w:p>
        </w:tc>
        <w:tc>
          <w:tcPr>
            <w:tcW w:w="1310" w:type="dxa"/>
          </w:tcPr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2836F9" w:rsidRDefault="004A0D6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  <w:p w:rsidR="002836F9" w:rsidRDefault="002836F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    I</w:t>
            </w:r>
          </w:p>
          <w:p w:rsidR="004A0D6C" w:rsidRDefault="00F32CF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Informacije i komunikacije</w:t>
            </w:r>
            <w:r w:rsidR="002836F9">
              <w:rPr>
                <w:rFonts w:ascii="Arial" w:eastAsia="Times New Roman" w:hAnsi="Arial" w:cs="Arial"/>
                <w:color w:val="000000"/>
                <w:szCs w:val="24"/>
              </w:rPr>
              <w:t xml:space="preserve">      </w:t>
            </w:r>
          </w:p>
        </w:tc>
        <w:tc>
          <w:tcPr>
            <w:tcW w:w="788" w:type="dxa"/>
          </w:tcPr>
          <w:p w:rsidR="004A0D6C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59" w:type="dxa"/>
          </w:tcPr>
          <w:p w:rsidR="004A0D6C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:rsidR="004A0D6C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39" w:type="dxa"/>
          </w:tcPr>
          <w:p w:rsidR="00F5234F" w:rsidRDefault="00F5234F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A0D6C" w:rsidRPr="00F342E4" w:rsidRDefault="004A0D6C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Zakon o sportu;</w:t>
            </w:r>
          </w:p>
          <w:p w:rsidR="004A0D6C" w:rsidRPr="00F342E4" w:rsidRDefault="004A0D6C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A0D6C" w:rsidRDefault="004A0D6C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o načinu vođenja registra sportskih organizacija</w:t>
            </w:r>
          </w:p>
          <w:p w:rsidR="00F5234F" w:rsidRDefault="00F5234F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Interna procedura o načinu vođenja, unos, kontrolu i izmjenu podataka u CRSO</w:t>
            </w:r>
          </w:p>
        </w:tc>
        <w:tc>
          <w:tcPr>
            <w:tcW w:w="2065" w:type="dxa"/>
          </w:tcPr>
          <w:p w:rsidR="004A0D6C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Redovno unošenje i ažuriranje podataka u CRSO</w:t>
            </w: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Redovno izvještavanje </w:t>
            </w:r>
            <w:r w:rsidR="00056AC4">
              <w:rPr>
                <w:rFonts w:ascii="Arial" w:eastAsia="Times New Roman" w:hAnsi="Arial" w:cs="Arial"/>
                <w:color w:val="000000"/>
                <w:szCs w:val="24"/>
              </w:rPr>
              <w:t xml:space="preserve">od starne postupajućih službenika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rukovodioca</w:t>
            </w:r>
            <w:r w:rsidR="00056AC4">
              <w:rPr>
                <w:rFonts w:ascii="Arial" w:eastAsia="Times New Roman" w:hAnsi="Arial" w:cs="Arial"/>
                <w:color w:val="000000"/>
                <w:szCs w:val="24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organizacione jedinice o unosu i ažuriranju podataka u CRSO</w:t>
            </w: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Redovna kontrola</w:t>
            </w:r>
            <w:r w:rsidR="00056AC4">
              <w:rPr>
                <w:rFonts w:ascii="Arial" w:eastAsia="Times New Roman" w:hAnsi="Arial" w:cs="Arial"/>
                <w:color w:val="000000"/>
                <w:szCs w:val="24"/>
              </w:rPr>
              <w:t xml:space="preserve"> rukovodioca organizacione jedinice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da li se podaci blagovremeno unose i ažuriraju u informacioni sistem CRSO</w:t>
            </w: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P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t>Direktor direktorata za sport;</w:t>
            </w:r>
          </w:p>
          <w:p w:rsidR="00F5234F" w:rsidRP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P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t>Načelnik;</w:t>
            </w:r>
          </w:p>
          <w:p w:rsidR="00F5234F" w:rsidRPr="00F5234F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A0D6C" w:rsidRDefault="00F5234F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t>Postupajući službenici</w:t>
            </w:r>
          </w:p>
        </w:tc>
        <w:tc>
          <w:tcPr>
            <w:tcW w:w="1600" w:type="dxa"/>
          </w:tcPr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5234F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A0D6C" w:rsidRDefault="00F5234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F32CFA" w:rsidTr="002836F9">
        <w:trPr>
          <w:trHeight w:val="3135"/>
        </w:trPr>
        <w:tc>
          <w:tcPr>
            <w:tcW w:w="872" w:type="dxa"/>
          </w:tcPr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06034" w:rsidRDefault="0010603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5</w:t>
            </w:r>
            <w:r w:rsidR="005A030C">
              <w:rPr>
                <w:rFonts w:ascii="Arial" w:eastAsia="Times New Roman" w:hAnsi="Arial" w:cs="Arial"/>
                <w:b/>
                <w:color w:val="000000"/>
                <w:szCs w:val="24"/>
              </w:rPr>
              <w:t>.</w:t>
            </w:r>
          </w:p>
        </w:tc>
        <w:tc>
          <w:tcPr>
            <w:tcW w:w="2501" w:type="dxa"/>
          </w:tcPr>
          <w:p w:rsidR="00106034" w:rsidRDefault="0010603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Nedostatak finasijskih sredtva za održavanje i nadogradnju </w:t>
            </w:r>
            <w:r w:rsidR="005A030C">
              <w:rPr>
                <w:rFonts w:ascii="Arial" w:eastAsia="Times New Roman" w:hAnsi="Arial" w:cs="Arial"/>
                <w:color w:val="000000"/>
                <w:szCs w:val="24"/>
              </w:rPr>
              <w:t xml:space="preserve">informacionog sistema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Centralnog registra sportskih organizacija (CRSO) </w:t>
            </w:r>
          </w:p>
        </w:tc>
        <w:tc>
          <w:tcPr>
            <w:tcW w:w="1310" w:type="dxa"/>
          </w:tcPr>
          <w:p w:rsidR="00106034" w:rsidRDefault="0010603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 i finansijski</w:t>
            </w:r>
          </w:p>
        </w:tc>
        <w:tc>
          <w:tcPr>
            <w:tcW w:w="788" w:type="dxa"/>
          </w:tcPr>
          <w:p w:rsidR="00106034" w:rsidRPr="004D5654" w:rsidRDefault="004D565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59" w:type="dxa"/>
          </w:tcPr>
          <w:p w:rsidR="00106034" w:rsidRPr="004D5654" w:rsidRDefault="004D565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:rsidR="00106034" w:rsidRPr="004D5654" w:rsidRDefault="004D565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39" w:type="dxa"/>
          </w:tcPr>
          <w:p w:rsidR="00106034" w:rsidRPr="00676422" w:rsidRDefault="00106034" w:rsidP="0010603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Zakon o sportu;</w:t>
            </w:r>
          </w:p>
          <w:p w:rsidR="00106034" w:rsidRDefault="005A030C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</w:p>
          <w:p w:rsidR="005A030C" w:rsidRDefault="005A030C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A030C" w:rsidRDefault="005A030C" w:rsidP="005A030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budžetu i fiskalnoj odgovornosti</w:t>
            </w:r>
          </w:p>
          <w:p w:rsidR="005A030C" w:rsidRDefault="005A030C" w:rsidP="004A0D6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065" w:type="dxa"/>
          </w:tcPr>
          <w:p w:rsidR="00106034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Obezbejđivanje finasijskih sredstva kroz planiranje budžeta </w:t>
            </w: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Komunikacija sa Ministarstvom finasija za obezbjeđivanje finasijskih sredstava</w:t>
            </w:r>
          </w:p>
        </w:tc>
        <w:tc>
          <w:tcPr>
            <w:tcW w:w="1630" w:type="dxa"/>
          </w:tcPr>
          <w:p w:rsidR="00106034" w:rsidRDefault="005A030C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t>Direktor direktorata za sport</w:t>
            </w:r>
          </w:p>
          <w:p w:rsidR="005A030C" w:rsidRDefault="005A030C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A030C" w:rsidRDefault="005A030C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Sekretar</w:t>
            </w:r>
          </w:p>
        </w:tc>
        <w:tc>
          <w:tcPr>
            <w:tcW w:w="1600" w:type="dxa"/>
          </w:tcPr>
          <w:p w:rsidR="00106034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342E4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F32CFA" w:rsidTr="002836F9">
        <w:trPr>
          <w:trHeight w:val="3135"/>
        </w:trPr>
        <w:tc>
          <w:tcPr>
            <w:tcW w:w="872" w:type="dxa"/>
          </w:tcPr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6.</w:t>
            </w:r>
          </w:p>
        </w:tc>
        <w:tc>
          <w:tcPr>
            <w:tcW w:w="2501" w:type="dxa"/>
          </w:tcPr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Neadekvatno održavanje informacionog sistema Centralnog registra sportskih organizacija (CRSO</w:t>
            </w:r>
            <w:r w:rsidR="004E0309">
              <w:rPr>
                <w:rFonts w:ascii="Arial" w:eastAsia="Times New Roman" w:hAnsi="Arial" w:cs="Arial"/>
                <w:color w:val="000000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ili neadekvatna</w:t>
            </w:r>
            <w:r w:rsidR="00D75E82">
              <w:rPr>
                <w:rFonts w:ascii="Arial" w:eastAsia="Times New Roman" w:hAnsi="Arial" w:cs="Arial"/>
                <w:color w:val="000000"/>
                <w:szCs w:val="24"/>
              </w:rPr>
              <w:t xml:space="preserve"> saradnja sa isporučiocem informacionog sistema  mogu otežati korišćenje CRSO ili prouzrokovati da nije dostupan</w:t>
            </w:r>
          </w:p>
        </w:tc>
        <w:tc>
          <w:tcPr>
            <w:tcW w:w="1310" w:type="dxa"/>
          </w:tcPr>
          <w:p w:rsidR="005A030C" w:rsidRDefault="005A030C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  <w:p w:rsidR="00F32CFA" w:rsidRDefault="00F32CFA" w:rsidP="00F32C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    I</w:t>
            </w:r>
          </w:p>
          <w:p w:rsidR="00F32CFA" w:rsidRDefault="00F32CFA" w:rsidP="00F32C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Informacije i komunikacije      </w:t>
            </w:r>
          </w:p>
        </w:tc>
        <w:tc>
          <w:tcPr>
            <w:tcW w:w="788" w:type="dxa"/>
          </w:tcPr>
          <w:p w:rsidR="005A030C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59" w:type="dxa"/>
          </w:tcPr>
          <w:p w:rsidR="005A030C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:rsidR="005A030C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39" w:type="dxa"/>
          </w:tcPr>
          <w:p w:rsidR="005A030C" w:rsidRDefault="005A030C" w:rsidP="0010603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Default="00D75E82" w:rsidP="0010603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Default="00D75E82" w:rsidP="0010603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Default="00D75E82" w:rsidP="0010603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Pr="00676422" w:rsidRDefault="00D75E82" w:rsidP="0010603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Ugovor o održavanju informacionog sitema</w:t>
            </w:r>
          </w:p>
        </w:tc>
        <w:tc>
          <w:tcPr>
            <w:tcW w:w="2065" w:type="dxa"/>
          </w:tcPr>
          <w:p w:rsidR="005A030C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Poštovanje ugovora  o održavanju od strane isporučioca</w:t>
            </w: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Sistematski bilježiti greške prijavljivati isporučiocu i pratiti njihovo otklanjanje</w:t>
            </w:r>
          </w:p>
          <w:p w:rsidR="00056AC4" w:rsidRDefault="00056AC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56AC4" w:rsidRDefault="00056AC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Redovno praćenje rada  informacionog sistema CRSO</w:t>
            </w:r>
            <w:r w:rsidR="00602CB0">
              <w:rPr>
                <w:rFonts w:ascii="Arial" w:eastAsia="Times New Roman" w:hAnsi="Arial" w:cs="Arial"/>
                <w:color w:val="000000"/>
                <w:szCs w:val="24"/>
              </w:rPr>
              <w:t xml:space="preserve">, blagovremena komunikacija između </w:t>
            </w:r>
            <w:r w:rsidR="00602CB0">
              <w:rPr>
                <w:rFonts w:ascii="Arial" w:eastAsia="Times New Roman" w:hAnsi="Arial" w:cs="Arial"/>
                <w:color w:val="000000"/>
                <w:szCs w:val="24"/>
              </w:rPr>
              <w:lastRenderedPageBreak/>
              <w:t>zaposlenih, rukovodioca organizacione jedinice i isporučioca sistema</w:t>
            </w:r>
          </w:p>
        </w:tc>
        <w:tc>
          <w:tcPr>
            <w:tcW w:w="1630" w:type="dxa"/>
          </w:tcPr>
          <w:p w:rsidR="00D75E82" w:rsidRDefault="00D75E82" w:rsidP="00D75E8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lastRenderedPageBreak/>
              <w:t>Direktor direktorata za sport</w:t>
            </w:r>
          </w:p>
          <w:p w:rsidR="00D75E82" w:rsidRDefault="00D75E82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</w:p>
          <w:p w:rsidR="00D75E82" w:rsidRDefault="00D75E82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A030C" w:rsidRDefault="00D75E82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t>Postupajući službenici</w:t>
            </w:r>
          </w:p>
          <w:p w:rsidR="00D75E82" w:rsidRDefault="00D75E82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Default="00D75E82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Pr="00F5234F" w:rsidRDefault="00D75E82" w:rsidP="00F5234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Administrator sistema</w:t>
            </w:r>
          </w:p>
        </w:tc>
        <w:tc>
          <w:tcPr>
            <w:tcW w:w="1600" w:type="dxa"/>
          </w:tcPr>
          <w:p w:rsidR="005A030C" w:rsidRPr="00F342E4" w:rsidRDefault="00056AC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2836F9" w:rsidTr="002836F9">
        <w:trPr>
          <w:trHeight w:val="3135"/>
        </w:trPr>
        <w:tc>
          <w:tcPr>
            <w:tcW w:w="872" w:type="dxa"/>
          </w:tcPr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D75E82" w:rsidRDefault="00D75E8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7.</w:t>
            </w:r>
          </w:p>
        </w:tc>
        <w:tc>
          <w:tcPr>
            <w:tcW w:w="2501" w:type="dxa"/>
          </w:tcPr>
          <w:p w:rsidR="00D75E82" w:rsidRDefault="004E030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Zloupotreba korišćenja naloga, lozinki, neovlašćen pristup i promjena podataka u informacioni sistem Centralnog registra sportskih organizacija (CRSO)</w:t>
            </w:r>
          </w:p>
        </w:tc>
        <w:tc>
          <w:tcPr>
            <w:tcW w:w="1310" w:type="dxa"/>
          </w:tcPr>
          <w:p w:rsidR="00D75E82" w:rsidRDefault="004E030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="00F32CFA"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  <w:p w:rsidR="00F32CFA" w:rsidRDefault="00F32CFA" w:rsidP="00F32C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    I</w:t>
            </w:r>
          </w:p>
          <w:p w:rsidR="004E0309" w:rsidRDefault="00F32CFA" w:rsidP="00F32C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Informacije i komunikacije      </w:t>
            </w:r>
          </w:p>
          <w:p w:rsidR="004E0309" w:rsidRDefault="004E030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788" w:type="dxa"/>
          </w:tcPr>
          <w:p w:rsidR="00D75E82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59" w:type="dxa"/>
          </w:tcPr>
          <w:p w:rsidR="00D75E82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:rsidR="00D75E82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39" w:type="dxa"/>
          </w:tcPr>
          <w:p w:rsidR="00D75E82" w:rsidRDefault="004E0309" w:rsidP="0010603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Interna procedura o načinu vođenja, unos, kontrolu i izmjenu podataka u CRSO </w:t>
            </w:r>
          </w:p>
        </w:tc>
        <w:tc>
          <w:tcPr>
            <w:tcW w:w="2065" w:type="dxa"/>
          </w:tcPr>
          <w:p w:rsidR="00D75E82" w:rsidRDefault="004E030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Preduzimanje odgovarajućih mjera </w:t>
            </w:r>
            <w:r w:rsidR="00056AC4">
              <w:rPr>
                <w:rFonts w:ascii="Arial" w:eastAsia="Times New Roman" w:hAnsi="Arial" w:cs="Arial"/>
                <w:color w:val="000000"/>
                <w:szCs w:val="24"/>
              </w:rPr>
              <w:t xml:space="preserve">u cilju smanjnja rizika </w:t>
            </w:r>
          </w:p>
          <w:p w:rsidR="00056AC4" w:rsidRDefault="00056AC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56AC4" w:rsidRDefault="00056AC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Usvojen odgovarajući interni akt ili procedura koja utiče na ublažavanje rizika</w:t>
            </w:r>
          </w:p>
        </w:tc>
        <w:tc>
          <w:tcPr>
            <w:tcW w:w="1630" w:type="dxa"/>
          </w:tcPr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t>Direktor direktorata za sport</w:t>
            </w: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t>Postupajući službenici</w:t>
            </w: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5E82" w:rsidRPr="00F5234F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Administrator sistema</w:t>
            </w:r>
          </w:p>
        </w:tc>
        <w:tc>
          <w:tcPr>
            <w:tcW w:w="1600" w:type="dxa"/>
          </w:tcPr>
          <w:p w:rsidR="00D75E82" w:rsidRPr="00F85298" w:rsidRDefault="00F32CF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F32CFA" w:rsidTr="002836F9">
        <w:trPr>
          <w:trHeight w:val="3135"/>
        </w:trPr>
        <w:tc>
          <w:tcPr>
            <w:tcW w:w="872" w:type="dxa"/>
          </w:tcPr>
          <w:p w:rsidR="00056AC4" w:rsidRDefault="00056AC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56AC4" w:rsidRDefault="00056AC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56AC4" w:rsidRDefault="00056AC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56AC4" w:rsidRDefault="00056AC4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8.</w:t>
            </w:r>
          </w:p>
        </w:tc>
        <w:tc>
          <w:tcPr>
            <w:tcW w:w="2501" w:type="dxa"/>
          </w:tcPr>
          <w:p w:rsidR="00056AC4" w:rsidRDefault="00602CB0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Nedostatak precizno definisanih nadležnosti za održavanje servera i becap podataka i gubljenje podataka na rezervnoj kopiji</w:t>
            </w:r>
          </w:p>
        </w:tc>
        <w:tc>
          <w:tcPr>
            <w:tcW w:w="1310" w:type="dxa"/>
          </w:tcPr>
          <w:p w:rsidR="00F32CFA" w:rsidRDefault="00F32CFA" w:rsidP="00F32C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Operativni      </w:t>
            </w:r>
          </w:p>
          <w:p w:rsidR="00F32CFA" w:rsidRDefault="00F32CFA" w:rsidP="00F32C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2CFA" w:rsidRDefault="00F32CFA" w:rsidP="00F32C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I  </w:t>
            </w:r>
          </w:p>
          <w:p w:rsidR="00056AC4" w:rsidRDefault="00F32CFA" w:rsidP="00F32C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Informacije i komunikacije      </w:t>
            </w:r>
          </w:p>
        </w:tc>
        <w:tc>
          <w:tcPr>
            <w:tcW w:w="788" w:type="dxa"/>
          </w:tcPr>
          <w:p w:rsidR="00056AC4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59" w:type="dxa"/>
          </w:tcPr>
          <w:p w:rsidR="00056AC4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788" w:type="dxa"/>
          </w:tcPr>
          <w:p w:rsidR="00056AC4" w:rsidRPr="00956919" w:rsidRDefault="00956919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39" w:type="dxa"/>
          </w:tcPr>
          <w:p w:rsidR="00056AC4" w:rsidRDefault="00B10666" w:rsidP="0010603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Usaglasiti nadležnosti sa poslovima pružanja informatičke podrške</w:t>
            </w:r>
          </w:p>
        </w:tc>
        <w:tc>
          <w:tcPr>
            <w:tcW w:w="2065" w:type="dxa"/>
          </w:tcPr>
          <w:p w:rsidR="00056AC4" w:rsidRDefault="00B10666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Organizovati sastanak sa predstavnicima Ministarstva javne uprave i isporučiocem informacionog sistema</w:t>
            </w:r>
          </w:p>
        </w:tc>
        <w:tc>
          <w:tcPr>
            <w:tcW w:w="1630" w:type="dxa"/>
          </w:tcPr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t>Direktor direktorata za sport</w:t>
            </w: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5234F">
              <w:rPr>
                <w:rFonts w:ascii="Arial" w:eastAsia="Times New Roman" w:hAnsi="Arial" w:cs="Arial"/>
                <w:color w:val="000000"/>
                <w:szCs w:val="24"/>
              </w:rPr>
              <w:t>Postupajući službenici</w:t>
            </w: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10666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56AC4" w:rsidRPr="00F5234F" w:rsidRDefault="00B10666" w:rsidP="00B1066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Administrator sistema</w:t>
            </w:r>
          </w:p>
        </w:tc>
        <w:tc>
          <w:tcPr>
            <w:tcW w:w="1600" w:type="dxa"/>
          </w:tcPr>
          <w:p w:rsidR="00F32CFA" w:rsidRDefault="00F32CF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2CFA" w:rsidRDefault="00F32CF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2CFA" w:rsidRDefault="00F32CF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32CFA" w:rsidRDefault="00F32CF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56AC4" w:rsidRPr="00F342E4" w:rsidRDefault="00F32CF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IV kvartal</w:t>
            </w:r>
          </w:p>
        </w:tc>
      </w:tr>
    </w:tbl>
    <w:p w:rsidR="000078BA" w:rsidRPr="000078BA" w:rsidRDefault="000078BA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035"/>
        <w:gridCol w:w="1655"/>
        <w:gridCol w:w="810"/>
        <w:gridCol w:w="990"/>
        <w:gridCol w:w="810"/>
        <w:gridCol w:w="2160"/>
        <w:gridCol w:w="2070"/>
        <w:gridCol w:w="1620"/>
        <w:gridCol w:w="1607"/>
      </w:tblGrid>
      <w:tr w:rsidR="00C84EAF" w:rsidTr="004E526F">
        <w:trPr>
          <w:trHeight w:val="3747"/>
        </w:trPr>
        <w:tc>
          <w:tcPr>
            <w:tcW w:w="895" w:type="dxa"/>
          </w:tcPr>
          <w:p w:rsidR="004E526F" w:rsidRDefault="004E526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Pr="00676422" w:rsidRDefault="00B10666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9</w:t>
            </w:r>
            <w:r w:rsidR="00676422" w:rsidRPr="00676422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</w:p>
        </w:tc>
        <w:tc>
          <w:tcPr>
            <w:tcW w:w="2035" w:type="dxa"/>
          </w:tcPr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32F78" w:rsidRDefault="00132F78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526F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Nezakonito utvrđivanje statusa sportiste sa vrhunskim reprezentativnim rezultatom i prava na doživotnu mjesečnu naknadu;</w:t>
            </w:r>
          </w:p>
        </w:tc>
        <w:tc>
          <w:tcPr>
            <w:tcW w:w="1655" w:type="dxa"/>
          </w:tcPr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526F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810" w:type="dxa"/>
          </w:tcPr>
          <w:p w:rsidR="004E526F" w:rsidRPr="00676422" w:rsidRDefault="004E526F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90" w:type="dxa"/>
          </w:tcPr>
          <w:p w:rsidR="004E526F" w:rsidRPr="00676422" w:rsidRDefault="004E526F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810" w:type="dxa"/>
          </w:tcPr>
          <w:p w:rsidR="004E526F" w:rsidRDefault="004E526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60" w:type="dxa"/>
          </w:tcPr>
          <w:p w:rsidR="004E526F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Zakon o sportu;</w:t>
            </w:r>
          </w:p>
          <w:p w:rsidR="00676422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Uredba o kriterijumima za utvrđivanje visine doživotne mjesečne naknade, stipendije i premije sportske invalidnine, nagrada za sportistu godine i zaslužnog sportistu</w:t>
            </w:r>
          </w:p>
        </w:tc>
        <w:tc>
          <w:tcPr>
            <w:tcW w:w="2070" w:type="dxa"/>
          </w:tcPr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526F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Transparentnost </w:t>
            </w:r>
            <w:r w:rsidR="00C84EAF">
              <w:rPr>
                <w:rFonts w:ascii="Arial" w:eastAsia="Times New Roman" w:hAnsi="Arial" w:cs="Arial"/>
                <w:color w:val="000000"/>
                <w:szCs w:val="24"/>
              </w:rPr>
              <w:t>u procedurama odlučivanja u oblastima iz nadležnosti Ministarstva i Direktorata;</w:t>
            </w:r>
          </w:p>
        </w:tc>
        <w:tc>
          <w:tcPr>
            <w:tcW w:w="1620" w:type="dxa"/>
          </w:tcPr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526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Direktor direktorata za sport;</w:t>
            </w: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Načelnik;</w:t>
            </w: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P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1607" w:type="dxa"/>
          </w:tcPr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4E526F" w:rsidRP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C84EAF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C84EAF" w:rsidTr="004E526F">
        <w:trPr>
          <w:trHeight w:val="4089"/>
        </w:trPr>
        <w:tc>
          <w:tcPr>
            <w:tcW w:w="895" w:type="dxa"/>
          </w:tcPr>
          <w:p w:rsidR="004E526F" w:rsidRDefault="004E526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Pr="00676422" w:rsidRDefault="00B10666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  <w:r w:rsidR="00676422" w:rsidRPr="00676422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</w:p>
        </w:tc>
        <w:tc>
          <w:tcPr>
            <w:tcW w:w="2035" w:type="dxa"/>
          </w:tcPr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32F78" w:rsidRDefault="00132F78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526F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Neadekvatno sprovođenje postupka za sufinansiranje bavljenja djece sportskim aktivnostima u okviru sportskih klubova</w:t>
            </w:r>
          </w:p>
        </w:tc>
        <w:tc>
          <w:tcPr>
            <w:tcW w:w="1655" w:type="dxa"/>
          </w:tcPr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526F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810" w:type="dxa"/>
          </w:tcPr>
          <w:p w:rsidR="004E526F" w:rsidRDefault="004E526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90" w:type="dxa"/>
          </w:tcPr>
          <w:p w:rsidR="004E526F" w:rsidRDefault="004E526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810" w:type="dxa"/>
          </w:tcPr>
          <w:p w:rsidR="004E526F" w:rsidRDefault="004E526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676422" w:rsidRPr="00676422" w:rsidRDefault="00676422" w:rsidP="0067642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60" w:type="dxa"/>
          </w:tcPr>
          <w:p w:rsidR="004E526F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Zakon o sportu;</w:t>
            </w:r>
          </w:p>
          <w:p w:rsid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Odluka o određivanju vrste sportova koji će se sufinansirati u okviru dječijeg sporta;</w:t>
            </w:r>
          </w:p>
          <w:p w:rsidR="00676422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76422" w:rsidRPr="00676422" w:rsidRDefault="00676422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676422">
              <w:rPr>
                <w:rFonts w:ascii="Arial" w:eastAsia="Times New Roman" w:hAnsi="Arial" w:cs="Arial"/>
                <w:color w:val="000000"/>
                <w:szCs w:val="24"/>
              </w:rPr>
              <w:t>Javni poziv za sufinansiranje bavljenja djece sportskim aktivnostima u okviru sportskih klubova;</w:t>
            </w:r>
          </w:p>
        </w:tc>
        <w:tc>
          <w:tcPr>
            <w:tcW w:w="2070" w:type="dxa"/>
          </w:tcPr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526F" w:rsidRP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C84EAF">
              <w:rPr>
                <w:rFonts w:ascii="Arial" w:eastAsia="Times New Roman" w:hAnsi="Arial" w:cs="Arial"/>
                <w:color w:val="000000"/>
                <w:szCs w:val="24"/>
              </w:rPr>
              <w:t>Transparentnost u procedurama odlučivanja u oblastima iz nadležnosti Ministarstva i Direktorata;</w:t>
            </w:r>
          </w:p>
        </w:tc>
        <w:tc>
          <w:tcPr>
            <w:tcW w:w="1620" w:type="dxa"/>
          </w:tcPr>
          <w:p w:rsidR="00C84EAF" w:rsidRDefault="00C84EAF" w:rsidP="00C84EA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C84EA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C84EA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Pr="00C84EAF" w:rsidRDefault="00C84EAF" w:rsidP="00C84EA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C84EAF">
              <w:rPr>
                <w:rFonts w:ascii="Arial" w:eastAsia="Times New Roman" w:hAnsi="Arial" w:cs="Arial"/>
                <w:color w:val="000000"/>
                <w:szCs w:val="24"/>
              </w:rPr>
              <w:t>Direktor direktorata za sport;</w:t>
            </w:r>
          </w:p>
          <w:p w:rsidR="00C84EAF" w:rsidRPr="00C84EAF" w:rsidRDefault="00C84EAF" w:rsidP="00C84EA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Pr="00C84EAF" w:rsidRDefault="00C84EAF" w:rsidP="00C84EA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C84EAF">
              <w:rPr>
                <w:rFonts w:ascii="Arial" w:eastAsia="Times New Roman" w:hAnsi="Arial" w:cs="Arial"/>
                <w:color w:val="000000"/>
                <w:szCs w:val="24"/>
              </w:rPr>
              <w:t>Načelnik;</w:t>
            </w:r>
          </w:p>
          <w:p w:rsidR="00C84EAF" w:rsidRPr="00C84EAF" w:rsidRDefault="00C84EAF" w:rsidP="00C84EA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526F" w:rsidRDefault="00C84EAF" w:rsidP="00C84EA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C84EAF"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1607" w:type="dxa"/>
          </w:tcPr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526F" w:rsidRPr="00C84EAF" w:rsidRDefault="00C84EAF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Jednom u dvije godine</w:t>
            </w:r>
          </w:p>
        </w:tc>
      </w:tr>
    </w:tbl>
    <w:p w:rsidR="000078BA" w:rsidRDefault="000078BA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035"/>
        <w:gridCol w:w="1655"/>
        <w:gridCol w:w="810"/>
        <w:gridCol w:w="990"/>
        <w:gridCol w:w="810"/>
        <w:gridCol w:w="2160"/>
        <w:gridCol w:w="2070"/>
        <w:gridCol w:w="1620"/>
        <w:gridCol w:w="1607"/>
      </w:tblGrid>
      <w:tr w:rsidR="00B45B1A" w:rsidTr="001231D3">
        <w:trPr>
          <w:trHeight w:val="4917"/>
        </w:trPr>
        <w:tc>
          <w:tcPr>
            <w:tcW w:w="895" w:type="dxa"/>
          </w:tcPr>
          <w:p w:rsidR="00B45B1A" w:rsidRDefault="00B45B1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Pr="001231D3" w:rsidRDefault="00B10666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11</w:t>
            </w:r>
            <w:r w:rsidR="001231D3" w:rsidRPr="001231D3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</w:p>
        </w:tc>
        <w:tc>
          <w:tcPr>
            <w:tcW w:w="2035" w:type="dxa"/>
          </w:tcPr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45B1A" w:rsidRP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231D3">
              <w:rPr>
                <w:rFonts w:ascii="Arial" w:eastAsia="Times New Roman" w:hAnsi="Arial" w:cs="Arial"/>
                <w:color w:val="000000"/>
                <w:szCs w:val="24"/>
              </w:rPr>
              <w:t>Donošenje nezakonitih odluka kod utvrđivanja statusa perspektivnih sportista i prava na stipendiju;</w:t>
            </w:r>
          </w:p>
        </w:tc>
        <w:tc>
          <w:tcPr>
            <w:tcW w:w="1655" w:type="dxa"/>
          </w:tcPr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45B1A" w:rsidRP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231D3"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810" w:type="dxa"/>
          </w:tcPr>
          <w:p w:rsidR="00B45B1A" w:rsidRDefault="00B45B1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Pr="001231D3" w:rsidRDefault="001231D3" w:rsidP="001231D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231D3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90" w:type="dxa"/>
          </w:tcPr>
          <w:p w:rsidR="00B45B1A" w:rsidRDefault="00B45B1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Pr="001231D3" w:rsidRDefault="001231D3" w:rsidP="001231D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231D3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810" w:type="dxa"/>
          </w:tcPr>
          <w:p w:rsidR="00B45B1A" w:rsidRDefault="00B45B1A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1231D3" w:rsidRPr="001231D3" w:rsidRDefault="001231D3" w:rsidP="001231D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231D3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60" w:type="dxa"/>
          </w:tcPr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45B1A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sportu;</w:t>
            </w: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P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Uredba o kriterijumima za utvđivanje visine doživotne mjesečne naknade, stipendije i premije sportske invalidnine, nagrada za sportistu godine i zaslužnog sportistu;</w:t>
            </w:r>
          </w:p>
        </w:tc>
        <w:tc>
          <w:tcPr>
            <w:tcW w:w="2070" w:type="dxa"/>
          </w:tcPr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45B1A" w:rsidRP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Transparentnost u procedurama odlučivanja u oblasti iz nadležnosti Ministarstva i Direktorata;</w:t>
            </w:r>
          </w:p>
        </w:tc>
        <w:tc>
          <w:tcPr>
            <w:tcW w:w="1620" w:type="dxa"/>
          </w:tcPr>
          <w:p w:rsidR="001231D3" w:rsidRDefault="001231D3" w:rsidP="001231D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1231D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1231D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1231D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Pr="001231D3" w:rsidRDefault="001231D3" w:rsidP="001231D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231D3">
              <w:rPr>
                <w:rFonts w:ascii="Arial" w:eastAsia="Times New Roman" w:hAnsi="Arial" w:cs="Arial"/>
                <w:color w:val="000000"/>
                <w:szCs w:val="24"/>
              </w:rPr>
              <w:t>Direktor direktorata za sport;</w:t>
            </w:r>
          </w:p>
          <w:p w:rsidR="001231D3" w:rsidRPr="001231D3" w:rsidRDefault="001231D3" w:rsidP="001231D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Pr="001231D3" w:rsidRDefault="001231D3" w:rsidP="001231D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231D3">
              <w:rPr>
                <w:rFonts w:ascii="Arial" w:eastAsia="Times New Roman" w:hAnsi="Arial" w:cs="Arial"/>
                <w:color w:val="000000"/>
                <w:szCs w:val="24"/>
              </w:rPr>
              <w:t>Načelnik;</w:t>
            </w:r>
          </w:p>
          <w:p w:rsidR="001231D3" w:rsidRPr="001231D3" w:rsidRDefault="001231D3" w:rsidP="001231D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45B1A" w:rsidRDefault="001231D3" w:rsidP="001231D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1231D3"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1607" w:type="dxa"/>
          </w:tcPr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45B1A" w:rsidRPr="001231D3" w:rsidRDefault="001231D3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</w:tbl>
    <w:p w:rsidR="00B45B1A" w:rsidRPr="000078BA" w:rsidRDefault="00B45B1A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0078BA" w:rsidRDefault="000078BA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1231D3" w:rsidRDefault="001231D3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035"/>
        <w:gridCol w:w="1655"/>
        <w:gridCol w:w="810"/>
        <w:gridCol w:w="990"/>
        <w:gridCol w:w="810"/>
        <w:gridCol w:w="2160"/>
        <w:gridCol w:w="2070"/>
        <w:gridCol w:w="1620"/>
        <w:gridCol w:w="1607"/>
      </w:tblGrid>
      <w:tr w:rsidR="003521D1" w:rsidTr="00354A0E">
        <w:trPr>
          <w:trHeight w:val="6195"/>
        </w:trPr>
        <w:tc>
          <w:tcPr>
            <w:tcW w:w="895" w:type="dxa"/>
          </w:tcPr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Pr="003521D1" w:rsidRDefault="00B10666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12</w:t>
            </w:r>
            <w:r w:rsidR="003521D1" w:rsidRPr="003521D1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</w:p>
        </w:tc>
        <w:tc>
          <w:tcPr>
            <w:tcW w:w="2035" w:type="dxa"/>
          </w:tcPr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Donošenje nezakonitih odluka po konkursu za finansiranje programa i projekata NVO u oblasti sporta;</w:t>
            </w:r>
          </w:p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P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Neadekvatna kontrola završnih izvještaja o namjenskom </w:t>
            </w:r>
            <w:r w:rsidR="00522131">
              <w:rPr>
                <w:rFonts w:ascii="Arial" w:eastAsia="Times New Roman" w:hAnsi="Arial" w:cs="Arial"/>
                <w:color w:val="000000"/>
                <w:szCs w:val="24"/>
              </w:rPr>
              <w:t>trošenju dodijeljenih sredstava NVO na javnom konkursu Ministarstva</w:t>
            </w:r>
          </w:p>
        </w:tc>
        <w:tc>
          <w:tcPr>
            <w:tcW w:w="1655" w:type="dxa"/>
          </w:tcPr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Finansijski</w:t>
            </w:r>
          </w:p>
        </w:tc>
        <w:tc>
          <w:tcPr>
            <w:tcW w:w="810" w:type="dxa"/>
          </w:tcPr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90" w:type="dxa"/>
          </w:tcPr>
          <w:p w:rsidR="003521D1" w:rsidRPr="00522131" w:rsidRDefault="003521D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810" w:type="dxa"/>
          </w:tcPr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60" w:type="dxa"/>
          </w:tcPr>
          <w:p w:rsidR="003521D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Zakon o nevladinim organizacijama;</w:t>
            </w: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Uredba o finansiranju projekata i programa nevladinih organizacija u oblasti od javnog interesa;</w:t>
            </w:r>
          </w:p>
          <w:p w:rsidR="0052213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o sadržaju javnog konkursa za raspodjelu sredstava za finansiranje projekati i programa NVO i izgledu i sadržaju prijave na javnom konkursu;</w:t>
            </w: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</w:tc>
        <w:tc>
          <w:tcPr>
            <w:tcW w:w="2070" w:type="dxa"/>
          </w:tcPr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Transparentnost u procedurama odlučivanja u oblasti iz nadležnosti Ministarstva i Direktorata;</w:t>
            </w:r>
          </w:p>
        </w:tc>
        <w:tc>
          <w:tcPr>
            <w:tcW w:w="1620" w:type="dxa"/>
          </w:tcPr>
          <w:p w:rsid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Direktor direktorata za sport;</w:t>
            </w:r>
          </w:p>
          <w:p w:rsidR="00522131" w:rsidRP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Načelnik;</w:t>
            </w:r>
          </w:p>
          <w:p w:rsidR="00522131" w:rsidRP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1607" w:type="dxa"/>
          </w:tcPr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3521D1" w:rsidTr="00522131">
        <w:trPr>
          <w:trHeight w:val="2064"/>
        </w:trPr>
        <w:tc>
          <w:tcPr>
            <w:tcW w:w="895" w:type="dxa"/>
          </w:tcPr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Pr="00522131" w:rsidRDefault="00B10666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13</w:t>
            </w:r>
            <w:r w:rsidR="00522131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</w:p>
        </w:tc>
        <w:tc>
          <w:tcPr>
            <w:tcW w:w="2035" w:type="dxa"/>
          </w:tcPr>
          <w:p w:rsidR="003521D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Nezakonito finansiranje odnosno sufinansiranje izgradnje, rekonstrukcije, adaptacije i opr</w:t>
            </w:r>
            <w:r w:rsidR="00354A0E">
              <w:rPr>
                <w:rFonts w:ascii="Arial" w:eastAsia="Times New Roman" w:hAnsi="Arial" w:cs="Arial"/>
                <w:color w:val="000000"/>
                <w:szCs w:val="24"/>
              </w:rPr>
              <w:t>emanje sportskih objekat</w:t>
            </w:r>
          </w:p>
        </w:tc>
        <w:tc>
          <w:tcPr>
            <w:tcW w:w="1655" w:type="dxa"/>
          </w:tcPr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810" w:type="dxa"/>
          </w:tcPr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90" w:type="dxa"/>
          </w:tcPr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810" w:type="dxa"/>
          </w:tcPr>
          <w:p w:rsidR="003521D1" w:rsidRDefault="003521D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60" w:type="dxa"/>
          </w:tcPr>
          <w:p w:rsidR="003521D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sportu;</w:t>
            </w:r>
          </w:p>
          <w:p w:rsidR="00354A0E" w:rsidRDefault="00354A0E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javnim nabavkama;</w:t>
            </w:r>
          </w:p>
          <w:p w:rsidR="00354A0E" w:rsidRDefault="00354A0E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planiranju prostora i izgradnji objekata;</w:t>
            </w:r>
          </w:p>
        </w:tc>
        <w:tc>
          <w:tcPr>
            <w:tcW w:w="2070" w:type="dxa"/>
          </w:tcPr>
          <w:p w:rsidR="00354A0E" w:rsidRDefault="00354A0E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Transparentnost u procedurama odlučivanja u oblasti iz nadležnosti Ministarstva i Direktorata;</w:t>
            </w:r>
          </w:p>
        </w:tc>
        <w:tc>
          <w:tcPr>
            <w:tcW w:w="1620" w:type="dxa"/>
          </w:tcPr>
          <w:p w:rsidR="00522131" w:rsidRP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Direktor direktorata za sport;</w:t>
            </w:r>
          </w:p>
          <w:p w:rsidR="00354A0E" w:rsidRDefault="00354A0E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P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Načelnik;</w:t>
            </w:r>
          </w:p>
          <w:p w:rsidR="00522131" w:rsidRP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Pr="00522131" w:rsidRDefault="00522131" w:rsidP="0052213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1607" w:type="dxa"/>
          </w:tcPr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521D1" w:rsidRPr="00522131" w:rsidRDefault="00522131" w:rsidP="000078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22131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</w:tbl>
    <w:p w:rsidR="0056324D" w:rsidRPr="0056324D" w:rsidRDefault="0056324D" w:rsidP="0056324D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  <w:u w:val="single"/>
        </w:rPr>
      </w:pPr>
      <w:bookmarkStart w:id="0" w:name="_Hlk142559106"/>
      <w:r w:rsidRPr="0056324D">
        <w:rPr>
          <w:rFonts w:ascii="Arial" w:eastAsia="Times New Roman" w:hAnsi="Arial" w:cs="Arial"/>
          <w:b/>
          <w:color w:val="000000"/>
          <w:szCs w:val="24"/>
          <w:u w:val="single"/>
        </w:rPr>
        <w:lastRenderedPageBreak/>
        <w:t>IDENTIFIKOVANI RIZICI U ORGANIZACIONIM JEDINICAMA</w:t>
      </w:r>
    </w:p>
    <w:p w:rsidR="0056324D" w:rsidRPr="0056324D" w:rsidRDefault="0056324D" w:rsidP="0056324D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  <w:u w:val="single"/>
        </w:rPr>
      </w:pPr>
    </w:p>
    <w:p w:rsidR="0056324D" w:rsidRPr="0056324D" w:rsidRDefault="0056324D" w:rsidP="0056324D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 w:rsidRPr="0056324D">
        <w:rPr>
          <w:rFonts w:ascii="Arial" w:eastAsia="Times New Roman" w:hAnsi="Arial" w:cs="Arial"/>
          <w:b/>
          <w:color w:val="000000"/>
          <w:szCs w:val="24"/>
        </w:rPr>
        <w:t xml:space="preserve">NAZIV ORGANIZACIONE JEDINICE : DIREKTORAT ZA </w:t>
      </w:r>
      <w:r>
        <w:rPr>
          <w:rFonts w:ascii="Arial" w:eastAsia="Times New Roman" w:hAnsi="Arial" w:cs="Arial"/>
          <w:b/>
          <w:color w:val="000000"/>
          <w:szCs w:val="24"/>
        </w:rPr>
        <w:t>MLADE</w:t>
      </w:r>
    </w:p>
    <w:p w:rsidR="0056324D" w:rsidRPr="0056324D" w:rsidRDefault="0056324D" w:rsidP="0056324D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 w:rsidRPr="0056324D">
        <w:rPr>
          <w:rFonts w:ascii="Arial" w:eastAsia="Times New Roman" w:hAnsi="Arial" w:cs="Arial"/>
          <w:b/>
          <w:color w:val="000000"/>
          <w:szCs w:val="24"/>
        </w:rPr>
        <w:t>•</w:t>
      </w:r>
      <w:r w:rsidRPr="0056324D">
        <w:rPr>
          <w:rFonts w:ascii="Arial" w:eastAsia="Times New Roman" w:hAnsi="Arial" w:cs="Arial"/>
          <w:b/>
          <w:color w:val="000000"/>
          <w:szCs w:val="24"/>
        </w:rPr>
        <w:tab/>
        <w:t xml:space="preserve">Opšti cilj: </w:t>
      </w:r>
      <w:r w:rsidRPr="0056324D">
        <w:rPr>
          <w:rFonts w:ascii="Arial" w:eastAsia="Times New Roman" w:hAnsi="Arial" w:cs="Arial"/>
          <w:color w:val="000000"/>
          <w:szCs w:val="24"/>
        </w:rPr>
        <w:t>Efikasno ispunjavanje zadataka iz nadležnosti Direktorata za mlade</w:t>
      </w:r>
    </w:p>
    <w:p w:rsidR="001231D3" w:rsidRPr="000078BA" w:rsidRDefault="0056324D" w:rsidP="0056324D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 w:rsidRPr="0056324D">
        <w:rPr>
          <w:rFonts w:ascii="Arial" w:eastAsia="Times New Roman" w:hAnsi="Arial" w:cs="Arial"/>
          <w:b/>
          <w:color w:val="000000"/>
          <w:szCs w:val="24"/>
        </w:rPr>
        <w:t>•</w:t>
      </w:r>
      <w:r w:rsidRPr="0056324D">
        <w:rPr>
          <w:rFonts w:ascii="Arial" w:eastAsia="Times New Roman" w:hAnsi="Arial" w:cs="Arial"/>
          <w:b/>
          <w:color w:val="000000"/>
          <w:szCs w:val="24"/>
        </w:rPr>
        <w:tab/>
        <w:t xml:space="preserve">Posebni ciljevi: </w:t>
      </w:r>
      <w:r w:rsidRPr="0056324D">
        <w:rPr>
          <w:rFonts w:ascii="Arial" w:eastAsia="Times New Roman" w:hAnsi="Arial" w:cs="Arial"/>
          <w:color w:val="000000"/>
          <w:szCs w:val="24"/>
        </w:rPr>
        <w:t>Obezbijediti efikasno donošenje i sprovođenje odluka i blagovremeno izvještavanje</w:t>
      </w:r>
      <w:bookmarkEnd w:id="0"/>
    </w:p>
    <w:p w:rsidR="000078BA" w:rsidRPr="000078BA" w:rsidRDefault="000078BA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0078BA" w:rsidRPr="000078BA" w:rsidRDefault="000078BA" w:rsidP="000078BA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2298"/>
        <w:gridCol w:w="1617"/>
        <w:gridCol w:w="2428"/>
        <w:gridCol w:w="2118"/>
        <w:gridCol w:w="2053"/>
        <w:gridCol w:w="1601"/>
        <w:gridCol w:w="1643"/>
      </w:tblGrid>
      <w:tr w:rsidR="000C4640" w:rsidTr="000C4640">
        <w:trPr>
          <w:trHeight w:val="930"/>
        </w:trPr>
        <w:tc>
          <w:tcPr>
            <w:tcW w:w="895" w:type="dxa"/>
          </w:tcPr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Redni broj</w:t>
            </w:r>
          </w:p>
        </w:tc>
        <w:tc>
          <w:tcPr>
            <w:tcW w:w="2070" w:type="dxa"/>
          </w:tcPr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Opis rizika</w:t>
            </w:r>
          </w:p>
        </w:tc>
        <w:tc>
          <w:tcPr>
            <w:tcW w:w="1620" w:type="dxa"/>
          </w:tcPr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Vrsta rizika</w:t>
            </w:r>
          </w:p>
        </w:tc>
        <w:tc>
          <w:tcPr>
            <w:tcW w:w="2610" w:type="dxa"/>
          </w:tcPr>
          <w:p w:rsidR="0056324D" w:rsidRDefault="0056324D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Rangiranje rizika</w:t>
            </w:r>
          </w:p>
        </w:tc>
        <w:tc>
          <w:tcPr>
            <w:tcW w:w="2160" w:type="dxa"/>
          </w:tcPr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Pregled postojećih kontrola</w:t>
            </w:r>
          </w:p>
        </w:tc>
        <w:tc>
          <w:tcPr>
            <w:tcW w:w="2070" w:type="dxa"/>
          </w:tcPr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Reagovanje na rizik</w:t>
            </w:r>
          </w:p>
        </w:tc>
        <w:tc>
          <w:tcPr>
            <w:tcW w:w="1620" w:type="dxa"/>
          </w:tcPr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Odgovorna osoba za rizik</w:t>
            </w:r>
          </w:p>
        </w:tc>
        <w:tc>
          <w:tcPr>
            <w:tcW w:w="1607" w:type="dxa"/>
          </w:tcPr>
          <w:p w:rsidR="0056324D" w:rsidRDefault="0056324D" w:rsidP="0056324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Rok sprovođenje</w:t>
            </w:r>
          </w:p>
        </w:tc>
      </w:tr>
      <w:tr w:rsidR="000C4640" w:rsidTr="007461FF">
        <w:trPr>
          <w:trHeight w:val="5115"/>
        </w:trPr>
        <w:tc>
          <w:tcPr>
            <w:tcW w:w="895" w:type="dxa"/>
          </w:tcPr>
          <w:p w:rsidR="0056324D" w:rsidRDefault="0056324D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P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1.</w:t>
            </w:r>
          </w:p>
        </w:tc>
        <w:tc>
          <w:tcPr>
            <w:tcW w:w="2070" w:type="dxa"/>
          </w:tcPr>
          <w:p w:rsidR="0056324D" w:rsidRDefault="0056324D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Donošenje nezakonizih odluka prilikom odlučivanja pri realizaciji </w:t>
            </w:r>
            <w:r w:rsidR="000C4640">
              <w:rPr>
                <w:rFonts w:ascii="Arial" w:eastAsia="Times New Roman" w:hAnsi="Arial" w:cs="Arial"/>
                <w:color w:val="000000"/>
                <w:szCs w:val="24"/>
              </w:rPr>
              <w:t>konkursa za finansiranje projekata/programa nevladinih organizacija u oblasti društvene brige o mladima, iz nadležnosti Direktorata za mlade;</w:t>
            </w: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Lobiranje u postupku odabira nevladine organizacije u cilju planiranja, sprovođenja, evaluacije i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lastRenderedPageBreak/>
              <w:t xml:space="preserve">unapređenja omladinske politike kroz konkurs za finansiranje projekata/programa nevladinih organizacija u oblasti društvene brige </w:t>
            </w:r>
            <w:r w:rsidR="006400B2">
              <w:rPr>
                <w:rFonts w:ascii="Arial" w:eastAsia="Times New Roman" w:hAnsi="Arial" w:cs="Arial"/>
                <w:color w:val="000000"/>
                <w:szCs w:val="24"/>
              </w:rPr>
              <w:t>o mladima;</w:t>
            </w:r>
          </w:p>
          <w:p w:rsidR="006400B2" w:rsidRDefault="006400B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00B2" w:rsidRDefault="006400B2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Neadekvatna kontrola polugodišnjih i godišnjih-završnih izvještaja o namjenskom trošenju dodijeljenih sredstava nevladinim organizacijama na javnom konkursu Ministarstva;</w:t>
            </w:r>
          </w:p>
          <w:p w:rsidR="00BA4498" w:rsidRDefault="00BA4498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A4498" w:rsidRPr="0056324D" w:rsidRDefault="00BA4498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6324D" w:rsidRP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 i finansijski</w:t>
            </w:r>
          </w:p>
        </w:tc>
        <w:tc>
          <w:tcPr>
            <w:tcW w:w="2610" w:type="dxa"/>
          </w:tcPr>
          <w:p w:rsidR="0056324D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6984</wp:posOffset>
                      </wp:positionV>
                      <wp:extent cx="47625" cy="387667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387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8DDC63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.55pt" to="76.4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6985</wp:posOffset>
                      </wp:positionV>
                      <wp:extent cx="19050" cy="384810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84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5476A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.55pt" to="27.6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" strokecolor="black [3040]"/>
                  </w:pict>
                </mc:Fallback>
              </mc:AlternateContent>
            </w: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C4640">
              <w:rPr>
                <w:rFonts w:ascii="Arial" w:eastAsia="Times New Roman" w:hAnsi="Arial" w:cs="Arial"/>
                <w:color w:val="000000"/>
                <w:szCs w:val="24"/>
              </w:rPr>
              <w:t>2           2            4</w:t>
            </w:r>
          </w:p>
        </w:tc>
        <w:tc>
          <w:tcPr>
            <w:tcW w:w="2160" w:type="dxa"/>
          </w:tcPr>
          <w:p w:rsidR="0056324D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nevladinim organizacijama;</w:t>
            </w: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Uredba o finansiranju projekata nevladinih organizacija u oblasti od javnog interesa;</w:t>
            </w: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P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Pravilnik o sadržaju javnog konkursa za raspodjelu sredstava za finansiranje projekata i programa NVO i izgledu i sadržaju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lastRenderedPageBreak/>
              <w:t>prijave na javnom konkursu;</w:t>
            </w:r>
          </w:p>
        </w:tc>
        <w:tc>
          <w:tcPr>
            <w:tcW w:w="2070" w:type="dxa"/>
          </w:tcPr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6324D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C4640">
              <w:rPr>
                <w:rFonts w:ascii="Arial" w:eastAsia="Times New Roman" w:hAnsi="Arial" w:cs="Arial"/>
                <w:color w:val="000000"/>
                <w:szCs w:val="24"/>
              </w:rPr>
              <w:t>Transparentnost u procedurama odlučivanja u oblasti iz nadležnosti Ministarstva i Direktorata;</w:t>
            </w: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P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Poštovanje propisanih rokova;</w:t>
            </w:r>
          </w:p>
        </w:tc>
        <w:tc>
          <w:tcPr>
            <w:tcW w:w="1620" w:type="dxa"/>
          </w:tcPr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6324D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Direktor direktorata za mlade;</w:t>
            </w: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P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1607" w:type="dxa"/>
          </w:tcPr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6324D" w:rsidRPr="000C4640" w:rsidRDefault="000C464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BA4498" w:rsidTr="007461FF">
        <w:trPr>
          <w:trHeight w:val="2775"/>
        </w:trPr>
        <w:tc>
          <w:tcPr>
            <w:tcW w:w="895" w:type="dxa"/>
          </w:tcPr>
          <w:p w:rsidR="00BA4498" w:rsidRDefault="00BA4498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P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2.</w:t>
            </w:r>
          </w:p>
        </w:tc>
        <w:tc>
          <w:tcPr>
            <w:tcW w:w="2070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A4498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Neuspostavljanje i neostvarivanje komunikacije sa predstavnicima opština u cilju dobijanja saglasnosti na lokalni akcioni plan</w:t>
            </w:r>
          </w:p>
        </w:tc>
        <w:tc>
          <w:tcPr>
            <w:tcW w:w="1620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A4498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 i Informacije i komunikacije</w:t>
            </w:r>
          </w:p>
        </w:tc>
        <w:tc>
          <w:tcPr>
            <w:tcW w:w="2610" w:type="dxa"/>
          </w:tcPr>
          <w:p w:rsidR="00BA4498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1904</wp:posOffset>
                      </wp:positionV>
                      <wp:extent cx="47625" cy="33623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3362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560F4" id="Straight Connector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.15pt" to="81.6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" strokecolor="black [3040]"/>
                  </w:pict>
                </mc:Fallback>
              </mc:AlternateContent>
            </w: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P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 xml:space="preserve">   2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          </w:t>
            </w: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60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A4498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mladima</w:t>
            </w:r>
          </w:p>
        </w:tc>
        <w:tc>
          <w:tcPr>
            <w:tcW w:w="2070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A4498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Kontinuirani sastanci sa predstavnicima opština;</w:t>
            </w:r>
          </w:p>
        </w:tc>
        <w:tc>
          <w:tcPr>
            <w:tcW w:w="1620" w:type="dxa"/>
          </w:tcPr>
          <w:p w:rsidR="007461FF" w:rsidRDefault="007461FF" w:rsidP="007461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Pr="007461FF" w:rsidRDefault="007461FF" w:rsidP="007461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Direktor direktorata za mlade;</w:t>
            </w:r>
          </w:p>
          <w:p w:rsidR="007461FF" w:rsidRPr="007461FF" w:rsidRDefault="007461FF" w:rsidP="007461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A4498" w:rsidRDefault="007461FF" w:rsidP="007461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1607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BA4498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  <w:tr w:rsidR="007461FF" w:rsidTr="007461FF">
        <w:trPr>
          <w:trHeight w:val="2505"/>
        </w:trPr>
        <w:tc>
          <w:tcPr>
            <w:tcW w:w="895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P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3.</w:t>
            </w:r>
          </w:p>
        </w:tc>
        <w:tc>
          <w:tcPr>
            <w:tcW w:w="2070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Neuspostavljanje i neostvarivanje komunikacije sa osobama angažovanim u omladinskim servisima</w:t>
            </w:r>
          </w:p>
        </w:tc>
        <w:tc>
          <w:tcPr>
            <w:tcW w:w="1620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Informacije i komunikacije</w:t>
            </w:r>
          </w:p>
        </w:tc>
        <w:tc>
          <w:tcPr>
            <w:tcW w:w="2610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461FF" w:rsidRPr="00035FB0" w:rsidRDefault="00035FB0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</w:t>
            </w:r>
            <w:r w:rsidR="007461FF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 </w:t>
            </w:r>
            <w:r w:rsidRPr="00035FB0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  <w:r w:rsidR="007461FF" w:rsidRPr="00035FB0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="007461FF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</w:t>
            </w:r>
            <w:r w:rsidR="007461FF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</w:t>
            </w:r>
            <w:r w:rsidRPr="00035FB0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="007461FF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        </w:t>
            </w:r>
            <w:r w:rsidRPr="00035FB0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160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mladima</w:t>
            </w:r>
          </w:p>
        </w:tc>
        <w:tc>
          <w:tcPr>
            <w:tcW w:w="2070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Obuke i kontinuirani sastanci sa osobama angažovanim u omladinskim servisima</w:t>
            </w:r>
          </w:p>
        </w:tc>
        <w:tc>
          <w:tcPr>
            <w:tcW w:w="1620" w:type="dxa"/>
          </w:tcPr>
          <w:p w:rsidR="007461FF" w:rsidRDefault="007461FF" w:rsidP="007461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Pr="007461FF" w:rsidRDefault="007461FF" w:rsidP="007461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Direktor direktorata za mlade;</w:t>
            </w:r>
          </w:p>
          <w:p w:rsidR="007461FF" w:rsidRPr="007461FF" w:rsidRDefault="007461FF" w:rsidP="007461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Pr="007461FF" w:rsidRDefault="007461FF" w:rsidP="007461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Postupajući službenici;</w:t>
            </w:r>
          </w:p>
        </w:tc>
        <w:tc>
          <w:tcPr>
            <w:tcW w:w="1607" w:type="dxa"/>
          </w:tcPr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61FF" w:rsidRDefault="007461FF" w:rsidP="003C03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7461FF">
              <w:rPr>
                <w:rFonts w:ascii="Arial" w:eastAsia="Times New Roman" w:hAnsi="Arial" w:cs="Arial"/>
                <w:color w:val="000000"/>
                <w:szCs w:val="24"/>
              </w:rPr>
              <w:t>U kontinuitetu</w:t>
            </w:r>
          </w:p>
        </w:tc>
      </w:tr>
    </w:tbl>
    <w:p w:rsidR="000078BA" w:rsidRDefault="007461FF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-3373121</wp:posOffset>
                </wp:positionV>
                <wp:extent cx="28575" cy="33623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FC77F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-265.6pt" to="279.7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" strokecolor="black [3040]"/>
            </w:pict>
          </mc:Fallback>
        </mc:AlternateContent>
      </w:r>
      <w:r w:rsidR="007D11F8">
        <w:rPr>
          <w:rFonts w:ascii="Arial" w:eastAsia="Times New Roman" w:hAnsi="Arial" w:cs="Arial"/>
          <w:b/>
          <w:color w:val="000000"/>
          <w:szCs w:val="24"/>
        </w:rPr>
        <w:t xml:space="preserve">                                                         </w:t>
      </w: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Default="007D11F8" w:rsidP="003C037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Pr="007D11F8" w:rsidRDefault="007D11F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7D11F8">
        <w:rPr>
          <w:rFonts w:ascii="Arial" w:eastAsia="Times New Roman" w:hAnsi="Arial" w:cs="Arial"/>
          <w:b/>
          <w:color w:val="000000"/>
          <w:szCs w:val="24"/>
          <w:u w:val="single"/>
        </w:rPr>
        <w:lastRenderedPageBreak/>
        <w:t>IDENTIFIKOVANI RIZICI U ORGANIZACIONIM JEDINICAMA</w:t>
      </w:r>
    </w:p>
    <w:p w:rsidR="007D11F8" w:rsidRPr="007D11F8" w:rsidRDefault="007D11F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</w:p>
    <w:p w:rsidR="007D11F8" w:rsidRPr="007D11F8" w:rsidRDefault="007D11F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 w:rsidRPr="007D11F8">
        <w:rPr>
          <w:rFonts w:ascii="Arial" w:eastAsia="Times New Roman" w:hAnsi="Arial" w:cs="Arial"/>
          <w:b/>
          <w:color w:val="000000"/>
          <w:szCs w:val="24"/>
        </w:rPr>
        <w:t xml:space="preserve">NAZIV ORGANIZACIONE JEDINICE : </w:t>
      </w:r>
      <w:r>
        <w:rPr>
          <w:rFonts w:ascii="Arial" w:eastAsia="Times New Roman" w:hAnsi="Arial" w:cs="Arial"/>
          <w:b/>
          <w:color w:val="000000"/>
          <w:szCs w:val="24"/>
        </w:rPr>
        <w:t>KABINET MINISTRA</w:t>
      </w:r>
    </w:p>
    <w:p w:rsidR="007D11F8" w:rsidRPr="007D11F8" w:rsidRDefault="007D11F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 w:rsidRPr="007D11F8">
        <w:rPr>
          <w:rFonts w:ascii="Arial" w:eastAsia="Times New Roman" w:hAnsi="Arial" w:cs="Arial"/>
          <w:b/>
          <w:color w:val="000000"/>
          <w:szCs w:val="24"/>
        </w:rPr>
        <w:t>•</w:t>
      </w:r>
      <w:r w:rsidRPr="007D11F8">
        <w:rPr>
          <w:rFonts w:ascii="Arial" w:eastAsia="Times New Roman" w:hAnsi="Arial" w:cs="Arial"/>
          <w:b/>
          <w:color w:val="000000"/>
          <w:szCs w:val="24"/>
        </w:rPr>
        <w:tab/>
        <w:t xml:space="preserve">Opšti cilj: </w:t>
      </w:r>
      <w:r w:rsidRPr="007D11F8">
        <w:rPr>
          <w:rFonts w:ascii="Arial" w:eastAsia="Times New Roman" w:hAnsi="Arial" w:cs="Arial"/>
          <w:color w:val="000000"/>
          <w:szCs w:val="24"/>
        </w:rPr>
        <w:t>Sprovođenje definisane politike Ministarstva sporta i mladih</w:t>
      </w:r>
    </w:p>
    <w:p w:rsidR="007D11F8" w:rsidRDefault="007D11F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  <w:r w:rsidRPr="007D11F8">
        <w:rPr>
          <w:rFonts w:ascii="Arial" w:eastAsia="Times New Roman" w:hAnsi="Arial" w:cs="Arial"/>
          <w:b/>
          <w:color w:val="000000"/>
          <w:szCs w:val="24"/>
        </w:rPr>
        <w:t>•</w:t>
      </w:r>
      <w:r w:rsidRPr="007D11F8">
        <w:rPr>
          <w:rFonts w:ascii="Arial" w:eastAsia="Times New Roman" w:hAnsi="Arial" w:cs="Arial"/>
          <w:b/>
          <w:color w:val="000000"/>
          <w:szCs w:val="24"/>
        </w:rPr>
        <w:tab/>
        <w:t xml:space="preserve">Posebni ciljevi: </w:t>
      </w:r>
      <w:r w:rsidRPr="007D11F8">
        <w:rPr>
          <w:rFonts w:ascii="Arial" w:eastAsia="Times New Roman" w:hAnsi="Arial" w:cs="Arial"/>
          <w:color w:val="000000"/>
          <w:szCs w:val="24"/>
        </w:rPr>
        <w:t>Realizacija stručnih, protokolarnih i administrativno-tehničkih poslova potrebnih za sprovođenje definisane politike</w:t>
      </w:r>
    </w:p>
    <w:p w:rsidR="007D11F8" w:rsidRDefault="007D11F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2025"/>
        <w:gridCol w:w="1616"/>
        <w:gridCol w:w="2418"/>
        <w:gridCol w:w="2065"/>
        <w:gridCol w:w="2079"/>
        <w:gridCol w:w="1614"/>
        <w:gridCol w:w="1952"/>
      </w:tblGrid>
      <w:tr w:rsidR="00E85FFB" w:rsidTr="00E85FFB">
        <w:trPr>
          <w:trHeight w:val="1020"/>
        </w:trPr>
        <w:tc>
          <w:tcPr>
            <w:tcW w:w="844" w:type="dxa"/>
          </w:tcPr>
          <w:p w:rsidR="007D11F8" w:rsidRPr="00E85FFB" w:rsidRDefault="00E85FFB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E85FFB">
              <w:rPr>
                <w:rFonts w:ascii="Arial" w:eastAsia="Times New Roman" w:hAnsi="Arial" w:cs="Arial"/>
                <w:b/>
                <w:color w:val="000000"/>
                <w:szCs w:val="24"/>
              </w:rPr>
              <w:t>Redni broj</w:t>
            </w:r>
          </w:p>
        </w:tc>
        <w:tc>
          <w:tcPr>
            <w:tcW w:w="2031" w:type="dxa"/>
          </w:tcPr>
          <w:p w:rsidR="00E85FFB" w:rsidRDefault="00E85FFB" w:rsidP="00E85FFB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D11F8" w:rsidRPr="00E85FFB" w:rsidRDefault="00E85FFB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E85FFB">
              <w:rPr>
                <w:rFonts w:ascii="Arial" w:eastAsia="Times New Roman" w:hAnsi="Arial" w:cs="Arial"/>
                <w:b/>
                <w:color w:val="000000"/>
                <w:szCs w:val="24"/>
              </w:rPr>
              <w:t>Opis rizika</w:t>
            </w:r>
          </w:p>
        </w:tc>
        <w:tc>
          <w:tcPr>
            <w:tcW w:w="1620" w:type="dxa"/>
          </w:tcPr>
          <w:p w:rsidR="00E85FFB" w:rsidRDefault="00E85FFB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198120</wp:posOffset>
                      </wp:positionV>
                      <wp:extent cx="1543050" cy="1905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43468A" id="Straight Connector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5.6pt" to="196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" strokecolor="black [3040]"/>
                  </w:pict>
                </mc:Fallback>
              </mc:AlternateContent>
            </w:r>
          </w:p>
          <w:p w:rsidR="007D11F8" w:rsidRPr="00E85FFB" w:rsidRDefault="00E85FFB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E85FFB">
              <w:rPr>
                <w:rFonts w:ascii="Arial" w:eastAsia="Times New Roman" w:hAnsi="Arial" w:cs="Arial"/>
                <w:b/>
                <w:color w:val="000000"/>
                <w:szCs w:val="24"/>
              </w:rPr>
              <w:t>Vrsta rizika</w:t>
            </w:r>
          </w:p>
        </w:tc>
        <w:tc>
          <w:tcPr>
            <w:tcW w:w="2430" w:type="dxa"/>
          </w:tcPr>
          <w:p w:rsidR="00044599" w:rsidRDefault="00044599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217170</wp:posOffset>
                      </wp:positionV>
                      <wp:extent cx="19050" cy="363855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638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8755E" id="Straight Connector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5pt,17.1pt" to="86.15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217170</wp:posOffset>
                      </wp:positionV>
                      <wp:extent cx="9525" cy="363855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38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FF3C89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17.1pt" to="35.9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" strokecolor="black [3040]"/>
                  </w:pict>
                </mc:Fallback>
              </mc:AlternateContent>
            </w:r>
            <w:r w:rsidR="00E85FFB" w:rsidRPr="00E85FFB">
              <w:rPr>
                <w:rFonts w:ascii="Arial" w:eastAsia="Times New Roman" w:hAnsi="Arial" w:cs="Arial"/>
                <w:b/>
                <w:color w:val="000000"/>
                <w:szCs w:val="24"/>
              </w:rPr>
              <w:t>Rangiranje rizika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</w:t>
            </w:r>
          </w:p>
          <w:p w:rsidR="00044599" w:rsidRDefault="00044599" w:rsidP="0004459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Uticaj  Vjerova Uku</w:t>
            </w:r>
          </w:p>
          <w:p w:rsidR="007D11F8" w:rsidRPr="00E85FFB" w:rsidRDefault="00044599" w:rsidP="0004459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          tnoća    pno </w:t>
            </w:r>
          </w:p>
        </w:tc>
        <w:tc>
          <w:tcPr>
            <w:tcW w:w="2070" w:type="dxa"/>
          </w:tcPr>
          <w:p w:rsidR="007D11F8" w:rsidRPr="00E85FFB" w:rsidRDefault="00E85FFB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E85FFB">
              <w:rPr>
                <w:rFonts w:ascii="Arial" w:eastAsia="Times New Roman" w:hAnsi="Arial" w:cs="Arial"/>
                <w:b/>
                <w:color w:val="000000"/>
                <w:szCs w:val="24"/>
              </w:rPr>
              <w:t>Pregled postojećih kontrola</w:t>
            </w:r>
          </w:p>
        </w:tc>
        <w:tc>
          <w:tcPr>
            <w:tcW w:w="2086" w:type="dxa"/>
          </w:tcPr>
          <w:p w:rsidR="00E85FFB" w:rsidRDefault="00E85FFB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7D11F8" w:rsidRPr="00E85FFB" w:rsidRDefault="00E85FFB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E85FFB">
              <w:rPr>
                <w:rFonts w:ascii="Arial" w:eastAsia="Times New Roman" w:hAnsi="Arial" w:cs="Arial"/>
                <w:b/>
                <w:color w:val="000000"/>
                <w:szCs w:val="24"/>
              </w:rPr>
              <w:t>Reagovanje na rizik</w:t>
            </w:r>
          </w:p>
        </w:tc>
        <w:tc>
          <w:tcPr>
            <w:tcW w:w="1615" w:type="dxa"/>
          </w:tcPr>
          <w:p w:rsidR="007D11F8" w:rsidRPr="00E85FFB" w:rsidRDefault="00E85FFB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E85FFB">
              <w:rPr>
                <w:rFonts w:ascii="Arial" w:eastAsia="Times New Roman" w:hAnsi="Arial" w:cs="Arial"/>
                <w:b/>
                <w:color w:val="000000"/>
                <w:szCs w:val="24"/>
              </w:rPr>
              <w:t>Odgovorna osoba za rizik</w:t>
            </w:r>
          </w:p>
        </w:tc>
        <w:tc>
          <w:tcPr>
            <w:tcW w:w="1956" w:type="dxa"/>
          </w:tcPr>
          <w:p w:rsidR="007D11F8" w:rsidRPr="00E85FFB" w:rsidRDefault="00E85FFB" w:rsidP="00E85FFB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E85FFB">
              <w:rPr>
                <w:rFonts w:ascii="Arial" w:eastAsia="Times New Roman" w:hAnsi="Arial" w:cs="Arial"/>
                <w:b/>
                <w:color w:val="000000"/>
                <w:szCs w:val="24"/>
              </w:rPr>
              <w:t>Rok za sprovođenje</w:t>
            </w:r>
          </w:p>
        </w:tc>
      </w:tr>
      <w:tr w:rsidR="00E85FFB" w:rsidTr="00E85FFB">
        <w:trPr>
          <w:trHeight w:val="2415"/>
        </w:trPr>
        <w:tc>
          <w:tcPr>
            <w:tcW w:w="844" w:type="dxa"/>
          </w:tcPr>
          <w:p w:rsidR="007D11F8" w:rsidRDefault="007D11F8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1.</w:t>
            </w:r>
          </w:p>
        </w:tc>
        <w:tc>
          <w:tcPr>
            <w:tcW w:w="2031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Nedovoljan broj zaposlenih zaduženih za promociju aktivnosti Ministarstva</w:t>
            </w:r>
          </w:p>
        </w:tc>
        <w:tc>
          <w:tcPr>
            <w:tcW w:w="1620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2430" w:type="dxa"/>
          </w:tcPr>
          <w:p w:rsidR="007D11F8" w:rsidRDefault="007D11F8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4599" w:rsidRDefault="00044599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4599" w:rsidRDefault="00044599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4599" w:rsidRDefault="00044599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1             1         1</w:t>
            </w:r>
          </w:p>
        </w:tc>
        <w:tc>
          <w:tcPr>
            <w:tcW w:w="2070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Učešće na seminarima i radionicama u cilju daljeg stručnog usavršavanja zaposlenih</w:t>
            </w:r>
          </w:p>
        </w:tc>
        <w:tc>
          <w:tcPr>
            <w:tcW w:w="2086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Povećanje broja zaposlenih na ovim radnim mjestima</w:t>
            </w:r>
          </w:p>
        </w:tc>
        <w:tc>
          <w:tcPr>
            <w:tcW w:w="1615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Rukovodilac</w:t>
            </w:r>
          </w:p>
        </w:tc>
        <w:tc>
          <w:tcPr>
            <w:tcW w:w="1956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  <w:tr w:rsidR="00E85FFB" w:rsidTr="00E85FFB">
        <w:trPr>
          <w:trHeight w:val="2604"/>
        </w:trPr>
        <w:tc>
          <w:tcPr>
            <w:tcW w:w="844" w:type="dxa"/>
          </w:tcPr>
          <w:p w:rsidR="007D11F8" w:rsidRDefault="007D11F8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2.</w:t>
            </w:r>
          </w:p>
        </w:tc>
        <w:tc>
          <w:tcPr>
            <w:tcW w:w="2031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Nedovnoljno poznavanje stranih jezika potrebnih za ostvarivanje funkcije ministra</w:t>
            </w:r>
          </w:p>
        </w:tc>
        <w:tc>
          <w:tcPr>
            <w:tcW w:w="1620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2430" w:type="dxa"/>
          </w:tcPr>
          <w:p w:rsidR="007D11F8" w:rsidRDefault="00044599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</w:p>
          <w:p w:rsidR="00044599" w:rsidRDefault="00044599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4599" w:rsidRDefault="00044599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4599" w:rsidRPr="00C35448" w:rsidRDefault="00044599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1           2           2</w:t>
            </w:r>
          </w:p>
          <w:p w:rsidR="00044599" w:rsidRDefault="00044599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070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Učešće na seminarima za jezike, pohađanje kurseva stranih jezika</w:t>
            </w:r>
          </w:p>
        </w:tc>
        <w:tc>
          <w:tcPr>
            <w:tcW w:w="2086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 pohađanje kurseva i obuka</w:t>
            </w:r>
          </w:p>
        </w:tc>
        <w:tc>
          <w:tcPr>
            <w:tcW w:w="1615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Rukovodilac</w:t>
            </w:r>
          </w:p>
        </w:tc>
        <w:tc>
          <w:tcPr>
            <w:tcW w:w="1956" w:type="dxa"/>
          </w:tcPr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85FFB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D11F8" w:rsidRDefault="00E85FFB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</w:tbl>
    <w:p w:rsidR="007D11F8" w:rsidRDefault="007D11F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7D11F8" w:rsidRDefault="007D11F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C35448" w:rsidRDefault="00C3544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C35448" w:rsidRDefault="00C3544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2044"/>
        <w:gridCol w:w="1654"/>
        <w:gridCol w:w="809"/>
        <w:gridCol w:w="988"/>
        <w:gridCol w:w="539"/>
        <w:gridCol w:w="2069"/>
        <w:gridCol w:w="2070"/>
        <w:gridCol w:w="1620"/>
        <w:gridCol w:w="1966"/>
      </w:tblGrid>
      <w:tr w:rsidR="00946545" w:rsidTr="00F2378E">
        <w:trPr>
          <w:trHeight w:val="2595"/>
        </w:trPr>
        <w:tc>
          <w:tcPr>
            <w:tcW w:w="895" w:type="dxa"/>
          </w:tcPr>
          <w:p w:rsidR="00F2378E" w:rsidRDefault="00F2378E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F2378E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F2378E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F2378E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F2378E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3.</w:t>
            </w:r>
          </w:p>
        </w:tc>
        <w:tc>
          <w:tcPr>
            <w:tcW w:w="2035" w:type="dxa"/>
          </w:tcPr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F2378E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Neblagovremeno obavještavanje javnosti o aktivnostima Ministarstva</w:t>
            </w:r>
          </w:p>
        </w:tc>
        <w:tc>
          <w:tcPr>
            <w:tcW w:w="1655" w:type="dxa"/>
          </w:tcPr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F2378E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810" w:type="dxa"/>
          </w:tcPr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946545" w:rsidP="0094654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990" w:type="dxa"/>
          </w:tcPr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946545" w:rsidP="0094654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540" w:type="dxa"/>
          </w:tcPr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946545" w:rsidP="0094654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2070" w:type="dxa"/>
          </w:tcPr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Redovno i blagovremeno obavještavanje Kabineta ministra od strane nosioca aktivnosti </w:t>
            </w:r>
          </w:p>
        </w:tc>
        <w:tc>
          <w:tcPr>
            <w:tcW w:w="2070" w:type="dxa"/>
          </w:tcPr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Transparentnost rada ovog organa i blagovremeno i pravilno informisanje cjelokupne javnosti</w:t>
            </w:r>
          </w:p>
        </w:tc>
        <w:tc>
          <w:tcPr>
            <w:tcW w:w="1620" w:type="dxa"/>
          </w:tcPr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Rukovodilac</w:t>
            </w:r>
          </w:p>
        </w:tc>
        <w:tc>
          <w:tcPr>
            <w:tcW w:w="1967" w:type="dxa"/>
          </w:tcPr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46545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378E" w:rsidRDefault="00946545" w:rsidP="007D11F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</w:tbl>
    <w:p w:rsidR="00C35448" w:rsidRDefault="00C35448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946545" w:rsidRDefault="00946545" w:rsidP="007D11F8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6039B3" w:rsidRPr="006039B3" w:rsidRDefault="006039B3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6039B3">
        <w:rPr>
          <w:rFonts w:ascii="Arial" w:eastAsia="Times New Roman" w:hAnsi="Arial" w:cs="Arial"/>
          <w:b/>
          <w:color w:val="000000"/>
          <w:szCs w:val="24"/>
          <w:u w:val="single"/>
        </w:rPr>
        <w:lastRenderedPageBreak/>
        <w:t>IDENTIFIKOVANI RIZICI U ORGANIZACIONIM JEDINICAMA</w:t>
      </w:r>
    </w:p>
    <w:p w:rsidR="006039B3" w:rsidRPr="006039B3" w:rsidRDefault="006039B3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6039B3" w:rsidRPr="006039B3" w:rsidRDefault="006039B3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 w:rsidRPr="006039B3">
        <w:rPr>
          <w:rFonts w:ascii="Arial" w:eastAsia="Times New Roman" w:hAnsi="Arial" w:cs="Arial"/>
          <w:b/>
          <w:color w:val="000000"/>
          <w:szCs w:val="24"/>
        </w:rPr>
        <w:t xml:space="preserve">NAZIV ORGANIZACIONE JEDINICE : </w:t>
      </w:r>
      <w:r>
        <w:rPr>
          <w:rFonts w:ascii="Arial" w:eastAsia="Times New Roman" w:hAnsi="Arial" w:cs="Arial"/>
          <w:b/>
          <w:color w:val="000000"/>
          <w:szCs w:val="24"/>
        </w:rPr>
        <w:t>SLUŽBA ZA OPŠTE POSLOVE I FINANSIJE</w:t>
      </w:r>
    </w:p>
    <w:p w:rsidR="006039B3" w:rsidRPr="006039B3" w:rsidRDefault="006039B3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  <w:r w:rsidRPr="006039B3">
        <w:rPr>
          <w:rFonts w:ascii="Arial" w:eastAsia="Times New Roman" w:hAnsi="Arial" w:cs="Arial"/>
          <w:color w:val="000000"/>
          <w:szCs w:val="24"/>
        </w:rPr>
        <w:t>•</w:t>
      </w:r>
      <w:r w:rsidRPr="006039B3">
        <w:rPr>
          <w:rFonts w:ascii="Arial" w:eastAsia="Times New Roman" w:hAnsi="Arial" w:cs="Arial"/>
          <w:color w:val="000000"/>
          <w:szCs w:val="24"/>
        </w:rPr>
        <w:tab/>
      </w:r>
      <w:r w:rsidRPr="006039B3">
        <w:rPr>
          <w:rFonts w:ascii="Arial" w:eastAsia="Times New Roman" w:hAnsi="Arial" w:cs="Arial"/>
          <w:b/>
          <w:color w:val="000000"/>
          <w:szCs w:val="24"/>
        </w:rPr>
        <w:t>Opšti cilj</w:t>
      </w:r>
      <w:r w:rsidRPr="006039B3">
        <w:rPr>
          <w:rFonts w:ascii="Arial" w:eastAsia="Times New Roman" w:hAnsi="Arial" w:cs="Arial"/>
          <w:color w:val="000000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Cs w:val="24"/>
        </w:rPr>
        <w:t>Uspješno definisanje i ispunjenje zadataka iz oblasti finansija i računovodstva, kadra, opštih poslova i poslova javnih nabavki</w:t>
      </w:r>
    </w:p>
    <w:p w:rsidR="00946545" w:rsidRDefault="006039B3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  <w:r w:rsidRPr="006039B3">
        <w:rPr>
          <w:rFonts w:ascii="Arial" w:eastAsia="Times New Roman" w:hAnsi="Arial" w:cs="Arial"/>
          <w:color w:val="000000"/>
          <w:szCs w:val="24"/>
        </w:rPr>
        <w:t>•</w:t>
      </w:r>
      <w:r w:rsidRPr="006039B3">
        <w:rPr>
          <w:rFonts w:ascii="Arial" w:eastAsia="Times New Roman" w:hAnsi="Arial" w:cs="Arial"/>
          <w:color w:val="000000"/>
          <w:szCs w:val="24"/>
        </w:rPr>
        <w:tab/>
      </w:r>
      <w:r w:rsidRPr="006039B3">
        <w:rPr>
          <w:rFonts w:ascii="Arial" w:eastAsia="Times New Roman" w:hAnsi="Arial" w:cs="Arial"/>
          <w:b/>
          <w:color w:val="000000"/>
          <w:szCs w:val="24"/>
        </w:rPr>
        <w:t>Posebni ciljevi</w:t>
      </w:r>
      <w:r w:rsidRPr="006039B3">
        <w:rPr>
          <w:rFonts w:ascii="Arial" w:eastAsia="Times New Roman" w:hAnsi="Arial" w:cs="Arial"/>
          <w:color w:val="000000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Cs w:val="24"/>
        </w:rPr>
        <w:t xml:space="preserve">Planirati i izvršavati budžet u skladu sa zakonom; blagovremeno </w:t>
      </w:r>
      <w:r w:rsidR="005E4DFF">
        <w:rPr>
          <w:rFonts w:ascii="Arial" w:eastAsia="Times New Roman" w:hAnsi="Arial" w:cs="Arial"/>
          <w:color w:val="000000"/>
          <w:szCs w:val="24"/>
        </w:rPr>
        <w:t>i namjensko korišćenje sredstava za namjene predviđene Budžetom i finansijskim planom; pratiti realizaciju zaključenih ugovora u skladu sa odredbama istih; praćenje zakona i drugih propisa koji se odnose na državne službenike i namještenike</w:t>
      </w:r>
    </w:p>
    <w:p w:rsidR="005E4DFF" w:rsidRDefault="005E4DFF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340"/>
        <w:gridCol w:w="1710"/>
        <w:gridCol w:w="2289"/>
        <w:gridCol w:w="1941"/>
        <w:gridCol w:w="1890"/>
        <w:gridCol w:w="1800"/>
        <w:gridCol w:w="1697"/>
      </w:tblGrid>
      <w:tr w:rsidR="005E4DFF" w:rsidTr="005E4DFF">
        <w:trPr>
          <w:trHeight w:val="1182"/>
        </w:trPr>
        <w:tc>
          <w:tcPr>
            <w:tcW w:w="985" w:type="dxa"/>
          </w:tcPr>
          <w:p w:rsidR="005E4DFF" w:rsidRP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Redni broj</w:t>
            </w:r>
          </w:p>
        </w:tc>
        <w:tc>
          <w:tcPr>
            <w:tcW w:w="2340" w:type="dxa"/>
          </w:tcPr>
          <w:p w:rsid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5E4DFF">
              <w:rPr>
                <w:rFonts w:ascii="Arial" w:eastAsia="Times New Roman" w:hAnsi="Arial" w:cs="Arial"/>
                <w:b/>
                <w:color w:val="000000"/>
                <w:szCs w:val="24"/>
              </w:rPr>
              <w:t>Opis rizika</w:t>
            </w:r>
          </w:p>
          <w:p w:rsidR="005E4DFF" w:rsidRP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</w:tc>
        <w:tc>
          <w:tcPr>
            <w:tcW w:w="1710" w:type="dxa"/>
          </w:tcPr>
          <w:p w:rsid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E4DFF" w:rsidRPr="005E4DFF" w:rsidRDefault="00D710BB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1007744</wp:posOffset>
                      </wp:positionH>
                      <wp:positionV relativeFrom="paragraph">
                        <wp:posOffset>97155</wp:posOffset>
                      </wp:positionV>
                      <wp:extent cx="145732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76A218"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7.65pt" to="194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" strokecolor="black [3040]"/>
                  </w:pict>
                </mc:Fallback>
              </mc:AlternateContent>
            </w:r>
            <w:r w:rsidR="005E4DFF" w:rsidRPr="005E4DFF">
              <w:rPr>
                <w:rFonts w:ascii="Arial" w:eastAsia="Times New Roman" w:hAnsi="Arial" w:cs="Arial"/>
                <w:b/>
                <w:color w:val="000000"/>
                <w:szCs w:val="24"/>
              </w:rPr>
              <w:t>Vrsta rizika</w:t>
            </w:r>
          </w:p>
        </w:tc>
        <w:tc>
          <w:tcPr>
            <w:tcW w:w="2289" w:type="dxa"/>
          </w:tcPr>
          <w:p w:rsid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5E4DFF">
              <w:rPr>
                <w:rFonts w:ascii="Arial" w:eastAsia="Times New Roman" w:hAnsi="Arial" w:cs="Arial"/>
                <w:b/>
                <w:color w:val="000000"/>
                <w:szCs w:val="24"/>
              </w:rPr>
              <w:t>Rangiranje rizika</w:t>
            </w:r>
          </w:p>
          <w:p w:rsidR="005E4DFF" w:rsidRDefault="00D710BB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106679</wp:posOffset>
                      </wp:positionV>
                      <wp:extent cx="19050" cy="355282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552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9E30C2" id="Straight Connector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5pt,8.4pt" to="70.35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106679</wp:posOffset>
                      </wp:positionV>
                      <wp:extent cx="19050" cy="35528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552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DCD29" id="Straight Connector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8.4pt" to="26.85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" strokecolor="black [3040]"/>
                  </w:pict>
                </mc:Fallback>
              </mc:AlternateContent>
            </w:r>
          </w:p>
          <w:p w:rsidR="005E4DFF" w:rsidRDefault="005E4DFF" w:rsidP="005E4D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Utic  Vjerov</w:t>
            </w:r>
            <w:r w:rsidR="00D710BB"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Ukup</w:t>
            </w:r>
          </w:p>
          <w:p w:rsidR="005E4DFF" w:rsidRPr="005E4DFF" w:rsidRDefault="005E4DFF" w:rsidP="005E4DFF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aj      atnoća     no</w:t>
            </w:r>
          </w:p>
        </w:tc>
        <w:tc>
          <w:tcPr>
            <w:tcW w:w="1941" w:type="dxa"/>
          </w:tcPr>
          <w:p w:rsidR="005E4DFF" w:rsidRP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5E4DFF">
              <w:rPr>
                <w:rFonts w:ascii="Arial" w:eastAsia="Times New Roman" w:hAnsi="Arial" w:cs="Arial"/>
                <w:b/>
                <w:color w:val="000000"/>
                <w:szCs w:val="24"/>
              </w:rPr>
              <w:t>Pregled postojećih kontrola</w:t>
            </w:r>
          </w:p>
        </w:tc>
        <w:tc>
          <w:tcPr>
            <w:tcW w:w="1890" w:type="dxa"/>
          </w:tcPr>
          <w:p w:rsid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E4DFF" w:rsidRP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5E4DFF">
              <w:rPr>
                <w:rFonts w:ascii="Arial" w:eastAsia="Times New Roman" w:hAnsi="Arial" w:cs="Arial"/>
                <w:b/>
                <w:color w:val="000000"/>
                <w:szCs w:val="24"/>
              </w:rPr>
              <w:t>Reagovanje na rizik</w:t>
            </w:r>
          </w:p>
        </w:tc>
        <w:tc>
          <w:tcPr>
            <w:tcW w:w="1800" w:type="dxa"/>
          </w:tcPr>
          <w:p w:rsid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E4DFF" w:rsidRP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5E4DFF">
              <w:rPr>
                <w:rFonts w:ascii="Arial" w:eastAsia="Times New Roman" w:hAnsi="Arial" w:cs="Arial"/>
                <w:b/>
                <w:color w:val="000000"/>
                <w:szCs w:val="24"/>
              </w:rPr>
              <w:t>Odgovorna osoba za rizik</w:t>
            </w:r>
          </w:p>
        </w:tc>
        <w:tc>
          <w:tcPr>
            <w:tcW w:w="1697" w:type="dxa"/>
          </w:tcPr>
          <w:p w:rsid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5E4DFF" w:rsidRPr="005E4DFF" w:rsidRDefault="005E4DFF" w:rsidP="005E4DFF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5E4DFF">
              <w:rPr>
                <w:rFonts w:ascii="Arial" w:eastAsia="Times New Roman" w:hAnsi="Arial" w:cs="Arial"/>
                <w:b/>
                <w:color w:val="000000"/>
                <w:szCs w:val="24"/>
              </w:rPr>
              <w:t>Rok za sprovođenje</w:t>
            </w:r>
          </w:p>
        </w:tc>
      </w:tr>
      <w:tr w:rsidR="005E4DFF" w:rsidTr="005E4DFF">
        <w:trPr>
          <w:trHeight w:val="4854"/>
        </w:trPr>
        <w:tc>
          <w:tcPr>
            <w:tcW w:w="985" w:type="dxa"/>
          </w:tcPr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1.</w:t>
            </w:r>
          </w:p>
        </w:tc>
        <w:tc>
          <w:tcPr>
            <w:tcW w:w="2340" w:type="dxa"/>
          </w:tcPr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Neblagovremen i neadekvatan zahtjev za budžetskim sredstvima</w:t>
            </w: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Nepoštovanje postavljenih limita</w:t>
            </w:r>
          </w:p>
        </w:tc>
        <w:tc>
          <w:tcPr>
            <w:tcW w:w="1710" w:type="dxa"/>
          </w:tcPr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Operativni,</w:t>
            </w: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finansijski</w:t>
            </w:r>
          </w:p>
        </w:tc>
        <w:tc>
          <w:tcPr>
            <w:tcW w:w="2289" w:type="dxa"/>
          </w:tcPr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10BB" w:rsidRDefault="00D710BB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10BB" w:rsidRDefault="00D710BB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10BB" w:rsidRDefault="00D710BB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10BB" w:rsidRDefault="00D710BB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10BB" w:rsidRDefault="00D710BB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10BB" w:rsidRDefault="00D710BB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D710BB" w:rsidRDefault="00D710BB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3           3          9</w:t>
            </w:r>
          </w:p>
        </w:tc>
        <w:tc>
          <w:tcPr>
            <w:tcW w:w="1941" w:type="dxa"/>
          </w:tcPr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budžetu i fiskalnoj odgovornosti</w:t>
            </w: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Smjernice Ministarstva finansija</w:t>
            </w:r>
          </w:p>
        </w:tc>
        <w:tc>
          <w:tcPr>
            <w:tcW w:w="1890" w:type="dxa"/>
          </w:tcPr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 upoznavanje zaposlenih sa propisima</w:t>
            </w: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Blagovremena komunikacija između organizacionih jedinica</w:t>
            </w: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Poštovanje propisanih limita</w:t>
            </w:r>
          </w:p>
        </w:tc>
        <w:tc>
          <w:tcPr>
            <w:tcW w:w="1800" w:type="dxa"/>
          </w:tcPr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Ministar</w:t>
            </w: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Sekretar</w:t>
            </w: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Generalni direktori</w:t>
            </w: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Služba za opšte poslove i finansije</w:t>
            </w:r>
          </w:p>
        </w:tc>
        <w:tc>
          <w:tcPr>
            <w:tcW w:w="1697" w:type="dxa"/>
          </w:tcPr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E4DFF" w:rsidRDefault="005E4DFF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III kvartal</w:t>
            </w:r>
          </w:p>
        </w:tc>
      </w:tr>
    </w:tbl>
    <w:p w:rsidR="005E4DFF" w:rsidRDefault="005E4DFF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2287"/>
        <w:gridCol w:w="1684"/>
        <w:gridCol w:w="610"/>
        <w:gridCol w:w="861"/>
        <w:gridCol w:w="703"/>
        <w:gridCol w:w="1936"/>
        <w:gridCol w:w="1471"/>
        <w:gridCol w:w="2548"/>
        <w:gridCol w:w="1607"/>
      </w:tblGrid>
      <w:tr w:rsidR="009C2EC9" w:rsidTr="003A113C">
        <w:trPr>
          <w:trHeight w:val="3045"/>
        </w:trPr>
        <w:tc>
          <w:tcPr>
            <w:tcW w:w="945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2.</w:t>
            </w:r>
          </w:p>
        </w:tc>
        <w:tc>
          <w:tcPr>
            <w:tcW w:w="2287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Nezakonita potrošnja budžetskih sredstava</w:t>
            </w:r>
          </w:p>
        </w:tc>
        <w:tc>
          <w:tcPr>
            <w:tcW w:w="1684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Finansijski</w:t>
            </w:r>
          </w:p>
        </w:tc>
        <w:tc>
          <w:tcPr>
            <w:tcW w:w="610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9C2E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861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9C2E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703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9C2E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9</w:t>
            </w:r>
          </w:p>
        </w:tc>
        <w:tc>
          <w:tcPr>
            <w:tcW w:w="1936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budžetu</w:t>
            </w: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Uputstvo o radu državnog trezora</w:t>
            </w:r>
          </w:p>
        </w:tc>
        <w:tc>
          <w:tcPr>
            <w:tcW w:w="1471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Poštovanje propisa i uputstava o radu državnog trezora</w:t>
            </w:r>
          </w:p>
        </w:tc>
        <w:tc>
          <w:tcPr>
            <w:tcW w:w="2548" w:type="dxa"/>
          </w:tcPr>
          <w:p w:rsidR="009C2EC9" w:rsidRDefault="009C2EC9" w:rsidP="009C2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Pr="009C2EC9" w:rsidRDefault="009C2EC9" w:rsidP="009C2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9C2EC9">
              <w:rPr>
                <w:rFonts w:ascii="Arial" w:eastAsia="Times New Roman" w:hAnsi="Arial" w:cs="Arial"/>
                <w:color w:val="000000"/>
                <w:szCs w:val="24"/>
              </w:rPr>
              <w:t>Ministar</w:t>
            </w:r>
          </w:p>
          <w:p w:rsidR="009C2EC9" w:rsidRPr="009C2EC9" w:rsidRDefault="009C2EC9" w:rsidP="009C2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Pr="009C2EC9" w:rsidRDefault="009C2EC9" w:rsidP="009C2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9C2EC9">
              <w:rPr>
                <w:rFonts w:ascii="Arial" w:eastAsia="Times New Roman" w:hAnsi="Arial" w:cs="Arial"/>
                <w:color w:val="000000"/>
                <w:szCs w:val="24"/>
              </w:rPr>
              <w:t>Sekretar</w:t>
            </w:r>
          </w:p>
          <w:p w:rsidR="009C2EC9" w:rsidRPr="009C2EC9" w:rsidRDefault="009C2EC9" w:rsidP="009C2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Pr="009C2EC9" w:rsidRDefault="009C2EC9" w:rsidP="009C2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9C2EC9">
              <w:rPr>
                <w:rFonts w:ascii="Arial" w:eastAsia="Times New Roman" w:hAnsi="Arial" w:cs="Arial"/>
                <w:color w:val="000000"/>
                <w:szCs w:val="24"/>
              </w:rPr>
              <w:t>Generalni direktori</w:t>
            </w:r>
          </w:p>
          <w:p w:rsidR="009C2EC9" w:rsidRPr="009C2EC9" w:rsidRDefault="009C2EC9" w:rsidP="009C2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9C2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9C2EC9">
              <w:rPr>
                <w:rFonts w:ascii="Arial" w:eastAsia="Times New Roman" w:hAnsi="Arial" w:cs="Arial"/>
                <w:color w:val="000000"/>
                <w:szCs w:val="24"/>
              </w:rPr>
              <w:t>Služba za opšte poslove i finansije</w:t>
            </w:r>
          </w:p>
        </w:tc>
        <w:tc>
          <w:tcPr>
            <w:tcW w:w="1607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  <w:tr w:rsidR="009C2EC9" w:rsidTr="003A113C">
        <w:trPr>
          <w:trHeight w:val="3495"/>
        </w:trPr>
        <w:tc>
          <w:tcPr>
            <w:tcW w:w="945" w:type="dxa"/>
          </w:tcPr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3.</w:t>
            </w:r>
          </w:p>
        </w:tc>
        <w:tc>
          <w:tcPr>
            <w:tcW w:w="2287" w:type="dxa"/>
          </w:tcPr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Obračun zarada izvršen na osnovu pogrešno pripremljenih podataka</w:t>
            </w:r>
          </w:p>
        </w:tc>
        <w:tc>
          <w:tcPr>
            <w:tcW w:w="1684" w:type="dxa"/>
          </w:tcPr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610" w:type="dxa"/>
          </w:tcPr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3A11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861" w:type="dxa"/>
          </w:tcPr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3A11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703" w:type="dxa"/>
          </w:tcPr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3A11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12</w:t>
            </w:r>
          </w:p>
        </w:tc>
        <w:tc>
          <w:tcPr>
            <w:tcW w:w="1936" w:type="dxa"/>
          </w:tcPr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zaradama zaposlenih u javnom sektoru</w:t>
            </w:r>
          </w:p>
        </w:tc>
        <w:tc>
          <w:tcPr>
            <w:tcW w:w="1471" w:type="dxa"/>
          </w:tcPr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Poznavanje zakona i praćenje propisa</w:t>
            </w:r>
          </w:p>
        </w:tc>
        <w:tc>
          <w:tcPr>
            <w:tcW w:w="2548" w:type="dxa"/>
          </w:tcPr>
          <w:p w:rsidR="009C2EC9" w:rsidRDefault="009C2EC9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Samostalni savjetnik III koji u skladu sa Pravilnikom o unutrašnjoj organizaciji i sistematizaciji Ministarstva sporta i mladih obavlja poslove iz oblasti finansija i računovodstva i Samostalni savjetnik III koji u skladu sa Pravilnikom o unutrašnjoj organizaciji </w:t>
            </w:r>
            <w:r w:rsidR="003A113C">
              <w:rPr>
                <w:rFonts w:ascii="Arial" w:eastAsia="Times New Roman" w:hAnsi="Arial" w:cs="Arial"/>
                <w:color w:val="000000"/>
                <w:szCs w:val="24"/>
              </w:rPr>
              <w:t>i sistematizaciji Ministarstva sporta i mladih obavlja kadrovske i pravne poslove</w:t>
            </w:r>
          </w:p>
        </w:tc>
        <w:tc>
          <w:tcPr>
            <w:tcW w:w="1607" w:type="dxa"/>
          </w:tcPr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3A113C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9C2EC9" w:rsidRDefault="003A113C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</w:tbl>
    <w:p w:rsidR="009C2EC9" w:rsidRDefault="009C2EC9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2241"/>
        <w:gridCol w:w="1692"/>
        <w:gridCol w:w="532"/>
        <w:gridCol w:w="875"/>
        <w:gridCol w:w="703"/>
        <w:gridCol w:w="1890"/>
        <w:gridCol w:w="1671"/>
        <w:gridCol w:w="2483"/>
        <w:gridCol w:w="1605"/>
      </w:tblGrid>
      <w:tr w:rsidR="00F214A0" w:rsidTr="00F214A0">
        <w:trPr>
          <w:trHeight w:val="3477"/>
        </w:trPr>
        <w:tc>
          <w:tcPr>
            <w:tcW w:w="985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F214A0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4.</w:t>
            </w:r>
          </w:p>
        </w:tc>
        <w:tc>
          <w:tcPr>
            <w:tcW w:w="225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F214A0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Neblagovremeno i pogrešno unošenje podataka u Kadrovskom informacionom sistemu</w:t>
            </w:r>
          </w:p>
        </w:tc>
        <w:tc>
          <w:tcPr>
            <w:tcW w:w="171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F214A0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54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574FE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F214A0" w:rsidP="00574FE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90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F214A0" w:rsidP="00574FE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72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F214A0" w:rsidP="00574FE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1890" w:type="dxa"/>
          </w:tcPr>
          <w:p w:rsidR="00F214A0" w:rsidRDefault="00F214A0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državnim službenicima i namještenicima</w:t>
            </w:r>
          </w:p>
          <w:p w:rsidR="00F214A0" w:rsidRDefault="00F214A0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F214A0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o bližem sadržaju i načinu vođenja centralne kadrovske evidencije i evidencije internog tržišta rada</w:t>
            </w:r>
          </w:p>
        </w:tc>
        <w:tc>
          <w:tcPr>
            <w:tcW w:w="153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F214A0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Unos podataka u Kadrovski informacioni sistem</w:t>
            </w:r>
            <w:r w:rsidR="00574FED">
              <w:rPr>
                <w:rFonts w:ascii="Arial" w:eastAsia="Times New Roman" w:hAnsi="Arial" w:cs="Arial"/>
                <w:color w:val="000000"/>
                <w:szCs w:val="24"/>
              </w:rPr>
              <w:t xml:space="preserve"> u propisanom roku</w:t>
            </w:r>
          </w:p>
        </w:tc>
        <w:tc>
          <w:tcPr>
            <w:tcW w:w="252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Samostalni savjetnik I koji u skladu sa Pravilnikom o unutrašnjoj organizaciji i sistematizaciji Ministarstva sporta i mladih obavlja kadrovske poslove </w:t>
            </w:r>
          </w:p>
        </w:tc>
        <w:tc>
          <w:tcPr>
            <w:tcW w:w="1607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56428" w:rsidRDefault="0005642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  <w:tr w:rsidR="00F214A0" w:rsidTr="00F214A0">
        <w:trPr>
          <w:trHeight w:val="4539"/>
        </w:trPr>
        <w:tc>
          <w:tcPr>
            <w:tcW w:w="985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5.</w:t>
            </w:r>
          </w:p>
        </w:tc>
        <w:tc>
          <w:tcPr>
            <w:tcW w:w="225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Nezakonito pripremanje pojedinačnih akata o ostvarivanju prava iz radnih službeničkih odnosa u propisanom roku</w:t>
            </w:r>
          </w:p>
        </w:tc>
        <w:tc>
          <w:tcPr>
            <w:tcW w:w="171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54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574FE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90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574FE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72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574FE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9</w:t>
            </w:r>
          </w:p>
        </w:tc>
        <w:tc>
          <w:tcPr>
            <w:tcW w:w="1890" w:type="dxa"/>
          </w:tcPr>
          <w:p w:rsidR="00F214A0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državnim službenicima i namještenicima</w:t>
            </w: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upravnom postupku</w:t>
            </w: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zaradama zaposlenih u javnom sektoru</w:t>
            </w: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upravnom postupku</w:t>
            </w:r>
          </w:p>
        </w:tc>
        <w:tc>
          <w:tcPr>
            <w:tcW w:w="153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Svakodnevno upoznavanje sa propisima iz ove oblasti</w:t>
            </w:r>
          </w:p>
        </w:tc>
        <w:tc>
          <w:tcPr>
            <w:tcW w:w="2520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Sekretar</w:t>
            </w: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574FED">
              <w:rPr>
                <w:rFonts w:ascii="Arial" w:eastAsia="Times New Roman" w:hAnsi="Arial" w:cs="Arial"/>
                <w:color w:val="000000"/>
                <w:szCs w:val="24"/>
              </w:rPr>
              <w:t>Samostalni savjetnik I koji u skladu sa Pravilnikom o unutrašnjoj organizaciji i sistematizaciji Ministarstva sporta i mladih obavlja kadrovske poslove</w:t>
            </w: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1607" w:type="dxa"/>
          </w:tcPr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74FED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F214A0" w:rsidRDefault="00574FED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</w:tbl>
    <w:p w:rsidR="00F214A0" w:rsidRDefault="00F214A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2204"/>
        <w:gridCol w:w="1604"/>
        <w:gridCol w:w="638"/>
        <w:gridCol w:w="708"/>
        <w:gridCol w:w="667"/>
        <w:gridCol w:w="2620"/>
        <w:gridCol w:w="2374"/>
        <w:gridCol w:w="1764"/>
        <w:gridCol w:w="1564"/>
      </w:tblGrid>
      <w:tr w:rsidR="006C1D44" w:rsidTr="00500B87">
        <w:trPr>
          <w:trHeight w:val="2757"/>
        </w:trPr>
        <w:tc>
          <w:tcPr>
            <w:tcW w:w="535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6.</w:t>
            </w:r>
          </w:p>
        </w:tc>
        <w:tc>
          <w:tcPr>
            <w:tcW w:w="2250" w:type="dxa"/>
          </w:tcPr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Neobjavljivanje na internet stranici informacija u skladu sa zakonom</w:t>
            </w: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Neblagovremeno davanje informacija po zahtjevima za slobodan pristup informacijama</w:t>
            </w:r>
          </w:p>
        </w:tc>
        <w:tc>
          <w:tcPr>
            <w:tcW w:w="126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Informacije i komunikacije</w:t>
            </w:r>
          </w:p>
        </w:tc>
        <w:tc>
          <w:tcPr>
            <w:tcW w:w="72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C1D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81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C1D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72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C1D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288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slobodnom pristupu informacijama</w:t>
            </w:r>
          </w:p>
        </w:tc>
        <w:tc>
          <w:tcPr>
            <w:tcW w:w="2545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Svakodnevno objavljivanje informacija na internet stranici</w:t>
            </w: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Blagovremeno i pravilno omogućavanje pristupu informacijama</w:t>
            </w:r>
          </w:p>
        </w:tc>
        <w:tc>
          <w:tcPr>
            <w:tcW w:w="1466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Ovlašćeno lice za slobodan pristup informacijama</w:t>
            </w: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Administrator</w:t>
            </w:r>
          </w:p>
        </w:tc>
        <w:tc>
          <w:tcPr>
            <w:tcW w:w="1466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  <w:tr w:rsidR="006C1D44" w:rsidTr="00500B87">
        <w:trPr>
          <w:trHeight w:val="2469"/>
        </w:trPr>
        <w:tc>
          <w:tcPr>
            <w:tcW w:w="535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7.</w:t>
            </w:r>
          </w:p>
        </w:tc>
        <w:tc>
          <w:tcPr>
            <w:tcW w:w="225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Neblagovremeno donošenje Plana javnih nabavki</w:t>
            </w:r>
          </w:p>
        </w:tc>
        <w:tc>
          <w:tcPr>
            <w:tcW w:w="126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Zakonodavni</w:t>
            </w:r>
          </w:p>
        </w:tc>
        <w:tc>
          <w:tcPr>
            <w:tcW w:w="72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C1D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81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C1D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72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C1D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12</w:t>
            </w:r>
          </w:p>
        </w:tc>
        <w:tc>
          <w:tcPr>
            <w:tcW w:w="288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javnim nabavkama</w:t>
            </w:r>
          </w:p>
        </w:tc>
        <w:tc>
          <w:tcPr>
            <w:tcW w:w="2545" w:type="dxa"/>
          </w:tcPr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Poznavanje Zakona o javnim nabavkama i Uputstva za postupanje prilikom sprovođenja postupaka nabavke male vrijednosti</w:t>
            </w:r>
          </w:p>
        </w:tc>
        <w:tc>
          <w:tcPr>
            <w:tcW w:w="1466" w:type="dxa"/>
          </w:tcPr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Rukovodioci organizacionih jedinica</w:t>
            </w: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Samostalni savjetnik I </w:t>
            </w:r>
            <w:r w:rsidR="006C1D44">
              <w:rPr>
                <w:rFonts w:ascii="Arial" w:eastAsia="Times New Roman" w:hAnsi="Arial" w:cs="Arial"/>
                <w:color w:val="000000"/>
                <w:szCs w:val="24"/>
              </w:rPr>
              <w:t>za javne nabavke</w:t>
            </w:r>
          </w:p>
        </w:tc>
        <w:tc>
          <w:tcPr>
            <w:tcW w:w="1466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 kvartal</w:t>
            </w:r>
          </w:p>
        </w:tc>
      </w:tr>
      <w:tr w:rsidR="006C1D44" w:rsidTr="00500B87">
        <w:trPr>
          <w:trHeight w:val="2910"/>
        </w:trPr>
        <w:tc>
          <w:tcPr>
            <w:tcW w:w="535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8.</w:t>
            </w:r>
          </w:p>
        </w:tc>
        <w:tc>
          <w:tcPr>
            <w:tcW w:w="225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Nezakonito sprovođenje postupaka javnih nabavki, nabavki male vrijednosti i hitnih nabavki</w:t>
            </w:r>
          </w:p>
        </w:tc>
        <w:tc>
          <w:tcPr>
            <w:tcW w:w="126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Zakonodavni</w:t>
            </w:r>
          </w:p>
        </w:tc>
        <w:tc>
          <w:tcPr>
            <w:tcW w:w="72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C1D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81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C1D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720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500B87" w:rsidP="006C1D4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12</w:t>
            </w:r>
          </w:p>
        </w:tc>
        <w:tc>
          <w:tcPr>
            <w:tcW w:w="2880" w:type="dxa"/>
          </w:tcPr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javnim nabavkama</w:t>
            </w: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za sprovođenje postupka nabavke male vrijednosti</w:t>
            </w:r>
          </w:p>
          <w:p w:rsidR="00500B8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za sprovođenje postupaka hitnih nabavki</w:t>
            </w:r>
          </w:p>
        </w:tc>
        <w:tc>
          <w:tcPr>
            <w:tcW w:w="2545" w:type="dxa"/>
          </w:tcPr>
          <w:p w:rsidR="00642F57" w:rsidRDefault="00500B87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Poznavanje i poštovanje propisa iz oblasti javnih nabavki od strane službenika za javne nabavke i Komisije za otvaranje i vrednovanje ponuda</w:t>
            </w:r>
          </w:p>
        </w:tc>
        <w:tc>
          <w:tcPr>
            <w:tcW w:w="1466" w:type="dxa"/>
          </w:tcPr>
          <w:p w:rsidR="00642F57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Ovlašćeno lice naručioca</w:t>
            </w: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Samostalni savjetnik I za javne nabavke</w:t>
            </w: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Komisija za otvaranje i vrednovanje ponuda</w:t>
            </w:r>
          </w:p>
        </w:tc>
        <w:tc>
          <w:tcPr>
            <w:tcW w:w="1466" w:type="dxa"/>
          </w:tcPr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C1D44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642F57" w:rsidRDefault="006C1D44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</w:tbl>
    <w:p w:rsidR="00642F57" w:rsidRDefault="00642F57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2059"/>
        <w:gridCol w:w="1697"/>
        <w:gridCol w:w="632"/>
        <w:gridCol w:w="709"/>
        <w:gridCol w:w="713"/>
        <w:gridCol w:w="2581"/>
        <w:gridCol w:w="2412"/>
        <w:gridCol w:w="1667"/>
        <w:gridCol w:w="1564"/>
      </w:tblGrid>
      <w:tr w:rsidR="00747F48" w:rsidTr="00747F48">
        <w:trPr>
          <w:trHeight w:val="5277"/>
        </w:trPr>
        <w:tc>
          <w:tcPr>
            <w:tcW w:w="625" w:type="dxa"/>
          </w:tcPr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9.</w:t>
            </w:r>
          </w:p>
        </w:tc>
        <w:tc>
          <w:tcPr>
            <w:tcW w:w="2070" w:type="dxa"/>
          </w:tcPr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Donošenje nezakonitih odluka u postupcima javnih nabavki</w:t>
            </w: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Kršenje načela javnih nabavki</w:t>
            </w: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Nepoštovanje sukoba interesa i zakonitosti u postupcima javnih nabavki</w:t>
            </w:r>
          </w:p>
        </w:tc>
        <w:tc>
          <w:tcPr>
            <w:tcW w:w="1700" w:type="dxa"/>
          </w:tcPr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Zakonodavni i operativni</w:t>
            </w:r>
          </w:p>
        </w:tc>
        <w:tc>
          <w:tcPr>
            <w:tcW w:w="640" w:type="dxa"/>
          </w:tcPr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720" w:type="dxa"/>
          </w:tcPr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720" w:type="dxa"/>
          </w:tcPr>
          <w:p w:rsidR="005C4982" w:rsidRDefault="005C4982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5C498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12</w:t>
            </w:r>
          </w:p>
        </w:tc>
        <w:tc>
          <w:tcPr>
            <w:tcW w:w="2610" w:type="dxa"/>
          </w:tcPr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Zakoni i podzakonska akta</w:t>
            </w: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Portal javnih nabavki</w:t>
            </w: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Mogućnost ulaganja žalbe</w:t>
            </w:r>
          </w:p>
        </w:tc>
        <w:tc>
          <w:tcPr>
            <w:tcW w:w="2430" w:type="dxa"/>
          </w:tcPr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Unijeti antikorupcijsku klauzulu u sve ugovore o javnim nabavkama</w:t>
            </w: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Objavljivati ugovore i sve anekse ugovora na internet stranici</w:t>
            </w: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Kontrola izjava o nepostojanju sukoba interesa članova tenderskih komisija i službenika za javne nabavke</w:t>
            </w:r>
          </w:p>
        </w:tc>
        <w:tc>
          <w:tcPr>
            <w:tcW w:w="1671" w:type="dxa"/>
          </w:tcPr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Ovlašćeno lice naručioca</w:t>
            </w: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Samostalni savjetnik I za javne nabavke</w:t>
            </w: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Članovi Komisije za otvaranje i vrednovanje ponuda</w:t>
            </w:r>
          </w:p>
        </w:tc>
        <w:tc>
          <w:tcPr>
            <w:tcW w:w="1466" w:type="dxa"/>
          </w:tcPr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C4982" w:rsidRDefault="005C4982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747F48" w:rsidRDefault="00747F48" w:rsidP="006039B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</w:tbl>
    <w:p w:rsidR="00747F48" w:rsidRDefault="00747F48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Default="00046FD0" w:rsidP="006039B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Pr="00046FD0" w:rsidRDefault="00046FD0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  <w:u w:val="single"/>
        </w:rPr>
      </w:pPr>
      <w:r w:rsidRPr="00046FD0">
        <w:rPr>
          <w:rFonts w:ascii="Arial" w:eastAsia="Times New Roman" w:hAnsi="Arial" w:cs="Arial"/>
          <w:b/>
          <w:color w:val="000000"/>
          <w:szCs w:val="24"/>
          <w:u w:val="single"/>
        </w:rPr>
        <w:lastRenderedPageBreak/>
        <w:t>IDENTIFIKOVANI RIZICI U ORGANIZACIONIM JEDINICAMA</w:t>
      </w:r>
    </w:p>
    <w:p w:rsidR="00046FD0" w:rsidRPr="00046FD0" w:rsidRDefault="00046FD0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046FD0" w:rsidRPr="00046FD0" w:rsidRDefault="00046FD0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color w:val="000000"/>
          <w:szCs w:val="24"/>
        </w:rPr>
      </w:pPr>
      <w:r w:rsidRPr="00046FD0">
        <w:rPr>
          <w:rFonts w:ascii="Arial" w:eastAsia="Times New Roman" w:hAnsi="Arial" w:cs="Arial"/>
          <w:b/>
          <w:color w:val="000000"/>
          <w:szCs w:val="24"/>
        </w:rPr>
        <w:t xml:space="preserve">NAZIV ORGANIZACIONE JEDINICE : </w:t>
      </w:r>
      <w:r>
        <w:rPr>
          <w:rFonts w:ascii="Arial" w:eastAsia="Times New Roman" w:hAnsi="Arial" w:cs="Arial"/>
          <w:b/>
          <w:color w:val="000000"/>
          <w:szCs w:val="24"/>
        </w:rPr>
        <w:t>ODJELJENJE ZA UNUTRAŠNJU REVIZIJU</w:t>
      </w:r>
    </w:p>
    <w:p w:rsidR="00046FD0" w:rsidRPr="00046FD0" w:rsidRDefault="00046FD0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  <w:r w:rsidRPr="00046FD0">
        <w:rPr>
          <w:rFonts w:ascii="Arial" w:eastAsia="Times New Roman" w:hAnsi="Arial" w:cs="Arial"/>
          <w:color w:val="000000"/>
          <w:szCs w:val="24"/>
        </w:rPr>
        <w:t>•</w:t>
      </w:r>
      <w:r w:rsidRPr="00046FD0">
        <w:rPr>
          <w:rFonts w:ascii="Arial" w:eastAsia="Times New Roman" w:hAnsi="Arial" w:cs="Arial"/>
          <w:color w:val="000000"/>
          <w:szCs w:val="24"/>
        </w:rPr>
        <w:tab/>
      </w:r>
      <w:r w:rsidRPr="00046FD0">
        <w:rPr>
          <w:rFonts w:ascii="Arial" w:eastAsia="Times New Roman" w:hAnsi="Arial" w:cs="Arial"/>
          <w:b/>
          <w:color w:val="000000"/>
          <w:szCs w:val="24"/>
        </w:rPr>
        <w:t>Opšti cilj</w:t>
      </w:r>
      <w:r w:rsidRPr="00046FD0">
        <w:rPr>
          <w:rFonts w:ascii="Arial" w:eastAsia="Times New Roman" w:hAnsi="Arial" w:cs="Arial"/>
          <w:color w:val="000000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Cs w:val="24"/>
        </w:rPr>
        <w:t>Nezavisno i objektivno uvjeravanje i pružanje savjetodavnih usluga u cilju doprinosa unaprijeđenju poslovanja i ostvarivanje ciljeva Ministarstva</w:t>
      </w:r>
    </w:p>
    <w:p w:rsidR="00046FD0" w:rsidRDefault="00046FD0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  <w:r w:rsidRPr="00046FD0">
        <w:rPr>
          <w:rFonts w:ascii="Arial" w:eastAsia="Times New Roman" w:hAnsi="Arial" w:cs="Arial"/>
          <w:color w:val="000000"/>
          <w:szCs w:val="24"/>
        </w:rPr>
        <w:t>•</w:t>
      </w:r>
      <w:r w:rsidRPr="00046FD0">
        <w:rPr>
          <w:rFonts w:ascii="Arial" w:eastAsia="Times New Roman" w:hAnsi="Arial" w:cs="Arial"/>
          <w:color w:val="000000"/>
          <w:szCs w:val="24"/>
        </w:rPr>
        <w:tab/>
      </w:r>
      <w:r w:rsidRPr="00046FD0">
        <w:rPr>
          <w:rFonts w:ascii="Arial" w:eastAsia="Times New Roman" w:hAnsi="Arial" w:cs="Arial"/>
          <w:b/>
          <w:color w:val="000000"/>
          <w:szCs w:val="24"/>
        </w:rPr>
        <w:t>Posebni ciljevi</w:t>
      </w:r>
      <w:r w:rsidRPr="00046FD0">
        <w:rPr>
          <w:rFonts w:ascii="Arial" w:eastAsia="Times New Roman" w:hAnsi="Arial" w:cs="Arial"/>
          <w:color w:val="000000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Cs w:val="24"/>
        </w:rPr>
        <w:t>obavljanje poslovanja na ekonomičan, efektivan i efikasan način; zaštita sredstava od gubitaka prouzrokovanih nepravilnim upravljanjem, neopravdanim raspolaganjem kao i zaštita od drugih nepravilnosti</w:t>
      </w:r>
    </w:p>
    <w:p w:rsidR="00046FD0" w:rsidRDefault="00046FD0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2352"/>
        <w:gridCol w:w="1440"/>
        <w:gridCol w:w="2430"/>
        <w:gridCol w:w="2067"/>
        <w:gridCol w:w="1827"/>
        <w:gridCol w:w="1826"/>
        <w:gridCol w:w="1827"/>
      </w:tblGrid>
      <w:tr w:rsidR="00046FD0" w:rsidTr="00046FD0">
        <w:trPr>
          <w:trHeight w:val="1290"/>
        </w:trPr>
        <w:tc>
          <w:tcPr>
            <w:tcW w:w="883" w:type="dxa"/>
          </w:tcPr>
          <w:p w:rsid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46FD0" w:rsidRP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Redni broj</w:t>
            </w:r>
          </w:p>
        </w:tc>
        <w:tc>
          <w:tcPr>
            <w:tcW w:w="2352" w:type="dxa"/>
          </w:tcPr>
          <w:p w:rsid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46FD0" w:rsidRP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46FD0">
              <w:rPr>
                <w:rFonts w:ascii="Arial" w:eastAsia="Times New Roman" w:hAnsi="Arial" w:cs="Arial"/>
                <w:b/>
                <w:color w:val="000000"/>
                <w:szCs w:val="24"/>
              </w:rPr>
              <w:t>Opis rizika</w:t>
            </w:r>
          </w:p>
        </w:tc>
        <w:tc>
          <w:tcPr>
            <w:tcW w:w="1440" w:type="dxa"/>
          </w:tcPr>
          <w:p w:rsidR="00046FD0" w:rsidRDefault="00046FD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46FD0" w:rsidRP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845819</wp:posOffset>
                      </wp:positionH>
                      <wp:positionV relativeFrom="paragraph">
                        <wp:posOffset>43815</wp:posOffset>
                      </wp:positionV>
                      <wp:extent cx="15335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B6B3EF" id="Straight Connector 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3.45pt" to="187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" strokecolor="black [3040]"/>
                  </w:pict>
                </mc:Fallback>
              </mc:AlternateContent>
            </w:r>
            <w:r w:rsidR="00046FD0" w:rsidRPr="00046FD0">
              <w:rPr>
                <w:rFonts w:ascii="Arial" w:eastAsia="Times New Roman" w:hAnsi="Arial" w:cs="Arial"/>
                <w:b/>
                <w:color w:val="000000"/>
                <w:szCs w:val="24"/>
              </w:rPr>
              <w:t>Vrsta rizika</w:t>
            </w:r>
          </w:p>
        </w:tc>
        <w:tc>
          <w:tcPr>
            <w:tcW w:w="2430" w:type="dxa"/>
          </w:tcPr>
          <w:p w:rsid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46FD0">
              <w:rPr>
                <w:rFonts w:ascii="Arial" w:eastAsia="Times New Roman" w:hAnsi="Arial" w:cs="Arial"/>
                <w:b/>
                <w:color w:val="000000"/>
                <w:szCs w:val="24"/>
              </w:rPr>
              <w:t>Rangiranje rizika</w:t>
            </w:r>
          </w:p>
          <w:p w:rsid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43815</wp:posOffset>
                      </wp:positionV>
                      <wp:extent cx="19050" cy="409575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09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07009" id="Straight Connector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3.45pt" to="82.35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53339</wp:posOffset>
                      </wp:positionV>
                      <wp:extent cx="0" cy="4067175"/>
                      <wp:effectExtent l="0" t="0" r="3810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6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1B460A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4.2pt" to="35.85pt,3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046FD0" w:rsidRDefault="00046FD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>Uticaj  Vjerov  Uku</w:t>
            </w:r>
          </w:p>
          <w:p w:rsidR="004E1CC2" w:rsidRP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           atnoća   no</w:t>
            </w:r>
          </w:p>
        </w:tc>
        <w:tc>
          <w:tcPr>
            <w:tcW w:w="2067" w:type="dxa"/>
          </w:tcPr>
          <w:p w:rsidR="004E1CC2" w:rsidRDefault="004E1CC2" w:rsidP="004E1CC2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46FD0" w:rsidRP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46FD0">
              <w:rPr>
                <w:rFonts w:ascii="Arial" w:eastAsia="Times New Roman" w:hAnsi="Arial" w:cs="Arial"/>
                <w:b/>
                <w:color w:val="000000"/>
                <w:szCs w:val="24"/>
              </w:rPr>
              <w:t>Pregled postojećih kontrola</w:t>
            </w:r>
          </w:p>
        </w:tc>
        <w:tc>
          <w:tcPr>
            <w:tcW w:w="1827" w:type="dxa"/>
          </w:tcPr>
          <w:p w:rsid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46FD0">
              <w:rPr>
                <w:rFonts w:ascii="Arial" w:eastAsia="Times New Roman" w:hAnsi="Arial" w:cs="Arial"/>
                <w:b/>
                <w:color w:val="000000"/>
                <w:szCs w:val="24"/>
              </w:rPr>
              <w:t>Reagovanje na rizik</w:t>
            </w:r>
          </w:p>
          <w:p w:rsidR="00046FD0" w:rsidRP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</w:tc>
        <w:tc>
          <w:tcPr>
            <w:tcW w:w="1826" w:type="dxa"/>
          </w:tcPr>
          <w:p w:rsid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46FD0" w:rsidRP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46FD0">
              <w:rPr>
                <w:rFonts w:ascii="Arial" w:eastAsia="Times New Roman" w:hAnsi="Arial" w:cs="Arial"/>
                <w:b/>
                <w:color w:val="000000"/>
                <w:szCs w:val="24"/>
              </w:rPr>
              <w:t>Odgovorna osoba za rizik</w:t>
            </w:r>
          </w:p>
        </w:tc>
        <w:tc>
          <w:tcPr>
            <w:tcW w:w="1827" w:type="dxa"/>
          </w:tcPr>
          <w:p w:rsid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</w:p>
          <w:p w:rsidR="00046FD0" w:rsidRPr="00046FD0" w:rsidRDefault="00046FD0" w:rsidP="00046FD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</w:rPr>
            </w:pPr>
            <w:r w:rsidRPr="00046FD0">
              <w:rPr>
                <w:rFonts w:ascii="Arial" w:eastAsia="Times New Roman" w:hAnsi="Arial" w:cs="Arial"/>
                <w:b/>
                <w:color w:val="000000"/>
                <w:szCs w:val="24"/>
              </w:rPr>
              <w:t>Rok za sprovođenje</w:t>
            </w:r>
          </w:p>
        </w:tc>
      </w:tr>
      <w:tr w:rsidR="00046FD0" w:rsidTr="00046FD0">
        <w:trPr>
          <w:trHeight w:val="5475"/>
        </w:trPr>
        <w:tc>
          <w:tcPr>
            <w:tcW w:w="883" w:type="dxa"/>
          </w:tcPr>
          <w:p w:rsidR="00046FD0" w:rsidRDefault="00046FD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1.</w:t>
            </w:r>
          </w:p>
        </w:tc>
        <w:tc>
          <w:tcPr>
            <w:tcW w:w="2352" w:type="dxa"/>
          </w:tcPr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Rukovodilac i unutrašnji revizori ne primjenjuju metodologije rada unutrašnje revizije u javnom sektoru, koju je donijelo Ministarstvo finansija</w:t>
            </w:r>
          </w:p>
        </w:tc>
        <w:tc>
          <w:tcPr>
            <w:tcW w:w="1440" w:type="dxa"/>
          </w:tcPr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2430" w:type="dxa"/>
          </w:tcPr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3             2          6</w:t>
            </w:r>
          </w:p>
        </w:tc>
        <w:tc>
          <w:tcPr>
            <w:tcW w:w="2067" w:type="dxa"/>
          </w:tcPr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upravljanju i unutrašnjim kontrolama u javnom sektoru</w:t>
            </w: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Pravilnik o metodologiji rada unutrašnje revizije u javnom sektoru</w:t>
            </w: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Metodologija rada unutrašnje revizije u javnom sektoru</w:t>
            </w:r>
          </w:p>
        </w:tc>
        <w:tc>
          <w:tcPr>
            <w:tcW w:w="1827" w:type="dxa"/>
          </w:tcPr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Stručno usavršavanje</w:t>
            </w:r>
          </w:p>
        </w:tc>
        <w:tc>
          <w:tcPr>
            <w:tcW w:w="1826" w:type="dxa"/>
          </w:tcPr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Rukovodilac Odjeljenja za unutrašnju reviziju</w:t>
            </w:r>
          </w:p>
        </w:tc>
        <w:tc>
          <w:tcPr>
            <w:tcW w:w="1827" w:type="dxa"/>
          </w:tcPr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E1CC2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046FD0" w:rsidRDefault="004E1CC2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</w:tbl>
    <w:p w:rsidR="00046FD0" w:rsidRDefault="00046FD0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996"/>
        <w:gridCol w:w="1604"/>
        <w:gridCol w:w="764"/>
        <w:gridCol w:w="611"/>
        <w:gridCol w:w="619"/>
        <w:gridCol w:w="1858"/>
        <w:gridCol w:w="3222"/>
        <w:gridCol w:w="1764"/>
        <w:gridCol w:w="1564"/>
      </w:tblGrid>
      <w:tr w:rsidR="0014593C" w:rsidTr="0014593C">
        <w:trPr>
          <w:trHeight w:val="2658"/>
        </w:trPr>
        <w:tc>
          <w:tcPr>
            <w:tcW w:w="606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2.</w:t>
            </w:r>
          </w:p>
        </w:tc>
        <w:tc>
          <w:tcPr>
            <w:tcW w:w="1996" w:type="dxa"/>
          </w:tcPr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Pripremanje preporuke unutrašnje revizije koja nije u skladu sa zakonom i metodologijom rada unutrašnje revizije</w:t>
            </w:r>
          </w:p>
        </w:tc>
        <w:tc>
          <w:tcPr>
            <w:tcW w:w="1597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764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1459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611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1459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</w:p>
        </w:tc>
        <w:tc>
          <w:tcPr>
            <w:tcW w:w="619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1459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9</w:t>
            </w:r>
          </w:p>
        </w:tc>
        <w:tc>
          <w:tcPr>
            <w:tcW w:w="1858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Zakon o upravljanju i unutrašnjim kontrolama u javnom sektoru</w:t>
            </w:r>
          </w:p>
        </w:tc>
        <w:tc>
          <w:tcPr>
            <w:tcW w:w="3222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Stručno usavršavanje</w:t>
            </w:r>
          </w:p>
        </w:tc>
        <w:tc>
          <w:tcPr>
            <w:tcW w:w="1756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Rukovodilac Odjeljenja za unutrašnju reviziju</w:t>
            </w:r>
          </w:p>
        </w:tc>
        <w:tc>
          <w:tcPr>
            <w:tcW w:w="1557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  <w:tr w:rsidR="0014593C" w:rsidTr="0014593C">
        <w:trPr>
          <w:trHeight w:val="2964"/>
        </w:trPr>
        <w:tc>
          <w:tcPr>
            <w:tcW w:w="606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3.</w:t>
            </w:r>
          </w:p>
        </w:tc>
        <w:tc>
          <w:tcPr>
            <w:tcW w:w="1996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Unutrašnji revizori ne posjeduju neophodna znanja, vještine, sposobnosti i stručne kompetencije</w:t>
            </w:r>
          </w:p>
        </w:tc>
        <w:tc>
          <w:tcPr>
            <w:tcW w:w="1597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Operativni</w:t>
            </w:r>
          </w:p>
        </w:tc>
        <w:tc>
          <w:tcPr>
            <w:tcW w:w="764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1459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611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1459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619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1459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16</w:t>
            </w:r>
          </w:p>
        </w:tc>
        <w:tc>
          <w:tcPr>
            <w:tcW w:w="1858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04C40">
              <w:rPr>
                <w:rFonts w:ascii="Arial" w:eastAsia="Times New Roman" w:hAnsi="Arial" w:cs="Arial"/>
                <w:color w:val="000000"/>
                <w:szCs w:val="24"/>
              </w:rPr>
              <w:t>Zakon o upravljanju i unutrašnjim kontrolama u javnom sektoru</w:t>
            </w:r>
          </w:p>
        </w:tc>
        <w:tc>
          <w:tcPr>
            <w:tcW w:w="3222" w:type="dxa"/>
          </w:tcPr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Pohađanje obuka i polaganje ispita za ovlašćenog unutrašnjeg revizora u javnom sektoru u skladu sa Pravilnikom o programu obuke i načinu polaganja ispita za sticanje sertifikata unutrašnjeg revizora u javnom sektoru (''Sl. list CG'', br. 71/19)</w:t>
            </w:r>
          </w:p>
        </w:tc>
        <w:tc>
          <w:tcPr>
            <w:tcW w:w="1756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04C40">
              <w:rPr>
                <w:rFonts w:ascii="Arial" w:eastAsia="Times New Roman" w:hAnsi="Arial" w:cs="Arial"/>
                <w:color w:val="000000"/>
                <w:szCs w:val="24"/>
              </w:rPr>
              <w:t>Rukovodilac Odjeljenja za unutrašnju reviziju</w:t>
            </w:r>
          </w:p>
        </w:tc>
        <w:tc>
          <w:tcPr>
            <w:tcW w:w="1557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4593C"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  <w:tr w:rsidR="0014593C" w:rsidTr="0014593C">
        <w:trPr>
          <w:trHeight w:val="3054"/>
        </w:trPr>
        <w:tc>
          <w:tcPr>
            <w:tcW w:w="606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4.</w:t>
            </w:r>
          </w:p>
        </w:tc>
        <w:tc>
          <w:tcPr>
            <w:tcW w:w="1996" w:type="dxa"/>
          </w:tcPr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Nedobijanje potrebnih informacija i pristupa neophodnoj dokumentaciji prilikom obavljanja unutrašnje revizije</w:t>
            </w:r>
          </w:p>
        </w:tc>
        <w:tc>
          <w:tcPr>
            <w:tcW w:w="1597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Informacije i komunikacije</w:t>
            </w:r>
          </w:p>
        </w:tc>
        <w:tc>
          <w:tcPr>
            <w:tcW w:w="764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1459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611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1459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</w:p>
        </w:tc>
        <w:tc>
          <w:tcPr>
            <w:tcW w:w="619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14593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</w:p>
        </w:tc>
        <w:tc>
          <w:tcPr>
            <w:tcW w:w="1858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04C40">
              <w:rPr>
                <w:rFonts w:ascii="Arial" w:eastAsia="Times New Roman" w:hAnsi="Arial" w:cs="Arial"/>
                <w:color w:val="000000"/>
                <w:szCs w:val="24"/>
              </w:rPr>
              <w:t>Zakon o upravljanju i unutrašnjim kontrolama u javnom sektoru</w:t>
            </w:r>
          </w:p>
        </w:tc>
        <w:tc>
          <w:tcPr>
            <w:tcW w:w="3222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Dodatno Informisanje, edukacija državnih službenika i namještenika o svrsi i ulozi unutrašnje revizije u Ministarstvu</w:t>
            </w:r>
          </w:p>
        </w:tc>
        <w:tc>
          <w:tcPr>
            <w:tcW w:w="1756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04C40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Rukovodioci organizacionih jedinica</w:t>
            </w:r>
          </w:p>
        </w:tc>
        <w:tc>
          <w:tcPr>
            <w:tcW w:w="1557" w:type="dxa"/>
          </w:tcPr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14593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E94D5C" w:rsidRDefault="0014593C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14593C"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</w:tbl>
    <w:p w:rsidR="00E94D5C" w:rsidRDefault="00E94D5C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2188"/>
        <w:gridCol w:w="1604"/>
        <w:gridCol w:w="756"/>
        <w:gridCol w:w="630"/>
        <w:gridCol w:w="720"/>
        <w:gridCol w:w="3302"/>
        <w:gridCol w:w="1697"/>
        <w:gridCol w:w="1524"/>
        <w:gridCol w:w="1564"/>
      </w:tblGrid>
      <w:tr w:rsidR="005D0E28" w:rsidTr="005D0E28">
        <w:trPr>
          <w:trHeight w:val="3297"/>
        </w:trPr>
        <w:tc>
          <w:tcPr>
            <w:tcW w:w="667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4D48A4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5.</w:t>
            </w:r>
          </w:p>
        </w:tc>
        <w:tc>
          <w:tcPr>
            <w:tcW w:w="2188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4D48A4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Neblagovremeno izvještavanje CHU- Ministarstva finansija</w:t>
            </w:r>
          </w:p>
        </w:tc>
        <w:tc>
          <w:tcPr>
            <w:tcW w:w="1604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4D48A4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Informacije i komunikacije</w:t>
            </w:r>
          </w:p>
        </w:tc>
        <w:tc>
          <w:tcPr>
            <w:tcW w:w="756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4D48A4" w:rsidP="005D0E2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630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4D48A4" w:rsidP="005D0E2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720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4D48A4" w:rsidP="005D0E2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3302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4D48A4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Kvartalni izvještaj o radu </w:t>
            </w:r>
            <w:r w:rsidR="005D0E28">
              <w:rPr>
                <w:rFonts w:ascii="Arial" w:eastAsia="Times New Roman" w:hAnsi="Arial" w:cs="Arial"/>
                <w:color w:val="000000"/>
                <w:szCs w:val="24"/>
              </w:rPr>
              <w:t>unutrašnje revizije i preduzetim aktivnostima na sprovođenju datih preporuka unutrašnje revizije</w:t>
            </w: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Godišnji izvještaj o radu unutrašnje revizije</w:t>
            </w:r>
          </w:p>
        </w:tc>
        <w:tc>
          <w:tcPr>
            <w:tcW w:w="1697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Kontinuirana saradnja sa Centralnom jedinicom za harmonizaciju Ministarstva finansija</w:t>
            </w:r>
          </w:p>
        </w:tc>
        <w:tc>
          <w:tcPr>
            <w:tcW w:w="1524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Rukovodilac Odjeljenja za unutrašnju reviziju</w:t>
            </w:r>
          </w:p>
        </w:tc>
        <w:tc>
          <w:tcPr>
            <w:tcW w:w="1564" w:type="dxa"/>
          </w:tcPr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5D0E28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4D48A4" w:rsidRDefault="005D0E28" w:rsidP="00046FD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Kontinuirano</w:t>
            </w:r>
          </w:p>
        </w:tc>
      </w:tr>
    </w:tbl>
    <w:p w:rsidR="004D48A4" w:rsidRDefault="004D48A4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5D0E28" w:rsidRDefault="005D0E28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5D0E28" w:rsidRDefault="005D0E28" w:rsidP="00046FD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Cs w:val="24"/>
        </w:rPr>
      </w:pPr>
    </w:p>
    <w:p w:rsidR="005D0E28" w:rsidRDefault="00965CE6" w:rsidP="00965CE6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5D0E28">
        <w:rPr>
          <w:rFonts w:ascii="Arial" w:eastAsia="Times New Roman" w:hAnsi="Arial" w:cs="Arial"/>
          <w:b/>
          <w:color w:val="000000"/>
          <w:szCs w:val="24"/>
        </w:rPr>
        <w:t>MINISTAR</w:t>
      </w:r>
    </w:p>
    <w:p w:rsidR="005D0E28" w:rsidRPr="005D0E28" w:rsidRDefault="005D0E28" w:rsidP="005D0E28">
      <w:pPr>
        <w:shd w:val="clear" w:color="auto" w:fill="FFFFFF"/>
        <w:spacing w:before="0" w:after="0" w:line="240" w:lineRule="auto"/>
        <w:jc w:val="right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</w:rPr>
        <w:t>Vasilije Lalošević</w:t>
      </w:r>
    </w:p>
    <w:sectPr w:rsidR="005D0E28" w:rsidRPr="005D0E28" w:rsidSect="00007D2D">
      <w:headerReference w:type="default" r:id="rId9"/>
      <w:footerReference w:type="default" r:id="rId10"/>
      <w:headerReference w:type="first" r:id="rId11"/>
      <w:pgSz w:w="16838" w:h="11906" w:orient="landscape" w:code="9"/>
      <w:pgMar w:top="1418" w:right="1276" w:bottom="1418" w:left="900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77" w:rsidRDefault="00756977" w:rsidP="00A6505B">
      <w:pPr>
        <w:spacing w:before="0" w:after="0" w:line="240" w:lineRule="auto"/>
      </w:pPr>
      <w:r>
        <w:separator/>
      </w:r>
    </w:p>
  </w:endnote>
  <w:endnote w:type="continuationSeparator" w:id="0">
    <w:p w:rsidR="00756977" w:rsidRDefault="0075697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52" w:rsidRDefault="00224352" w:rsidP="00007D2D">
    <w:pPr>
      <w:pStyle w:val="Footer"/>
      <w:jc w:val="center"/>
      <w:rPr>
        <w:caps/>
        <w:noProof/>
        <w:color w:val="4F81BD" w:themeColor="accent1"/>
      </w:rPr>
    </w:pPr>
    <w:r w:rsidRPr="00B04DC1">
      <w:rPr>
        <w:caps/>
        <w:noProof/>
        <w:color w:val="4F81BD" w:themeColor="accent1"/>
      </w:rPr>
      <w:fldChar w:fldCharType="begin"/>
    </w:r>
    <w:r w:rsidRPr="00B04DC1">
      <w:rPr>
        <w:caps/>
        <w:noProof/>
        <w:color w:val="4F81BD" w:themeColor="accent1"/>
      </w:rPr>
      <w:instrText xml:space="preserve"> PAGE   \* MERGEFORMAT </w:instrText>
    </w:r>
    <w:r w:rsidRPr="00B04DC1">
      <w:rPr>
        <w:caps/>
        <w:noProof/>
        <w:color w:val="4F81BD" w:themeColor="accent1"/>
      </w:rPr>
      <w:fldChar w:fldCharType="separate"/>
    </w:r>
    <w:r w:rsidRPr="00B04DC1">
      <w:rPr>
        <w:caps/>
        <w:noProof/>
        <w:color w:val="4F81BD" w:themeColor="accent1"/>
      </w:rPr>
      <w:t>1</w:t>
    </w:r>
    <w:r w:rsidRPr="00B04DC1">
      <w:rPr>
        <w:caps/>
        <w:noProof/>
        <w:color w:val="4F81BD" w:themeColor="accent1"/>
      </w:rPr>
      <w:fldChar w:fldCharType="end"/>
    </w:r>
  </w:p>
  <w:p w:rsidR="00224352" w:rsidRDefault="00224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77" w:rsidRDefault="00756977" w:rsidP="00A6505B">
      <w:pPr>
        <w:spacing w:before="0" w:after="0" w:line="240" w:lineRule="auto"/>
      </w:pPr>
      <w:r>
        <w:separator/>
      </w:r>
    </w:p>
  </w:footnote>
  <w:footnote w:type="continuationSeparator" w:id="0">
    <w:p w:rsidR="00756977" w:rsidRDefault="0075697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52" w:rsidRDefault="00224352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52" w:rsidRPr="00451F6C" w:rsidRDefault="00224352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C55B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224352" w:rsidRDefault="00224352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7277100</wp:posOffset>
              </wp:positionH>
              <wp:positionV relativeFrom="paragraph">
                <wp:posOffset>93980</wp:posOffset>
              </wp:positionV>
              <wp:extent cx="2390775" cy="1163955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163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352" w:rsidRPr="00AF27FF" w:rsidRDefault="00224352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224352" w:rsidRPr="00AF27FF" w:rsidRDefault="00224352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224352" w:rsidRDefault="00224352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224352" w:rsidRPr="00AF27FF" w:rsidRDefault="00224352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224352" w:rsidRPr="00AF27FF" w:rsidRDefault="00224352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224352" w:rsidRPr="00AF27FF" w:rsidRDefault="00224352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73pt;margin-top:7.4pt;width:188.25pt;height:9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OCIwIAAB4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" stroked="f">
              <v:textbox>
                <w:txbxContent>
                  <w:p w:rsidR="00224352" w:rsidRPr="00AF27FF" w:rsidRDefault="00224352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224352" w:rsidRPr="00AF27FF" w:rsidRDefault="00224352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224352" w:rsidRDefault="00224352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224352" w:rsidRPr="00AF27FF" w:rsidRDefault="00224352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224352" w:rsidRPr="00AF27FF" w:rsidRDefault="00224352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224352" w:rsidRPr="00AF27FF" w:rsidRDefault="00224352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>Ministarstvo sporta i mladih</w:t>
    </w:r>
  </w:p>
  <w:p w:rsidR="00224352" w:rsidRPr="00F323F6" w:rsidRDefault="00224352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07D"/>
    <w:multiLevelType w:val="hybridMultilevel"/>
    <w:tmpl w:val="7CC6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3E55"/>
    <w:multiLevelType w:val="hybridMultilevel"/>
    <w:tmpl w:val="2C3C503C"/>
    <w:lvl w:ilvl="0" w:tplc="BFDAA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1A25F9"/>
    <w:multiLevelType w:val="hybridMultilevel"/>
    <w:tmpl w:val="AACAAE5E"/>
    <w:lvl w:ilvl="0" w:tplc="630066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1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E22D85"/>
    <w:multiLevelType w:val="multilevel"/>
    <w:tmpl w:val="E280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265EE"/>
    <w:multiLevelType w:val="multilevel"/>
    <w:tmpl w:val="6B8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123D1"/>
    <w:multiLevelType w:val="hybridMultilevel"/>
    <w:tmpl w:val="801890FC"/>
    <w:lvl w:ilvl="0" w:tplc="630066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32CCB"/>
    <w:multiLevelType w:val="multilevel"/>
    <w:tmpl w:val="214E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90B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E933474"/>
    <w:multiLevelType w:val="hybridMultilevel"/>
    <w:tmpl w:val="E6C83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10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56C3DAC"/>
    <w:multiLevelType w:val="multilevel"/>
    <w:tmpl w:val="5116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1088D"/>
    <w:multiLevelType w:val="hybridMultilevel"/>
    <w:tmpl w:val="541665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746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A6747"/>
    <w:multiLevelType w:val="hybridMultilevel"/>
    <w:tmpl w:val="D40C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22"/>
  </w:num>
  <w:num w:numId="3">
    <w:abstractNumId w:val="22"/>
  </w:num>
  <w:num w:numId="4">
    <w:abstractNumId w:val="9"/>
  </w:num>
  <w:num w:numId="5">
    <w:abstractNumId w:val="20"/>
  </w:num>
  <w:num w:numId="6">
    <w:abstractNumId w:val="3"/>
  </w:num>
  <w:num w:numId="7">
    <w:abstractNumId w:val="5"/>
  </w:num>
  <w:num w:numId="8">
    <w:abstractNumId w:val="1"/>
  </w:num>
  <w:num w:numId="9">
    <w:abstractNumId w:val="16"/>
  </w:num>
  <w:num w:numId="10">
    <w:abstractNumId w:val="14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18"/>
  </w:num>
  <w:num w:numId="17">
    <w:abstractNumId w:val="2"/>
  </w:num>
  <w:num w:numId="18">
    <w:abstractNumId w:val="0"/>
  </w:num>
  <w:num w:numId="19">
    <w:abstractNumId w:val="6"/>
  </w:num>
  <w:num w:numId="20">
    <w:abstractNumId w:val="23"/>
  </w:num>
  <w:num w:numId="21">
    <w:abstractNumId w:val="21"/>
  </w:num>
  <w:num w:numId="22">
    <w:abstractNumId w:val="17"/>
  </w:num>
  <w:num w:numId="23">
    <w:abstractNumId w:val="12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078BA"/>
    <w:rsid w:val="00007D2D"/>
    <w:rsid w:val="00020673"/>
    <w:rsid w:val="00025523"/>
    <w:rsid w:val="000341BD"/>
    <w:rsid w:val="00035FB0"/>
    <w:rsid w:val="00036DA9"/>
    <w:rsid w:val="00043835"/>
    <w:rsid w:val="00044599"/>
    <w:rsid w:val="00046FD0"/>
    <w:rsid w:val="00047C1C"/>
    <w:rsid w:val="000563BA"/>
    <w:rsid w:val="00056428"/>
    <w:rsid w:val="00056AC4"/>
    <w:rsid w:val="000613F4"/>
    <w:rsid w:val="000622A8"/>
    <w:rsid w:val="0007070C"/>
    <w:rsid w:val="00095674"/>
    <w:rsid w:val="000A129A"/>
    <w:rsid w:val="000B2E3B"/>
    <w:rsid w:val="000C4640"/>
    <w:rsid w:val="000D33FF"/>
    <w:rsid w:val="000E22A0"/>
    <w:rsid w:val="000E77A1"/>
    <w:rsid w:val="000E7A86"/>
    <w:rsid w:val="000F2AA0"/>
    <w:rsid w:val="000F2B95"/>
    <w:rsid w:val="000F2BFC"/>
    <w:rsid w:val="000F3668"/>
    <w:rsid w:val="00104C40"/>
    <w:rsid w:val="001053EE"/>
    <w:rsid w:val="00106034"/>
    <w:rsid w:val="00106B1C"/>
    <w:rsid w:val="00107821"/>
    <w:rsid w:val="00110159"/>
    <w:rsid w:val="00117AAA"/>
    <w:rsid w:val="0012279F"/>
    <w:rsid w:val="001231D3"/>
    <w:rsid w:val="00132F78"/>
    <w:rsid w:val="00137AF9"/>
    <w:rsid w:val="0014593C"/>
    <w:rsid w:val="00150C0E"/>
    <w:rsid w:val="00152119"/>
    <w:rsid w:val="00154D42"/>
    <w:rsid w:val="00155FA5"/>
    <w:rsid w:val="0016351C"/>
    <w:rsid w:val="001822FC"/>
    <w:rsid w:val="001847D2"/>
    <w:rsid w:val="001847FD"/>
    <w:rsid w:val="00190F4D"/>
    <w:rsid w:val="00195092"/>
    <w:rsid w:val="00196664"/>
    <w:rsid w:val="001A002D"/>
    <w:rsid w:val="001A79B6"/>
    <w:rsid w:val="001A7E96"/>
    <w:rsid w:val="001B0C60"/>
    <w:rsid w:val="001C2DA5"/>
    <w:rsid w:val="001D30CD"/>
    <w:rsid w:val="001D3909"/>
    <w:rsid w:val="001F1514"/>
    <w:rsid w:val="001F75D5"/>
    <w:rsid w:val="00204536"/>
    <w:rsid w:val="00205759"/>
    <w:rsid w:val="00207DD5"/>
    <w:rsid w:val="002142F2"/>
    <w:rsid w:val="00224352"/>
    <w:rsid w:val="00246AA5"/>
    <w:rsid w:val="002511E4"/>
    <w:rsid w:val="00252A36"/>
    <w:rsid w:val="0025721C"/>
    <w:rsid w:val="002608A9"/>
    <w:rsid w:val="00263CEF"/>
    <w:rsid w:val="002652F2"/>
    <w:rsid w:val="002836F9"/>
    <w:rsid w:val="00292D5E"/>
    <w:rsid w:val="002945BF"/>
    <w:rsid w:val="002A7CB3"/>
    <w:rsid w:val="002B3ACD"/>
    <w:rsid w:val="002B5F3F"/>
    <w:rsid w:val="002B75CF"/>
    <w:rsid w:val="002C4E91"/>
    <w:rsid w:val="002D1DC0"/>
    <w:rsid w:val="002D1F58"/>
    <w:rsid w:val="002D6EA7"/>
    <w:rsid w:val="002D74DB"/>
    <w:rsid w:val="002D7856"/>
    <w:rsid w:val="002E0EB2"/>
    <w:rsid w:val="002F461C"/>
    <w:rsid w:val="002F66AE"/>
    <w:rsid w:val="003000DD"/>
    <w:rsid w:val="00302301"/>
    <w:rsid w:val="003103B9"/>
    <w:rsid w:val="003168DA"/>
    <w:rsid w:val="003273DF"/>
    <w:rsid w:val="003417B8"/>
    <w:rsid w:val="00342457"/>
    <w:rsid w:val="00345E47"/>
    <w:rsid w:val="00350578"/>
    <w:rsid w:val="003521D1"/>
    <w:rsid w:val="00353CF3"/>
    <w:rsid w:val="00354A0E"/>
    <w:rsid w:val="00354D08"/>
    <w:rsid w:val="00360A85"/>
    <w:rsid w:val="00366E03"/>
    <w:rsid w:val="00371B02"/>
    <w:rsid w:val="00375166"/>
    <w:rsid w:val="00375D08"/>
    <w:rsid w:val="00380D33"/>
    <w:rsid w:val="00391D57"/>
    <w:rsid w:val="003A113C"/>
    <w:rsid w:val="003A6DB5"/>
    <w:rsid w:val="003B4BD6"/>
    <w:rsid w:val="003C0375"/>
    <w:rsid w:val="003D5320"/>
    <w:rsid w:val="003E4FBC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B06"/>
    <w:rsid w:val="00451F6C"/>
    <w:rsid w:val="00451FF9"/>
    <w:rsid w:val="00455556"/>
    <w:rsid w:val="00463762"/>
    <w:rsid w:val="00467102"/>
    <w:rsid w:val="004679C3"/>
    <w:rsid w:val="00481108"/>
    <w:rsid w:val="00491118"/>
    <w:rsid w:val="00497515"/>
    <w:rsid w:val="004A0D6C"/>
    <w:rsid w:val="004A72D6"/>
    <w:rsid w:val="004B731A"/>
    <w:rsid w:val="004C6CE3"/>
    <w:rsid w:val="004C700E"/>
    <w:rsid w:val="004D0C77"/>
    <w:rsid w:val="004D1B91"/>
    <w:rsid w:val="004D3815"/>
    <w:rsid w:val="004D48A4"/>
    <w:rsid w:val="004D5654"/>
    <w:rsid w:val="004D7038"/>
    <w:rsid w:val="004E0292"/>
    <w:rsid w:val="004E0309"/>
    <w:rsid w:val="004E1CC2"/>
    <w:rsid w:val="004E3DA7"/>
    <w:rsid w:val="004E526F"/>
    <w:rsid w:val="004F24B0"/>
    <w:rsid w:val="00500B87"/>
    <w:rsid w:val="00504339"/>
    <w:rsid w:val="00504A33"/>
    <w:rsid w:val="0050736A"/>
    <w:rsid w:val="00522131"/>
    <w:rsid w:val="00523147"/>
    <w:rsid w:val="00531FDF"/>
    <w:rsid w:val="0055064F"/>
    <w:rsid w:val="00562012"/>
    <w:rsid w:val="0056324D"/>
    <w:rsid w:val="0056481D"/>
    <w:rsid w:val="005723C7"/>
    <w:rsid w:val="00574FED"/>
    <w:rsid w:val="00575338"/>
    <w:rsid w:val="00577188"/>
    <w:rsid w:val="00582B1C"/>
    <w:rsid w:val="005917ED"/>
    <w:rsid w:val="005A030C"/>
    <w:rsid w:val="005A0DC8"/>
    <w:rsid w:val="005A313F"/>
    <w:rsid w:val="005A4E7E"/>
    <w:rsid w:val="005B44BF"/>
    <w:rsid w:val="005C2482"/>
    <w:rsid w:val="005C384F"/>
    <w:rsid w:val="005C4982"/>
    <w:rsid w:val="005C6F24"/>
    <w:rsid w:val="005D0E28"/>
    <w:rsid w:val="005E07AA"/>
    <w:rsid w:val="005E2DE4"/>
    <w:rsid w:val="005E4DFF"/>
    <w:rsid w:val="005F2961"/>
    <w:rsid w:val="005F2E20"/>
    <w:rsid w:val="005F3393"/>
    <w:rsid w:val="005F56D9"/>
    <w:rsid w:val="00602CB0"/>
    <w:rsid w:val="006039B3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00B2"/>
    <w:rsid w:val="00642F57"/>
    <w:rsid w:val="00646BFC"/>
    <w:rsid w:val="00664795"/>
    <w:rsid w:val="006739CA"/>
    <w:rsid w:val="00676422"/>
    <w:rsid w:val="00677414"/>
    <w:rsid w:val="006933D7"/>
    <w:rsid w:val="00693E37"/>
    <w:rsid w:val="006955D8"/>
    <w:rsid w:val="00695B4C"/>
    <w:rsid w:val="006A24FA"/>
    <w:rsid w:val="006A2C40"/>
    <w:rsid w:val="006B0CEE"/>
    <w:rsid w:val="006C1D44"/>
    <w:rsid w:val="006D711E"/>
    <w:rsid w:val="006E1D86"/>
    <w:rsid w:val="006E262C"/>
    <w:rsid w:val="006E4E6C"/>
    <w:rsid w:val="006E5EFB"/>
    <w:rsid w:val="006F3B02"/>
    <w:rsid w:val="006F506C"/>
    <w:rsid w:val="007139CA"/>
    <w:rsid w:val="00714768"/>
    <w:rsid w:val="00722040"/>
    <w:rsid w:val="00730D60"/>
    <w:rsid w:val="007331FF"/>
    <w:rsid w:val="0073561A"/>
    <w:rsid w:val="00736736"/>
    <w:rsid w:val="007461FF"/>
    <w:rsid w:val="00747F48"/>
    <w:rsid w:val="00756977"/>
    <w:rsid w:val="007647F3"/>
    <w:rsid w:val="00764AE7"/>
    <w:rsid w:val="0077100B"/>
    <w:rsid w:val="007714C1"/>
    <w:rsid w:val="00786308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11F8"/>
    <w:rsid w:val="007D64C5"/>
    <w:rsid w:val="007D7182"/>
    <w:rsid w:val="007E2903"/>
    <w:rsid w:val="007E40B1"/>
    <w:rsid w:val="007E6FC3"/>
    <w:rsid w:val="007E7561"/>
    <w:rsid w:val="007F7A44"/>
    <w:rsid w:val="00801942"/>
    <w:rsid w:val="00810444"/>
    <w:rsid w:val="00812058"/>
    <w:rsid w:val="00815086"/>
    <w:rsid w:val="00820B1D"/>
    <w:rsid w:val="00823D36"/>
    <w:rsid w:val="00847147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8E6E72"/>
    <w:rsid w:val="00902E6C"/>
    <w:rsid w:val="00903E9E"/>
    <w:rsid w:val="00904566"/>
    <w:rsid w:val="00907170"/>
    <w:rsid w:val="009130A0"/>
    <w:rsid w:val="00914416"/>
    <w:rsid w:val="00922A8D"/>
    <w:rsid w:val="0094597C"/>
    <w:rsid w:val="00946545"/>
    <w:rsid w:val="00946A67"/>
    <w:rsid w:val="00946E33"/>
    <w:rsid w:val="009475AF"/>
    <w:rsid w:val="00956919"/>
    <w:rsid w:val="00956FF1"/>
    <w:rsid w:val="0096046A"/>
    <w:rsid w:val="0096107C"/>
    <w:rsid w:val="009644AA"/>
    <w:rsid w:val="00965CE6"/>
    <w:rsid w:val="00971EF2"/>
    <w:rsid w:val="00972C72"/>
    <w:rsid w:val="00980594"/>
    <w:rsid w:val="00990CD4"/>
    <w:rsid w:val="0099254E"/>
    <w:rsid w:val="009932C9"/>
    <w:rsid w:val="00997C04"/>
    <w:rsid w:val="009A34D3"/>
    <w:rsid w:val="009A3CD7"/>
    <w:rsid w:val="009A62F1"/>
    <w:rsid w:val="009B2170"/>
    <w:rsid w:val="009B7407"/>
    <w:rsid w:val="009C2EC9"/>
    <w:rsid w:val="009C604C"/>
    <w:rsid w:val="009D30D4"/>
    <w:rsid w:val="009D7E0C"/>
    <w:rsid w:val="009E3429"/>
    <w:rsid w:val="009E797A"/>
    <w:rsid w:val="009E7AAE"/>
    <w:rsid w:val="00A00635"/>
    <w:rsid w:val="00A043D7"/>
    <w:rsid w:val="00A15454"/>
    <w:rsid w:val="00A2092E"/>
    <w:rsid w:val="00A26115"/>
    <w:rsid w:val="00A263AA"/>
    <w:rsid w:val="00A3153E"/>
    <w:rsid w:val="00A33461"/>
    <w:rsid w:val="00A33B3F"/>
    <w:rsid w:val="00A34ABE"/>
    <w:rsid w:val="00A41B04"/>
    <w:rsid w:val="00A53CA4"/>
    <w:rsid w:val="00A60A2B"/>
    <w:rsid w:val="00A6505B"/>
    <w:rsid w:val="00A67560"/>
    <w:rsid w:val="00A70072"/>
    <w:rsid w:val="00A92FE2"/>
    <w:rsid w:val="00AA4498"/>
    <w:rsid w:val="00AB054D"/>
    <w:rsid w:val="00AB256D"/>
    <w:rsid w:val="00AB3B59"/>
    <w:rsid w:val="00AB60AA"/>
    <w:rsid w:val="00AC6645"/>
    <w:rsid w:val="00AD0BB3"/>
    <w:rsid w:val="00AD1D23"/>
    <w:rsid w:val="00AE5860"/>
    <w:rsid w:val="00AE5DC5"/>
    <w:rsid w:val="00AF2537"/>
    <w:rsid w:val="00AF27FF"/>
    <w:rsid w:val="00AF6B3E"/>
    <w:rsid w:val="00B003EE"/>
    <w:rsid w:val="00B03C69"/>
    <w:rsid w:val="00B04DC1"/>
    <w:rsid w:val="00B05BAE"/>
    <w:rsid w:val="00B10666"/>
    <w:rsid w:val="00B13AFC"/>
    <w:rsid w:val="00B167AC"/>
    <w:rsid w:val="00B31375"/>
    <w:rsid w:val="00B40A06"/>
    <w:rsid w:val="00B40DFA"/>
    <w:rsid w:val="00B45B1A"/>
    <w:rsid w:val="00B473C2"/>
    <w:rsid w:val="00B47D2C"/>
    <w:rsid w:val="00B502B4"/>
    <w:rsid w:val="00B56BE1"/>
    <w:rsid w:val="00B57387"/>
    <w:rsid w:val="00B6480D"/>
    <w:rsid w:val="00B73673"/>
    <w:rsid w:val="00B77ACD"/>
    <w:rsid w:val="00B83F7A"/>
    <w:rsid w:val="00B84F08"/>
    <w:rsid w:val="00B9547E"/>
    <w:rsid w:val="00B96204"/>
    <w:rsid w:val="00BA4498"/>
    <w:rsid w:val="00BB2136"/>
    <w:rsid w:val="00BB653D"/>
    <w:rsid w:val="00BC109A"/>
    <w:rsid w:val="00BC5012"/>
    <w:rsid w:val="00BD7649"/>
    <w:rsid w:val="00BE3206"/>
    <w:rsid w:val="00BE5A80"/>
    <w:rsid w:val="00BF0B64"/>
    <w:rsid w:val="00BF464E"/>
    <w:rsid w:val="00C123D2"/>
    <w:rsid w:val="00C1745F"/>
    <w:rsid w:val="00C176EB"/>
    <w:rsid w:val="00C1789E"/>
    <w:rsid w:val="00C20E0A"/>
    <w:rsid w:val="00C2622E"/>
    <w:rsid w:val="00C276C0"/>
    <w:rsid w:val="00C304F4"/>
    <w:rsid w:val="00C32D7C"/>
    <w:rsid w:val="00C35448"/>
    <w:rsid w:val="00C4431F"/>
    <w:rsid w:val="00C47FCC"/>
    <w:rsid w:val="00C6269D"/>
    <w:rsid w:val="00C8012D"/>
    <w:rsid w:val="00C84028"/>
    <w:rsid w:val="00C84EAF"/>
    <w:rsid w:val="00C860F9"/>
    <w:rsid w:val="00C86A32"/>
    <w:rsid w:val="00C94324"/>
    <w:rsid w:val="00CA21CA"/>
    <w:rsid w:val="00CA4058"/>
    <w:rsid w:val="00CB0BE9"/>
    <w:rsid w:val="00CB238E"/>
    <w:rsid w:val="00CB28C7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D02EA9"/>
    <w:rsid w:val="00D10C18"/>
    <w:rsid w:val="00D20115"/>
    <w:rsid w:val="00D205A2"/>
    <w:rsid w:val="00D22477"/>
    <w:rsid w:val="00D23501"/>
    <w:rsid w:val="00D23B4D"/>
    <w:rsid w:val="00D2455F"/>
    <w:rsid w:val="00D35A4F"/>
    <w:rsid w:val="00D404D6"/>
    <w:rsid w:val="00D41A67"/>
    <w:rsid w:val="00D44EF2"/>
    <w:rsid w:val="00D54E9C"/>
    <w:rsid w:val="00D60D43"/>
    <w:rsid w:val="00D656E3"/>
    <w:rsid w:val="00D66C5F"/>
    <w:rsid w:val="00D710BB"/>
    <w:rsid w:val="00D723AB"/>
    <w:rsid w:val="00D74A39"/>
    <w:rsid w:val="00D75E82"/>
    <w:rsid w:val="00D81168"/>
    <w:rsid w:val="00D82D80"/>
    <w:rsid w:val="00D87DC4"/>
    <w:rsid w:val="00D90C18"/>
    <w:rsid w:val="00D94969"/>
    <w:rsid w:val="00D9752E"/>
    <w:rsid w:val="00DA2B4E"/>
    <w:rsid w:val="00DB06FC"/>
    <w:rsid w:val="00DC05EC"/>
    <w:rsid w:val="00DC1010"/>
    <w:rsid w:val="00DC59E1"/>
    <w:rsid w:val="00DC5DF1"/>
    <w:rsid w:val="00DD0D18"/>
    <w:rsid w:val="00DD4254"/>
    <w:rsid w:val="00DF0042"/>
    <w:rsid w:val="00DF60F7"/>
    <w:rsid w:val="00E12042"/>
    <w:rsid w:val="00E24603"/>
    <w:rsid w:val="00E47AB8"/>
    <w:rsid w:val="00E51042"/>
    <w:rsid w:val="00E53E67"/>
    <w:rsid w:val="00E62B2D"/>
    <w:rsid w:val="00E664BC"/>
    <w:rsid w:val="00E711CB"/>
    <w:rsid w:val="00E72D3A"/>
    <w:rsid w:val="00E73A9B"/>
    <w:rsid w:val="00E74F68"/>
    <w:rsid w:val="00E75466"/>
    <w:rsid w:val="00E75B67"/>
    <w:rsid w:val="00E76DA8"/>
    <w:rsid w:val="00E77BD5"/>
    <w:rsid w:val="00E8074F"/>
    <w:rsid w:val="00E811DF"/>
    <w:rsid w:val="00E85FFB"/>
    <w:rsid w:val="00E94D5C"/>
    <w:rsid w:val="00EA2F51"/>
    <w:rsid w:val="00EB1CC4"/>
    <w:rsid w:val="00EC0D09"/>
    <w:rsid w:val="00EC0D4A"/>
    <w:rsid w:val="00EC466E"/>
    <w:rsid w:val="00ED4CFF"/>
    <w:rsid w:val="00ED685F"/>
    <w:rsid w:val="00ED70B2"/>
    <w:rsid w:val="00EE0D4F"/>
    <w:rsid w:val="00EF1295"/>
    <w:rsid w:val="00F01653"/>
    <w:rsid w:val="00F127D8"/>
    <w:rsid w:val="00F14B0C"/>
    <w:rsid w:val="00F16D1B"/>
    <w:rsid w:val="00F20467"/>
    <w:rsid w:val="00F214A0"/>
    <w:rsid w:val="00F21A4A"/>
    <w:rsid w:val="00F2378E"/>
    <w:rsid w:val="00F258F3"/>
    <w:rsid w:val="00F323F6"/>
    <w:rsid w:val="00F32CFA"/>
    <w:rsid w:val="00F3321D"/>
    <w:rsid w:val="00F341DA"/>
    <w:rsid w:val="00F342E4"/>
    <w:rsid w:val="00F40791"/>
    <w:rsid w:val="00F4249B"/>
    <w:rsid w:val="00F45029"/>
    <w:rsid w:val="00F5234F"/>
    <w:rsid w:val="00F63FBA"/>
    <w:rsid w:val="00F72037"/>
    <w:rsid w:val="00F73016"/>
    <w:rsid w:val="00F7443F"/>
    <w:rsid w:val="00F814E1"/>
    <w:rsid w:val="00F85298"/>
    <w:rsid w:val="00FA1146"/>
    <w:rsid w:val="00FA70BD"/>
    <w:rsid w:val="00FA7B8F"/>
    <w:rsid w:val="00FB1AF9"/>
    <w:rsid w:val="00FC0725"/>
    <w:rsid w:val="00FC15F5"/>
    <w:rsid w:val="00FC1BA1"/>
    <w:rsid w:val="00FC45D7"/>
    <w:rsid w:val="00FC5E23"/>
    <w:rsid w:val="00FD6605"/>
    <w:rsid w:val="00FE08C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6FF3F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table" w:styleId="TableGrid">
    <w:name w:val="Table Grid"/>
    <w:basedOn w:val="TableNormal"/>
    <w:uiPriority w:val="59"/>
    <w:rsid w:val="00BC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7E43DC-D520-4879-90BB-14BAB070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Savo Rasovic</cp:lastModifiedBy>
  <cp:revision>3</cp:revision>
  <cp:lastPrinted>2023-08-21T07:45:00Z</cp:lastPrinted>
  <dcterms:created xsi:type="dcterms:W3CDTF">2023-08-11T10:57:00Z</dcterms:created>
  <dcterms:modified xsi:type="dcterms:W3CDTF">2023-08-21T08:26:00Z</dcterms:modified>
</cp:coreProperties>
</file>