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CA3D6"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83E784F" w14:textId="0C4DEBC1" w:rsidR="004D2FD8" w:rsidRPr="00CA6C68" w:rsidRDefault="00FF0FC1" w:rsidP="00FF0FC1">
      <w:pPr>
        <w:ind w:left="5823" w:firstLine="657"/>
        <w:rPr>
          <w:rFonts w:ascii="Times New Roman" w:hAnsi="Times New Roman"/>
          <w:sz w:val="22"/>
          <w:szCs w:val="22"/>
          <w:lang w:val="en-GB"/>
        </w:rPr>
      </w:pPr>
      <w:r>
        <w:rPr>
          <w:rFonts w:ascii="Times New Roman" w:hAnsi="Times New Roman"/>
          <w:sz w:val="22"/>
          <w:szCs w:val="22"/>
          <w:lang w:val="en-GB"/>
        </w:rPr>
        <w:t>Podgorica, July 2025</w:t>
      </w:r>
    </w:p>
    <w:p w14:paraId="5A2EA6B6" w14:textId="72E7F4F0"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F0FC1" w:rsidRPr="00FF0FC1">
        <w:rPr>
          <w:rFonts w:ascii="Times New Roman" w:hAnsi="Times New Roman"/>
          <w:sz w:val="22"/>
          <w:szCs w:val="22"/>
          <w:lang w:val="en-GB"/>
        </w:rPr>
        <w:t>EC-ENEST/TGD/2025/EA-LOP/0096</w:t>
      </w:r>
    </w:p>
    <w:p w14:paraId="4ABE876E" w14:textId="7C86EBD3" w:rsidR="004D2FD8" w:rsidRDefault="00E0158E" w:rsidP="006D25B8">
      <w:pPr>
        <w:tabs>
          <w:tab w:val="left" w:pos="709"/>
          <w:tab w:val="left" w:pos="851"/>
          <w:tab w:val="left" w:pos="1134"/>
          <w:tab w:val="left" w:pos="1418"/>
        </w:tabs>
        <w:spacing w:after="36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3F6287" w:rsidRPr="003F6287">
        <w:rPr>
          <w:rFonts w:ascii="Times New Roman" w:hAnsi="Times New Roman"/>
          <w:b/>
          <w:sz w:val="22"/>
          <w:szCs w:val="22"/>
          <w:lang w:val="en-GB"/>
        </w:rPr>
        <w:t>Upgrading of IT infrastructure for IT systems in Phytosanitary Information System</w:t>
      </w:r>
    </w:p>
    <w:p w14:paraId="0526CFC2" w14:textId="60041348" w:rsidR="00B734D3" w:rsidRPr="00B734D3" w:rsidRDefault="00B734D3" w:rsidP="006D25B8">
      <w:pPr>
        <w:spacing w:before="240" w:after="240"/>
        <w:jc w:val="both"/>
        <w:rPr>
          <w:rFonts w:ascii="Times New Roman" w:hAnsi="Times New Roman"/>
          <w:b/>
          <w:snapToGrid/>
          <w:sz w:val="22"/>
          <w:szCs w:val="22"/>
          <w:lang w:val="en-GB" w:eastAsia="en-GB"/>
        </w:rPr>
      </w:pPr>
      <w:r w:rsidRPr="00B734D3">
        <w:rPr>
          <w:rFonts w:ascii="Times New Roman" w:hAnsi="Times New Roman"/>
          <w:b/>
          <w:snapToGrid/>
          <w:sz w:val="22"/>
          <w:szCs w:val="22"/>
          <w:lang w:val="en-GB" w:eastAsia="en-GB"/>
        </w:rPr>
        <w:t xml:space="preserve">Dear </w:t>
      </w:r>
      <w:r w:rsidR="00677331">
        <w:rPr>
          <w:rFonts w:ascii="Times New Roman" w:hAnsi="Times New Roman"/>
          <w:b/>
          <w:snapToGrid/>
          <w:sz w:val="22"/>
          <w:szCs w:val="22"/>
          <w:lang w:val="en-GB" w:eastAsia="en-GB"/>
        </w:rPr>
        <w:t>Madam/Sir</w:t>
      </w:r>
      <w:r w:rsidRPr="00B734D3">
        <w:rPr>
          <w:rFonts w:ascii="Times New Roman" w:hAnsi="Times New Roman"/>
          <w:b/>
          <w:snapToGrid/>
          <w:sz w:val="22"/>
          <w:szCs w:val="22"/>
          <w:lang w:val="en-GB" w:eastAsia="en-GB"/>
        </w:rPr>
        <w:t>,</w:t>
      </w:r>
    </w:p>
    <w:p w14:paraId="42C7B02D" w14:textId="11CEC130"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w:t>
      </w:r>
      <w:r w:rsidRPr="00677331">
        <w:rPr>
          <w:rFonts w:ascii="Times New Roman" w:hAnsi="Times New Roman"/>
          <w:sz w:val="22"/>
          <w:szCs w:val="22"/>
          <w:lang w:val="en-GB"/>
        </w:rPr>
        <w:t xml:space="preserve">that </w:t>
      </w:r>
      <w:r w:rsidR="002B1522" w:rsidRPr="00677331">
        <w:rPr>
          <w:rFonts w:ascii="Times New Roman" w:hAnsi="Times New Roman"/>
          <w:sz w:val="22"/>
          <w:szCs w:val="22"/>
          <w:lang w:val="en-GB"/>
        </w:rPr>
        <w:t xml:space="preserve">your legal entity </w:t>
      </w:r>
      <w:r w:rsidR="00677331" w:rsidRPr="00677331">
        <w:rPr>
          <w:rFonts w:ascii="Times New Roman" w:hAnsi="Times New Roman"/>
          <w:sz w:val="22"/>
          <w:szCs w:val="22"/>
          <w:lang w:val="en-GB"/>
        </w:rPr>
        <w:t xml:space="preserve">/ </w:t>
      </w:r>
      <w:r w:rsidR="002B1522" w:rsidRPr="00677331">
        <w:rPr>
          <w:rFonts w:ascii="Times New Roman" w:hAnsi="Times New Roman"/>
          <w:sz w:val="22"/>
          <w:szCs w:val="22"/>
          <w:lang w:val="en-GB"/>
        </w:rPr>
        <w:t xml:space="preserve">the consortium led by you is </w:t>
      </w:r>
      <w:r w:rsidRPr="00677331">
        <w:rPr>
          <w:rFonts w:ascii="Times New Roman" w:hAnsi="Times New Roman"/>
          <w:sz w:val="22"/>
          <w:szCs w:val="22"/>
          <w:lang w:val="en-GB"/>
        </w:rPr>
        <w:t xml:space="preserve">invited to take part in the </w:t>
      </w:r>
      <w:r w:rsidR="0092350F">
        <w:rPr>
          <w:rFonts w:ascii="Times New Roman" w:hAnsi="Times New Roman"/>
          <w:sz w:val="22"/>
          <w:szCs w:val="22"/>
          <w:lang w:val="en-GB"/>
        </w:rPr>
        <w:t xml:space="preserve">local </w:t>
      </w:r>
      <w:r w:rsidR="00DC6C81" w:rsidRPr="00677331">
        <w:rPr>
          <w:rFonts w:ascii="Times New Roman" w:hAnsi="Times New Roman"/>
          <w:sz w:val="22"/>
          <w:szCs w:val="22"/>
          <w:lang w:val="en-GB"/>
        </w:rPr>
        <w:t>open procedure</w:t>
      </w:r>
      <w:r w:rsidR="00677331">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1F68371C"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7C17001D"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 xml:space="preserve">echnical specifications </w:t>
      </w:r>
      <w:r w:rsidR="00677331">
        <w:rPr>
          <w:rFonts w:ascii="Times New Roman" w:hAnsi="Times New Roman"/>
          <w:sz w:val="22"/>
          <w:szCs w:val="22"/>
          <w:lang w:val="en-GB"/>
        </w:rPr>
        <w:t>+</w:t>
      </w:r>
      <w:r w:rsidR="001A21CD" w:rsidRPr="00FE5194">
        <w:rPr>
          <w:rFonts w:ascii="Times New Roman" w:hAnsi="Times New Roman"/>
          <w:sz w:val="22"/>
          <w:szCs w:val="22"/>
          <w:lang w:val="en-GB"/>
        </w:rPr>
        <w:t xml:space="preserve"> 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Hyperlink"/>
            <w:rFonts w:ascii="Times New Roman" w:hAnsi="Times New Roman"/>
            <w:sz w:val="22"/>
            <w:szCs w:val="22"/>
          </w:rPr>
          <w:t>https://wikis.ec.europa.eu/display/ExactExternalWiki/ePRAG</w:t>
        </w:r>
      </w:hyperlink>
    </w:p>
    <w:p w14:paraId="6181F34B" w14:textId="6D053770"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677331">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6B8B195F" w14:textId="77777777" w:rsidR="00FF0FC1"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56B9D4D9" w14:textId="0D54068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2276692"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3DEE4711" w14:textId="1A082A2E" w:rsidR="00677331" w:rsidRPr="00677331" w:rsidRDefault="00677331" w:rsidP="00677331">
      <w:pPr>
        <w:rPr>
          <w:rFonts w:ascii="Times New Roman" w:hAnsi="Times New Roman"/>
          <w:b/>
          <w:sz w:val="22"/>
          <w:szCs w:val="22"/>
          <w:lang w:val="en-GB"/>
        </w:rPr>
      </w:pPr>
      <w:bookmarkStart w:id="1" w:name="_GoBack"/>
      <w:bookmarkEnd w:id="1"/>
      <w:r w:rsidRPr="00677331">
        <w:rPr>
          <w:rFonts w:ascii="Times New Roman" w:hAnsi="Times New Roman"/>
          <w:b/>
          <w:sz w:val="22"/>
          <w:szCs w:val="22"/>
          <w:lang w:val="en-GB"/>
        </w:rPr>
        <w:t>ACTING DIRECTOR GENERAL</w:t>
      </w:r>
    </w:p>
    <w:p w14:paraId="2B3B843D" w14:textId="79293E0D" w:rsidR="004D2FD8" w:rsidRPr="00CA6C68" w:rsidRDefault="00677331" w:rsidP="00677331">
      <w:pPr>
        <w:rPr>
          <w:rFonts w:ascii="Times New Roman" w:hAnsi="Times New Roman"/>
          <w:b/>
          <w:sz w:val="22"/>
          <w:szCs w:val="22"/>
          <w:lang w:val="en-GB"/>
        </w:rPr>
      </w:pPr>
      <w:r w:rsidRPr="00677331">
        <w:rPr>
          <w:rFonts w:ascii="Times New Roman" w:hAnsi="Times New Roman"/>
          <w:b/>
          <w:sz w:val="22"/>
          <w:szCs w:val="22"/>
          <w:lang w:val="en-GB"/>
        </w:rPr>
        <w:t>Sanja Bečanović</w:t>
      </w:r>
    </w:p>
    <w:sectPr w:rsidR="004D2FD8" w:rsidRPr="00CA6C68" w:rsidSect="00FF0FC1">
      <w:headerReference w:type="default" r:id="rId9"/>
      <w:footerReference w:type="default" r:id="rId10"/>
      <w:footerReference w:type="first" r:id="rId11"/>
      <w:footnotePr>
        <w:numRestart w:val="eachPage"/>
      </w:footnotePr>
      <w:type w:val="oddPage"/>
      <w:pgSz w:w="11906" w:h="16838"/>
      <w:pgMar w:top="709" w:right="1418" w:bottom="993" w:left="1134" w:header="720" w:footer="469" w:gutter="567"/>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E13D02" w16cid:durableId="2B7E6A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EF2A6" w14:textId="77777777" w:rsidR="008F1223" w:rsidRDefault="008F1223">
      <w:r>
        <w:separator/>
      </w:r>
    </w:p>
  </w:endnote>
  <w:endnote w:type="continuationSeparator" w:id="0">
    <w:p w14:paraId="7F1627F2" w14:textId="77777777" w:rsidR="008F1223" w:rsidRDefault="008F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8293B" w14:textId="3835DF52"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FF0FC1">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FF0FC1">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9381D" w14:textId="77777777" w:rsidR="008F1223" w:rsidRDefault="008F1223">
      <w:r>
        <w:separator/>
      </w:r>
    </w:p>
  </w:footnote>
  <w:footnote w:type="continuationSeparator" w:id="0">
    <w:p w14:paraId="4DFCFD58" w14:textId="77777777" w:rsidR="008F1223" w:rsidRDefault="008F1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0D886" w14:textId="681310EA" w:rsidR="00677331" w:rsidRPr="00FF0FC1" w:rsidRDefault="00E45BEE" w:rsidP="00677331">
    <w:pPr>
      <w:pStyle w:val="Title"/>
      <w:tabs>
        <w:tab w:val="left" w:pos="6240"/>
      </w:tabs>
      <w:spacing w:before="0" w:after="60" w:line="276" w:lineRule="auto"/>
      <w:ind w:left="-142"/>
      <w:jc w:val="left"/>
      <w:rPr>
        <w:rFonts w:cs="Arial"/>
        <w:sz w:val="24"/>
        <w:szCs w:val="24"/>
        <w:lang w:val="en-GB"/>
      </w:rPr>
    </w:pPr>
    <w:r>
      <w:rPr>
        <w:noProof/>
        <w:lang w:val="en-GB" w:eastAsia="en-GB"/>
      </w:rPr>
      <mc:AlternateContent>
        <mc:Choice Requires="wps">
          <w:drawing>
            <wp:anchor distT="45720" distB="45720" distL="114300" distR="114300" simplePos="0" relativeHeight="251657728" behindDoc="0" locked="0" layoutInCell="1" allowOverlap="1" wp14:anchorId="009E996F" wp14:editId="195835C2">
              <wp:simplePos x="0" y="0"/>
              <wp:positionH relativeFrom="column">
                <wp:posOffset>4229100</wp:posOffset>
              </wp:positionH>
              <wp:positionV relativeFrom="paragraph">
                <wp:posOffset>-237490</wp:posOffset>
              </wp:positionV>
              <wp:extent cx="1889760" cy="7308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760" cy="730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CBE54" w14:textId="77777777" w:rsidR="00677331" w:rsidRPr="00451A4C" w:rsidRDefault="00677331" w:rsidP="00677331">
                          <w:pPr>
                            <w:spacing w:before="0" w:after="0"/>
                            <w:jc w:val="right"/>
                            <w:rPr>
                              <w:rFonts w:ascii="Calibri" w:hAnsi="Calibri" w:cs="Calibri"/>
                            </w:rPr>
                          </w:pPr>
                          <w:r w:rsidRPr="00451A4C">
                            <w:rPr>
                              <w:rFonts w:ascii="Calibri" w:hAnsi="Calibri" w:cs="Calibri"/>
                            </w:rPr>
                            <w:t>Address: Stanka Dragojevića 2</w:t>
                          </w:r>
                        </w:p>
                        <w:p w14:paraId="4ADE6977" w14:textId="77777777" w:rsidR="00677331" w:rsidRPr="00451A4C" w:rsidRDefault="00677331" w:rsidP="00677331">
                          <w:pPr>
                            <w:spacing w:before="0" w:after="0"/>
                            <w:jc w:val="right"/>
                            <w:rPr>
                              <w:rFonts w:ascii="Calibri" w:hAnsi="Calibri" w:cs="Calibri"/>
                            </w:rPr>
                          </w:pPr>
                          <w:r w:rsidRPr="00451A4C">
                            <w:rPr>
                              <w:rFonts w:ascii="Calibri" w:hAnsi="Calibri" w:cs="Calibri"/>
                            </w:rPr>
                            <w:t>81000 Podgorica,Montenegro</w:t>
                          </w:r>
                        </w:p>
                        <w:p w14:paraId="5180E8F9" w14:textId="77777777" w:rsidR="00677331" w:rsidRPr="00451A4C" w:rsidRDefault="00677331" w:rsidP="00677331">
                          <w:pPr>
                            <w:spacing w:before="0" w:after="0"/>
                            <w:jc w:val="right"/>
                            <w:rPr>
                              <w:rFonts w:ascii="Calibri" w:hAnsi="Calibri" w:cs="Calibri"/>
                            </w:rPr>
                          </w:pPr>
                          <w:r w:rsidRPr="00451A4C">
                            <w:rPr>
                              <w:rFonts w:ascii="Calibri" w:hAnsi="Calibri" w:cs="Calibri"/>
                            </w:rPr>
                            <w:t xml:space="preserve">           tel: +382 20 230 657</w:t>
                          </w:r>
                        </w:p>
                        <w:p w14:paraId="59768421" w14:textId="77777777" w:rsidR="00677331" w:rsidRPr="00451A4C" w:rsidRDefault="00677331" w:rsidP="00677331">
                          <w:pPr>
                            <w:spacing w:before="0" w:after="0"/>
                            <w:jc w:val="right"/>
                            <w:rPr>
                              <w:rFonts w:ascii="Calibri" w:hAnsi="Calibri" w:cs="Calibri"/>
                              <w:color w:val="0070C0"/>
                            </w:rPr>
                          </w:pPr>
                          <w:r w:rsidRPr="00451A4C">
                            <w:rPr>
                              <w:rFonts w:ascii="Calibri" w:hAnsi="Calibri" w:cs="Calibri"/>
                              <w:color w:val="0070C0"/>
                            </w:rPr>
                            <w:t xml:space="preserve">        www.cfcu.gov.me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9E996F" id="_x0000_t202" coordsize="21600,21600" o:spt="202" path="m,l,21600r21600,l21600,xe">
              <v:stroke joinstyle="miter"/>
              <v:path gradientshapeok="t" o:connecttype="rect"/>
            </v:shapetype>
            <v:shape id="Text Box 1" o:spid="_x0000_s1026" type="#_x0000_t202" style="position:absolute;left:0;text-align:left;margin-left:333pt;margin-top:-18.7pt;width:148.8pt;height:57.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" filled="f" stroked="f">
              <v:textbox>
                <w:txbxContent>
                  <w:p w14:paraId="13BCBE54" w14:textId="77777777" w:rsidR="00677331" w:rsidRPr="00451A4C" w:rsidRDefault="00677331" w:rsidP="00677331">
                    <w:pPr>
                      <w:spacing w:before="0" w:after="0"/>
                      <w:jc w:val="right"/>
                      <w:rPr>
                        <w:rFonts w:ascii="Calibri" w:hAnsi="Calibri" w:cs="Calibri"/>
                      </w:rPr>
                    </w:pPr>
                    <w:r w:rsidRPr="00451A4C">
                      <w:rPr>
                        <w:rFonts w:ascii="Calibri" w:hAnsi="Calibri" w:cs="Calibri"/>
                      </w:rPr>
                      <w:t>Address: Stanka Dragojevića 2</w:t>
                    </w:r>
                  </w:p>
                  <w:p w14:paraId="4ADE6977" w14:textId="77777777" w:rsidR="00677331" w:rsidRPr="00451A4C" w:rsidRDefault="00677331" w:rsidP="00677331">
                    <w:pPr>
                      <w:spacing w:before="0" w:after="0"/>
                      <w:jc w:val="right"/>
                      <w:rPr>
                        <w:rFonts w:ascii="Calibri" w:hAnsi="Calibri" w:cs="Calibri"/>
                      </w:rPr>
                    </w:pPr>
                    <w:r w:rsidRPr="00451A4C">
                      <w:rPr>
                        <w:rFonts w:ascii="Calibri" w:hAnsi="Calibri" w:cs="Calibri"/>
                      </w:rPr>
                      <w:t>81000 Podgorica,Montenegro</w:t>
                    </w:r>
                  </w:p>
                  <w:p w14:paraId="5180E8F9" w14:textId="77777777" w:rsidR="00677331" w:rsidRPr="00451A4C" w:rsidRDefault="00677331" w:rsidP="00677331">
                    <w:pPr>
                      <w:spacing w:before="0" w:after="0"/>
                      <w:jc w:val="right"/>
                      <w:rPr>
                        <w:rFonts w:ascii="Calibri" w:hAnsi="Calibri" w:cs="Calibri"/>
                      </w:rPr>
                    </w:pPr>
                    <w:r w:rsidRPr="00451A4C">
                      <w:rPr>
                        <w:rFonts w:ascii="Calibri" w:hAnsi="Calibri" w:cs="Calibri"/>
                      </w:rPr>
                      <w:t xml:space="preserve">           tel: +382 20 230 657</w:t>
                    </w:r>
                  </w:p>
                  <w:p w14:paraId="59768421" w14:textId="77777777" w:rsidR="00677331" w:rsidRPr="00451A4C" w:rsidRDefault="00677331" w:rsidP="00677331">
                    <w:pPr>
                      <w:spacing w:before="0" w:after="0"/>
                      <w:jc w:val="right"/>
                      <w:rPr>
                        <w:rFonts w:ascii="Calibri" w:hAnsi="Calibri" w:cs="Calibri"/>
                        <w:color w:val="0070C0"/>
                      </w:rPr>
                    </w:pPr>
                    <w:r w:rsidRPr="00451A4C">
                      <w:rPr>
                        <w:rFonts w:ascii="Calibri" w:hAnsi="Calibri" w:cs="Calibri"/>
                        <w:color w:val="0070C0"/>
                      </w:rPr>
                      <w:t xml:space="preserve">        www.cfcu.gov.me</w:t>
                    </w:r>
                  </w:p>
                </w:txbxContent>
              </v:textbox>
            </v:shape>
          </w:pict>
        </mc:Fallback>
      </mc:AlternateContent>
    </w:r>
    <w:r>
      <w:rPr>
        <w:noProof/>
        <w:lang w:val="en-GB" w:eastAsia="en-GB"/>
      </w:rPr>
      <mc:AlternateContent>
        <mc:Choice Requires="wps">
          <w:drawing>
            <wp:anchor distT="0" distB="0" distL="114299" distR="114299" simplePos="0" relativeHeight="251656704" behindDoc="0" locked="0" layoutInCell="1" allowOverlap="1" wp14:anchorId="5F70EC26" wp14:editId="65726551">
              <wp:simplePos x="0" y="0"/>
              <wp:positionH relativeFrom="column">
                <wp:posOffset>-78105</wp:posOffset>
              </wp:positionH>
              <wp:positionV relativeFrom="paragraph">
                <wp:posOffset>-51435</wp:posOffset>
              </wp:positionV>
              <wp:extent cx="9525" cy="781050"/>
              <wp:effectExtent l="0" t="0" r="952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781050"/>
                      </a:xfrm>
                      <a:prstGeom prst="line">
                        <a:avLst/>
                      </a:prstGeom>
                      <a:noFill/>
                      <a:ln w="19050" cap="flat" cmpd="sng" algn="ctr">
                        <a:solidFill>
                          <a:srgbClr val="D5B03D"/>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ED5034" id="Straight Connector 2" o:spid="_x0000_s1026" style="position:absolute;flip:x;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15pt,-4.05pt" to="-5.4pt,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" strokecolor="#d5b03d" strokeweight="1.5pt">
              <v:stroke joinstyle="miter"/>
              <o:lock v:ext="edit" shapetype="f"/>
            </v:line>
          </w:pict>
        </mc:Fallback>
      </mc:AlternateContent>
    </w:r>
    <w:r>
      <w:rPr>
        <w:noProof/>
        <w:lang w:val="en-GB" w:eastAsia="en-GB"/>
      </w:rPr>
      <w:drawing>
        <wp:anchor distT="0" distB="0" distL="114300" distR="114300" simplePos="0" relativeHeight="251658752" behindDoc="0" locked="0" layoutInCell="1" allowOverlap="1" wp14:anchorId="0A2049D2" wp14:editId="706C82AB">
          <wp:simplePos x="0" y="0"/>
          <wp:positionH relativeFrom="column">
            <wp:posOffset>-687705</wp:posOffset>
          </wp:positionH>
          <wp:positionV relativeFrom="paragraph">
            <wp:posOffset>3810</wp:posOffset>
          </wp:positionV>
          <wp:extent cx="539115" cy="6216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621665"/>
                  </a:xfrm>
                  <a:prstGeom prst="rect">
                    <a:avLst/>
                  </a:prstGeom>
                  <a:noFill/>
                </pic:spPr>
              </pic:pic>
            </a:graphicData>
          </a:graphic>
          <wp14:sizeRelH relativeFrom="page">
            <wp14:pctWidth>0</wp14:pctWidth>
          </wp14:sizeRelH>
          <wp14:sizeRelV relativeFrom="page">
            <wp14:pctHeight>0</wp14:pctHeight>
          </wp14:sizeRelV>
        </wp:anchor>
      </w:drawing>
    </w:r>
    <w:r w:rsidR="00677331" w:rsidRPr="00FF0FC1">
      <w:rPr>
        <w:rFonts w:ascii="Calibri" w:hAnsi="Calibri" w:cs="Calibri"/>
        <w:lang w:val="en-GB"/>
      </w:rPr>
      <w:t xml:space="preserve">  </w:t>
    </w:r>
    <w:r w:rsidR="00677331" w:rsidRPr="00FF0FC1">
      <w:rPr>
        <w:rFonts w:cs="Arial"/>
        <w:b w:val="0"/>
        <w:sz w:val="24"/>
        <w:szCs w:val="24"/>
        <w:lang w:val="en-GB"/>
      </w:rPr>
      <w:t>Montenegro</w:t>
    </w:r>
    <w:r w:rsidR="00677331" w:rsidRPr="00FF0FC1">
      <w:rPr>
        <w:rFonts w:cs="Arial"/>
        <w:b w:val="0"/>
        <w:sz w:val="24"/>
        <w:szCs w:val="24"/>
        <w:lang w:val="en-GB"/>
      </w:rPr>
      <w:tab/>
    </w:r>
  </w:p>
  <w:p w14:paraId="745F6757" w14:textId="77777777" w:rsidR="00677331" w:rsidRPr="00FF0FC1" w:rsidRDefault="00677331" w:rsidP="00677331">
    <w:pPr>
      <w:pStyle w:val="Title"/>
      <w:spacing w:before="0" w:after="60" w:line="276" w:lineRule="auto"/>
      <w:ind w:left="-142"/>
      <w:jc w:val="left"/>
      <w:rPr>
        <w:rFonts w:cs="Arial"/>
        <w:b w:val="0"/>
        <w:sz w:val="24"/>
        <w:szCs w:val="24"/>
        <w:lang w:val="en-GB"/>
      </w:rPr>
    </w:pPr>
    <w:r w:rsidRPr="00FF0FC1">
      <w:rPr>
        <w:rFonts w:cs="Arial"/>
        <w:b w:val="0"/>
        <w:sz w:val="24"/>
        <w:szCs w:val="24"/>
        <w:lang w:val="en-GB"/>
      </w:rPr>
      <w:t xml:space="preserve">  Ministry of Finance</w:t>
    </w:r>
  </w:p>
  <w:p w14:paraId="0B0C6C92" w14:textId="77777777" w:rsidR="00677331" w:rsidRPr="00FF0FC1" w:rsidRDefault="00677331" w:rsidP="00677331">
    <w:pPr>
      <w:pStyle w:val="Title"/>
      <w:spacing w:before="0" w:after="60" w:line="276" w:lineRule="auto"/>
      <w:ind w:left="-142" w:right="-569"/>
      <w:jc w:val="left"/>
      <w:rPr>
        <w:rFonts w:cs="Arial"/>
        <w:b w:val="0"/>
        <w:sz w:val="24"/>
        <w:szCs w:val="24"/>
        <w:lang w:val="en-GB"/>
      </w:rPr>
    </w:pPr>
    <w:r w:rsidRPr="00FF0FC1">
      <w:rPr>
        <w:rFonts w:cs="Arial"/>
        <w:b w:val="0"/>
        <w:sz w:val="24"/>
        <w:szCs w:val="24"/>
        <w:lang w:val="en-GB"/>
      </w:rPr>
      <w:t xml:space="preserve">  Directorate for Finance, Contracting and Implementation of the EU Assistance Funds</w:t>
    </w:r>
  </w:p>
  <w:p w14:paraId="10460B57"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44"/>
  </w:num>
  <w:num w:numId="3">
    <w:abstractNumId w:val="8"/>
  </w:num>
  <w:num w:numId="4">
    <w:abstractNumId w:val="30"/>
  </w:num>
  <w:num w:numId="5">
    <w:abstractNumId w:val="24"/>
  </w:num>
  <w:num w:numId="6">
    <w:abstractNumId w:val="19"/>
  </w:num>
  <w:num w:numId="7">
    <w:abstractNumId w:val="17"/>
  </w:num>
  <w:num w:numId="8">
    <w:abstractNumId w:val="23"/>
  </w:num>
  <w:num w:numId="9">
    <w:abstractNumId w:val="52"/>
  </w:num>
  <w:num w:numId="10">
    <w:abstractNumId w:val="12"/>
  </w:num>
  <w:num w:numId="11">
    <w:abstractNumId w:val="13"/>
  </w:num>
  <w:num w:numId="12">
    <w:abstractNumId w:val="14"/>
  </w:num>
  <w:num w:numId="13">
    <w:abstractNumId w:val="29"/>
  </w:num>
  <w:num w:numId="14">
    <w:abstractNumId w:val="38"/>
  </w:num>
  <w:num w:numId="15">
    <w:abstractNumId w:val="47"/>
  </w:num>
  <w:num w:numId="16">
    <w:abstractNumId w:val="10"/>
  </w:num>
  <w:num w:numId="17">
    <w:abstractNumId w:val="22"/>
  </w:num>
  <w:num w:numId="18">
    <w:abstractNumId w:val="26"/>
  </w:num>
  <w:num w:numId="19">
    <w:abstractNumId w:val="36"/>
  </w:num>
  <w:num w:numId="20">
    <w:abstractNumId w:val="11"/>
  </w:num>
  <w:num w:numId="21">
    <w:abstractNumId w:val="25"/>
  </w:num>
  <w:num w:numId="22">
    <w:abstractNumId w:val="15"/>
  </w:num>
  <w:num w:numId="23">
    <w:abstractNumId w:val="18"/>
  </w:num>
  <w:num w:numId="24">
    <w:abstractNumId w:val="43"/>
  </w:num>
  <w:num w:numId="25">
    <w:abstractNumId w:val="21"/>
  </w:num>
  <w:num w:numId="26">
    <w:abstractNumId w:val="20"/>
  </w:num>
  <w:num w:numId="27">
    <w:abstractNumId w:val="48"/>
  </w:num>
  <w:num w:numId="28">
    <w:abstractNumId w:val="50"/>
  </w:num>
  <w:num w:numId="29">
    <w:abstractNumId w:val="2"/>
  </w:num>
  <w:num w:numId="30">
    <w:abstractNumId w:val="41"/>
  </w:num>
  <w:num w:numId="31">
    <w:abstractNumId w:val="34"/>
  </w:num>
  <w:num w:numId="32">
    <w:abstractNumId w:val="5"/>
  </w:num>
  <w:num w:numId="33">
    <w:abstractNumId w:val="7"/>
  </w:num>
  <w:num w:numId="34">
    <w:abstractNumId w:val="3"/>
  </w:num>
  <w:num w:numId="35">
    <w:abstractNumId w:val="1"/>
  </w:num>
  <w:num w:numId="36">
    <w:abstractNumId w:val="35"/>
  </w:num>
  <w:num w:numId="37">
    <w:abstractNumId w:val="51"/>
  </w:num>
  <w:num w:numId="38">
    <w:abstractNumId w:val="16"/>
  </w:num>
  <w:num w:numId="39">
    <w:abstractNumId w:val="45"/>
  </w:num>
  <w:num w:numId="40">
    <w:abstractNumId w:val="42"/>
  </w:num>
  <w:num w:numId="41">
    <w:abstractNumId w:val="32"/>
  </w:num>
  <w:num w:numId="42">
    <w:abstractNumId w:val="28"/>
  </w:num>
  <w:num w:numId="43">
    <w:abstractNumId w:val="33"/>
  </w:num>
  <w:num w:numId="44">
    <w:abstractNumId w:val="49"/>
  </w:num>
  <w:num w:numId="45">
    <w:abstractNumId w:val="27"/>
  </w:num>
  <w:num w:numId="46">
    <w:abstractNumId w:val="37"/>
  </w:num>
  <w:num w:numId="47">
    <w:abstractNumId w:val="6"/>
  </w:num>
  <w:num w:numId="48">
    <w:abstractNumId w:val="0"/>
  </w:num>
  <w:num w:numId="49">
    <w:abstractNumId w:val="4"/>
  </w:num>
  <w:num w:numId="50">
    <w:abstractNumId w:val="40"/>
  </w:num>
  <w:num w:numId="51">
    <w:abstractNumId w:val="31"/>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8364A"/>
    <w:rsid w:val="00294190"/>
    <w:rsid w:val="0029605F"/>
    <w:rsid w:val="002A0041"/>
    <w:rsid w:val="002B1522"/>
    <w:rsid w:val="002B6401"/>
    <w:rsid w:val="002C2606"/>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628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C4A45"/>
    <w:rsid w:val="004D2FD8"/>
    <w:rsid w:val="004F5C57"/>
    <w:rsid w:val="00501FF0"/>
    <w:rsid w:val="00507B02"/>
    <w:rsid w:val="005103FA"/>
    <w:rsid w:val="00517B75"/>
    <w:rsid w:val="00535826"/>
    <w:rsid w:val="00536B4A"/>
    <w:rsid w:val="00544F0C"/>
    <w:rsid w:val="00565D56"/>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331"/>
    <w:rsid w:val="00677500"/>
    <w:rsid w:val="0068247E"/>
    <w:rsid w:val="0068321A"/>
    <w:rsid w:val="006917B2"/>
    <w:rsid w:val="00692095"/>
    <w:rsid w:val="00692568"/>
    <w:rsid w:val="006A425C"/>
    <w:rsid w:val="006B0AB1"/>
    <w:rsid w:val="006C2F05"/>
    <w:rsid w:val="006D25B8"/>
    <w:rsid w:val="006E56FD"/>
    <w:rsid w:val="006E6880"/>
    <w:rsid w:val="006F2AAD"/>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1223"/>
    <w:rsid w:val="008F3866"/>
    <w:rsid w:val="00900F71"/>
    <w:rsid w:val="009143FD"/>
    <w:rsid w:val="00920A51"/>
    <w:rsid w:val="00922542"/>
    <w:rsid w:val="0092350F"/>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8B6"/>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2467"/>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4FC9"/>
    <w:rsid w:val="00E10D27"/>
    <w:rsid w:val="00E13CDE"/>
    <w:rsid w:val="00E2190B"/>
    <w:rsid w:val="00E2682A"/>
    <w:rsid w:val="00E27678"/>
    <w:rsid w:val="00E340A7"/>
    <w:rsid w:val="00E34208"/>
    <w:rsid w:val="00E362E5"/>
    <w:rsid w:val="00E37290"/>
    <w:rsid w:val="00E41C6F"/>
    <w:rsid w:val="00E45BEE"/>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206F4"/>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 w:val="00FF0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rPr>
  </w:style>
  <w:style w:type="character" w:customStyle="1" w:styleId="TitleChar">
    <w:name w:val="Title Char"/>
    <w:link w:val="Title"/>
    <w:uiPriority w:val="10"/>
    <w:rsid w:val="00677331"/>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EC0DA-BE78-4146-A621-BE070397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1838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4</cp:revision>
  <cp:lastPrinted>2012-09-24T10:04:00Z</cp:lastPrinted>
  <dcterms:created xsi:type="dcterms:W3CDTF">2025-06-16T07:10:00Z</dcterms:created>
  <dcterms:modified xsi:type="dcterms:W3CDTF">2025-07-22T07:45:00Z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2023-12-08T16:12:23Z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83e073f7-2879-4744-add4-cfe6c76c488d</vt:lpwstr>
  </property>
  <property fmtid="{D5CDD505-2E9C-101B-9397-08002B2CF9AE}" pid="9" name="MSIP_Label_6bd9ddd1-4d20-43f6-abfa-fc3c07406f94_ContentBits">
    <vt:lpwstr>0</vt:lpwstr>
  </property>
</Properties>
</file>