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6466" w14:textId="77777777" w:rsidR="00047461" w:rsidRPr="005E74D9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</w:p>
    <w:p w14:paraId="74067A7D" w14:textId="77777777" w:rsidR="00A66276" w:rsidRPr="005E74D9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AE2C96"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25.03.2025.godine</w:t>
      </w:r>
    </w:p>
    <w:p w14:paraId="3795FAA8" w14:textId="77777777" w:rsidR="00F536EC" w:rsidRPr="005E74D9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14:paraId="0FBDD294" w14:textId="77777777" w:rsidR="006756E9" w:rsidRPr="005E74D9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poslanika</w:t>
      </w:r>
      <w:r w:rsidR="002E50E2"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: Posebni klub poslanika</w:t>
      </w:r>
    </w:p>
    <w:p w14:paraId="00443F8D" w14:textId="4321271E" w:rsidR="00594579" w:rsidRPr="005E74D9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6756E9"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ca</w:t>
      </w:r>
      <w:r w:rsidR="005E74D9"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g-đa</w:t>
      </w:r>
      <w:r w:rsidR="00EA66E6"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Radinka Ćinćur</w:t>
      </w:r>
    </w:p>
    <w:p w14:paraId="5546B826" w14:textId="77777777" w:rsidR="006756E9" w:rsidRPr="005E74D9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15135EED" w14:textId="77777777" w:rsidR="00C059F7" w:rsidRPr="005E74D9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232D7926" w14:textId="77777777" w:rsidR="00F536EC" w:rsidRPr="005E74D9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14:paraId="228D727C" w14:textId="77777777" w:rsidR="00AE2C96" w:rsidRPr="005E74D9" w:rsidRDefault="00AE2C96" w:rsidP="009A2F73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14:paraId="276DC40F" w14:textId="77777777" w:rsidR="00AE2C96" w:rsidRPr="005E74D9" w:rsidRDefault="00AE2C96" w:rsidP="00AE2C96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5E74D9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Da li planirate da Aerodrome Crne Gore date pod koncesiju na 30 godina ili Vlada ima neki alternativni plan?</w:t>
      </w:r>
    </w:p>
    <w:p w14:paraId="3EFDB7AA" w14:textId="77777777" w:rsidR="006756E9" w:rsidRPr="005E74D9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267BD471" w14:textId="77777777" w:rsidR="00F536EC" w:rsidRPr="005E74D9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ODGOVOR</w:t>
      </w:r>
    </w:p>
    <w:p w14:paraId="7791CB2A" w14:textId="77777777" w:rsidR="00233D09" w:rsidRPr="005E74D9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</w:p>
    <w:p w14:paraId="455B3C7B" w14:textId="77777777" w:rsidR="00F536EC" w:rsidRPr="005E74D9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Uvažen</w:t>
      </w:r>
      <w:r w:rsidR="00AE2C96"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</w:t>
      </w: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poslani</w:t>
      </w:r>
      <w:r w:rsidR="00AE2C96"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c</w:t>
      </w:r>
      <w:r w:rsidR="005878EC"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e</w:t>
      </w:r>
      <w:r w:rsidR="00AE2C96"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Ćinćur</w:t>
      </w:r>
      <w:r w:rsidR="00594579"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</w:p>
    <w:p w14:paraId="582C0742" w14:textId="77777777" w:rsidR="002E50E2" w:rsidRPr="005E74D9" w:rsidRDefault="002E50E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1CAC3D3E" w14:textId="371E3FF7" w:rsidR="00F436CA" w:rsidRPr="005E74D9" w:rsidRDefault="005301E3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Još 2017. godine, tadašnja Vlada, </w:t>
      </w:r>
      <w:r w:rsidR="002E50E2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donijela 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je </w:t>
      </w:r>
      <w:r w:rsidR="002E50E2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odluku o pokretanju postupka o davanju aerodroma Crne Gore pod koncesiju</w:t>
      </w:r>
      <w:r w:rsidR="00F436CA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</w:t>
      </w:r>
      <w:r w:rsidR="002E50E2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sve u cilju 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unapređenja</w:t>
      </w:r>
      <w:r w:rsidR="002E50E2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postojećeg stanja i značajnog proširenja kapaciteta. </w:t>
      </w:r>
      <w:r w:rsidR="00F436CA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1.avgusta 2019.godine usvojen je Koncesioni akt za dodjelu koncesije za aerodrome. U koncesionom aktu su kao uslovi navedeni: 100 miliona avansne uplate, minimalno 10% naknada godišnje od ukupnih prihoda. Očekivani obim investicije je najmanje 80 mil EUR tokom prve investicione faze (prve 3 godine), a najmanje 200 mil EUR tokom ukupnog trajanja koncesije. Period trajanja koncesije je 30 godina.</w:t>
      </w:r>
    </w:p>
    <w:p w14:paraId="51C0A349" w14:textId="16B63C95" w:rsidR="005301E3" w:rsidRPr="005E74D9" w:rsidRDefault="005301E3" w:rsidP="002E50E2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Do dan danas, taj postupak nije okončan a mi smo kao 44. Vlada odlučni da ovaj tenderski postupak završimo, dobijemo ponude od ponuđača i da na bazi optimalnosti ponuda izaberemo dva puta: 1) davanje Aerodroma Crne Gore pod koncesiju ili 2) samostaln</w:t>
      </w:r>
      <w:r w:rsidR="00F436CA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o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razv</w:t>
      </w:r>
      <w:r w:rsidR="00F436CA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i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j</w:t>
      </w:r>
      <w:r w:rsidR="00F436CA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amo aerodrome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od strane države.</w:t>
      </w:r>
    </w:p>
    <w:p w14:paraId="75362AE1" w14:textId="2A94E150" w:rsidR="00841CF3" w:rsidRPr="005E74D9" w:rsidRDefault="00841CF3" w:rsidP="002E50E2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Da bi ovaj postupak bio sproveden po najvećim profesionalnim standardima, kao konsultant u postupku angažovana je Mežunarodna finansijska korporacija (IFC), koja je dio grupe Svjetske banke a koja ima ogromno iskustvo na istim ili sličnim projektima.</w:t>
      </w:r>
    </w:p>
    <w:p w14:paraId="01C7A749" w14:textId="4AAD73AE" w:rsidR="005301E3" w:rsidRPr="005E74D9" w:rsidRDefault="004D0846" w:rsidP="002E50E2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Urgentna potreba za unapređenjem aerodromske infrastrukture </w:t>
      </w:r>
      <w:r w:rsidR="009F0B3E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potvrđuje se svakog dana, a posebno tokom trajanja turističke sezone, budući da je </w:t>
      </w:r>
      <w:r w:rsidR="009F0B3E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lastRenderedPageBreak/>
        <w:t xml:space="preserve">Crna Gora prevashodno destinacija koju turisti posjećuju avio putem. </w:t>
      </w:r>
      <w:r w:rsidR="00500BF6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Upravo zbog nedovoljne konkurentnosti kada su u pitanju aerodromi Podgorica i Tivat i neadekvatnog broja avio letova, trpi naša turistička privreda i cijela ekonomija. </w:t>
      </w:r>
      <w:r w:rsidR="000E3DC5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Koliko koncesija </w:t>
      </w:r>
      <w:r w:rsidR="003C27D9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aerodroma može biti uspješna priča potvrđuje nam i neposredno susjed</w:t>
      </w:r>
      <w:r w:rsidR="00F436CA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st</w:t>
      </w:r>
      <w:r w:rsidR="003C27D9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vo – Albanija.</w:t>
      </w:r>
    </w:p>
    <w:p w14:paraId="380095E8" w14:textId="005F5109" w:rsidR="00F436CA" w:rsidRPr="005E74D9" w:rsidRDefault="00F436CA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Dosadašnje aktivnosti tenderskih komisija u više saziva, rezultiralo je okončanjem pretkvalifikacionog ciklusa po kojoj su se za drugu fazu tenderskog postupka kvalifikovali sljedeći ponuđači:</w:t>
      </w:r>
    </w:p>
    <w:p w14:paraId="0983B981" w14:textId="77777777" w:rsidR="00F436CA" w:rsidRPr="005E74D9" w:rsidRDefault="00F436CA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1)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ab/>
        <w:t>INCHEON INTERNATIONAL  AIRPORT CORPORATION</w:t>
      </w:r>
    </w:p>
    <w:p w14:paraId="1D7043A3" w14:textId="77777777" w:rsidR="00F436CA" w:rsidRPr="005E74D9" w:rsidRDefault="00F436CA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2)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ab/>
        <w:t>GMR AIRPORTS LIMITED</w:t>
      </w:r>
    </w:p>
    <w:p w14:paraId="76DF7969" w14:textId="77777777" w:rsidR="00F436CA" w:rsidRPr="005E74D9" w:rsidRDefault="00F436CA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3)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ab/>
        <w:t>GROUPE ADP CONSORCIUM - TAV HAVANLIMANLARI HOLDING A.S. i AEROPORTS DE PARIS INTERNATIONAL</w:t>
      </w:r>
    </w:p>
    <w:p w14:paraId="7641AFFF" w14:textId="77777777" w:rsidR="00F436CA" w:rsidRPr="005E74D9" w:rsidRDefault="00F436CA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4)</w:t>
      </w: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ab/>
        <w:t>CORPORACION AMERICA AIRPORTS A.S.</w:t>
      </w:r>
    </w:p>
    <w:p w14:paraId="5109B768" w14:textId="77777777" w:rsidR="00F436CA" w:rsidRPr="005E74D9" w:rsidRDefault="00F436CA" w:rsidP="00F436CA">
      <w:pPr>
        <w:spacing w:before="0" w:after="24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06.marta 2020. godine dopisom GMR AIRPORTS LIMITED obavještava tendersku komisiju da odustaje od daljeg procesa za koncesiju crnogorskih vazdušnih luka.</w:t>
      </w:r>
    </w:p>
    <w:p w14:paraId="6E1E7C3F" w14:textId="50BDB1F1" w:rsidR="006756E9" w:rsidRPr="005E74D9" w:rsidRDefault="00F436CA" w:rsidP="00C32F41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Trenutno je u toku II faza postupka po kojoj su ponuđači pozvani da do 7. maja dostave svoje ponude. Nakon dostavljanja ponuda, tenderska komisija </w:t>
      </w:r>
      <w:r w:rsidR="00012825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će pristupiti ocjenjivanju dostavljenih ponuda na</w:t>
      </w:r>
      <w:r w:rsidR="00C32F41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</w:t>
      </w:r>
      <w:r w:rsidR="00012825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bazi utvrđenih kriterijuma </w:t>
      </w:r>
      <w:r w:rsidR="00C32F41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nakon čega će Vlada </w:t>
      </w:r>
      <w:r w:rsidR="00A13B12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donijeti konačnu odluku o eventualnoj dodjeli koncesije. Ukoliko najbolja ponuda, sa aspekta očekivanja Vlade, ne bude garantovala najbolji mogući razvoj aerodroma u Podgorici i Tivtu, Vlada će svakako imati zakonsku mogućnost da i u toj fazi odustane od dodjele koncesije. U tom slučaju, Vlada bi kao vlasnik Aerodroma Crne Gore, u saradnji sa organima upravljanja ove nacionalne kompanije, radila na obezbjeđivanju najefikasnijeg i najkvalitetnijeg plana razvoja aerodroma, koji bi omogućio da i bez Koncesionara razvijamo našu aerodromsku infrastrukturu, omogućimo uvećanje prihoda od obavljanja djelatnosti i poboljšamo avio-dostupnost Crne Gore. </w:t>
      </w:r>
    </w:p>
    <w:p w14:paraId="229177C5" w14:textId="77777777" w:rsidR="006756E9" w:rsidRPr="005E74D9" w:rsidRDefault="006756E9" w:rsidP="005252AF">
      <w:pPr>
        <w:spacing w:before="0" w:after="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</w:p>
    <w:p w14:paraId="414ED4F0" w14:textId="77777777" w:rsidR="00C32F41" w:rsidRPr="005E74D9" w:rsidRDefault="00047461" w:rsidP="009A2F73">
      <w:pPr>
        <w:spacing w:before="0" w:after="0" w:line="240" w:lineRule="auto"/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</w:pPr>
      <w:r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>S poštovanjem,</w:t>
      </w:r>
      <w:r w:rsidR="006F70E9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                                                                                         </w:t>
      </w:r>
      <w:r w:rsidR="00046C86" w:rsidRPr="005E74D9">
        <w:rPr>
          <w:rFonts w:ascii="Cambria" w:eastAsia="Times New Roman" w:hAnsi="Cambria" w:cs="Arial"/>
          <w:color w:val="000000"/>
          <w:sz w:val="28"/>
          <w:szCs w:val="28"/>
          <w:lang w:val="sr-Latn-ME" w:eastAsia="sr-Latn-ME"/>
        </w:rPr>
        <w:t xml:space="preserve"> </w:t>
      </w:r>
    </w:p>
    <w:p w14:paraId="7E65589B" w14:textId="77777777" w:rsidR="00C32F41" w:rsidRPr="005E74D9" w:rsidRDefault="00C32F41" w:rsidP="00C32F41">
      <w:pPr>
        <w:spacing w:before="0" w:after="0" w:line="240" w:lineRule="auto"/>
        <w:ind w:left="6381" w:firstLine="709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</w:p>
    <w:p w14:paraId="6233F446" w14:textId="0BEEC5B1" w:rsidR="00F536EC" w:rsidRPr="005E74D9" w:rsidRDefault="00C32F41" w:rsidP="005E74D9">
      <w:pPr>
        <w:spacing w:before="0" w:after="0" w:line="240" w:lineRule="auto"/>
        <w:ind w:left="7090"/>
        <w:jc w:val="righ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</w:t>
      </w:r>
      <w:bookmarkStart w:id="0" w:name="_GoBack"/>
      <w:r w:rsidR="00046C86"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PREDSJEDNIK</w:t>
      </w:r>
    </w:p>
    <w:p w14:paraId="7E2F18F0" w14:textId="77777777" w:rsidR="00F536EC" w:rsidRPr="005E74D9" w:rsidRDefault="00046C86" w:rsidP="005E74D9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</w:r>
      <w:r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</w:t>
      </w:r>
      <w:r w:rsidR="00594579"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</w:t>
      </w:r>
      <w:r w:rsidR="006673E9"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m</w:t>
      </w:r>
      <w:r w:rsidR="009A2F73" w:rsidRPr="005E74D9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r Milojko Spajić</w:t>
      </w:r>
    </w:p>
    <w:bookmarkEnd w:id="0"/>
    <w:p w14:paraId="6FDCA486" w14:textId="77777777" w:rsidR="00F536EC" w:rsidRPr="005E74D9" w:rsidRDefault="00F536EC" w:rsidP="005E74D9">
      <w:pPr>
        <w:tabs>
          <w:tab w:val="left" w:pos="7890"/>
        </w:tabs>
        <w:spacing w:before="0" w:after="0" w:line="240" w:lineRule="auto"/>
        <w:jc w:val="righ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sectPr w:rsidR="00F536EC" w:rsidRPr="005E74D9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22817" w14:textId="77777777" w:rsidR="006777ED" w:rsidRDefault="006777ED">
      <w:pPr>
        <w:spacing w:line="240" w:lineRule="auto"/>
      </w:pPr>
      <w:r>
        <w:separator/>
      </w:r>
    </w:p>
  </w:endnote>
  <w:endnote w:type="continuationSeparator" w:id="0">
    <w:p w14:paraId="35B671D7" w14:textId="77777777" w:rsidR="006777ED" w:rsidRDefault="00677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DCA2A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17B1D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3FF0" w14:textId="77777777" w:rsidR="006777ED" w:rsidRDefault="006777ED">
      <w:pPr>
        <w:spacing w:before="0" w:after="0"/>
      </w:pPr>
      <w:r>
        <w:separator/>
      </w:r>
    </w:p>
  </w:footnote>
  <w:footnote w:type="continuationSeparator" w:id="0">
    <w:p w14:paraId="1C19846F" w14:textId="77777777" w:rsidR="006777ED" w:rsidRDefault="006777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B7D3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057BB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2946A6" wp14:editId="5F880E1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C0940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6FABC69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C1ADE04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4DC3F913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72371B86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946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10C09402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6FABC69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C1ADE04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4DC3F913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72371B86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0190921F" wp14:editId="224270FA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9F4E5C2" wp14:editId="731F3EFE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19327096" w14:textId="77777777" w:rsidR="00F536EC" w:rsidRDefault="00046C86">
    <w:pPr>
      <w:pStyle w:val="Title"/>
      <w:spacing w:after="0"/>
    </w:pPr>
    <w:r>
      <w:t xml:space="preserve">Vlada Crne Gore </w:t>
    </w:r>
  </w:p>
  <w:p w14:paraId="3F15E131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456CDF34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2825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4480"/>
    <w:rsid w:val="000D7C1D"/>
    <w:rsid w:val="000E3DC5"/>
    <w:rsid w:val="000F2AA0"/>
    <w:rsid w:val="000F2B95"/>
    <w:rsid w:val="000F2BFC"/>
    <w:rsid w:val="000F7989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02D7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66F93"/>
    <w:rsid w:val="002719EA"/>
    <w:rsid w:val="002738CA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E50E2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3516"/>
    <w:rsid w:val="003A6DB5"/>
    <w:rsid w:val="003A7926"/>
    <w:rsid w:val="003B1FC3"/>
    <w:rsid w:val="003B45D4"/>
    <w:rsid w:val="003C06F2"/>
    <w:rsid w:val="003C17AA"/>
    <w:rsid w:val="003C27D9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A30FA"/>
    <w:rsid w:val="004B674A"/>
    <w:rsid w:val="004B6DC0"/>
    <w:rsid w:val="004C1188"/>
    <w:rsid w:val="004C36BF"/>
    <w:rsid w:val="004C5416"/>
    <w:rsid w:val="004D0846"/>
    <w:rsid w:val="004D65D4"/>
    <w:rsid w:val="004E2500"/>
    <w:rsid w:val="004E3DA7"/>
    <w:rsid w:val="004F24B0"/>
    <w:rsid w:val="004F69A7"/>
    <w:rsid w:val="00500BF6"/>
    <w:rsid w:val="005107D7"/>
    <w:rsid w:val="00520380"/>
    <w:rsid w:val="0052094C"/>
    <w:rsid w:val="00523147"/>
    <w:rsid w:val="005252AF"/>
    <w:rsid w:val="005301E3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E74D9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777ED"/>
    <w:rsid w:val="00690F68"/>
    <w:rsid w:val="006A22B2"/>
    <w:rsid w:val="006A24FA"/>
    <w:rsid w:val="006A2C40"/>
    <w:rsid w:val="006A2E16"/>
    <w:rsid w:val="006B0CEE"/>
    <w:rsid w:val="006C3633"/>
    <w:rsid w:val="006C6F1A"/>
    <w:rsid w:val="006D711E"/>
    <w:rsid w:val="006E262C"/>
    <w:rsid w:val="006E304C"/>
    <w:rsid w:val="006E4299"/>
    <w:rsid w:val="006E7D71"/>
    <w:rsid w:val="006F6F1F"/>
    <w:rsid w:val="006F70E9"/>
    <w:rsid w:val="00700D6B"/>
    <w:rsid w:val="007059A6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1CF3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1C0C"/>
    <w:rsid w:val="009B2229"/>
    <w:rsid w:val="009B54B8"/>
    <w:rsid w:val="009B687F"/>
    <w:rsid w:val="009C7B63"/>
    <w:rsid w:val="009D4228"/>
    <w:rsid w:val="009D4B09"/>
    <w:rsid w:val="009E49D4"/>
    <w:rsid w:val="009E797A"/>
    <w:rsid w:val="009F0B3E"/>
    <w:rsid w:val="009F6182"/>
    <w:rsid w:val="009F6459"/>
    <w:rsid w:val="00A00A12"/>
    <w:rsid w:val="00A04586"/>
    <w:rsid w:val="00A07209"/>
    <w:rsid w:val="00A13B12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19BC"/>
    <w:rsid w:val="00AE2C96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1050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2F41"/>
    <w:rsid w:val="00C331D4"/>
    <w:rsid w:val="00C371D4"/>
    <w:rsid w:val="00C37FCA"/>
    <w:rsid w:val="00C4431F"/>
    <w:rsid w:val="00C47BBD"/>
    <w:rsid w:val="00C517CD"/>
    <w:rsid w:val="00C52503"/>
    <w:rsid w:val="00C7032D"/>
    <w:rsid w:val="00C76570"/>
    <w:rsid w:val="00C779EA"/>
    <w:rsid w:val="00C81EE9"/>
    <w:rsid w:val="00C839DC"/>
    <w:rsid w:val="00C84028"/>
    <w:rsid w:val="00C8614F"/>
    <w:rsid w:val="00C8738A"/>
    <w:rsid w:val="00C932ED"/>
    <w:rsid w:val="00C95C6D"/>
    <w:rsid w:val="00CA225C"/>
    <w:rsid w:val="00CA4058"/>
    <w:rsid w:val="00CA76FC"/>
    <w:rsid w:val="00CB2ACA"/>
    <w:rsid w:val="00CC1525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61FA"/>
    <w:rsid w:val="00E1735E"/>
    <w:rsid w:val="00E17842"/>
    <w:rsid w:val="00E21B53"/>
    <w:rsid w:val="00E31C46"/>
    <w:rsid w:val="00E34824"/>
    <w:rsid w:val="00E42CBF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A66E6"/>
    <w:rsid w:val="00EB4802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436CA"/>
    <w:rsid w:val="00F51D8B"/>
    <w:rsid w:val="00F536EC"/>
    <w:rsid w:val="00F57AF3"/>
    <w:rsid w:val="00F63FBA"/>
    <w:rsid w:val="00F74E63"/>
    <w:rsid w:val="00F80023"/>
    <w:rsid w:val="00F825AC"/>
    <w:rsid w:val="00F90AC8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E5B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styleId="Revision">
    <w:name w:val="Revision"/>
    <w:hidden/>
    <w:uiPriority w:val="99"/>
    <w:semiHidden/>
    <w:rsid w:val="005301E3"/>
    <w:rPr>
      <w:sz w:val="24"/>
      <w:szCs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2</cp:revision>
  <cp:lastPrinted>2025-03-25T16:08:00Z</cp:lastPrinted>
  <dcterms:created xsi:type="dcterms:W3CDTF">2025-03-25T16:14:00Z</dcterms:created>
  <dcterms:modified xsi:type="dcterms:W3CDTF">2025-03-25T16:14:00Z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