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4" w:rsidRDefault="00B91954" w:rsidP="00B91954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82 stav 1 tačka 2 i člana 91 stav 2 Ustava Crne Gore, Skupština Crne Gore 24. saziva, na sedmoj ćednici prvog redovnog (proljećnjeg) zasijedanja u 2012. godini, dana 10. jula 2012. godine, donijela je</w:t>
      </w:r>
    </w:p>
    <w:p w:rsidR="00B91954" w:rsidRDefault="00B91954" w:rsidP="00B9195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B91954" w:rsidRDefault="00B91954" w:rsidP="00B91954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B91954" w:rsidRDefault="00B91954" w:rsidP="00B9195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STRUČNOM OSPOSOBLJAVANJU LICA SA STEČENIM VISOKIM OBRAZOVANJEM</w:t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91954" w:rsidRDefault="00B91954" w:rsidP="00B91954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38 od 19. jula 2012)</w:t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Lice sa stečenim visokim obrazovanjem koje nema radno iskustvo u određenom nivou obrazovanja stručno se osposobljava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Stručno osposobljavanje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Stručno osposobljavanje, u smislu ovog zakona, je kontinuirana, programska i sistematska aktivnost za sticanje znanja, vještina i kompetencija za samostalno obavljanje poslova i radnih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Stručno osposobljavanje obavlja se bez zasnivanja radnog odnosa, po programu osposobljavanja za određenu oblast djelatnosti, koji je donijet u skladu sa posebnim zakonima.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Korisnik stručnog osposobljavanja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Stručno osposobljavanje u skladu sa ovim zakonom može ostvariti lice sa stečenim visokim obrazovanjem koje nema radno iskustvo u određenom nivou obrazovanja (u daljem tekstu: korisnik) i nalazi se na evidenciji Zavoda za zapošljavanje Crne Gore (u daljem tekstu: Zavod).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Objavljivanje javnog poziva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Korisnik se može stručno osposobljavati kod poslodavca koji obavlja djelatnost na teritoriji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obavljanje stručnog osposobljavanja organ uprave nadležan za upravljanje kadrovima, odnosno Zavod objavljuje javni poziv i upućuje korisnike na stručno osposobljavanje kod poslodavca u skladu sa propisanim kriterijumima.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objavljivanja javnog poziva, postupak prijavljivanja korisnika, kriterijumi za upućivanje korisnika kod poslodavca, rokovi i druga pitanja od značaja za obavljanje stručnog osposobljavanja korisnika uređuju se propisom organa državne uprave nadležnog za poslove prosvjete.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stručnog osposobljavanja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Stručno osposobljavanje korisnika traje devet mjeseci i priznaje se kao radno iskustvo u trajanju od 12 mjeseci i kao uslov za polaganje odgovarajućeg stručnog ispita sa stečenim visokim obrazovanjem.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Korisnik koji nije proveo na stručnom osposobljavanju devet mjeseci ima pravo da nastavi sa stručnim osposobljavanjem kod drugog poslodavca po programu po kojem je započeo stručno osposobljavanje.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Stručno osposobljavanje u određenim oblastima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Korisnik koji je obavio stručno osposobljavanje u trajanju od devet mjeseci ne može zasnovati radni odnos u svojstvu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Izuzetno od stava 1 ovog člana, korisnik koji je obavio stručno osposobljavanje u trajanju od devet mjeseci može zasnovati radni odnos u svojstvu pripravnika do ispunjenja propisanih uslova u pogledu dužine trajanja pripravničkog staža radi polaganja odgovarajućeg ispita za rad u sudu, državnom tužilaštvu, advokaturi, kod javnog izvršitelja i notara.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Ugovor o stručnom osposobljavanju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Ugovor o stručnom osposobljavanju zaključuju korisnik i poslodavac.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Ugovor iz stava 1 ovog člana zaključuje se u pisanoj formi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naziv i sjedište poslodavca;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ime i prezime i jedinstveni matični broj korisnika;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mjesto prebivališta, odnosno boravišta korisnika;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stepen stručne spreme, odnosno nivo Nacionalnog okvira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poslove i zadatke za koje se obavlja stručno osposobljavanje;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mjesto u kojem se obavlja stručno osposobljavanje;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trajanje ugovora o stručnom osposobljavanju;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datum početka stručnog osposobljavanja;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iznos naknade za stručno osposobljavanje;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način raskida ugovora;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druga pitanja od značaja za stručno osposobljavanje.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ugovora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Ugovor o stručnom osposobljavanju se zaključuje, po pravilu, na period od devet mjeseci.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Stručno osposobljavanje se produžava u slučaju odsustva korisnika zbog privremene spriječenosti za rad po propisima o zdravstvenoj zaštiti i zdravstvenom osiguranju i porodiljskog odsustva.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vrijeme trajanja odsustva iz stava 2 ovog člana korisniku ne pripada novčana naknada.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Naknada i način isplate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Korisnik za vrijeme stručnog osposobljavanja ima pravo na mjesečnu novčanu naknadu u neto iznosu od 50% prosječne neto zarade u Crnoj Gori u godini koja prethodi zaključivanju ugovora o stručnom osposobljavanju, prema podacima organa uprave nadležnog za poslove statistike.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Sredstva za isplatu naknade iz stava 1 ovog člana obezbjeđuju se u budžetu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Poslodavac je dužan da organu uprave nadležnom za upravljanje kadrovima, odnosno Zavodu dostavlja izvještaj o obavljanju stručnog osposobljavanja korisnika, najkasnije do kraja mjeseca za tekući mjesec.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Korisniku se isplaćuje novčana naknada najkasnije do desetog u mjesecu za prethodni mjesec na osnovu izvještaja iz stava 3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Podsticajne mjere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 xml:space="preserve">     Poslodavac može samostalno obezbijediti sredstva za isplatu novčane naknade iz člana </w:t>
      </w:r>
      <w:hyperlink r:id="rId5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isplaćena sredstva se, na zahtjev poslodavca, priznaju kao više plaćeni porez iz kojeg se mogu izmiriti obaveze poslodavca po osnovu drugih poreskih obaveza, u skladu sa propisom organa državne uprave nadležnog za poslove finansija.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naknadu iz stava 1 ovog člana i člana 10 ovog zakona ne plaćaju se porezi, doprinosi i druge dažbine propisane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zdravstveno osiguranje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Korisnik za vrijeme stručnog osposobljavanja ostvaruje pravo na zdravstveno osiguranje kao nezaposleno lice.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Shodna primjena propisa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lastRenderedPageBreak/>
        <w:t>     Za vrijeme stručnog osposobljavanja na korisnika u odnosu na njegova prava, obaveze i odgovornosti shodno se primjenjuju opšti propisi o radu, ukoliko ovim zakonom nije drukčije uređeno.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korisnika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Informacioni sistem za potrebe stručnog osposobljavanja korisnika obezbjeđuje organ državne uprave nadležan za informaciono društvo.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Evidenciju korisnika koji su završili program stručnog osposobljavanja, na osnovu podataka iz informacionog sistema iz stava 1 ovog člana, vodi organ uprave nadležan za upravljanje kadrovima i Zavod.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Inspekcijski nadzor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Inspekcijski nadzor nad primjenom ovog zakona obavlja inspektor nadležan za poslove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Prekršaji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Novčanom kaznom od 1.000 eura do 20.000 eura kazniće se za prekršaj pravno lice,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zaključi ugovor o stručnom osposobljavanju suprotno članu 8 ovog zakona;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organu uprave nadležnom za upravljanje kadrovima, odnosno Zavodu ne dostavi izvještaj o obavljanju stručnog osposobljavanja korisnika najkasnije do kraja mjeseca za tekući mjesec (član </w:t>
      </w:r>
      <w:hyperlink r:id="rId6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3);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3) na osnovu izvještaja iz člana </w:t>
      </w:r>
      <w:hyperlink r:id="rId7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zakona korisniku ne isplati novčanu naknadu do desetog u mjesecu za prethodni mjesec (član 10 stav 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prekršaj iz stava 1 ovog člana kazniće se i odgovorno lice u pravnom licu i odgovorno lice u organu uprave novčanom kaznom od 300 eura do 2.000 eura.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prekršaj iz stava 1 ovog člana kazniće se preduzetnik novčanom kaznom od 300 eura do 6.000 eura.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usaglašavanje programa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Postojeći programi stručnog osposobljavanja za određene oblasti djelatnosti u pogledu njihovog trajanja uskladiće se u roku od 60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propisa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4" w:rsidRDefault="00B91954" w:rsidP="00B9195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 xml:space="preserve">     Propis iz člana </w:t>
      </w:r>
      <w:hyperlink r:id="rId8" w:anchor="clan5" w:history="1">
        <w:r>
          <w:rPr>
            <w:rStyle w:val="Hyperlink"/>
            <w:lang w:val="sr-Latn-CS"/>
          </w:rPr>
          <w:t>5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zakona donijeće se u roku od 30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Propis iz člana </w:t>
      </w:r>
      <w:hyperlink r:id="rId9" w:anchor="clan11" w:history="1">
        <w:r>
          <w:rPr>
            <w:rStyle w:val="Hyperlink"/>
            <w:lang w:val="sr-Latn-CS"/>
          </w:rPr>
          <w:t>11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zakona donijeće se u roku od 90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91954" w:rsidRDefault="00B91954" w:rsidP="00B9195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B91954" w:rsidRDefault="00B91954" w:rsidP="00B91954">
      <w:pPr>
        <w:rPr>
          <w:rStyle w:val="expand1"/>
          <w:vanish w:val="0"/>
          <w:color w:val="000000"/>
        </w:rPr>
      </w:pPr>
    </w:p>
    <w:p w:rsidR="00B91954" w:rsidRDefault="00B91954" w:rsidP="00B91954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B91954" w:rsidP="00B91954"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26-1/12-1/9 EPA 900 XXIV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10. jul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Skupština Crne Gore 24. saziva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Predsjednik, Ranko Krivokapić,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1954"/>
    <w:rsid w:val="00587460"/>
    <w:rsid w:val="0094034F"/>
    <w:rsid w:val="009B4CCA"/>
    <w:rsid w:val="00B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91954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B91954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4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Z-solsvo04v1238&amp;draft=0&amp;html=&amp;nas=23565&amp;nad=4&amp;god=2012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solsvo04v1238&amp;draft=0&amp;html=&amp;nas=23565&amp;nad=4&amp;god=201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solsvo04v1238&amp;draft=0&amp;html=&amp;nas=23565&amp;nad=4&amp;god=2012&amp;statu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aci.net/sllistcg/prikaz-b.php?db=&amp;what=Z-solsvo04v1238&amp;draft=0&amp;html=&amp;nas=23565&amp;nad=4&amp;god=2012&amp;status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Z-solsvo04v1238&amp;draft=0&amp;html=&amp;nas=23565&amp;nad=4&amp;god=2012&amp;stat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2015-04-02T12:16:00Z</dcterms:created>
  <dcterms:modified xsi:type="dcterms:W3CDTF">2015-04-02T12:17:00Z</dcterms:modified>
</cp:coreProperties>
</file>