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A2" w:rsidRDefault="00BF60A2" w:rsidP="00BF60A2">
      <w:pPr>
        <w:rPr>
          <w:b/>
        </w:rPr>
      </w:pPr>
      <w:bookmarkStart w:id="0" w:name="_GoBack"/>
      <w:bookmarkEnd w:id="0"/>
    </w:p>
    <w:p w:rsidR="00DA0835" w:rsidRDefault="0073697A" w:rsidP="007B151B">
      <w:pPr>
        <w:rPr>
          <w:b/>
        </w:rPr>
      </w:pPr>
      <w:r w:rsidRPr="00CC5BC9">
        <w:rPr>
          <w:b/>
        </w:rPr>
        <w:t>Realni sektor</w:t>
      </w:r>
      <w:r w:rsidR="008F5166">
        <w:rPr>
          <w:b/>
        </w:rPr>
        <w:t xml:space="preserve"> </w:t>
      </w:r>
    </w:p>
    <w:p w:rsidR="00973F4D" w:rsidRPr="00D41C59" w:rsidRDefault="00973F4D" w:rsidP="00973F4D">
      <w:pPr>
        <w:rPr>
          <w:rFonts w:ascii="Calibri" w:eastAsia="Calibri" w:hAnsi="Calibri" w:cs="Times New Roman"/>
          <w:sz w:val="20"/>
          <w:szCs w:val="20"/>
        </w:rPr>
      </w:pPr>
      <w:r w:rsidRPr="00D41C59">
        <w:rPr>
          <w:rFonts w:ascii="Calibri" w:eastAsia="Calibri" w:hAnsi="Calibri" w:cs="Times New Roman"/>
          <w:sz w:val="20"/>
          <w:szCs w:val="20"/>
        </w:rPr>
        <w:t>Promet u trgovini na veliko u 2015. iznosio je 1.867</w:t>
      </w:r>
      <w:r w:rsidR="00645885">
        <w:rPr>
          <w:sz w:val="20"/>
          <w:szCs w:val="20"/>
        </w:rPr>
        <w:t xml:space="preserve"> </w:t>
      </w:r>
      <w:r w:rsidRPr="00D41C59">
        <w:rPr>
          <w:rFonts w:ascii="Calibri" w:eastAsia="Calibri" w:hAnsi="Calibri" w:cs="Times New Roman"/>
          <w:sz w:val="20"/>
          <w:szCs w:val="20"/>
        </w:rPr>
        <w:t>mil.€ ili 6,5% više nego prethodne godine. Najveće učešće u ukupnom prometu imale su robne grupe iz oblasti prehrane (29,7%). U maju 2016. je zabilježen rast dolazaka (5,0%) i noćenja turista (3,6%) u odnosu na maj prethodne godine, dok je rast za pet mjeseci ove godine iznosio 7,6 i 7,1%, respektivno. Najznačajniji rast noćenja u periodu januar-maj ostvarili su turisti iz Srbije (25,7%) ili 15,7% ukupnih noćenja stranih turista. Industrijska proizvodnja u maju bilježi godišnji rast od 9,1% kao rezultat rasta proizvodnje električne energije 79,7%, dok prerađivačka industrija bilježi pad od 13,0%, usljed pada proizvodnje metalskog sektora (osnovni metali 23,7%), proizvodnje pića (7,7%), i prekida proizvodnje duvanskih proizvoda</w:t>
      </w:r>
      <w:r w:rsidR="00645885">
        <w:rPr>
          <w:sz w:val="20"/>
          <w:szCs w:val="20"/>
        </w:rPr>
        <w:t xml:space="preserve">. </w:t>
      </w:r>
      <w:r w:rsidRPr="00D41C59">
        <w:rPr>
          <w:rFonts w:ascii="Calibri" w:eastAsia="Calibri" w:hAnsi="Calibri" w:cs="Times New Roman"/>
          <w:sz w:val="20"/>
          <w:szCs w:val="20"/>
        </w:rPr>
        <w:t xml:space="preserve">Promet u maloprodaji u maju 2016. bilježi rast od 4,3% u tekućim i 2,8% u stalnim cijenama. </w:t>
      </w:r>
    </w:p>
    <w:p w:rsidR="00DA0835" w:rsidRDefault="008D0CF1" w:rsidP="007B151B">
      <w:pPr>
        <w:rPr>
          <w:b/>
        </w:rPr>
      </w:pPr>
      <w:r w:rsidRPr="00CC5BC9">
        <w:rPr>
          <w:b/>
        </w:rPr>
        <w:t>Inflacija</w:t>
      </w:r>
      <w:r w:rsidR="008F5166">
        <w:rPr>
          <w:b/>
        </w:rPr>
        <w:t xml:space="preserve"> </w:t>
      </w:r>
    </w:p>
    <w:p w:rsidR="00973F4D" w:rsidRPr="00D41C59" w:rsidRDefault="00973F4D" w:rsidP="00973F4D">
      <w:pPr>
        <w:rPr>
          <w:rFonts w:ascii="Calibri" w:eastAsia="Calibri" w:hAnsi="Calibri" w:cs="Times New Roman"/>
          <w:sz w:val="20"/>
          <w:szCs w:val="20"/>
        </w:rPr>
      </w:pPr>
      <w:r w:rsidRPr="00D41C59">
        <w:rPr>
          <w:rFonts w:ascii="Calibri" w:eastAsia="Calibri" w:hAnsi="Calibri" w:cs="Times New Roman"/>
          <w:sz w:val="20"/>
          <w:szCs w:val="20"/>
        </w:rPr>
        <w:t>Godišnja stopa inflacije u maju 2016. iznosila je -1,0%, što je za 0,3 p.p više nego prethodnog mjeseca. Nivo inflacije dominantno su opredijelile cijene iz oblasti „hrana i bezalkoholna pića“</w:t>
      </w:r>
      <w:r w:rsidR="00C82F59">
        <w:rPr>
          <w:sz w:val="20"/>
          <w:szCs w:val="20"/>
        </w:rPr>
        <w:t xml:space="preserve"> (pad 1,6%, uticaj -0,55 p.p.)</w:t>
      </w:r>
      <w:r w:rsidRPr="00D41C59">
        <w:rPr>
          <w:rFonts w:ascii="Calibri" w:eastAsia="Calibri" w:hAnsi="Calibri" w:cs="Times New Roman"/>
          <w:sz w:val="20"/>
          <w:szCs w:val="20"/>
        </w:rPr>
        <w:t xml:space="preserve"> i “prevoz“</w:t>
      </w:r>
      <w:r w:rsidR="00C82F59">
        <w:rPr>
          <w:sz w:val="20"/>
          <w:szCs w:val="20"/>
        </w:rPr>
        <w:t xml:space="preserve"> (8,5%, uticaj -0,91 p.p.). </w:t>
      </w:r>
      <w:r w:rsidRPr="00D41C59">
        <w:rPr>
          <w:rFonts w:ascii="Calibri" w:eastAsia="Calibri" w:hAnsi="Calibri" w:cs="Times New Roman"/>
          <w:sz w:val="20"/>
          <w:szCs w:val="20"/>
        </w:rPr>
        <w:t xml:space="preserve">Cijene u ostalim oblastima su blago rasle, ali nedovoljno da kompenzuju pad u navedene dvije oblasti. Inflacija mjerena HICP-om u maju 2016. bilježi godišnji pad od 0,3%, dok su cijene proizvođača industrijskih proizvoda niže 0,2%. Pad bilježe cijene industrijskih proizvoda iz uvoza (1,8%) usljed pada cijena energije (11,0%), kao i cijene industrijskih proizvoda za izvoz (2,4%), usljed pada cijena osnovnih metala (6,2%). 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Zaposlenost i zarade</w:t>
      </w:r>
      <w:r w:rsidR="008F5166">
        <w:rPr>
          <w:b/>
        </w:rPr>
        <w:t xml:space="preserve"> </w:t>
      </w:r>
    </w:p>
    <w:p w:rsidR="00973F4D" w:rsidRPr="00295C6C" w:rsidRDefault="00973F4D" w:rsidP="00973F4D">
      <w:pPr>
        <w:rPr>
          <w:sz w:val="20"/>
          <w:szCs w:val="20"/>
        </w:rPr>
      </w:pPr>
      <w:r w:rsidRPr="00295C6C">
        <w:rPr>
          <w:sz w:val="20"/>
          <w:szCs w:val="20"/>
        </w:rPr>
        <w:t>Nastavlja se rast zaposlenosti i pad nezaposlenosti</w:t>
      </w:r>
      <w:r w:rsidR="00E256F4">
        <w:rPr>
          <w:sz w:val="20"/>
          <w:szCs w:val="20"/>
        </w:rPr>
        <w:t xml:space="preserve"> </w:t>
      </w:r>
      <w:r w:rsidRPr="00295C6C">
        <w:rPr>
          <w:sz w:val="20"/>
          <w:szCs w:val="20"/>
        </w:rPr>
        <w:t>u maju 2016. u odnosu na april 2016, na što</w:t>
      </w:r>
      <w:r w:rsidR="00C5597E">
        <w:rPr>
          <w:sz w:val="20"/>
          <w:szCs w:val="20"/>
        </w:rPr>
        <w:t xml:space="preserve"> ukazuje povećanje zaposlenosti </w:t>
      </w:r>
      <w:r w:rsidRPr="00295C6C">
        <w:rPr>
          <w:sz w:val="20"/>
          <w:szCs w:val="20"/>
        </w:rPr>
        <w:t xml:space="preserve">za 2,3% i smanjenje nezaposlenosti </w:t>
      </w:r>
      <w:r w:rsidR="00C82F59">
        <w:rPr>
          <w:sz w:val="20"/>
          <w:szCs w:val="20"/>
        </w:rPr>
        <w:t xml:space="preserve">od </w:t>
      </w:r>
      <w:r w:rsidR="00366CBB">
        <w:rPr>
          <w:sz w:val="20"/>
          <w:szCs w:val="20"/>
        </w:rPr>
        <w:t>0,6%. S</w:t>
      </w:r>
      <w:r w:rsidRPr="00295C6C">
        <w:rPr>
          <w:sz w:val="20"/>
          <w:szCs w:val="20"/>
        </w:rPr>
        <w:t xml:space="preserve">topa nezaposlenosti je iznosila 17,8%,  </w:t>
      </w:r>
      <w:r w:rsidR="00366CBB">
        <w:rPr>
          <w:sz w:val="20"/>
          <w:szCs w:val="20"/>
        </w:rPr>
        <w:t>što je</w:t>
      </w:r>
      <w:r w:rsidRPr="00295C6C">
        <w:rPr>
          <w:sz w:val="20"/>
          <w:szCs w:val="20"/>
        </w:rPr>
        <w:t xml:space="preserve"> za 0,1 p.p. manje nego u aprilu 2016.</w:t>
      </w:r>
      <w:r w:rsidR="00366CBB">
        <w:rPr>
          <w:sz w:val="20"/>
          <w:szCs w:val="20"/>
        </w:rPr>
        <w:t>, a 3,9 p.p. više u odnosu na maj 2015. godine.</w:t>
      </w:r>
      <w:r w:rsidRPr="00295C6C">
        <w:rPr>
          <w:sz w:val="20"/>
          <w:szCs w:val="20"/>
        </w:rPr>
        <w:t xml:space="preserve"> Prosječna zarada u maju 2016</w:t>
      </w:r>
      <w:r w:rsidR="00E256F4">
        <w:rPr>
          <w:sz w:val="20"/>
          <w:szCs w:val="20"/>
        </w:rPr>
        <w:t>.</w:t>
      </w:r>
      <w:r w:rsidRPr="00295C6C">
        <w:rPr>
          <w:sz w:val="20"/>
          <w:szCs w:val="20"/>
        </w:rPr>
        <w:t xml:space="preserve"> je iznosila 752€ i povećana je 0,1% u odnosu na </w:t>
      </w:r>
      <w:r w:rsidR="00E256F4">
        <w:rPr>
          <w:sz w:val="20"/>
          <w:szCs w:val="20"/>
        </w:rPr>
        <w:t>prethodni mjesec. P</w:t>
      </w:r>
      <w:r w:rsidRPr="00295C6C">
        <w:rPr>
          <w:sz w:val="20"/>
          <w:szCs w:val="20"/>
        </w:rPr>
        <w:t>rosječna neto zarada je iznosila 500€,</w:t>
      </w:r>
      <w:r w:rsidR="00E256F4">
        <w:rPr>
          <w:sz w:val="20"/>
          <w:szCs w:val="20"/>
        </w:rPr>
        <w:t xml:space="preserve"> što je povećanje</w:t>
      </w:r>
      <w:r w:rsidRPr="00295C6C">
        <w:rPr>
          <w:sz w:val="20"/>
          <w:szCs w:val="20"/>
        </w:rPr>
        <w:t xml:space="preserve"> </w:t>
      </w:r>
      <w:r w:rsidR="00E256F4">
        <w:rPr>
          <w:sz w:val="20"/>
          <w:szCs w:val="20"/>
        </w:rPr>
        <w:t xml:space="preserve">od 0,2%. </w:t>
      </w:r>
      <w:r w:rsidRPr="00295C6C">
        <w:rPr>
          <w:sz w:val="20"/>
          <w:szCs w:val="20"/>
        </w:rPr>
        <w:t xml:space="preserve">Realna neto zarada je u maju ostala na istom nivou kao prethodnog </w:t>
      </w:r>
      <w:r w:rsidR="00E256F4">
        <w:rPr>
          <w:sz w:val="20"/>
          <w:szCs w:val="20"/>
        </w:rPr>
        <w:t xml:space="preserve">mjeseca. 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Javne finansije</w:t>
      </w:r>
      <w:r w:rsidR="008F5166">
        <w:rPr>
          <w:b/>
        </w:rPr>
        <w:t xml:space="preserve"> </w:t>
      </w:r>
    </w:p>
    <w:p w:rsidR="00366CBB" w:rsidRDefault="00973F4D" w:rsidP="00B76CD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Prihodi budžeta u maju 2016. godine  naplaćeni  su u iznosu od 109,9 mil.€, i viši su 10,1% u odnosu na isti mjesec 2015.</w:t>
      </w:r>
      <w:r w:rsidR="00366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godine, i 0,7% u odnosu na plan. Najveći rast prihoda u odnosu na maj 2015. zabilježen je kod poreza na dobit  pravnih lica, carina </w:t>
      </w:r>
    </w:p>
    <w:p w:rsidR="00366CBB" w:rsidRDefault="00366CBB" w:rsidP="00B76CD6">
      <w:pPr>
        <w:rPr>
          <w:sz w:val="20"/>
          <w:szCs w:val="20"/>
          <w:lang w:val="en-US"/>
        </w:rPr>
      </w:pPr>
    </w:p>
    <w:p w:rsidR="003D7676" w:rsidRDefault="003D7676" w:rsidP="00B76CD6">
      <w:pPr>
        <w:rPr>
          <w:sz w:val="20"/>
          <w:szCs w:val="20"/>
          <w:lang w:val="en-US"/>
        </w:rPr>
      </w:pPr>
    </w:p>
    <w:p w:rsidR="00973F4D" w:rsidRDefault="00973F4D" w:rsidP="00B76CD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akciza i to 14,1%, 10,7% i  10,6% respektivno. Izdaci budžeta u maju 2016.</w:t>
      </w:r>
      <w:r w:rsidR="00366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godine iznosili su 135,1 mil.€, i viši su 19,% u odnosu na isti mjesec prethodne godine. U maju  2016. godine  zabilježen je gotovinski budžetski deficit od 25,1 mil.€.</w:t>
      </w:r>
    </w:p>
    <w:p w:rsidR="00B76CD6" w:rsidRDefault="008D0CF1" w:rsidP="00B76CD6">
      <w:pPr>
        <w:rPr>
          <w:b/>
        </w:rPr>
      </w:pPr>
      <w:r w:rsidRPr="00CC5BC9">
        <w:rPr>
          <w:b/>
        </w:rPr>
        <w:t>Monetarni sektor</w:t>
      </w:r>
      <w:r w:rsidR="008F5166">
        <w:rPr>
          <w:b/>
        </w:rPr>
        <w:t xml:space="preserve"> </w:t>
      </w:r>
    </w:p>
    <w:p w:rsidR="00142584" w:rsidRDefault="00A86BBF" w:rsidP="007B151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Ukupni depoziti su povećani za 0,5% u odnosu na prethodni mjesec, dok su na godišnjem nivou ostvarili rast od 10,4%. Na sektor stanovništva se odnosilo 1.446,5 mil.€ ili 55,1%, dok su depoziti privrede iznosili  834,7 mil.€ i činili su 31,8% ukupnih depozita. Kreditni plasmani banaka su zabilježili rast od 0,5% u odnosu na prethodni mjesec, dok su na godišnjem nivou smanjeni za 1,5%.</w:t>
      </w:r>
      <w:r w:rsidR="009743E5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Kretanje novoodobrenih kredita je bilo intenzivnije,</w:t>
      </w:r>
      <w:r w:rsidR="00487BE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tako da su za pet mjeseci ove godine iznosili 452,5</w:t>
      </w:r>
      <w:r w:rsidR="0014258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mil.€ i povećani su za 28,5% ili 100,3 mil.€ u odnosu na isti period prethodne godine</w:t>
      </w:r>
      <w:r w:rsidR="00142584">
        <w:rPr>
          <w:noProof/>
          <w:sz w:val="20"/>
          <w:szCs w:val="20"/>
        </w:rPr>
        <w:t xml:space="preserve">. </w:t>
      </w:r>
      <w:r>
        <w:rPr>
          <w:noProof/>
          <w:sz w:val="20"/>
          <w:szCs w:val="20"/>
        </w:rPr>
        <w:t>Uk</w:t>
      </w:r>
      <w:r w:rsidR="003E5678">
        <w:rPr>
          <w:noProof/>
          <w:sz w:val="20"/>
          <w:szCs w:val="20"/>
        </w:rPr>
        <w:t>upno izdvojena obavezna rezerva</w:t>
      </w:r>
      <w:r>
        <w:rPr>
          <w:noProof/>
          <w:sz w:val="20"/>
          <w:szCs w:val="20"/>
        </w:rPr>
        <w:t xml:space="preserve"> u maju je iznosila 243,6 mil.€, što predstavlja povećanje od 11,0%</w:t>
      </w:r>
      <w:r w:rsidR="00487BE0">
        <w:rPr>
          <w:noProof/>
          <w:sz w:val="20"/>
          <w:szCs w:val="20"/>
        </w:rPr>
        <w:t xml:space="preserve"> na godišnjem nivo.</w:t>
      </w:r>
      <w:r>
        <w:rPr>
          <w:noProof/>
          <w:sz w:val="20"/>
          <w:szCs w:val="20"/>
        </w:rPr>
        <w:t xml:space="preserve"> Nelikvidnost realnog sektora je i dalje izražena. Od 78.864 pravna lica i preduzetnika, u blokadi je bilo 15.223 ili 19,3</w:t>
      </w:r>
      <w:r w:rsidR="00487BE0">
        <w:rPr>
          <w:noProof/>
          <w:sz w:val="20"/>
          <w:szCs w:val="20"/>
        </w:rPr>
        <w:t xml:space="preserve">%. 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Spoljnotrgovinska razmjena</w:t>
      </w:r>
      <w:r w:rsidR="008F5166">
        <w:rPr>
          <w:b/>
        </w:rPr>
        <w:t xml:space="preserve"> </w:t>
      </w:r>
    </w:p>
    <w:p w:rsidR="00A86BBF" w:rsidRPr="00D20FC9" w:rsidRDefault="00A86BBF" w:rsidP="00A86BBF">
      <w:pPr>
        <w:rPr>
          <w:rFonts w:cstheme="minorHAnsi"/>
          <w:sz w:val="20"/>
          <w:szCs w:val="20"/>
        </w:rPr>
      </w:pPr>
      <w:r w:rsidRPr="00A86BBF">
        <w:rPr>
          <w:rFonts w:cstheme="minorHAnsi"/>
          <w:sz w:val="20"/>
          <w:szCs w:val="20"/>
        </w:rPr>
        <w:t>Spoljnotrgovinsku razmjenu  u periodu januar – maj 2016. karakteriše porast izvoza i uvoza podstaknut izvozom obojenih metala  i uvozom mašina i proizvoda od metala za kapitalne investicije.</w:t>
      </w:r>
      <w:r w:rsidRPr="00D20FC9">
        <w:rPr>
          <w:rFonts w:cstheme="minorHAnsi"/>
          <w:b/>
          <w:sz w:val="20"/>
          <w:szCs w:val="20"/>
        </w:rPr>
        <w:t xml:space="preserve">   </w:t>
      </w:r>
      <w:r w:rsidRPr="00D20FC9">
        <w:rPr>
          <w:rFonts w:cstheme="minorHAnsi"/>
          <w:sz w:val="20"/>
          <w:szCs w:val="20"/>
        </w:rPr>
        <w:t>Deficit  je porastao za 18,7% i iznosi</w:t>
      </w:r>
      <w:r w:rsidR="00487BE0">
        <w:rPr>
          <w:rFonts w:cstheme="minorHAnsi"/>
          <w:sz w:val="20"/>
          <w:szCs w:val="20"/>
        </w:rPr>
        <w:t xml:space="preserve"> </w:t>
      </w:r>
      <w:r w:rsidRPr="00D20FC9">
        <w:rPr>
          <w:rFonts w:cstheme="minorHAnsi"/>
          <w:sz w:val="20"/>
          <w:szCs w:val="20"/>
        </w:rPr>
        <w:t>660,2</w:t>
      </w:r>
      <w:r w:rsidR="00487BE0">
        <w:rPr>
          <w:rFonts w:cstheme="minorHAnsi"/>
          <w:sz w:val="20"/>
          <w:szCs w:val="20"/>
        </w:rPr>
        <w:t xml:space="preserve"> </w:t>
      </w:r>
      <w:r w:rsidRPr="00D20FC9">
        <w:rPr>
          <w:rFonts w:cstheme="minorHAnsi"/>
          <w:sz w:val="20"/>
          <w:szCs w:val="20"/>
        </w:rPr>
        <w:t>mil.€, uz veću stopu rasta i nominalno iskazanu veličinu uvoza. Izvoz roba iznosi 115,2 mil.€, dok je uvoz 775,4 mil.€, što je za 6,0% i 16,6% veće, respektivno.</w:t>
      </w:r>
      <w:r w:rsidRPr="00D20FC9">
        <w:rPr>
          <w:rFonts w:cstheme="minorHAnsi"/>
          <w:b/>
          <w:sz w:val="20"/>
          <w:szCs w:val="20"/>
        </w:rPr>
        <w:t xml:space="preserve"> </w:t>
      </w:r>
      <w:r w:rsidRPr="00D20FC9">
        <w:rPr>
          <w:rFonts w:cstheme="minorHAnsi"/>
          <w:sz w:val="20"/>
          <w:szCs w:val="20"/>
        </w:rPr>
        <w:t>Izvoz aluminijum</w:t>
      </w:r>
      <w:r w:rsidR="00945923">
        <w:rPr>
          <w:rFonts w:cstheme="minorHAnsi"/>
          <w:sz w:val="20"/>
          <w:szCs w:val="20"/>
        </w:rPr>
        <w:t xml:space="preserve">a, </w:t>
      </w:r>
      <w:r w:rsidRPr="00D20FC9">
        <w:rPr>
          <w:rFonts w:cstheme="minorHAnsi"/>
          <w:sz w:val="20"/>
          <w:szCs w:val="20"/>
        </w:rPr>
        <w:t xml:space="preserve">vrijednosno najznačajnije  komponente,  iznosi 29,9 mil.€. i </w:t>
      </w:r>
      <w:r w:rsidR="00487BE0">
        <w:rPr>
          <w:rFonts w:cstheme="minorHAnsi"/>
          <w:sz w:val="20"/>
          <w:szCs w:val="20"/>
        </w:rPr>
        <w:t xml:space="preserve">bilježi rast za 7,9 mil.€. ili </w:t>
      </w:r>
      <w:r w:rsidRPr="00D20FC9">
        <w:rPr>
          <w:rFonts w:cstheme="minorHAnsi"/>
          <w:sz w:val="20"/>
          <w:szCs w:val="20"/>
        </w:rPr>
        <w:t>135,7%.</w:t>
      </w:r>
      <w:r w:rsidRPr="00D20FC9">
        <w:rPr>
          <w:rFonts w:cstheme="minorHAnsi"/>
          <w:b/>
          <w:sz w:val="20"/>
          <w:szCs w:val="20"/>
        </w:rPr>
        <w:t xml:space="preserve"> </w:t>
      </w:r>
      <w:r w:rsidRPr="00D20FC9">
        <w:rPr>
          <w:rFonts w:cstheme="minorHAnsi"/>
          <w:sz w:val="20"/>
          <w:szCs w:val="20"/>
        </w:rPr>
        <w:t xml:space="preserve"> Uvoz mašina i transportnih uređaja  je na godišnjem nivou porastao sa 140,5 mil.€ na 231,8 mil.€, od čega je vrijednost</w:t>
      </w:r>
      <w:r w:rsidRPr="00D20FC9">
        <w:rPr>
          <w:rFonts w:cstheme="minorHAnsi"/>
          <w:b/>
          <w:sz w:val="20"/>
          <w:szCs w:val="20"/>
        </w:rPr>
        <w:t xml:space="preserve">  </w:t>
      </w:r>
      <w:r w:rsidRPr="00D20FC9">
        <w:rPr>
          <w:rFonts w:cstheme="minorHAnsi"/>
          <w:sz w:val="20"/>
          <w:szCs w:val="20"/>
        </w:rPr>
        <w:t>uvoza pogonskih mašina i uređaja porasla sa 2,7 mil.€ na 39,6</w:t>
      </w:r>
      <w:r w:rsidR="00487BE0">
        <w:rPr>
          <w:rFonts w:cstheme="minorHAnsi"/>
          <w:sz w:val="20"/>
          <w:szCs w:val="20"/>
        </w:rPr>
        <w:t xml:space="preserve"> </w:t>
      </w:r>
      <w:r w:rsidRPr="00D20FC9">
        <w:rPr>
          <w:rFonts w:cstheme="minorHAnsi"/>
          <w:sz w:val="20"/>
          <w:szCs w:val="20"/>
        </w:rPr>
        <w:t xml:space="preserve">mil.€. (index preko 300). </w:t>
      </w:r>
    </w:p>
    <w:p w:rsidR="00DA0835" w:rsidRDefault="008D0CF1" w:rsidP="007B151B">
      <w:pPr>
        <w:rPr>
          <w:b/>
          <w:noProof/>
        </w:rPr>
      </w:pPr>
      <w:r w:rsidRPr="00CC5BC9">
        <w:rPr>
          <w:b/>
          <w:noProof/>
        </w:rPr>
        <w:t>Strane direktne investicije</w:t>
      </w:r>
      <w:r w:rsidR="008F5166">
        <w:rPr>
          <w:b/>
          <w:noProof/>
        </w:rPr>
        <w:t xml:space="preserve"> </w:t>
      </w:r>
    </w:p>
    <w:p w:rsidR="00A86BBF" w:rsidRPr="00D20FC9" w:rsidRDefault="00A86BBF" w:rsidP="00A86BBF">
      <w:pPr>
        <w:rPr>
          <w:rFonts w:ascii="Calibri" w:eastAsia="Times New Roman" w:hAnsi="Calibri" w:cs="Times New Roman"/>
          <w:sz w:val="20"/>
          <w:szCs w:val="20"/>
        </w:rPr>
      </w:pPr>
      <w:r w:rsidRPr="00487BE0">
        <w:rPr>
          <w:rFonts w:ascii="Calibri" w:eastAsia="Times New Roman" w:hAnsi="Calibri" w:cs="Times New Roman"/>
          <w:sz w:val="20"/>
          <w:szCs w:val="20"/>
        </w:rPr>
        <w:t xml:space="preserve">Prema preliminarnim podacima CBCG, u periodu januar-april 2016. godine, neto priliv </w:t>
      </w:r>
      <w:r w:rsidR="00142584">
        <w:rPr>
          <w:rFonts w:ascii="Calibri" w:eastAsia="Times New Roman" w:hAnsi="Calibri" w:cs="Times New Roman"/>
          <w:sz w:val="20"/>
          <w:szCs w:val="20"/>
        </w:rPr>
        <w:t>SDI</w:t>
      </w:r>
      <w:r w:rsidRPr="00487BE0">
        <w:rPr>
          <w:rFonts w:ascii="Calibri" w:eastAsia="Times New Roman" w:hAnsi="Calibri" w:cs="Times New Roman"/>
          <w:sz w:val="20"/>
          <w:szCs w:val="20"/>
        </w:rPr>
        <w:t xml:space="preserve"> iznosio je 26,5 mil.€, što je za 76% manje nego u uporednom periodu 2015 (110,5</w:t>
      </w:r>
      <w:r w:rsidR="00142584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487BE0">
        <w:rPr>
          <w:rFonts w:ascii="Calibri" w:eastAsia="Times New Roman" w:hAnsi="Calibri" w:cs="Times New Roman"/>
          <w:sz w:val="20"/>
          <w:szCs w:val="20"/>
        </w:rPr>
        <w:t>mil.€).</w:t>
      </w:r>
      <w:r w:rsidR="00487BE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487BE0">
        <w:rPr>
          <w:rFonts w:ascii="Calibri" w:eastAsia="Times New Roman" w:hAnsi="Calibri" w:cs="Times New Roman"/>
          <w:sz w:val="20"/>
          <w:szCs w:val="20"/>
        </w:rPr>
        <w:t>Ukupan</w:t>
      </w:r>
      <w:r w:rsidRPr="00D20FC9">
        <w:rPr>
          <w:rFonts w:ascii="Calibri" w:eastAsia="Times New Roman" w:hAnsi="Calibri" w:cs="Times New Roman"/>
          <w:sz w:val="20"/>
          <w:szCs w:val="20"/>
        </w:rPr>
        <w:t xml:space="preserve"> priliv stranih direktnih investicija iznosio je 249,1 mil</w:t>
      </w:r>
      <w:r w:rsidR="00142584">
        <w:rPr>
          <w:rFonts w:ascii="Calibri" w:eastAsia="Times New Roman" w:hAnsi="Calibri" w:cs="Times New Roman"/>
          <w:sz w:val="20"/>
          <w:szCs w:val="20"/>
        </w:rPr>
        <w:t xml:space="preserve">.€, ili 84,8% više nego u 2015 (134,8 mil.€). </w:t>
      </w:r>
      <w:r w:rsidRPr="00D20FC9">
        <w:rPr>
          <w:rFonts w:ascii="Calibri" w:eastAsia="Times New Roman" w:hAnsi="Calibri" w:cs="Times New Roman"/>
          <w:sz w:val="20"/>
          <w:szCs w:val="20"/>
        </w:rPr>
        <w:t>Ukupan odliv SDI u period januar-april 2016. iznosio je 222,6 mil.€, što je za preko devet puta više</w:t>
      </w:r>
      <w:r w:rsidR="003D7676">
        <w:rPr>
          <w:rFonts w:ascii="Calibri" w:eastAsia="Times New Roman" w:hAnsi="Calibri" w:cs="Times New Roman"/>
          <w:sz w:val="20"/>
          <w:szCs w:val="20"/>
        </w:rPr>
        <w:t xml:space="preserve"> nego u uporednom periodu 2015 (24,3 mil.€).</w:t>
      </w:r>
      <w:r w:rsidRPr="00D20FC9">
        <w:rPr>
          <w:rFonts w:ascii="Calibri" w:eastAsia="Times New Roman" w:hAnsi="Calibri" w:cs="Times New Roman"/>
          <w:sz w:val="20"/>
          <w:szCs w:val="20"/>
        </w:rPr>
        <w:t xml:space="preserve"> Najveći dio se odnosi na povlačenja sredstava nerezidenata investiranih u našu zemlju u iznosu od 215,8 mil.€, ili oko 97%.</w:t>
      </w:r>
    </w:p>
    <w:p w:rsidR="00B171C8" w:rsidRDefault="0058031A" w:rsidP="007B151B">
      <w:pPr>
        <w:spacing w:line="276" w:lineRule="auto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3169285</wp:posOffset>
            </wp:positionH>
            <wp:positionV relativeFrom="margin">
              <wp:posOffset>153670</wp:posOffset>
            </wp:positionV>
            <wp:extent cx="2621280" cy="2072640"/>
            <wp:effectExtent l="19050" t="0" r="0" b="0"/>
            <wp:wrapSquare wrapText="bothSides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B901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-107315</wp:posOffset>
                </wp:positionV>
                <wp:extent cx="2144395" cy="368300"/>
                <wp:effectExtent l="0" t="0" r="317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BC9" w:rsidRPr="007D3C8A" w:rsidRDefault="00CC5BC9" w:rsidP="00CC5BC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7D3C8A">
                              <w:t xml:space="preserve">Grafik </w:t>
                            </w:r>
                            <w:r w:rsidR="00B171C8" w:rsidRPr="007D3C8A">
                              <w:t>1</w:t>
                            </w:r>
                            <w:r w:rsidR="00957B61" w:rsidRPr="007D3C8A">
                              <w:t xml:space="preserve"> </w:t>
                            </w:r>
                            <w:r w:rsidR="00D12CE1">
                              <w:t>Promet u trgovini na veliko u 2015</w:t>
                            </w:r>
                            <w:r w:rsidR="00B637E9">
                              <w:t>, učešće</w:t>
                            </w:r>
                            <w:r w:rsidR="0083533D">
                              <w:t>,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35pt;margin-top:-8.45pt;width:168.8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" stroked="f">
                <v:textbox inset="0,0,0,0">
                  <w:txbxContent>
                    <w:p w:rsidR="00CC5BC9" w:rsidRPr="007D3C8A" w:rsidRDefault="00CC5BC9" w:rsidP="00CC5BC9">
                      <w:pPr>
                        <w:pStyle w:val="Caption"/>
                        <w:rPr>
                          <w:noProof/>
                        </w:rPr>
                      </w:pPr>
                      <w:r w:rsidRPr="007D3C8A">
                        <w:t xml:space="preserve">Grafik </w:t>
                      </w:r>
                      <w:r w:rsidR="00B171C8" w:rsidRPr="007D3C8A">
                        <w:t>1</w:t>
                      </w:r>
                      <w:r w:rsidR="00957B61" w:rsidRPr="007D3C8A">
                        <w:t xml:space="preserve"> </w:t>
                      </w:r>
                      <w:r w:rsidR="00D12CE1">
                        <w:t>Promet u trgovini na veliko u 2015</w:t>
                      </w:r>
                      <w:r w:rsidR="00B637E9">
                        <w:t>, učešće</w:t>
                      </w:r>
                      <w:r w:rsidR="0083533D">
                        <w:t>, %</w:t>
                      </w:r>
                    </w:p>
                  </w:txbxContent>
                </v:textbox>
              </v:shape>
            </w:pict>
          </mc:Fallback>
        </mc:AlternateContent>
      </w:r>
      <w:r w:rsidR="00B65804"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197485</wp:posOffset>
            </wp:positionV>
            <wp:extent cx="2728595" cy="2028825"/>
            <wp:effectExtent l="0" t="0" r="0" b="0"/>
            <wp:wrapSquare wrapText="bothSides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901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-107315</wp:posOffset>
                </wp:positionV>
                <wp:extent cx="2446655" cy="173990"/>
                <wp:effectExtent l="0" t="0" r="190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BC9" w:rsidRPr="006F47A8" w:rsidRDefault="00CC5BC9" w:rsidP="00CC5BC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Grafik </w:t>
                            </w:r>
                            <w:r w:rsidR="00B171C8">
                              <w:t>2</w:t>
                            </w:r>
                            <w:r>
                              <w:t xml:space="preserve"> </w:t>
                            </w:r>
                            <w:r w:rsidR="00F71E4F">
                              <w:t>Inflacija</w:t>
                            </w:r>
                            <w:r w:rsidR="00957B61">
                              <w:t>,</w:t>
                            </w:r>
                            <w:r w:rsidR="00F71E4F">
                              <w:t xml:space="preserve"> </w:t>
                            </w:r>
                            <w:r w:rsidR="00DB0048">
                              <w:t>stope rasta</w:t>
                            </w:r>
                            <w:r w:rsidR="00957B61">
                              <w:t>,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9.95pt;margin-top:-8.45pt;width:192.6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" stroked="f">
                <v:textbox inset="0,0,0,0">
                  <w:txbxContent>
                    <w:p w:rsidR="00CC5BC9" w:rsidRPr="006F47A8" w:rsidRDefault="00CC5BC9" w:rsidP="00CC5BC9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Grafik </w:t>
                      </w:r>
                      <w:r w:rsidR="00B171C8">
                        <w:t>2</w:t>
                      </w:r>
                      <w:r>
                        <w:t xml:space="preserve"> </w:t>
                      </w:r>
                      <w:r w:rsidR="00F71E4F">
                        <w:t>Inflacija</w:t>
                      </w:r>
                      <w:r w:rsidR="00957B61">
                        <w:t>,</w:t>
                      </w:r>
                      <w:r w:rsidR="00F71E4F">
                        <w:t xml:space="preserve"> </w:t>
                      </w:r>
                      <w:r w:rsidR="00DB0048">
                        <w:t>stope rasta</w:t>
                      </w:r>
                      <w:r w:rsidR="00957B61">
                        <w:t>, %</w:t>
                      </w:r>
                    </w:p>
                  </w:txbxContent>
                </v:textbox>
              </v:shape>
            </w:pict>
          </mc:Fallback>
        </mc:AlternateContent>
      </w: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61980" w:rsidRDefault="00F61980" w:rsidP="00B171C8"/>
    <w:p w:rsidR="00F71E4F" w:rsidRDefault="00B901C2" w:rsidP="00B171C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41910</wp:posOffset>
                </wp:positionV>
                <wp:extent cx="2580640" cy="342265"/>
                <wp:effectExtent l="3810" t="381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6FF" w:rsidRPr="009D06FF" w:rsidRDefault="009D06FF" w:rsidP="009D06FF">
                            <w:pPr>
                              <w:pStyle w:val="Caption"/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 w:rsidRPr="009D06FF">
                              <w:rPr>
                                <w:i/>
                                <w:sz w:val="20"/>
                                <w:szCs w:val="20"/>
                              </w:rPr>
                              <w:t>...</w:t>
                            </w:r>
                            <w:r w:rsidR="00815D6D">
                              <w:rPr>
                                <w:i/>
                              </w:rPr>
                              <w:t>nastavlja se trend pada potrošačkih cijena</w:t>
                            </w:r>
                            <w:r w:rsidR="00DB0048">
                              <w:rPr>
                                <w:i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52.3pt;margin-top:3.3pt;width:203.2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" stroked="f">
                <v:textbox inset="0,0,0,0">
                  <w:txbxContent>
                    <w:p w:rsidR="009D06FF" w:rsidRPr="009D06FF" w:rsidRDefault="009D06FF" w:rsidP="009D06FF">
                      <w:pPr>
                        <w:pStyle w:val="Caption"/>
                        <w:rPr>
                          <w:i/>
                          <w:noProof/>
                          <w:sz w:val="20"/>
                          <w:szCs w:val="20"/>
                        </w:rPr>
                      </w:pPr>
                      <w:r w:rsidRPr="009D06FF">
                        <w:rPr>
                          <w:i/>
                          <w:sz w:val="20"/>
                          <w:szCs w:val="20"/>
                        </w:rPr>
                        <w:t>...</w:t>
                      </w:r>
                      <w:r w:rsidR="00815D6D">
                        <w:rPr>
                          <w:i/>
                        </w:rPr>
                        <w:t>nastavlja se trend pada potrošačkih cijena</w:t>
                      </w:r>
                      <w:r w:rsidR="00DB0048">
                        <w:rPr>
                          <w:i/>
                          <w:sz w:val="20"/>
                          <w:szCs w:val="2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41910</wp:posOffset>
                </wp:positionV>
                <wp:extent cx="2342515" cy="282575"/>
                <wp:effectExtent l="0" t="381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6FF" w:rsidRPr="00F61980" w:rsidRDefault="009D06FF" w:rsidP="009D06FF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F61980">
                              <w:t>...</w:t>
                            </w:r>
                            <w:r w:rsidR="0073775D" w:rsidRPr="001A1F6C">
                              <w:rPr>
                                <w:i/>
                              </w:rPr>
                              <w:t>Robna grupa iz oblasti prehrane bilježi najveće učešće...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36.35pt;margin-top:3.3pt;width:184.45pt;height:2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Jg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" stroked="f">
                <v:textbox inset="0,0,0,0">
                  <w:txbxContent>
                    <w:p w:rsidR="009D06FF" w:rsidRPr="00F61980" w:rsidRDefault="009D06FF" w:rsidP="009D06FF">
                      <w:pPr>
                        <w:pStyle w:val="Caption"/>
                        <w:rPr>
                          <w:noProof/>
                        </w:rPr>
                      </w:pPr>
                      <w:r w:rsidRPr="00F61980">
                        <w:t>...</w:t>
                      </w:r>
                      <w:r w:rsidR="0073775D" w:rsidRPr="001A1F6C">
                        <w:rPr>
                          <w:i/>
                        </w:rPr>
                        <w:t>Robna grupa iz oblasti prehrane bilježi najveće učešće...</w:t>
                      </w:r>
                    </w:p>
                  </w:txbxContent>
                </v:textbox>
              </v:shape>
            </w:pict>
          </mc:Fallback>
        </mc:AlternateContent>
      </w:r>
    </w:p>
    <w:p w:rsidR="00B171C8" w:rsidRPr="00B171C8" w:rsidRDefault="00B171C8" w:rsidP="00B171C8"/>
    <w:p w:rsidR="006B2901" w:rsidRPr="00B171C8" w:rsidRDefault="006B2901" w:rsidP="00B171C8"/>
    <w:p w:rsidR="00E8072F" w:rsidRDefault="00B901C2" w:rsidP="00B312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7620</wp:posOffset>
                </wp:positionV>
                <wp:extent cx="2384425" cy="130810"/>
                <wp:effectExtent l="4445" t="0" r="1905" b="444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C8" w:rsidRPr="00575CC7" w:rsidRDefault="00957B61" w:rsidP="00B171C8">
                            <w:pPr>
                              <w:pStyle w:val="Caption"/>
                            </w:pPr>
                            <w:r>
                              <w:t xml:space="preserve">Grafik 4 Kretanje </w:t>
                            </w:r>
                            <w:r w:rsidR="0058031A">
                              <w:t>PDV-a u 2015. i 2016.</w:t>
                            </w:r>
                            <w:r>
                              <w:t>, u mil.€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74.85pt;margin-top:.6pt;width:187.75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" stroked="f">
                <v:textbox inset="0,0,0,0">
                  <w:txbxContent>
                    <w:p w:rsidR="00B171C8" w:rsidRPr="00575CC7" w:rsidRDefault="00957B61" w:rsidP="00B171C8">
                      <w:pPr>
                        <w:pStyle w:val="Caption"/>
                      </w:pPr>
                      <w:r>
                        <w:t xml:space="preserve">Grafik 4 Kretanje </w:t>
                      </w:r>
                      <w:r w:rsidR="0058031A">
                        <w:t>PDV-a u 2015. i 2016.</w:t>
                      </w:r>
                      <w:r>
                        <w:t>, u mil.€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51435</wp:posOffset>
                </wp:positionV>
                <wp:extent cx="2446655" cy="130810"/>
                <wp:effectExtent l="0" t="381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C8" w:rsidRPr="00CB21C8" w:rsidRDefault="00B171C8" w:rsidP="00B171C8">
                            <w:pPr>
                              <w:pStyle w:val="Caption"/>
                            </w:pPr>
                            <w:r>
                              <w:t xml:space="preserve">Grafik 3 </w:t>
                            </w:r>
                            <w:r w:rsidR="009150CA">
                              <w:t>Broj zaposlenih i broj nezaposlenih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37.05pt;margin-top:4.05pt;width:192.65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    <v:textbox inset="0,0,0,0">
                  <w:txbxContent>
                    <w:p w:rsidR="00B171C8" w:rsidRPr="00CB21C8" w:rsidRDefault="00B171C8" w:rsidP="00B171C8">
                      <w:pPr>
                        <w:pStyle w:val="Caption"/>
                      </w:pPr>
                      <w:r>
                        <w:t xml:space="preserve">Grafik 3 </w:t>
                      </w:r>
                      <w:r w:rsidR="009150CA">
                        <w:t>Broj zaposlenih i broj nezaposlenih</w:t>
                      </w:r>
                    </w:p>
                  </w:txbxContent>
                </v:textbox>
              </v:shape>
            </w:pict>
          </mc:Fallback>
        </mc:AlternateContent>
      </w:r>
    </w:p>
    <w:p w:rsidR="00F61980" w:rsidRDefault="00F61980" w:rsidP="00B312F3"/>
    <w:p w:rsidR="00400FB4" w:rsidRDefault="009150CA" w:rsidP="00B312F3">
      <w:r>
        <w:rPr>
          <w:noProof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32385</wp:posOffset>
            </wp:positionV>
            <wp:extent cx="2777490" cy="1854835"/>
            <wp:effectExtent l="0" t="0" r="0" b="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8031A">
        <w:rPr>
          <w:noProof/>
          <w:lang w:val="en-U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3239135</wp:posOffset>
            </wp:positionH>
            <wp:positionV relativeFrom="paragraph">
              <wp:posOffset>32385</wp:posOffset>
            </wp:positionV>
            <wp:extent cx="2777490" cy="1871980"/>
            <wp:effectExtent l="0" t="0" r="0" b="0"/>
            <wp:wrapSquare wrapText="bothSides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D116C2" w:rsidRDefault="00B901C2" w:rsidP="00B312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54610</wp:posOffset>
                </wp:positionV>
                <wp:extent cx="2448560" cy="405765"/>
                <wp:effectExtent l="254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94E" w:rsidRPr="00590347" w:rsidRDefault="007E794E" w:rsidP="007E794E">
                            <w:pPr>
                              <w:pStyle w:val="Caption"/>
                              <w:rPr>
                                <w:i/>
                                <w:noProof/>
                              </w:rPr>
                            </w:pPr>
                            <w:r w:rsidRPr="00590347">
                              <w:rPr>
                                <w:i/>
                              </w:rPr>
                              <w:t xml:space="preserve">... </w:t>
                            </w:r>
                            <w:r w:rsidR="007A3610">
                              <w:rPr>
                                <w:i/>
                              </w:rPr>
                              <w:t>naplata PDV-a u maju viša za 5,34% u odnosu na plan</w:t>
                            </w:r>
                            <w:r w:rsidR="001C5A36" w:rsidRPr="00590347">
                              <w:rPr>
                                <w:i/>
                              </w:rPr>
                              <w:t xml:space="preserve"> </w:t>
                            </w:r>
                            <w:r w:rsidR="00660B0E" w:rsidRPr="00590347">
                              <w:rPr>
                                <w:i/>
                              </w:rPr>
                              <w:t xml:space="preserve">...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62.7pt;margin-top:4.3pt;width:192.8pt;height:3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" stroked="f">
                <v:textbox style="mso-fit-shape-to-text:t" inset="0,0,0,0">
                  <w:txbxContent>
                    <w:p w:rsidR="007E794E" w:rsidRPr="00590347" w:rsidRDefault="007E794E" w:rsidP="007E794E">
                      <w:pPr>
                        <w:pStyle w:val="Caption"/>
                        <w:rPr>
                          <w:i/>
                          <w:noProof/>
                        </w:rPr>
                      </w:pPr>
                      <w:r w:rsidRPr="00590347">
                        <w:rPr>
                          <w:i/>
                        </w:rPr>
                        <w:t xml:space="preserve">... </w:t>
                      </w:r>
                      <w:r w:rsidR="007A3610">
                        <w:rPr>
                          <w:i/>
                        </w:rPr>
                        <w:t>naplata PDV-a u maju viša za 5,34% u odnosu na plan</w:t>
                      </w:r>
                      <w:r w:rsidR="001C5A36" w:rsidRPr="00590347">
                        <w:rPr>
                          <w:i/>
                        </w:rPr>
                        <w:t xml:space="preserve"> </w:t>
                      </w:r>
                      <w:r w:rsidR="00660B0E" w:rsidRPr="00590347">
                        <w:rPr>
                          <w:i/>
                        </w:rPr>
                        <w:t xml:space="preserve">...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54610</wp:posOffset>
                </wp:positionV>
                <wp:extent cx="2551430" cy="348615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F47" w:rsidRPr="00590347" w:rsidRDefault="009150CA" w:rsidP="00203F47">
                            <w:pPr>
                              <w:pStyle w:val="Caption"/>
                              <w:rPr>
                                <w:i/>
                                <w:noProof/>
                              </w:rPr>
                            </w:pPr>
                            <w:r>
                              <w:rPr>
                                <w:i/>
                                <w:noProof/>
                              </w:rPr>
                              <w:t>...</w:t>
                            </w:r>
                            <w:r w:rsidR="00630B19">
                              <w:rPr>
                                <w:i/>
                                <w:noProof/>
                              </w:rPr>
                              <w:t>broj nezaposlenih u maju 2016. u odnosu na april 2016. manji 0,</w:t>
                            </w:r>
                            <w:r w:rsidR="00716398">
                              <w:rPr>
                                <w:i/>
                                <w:noProof/>
                              </w:rPr>
                              <w:t>6%, a broj zaposlenih veći 2,3%...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-45.3pt;margin-top:4.3pt;width:200.9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9kfgIAAAg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CJf79kfgIA&#10;AAgFAAAOAAAAAAAAAAAAAAAAAC4CAABkcnMvZTJvRG9jLnhtbFBLAQItABQABgAIAAAAIQAhamn/&#10;3wAAAAgBAAAPAAAAAAAAAAAAAAAAANgEAABkcnMvZG93bnJldi54bWxQSwUGAAAAAAQABADzAAAA&#10;5AUAAAAA&#10;" stroked="f">
                <v:textbox inset="0,0,0,0">
                  <w:txbxContent>
                    <w:p w:rsidR="00203F47" w:rsidRPr="00590347" w:rsidRDefault="009150CA" w:rsidP="00203F47">
                      <w:pPr>
                        <w:pStyle w:val="Caption"/>
                        <w:rPr>
                          <w:i/>
                          <w:noProof/>
                        </w:rPr>
                      </w:pPr>
                      <w:r>
                        <w:rPr>
                          <w:i/>
                          <w:noProof/>
                        </w:rPr>
                        <w:t>...</w:t>
                      </w:r>
                      <w:r w:rsidR="00630B19">
                        <w:rPr>
                          <w:i/>
                          <w:noProof/>
                        </w:rPr>
                        <w:t>broj nezaposlenih u maju 2016. u odnosu na april 2016. manji 0,</w:t>
                      </w:r>
                      <w:r w:rsidR="00716398">
                        <w:rPr>
                          <w:i/>
                          <w:noProof/>
                        </w:rPr>
                        <w:t>6%, a broj zaposlenih veći 2,3%...</w:t>
                      </w:r>
                    </w:p>
                  </w:txbxContent>
                </v:textbox>
              </v:shape>
            </w:pict>
          </mc:Fallback>
        </mc:AlternateContent>
      </w:r>
    </w:p>
    <w:p w:rsidR="00D116C2" w:rsidRDefault="00D116C2" w:rsidP="00B312F3"/>
    <w:p w:rsidR="00865E5F" w:rsidRDefault="00865E5F" w:rsidP="00B312F3"/>
    <w:p w:rsidR="00865E5F" w:rsidRDefault="00865E5F" w:rsidP="00B312F3"/>
    <w:p w:rsidR="00B312F3" w:rsidRDefault="00B901C2" w:rsidP="00B312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73660</wp:posOffset>
                </wp:positionV>
                <wp:extent cx="2455545" cy="218440"/>
                <wp:effectExtent l="4445" t="0" r="0" b="317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C7D" w:rsidRPr="00383BE7" w:rsidRDefault="008E2C7D" w:rsidP="008E2C7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Grafik 6 </w:t>
                            </w:r>
                            <w:r w:rsidR="005737CB">
                              <w:t>Uvoz pojedinih kategorija roba</w:t>
                            </w:r>
                            <w:r w:rsidR="00660B0E">
                              <w:t xml:space="preserve">, </w:t>
                            </w:r>
                            <w:r w:rsidR="005737CB">
                              <w:t>u hilj.€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74.85pt;margin-top:5.8pt;width:193.35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    <v:textbox inset="0,0,0,0">
                  <w:txbxContent>
                    <w:p w:rsidR="008E2C7D" w:rsidRPr="00383BE7" w:rsidRDefault="008E2C7D" w:rsidP="008E2C7D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Grafik 6 </w:t>
                      </w:r>
                      <w:r w:rsidR="005737CB">
                        <w:t>Uvoz pojedinih kategorija roba</w:t>
                      </w:r>
                      <w:r w:rsidR="00660B0E">
                        <w:t xml:space="preserve">, </w:t>
                      </w:r>
                      <w:r w:rsidR="005737CB">
                        <w:t>u hilj.€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73660</wp:posOffset>
                </wp:positionV>
                <wp:extent cx="2899410" cy="17462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C7D" w:rsidRPr="000600DC" w:rsidRDefault="008E2C7D" w:rsidP="008E2C7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Grafik 5 </w:t>
                            </w:r>
                            <w:r w:rsidR="0022033B">
                              <w:t>Izdvojena obavezna rezerva i ukupni depoziti,</w:t>
                            </w:r>
                            <w:r w:rsidR="00832B68">
                              <w:t xml:space="preserve">u </w:t>
                            </w:r>
                            <w:r w:rsidR="0022033B">
                              <w:t>mil</w:t>
                            </w:r>
                            <w:r w:rsidR="00832B68">
                              <w:t>.€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-45.3pt;margin-top:5.8pt;width:228.3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Bd4bVKfAIAAAcF&#10;AAAOAAAAAAAAAAAAAAAAAC4CAABkcnMvZTJvRG9jLnhtbFBLAQItABQABgAIAAAAIQBVkNyr3gAA&#10;AAkBAAAPAAAAAAAAAAAAAAAAANYEAABkcnMvZG93bnJldi54bWxQSwUGAAAAAAQABADzAAAA4QUA&#10;AAAA&#10;" stroked="f">
                <v:textbox inset="0,0,0,0">
                  <w:txbxContent>
                    <w:p w:rsidR="008E2C7D" w:rsidRPr="000600DC" w:rsidRDefault="008E2C7D" w:rsidP="008E2C7D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Grafik 5 </w:t>
                      </w:r>
                      <w:r w:rsidR="0022033B">
                        <w:t>Izdvojena obavezna rezerva i ukupni depoziti,</w:t>
                      </w:r>
                      <w:r w:rsidR="00832B68">
                        <w:t xml:space="preserve">u </w:t>
                      </w:r>
                      <w:r w:rsidR="0022033B">
                        <w:t>mil</w:t>
                      </w:r>
                      <w:r w:rsidR="00832B68">
                        <w:t>.€</w:t>
                      </w:r>
                    </w:p>
                  </w:txbxContent>
                </v:textbox>
              </v:shape>
            </w:pict>
          </mc:Fallback>
        </mc:AlternateContent>
      </w:r>
    </w:p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504951" w:rsidP="008E2C7D">
      <w:r>
        <w:rPr>
          <w:noProof/>
          <w:lang w:val="en-U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3369945</wp:posOffset>
            </wp:positionH>
            <wp:positionV relativeFrom="margin">
              <wp:posOffset>6449695</wp:posOffset>
            </wp:positionV>
            <wp:extent cx="2734310" cy="1871980"/>
            <wp:effectExtent l="0" t="0" r="0" b="0"/>
            <wp:wrapSquare wrapText="bothSides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-436245</wp:posOffset>
            </wp:positionH>
            <wp:positionV relativeFrom="paragraph">
              <wp:posOffset>88900</wp:posOffset>
            </wp:positionV>
            <wp:extent cx="2533650" cy="1898015"/>
            <wp:effectExtent l="0" t="0" r="0" b="0"/>
            <wp:wrapNone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D71A89" w:rsidP="00D71A89"/>
    <w:p w:rsidR="008E2C7D" w:rsidRPr="008E2C7D" w:rsidRDefault="008E2C7D" w:rsidP="008E2C7D"/>
    <w:p w:rsidR="008E2C7D" w:rsidRPr="008E2C7D" w:rsidRDefault="008E2C7D" w:rsidP="008E2C7D"/>
    <w:p w:rsidR="0079718D" w:rsidRDefault="00B901C2" w:rsidP="006A0D43">
      <w:pPr>
        <w:tabs>
          <w:tab w:val="left" w:pos="6912"/>
        </w:tabs>
        <w:sectPr w:rsidR="0079718D" w:rsidSect="00870E6B">
          <w:headerReference w:type="default" r:id="rId14"/>
          <w:pgSz w:w="11906" w:h="16838"/>
          <w:pgMar w:top="1417" w:right="1134" w:bottom="1417" w:left="1701" w:header="708" w:footer="708" w:gutter="0"/>
          <w:cols w:num="2" w:space="454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499745</wp:posOffset>
                </wp:positionV>
                <wp:extent cx="2560320" cy="544195"/>
                <wp:effectExtent l="0" t="4445" r="0" b="381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469" w:rsidRPr="00590347" w:rsidRDefault="00936469" w:rsidP="00936469">
                            <w:pPr>
                              <w:pStyle w:val="Caption"/>
                              <w:rPr>
                                <w:i/>
                              </w:rPr>
                            </w:pPr>
                            <w:r w:rsidRPr="00590347">
                              <w:rPr>
                                <w:i/>
                              </w:rPr>
                              <w:t>...</w:t>
                            </w:r>
                            <w:r w:rsidR="007419C4">
                              <w:rPr>
                                <w:rFonts w:cstheme="minorHAnsi"/>
                                <w:i/>
                              </w:rPr>
                              <w:t>p</w:t>
                            </w:r>
                            <w:r w:rsidR="001D1216" w:rsidRPr="001D1216">
                              <w:rPr>
                                <w:rFonts w:cstheme="minorHAnsi"/>
                                <w:i/>
                              </w:rPr>
                              <w:t>rosječno stanje ukupnih depozita, na koj</w:t>
                            </w:r>
                            <w:r w:rsidR="001D1216">
                              <w:rPr>
                                <w:rFonts w:cstheme="minorHAnsi"/>
                                <w:i/>
                              </w:rPr>
                              <w:t>i se računa obavezna rezerva,</w:t>
                            </w:r>
                            <w:r w:rsidR="001D1216" w:rsidRPr="001D1216">
                              <w:rPr>
                                <w:rFonts w:cstheme="minorHAnsi"/>
                                <w:i/>
                              </w:rPr>
                              <w:t xml:space="preserve"> bilo</w:t>
                            </w:r>
                            <w:r w:rsidR="001D1216">
                              <w:rPr>
                                <w:rFonts w:cstheme="minorHAnsi"/>
                                <w:i/>
                              </w:rPr>
                              <w:t xml:space="preserve"> je 2,6 mlrd.</w:t>
                            </w:r>
                            <w:r w:rsidR="001D1216" w:rsidRPr="001D1216">
                              <w:rPr>
                                <w:rFonts w:cstheme="minorHAnsi"/>
                                <w:i/>
                              </w:rPr>
                              <w:t>€,</w:t>
                            </w:r>
                            <w:r w:rsidR="001D121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1D1216" w:rsidRPr="001D1216">
                              <w:rPr>
                                <w:rFonts w:cstheme="minorHAnsi"/>
                                <w:i/>
                              </w:rPr>
                              <w:t>što je za 20,3 mil.€ više od prosjeka u aprilu</w:t>
                            </w:r>
                            <w:r w:rsidRPr="00590347">
                              <w:rPr>
                                <w:i/>
                                <w:lang w:eastAsia="sr-Latn-CS"/>
                              </w:rPr>
                              <w:t>...</w:t>
                            </w:r>
                          </w:p>
                          <w:p w:rsidR="00936469" w:rsidRPr="009149C7" w:rsidRDefault="00936469" w:rsidP="0093646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37.05pt;margin-top:39.35pt;width:201.6pt;height:4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MqfQ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" stroked="f">
                <v:textbox inset="0,0,0,0">
                  <w:txbxContent>
                    <w:p w:rsidR="00936469" w:rsidRPr="00590347" w:rsidRDefault="00936469" w:rsidP="00936469">
                      <w:pPr>
                        <w:pStyle w:val="Caption"/>
                        <w:rPr>
                          <w:i/>
                        </w:rPr>
                      </w:pPr>
                      <w:r w:rsidRPr="00590347">
                        <w:rPr>
                          <w:i/>
                        </w:rPr>
                        <w:t>...</w:t>
                      </w:r>
                      <w:r w:rsidR="007419C4">
                        <w:rPr>
                          <w:rFonts w:cstheme="minorHAnsi"/>
                          <w:i/>
                        </w:rPr>
                        <w:t>p</w:t>
                      </w:r>
                      <w:r w:rsidR="001D1216" w:rsidRPr="001D1216">
                        <w:rPr>
                          <w:rFonts w:cstheme="minorHAnsi"/>
                          <w:i/>
                        </w:rPr>
                        <w:t>rosječno stanje ukupnih depozita, na koj</w:t>
                      </w:r>
                      <w:r w:rsidR="001D1216">
                        <w:rPr>
                          <w:rFonts w:cstheme="minorHAnsi"/>
                          <w:i/>
                        </w:rPr>
                        <w:t>i se računa obavezna rezerva,</w:t>
                      </w:r>
                      <w:r w:rsidR="001D1216" w:rsidRPr="001D1216">
                        <w:rPr>
                          <w:rFonts w:cstheme="minorHAnsi"/>
                          <w:i/>
                        </w:rPr>
                        <w:t xml:space="preserve"> bilo</w:t>
                      </w:r>
                      <w:r w:rsidR="001D1216">
                        <w:rPr>
                          <w:rFonts w:cstheme="minorHAnsi"/>
                          <w:i/>
                        </w:rPr>
                        <w:t xml:space="preserve"> je 2,6 mlrd.</w:t>
                      </w:r>
                      <w:r w:rsidR="001D1216" w:rsidRPr="001D1216">
                        <w:rPr>
                          <w:rFonts w:cstheme="minorHAnsi"/>
                          <w:i/>
                        </w:rPr>
                        <w:t>€,</w:t>
                      </w:r>
                      <w:r w:rsidR="001D1216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1D1216" w:rsidRPr="001D1216">
                        <w:rPr>
                          <w:rFonts w:cstheme="minorHAnsi"/>
                          <w:i/>
                        </w:rPr>
                        <w:t>što je za 20,3 mil.€ više od prosjeka u aprilu</w:t>
                      </w:r>
                      <w:r w:rsidRPr="00590347">
                        <w:rPr>
                          <w:i/>
                          <w:lang w:eastAsia="sr-Latn-CS"/>
                        </w:rPr>
                        <w:t>...</w:t>
                      </w:r>
                    </w:p>
                    <w:p w:rsidR="00936469" w:rsidRPr="009149C7" w:rsidRDefault="00936469" w:rsidP="00936469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433705</wp:posOffset>
                </wp:positionV>
                <wp:extent cx="2640965" cy="545465"/>
                <wp:effectExtent l="0" t="0" r="0" b="190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B0E" w:rsidRPr="00590347" w:rsidRDefault="007D7E9D" w:rsidP="00660B0E">
                            <w:pPr>
                              <w:pStyle w:val="Caption"/>
                              <w:rPr>
                                <w:i/>
                                <w:noProof/>
                              </w:rPr>
                            </w:pPr>
                            <w:r w:rsidRPr="00590347">
                              <w:rPr>
                                <w:i/>
                              </w:rPr>
                              <w:t>...</w:t>
                            </w:r>
                            <w:r w:rsidR="005737CB">
                              <w:rPr>
                                <w:i/>
                              </w:rPr>
                              <w:t xml:space="preserve">drastično povećanje uvoza pogonskih mašina i uređaja uticalo na rast uvoza roba iz </w:t>
                            </w:r>
                            <w:r w:rsidR="003809FC">
                              <w:rPr>
                                <w:i/>
                              </w:rPr>
                              <w:t>sektora</w:t>
                            </w:r>
                            <w:r w:rsidR="005737CB">
                              <w:rPr>
                                <w:i/>
                              </w:rPr>
                              <w:t xml:space="preserve"> 7 – Mašine i transportni uređaji</w:t>
                            </w:r>
                            <w:r w:rsidR="002E5FBE">
                              <w:rPr>
                                <w:i/>
                              </w:rPr>
                              <w:t xml:space="preserve"> </w:t>
                            </w:r>
                            <w:r w:rsidRPr="00590347">
                              <w:rPr>
                                <w:i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266.15pt;margin-top:34.15pt;width:207.95pt;height:4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" stroked="f">
                <v:textbox style="mso-fit-shape-to-text:t" inset="0,0,0,0">
                  <w:txbxContent>
                    <w:p w:rsidR="00660B0E" w:rsidRPr="00590347" w:rsidRDefault="007D7E9D" w:rsidP="00660B0E">
                      <w:pPr>
                        <w:pStyle w:val="Caption"/>
                        <w:rPr>
                          <w:i/>
                          <w:noProof/>
                        </w:rPr>
                      </w:pPr>
                      <w:r w:rsidRPr="00590347">
                        <w:rPr>
                          <w:i/>
                        </w:rPr>
                        <w:t>...</w:t>
                      </w:r>
                      <w:r w:rsidR="005737CB">
                        <w:rPr>
                          <w:i/>
                        </w:rPr>
                        <w:t xml:space="preserve">drastično povećanje uvoza pogonskih mašina i uređaja uticalo na rast uvoza roba iz </w:t>
                      </w:r>
                      <w:r w:rsidR="003809FC">
                        <w:rPr>
                          <w:i/>
                        </w:rPr>
                        <w:t>sektora</w:t>
                      </w:r>
                      <w:r w:rsidR="005737CB">
                        <w:rPr>
                          <w:i/>
                        </w:rPr>
                        <w:t xml:space="preserve"> 7 – Mašine i transportni uređaji</w:t>
                      </w:r>
                      <w:r w:rsidR="002E5FBE">
                        <w:rPr>
                          <w:i/>
                        </w:rPr>
                        <w:t xml:space="preserve"> </w:t>
                      </w:r>
                      <w:r w:rsidRPr="00590347">
                        <w:rPr>
                          <w:i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40C0E">
        <w:tab/>
        <w:t>... Povećan deficit...</w:t>
      </w:r>
    </w:p>
    <w:p w:rsidR="006A0D43" w:rsidRDefault="00AF6340" w:rsidP="006A0D43">
      <w:pPr>
        <w:pStyle w:val="Caption"/>
        <w:keepNext/>
        <w:tabs>
          <w:tab w:val="left" w:pos="7625"/>
        </w:tabs>
      </w:pPr>
      <w:r>
        <w:lastRenderedPageBreak/>
        <w:t xml:space="preserve"> </w:t>
      </w:r>
      <w:r w:rsidR="006A0D43">
        <w:t xml:space="preserve">Tabela </w:t>
      </w:r>
      <w:r w:rsidR="0049216B">
        <w:fldChar w:fldCharType="begin"/>
      </w:r>
      <w:r w:rsidR="00B10952">
        <w:instrText xml:space="preserve"> SEQ Tabela \* ARABIC </w:instrText>
      </w:r>
      <w:r w:rsidR="0049216B">
        <w:fldChar w:fldCharType="separate"/>
      </w:r>
      <w:r w:rsidR="006A0D43">
        <w:rPr>
          <w:noProof/>
        </w:rPr>
        <w:t>1</w:t>
      </w:r>
      <w:r w:rsidR="0049216B">
        <w:rPr>
          <w:noProof/>
        </w:rPr>
        <w:fldChar w:fldCharType="end"/>
      </w:r>
      <w:r w:rsidR="006A0D43">
        <w:t xml:space="preserve"> Makroekonomski indikatori (</w:t>
      </w:r>
      <w:r w:rsidR="006A0D43" w:rsidRPr="006A0D43">
        <w:rPr>
          <w:i/>
        </w:rPr>
        <w:t>Izvor: Monstat, CB, ZZZCG</w:t>
      </w:r>
      <w:r w:rsidR="006A0D43">
        <w:t>)</w:t>
      </w:r>
      <w:r w:rsidR="006A0D43">
        <w:tab/>
      </w:r>
      <w:r w:rsidR="006A0D43">
        <w:tab/>
        <w:t>Tabela 2 Fiskalni indikatori (</w:t>
      </w:r>
      <w:r w:rsidR="006A0D43" w:rsidRPr="006A0D43">
        <w:rPr>
          <w:i/>
        </w:rPr>
        <w:t>Izvor: Ministarstvo finansija</w:t>
      </w:r>
      <w:r w:rsidR="006A0D43">
        <w:t>)</w:t>
      </w:r>
    </w:p>
    <w:tbl>
      <w:tblPr>
        <w:tblpPr w:leftFromText="141" w:rightFromText="141" w:vertAnchor="text" w:horzAnchor="margin" w:tblpY="67"/>
        <w:tblW w:w="6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760"/>
        <w:gridCol w:w="1096"/>
        <w:gridCol w:w="1096"/>
      </w:tblGrid>
      <w:tr w:rsidR="006D633E" w:rsidRPr="00AF6340" w:rsidTr="00165D1E">
        <w:trPr>
          <w:trHeight w:val="20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Indikatori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M-n-M, 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maj 2016 g-n-g,%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2016/2015 g-n-g, %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REALNI SEKTOR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Industrijska proizvodnja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-7,3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Prerađivačka industrija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-7,9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Noćenja u turizmu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7,1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Promet u maloprodaji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potrošačkih cijena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-0,4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Harmonizovani indeks potrošačkih cijena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n/p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proizvodjačkih cijena (stopa rasta)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I ZARADE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Zaposlenost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21,8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Stopa nezaposlenosti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22,1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Oglašena radna mjesta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-17,5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bruto zarada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2,3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neto zarada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MONETARNI SEKTOR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krediti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depoziti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81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privredi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domaćinstvima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Depoziti privrede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Lična štednja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kredite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depozite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EKSTERNI SEKTOR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Izvoz roba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6,1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Uvoz roba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16,6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Spoljnotrgovinski bilans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18,7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Strane direktne investicije </w:t>
            </w:r>
            <w:r w:rsidR="00165D1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-50,4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-76,0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MEĐUNARODNO OKRUŽENJE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-32,8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-15,1</w:t>
            </w:r>
          </w:p>
        </w:tc>
      </w:tr>
      <w:tr w:rsidR="006D633E" w:rsidRPr="00AF6340" w:rsidTr="00165D1E">
        <w:trPr>
          <w:trHeight w:val="20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-111,2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-104,7</w:t>
            </w:r>
          </w:p>
        </w:tc>
      </w:tr>
      <w:tr w:rsidR="006D633E" w:rsidRPr="00AF6340" w:rsidTr="00165D1E">
        <w:trPr>
          <w:trHeight w:val="21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3E" w:rsidRPr="00AF6340" w:rsidRDefault="006D633E" w:rsidP="00165D1E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3E" w:rsidRPr="00AF6340" w:rsidRDefault="006D633E" w:rsidP="00165D1E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AF6340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-71,4</w:t>
            </w:r>
          </w:p>
        </w:tc>
      </w:tr>
    </w:tbl>
    <w:tbl>
      <w:tblPr>
        <w:tblpPr w:leftFromText="141" w:rightFromText="141" w:vertAnchor="text" w:horzAnchor="margin" w:tblpXSpec="right" w:tblpY="122"/>
        <w:tblW w:w="6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834"/>
        <w:gridCol w:w="592"/>
        <w:gridCol w:w="1197"/>
        <w:gridCol w:w="829"/>
        <w:gridCol w:w="891"/>
      </w:tblGrid>
      <w:tr w:rsidR="006D633E" w:rsidRPr="006D633E" w:rsidTr="00165D1E">
        <w:trPr>
          <w:trHeight w:val="456"/>
        </w:trPr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BUDŽET CRNE GORE</w:t>
            </w:r>
          </w:p>
        </w:tc>
        <w:tc>
          <w:tcPr>
            <w:tcW w:w="8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ostvarenje 2016</w:t>
            </w:r>
          </w:p>
        </w:tc>
        <w:tc>
          <w:tcPr>
            <w:tcW w:w="59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plan 2016</w:t>
            </w:r>
          </w:p>
        </w:tc>
        <w:tc>
          <w:tcPr>
            <w:tcW w:w="2917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Analitika-maj</w:t>
            </w:r>
          </w:p>
        </w:tc>
      </w:tr>
      <w:tr w:rsidR="006D633E" w:rsidRPr="006D633E" w:rsidTr="00165D1E">
        <w:trPr>
          <w:trHeight w:val="545"/>
        </w:trPr>
        <w:tc>
          <w:tcPr>
            <w:tcW w:w="21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V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V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maj2016/maj2015 (%)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jan-maj2016 / jan-maj2015(%)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maj2016/ maj2016plan (%)</w:t>
            </w:r>
          </w:p>
        </w:tc>
      </w:tr>
      <w:tr w:rsidR="006D633E" w:rsidRPr="006D633E" w:rsidTr="00165D1E">
        <w:trPr>
          <w:trHeight w:val="323"/>
        </w:trPr>
        <w:tc>
          <w:tcPr>
            <w:tcW w:w="21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IZVORNI PRIHODI, od čega: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109,90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109,17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0,67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Porezi i doprinosi na  zarade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43,97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44,02</w:t>
            </w:r>
          </w:p>
        </w:tc>
        <w:tc>
          <w:tcPr>
            <w:tcW w:w="119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16,28</w:t>
            </w:r>
          </w:p>
        </w:tc>
        <w:tc>
          <w:tcPr>
            <w:tcW w:w="82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4,12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-0,11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dobit pravnih lica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2,60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2,75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14,08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-5,51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dodatu vrijednost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39,50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37,50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3,11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5,34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Akcize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14,15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13,83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10,63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2,30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medj trgovinu i transak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2,07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1,93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10,74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4,78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7,20</w:t>
            </w:r>
          </w:p>
        </w:tc>
      </w:tr>
      <w:tr w:rsidR="006D633E" w:rsidRPr="006D633E" w:rsidTr="00165D1E">
        <w:trPr>
          <w:trHeight w:val="323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IZDACI BUDŽETA, od čega :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135,05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144,37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19,20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-2,49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-6,45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Bruto zarade i doprinosi na teret poslodavca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35,12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34,65</w:t>
            </w:r>
          </w:p>
        </w:tc>
        <w:tc>
          <w:tcPr>
            <w:tcW w:w="119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14,31</w:t>
            </w:r>
          </w:p>
        </w:tc>
        <w:tc>
          <w:tcPr>
            <w:tcW w:w="82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7,92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1,34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Rashodi za materijal i usluge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8,53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57,73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11,28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34,62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Kamate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16,04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33,89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151,72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za socijalnu zaštitu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45,68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11,49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8,78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2,96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instit, pojed i NVO sektoru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11,13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12,20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46,61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16,93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-8,72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Kapitalni izdaci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7,46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111,36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-81,24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-76,16</w:t>
            </w:r>
          </w:p>
        </w:tc>
      </w:tr>
      <w:tr w:rsidR="006D633E" w:rsidRPr="006D633E" w:rsidTr="00165D1E">
        <w:trPr>
          <w:trHeight w:val="323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Suficit / Deficit budžeta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-25,15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-35,19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87,36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-32,66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-28,55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Primarni bilans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-9,10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-28,82</w:t>
            </w:r>
          </w:p>
        </w:tc>
        <w:tc>
          <w:tcPr>
            <w:tcW w:w="119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-456,44</w:t>
            </w:r>
          </w:p>
        </w:tc>
        <w:tc>
          <w:tcPr>
            <w:tcW w:w="82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-57,45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-68,41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Otplata dugova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5,02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32,77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-2,88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28,13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449,46</w:t>
            </w:r>
          </w:p>
        </w:tc>
      </w:tr>
      <w:tr w:rsidR="006D633E" w:rsidRPr="006D633E" w:rsidTr="00165D1E">
        <w:trPr>
          <w:trHeight w:val="323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Državni dug (stanje duga)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</w:t>
            </w:r>
          </w:p>
        </w:tc>
      </w:tr>
      <w:tr w:rsidR="006D633E" w:rsidRPr="006D633E" w:rsidTr="00165D1E">
        <w:trPr>
          <w:trHeight w:val="310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Domaći dug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</w:tr>
      <w:tr w:rsidR="006D633E" w:rsidRPr="006D633E" w:rsidTr="00165D1E">
        <w:trPr>
          <w:trHeight w:val="295"/>
        </w:trPr>
        <w:tc>
          <w:tcPr>
            <w:tcW w:w="21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Inostrani dug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-</w:t>
            </w:r>
          </w:p>
        </w:tc>
      </w:tr>
      <w:tr w:rsidR="006D633E" w:rsidRPr="006D633E" w:rsidTr="00165D1E">
        <w:trPr>
          <w:trHeight w:val="471"/>
        </w:trPr>
        <w:tc>
          <w:tcPr>
            <w:tcW w:w="210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Depoziti*     (U skladu sa Zakonom o budžetu i fiskalnoj odgovornosti)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lang w:eastAsia="sr-Latn-CS"/>
              </w:rPr>
              <w:t xml:space="preserve">       -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lang w:eastAsia="sr-Latn-CS"/>
              </w:rPr>
              <w:t xml:space="preserve">      -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lang w:eastAsia="sr-Latn-CS"/>
              </w:rPr>
              <w:t xml:space="preserve">       -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633E" w:rsidRPr="006D633E" w:rsidRDefault="006D633E" w:rsidP="00165D1E">
            <w:pPr>
              <w:jc w:val="left"/>
              <w:rPr>
                <w:rFonts w:ascii="Calibri" w:eastAsia="Times New Roman" w:hAnsi="Calibri" w:cs="Times New Roman"/>
                <w:color w:val="000000"/>
                <w:lang w:eastAsia="sr-Latn-CS"/>
              </w:rPr>
            </w:pPr>
            <w:r w:rsidRPr="006D633E">
              <w:rPr>
                <w:rFonts w:ascii="Calibri" w:eastAsia="Times New Roman" w:hAnsi="Calibri" w:cs="Times New Roman"/>
                <w:color w:val="000000"/>
                <w:lang w:eastAsia="sr-Latn-CS"/>
              </w:rPr>
              <w:t xml:space="preserve">      -</w:t>
            </w:r>
          </w:p>
        </w:tc>
      </w:tr>
    </w:tbl>
    <w:p w:rsidR="0079718D" w:rsidRPr="004C3072" w:rsidRDefault="00060DA2" w:rsidP="00165D1E">
      <w:pPr>
        <w:tabs>
          <w:tab w:val="left" w:pos="1810"/>
          <w:tab w:val="left" w:pos="3607"/>
        </w:tabs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165D1E">
        <w:rPr>
          <w:sz w:val="16"/>
          <w:szCs w:val="16"/>
        </w:rPr>
        <w:t>*SDI podaci za april</w:t>
      </w:r>
      <w:r w:rsidR="001B690A">
        <w:rPr>
          <w:sz w:val="16"/>
          <w:szCs w:val="16"/>
        </w:rPr>
        <w:br w:type="textWrapping" w:clear="all"/>
      </w:r>
      <w:r w:rsidR="000B737B">
        <w:rPr>
          <w:sz w:val="16"/>
          <w:szCs w:val="16"/>
        </w:rPr>
        <w:br w:type="textWrapping" w:clear="all"/>
      </w:r>
    </w:p>
    <w:sectPr w:rsidR="0079718D" w:rsidRPr="004C3072" w:rsidSect="0088070A">
      <w:headerReference w:type="default" r:id="rId15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36" w:rsidRDefault="00420836" w:rsidP="0073697A">
      <w:r>
        <w:separator/>
      </w:r>
    </w:p>
  </w:endnote>
  <w:endnote w:type="continuationSeparator" w:id="0">
    <w:p w:rsidR="00420836" w:rsidRDefault="00420836" w:rsidP="007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36" w:rsidRDefault="00420836" w:rsidP="0073697A">
      <w:r>
        <w:separator/>
      </w:r>
    </w:p>
  </w:footnote>
  <w:footnote w:type="continuationSeparator" w:id="0">
    <w:p w:rsidR="00420836" w:rsidRDefault="00420836" w:rsidP="0073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7A" w:rsidRDefault="0073697A" w:rsidP="0073697A">
    <w:pPr>
      <w:pStyle w:val="Header"/>
      <w:jc w:val="center"/>
      <w:rPr>
        <w:b/>
      </w:rPr>
    </w:pPr>
    <w:r w:rsidRPr="0073697A">
      <w:rPr>
        <w:b/>
        <w:noProof/>
        <w:lang w:val="en-U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73697A" w:rsidRPr="0073697A" w:rsidRDefault="0073697A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 w:rsidR="00AF6340">
      <w:rPr>
        <w:b/>
      </w:rPr>
      <w:t>MAJ</w:t>
    </w:r>
    <w:r w:rsidRPr="0073697A">
      <w:rPr>
        <w:b/>
      </w:rPr>
      <w:t xml:space="preserve">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CF" w:rsidRPr="0073697A" w:rsidRDefault="003246CF" w:rsidP="0073697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7A"/>
    <w:rsid w:val="00000EF0"/>
    <w:rsid w:val="0000427C"/>
    <w:rsid w:val="00005335"/>
    <w:rsid w:val="00015561"/>
    <w:rsid w:val="000173EE"/>
    <w:rsid w:val="000345FD"/>
    <w:rsid w:val="00042F09"/>
    <w:rsid w:val="0005291E"/>
    <w:rsid w:val="00053060"/>
    <w:rsid w:val="00060DA2"/>
    <w:rsid w:val="00073816"/>
    <w:rsid w:val="00080AC8"/>
    <w:rsid w:val="000965F7"/>
    <w:rsid w:val="000A45F0"/>
    <w:rsid w:val="000A7357"/>
    <w:rsid w:val="000B737B"/>
    <w:rsid w:val="000C1B3B"/>
    <w:rsid w:val="00111099"/>
    <w:rsid w:val="001375C0"/>
    <w:rsid w:val="00142584"/>
    <w:rsid w:val="00144DB3"/>
    <w:rsid w:val="00146CE3"/>
    <w:rsid w:val="00147BB3"/>
    <w:rsid w:val="0015061A"/>
    <w:rsid w:val="00164655"/>
    <w:rsid w:val="00165D1E"/>
    <w:rsid w:val="001663FE"/>
    <w:rsid w:val="0017300C"/>
    <w:rsid w:val="00181923"/>
    <w:rsid w:val="001A1F6C"/>
    <w:rsid w:val="001A7B3A"/>
    <w:rsid w:val="001B5B1A"/>
    <w:rsid w:val="001B690A"/>
    <w:rsid w:val="001C2611"/>
    <w:rsid w:val="001C301B"/>
    <w:rsid w:val="001C5A36"/>
    <w:rsid w:val="001D1216"/>
    <w:rsid w:val="001E33EA"/>
    <w:rsid w:val="001F4E19"/>
    <w:rsid w:val="00203F47"/>
    <w:rsid w:val="002130C5"/>
    <w:rsid w:val="00213F9C"/>
    <w:rsid w:val="0022033B"/>
    <w:rsid w:val="00233237"/>
    <w:rsid w:val="002520F3"/>
    <w:rsid w:val="00252F30"/>
    <w:rsid w:val="00262CD5"/>
    <w:rsid w:val="0027120F"/>
    <w:rsid w:val="00276516"/>
    <w:rsid w:val="00281C41"/>
    <w:rsid w:val="002930D3"/>
    <w:rsid w:val="00293267"/>
    <w:rsid w:val="002B0F27"/>
    <w:rsid w:val="002B326F"/>
    <w:rsid w:val="002D4A9C"/>
    <w:rsid w:val="002D5BAF"/>
    <w:rsid w:val="002D739F"/>
    <w:rsid w:val="002E2742"/>
    <w:rsid w:val="002E5FBE"/>
    <w:rsid w:val="00314ACD"/>
    <w:rsid w:val="00322EC9"/>
    <w:rsid w:val="003246CF"/>
    <w:rsid w:val="00335592"/>
    <w:rsid w:val="00350DD5"/>
    <w:rsid w:val="00353DF1"/>
    <w:rsid w:val="00366CBB"/>
    <w:rsid w:val="00372E9C"/>
    <w:rsid w:val="003809FC"/>
    <w:rsid w:val="00396E9B"/>
    <w:rsid w:val="003A1DA6"/>
    <w:rsid w:val="003B1BC0"/>
    <w:rsid w:val="003C4377"/>
    <w:rsid w:val="003C66B3"/>
    <w:rsid w:val="003D7676"/>
    <w:rsid w:val="003E5678"/>
    <w:rsid w:val="003E6B73"/>
    <w:rsid w:val="003F5368"/>
    <w:rsid w:val="00400FB4"/>
    <w:rsid w:val="004060E3"/>
    <w:rsid w:val="00420836"/>
    <w:rsid w:val="00420B8C"/>
    <w:rsid w:val="00421A9C"/>
    <w:rsid w:val="004238BB"/>
    <w:rsid w:val="0042618D"/>
    <w:rsid w:val="00426C6F"/>
    <w:rsid w:val="0044517D"/>
    <w:rsid w:val="00472419"/>
    <w:rsid w:val="0048284B"/>
    <w:rsid w:val="00487BE0"/>
    <w:rsid w:val="004914C7"/>
    <w:rsid w:val="0049216B"/>
    <w:rsid w:val="00494F72"/>
    <w:rsid w:val="004A28F5"/>
    <w:rsid w:val="004A7AB1"/>
    <w:rsid w:val="004C3072"/>
    <w:rsid w:val="004F4D92"/>
    <w:rsid w:val="0050113B"/>
    <w:rsid w:val="00504951"/>
    <w:rsid w:val="0050592F"/>
    <w:rsid w:val="00507804"/>
    <w:rsid w:val="00511665"/>
    <w:rsid w:val="00525DF6"/>
    <w:rsid w:val="005357F2"/>
    <w:rsid w:val="005438B0"/>
    <w:rsid w:val="00547CF0"/>
    <w:rsid w:val="005713D5"/>
    <w:rsid w:val="00572484"/>
    <w:rsid w:val="005737CB"/>
    <w:rsid w:val="00574007"/>
    <w:rsid w:val="0058031A"/>
    <w:rsid w:val="00586D17"/>
    <w:rsid w:val="00590347"/>
    <w:rsid w:val="005A1C2A"/>
    <w:rsid w:val="005D22D9"/>
    <w:rsid w:val="005D57C1"/>
    <w:rsid w:val="005D67C3"/>
    <w:rsid w:val="005E7520"/>
    <w:rsid w:val="005F012F"/>
    <w:rsid w:val="005F39EB"/>
    <w:rsid w:val="005F5912"/>
    <w:rsid w:val="005F6D52"/>
    <w:rsid w:val="00601240"/>
    <w:rsid w:val="00616FAC"/>
    <w:rsid w:val="00630B19"/>
    <w:rsid w:val="006405F6"/>
    <w:rsid w:val="00645885"/>
    <w:rsid w:val="00660B0E"/>
    <w:rsid w:val="00660BB8"/>
    <w:rsid w:val="0066376E"/>
    <w:rsid w:val="006863EF"/>
    <w:rsid w:val="0069707D"/>
    <w:rsid w:val="006A0D43"/>
    <w:rsid w:val="006A168C"/>
    <w:rsid w:val="006B2901"/>
    <w:rsid w:val="006D633E"/>
    <w:rsid w:val="006E0085"/>
    <w:rsid w:val="006F3BE2"/>
    <w:rsid w:val="00716398"/>
    <w:rsid w:val="00717741"/>
    <w:rsid w:val="00727509"/>
    <w:rsid w:val="0073181D"/>
    <w:rsid w:val="00731EA8"/>
    <w:rsid w:val="0073697A"/>
    <w:rsid w:val="0073775D"/>
    <w:rsid w:val="007419C4"/>
    <w:rsid w:val="0074660A"/>
    <w:rsid w:val="0075112B"/>
    <w:rsid w:val="00760884"/>
    <w:rsid w:val="00764AE3"/>
    <w:rsid w:val="00773602"/>
    <w:rsid w:val="0079718D"/>
    <w:rsid w:val="00797836"/>
    <w:rsid w:val="007A3610"/>
    <w:rsid w:val="007B0D22"/>
    <w:rsid w:val="007B151B"/>
    <w:rsid w:val="007B73BF"/>
    <w:rsid w:val="007D3C8A"/>
    <w:rsid w:val="007D7E9D"/>
    <w:rsid w:val="007E0AC6"/>
    <w:rsid w:val="007E794E"/>
    <w:rsid w:val="007F1472"/>
    <w:rsid w:val="007F2E5F"/>
    <w:rsid w:val="007F38ED"/>
    <w:rsid w:val="008028F9"/>
    <w:rsid w:val="00803D0A"/>
    <w:rsid w:val="008042F0"/>
    <w:rsid w:val="00815D6D"/>
    <w:rsid w:val="008201ED"/>
    <w:rsid w:val="00821311"/>
    <w:rsid w:val="00832B68"/>
    <w:rsid w:val="0083533D"/>
    <w:rsid w:val="00840B3F"/>
    <w:rsid w:val="00845369"/>
    <w:rsid w:val="0085469E"/>
    <w:rsid w:val="00865E5F"/>
    <w:rsid w:val="00870E6B"/>
    <w:rsid w:val="00873C38"/>
    <w:rsid w:val="0088070A"/>
    <w:rsid w:val="008977A0"/>
    <w:rsid w:val="008A1FCB"/>
    <w:rsid w:val="008B5248"/>
    <w:rsid w:val="008D0CF1"/>
    <w:rsid w:val="008E2C7D"/>
    <w:rsid w:val="008F3A0F"/>
    <w:rsid w:val="008F5166"/>
    <w:rsid w:val="009023A9"/>
    <w:rsid w:val="00914598"/>
    <w:rsid w:val="009150CA"/>
    <w:rsid w:val="00922E13"/>
    <w:rsid w:val="00925396"/>
    <w:rsid w:val="00936469"/>
    <w:rsid w:val="00945923"/>
    <w:rsid w:val="00955062"/>
    <w:rsid w:val="00957B61"/>
    <w:rsid w:val="00961412"/>
    <w:rsid w:val="009720CB"/>
    <w:rsid w:val="00973F4D"/>
    <w:rsid w:val="009743E5"/>
    <w:rsid w:val="00980E17"/>
    <w:rsid w:val="0099235F"/>
    <w:rsid w:val="00993DD3"/>
    <w:rsid w:val="009D06FF"/>
    <w:rsid w:val="009D6CAE"/>
    <w:rsid w:val="009F3868"/>
    <w:rsid w:val="00A03982"/>
    <w:rsid w:val="00A12128"/>
    <w:rsid w:val="00A142A0"/>
    <w:rsid w:val="00A23417"/>
    <w:rsid w:val="00A30629"/>
    <w:rsid w:val="00A30CF8"/>
    <w:rsid w:val="00A30F9F"/>
    <w:rsid w:val="00A40C0E"/>
    <w:rsid w:val="00A41D64"/>
    <w:rsid w:val="00A43FFD"/>
    <w:rsid w:val="00A56A4D"/>
    <w:rsid w:val="00A63D86"/>
    <w:rsid w:val="00A83DC7"/>
    <w:rsid w:val="00A86BBF"/>
    <w:rsid w:val="00AA7198"/>
    <w:rsid w:val="00AD49B3"/>
    <w:rsid w:val="00AD6544"/>
    <w:rsid w:val="00AE3727"/>
    <w:rsid w:val="00AE7EB0"/>
    <w:rsid w:val="00AF6340"/>
    <w:rsid w:val="00B10952"/>
    <w:rsid w:val="00B145C2"/>
    <w:rsid w:val="00B171C8"/>
    <w:rsid w:val="00B17F35"/>
    <w:rsid w:val="00B2463F"/>
    <w:rsid w:val="00B312F3"/>
    <w:rsid w:val="00B32517"/>
    <w:rsid w:val="00B637E9"/>
    <w:rsid w:val="00B65804"/>
    <w:rsid w:val="00B72B8E"/>
    <w:rsid w:val="00B76CD6"/>
    <w:rsid w:val="00B901C2"/>
    <w:rsid w:val="00B9371F"/>
    <w:rsid w:val="00BC1E57"/>
    <w:rsid w:val="00BC2627"/>
    <w:rsid w:val="00BC722D"/>
    <w:rsid w:val="00BF3ACA"/>
    <w:rsid w:val="00BF60A2"/>
    <w:rsid w:val="00BF7815"/>
    <w:rsid w:val="00C121AA"/>
    <w:rsid w:val="00C40ABE"/>
    <w:rsid w:val="00C42687"/>
    <w:rsid w:val="00C5038F"/>
    <w:rsid w:val="00C5597E"/>
    <w:rsid w:val="00C62DE8"/>
    <w:rsid w:val="00C76D0B"/>
    <w:rsid w:val="00C77428"/>
    <w:rsid w:val="00C81B7A"/>
    <w:rsid w:val="00C82F59"/>
    <w:rsid w:val="00CA1561"/>
    <w:rsid w:val="00CC5BC9"/>
    <w:rsid w:val="00D116C2"/>
    <w:rsid w:val="00D12CE1"/>
    <w:rsid w:val="00D22C1D"/>
    <w:rsid w:val="00D33068"/>
    <w:rsid w:val="00D41545"/>
    <w:rsid w:val="00D5556D"/>
    <w:rsid w:val="00D5698F"/>
    <w:rsid w:val="00D63986"/>
    <w:rsid w:val="00D71A89"/>
    <w:rsid w:val="00D8366B"/>
    <w:rsid w:val="00D84EE5"/>
    <w:rsid w:val="00D97DE8"/>
    <w:rsid w:val="00DA0835"/>
    <w:rsid w:val="00DA6A5F"/>
    <w:rsid w:val="00DB0048"/>
    <w:rsid w:val="00DB29AE"/>
    <w:rsid w:val="00DB3D80"/>
    <w:rsid w:val="00DC6BD8"/>
    <w:rsid w:val="00DC76AB"/>
    <w:rsid w:val="00DD551E"/>
    <w:rsid w:val="00DF7A64"/>
    <w:rsid w:val="00E10840"/>
    <w:rsid w:val="00E15D4A"/>
    <w:rsid w:val="00E2269A"/>
    <w:rsid w:val="00E22F9A"/>
    <w:rsid w:val="00E256F4"/>
    <w:rsid w:val="00E321B2"/>
    <w:rsid w:val="00E37E2E"/>
    <w:rsid w:val="00E45A4C"/>
    <w:rsid w:val="00E60E35"/>
    <w:rsid w:val="00E77696"/>
    <w:rsid w:val="00E8072F"/>
    <w:rsid w:val="00E97E73"/>
    <w:rsid w:val="00EB7D0C"/>
    <w:rsid w:val="00EB7D15"/>
    <w:rsid w:val="00ED05CD"/>
    <w:rsid w:val="00ED6FE0"/>
    <w:rsid w:val="00ED7734"/>
    <w:rsid w:val="00ED7DC6"/>
    <w:rsid w:val="00EF6FFE"/>
    <w:rsid w:val="00F10DCB"/>
    <w:rsid w:val="00F118B5"/>
    <w:rsid w:val="00F230C6"/>
    <w:rsid w:val="00F318C2"/>
    <w:rsid w:val="00F35D9F"/>
    <w:rsid w:val="00F476EE"/>
    <w:rsid w:val="00F51BC8"/>
    <w:rsid w:val="00F52F3B"/>
    <w:rsid w:val="00F61980"/>
    <w:rsid w:val="00F63D62"/>
    <w:rsid w:val="00F71E4F"/>
    <w:rsid w:val="00F840B1"/>
    <w:rsid w:val="00F900A0"/>
    <w:rsid w:val="00FB31DA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AppData\Local\Microsoft\Windows\Temporary%20Internet%20Files\Content.Outlook\YX81K29Z\mmi-sirovi%20podac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AppData\Local\Microsoft\Windows\Temporary%20Internet%20Files\Content.Outlook\YX81K29Z\Podaci%20za%20Min%20%20Finansija-trgovin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lja.tomanovic\My%20Documents\Dropbox\MINISTARSTVO%20FINANSIJA\SEP\02_MMI\MMI_2016%2006\mmi%202016-06%20-%20makr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esktop\New%20Microsoft%20Office%20Excel%20Worksheet%20(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Bankarski%20sektor\monetarna_statistika_depozitnih_institucija_maj_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15563165905617"/>
          <c:y val="9.3482825804063724E-2"/>
          <c:w val="0.78368607305936078"/>
          <c:h val="0.62588359788360004"/>
        </c:manualLayout>
      </c:layout>
      <c:lineChart>
        <c:grouping val="standard"/>
        <c:varyColors val="0"/>
        <c:ser>
          <c:idx val="0"/>
          <c:order val="0"/>
          <c:tx>
            <c:v>CPI</c:v>
          </c:tx>
          <c:spPr>
            <a:ln w="38100"/>
          </c:spPr>
          <c:marker>
            <c:symbol val="none"/>
          </c:marker>
          <c:cat>
            <c:strRef>
              <c:f>'Makroekonomski indikatori'!$BE$40:$BQ$40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2016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indikatori'!$BE$25:$BQ$25</c:f>
              <c:numCache>
                <c:formatCode>General</c:formatCode>
                <c:ptCount val="13"/>
                <c:pt idx="0">
                  <c:v>2.2999999999999998</c:v>
                </c:pt>
                <c:pt idx="1">
                  <c:v>1.9000000000000001</c:v>
                </c:pt>
                <c:pt idx="2">
                  <c:v>1.9000000000000001</c:v>
                </c:pt>
                <c:pt idx="3">
                  <c:v>1.9000000000000001</c:v>
                </c:pt>
                <c:pt idx="4">
                  <c:v>1.7000000000000013</c:v>
                </c:pt>
                <c:pt idx="5">
                  <c:v>1.5</c:v>
                </c:pt>
                <c:pt idx="6" formatCode="0.0">
                  <c:v>1.4</c:v>
                </c:pt>
                <c:pt idx="7">
                  <c:v>1.4</c:v>
                </c:pt>
                <c:pt idx="8">
                  <c:v>0.8</c:v>
                </c:pt>
                <c:pt idx="9">
                  <c:v>0.1</c:v>
                </c:pt>
                <c:pt idx="10">
                  <c:v>-0.9</c:v>
                </c:pt>
                <c:pt idx="11">
                  <c:v>-0.70000000000000062</c:v>
                </c:pt>
                <c:pt idx="12" formatCode="0.0">
                  <c:v>-1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indikatori'!$C$27</c:f>
              <c:strCache>
                <c:ptCount val="1"/>
                <c:pt idx="0">
                  <c:v>hrana i bezalkoholna pića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indikatori'!$BE$40:$BQ$40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2016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indikatori'!$BE$27:$BQ$27</c:f>
              <c:numCache>
                <c:formatCode>General</c:formatCode>
                <c:ptCount val="13"/>
                <c:pt idx="0">
                  <c:v>3.8</c:v>
                </c:pt>
                <c:pt idx="1">
                  <c:v>2.4</c:v>
                </c:pt>
                <c:pt idx="2">
                  <c:v>2.8</c:v>
                </c:pt>
                <c:pt idx="3">
                  <c:v>3.9</c:v>
                </c:pt>
                <c:pt idx="4" formatCode="0.0">
                  <c:v>3.4</c:v>
                </c:pt>
                <c:pt idx="5">
                  <c:v>2.5</c:v>
                </c:pt>
                <c:pt idx="6" formatCode="0.0">
                  <c:v>2.5</c:v>
                </c:pt>
                <c:pt idx="7">
                  <c:v>2.4</c:v>
                </c:pt>
                <c:pt idx="8">
                  <c:v>0.9</c:v>
                </c:pt>
                <c:pt idx="9">
                  <c:v>-0.5</c:v>
                </c:pt>
                <c:pt idx="10">
                  <c:v>-2.5</c:v>
                </c:pt>
                <c:pt idx="11">
                  <c:v>-1.9000000000000001</c:v>
                </c:pt>
                <c:pt idx="12" formatCode="0.0">
                  <c:v>-1.6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'Makroekonomski indikatori'!$C$28</c:f>
              <c:strCache>
                <c:ptCount val="1"/>
                <c:pt idx="0">
                  <c:v>gorivo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strRef>
              <c:f>'Makroekonomski indikatori'!$BE$40:$BQ$40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2016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indikatori'!$BE$28:$BQ$28</c:f>
              <c:numCache>
                <c:formatCode>General</c:formatCode>
                <c:ptCount val="13"/>
                <c:pt idx="0">
                  <c:v>-5.3</c:v>
                </c:pt>
                <c:pt idx="1">
                  <c:v>-4.5999999999999996</c:v>
                </c:pt>
                <c:pt idx="2">
                  <c:v>-5.6</c:v>
                </c:pt>
                <c:pt idx="3">
                  <c:v>-9.5</c:v>
                </c:pt>
                <c:pt idx="4" formatCode="0.0">
                  <c:v>-10.3</c:v>
                </c:pt>
                <c:pt idx="5">
                  <c:v>-7.8</c:v>
                </c:pt>
                <c:pt idx="6" formatCode="0.0">
                  <c:v>-12.4</c:v>
                </c:pt>
                <c:pt idx="7">
                  <c:v>-11.1</c:v>
                </c:pt>
                <c:pt idx="8">
                  <c:v>-8.7000000000000011</c:v>
                </c:pt>
                <c:pt idx="9">
                  <c:v>-12.7</c:v>
                </c:pt>
                <c:pt idx="10">
                  <c:v>-15.6</c:v>
                </c:pt>
                <c:pt idx="11">
                  <c:v>-14.6</c:v>
                </c:pt>
                <c:pt idx="12" formatCode="0.0">
                  <c:v>-18.5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589120"/>
        <c:axId val="77590912"/>
      </c:lineChart>
      <c:catAx>
        <c:axId val="77589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7590912"/>
        <c:crosses val="autoZero"/>
        <c:auto val="1"/>
        <c:lblAlgn val="ctr"/>
        <c:lblOffset val="100"/>
        <c:noMultiLvlLbl val="0"/>
      </c:catAx>
      <c:valAx>
        <c:axId val="7759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75891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Sheet1!$L$28:$L$33</c:f>
              <c:strCache>
                <c:ptCount val="6"/>
                <c:pt idx="0">
                  <c:v>Prehrana</c:v>
                </c:pt>
                <c:pt idx="1">
                  <c:v>Duvan i cigarete</c:v>
                </c:pt>
                <c:pt idx="2">
                  <c:v>Farmaceutski proizvodi</c:v>
                </c:pt>
                <c:pt idx="3">
                  <c:v>Čvrsta,tečna i gas.goriva</c:v>
                </c:pt>
                <c:pt idx="4">
                  <c:v>Drvo,građ.mater. i sanitar.oprema</c:v>
                </c:pt>
                <c:pt idx="5">
                  <c:v>Ostale robne grupe</c:v>
                </c:pt>
              </c:strCache>
            </c:strRef>
          </c:cat>
          <c:val>
            <c:numRef>
              <c:f>Sheet1!$M$28:$M$33</c:f>
              <c:numCache>
                <c:formatCode>General</c:formatCode>
                <c:ptCount val="6"/>
                <c:pt idx="0">
                  <c:v>29.7</c:v>
                </c:pt>
                <c:pt idx="1">
                  <c:v>3.6</c:v>
                </c:pt>
                <c:pt idx="2">
                  <c:v>10.3</c:v>
                </c:pt>
                <c:pt idx="3">
                  <c:v>18.899999999999999</c:v>
                </c:pt>
                <c:pt idx="4">
                  <c:v>6.8</c:v>
                </c:pt>
                <c:pt idx="5">
                  <c:v>30.7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18366599523857"/>
          <c:y val="6.9732835335508211E-2"/>
          <c:w val="0.32425819446987841"/>
          <c:h val="0.8605343293289841"/>
        </c:manualLayout>
      </c:layout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550860406045714"/>
          <c:y val="6.267806267806264E-2"/>
          <c:w val="0.77161690749267364"/>
          <c:h val="0.71188729613926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'Database za makro'!$D$49</c:f>
              <c:strCache>
                <c:ptCount val="1"/>
                <c:pt idx="0">
                  <c:v>zaposlenih</c:v>
                </c:pt>
              </c:strCache>
            </c:strRef>
          </c:tx>
          <c:invertIfNegative val="0"/>
          <c:cat>
            <c:strRef>
              <c:f>'Database za makro'!$E$48:$R$48</c:f>
              <c:strCache>
                <c:ptCount val="14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2016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  <c:pt idx="13">
                  <c:v>V</c:v>
                </c:pt>
              </c:strCache>
            </c:strRef>
          </c:cat>
          <c:val>
            <c:numRef>
              <c:f>'Database za makro'!$E$49:$R$49</c:f>
              <c:numCache>
                <c:formatCode>#,##0</c:formatCode>
                <c:ptCount val="14"/>
                <c:pt idx="0">
                  <c:v>174208</c:v>
                </c:pt>
                <c:pt idx="1">
                  <c:v>177865</c:v>
                </c:pt>
                <c:pt idx="2">
                  <c:v>180884</c:v>
                </c:pt>
                <c:pt idx="3">
                  <c:v>182444</c:v>
                </c:pt>
                <c:pt idx="4">
                  <c:v>181232</c:v>
                </c:pt>
                <c:pt idx="5">
                  <c:v>177028</c:v>
                </c:pt>
                <c:pt idx="6">
                  <c:v>174761</c:v>
                </c:pt>
                <c:pt idx="7">
                  <c:v>174402</c:v>
                </c:pt>
                <c:pt idx="8">
                  <c:v>172517</c:v>
                </c:pt>
                <c:pt idx="9">
                  <c:v>170434</c:v>
                </c:pt>
                <c:pt idx="10">
                  <c:v>170922</c:v>
                </c:pt>
                <c:pt idx="11">
                  <c:v>172098</c:v>
                </c:pt>
                <c:pt idx="12">
                  <c:v>174700</c:v>
                </c:pt>
                <c:pt idx="13">
                  <c:v>178660</c:v>
                </c:pt>
              </c:numCache>
            </c:numRef>
          </c:val>
        </c:ser>
        <c:ser>
          <c:idx val="1"/>
          <c:order val="1"/>
          <c:tx>
            <c:strRef>
              <c:f>'Database za makro'!$D$50</c:f>
              <c:strCache>
                <c:ptCount val="1"/>
                <c:pt idx="0">
                  <c:v> nezaposlenih</c:v>
                </c:pt>
              </c:strCache>
            </c:strRef>
          </c:tx>
          <c:invertIfNegative val="0"/>
          <c:cat>
            <c:strRef>
              <c:f>'Database za makro'!$E$48:$R$48</c:f>
              <c:strCache>
                <c:ptCount val="14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2016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  <c:pt idx="13">
                  <c:v>V</c:v>
                </c:pt>
              </c:strCache>
            </c:strRef>
          </c:cat>
          <c:val>
            <c:numRef>
              <c:f>'Database za makro'!$E$50:$R$50</c:f>
              <c:numCache>
                <c:formatCode>#,##0</c:formatCode>
                <c:ptCount val="14"/>
                <c:pt idx="0">
                  <c:v>33975</c:v>
                </c:pt>
                <c:pt idx="1">
                  <c:v>32347</c:v>
                </c:pt>
                <c:pt idx="2">
                  <c:v>31092</c:v>
                </c:pt>
                <c:pt idx="3">
                  <c:v>31277</c:v>
                </c:pt>
                <c:pt idx="4">
                  <c:v>33073</c:v>
                </c:pt>
                <c:pt idx="5">
                  <c:v>33773</c:v>
                </c:pt>
                <c:pt idx="6">
                  <c:v>36363</c:v>
                </c:pt>
                <c:pt idx="7">
                  <c:v>37930</c:v>
                </c:pt>
                <c:pt idx="8">
                  <c:v>39991</c:v>
                </c:pt>
                <c:pt idx="9">
                  <c:v>41191</c:v>
                </c:pt>
                <c:pt idx="10">
                  <c:v>42616</c:v>
                </c:pt>
                <c:pt idx="11">
                  <c:v>42406</c:v>
                </c:pt>
                <c:pt idx="12">
                  <c:v>41478</c:v>
                </c:pt>
                <c:pt idx="13">
                  <c:v>41242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853824"/>
        <c:axId val="77855360"/>
      </c:barChart>
      <c:catAx>
        <c:axId val="778538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7855360"/>
        <c:crosses val="autoZero"/>
        <c:auto val="1"/>
        <c:lblAlgn val="ctr"/>
        <c:lblOffset val="100"/>
        <c:noMultiLvlLbl val="0"/>
      </c:catAx>
      <c:valAx>
        <c:axId val="77855360"/>
        <c:scaling>
          <c:orientation val="minMax"/>
          <c:min val="0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0"/>
          <a:lstStyle/>
          <a:p>
            <a:pPr>
              <a:defRPr lang="sr-Latn-CS" sz="700"/>
            </a:pPr>
            <a:endParaRPr lang="en-US"/>
          </a:p>
        </c:txPr>
        <c:crossAx val="77853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2815925806106296"/>
          <c:y val="0.87766875294434465"/>
          <c:w val="0.5436811889708304"/>
          <c:h val="0.1031522982704085"/>
        </c:manualLayout>
      </c:layout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'Fiskalni indikatori'!$B$7</c:f>
              <c:strCache>
                <c:ptCount val="1"/>
                <c:pt idx="0">
                  <c:v>Porez na dodatu vrijednost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'Fiskalni indikatori'!$AQ$3:$BD$3</c:f>
              <c:strCache>
                <c:ptCount val="14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  <c:pt idx="13">
                  <c:v>V</c:v>
                </c:pt>
              </c:strCache>
            </c:strRef>
          </c:cat>
          <c:val>
            <c:numRef>
              <c:f>'Fiskalni indikatori'!$C$7:$BD$7</c:f>
              <c:numCache>
                <c:formatCode>0.00,,</c:formatCode>
                <c:ptCount val="14"/>
                <c:pt idx="0">
                  <c:v>33285867.309999991</c:v>
                </c:pt>
                <c:pt idx="1">
                  <c:v>38310409.780000009</c:v>
                </c:pt>
                <c:pt idx="2">
                  <c:v>44764837.370000005</c:v>
                </c:pt>
                <c:pt idx="3">
                  <c:v>45939444.720000073</c:v>
                </c:pt>
                <c:pt idx="4">
                  <c:v>45420402.370000005</c:v>
                </c:pt>
                <c:pt idx="5">
                  <c:v>48200089.809999995</c:v>
                </c:pt>
                <c:pt idx="6">
                  <c:v>32697450.309999999</c:v>
                </c:pt>
                <c:pt idx="7">
                  <c:v>34204989.410000004</c:v>
                </c:pt>
                <c:pt idx="8">
                  <c:v>40922044.359999999</c:v>
                </c:pt>
                <c:pt idx="9">
                  <c:v>33402847.570000004</c:v>
                </c:pt>
                <c:pt idx="10">
                  <c:v>32832195.190000009</c:v>
                </c:pt>
                <c:pt idx="11">
                  <c:v>34901875.720000073</c:v>
                </c:pt>
                <c:pt idx="12">
                  <c:v>36772461.840000004</c:v>
                </c:pt>
                <c:pt idx="13">
                  <c:v>39500513.950000003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543680"/>
        <c:axId val="77553664"/>
      </c:barChart>
      <c:catAx>
        <c:axId val="775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sr-Latn-CS"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53664"/>
        <c:crosses val="autoZero"/>
        <c:auto val="1"/>
        <c:lblAlgn val="ctr"/>
        <c:lblOffset val="100"/>
        <c:noMultiLvlLbl val="0"/>
      </c:catAx>
      <c:valAx>
        <c:axId val="77553664"/>
        <c:scaling>
          <c:orientation val="minMax"/>
        </c:scaling>
        <c:delete val="0"/>
        <c:axPos val="l"/>
        <c:numFmt formatCode="0.00,,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sr-Latn-CS"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4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'C:\Users\branko.krvavac\Dropbox\MINISTARSTVO FINANSIJA\SEP\Izvoz i Uvoz roba 2010 - 2015\[Spoljnotrgovinaska razmjena po mjesecima 2015 i 2016.xlsx]Uvoz'!$C$81</c:f>
              <c:strCache>
                <c:ptCount val="1"/>
                <c:pt idx="0">
                  <c:v>Mašine i transportni uređaji</c:v>
                </c:pt>
              </c:strCache>
            </c:strRef>
          </c:tx>
          <c:marker>
            <c:symbol val="none"/>
          </c:marker>
          <c:cat>
            <c:numRef>
              <c:f>Sheet1!$C$4:$C$20</c:f>
              <c:numCache>
                <c:formatCode>mmm/yy</c:formatCode>
                <c:ptCount val="17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</c:numCache>
            </c:numRef>
          </c:cat>
          <c:val>
            <c:numRef>
              <c:f>'C:\Users\branko.krvavac\Dropbox\MINISTARSTVO FINANSIJA\SEP\Izvoz i Uvoz roba 2010 - 2015\[Spoljnotrgovinaska razmjena po mjesecima 2015 i 2016.xlsx]Uvoz'!$C$82:$C$98</c:f>
              <c:numCache>
                <c:formatCode>General</c:formatCode>
                <c:ptCount val="17"/>
                <c:pt idx="0">
                  <c:v>15691.635289999997</c:v>
                </c:pt>
                <c:pt idx="1">
                  <c:v>25523.604259999916</c:v>
                </c:pt>
                <c:pt idx="2">
                  <c:v>33580.318350000118</c:v>
                </c:pt>
                <c:pt idx="3">
                  <c:v>32195.844979999936</c:v>
                </c:pt>
                <c:pt idx="4">
                  <c:v>33079.259740000001</c:v>
                </c:pt>
                <c:pt idx="5">
                  <c:v>54846.996409999992</c:v>
                </c:pt>
                <c:pt idx="6">
                  <c:v>44800.261689999985</c:v>
                </c:pt>
                <c:pt idx="7">
                  <c:v>29260.224929999957</c:v>
                </c:pt>
                <c:pt idx="8">
                  <c:v>32314.80872000003</c:v>
                </c:pt>
                <c:pt idx="9">
                  <c:v>33365.136460000002</c:v>
                </c:pt>
                <c:pt idx="10">
                  <c:v>32060.067410000021</c:v>
                </c:pt>
                <c:pt idx="11">
                  <c:v>41066.624550000008</c:v>
                </c:pt>
                <c:pt idx="12">
                  <c:v>18513.11018</c:v>
                </c:pt>
                <c:pt idx="13">
                  <c:v>29710.725729999995</c:v>
                </c:pt>
                <c:pt idx="14">
                  <c:v>35110.366950000011</c:v>
                </c:pt>
                <c:pt idx="15">
                  <c:v>45003.848940000011</c:v>
                </c:pt>
                <c:pt idx="16">
                  <c:v>85433.723849999908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'C:\Users\branko.krvavac\Dropbox\MINISTARSTVO FINANSIJA\SEP\Izvoz i Uvoz roba 2010 - 2015\[Spoljnotrgovinaska razmjena po mjesecima 2015 i 2016.xlsx]Uvoz'!$D$81</c:f>
              <c:strCache>
                <c:ptCount val="1"/>
                <c:pt idx="0">
                  <c:v>Pogonske mašine i uređaji</c:v>
                </c:pt>
              </c:strCache>
            </c:strRef>
          </c:tx>
          <c:marker>
            <c:symbol val="none"/>
          </c:marker>
          <c:cat>
            <c:numRef>
              <c:f>Sheet1!$C$4:$C$20</c:f>
              <c:numCache>
                <c:formatCode>mmm/yy</c:formatCode>
                <c:ptCount val="17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</c:numCache>
            </c:numRef>
          </c:cat>
          <c:val>
            <c:numRef>
              <c:f>'C:\Users\branko.krvavac\Dropbox\MINISTARSTVO FINANSIJA\SEP\Izvoz i Uvoz roba 2010 - 2015\[Spoljnotrgovinaska razmjena po mjesecima 2015 i 2016.xlsx]Uvoz'!$D$82:$D$98</c:f>
              <c:numCache>
                <c:formatCode>General</c:formatCode>
                <c:ptCount val="17"/>
                <c:pt idx="0">
                  <c:v>234.87515000000002</c:v>
                </c:pt>
                <c:pt idx="1">
                  <c:v>691.50597000000005</c:v>
                </c:pt>
                <c:pt idx="2">
                  <c:v>544.08404999999993</c:v>
                </c:pt>
                <c:pt idx="3">
                  <c:v>469.05774999999994</c:v>
                </c:pt>
                <c:pt idx="4">
                  <c:v>779.5980600000006</c:v>
                </c:pt>
                <c:pt idx="5">
                  <c:v>2016.3382699999997</c:v>
                </c:pt>
                <c:pt idx="6">
                  <c:v>284.86537000000044</c:v>
                </c:pt>
                <c:pt idx="7">
                  <c:v>757.52583999999933</c:v>
                </c:pt>
                <c:pt idx="8">
                  <c:v>946.85937000000013</c:v>
                </c:pt>
                <c:pt idx="9">
                  <c:v>2088.6884299999883</c:v>
                </c:pt>
                <c:pt idx="10">
                  <c:v>993.15351999999939</c:v>
                </c:pt>
                <c:pt idx="11">
                  <c:v>1201.5789300000008</c:v>
                </c:pt>
                <c:pt idx="12">
                  <c:v>188.7919</c:v>
                </c:pt>
                <c:pt idx="13">
                  <c:v>425.98871999999835</c:v>
                </c:pt>
                <c:pt idx="14">
                  <c:v>327.98895999999843</c:v>
                </c:pt>
                <c:pt idx="15">
                  <c:v>3839.8323700000074</c:v>
                </c:pt>
                <c:pt idx="16">
                  <c:v>34771.479940000005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717184"/>
        <c:axId val="91038464"/>
      </c:lineChart>
      <c:dateAx>
        <c:axId val="90717184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1038464"/>
        <c:crosses val="autoZero"/>
        <c:auto val="1"/>
        <c:lblOffset val="100"/>
        <c:baseTimeUnit val="months"/>
      </c:dateAx>
      <c:valAx>
        <c:axId val="91038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0717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obavezna rezerva</c:v>
          </c:tx>
          <c:invertIfNegative val="0"/>
          <c:cat>
            <c:strRef>
              <c:f>'Ukupni depoziti'!$F$4:$R$4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'Ukupni depoziti'!$F$42:$R$42</c:f>
              <c:numCache>
                <c:formatCode>#,##0</c:formatCode>
                <c:ptCount val="13"/>
                <c:pt idx="0">
                  <c:v>219501.86104999998</c:v>
                </c:pt>
                <c:pt idx="1">
                  <c:v>220256.93648999927</c:v>
                </c:pt>
                <c:pt idx="2">
                  <c:v>228778.97317000001</c:v>
                </c:pt>
                <c:pt idx="3">
                  <c:v>236121.45024000001</c:v>
                </c:pt>
                <c:pt idx="4">
                  <c:v>241945.79548</c:v>
                </c:pt>
                <c:pt idx="5">
                  <c:v>244823.58322999999</c:v>
                </c:pt>
                <c:pt idx="6">
                  <c:v>245380.17655</c:v>
                </c:pt>
                <c:pt idx="7">
                  <c:v>249078.2638500001</c:v>
                </c:pt>
                <c:pt idx="8">
                  <c:v>242517</c:v>
                </c:pt>
                <c:pt idx="9">
                  <c:v>240986</c:v>
                </c:pt>
                <c:pt idx="10">
                  <c:v>245465</c:v>
                </c:pt>
                <c:pt idx="11">
                  <c:v>243835</c:v>
                </c:pt>
                <c:pt idx="12">
                  <c:v>243575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066752"/>
        <c:axId val="91068288"/>
      </c:barChart>
      <c:lineChart>
        <c:grouping val="standard"/>
        <c:varyColors val="0"/>
        <c:ser>
          <c:idx val="1"/>
          <c:order val="1"/>
          <c:tx>
            <c:v>ukupni depoziti</c:v>
          </c:tx>
          <c:marker>
            <c:symbol val="none"/>
          </c:marker>
          <c:cat>
            <c:strRef>
              <c:f>'Ukupni depoziti'!$F$4:$R$4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'Ukupni depoziti'!$F$17:$R$17</c:f>
              <c:numCache>
                <c:formatCode>#,##0</c:formatCode>
                <c:ptCount val="13"/>
                <c:pt idx="0">
                  <c:v>2376584</c:v>
                </c:pt>
                <c:pt idx="1">
                  <c:v>2403111</c:v>
                </c:pt>
                <c:pt idx="2">
                  <c:v>2477768</c:v>
                </c:pt>
                <c:pt idx="3">
                  <c:v>2599182</c:v>
                </c:pt>
                <c:pt idx="4">
                  <c:v>2623881</c:v>
                </c:pt>
                <c:pt idx="5" formatCode="#,##0_ ">
                  <c:v>2658266</c:v>
                </c:pt>
                <c:pt idx="6">
                  <c:v>2658855</c:v>
                </c:pt>
                <c:pt idx="7">
                  <c:v>2624977</c:v>
                </c:pt>
                <c:pt idx="8">
                  <c:v>2607505</c:v>
                </c:pt>
                <c:pt idx="9">
                  <c:v>2615716</c:v>
                </c:pt>
                <c:pt idx="10">
                  <c:v>2610435</c:v>
                </c:pt>
                <c:pt idx="11">
                  <c:v>2609635</c:v>
                </c:pt>
                <c:pt idx="12">
                  <c:v>2623327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058944"/>
        <c:axId val="91060480"/>
      </c:lineChart>
      <c:catAx>
        <c:axId val="9105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1060480"/>
        <c:crosses val="autoZero"/>
        <c:auto val="1"/>
        <c:lblAlgn val="ctr"/>
        <c:lblOffset val="100"/>
        <c:noMultiLvlLbl val="0"/>
      </c:catAx>
      <c:valAx>
        <c:axId val="91060480"/>
        <c:scaling>
          <c:orientation val="minMax"/>
        </c:scaling>
        <c:delete val="0"/>
        <c:axPos val="l"/>
        <c:numFmt formatCode="#,##0_ " sourceLinked="0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1058944"/>
        <c:crosses val="autoZero"/>
        <c:crossBetween val="between"/>
        <c:dispUnits>
          <c:builtInUnit val="thousands"/>
        </c:dispUnits>
      </c:valAx>
      <c:catAx>
        <c:axId val="91066752"/>
        <c:scaling>
          <c:orientation val="minMax"/>
        </c:scaling>
        <c:delete val="1"/>
        <c:axPos val="b"/>
        <c:majorTickMark val="out"/>
        <c:minorTickMark val="none"/>
        <c:tickLblPos val="none"/>
        <c:crossAx val="91068288"/>
        <c:crosses val="autoZero"/>
        <c:auto val="1"/>
        <c:lblAlgn val="ctr"/>
        <c:lblOffset val="100"/>
        <c:noMultiLvlLbl val="0"/>
      </c:catAx>
      <c:valAx>
        <c:axId val="91068288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1066752"/>
        <c:crosses val="max"/>
        <c:crossBetween val="between"/>
        <c:dispUnits>
          <c:builtInUnit val="thousands"/>
        </c:dispUnits>
      </c:valAx>
    </c:plotArea>
    <c:legend>
      <c:legendPos val="b"/>
      <c:overlay val="0"/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47DBD-5B3F-4815-AFCB-6000EE20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branko.krvavac</dc:creator>
  <cp:lastModifiedBy>Ana Djuraskovic</cp:lastModifiedBy>
  <cp:revision>2</cp:revision>
  <dcterms:created xsi:type="dcterms:W3CDTF">2016-07-22T12:20:00Z</dcterms:created>
  <dcterms:modified xsi:type="dcterms:W3CDTF">2016-07-22T12:20:00Z</dcterms:modified>
</cp:coreProperties>
</file>